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771" w:rsidRDefault="00025816" w:rsidP="00290C63">
      <w:pPr>
        <w:rPr>
          <w:rFonts w:eastAsiaTheme="majorEastAsia" w:cstheme="majorBidi"/>
          <w:noProof/>
          <w:sz w:val="36"/>
          <w:szCs w:val="36"/>
          <w:lang w:eastAsia="en-AU"/>
        </w:rPr>
      </w:pPr>
      <w:r w:rsidRPr="00DB723B">
        <w:rPr>
          <w:noProof/>
          <w:lang w:eastAsia="en-AU"/>
        </w:rPr>
        <w:drawing>
          <wp:anchor distT="0" distB="0" distL="114300" distR="114300" simplePos="0" relativeHeight="251661312" behindDoc="1" locked="0" layoutInCell="1" allowOverlap="1" wp14:anchorId="0CE18286" wp14:editId="42590BD2">
            <wp:simplePos x="0" y="0"/>
            <wp:positionH relativeFrom="column">
              <wp:posOffset>-1116330</wp:posOffset>
            </wp:positionH>
            <wp:positionV relativeFrom="paragraph">
              <wp:posOffset>-914095</wp:posOffset>
            </wp:positionV>
            <wp:extent cx="7734300" cy="109321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34300" cy="10932160"/>
                    </a:xfrm>
                    <a:prstGeom prst="rect">
                      <a:avLst/>
                    </a:prstGeom>
                    <a:noFill/>
                  </pic:spPr>
                </pic:pic>
              </a:graphicData>
            </a:graphic>
            <wp14:sizeRelH relativeFrom="page">
              <wp14:pctWidth>0</wp14:pctWidth>
            </wp14:sizeRelH>
            <wp14:sizeRelV relativeFrom="page">
              <wp14:pctHeight>0</wp14:pctHeight>
            </wp14:sizeRelV>
          </wp:anchor>
        </w:drawing>
      </w:r>
      <w:r w:rsidR="00CC6771">
        <w:t xml:space="preserve"> </w:t>
      </w:r>
    </w:p>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364EBEB0" wp14:editId="05F63418">
                <wp:simplePos x="0" y="0"/>
                <wp:positionH relativeFrom="column">
                  <wp:posOffset>-1112520</wp:posOffset>
                </wp:positionH>
                <wp:positionV relativeFrom="paragraph">
                  <wp:posOffset>-919138</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5C16FE" w:rsidRDefault="005C16FE" w:rsidP="00F171E0"/>
        <w:p w:rsidR="00327A1E" w:rsidRDefault="001754EE" w:rsidP="001754EE">
          <w:pPr>
            <w:pStyle w:val="ReportSubtitle"/>
            <w:tabs>
              <w:tab w:val="left" w:pos="1122"/>
              <w:tab w:val="center" w:pos="4238"/>
            </w:tabs>
            <w:jc w:val="left"/>
          </w:pPr>
          <w:r>
            <w:tab/>
          </w:r>
          <w:r>
            <w:tab/>
          </w:r>
          <w:r w:rsidR="000E7075">
            <w:t>DRAFT</w:t>
          </w:r>
          <w:r w:rsidR="00DA4752">
            <w:t xml:space="preserve"> DECISION</w:t>
          </w:r>
        </w:p>
        <w:p w:rsidR="00415F31" w:rsidRDefault="000474DF" w:rsidP="008F07A3">
          <w:pPr>
            <w:pStyle w:val="ReportSubtitle"/>
          </w:pPr>
          <w:r>
            <w:t>Powerlink</w:t>
          </w:r>
          <w:r w:rsidR="006A66A1">
            <w:t xml:space="preserve"> transmission</w:t>
          </w:r>
          <w:r w:rsidR="00415F31">
            <w:t xml:space="preserve"> </w:t>
          </w:r>
          <w:r w:rsidR="00DA4752">
            <w:t>determination</w:t>
          </w:r>
        </w:p>
        <w:p w:rsidR="000A6C7B" w:rsidRDefault="00DA4752" w:rsidP="008F07A3">
          <w:pPr>
            <w:pStyle w:val="ReportSubtitle"/>
          </w:pPr>
          <w:r>
            <w:t xml:space="preserve"> 201</w:t>
          </w:r>
          <w:r w:rsidR="000474DF">
            <w:t>7</w:t>
          </w:r>
          <w:r>
            <w:rPr>
              <w:rFonts w:cs="Arial"/>
            </w:rPr>
            <w:t>−</w:t>
          </w:r>
          <w:r>
            <w:t>1</w:t>
          </w:r>
          <w:r w:rsidR="000474DF">
            <w:t>8 to 2021</w:t>
          </w:r>
          <w:r>
            <w:rPr>
              <w:rFonts w:cs="Arial"/>
            </w:rPr>
            <w:t>−</w:t>
          </w:r>
          <w:r w:rsidR="000474DF">
            <w:t>22</w:t>
          </w:r>
        </w:p>
        <w:p w:rsidR="008F07A3" w:rsidRPr="000A6C7B" w:rsidRDefault="008F07A3" w:rsidP="008F07A3">
          <w:pPr>
            <w:pStyle w:val="ReportSubtitle"/>
          </w:pPr>
        </w:p>
        <w:p w:rsidR="000A6C7B" w:rsidRDefault="0037699E" w:rsidP="008F07A3">
          <w:pPr>
            <w:pStyle w:val="ReportSubtitle"/>
          </w:pPr>
          <w:r>
            <w:t xml:space="preserve">Attachment </w:t>
          </w:r>
          <w:r w:rsidR="000C0C63">
            <w:t>6</w:t>
          </w:r>
          <w:r w:rsidR="000474DF">
            <w:t xml:space="preserve"> </w:t>
          </w:r>
          <w:r w:rsidR="00185BA5">
            <w:t>–</w:t>
          </w:r>
          <w:r w:rsidR="000474DF">
            <w:t xml:space="preserve"> </w:t>
          </w:r>
          <w:r w:rsidR="000C0C63">
            <w:t>Capital</w:t>
          </w:r>
          <w:r w:rsidR="007A4B02">
            <w:t xml:space="preserve"> expenditure</w:t>
          </w:r>
        </w:p>
        <w:p w:rsidR="000A6C7B" w:rsidRPr="00327A1E" w:rsidRDefault="000E7075" w:rsidP="00327A1E">
          <w:pPr>
            <w:pStyle w:val="ReportDate"/>
          </w:pPr>
          <w:r>
            <w:t>September 2016</w:t>
          </w:r>
        </w:p>
      </w:sdtContent>
    </w:sdt>
    <w:p w:rsidR="00327A1E" w:rsidRPr="00290C63" w:rsidRDefault="00327A1E" w:rsidP="00290C63">
      <w:r>
        <w:br w:type="page"/>
      </w:r>
    </w:p>
    <w:p w:rsidR="00CE2A23" w:rsidRDefault="00CE2A23" w:rsidP="00761454">
      <w:bookmarkStart w:id="0" w:name="_Toc411428008"/>
      <w:r>
        <w:lastRenderedPageBreak/>
        <w:t>© Commonwealth of Australia 201</w:t>
      </w:r>
      <w:r w:rsidR="000474DF">
        <w:t>6</w:t>
      </w:r>
    </w:p>
    <w:p w:rsidR="00CE2A23" w:rsidRDefault="00CE2A23" w:rsidP="00761454">
      <w:r>
        <w:t>This work is copyright. In addition to any use permitted under the Copyright Act 1968, all material contained within this work is provided under a Creative Commons Attributions 3.0 Australia licence, with the exception of:</w:t>
      </w:r>
    </w:p>
    <w:p w:rsidR="00CE2A23" w:rsidRPr="00CE2A23" w:rsidRDefault="00CE2A23" w:rsidP="00CE2A23">
      <w:pPr>
        <w:pStyle w:val="AERbulletlistfirststyle"/>
      </w:pPr>
      <w:r w:rsidRPr="00CE2A23">
        <w:t>the Commonwealth Coat of Arms</w:t>
      </w:r>
    </w:p>
    <w:p w:rsidR="00CE2A23" w:rsidRPr="00CB734B" w:rsidRDefault="00CE2A23" w:rsidP="00CE2A23">
      <w:pPr>
        <w:pStyle w:val="AERbulletlistfirststyle"/>
      </w:pPr>
      <w:r w:rsidRPr="00CE2A23">
        <w:t>the ACCC and AER logos</w:t>
      </w:r>
    </w:p>
    <w:p w:rsidR="00CE2A23" w:rsidRPr="00CE2A23" w:rsidRDefault="00CE2A23" w:rsidP="00CB734B">
      <w:pPr>
        <w:pStyle w:val="AERbulletlistfirststyle"/>
      </w:pPr>
      <w:r w:rsidRPr="00CE2A23">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CE2A23" w:rsidRDefault="00CE2A23" w:rsidP="00761454">
      <w:r>
        <w:t>Requests and inquiries concerning reproduction and rights should be addressed to the:</w:t>
      </w:r>
    </w:p>
    <w:p w:rsidR="00CE2A23" w:rsidRDefault="00CE2A23" w:rsidP="00761454">
      <w:r>
        <w:t>Director, Corporate Communications</w:t>
      </w:r>
      <w:r>
        <w:br/>
        <w:t xml:space="preserve">Australian Competition and Consumer Commission </w:t>
      </w:r>
      <w:r>
        <w:br/>
        <w:t>GPO Box 4141, Canberra ACT 2601</w:t>
      </w:r>
    </w:p>
    <w:p w:rsidR="00CE2A23" w:rsidRDefault="00CE2A23" w:rsidP="00761454">
      <w:proofErr w:type="gramStart"/>
      <w:r>
        <w:t>or</w:t>
      </w:r>
      <w:proofErr w:type="gramEnd"/>
      <w:r>
        <w:t xml:space="preserve"> publishing.unit@accc.gov.au.</w:t>
      </w:r>
    </w:p>
    <w:p w:rsidR="00CE2A23" w:rsidRDefault="00CE2A23" w:rsidP="00761454">
      <w:r>
        <w:t>Inquiries about this publication should be addressed to:</w:t>
      </w:r>
    </w:p>
    <w:p w:rsidR="00CE2A23" w:rsidRDefault="00CE2A23" w:rsidP="00761454">
      <w:r>
        <w:t xml:space="preserve">Australian Energy </w:t>
      </w:r>
      <w:r w:rsidRPr="00F171E0">
        <w:t>Regulator</w:t>
      </w:r>
      <w:r>
        <w:br/>
        <w:t>GPO Box 520</w:t>
      </w:r>
      <w:r>
        <w:br/>
      </w:r>
      <w:r w:rsidR="008658A1">
        <w:t>Melbourne Vic 3001</w:t>
      </w:r>
    </w:p>
    <w:p w:rsidR="00CE2A23" w:rsidRDefault="00CE2A23" w:rsidP="00761454">
      <w:r>
        <w:t xml:space="preserve">Tel: </w:t>
      </w:r>
      <w:r w:rsidR="00025816">
        <w:t>1</w:t>
      </w:r>
      <w:r w:rsidR="00DA7D97">
        <w:t>3</w:t>
      </w:r>
      <w:r w:rsidR="00025816">
        <w:t>00 585 165</w:t>
      </w:r>
      <w:r>
        <w:br/>
        <w:t xml:space="preserve">Email: </w:t>
      </w:r>
      <w:hyperlink r:id="rId11" w:history="1">
        <w:r w:rsidRPr="00D64888">
          <w:rPr>
            <w:rStyle w:val="Hyperlink"/>
          </w:rPr>
          <w:t>AERInquiry@aer.gov.au</w:t>
        </w:r>
      </w:hyperlink>
      <w:r>
        <w:rPr>
          <w:rStyle w:val="Hyperlink"/>
        </w:rPr>
        <w:br/>
      </w:r>
    </w:p>
    <w:p w:rsidR="00291A99" w:rsidRDefault="00291A99" w:rsidP="00761454"/>
    <w:p w:rsidR="00761454" w:rsidRDefault="00761454">
      <w:pPr>
        <w:spacing w:line="240" w:lineRule="auto"/>
      </w:pPr>
      <w:r>
        <w:br w:type="page"/>
      </w:r>
    </w:p>
    <w:p w:rsidR="00761454" w:rsidRDefault="00761454" w:rsidP="00761454">
      <w:pPr>
        <w:pStyle w:val="UnnumberedHeading"/>
        <w:numPr>
          <w:ilvl w:val="0"/>
          <w:numId w:val="23"/>
        </w:numPr>
      </w:pPr>
      <w:bookmarkStart w:id="1" w:name="_Toc404153950"/>
      <w:bookmarkStart w:id="2" w:name="_Toc404437593"/>
      <w:bookmarkStart w:id="3" w:name="_Toc462752279"/>
      <w:r>
        <w:lastRenderedPageBreak/>
        <w:t>Note</w:t>
      </w:r>
      <w:bookmarkEnd w:id="1"/>
      <w:bookmarkEnd w:id="2"/>
      <w:bookmarkEnd w:id="3"/>
    </w:p>
    <w:p w:rsidR="00761454" w:rsidRDefault="00761454" w:rsidP="00761454">
      <w:pPr>
        <w:numPr>
          <w:ilvl w:val="0"/>
          <w:numId w:val="24"/>
        </w:numPr>
      </w:pPr>
      <w:r>
        <w:t xml:space="preserve">This </w:t>
      </w:r>
      <w:r w:rsidR="00025816">
        <w:t>attachment</w:t>
      </w:r>
      <w:r>
        <w:t xml:space="preserve"> forms part of the AER's </w:t>
      </w:r>
      <w:r w:rsidR="00A007C7">
        <w:t>final</w:t>
      </w:r>
      <w:r w:rsidR="000474DF">
        <w:t xml:space="preserve"> </w:t>
      </w:r>
      <w:r>
        <w:t xml:space="preserve">decision on </w:t>
      </w:r>
      <w:r w:rsidR="000474DF">
        <w:t>Powerlink's</w:t>
      </w:r>
      <w:r>
        <w:t xml:space="preserve"> transmission determination for 201</w:t>
      </w:r>
      <w:r w:rsidR="000474DF">
        <w:t>7</w:t>
      </w:r>
      <w:r w:rsidRPr="00F02D30">
        <w:t>–</w:t>
      </w:r>
      <w:r w:rsidR="000474DF">
        <w:t>22</w:t>
      </w:r>
      <w:r>
        <w:t xml:space="preserve">. It should be read with </w:t>
      </w:r>
      <w:r w:rsidR="000474DF">
        <w:t xml:space="preserve">all </w:t>
      </w:r>
      <w:r>
        <w:t xml:space="preserve">other parts of the </w:t>
      </w:r>
      <w:r w:rsidR="00A007C7">
        <w:t>final</w:t>
      </w:r>
      <w:r>
        <w:t xml:space="preserve"> decision.</w:t>
      </w:r>
    </w:p>
    <w:p w:rsidR="00761454" w:rsidRDefault="00761454" w:rsidP="00761454">
      <w:pPr>
        <w:numPr>
          <w:ilvl w:val="0"/>
          <w:numId w:val="24"/>
        </w:numPr>
      </w:pPr>
      <w:r>
        <w:t xml:space="preserve">The </w:t>
      </w:r>
      <w:r w:rsidR="00A007C7">
        <w:t>final</w:t>
      </w:r>
      <w:r>
        <w:t xml:space="preserve"> decision includes the following documents:</w:t>
      </w:r>
    </w:p>
    <w:p w:rsidR="00761454" w:rsidRDefault="00761454" w:rsidP="00761454">
      <w:pPr>
        <w:numPr>
          <w:ilvl w:val="0"/>
          <w:numId w:val="24"/>
        </w:numPr>
      </w:pPr>
      <w:r>
        <w:t>Overview</w:t>
      </w:r>
    </w:p>
    <w:p w:rsidR="00761454" w:rsidRDefault="000474DF" w:rsidP="00761454">
      <w:pPr>
        <w:numPr>
          <w:ilvl w:val="0"/>
          <w:numId w:val="24"/>
        </w:numPr>
      </w:pPr>
      <w:r>
        <w:t>Attachment 1 – M</w:t>
      </w:r>
      <w:r w:rsidR="00761454">
        <w:t>aximum allowed revenue</w:t>
      </w:r>
    </w:p>
    <w:p w:rsidR="00761454" w:rsidRDefault="000474DF" w:rsidP="00761454">
      <w:pPr>
        <w:numPr>
          <w:ilvl w:val="0"/>
          <w:numId w:val="24"/>
        </w:numPr>
      </w:pPr>
      <w:r>
        <w:t>Attachment 2 – R</w:t>
      </w:r>
      <w:r w:rsidR="00761454">
        <w:t>egulatory asset base</w:t>
      </w:r>
    </w:p>
    <w:p w:rsidR="00761454" w:rsidRDefault="000474DF" w:rsidP="00761454">
      <w:pPr>
        <w:numPr>
          <w:ilvl w:val="0"/>
          <w:numId w:val="24"/>
        </w:numPr>
      </w:pPr>
      <w:r>
        <w:t>Attachment 3 – R</w:t>
      </w:r>
      <w:r w:rsidR="00761454">
        <w:t>ate of return</w:t>
      </w:r>
    </w:p>
    <w:p w:rsidR="00761454" w:rsidRDefault="000474DF" w:rsidP="00761454">
      <w:pPr>
        <w:numPr>
          <w:ilvl w:val="0"/>
          <w:numId w:val="24"/>
        </w:numPr>
      </w:pPr>
      <w:r>
        <w:t>Attachment 4 – V</w:t>
      </w:r>
      <w:r w:rsidR="00761454">
        <w:t>alue of imputation credits</w:t>
      </w:r>
    </w:p>
    <w:p w:rsidR="00761454" w:rsidRDefault="00761454" w:rsidP="00761454">
      <w:pPr>
        <w:numPr>
          <w:ilvl w:val="0"/>
          <w:numId w:val="24"/>
        </w:numPr>
      </w:pPr>
      <w:r>
        <w:t xml:space="preserve">Attachment 5 – </w:t>
      </w:r>
      <w:r w:rsidR="000474DF">
        <w:t>R</w:t>
      </w:r>
      <w:r>
        <w:t>egulatory depreciation</w:t>
      </w:r>
    </w:p>
    <w:p w:rsidR="00761454" w:rsidRDefault="000474DF" w:rsidP="00761454">
      <w:pPr>
        <w:numPr>
          <w:ilvl w:val="0"/>
          <w:numId w:val="24"/>
        </w:numPr>
      </w:pPr>
      <w:r>
        <w:t>Attachment 6 – C</w:t>
      </w:r>
      <w:r w:rsidR="00761454">
        <w:t xml:space="preserve">apital expenditure </w:t>
      </w:r>
    </w:p>
    <w:p w:rsidR="00761454" w:rsidRDefault="000474DF" w:rsidP="00761454">
      <w:pPr>
        <w:numPr>
          <w:ilvl w:val="0"/>
          <w:numId w:val="24"/>
        </w:numPr>
      </w:pPr>
      <w:r>
        <w:t>Attachment 7 – O</w:t>
      </w:r>
      <w:r w:rsidR="00761454">
        <w:t>perating expenditure</w:t>
      </w:r>
    </w:p>
    <w:p w:rsidR="00761454" w:rsidRDefault="00761454" w:rsidP="00761454">
      <w:pPr>
        <w:numPr>
          <w:ilvl w:val="0"/>
          <w:numId w:val="24"/>
        </w:numPr>
      </w:pPr>
      <w:r>
        <w:t xml:space="preserve">Attachment 8 – </w:t>
      </w:r>
      <w:r w:rsidR="000474DF">
        <w:t>C</w:t>
      </w:r>
      <w:r>
        <w:t>orporate income tax</w:t>
      </w:r>
    </w:p>
    <w:p w:rsidR="00761454" w:rsidRDefault="000474DF" w:rsidP="00761454">
      <w:pPr>
        <w:numPr>
          <w:ilvl w:val="0"/>
          <w:numId w:val="24"/>
        </w:numPr>
      </w:pPr>
      <w:r>
        <w:t>Attachment 9 – E</w:t>
      </w:r>
      <w:r w:rsidR="00761454">
        <w:t>fficiency benefit sharing scheme</w:t>
      </w:r>
    </w:p>
    <w:p w:rsidR="00761454" w:rsidRDefault="000474DF" w:rsidP="00761454">
      <w:pPr>
        <w:numPr>
          <w:ilvl w:val="0"/>
          <w:numId w:val="24"/>
        </w:numPr>
      </w:pPr>
      <w:r>
        <w:t>Attachment 10 – C</w:t>
      </w:r>
      <w:r w:rsidR="00761454">
        <w:t>apital expenditure sharing scheme</w:t>
      </w:r>
    </w:p>
    <w:p w:rsidR="00761454" w:rsidRDefault="000474DF" w:rsidP="00761454">
      <w:pPr>
        <w:numPr>
          <w:ilvl w:val="0"/>
          <w:numId w:val="24"/>
        </w:numPr>
      </w:pPr>
      <w:r>
        <w:t>Attachment 11 – S</w:t>
      </w:r>
      <w:r w:rsidR="00761454">
        <w:t>ervice target performance incentive scheme</w:t>
      </w:r>
    </w:p>
    <w:p w:rsidR="00761454" w:rsidRPr="00F02D30" w:rsidRDefault="00761454" w:rsidP="00761454">
      <w:pPr>
        <w:numPr>
          <w:ilvl w:val="0"/>
          <w:numId w:val="24"/>
        </w:numPr>
      </w:pPr>
      <w:r>
        <w:t xml:space="preserve">Attachment 12 – </w:t>
      </w:r>
      <w:r w:rsidR="000474DF">
        <w:t>P</w:t>
      </w:r>
      <w:r w:rsidRPr="00F02D30">
        <w:t>ricing methodology</w:t>
      </w:r>
    </w:p>
    <w:p w:rsidR="00761454" w:rsidRPr="00F02D30" w:rsidRDefault="00761454" w:rsidP="00761454">
      <w:pPr>
        <w:numPr>
          <w:ilvl w:val="0"/>
          <w:numId w:val="24"/>
        </w:numPr>
      </w:pPr>
      <w:r>
        <w:t xml:space="preserve">Attachment 13 </w:t>
      </w:r>
      <w:r w:rsidR="000474DF">
        <w:t>– P</w:t>
      </w:r>
      <w:r w:rsidRPr="00F02D30">
        <w:t>ass through events</w:t>
      </w:r>
    </w:p>
    <w:p w:rsidR="00761454" w:rsidRPr="00F02D30" w:rsidRDefault="00761454" w:rsidP="00761454">
      <w:pPr>
        <w:numPr>
          <w:ilvl w:val="0"/>
          <w:numId w:val="24"/>
        </w:numPr>
      </w:pPr>
      <w:r>
        <w:t xml:space="preserve">Attachment 14 </w:t>
      </w:r>
      <w:r w:rsidR="000474DF">
        <w:t>– N</w:t>
      </w:r>
      <w:r w:rsidRPr="00F02D30">
        <w:t>egotiated services</w:t>
      </w:r>
    </w:p>
    <w:p w:rsidR="00761454" w:rsidRPr="009D3906" w:rsidRDefault="00761454" w:rsidP="00761454"/>
    <w:p w:rsidR="00CE2A23" w:rsidRPr="00CE2A23" w:rsidRDefault="00CE2A23" w:rsidP="00CE2A23">
      <w:bookmarkStart w:id="4" w:name="_Toc404354899"/>
      <w:bookmarkStart w:id="5" w:name="_Toc404353070"/>
      <w:bookmarkStart w:id="6" w:name="_Toc404684201"/>
      <w:bookmarkStart w:id="7" w:name="_Toc404700923"/>
      <w:r>
        <w:br w:type="page"/>
      </w:r>
    </w:p>
    <w:bookmarkEnd w:id="4"/>
    <w:bookmarkEnd w:id="5"/>
    <w:bookmarkEnd w:id="6"/>
    <w:bookmarkEnd w:id="7"/>
    <w:p w:rsidR="00CE2A23" w:rsidRPr="008F07A3" w:rsidRDefault="00CE2A23" w:rsidP="00CE2A23">
      <w:pPr>
        <w:numPr>
          <w:ilvl w:val="0"/>
          <w:numId w:val="24"/>
        </w:numPr>
        <w:sectPr w:rsidR="00CE2A23" w:rsidRPr="008F07A3" w:rsidSect="00317E02">
          <w:footerReference w:type="default" r:id="rId12"/>
          <w:pgSz w:w="11906" w:h="16838" w:code="9"/>
          <w:pgMar w:top="1440" w:right="1700" w:bottom="1582" w:left="1729" w:header="720" w:footer="0" w:gutter="0"/>
          <w:pgNumType w:start="0" w:chapStyle="1"/>
          <w:cols w:space="720"/>
          <w:docGrid w:linePitch="326"/>
        </w:sectPr>
      </w:pPr>
    </w:p>
    <w:p w:rsidR="00CE2A23" w:rsidRPr="00A72B34" w:rsidRDefault="00CE2A23" w:rsidP="00CE2A23">
      <w:pPr>
        <w:pStyle w:val="UnnumberedHeading"/>
        <w:numPr>
          <w:ilvl w:val="0"/>
          <w:numId w:val="23"/>
        </w:numPr>
      </w:pPr>
      <w:bookmarkStart w:id="8" w:name="_Toc403144133"/>
      <w:bookmarkStart w:id="9" w:name="_Toc462752280"/>
      <w:r>
        <w:lastRenderedPageBreak/>
        <w:t>Contents</w:t>
      </w:r>
      <w:bookmarkEnd w:id="8"/>
      <w:bookmarkEnd w:id="9"/>
    </w:p>
    <w:p w:rsidR="00CE2A23" w:rsidRDefault="00CE2A23" w:rsidP="00CE2A23"/>
    <w:sdt>
      <w:sdtPr>
        <w:id w:val="1269200322"/>
        <w:docPartObj>
          <w:docPartGallery w:val="Table of Contents"/>
          <w:docPartUnique/>
        </w:docPartObj>
      </w:sdtPr>
      <w:sdtEndPr/>
      <w:sdtContent>
        <w:p w:rsidR="005252EC" w:rsidRDefault="00CD283C">
          <w:pPr>
            <w:pStyle w:val="TOC1"/>
            <w:rPr>
              <w:rFonts w:asciiTheme="minorHAnsi" w:eastAsiaTheme="minorEastAsia" w:hAnsiTheme="minorHAnsi"/>
              <w:b w:val="0"/>
              <w:color w:val="auto"/>
              <w:sz w:val="22"/>
              <w:lang w:val="en-AU" w:eastAsia="en-AU"/>
            </w:rPr>
          </w:pPr>
          <w:r>
            <w:fldChar w:fldCharType="begin"/>
          </w:r>
          <w:r>
            <w:instrText xml:space="preserve"> TOC \o "1-2" \h \z \t "Heading 3,3,Heading 7,1,Heading 8,2,Heading 9,3" </w:instrText>
          </w:r>
          <w:r>
            <w:fldChar w:fldCharType="separate"/>
          </w:r>
          <w:hyperlink w:anchor="_Toc462752279" w:history="1">
            <w:r w:rsidR="005252EC" w:rsidRPr="00CF729D">
              <w:rPr>
                <w:rStyle w:val="Hyperlink"/>
              </w:rPr>
              <w:t>Note</w:t>
            </w:r>
            <w:r w:rsidR="005252EC">
              <w:rPr>
                <w:webHidden/>
              </w:rPr>
              <w:tab/>
            </w:r>
            <w:r w:rsidR="005252EC">
              <w:rPr>
                <w:webHidden/>
              </w:rPr>
              <w:fldChar w:fldCharType="begin"/>
            </w:r>
            <w:r w:rsidR="005252EC">
              <w:rPr>
                <w:webHidden/>
              </w:rPr>
              <w:instrText xml:space="preserve"> PAGEREF _Toc462752279 \h </w:instrText>
            </w:r>
            <w:r w:rsidR="005252EC">
              <w:rPr>
                <w:webHidden/>
              </w:rPr>
            </w:r>
            <w:r w:rsidR="005252EC">
              <w:rPr>
                <w:webHidden/>
              </w:rPr>
              <w:fldChar w:fldCharType="separate"/>
            </w:r>
            <w:r w:rsidR="005252EC">
              <w:rPr>
                <w:webHidden/>
              </w:rPr>
              <w:t>6-2</w:t>
            </w:r>
            <w:r w:rsidR="005252EC">
              <w:rPr>
                <w:webHidden/>
              </w:rPr>
              <w:fldChar w:fldCharType="end"/>
            </w:r>
          </w:hyperlink>
        </w:p>
        <w:p w:rsidR="005252EC" w:rsidRDefault="00C15AA5">
          <w:pPr>
            <w:pStyle w:val="TOC1"/>
            <w:rPr>
              <w:rFonts w:asciiTheme="minorHAnsi" w:eastAsiaTheme="minorEastAsia" w:hAnsiTheme="minorHAnsi"/>
              <w:b w:val="0"/>
              <w:color w:val="auto"/>
              <w:sz w:val="22"/>
              <w:lang w:val="en-AU" w:eastAsia="en-AU"/>
            </w:rPr>
          </w:pPr>
          <w:hyperlink w:anchor="_Toc462752280" w:history="1">
            <w:r w:rsidR="005252EC" w:rsidRPr="00CF729D">
              <w:rPr>
                <w:rStyle w:val="Hyperlink"/>
              </w:rPr>
              <w:t>Contents</w:t>
            </w:r>
            <w:r w:rsidR="005252EC">
              <w:rPr>
                <w:webHidden/>
              </w:rPr>
              <w:tab/>
            </w:r>
            <w:r w:rsidR="005252EC">
              <w:rPr>
                <w:webHidden/>
              </w:rPr>
              <w:fldChar w:fldCharType="begin"/>
            </w:r>
            <w:r w:rsidR="005252EC">
              <w:rPr>
                <w:webHidden/>
              </w:rPr>
              <w:instrText xml:space="preserve"> PAGEREF _Toc462752280 \h </w:instrText>
            </w:r>
            <w:r w:rsidR="005252EC">
              <w:rPr>
                <w:webHidden/>
              </w:rPr>
            </w:r>
            <w:r w:rsidR="005252EC">
              <w:rPr>
                <w:webHidden/>
              </w:rPr>
              <w:fldChar w:fldCharType="separate"/>
            </w:r>
            <w:r w:rsidR="005252EC">
              <w:rPr>
                <w:webHidden/>
              </w:rPr>
              <w:t>6-3</w:t>
            </w:r>
            <w:r w:rsidR="005252EC">
              <w:rPr>
                <w:webHidden/>
              </w:rPr>
              <w:fldChar w:fldCharType="end"/>
            </w:r>
          </w:hyperlink>
        </w:p>
        <w:p w:rsidR="005252EC" w:rsidRDefault="00C15AA5">
          <w:pPr>
            <w:pStyle w:val="TOC1"/>
            <w:rPr>
              <w:rFonts w:asciiTheme="minorHAnsi" w:eastAsiaTheme="minorEastAsia" w:hAnsiTheme="minorHAnsi"/>
              <w:b w:val="0"/>
              <w:color w:val="auto"/>
              <w:sz w:val="22"/>
              <w:lang w:val="en-AU" w:eastAsia="en-AU"/>
            </w:rPr>
          </w:pPr>
          <w:hyperlink w:anchor="_Toc462752281" w:history="1">
            <w:r w:rsidR="005252EC" w:rsidRPr="00CF729D">
              <w:rPr>
                <w:rStyle w:val="Hyperlink"/>
              </w:rPr>
              <w:t>Shortened forms</w:t>
            </w:r>
            <w:r w:rsidR="005252EC">
              <w:rPr>
                <w:webHidden/>
              </w:rPr>
              <w:tab/>
            </w:r>
            <w:r w:rsidR="005252EC">
              <w:rPr>
                <w:webHidden/>
              </w:rPr>
              <w:fldChar w:fldCharType="begin"/>
            </w:r>
            <w:r w:rsidR="005252EC">
              <w:rPr>
                <w:webHidden/>
              </w:rPr>
              <w:instrText xml:space="preserve"> PAGEREF _Toc462752281 \h </w:instrText>
            </w:r>
            <w:r w:rsidR="005252EC">
              <w:rPr>
                <w:webHidden/>
              </w:rPr>
            </w:r>
            <w:r w:rsidR="005252EC">
              <w:rPr>
                <w:webHidden/>
              </w:rPr>
              <w:fldChar w:fldCharType="separate"/>
            </w:r>
            <w:r w:rsidR="005252EC">
              <w:rPr>
                <w:webHidden/>
              </w:rPr>
              <w:t>6-6</w:t>
            </w:r>
            <w:r w:rsidR="005252EC">
              <w:rPr>
                <w:webHidden/>
              </w:rPr>
              <w:fldChar w:fldCharType="end"/>
            </w:r>
          </w:hyperlink>
        </w:p>
        <w:p w:rsidR="005252EC" w:rsidRDefault="00C15AA5">
          <w:pPr>
            <w:pStyle w:val="TOC1"/>
            <w:rPr>
              <w:rFonts w:asciiTheme="minorHAnsi" w:eastAsiaTheme="minorEastAsia" w:hAnsiTheme="minorHAnsi"/>
              <w:b w:val="0"/>
              <w:color w:val="auto"/>
              <w:sz w:val="22"/>
              <w:lang w:val="en-AU" w:eastAsia="en-AU"/>
            </w:rPr>
          </w:pPr>
          <w:hyperlink w:anchor="_Toc462752282" w:history="1">
            <w:r w:rsidR="005252EC" w:rsidRPr="00CF729D">
              <w:rPr>
                <w:rStyle w:val="Hyperlink"/>
              </w:rPr>
              <w:t>6</w:t>
            </w:r>
            <w:r w:rsidR="005252EC">
              <w:rPr>
                <w:rFonts w:asciiTheme="minorHAnsi" w:eastAsiaTheme="minorEastAsia" w:hAnsiTheme="minorHAnsi"/>
                <w:b w:val="0"/>
                <w:color w:val="auto"/>
                <w:sz w:val="22"/>
                <w:lang w:val="en-AU" w:eastAsia="en-AU"/>
              </w:rPr>
              <w:tab/>
            </w:r>
            <w:r w:rsidR="005252EC" w:rsidRPr="00CF729D">
              <w:rPr>
                <w:rStyle w:val="Hyperlink"/>
              </w:rPr>
              <w:t>Capital expenditure</w:t>
            </w:r>
            <w:r w:rsidR="005252EC">
              <w:rPr>
                <w:webHidden/>
              </w:rPr>
              <w:tab/>
            </w:r>
            <w:r w:rsidR="005252EC">
              <w:rPr>
                <w:webHidden/>
              </w:rPr>
              <w:fldChar w:fldCharType="begin"/>
            </w:r>
            <w:r w:rsidR="005252EC">
              <w:rPr>
                <w:webHidden/>
              </w:rPr>
              <w:instrText xml:space="preserve"> PAGEREF _Toc462752282 \h </w:instrText>
            </w:r>
            <w:r w:rsidR="005252EC">
              <w:rPr>
                <w:webHidden/>
              </w:rPr>
            </w:r>
            <w:r w:rsidR="005252EC">
              <w:rPr>
                <w:webHidden/>
              </w:rPr>
              <w:fldChar w:fldCharType="separate"/>
            </w:r>
            <w:r w:rsidR="005252EC">
              <w:rPr>
                <w:webHidden/>
              </w:rPr>
              <w:t>6-8</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283" w:history="1">
            <w:r w:rsidR="005252EC" w:rsidRPr="00CF729D">
              <w:rPr>
                <w:rStyle w:val="Hyperlink"/>
              </w:rPr>
              <w:t>6.1</w:t>
            </w:r>
            <w:r w:rsidR="005252EC">
              <w:rPr>
                <w:rFonts w:asciiTheme="minorHAnsi" w:eastAsiaTheme="minorEastAsia" w:hAnsiTheme="minorHAnsi"/>
                <w:b w:val="0"/>
                <w:color w:val="auto"/>
                <w:sz w:val="22"/>
                <w:lang w:eastAsia="en-AU"/>
              </w:rPr>
              <w:tab/>
            </w:r>
            <w:r w:rsidR="005252EC" w:rsidRPr="00CF729D">
              <w:rPr>
                <w:rStyle w:val="Hyperlink"/>
              </w:rPr>
              <w:t>Draft decision</w:t>
            </w:r>
            <w:r w:rsidR="005252EC">
              <w:rPr>
                <w:webHidden/>
              </w:rPr>
              <w:tab/>
            </w:r>
            <w:r w:rsidR="005252EC">
              <w:rPr>
                <w:webHidden/>
              </w:rPr>
              <w:fldChar w:fldCharType="begin"/>
            </w:r>
            <w:r w:rsidR="005252EC">
              <w:rPr>
                <w:webHidden/>
              </w:rPr>
              <w:instrText xml:space="preserve"> PAGEREF _Toc462752283 \h </w:instrText>
            </w:r>
            <w:r w:rsidR="005252EC">
              <w:rPr>
                <w:webHidden/>
              </w:rPr>
            </w:r>
            <w:r w:rsidR="005252EC">
              <w:rPr>
                <w:webHidden/>
              </w:rPr>
              <w:fldChar w:fldCharType="separate"/>
            </w:r>
            <w:r w:rsidR="005252EC">
              <w:rPr>
                <w:webHidden/>
              </w:rPr>
              <w:t>6-8</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284" w:history="1">
            <w:r w:rsidR="005252EC" w:rsidRPr="00CF729D">
              <w:rPr>
                <w:rStyle w:val="Hyperlink"/>
              </w:rPr>
              <w:t>6.2</w:t>
            </w:r>
            <w:r w:rsidR="005252EC">
              <w:rPr>
                <w:rFonts w:asciiTheme="minorHAnsi" w:eastAsiaTheme="minorEastAsia" w:hAnsiTheme="minorHAnsi"/>
                <w:b w:val="0"/>
                <w:color w:val="auto"/>
                <w:sz w:val="22"/>
                <w:lang w:eastAsia="en-AU"/>
              </w:rPr>
              <w:tab/>
            </w:r>
            <w:r w:rsidR="005252EC" w:rsidRPr="00CF729D">
              <w:rPr>
                <w:rStyle w:val="Hyperlink"/>
              </w:rPr>
              <w:t>Powerlink’s proposal</w:t>
            </w:r>
            <w:r w:rsidR="005252EC">
              <w:rPr>
                <w:webHidden/>
              </w:rPr>
              <w:tab/>
            </w:r>
            <w:r w:rsidR="005252EC">
              <w:rPr>
                <w:webHidden/>
              </w:rPr>
              <w:fldChar w:fldCharType="begin"/>
            </w:r>
            <w:r w:rsidR="005252EC">
              <w:rPr>
                <w:webHidden/>
              </w:rPr>
              <w:instrText xml:space="preserve"> PAGEREF _Toc462752284 \h </w:instrText>
            </w:r>
            <w:r w:rsidR="005252EC">
              <w:rPr>
                <w:webHidden/>
              </w:rPr>
            </w:r>
            <w:r w:rsidR="005252EC">
              <w:rPr>
                <w:webHidden/>
              </w:rPr>
              <w:fldChar w:fldCharType="separate"/>
            </w:r>
            <w:r w:rsidR="005252EC">
              <w:rPr>
                <w:webHidden/>
              </w:rPr>
              <w:t>6-12</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285" w:history="1">
            <w:r w:rsidR="005252EC" w:rsidRPr="00CF729D">
              <w:rPr>
                <w:rStyle w:val="Hyperlink"/>
                <w14:scene3d>
                  <w14:camera w14:prst="orthographicFront"/>
                  <w14:lightRig w14:rig="threePt" w14:dir="t">
                    <w14:rot w14:lat="0" w14:lon="0" w14:rev="0"/>
                  </w14:lightRig>
                </w14:scene3d>
              </w:rPr>
              <w:t>6.2.1</w:t>
            </w:r>
            <w:r w:rsidR="005252EC">
              <w:rPr>
                <w:rFonts w:asciiTheme="minorHAnsi" w:eastAsiaTheme="minorEastAsia" w:hAnsiTheme="minorHAnsi"/>
                <w:lang w:eastAsia="en-AU"/>
              </w:rPr>
              <w:tab/>
            </w:r>
            <w:r w:rsidR="005252EC" w:rsidRPr="00CF729D">
              <w:rPr>
                <w:rStyle w:val="Hyperlink"/>
              </w:rPr>
              <w:t>Submissions on Powerlink's proposal</w:t>
            </w:r>
            <w:r w:rsidR="005252EC">
              <w:rPr>
                <w:webHidden/>
              </w:rPr>
              <w:tab/>
            </w:r>
            <w:r w:rsidR="005252EC">
              <w:rPr>
                <w:webHidden/>
              </w:rPr>
              <w:fldChar w:fldCharType="begin"/>
            </w:r>
            <w:r w:rsidR="005252EC">
              <w:rPr>
                <w:webHidden/>
              </w:rPr>
              <w:instrText xml:space="preserve"> PAGEREF _Toc462752285 \h </w:instrText>
            </w:r>
            <w:r w:rsidR="005252EC">
              <w:rPr>
                <w:webHidden/>
              </w:rPr>
            </w:r>
            <w:r w:rsidR="005252EC">
              <w:rPr>
                <w:webHidden/>
              </w:rPr>
              <w:fldChar w:fldCharType="separate"/>
            </w:r>
            <w:r w:rsidR="005252EC">
              <w:rPr>
                <w:webHidden/>
              </w:rPr>
              <w:t>6-13</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286" w:history="1">
            <w:r w:rsidR="005252EC" w:rsidRPr="00CF729D">
              <w:rPr>
                <w:rStyle w:val="Hyperlink"/>
              </w:rPr>
              <w:t>6.3</w:t>
            </w:r>
            <w:r w:rsidR="005252EC">
              <w:rPr>
                <w:rFonts w:asciiTheme="minorHAnsi" w:eastAsiaTheme="minorEastAsia" w:hAnsiTheme="minorHAnsi"/>
                <w:b w:val="0"/>
                <w:color w:val="auto"/>
                <w:sz w:val="22"/>
                <w:lang w:eastAsia="en-AU"/>
              </w:rPr>
              <w:tab/>
            </w:r>
            <w:r w:rsidR="005252EC" w:rsidRPr="00CF729D">
              <w:rPr>
                <w:rStyle w:val="Hyperlink"/>
              </w:rPr>
              <w:t>Assessment approach</w:t>
            </w:r>
            <w:r w:rsidR="005252EC">
              <w:rPr>
                <w:webHidden/>
              </w:rPr>
              <w:tab/>
            </w:r>
            <w:r w:rsidR="005252EC">
              <w:rPr>
                <w:webHidden/>
              </w:rPr>
              <w:fldChar w:fldCharType="begin"/>
            </w:r>
            <w:r w:rsidR="005252EC">
              <w:rPr>
                <w:webHidden/>
              </w:rPr>
              <w:instrText xml:space="preserve"> PAGEREF _Toc462752286 \h </w:instrText>
            </w:r>
            <w:r w:rsidR="005252EC">
              <w:rPr>
                <w:webHidden/>
              </w:rPr>
            </w:r>
            <w:r w:rsidR="005252EC">
              <w:rPr>
                <w:webHidden/>
              </w:rPr>
              <w:fldChar w:fldCharType="separate"/>
            </w:r>
            <w:r w:rsidR="005252EC">
              <w:rPr>
                <w:webHidden/>
              </w:rPr>
              <w:t>6-14</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287" w:history="1">
            <w:r w:rsidR="005252EC" w:rsidRPr="00CF729D">
              <w:rPr>
                <w:rStyle w:val="Hyperlink"/>
                <w14:scene3d>
                  <w14:camera w14:prst="orthographicFront"/>
                  <w14:lightRig w14:rig="threePt" w14:dir="t">
                    <w14:rot w14:lat="0" w14:lon="0" w14:rev="0"/>
                  </w14:lightRig>
                </w14:scene3d>
              </w:rPr>
              <w:t>6.3.1</w:t>
            </w:r>
            <w:r w:rsidR="005252EC">
              <w:rPr>
                <w:rFonts w:asciiTheme="minorHAnsi" w:eastAsiaTheme="minorEastAsia" w:hAnsiTheme="minorHAnsi"/>
                <w:lang w:eastAsia="en-AU"/>
              </w:rPr>
              <w:tab/>
            </w:r>
            <w:r w:rsidR="005252EC" w:rsidRPr="00CF729D">
              <w:rPr>
                <w:rStyle w:val="Hyperlink"/>
              </w:rPr>
              <w:t>Building an alternative estimate of total forecast capex</w:t>
            </w:r>
            <w:r w:rsidR="005252EC">
              <w:rPr>
                <w:webHidden/>
              </w:rPr>
              <w:tab/>
            </w:r>
            <w:r w:rsidR="005252EC">
              <w:rPr>
                <w:webHidden/>
              </w:rPr>
              <w:fldChar w:fldCharType="begin"/>
            </w:r>
            <w:r w:rsidR="005252EC">
              <w:rPr>
                <w:webHidden/>
              </w:rPr>
              <w:instrText xml:space="preserve"> PAGEREF _Toc462752287 \h </w:instrText>
            </w:r>
            <w:r w:rsidR="005252EC">
              <w:rPr>
                <w:webHidden/>
              </w:rPr>
            </w:r>
            <w:r w:rsidR="005252EC">
              <w:rPr>
                <w:webHidden/>
              </w:rPr>
              <w:fldChar w:fldCharType="separate"/>
            </w:r>
            <w:r w:rsidR="005252EC">
              <w:rPr>
                <w:webHidden/>
              </w:rPr>
              <w:t>6-17</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288" w:history="1">
            <w:r w:rsidR="005252EC" w:rsidRPr="00CF729D">
              <w:rPr>
                <w:rStyle w:val="Hyperlink"/>
                <w14:scene3d>
                  <w14:camera w14:prst="orthographicFront"/>
                  <w14:lightRig w14:rig="threePt" w14:dir="t">
                    <w14:rot w14:lat="0" w14:lon="0" w14:rev="0"/>
                  </w14:lightRig>
                </w14:scene3d>
              </w:rPr>
              <w:t>6.3.2</w:t>
            </w:r>
            <w:r w:rsidR="005252EC">
              <w:rPr>
                <w:rFonts w:asciiTheme="minorHAnsi" w:eastAsiaTheme="minorEastAsia" w:hAnsiTheme="minorHAnsi"/>
                <w:lang w:eastAsia="en-AU"/>
              </w:rPr>
              <w:tab/>
            </w:r>
            <w:r w:rsidR="005252EC" w:rsidRPr="00CF729D">
              <w:rPr>
                <w:rStyle w:val="Hyperlink"/>
              </w:rPr>
              <w:t>Comparing the service provider's proposal with our alternative estimate</w:t>
            </w:r>
            <w:r w:rsidR="005252EC">
              <w:rPr>
                <w:webHidden/>
              </w:rPr>
              <w:tab/>
            </w:r>
            <w:r w:rsidR="005252EC">
              <w:rPr>
                <w:webHidden/>
              </w:rPr>
              <w:fldChar w:fldCharType="begin"/>
            </w:r>
            <w:r w:rsidR="005252EC">
              <w:rPr>
                <w:webHidden/>
              </w:rPr>
              <w:instrText xml:space="preserve"> PAGEREF _Toc462752288 \h </w:instrText>
            </w:r>
            <w:r w:rsidR="005252EC">
              <w:rPr>
                <w:webHidden/>
              </w:rPr>
            </w:r>
            <w:r w:rsidR="005252EC">
              <w:rPr>
                <w:webHidden/>
              </w:rPr>
              <w:fldChar w:fldCharType="separate"/>
            </w:r>
            <w:r w:rsidR="005252EC">
              <w:rPr>
                <w:webHidden/>
              </w:rPr>
              <w:t>6-19</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289" w:history="1">
            <w:r w:rsidR="005252EC" w:rsidRPr="00CF729D">
              <w:rPr>
                <w:rStyle w:val="Hyperlink"/>
              </w:rPr>
              <w:t>6.4</w:t>
            </w:r>
            <w:r w:rsidR="005252EC">
              <w:rPr>
                <w:rFonts w:asciiTheme="minorHAnsi" w:eastAsiaTheme="minorEastAsia" w:hAnsiTheme="minorHAnsi"/>
                <w:b w:val="0"/>
                <w:color w:val="auto"/>
                <w:sz w:val="22"/>
                <w:lang w:eastAsia="en-AU"/>
              </w:rPr>
              <w:tab/>
            </w:r>
            <w:r w:rsidR="005252EC" w:rsidRPr="00CF729D">
              <w:rPr>
                <w:rStyle w:val="Hyperlink"/>
              </w:rPr>
              <w:t>Reasons for draft decision</w:t>
            </w:r>
            <w:r w:rsidR="005252EC">
              <w:rPr>
                <w:webHidden/>
              </w:rPr>
              <w:tab/>
            </w:r>
            <w:r w:rsidR="005252EC">
              <w:rPr>
                <w:webHidden/>
              </w:rPr>
              <w:fldChar w:fldCharType="begin"/>
            </w:r>
            <w:r w:rsidR="005252EC">
              <w:rPr>
                <w:webHidden/>
              </w:rPr>
              <w:instrText xml:space="preserve"> PAGEREF _Toc462752289 \h </w:instrText>
            </w:r>
            <w:r w:rsidR="005252EC">
              <w:rPr>
                <w:webHidden/>
              </w:rPr>
            </w:r>
            <w:r w:rsidR="005252EC">
              <w:rPr>
                <w:webHidden/>
              </w:rPr>
              <w:fldChar w:fldCharType="separate"/>
            </w:r>
            <w:r w:rsidR="005252EC">
              <w:rPr>
                <w:webHidden/>
              </w:rPr>
              <w:t>6-20</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290" w:history="1">
            <w:r w:rsidR="005252EC" w:rsidRPr="00CF729D">
              <w:rPr>
                <w:rStyle w:val="Hyperlink"/>
                <w14:scene3d>
                  <w14:camera w14:prst="orthographicFront"/>
                  <w14:lightRig w14:rig="threePt" w14:dir="t">
                    <w14:rot w14:lat="0" w14:lon="0" w14:rev="0"/>
                  </w14:lightRig>
                </w14:scene3d>
              </w:rPr>
              <w:t>6.4.1</w:t>
            </w:r>
            <w:r w:rsidR="005252EC">
              <w:rPr>
                <w:rFonts w:asciiTheme="minorHAnsi" w:eastAsiaTheme="minorEastAsia" w:hAnsiTheme="minorHAnsi"/>
                <w:lang w:eastAsia="en-AU"/>
              </w:rPr>
              <w:tab/>
            </w:r>
            <w:r w:rsidR="005252EC" w:rsidRPr="00CF729D">
              <w:rPr>
                <w:rStyle w:val="Hyperlink"/>
              </w:rPr>
              <w:t>Ex post review of past capital expenditure</w:t>
            </w:r>
            <w:r w:rsidR="005252EC">
              <w:rPr>
                <w:webHidden/>
              </w:rPr>
              <w:tab/>
            </w:r>
            <w:r w:rsidR="005252EC">
              <w:rPr>
                <w:webHidden/>
              </w:rPr>
              <w:fldChar w:fldCharType="begin"/>
            </w:r>
            <w:r w:rsidR="005252EC">
              <w:rPr>
                <w:webHidden/>
              </w:rPr>
              <w:instrText xml:space="preserve"> PAGEREF _Toc462752290 \h </w:instrText>
            </w:r>
            <w:r w:rsidR="005252EC">
              <w:rPr>
                <w:webHidden/>
              </w:rPr>
            </w:r>
            <w:r w:rsidR="005252EC">
              <w:rPr>
                <w:webHidden/>
              </w:rPr>
              <w:fldChar w:fldCharType="separate"/>
            </w:r>
            <w:r w:rsidR="005252EC">
              <w:rPr>
                <w:webHidden/>
              </w:rPr>
              <w:t>6-21</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291" w:history="1">
            <w:r w:rsidR="005252EC" w:rsidRPr="00CF729D">
              <w:rPr>
                <w:rStyle w:val="Hyperlink"/>
                <w14:scene3d>
                  <w14:camera w14:prst="orthographicFront"/>
                  <w14:lightRig w14:rig="threePt" w14:dir="t">
                    <w14:rot w14:lat="0" w14:lon="0" w14:rev="0"/>
                  </w14:lightRig>
                </w14:scene3d>
              </w:rPr>
              <w:t>6.4.2</w:t>
            </w:r>
            <w:r w:rsidR="005252EC">
              <w:rPr>
                <w:rFonts w:asciiTheme="minorHAnsi" w:eastAsiaTheme="minorEastAsia" w:hAnsiTheme="minorHAnsi"/>
                <w:lang w:eastAsia="en-AU"/>
              </w:rPr>
              <w:tab/>
            </w:r>
            <w:r w:rsidR="005252EC" w:rsidRPr="00CF729D">
              <w:rPr>
                <w:rStyle w:val="Hyperlink"/>
              </w:rPr>
              <w:t>Key assumptions</w:t>
            </w:r>
            <w:r w:rsidR="005252EC">
              <w:rPr>
                <w:webHidden/>
              </w:rPr>
              <w:tab/>
            </w:r>
            <w:r w:rsidR="005252EC">
              <w:rPr>
                <w:webHidden/>
              </w:rPr>
              <w:fldChar w:fldCharType="begin"/>
            </w:r>
            <w:r w:rsidR="005252EC">
              <w:rPr>
                <w:webHidden/>
              </w:rPr>
              <w:instrText xml:space="preserve"> PAGEREF _Toc462752291 \h </w:instrText>
            </w:r>
            <w:r w:rsidR="005252EC">
              <w:rPr>
                <w:webHidden/>
              </w:rPr>
            </w:r>
            <w:r w:rsidR="005252EC">
              <w:rPr>
                <w:webHidden/>
              </w:rPr>
              <w:fldChar w:fldCharType="separate"/>
            </w:r>
            <w:r w:rsidR="005252EC">
              <w:rPr>
                <w:webHidden/>
              </w:rPr>
              <w:t>6-21</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292" w:history="1">
            <w:r w:rsidR="005252EC" w:rsidRPr="00CF729D">
              <w:rPr>
                <w:rStyle w:val="Hyperlink"/>
                <w14:scene3d>
                  <w14:camera w14:prst="orthographicFront"/>
                  <w14:lightRig w14:rig="threePt" w14:dir="t">
                    <w14:rot w14:lat="0" w14:lon="0" w14:rev="0"/>
                  </w14:lightRig>
                </w14:scene3d>
              </w:rPr>
              <w:t>6.4.3</w:t>
            </w:r>
            <w:r w:rsidR="005252EC">
              <w:rPr>
                <w:rFonts w:asciiTheme="minorHAnsi" w:eastAsiaTheme="minorEastAsia" w:hAnsiTheme="minorHAnsi"/>
                <w:lang w:eastAsia="en-AU"/>
              </w:rPr>
              <w:tab/>
            </w:r>
            <w:r w:rsidR="005252EC" w:rsidRPr="00CF729D">
              <w:rPr>
                <w:rStyle w:val="Hyperlink"/>
              </w:rPr>
              <w:t>Forecasting methodology</w:t>
            </w:r>
            <w:r w:rsidR="005252EC">
              <w:rPr>
                <w:webHidden/>
              </w:rPr>
              <w:tab/>
            </w:r>
            <w:r w:rsidR="005252EC">
              <w:rPr>
                <w:webHidden/>
              </w:rPr>
              <w:fldChar w:fldCharType="begin"/>
            </w:r>
            <w:r w:rsidR="005252EC">
              <w:rPr>
                <w:webHidden/>
              </w:rPr>
              <w:instrText xml:space="preserve"> PAGEREF _Toc462752292 \h </w:instrText>
            </w:r>
            <w:r w:rsidR="005252EC">
              <w:rPr>
                <w:webHidden/>
              </w:rPr>
            </w:r>
            <w:r w:rsidR="005252EC">
              <w:rPr>
                <w:webHidden/>
              </w:rPr>
              <w:fldChar w:fldCharType="separate"/>
            </w:r>
            <w:r w:rsidR="005252EC">
              <w:rPr>
                <w:webHidden/>
              </w:rPr>
              <w:t>6-22</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293" w:history="1">
            <w:r w:rsidR="005252EC" w:rsidRPr="00CF729D">
              <w:rPr>
                <w:rStyle w:val="Hyperlink"/>
                <w14:scene3d>
                  <w14:camera w14:prst="orthographicFront"/>
                  <w14:lightRig w14:rig="threePt" w14:dir="t">
                    <w14:rot w14:lat="0" w14:lon="0" w14:rev="0"/>
                  </w14:lightRig>
                </w14:scene3d>
              </w:rPr>
              <w:t>6.4.4</w:t>
            </w:r>
            <w:r w:rsidR="005252EC">
              <w:rPr>
                <w:rFonts w:asciiTheme="minorHAnsi" w:eastAsiaTheme="minorEastAsia" w:hAnsiTheme="minorHAnsi"/>
                <w:lang w:eastAsia="en-AU"/>
              </w:rPr>
              <w:tab/>
            </w:r>
            <w:r w:rsidR="005252EC" w:rsidRPr="00CF729D">
              <w:rPr>
                <w:rStyle w:val="Hyperlink"/>
              </w:rPr>
              <w:t>Powerlink's capex performance</w:t>
            </w:r>
            <w:r w:rsidR="005252EC">
              <w:rPr>
                <w:webHidden/>
              </w:rPr>
              <w:tab/>
            </w:r>
            <w:r w:rsidR="005252EC">
              <w:rPr>
                <w:webHidden/>
              </w:rPr>
              <w:fldChar w:fldCharType="begin"/>
            </w:r>
            <w:r w:rsidR="005252EC">
              <w:rPr>
                <w:webHidden/>
              </w:rPr>
              <w:instrText xml:space="preserve"> PAGEREF _Toc462752293 \h </w:instrText>
            </w:r>
            <w:r w:rsidR="005252EC">
              <w:rPr>
                <w:webHidden/>
              </w:rPr>
            </w:r>
            <w:r w:rsidR="005252EC">
              <w:rPr>
                <w:webHidden/>
              </w:rPr>
              <w:fldChar w:fldCharType="separate"/>
            </w:r>
            <w:r w:rsidR="005252EC">
              <w:rPr>
                <w:webHidden/>
              </w:rPr>
              <w:t>6-23</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294" w:history="1">
            <w:r w:rsidR="005252EC" w:rsidRPr="00CF729D">
              <w:rPr>
                <w:rStyle w:val="Hyperlink"/>
                <w14:scene3d>
                  <w14:camera w14:prst="orthographicFront"/>
                  <w14:lightRig w14:rig="threePt" w14:dir="t">
                    <w14:rot w14:lat="0" w14:lon="0" w14:rev="0"/>
                  </w14:lightRig>
                </w14:scene3d>
              </w:rPr>
              <w:t>6.4.5</w:t>
            </w:r>
            <w:r w:rsidR="005252EC">
              <w:rPr>
                <w:rFonts w:asciiTheme="minorHAnsi" w:eastAsiaTheme="minorEastAsia" w:hAnsiTheme="minorHAnsi"/>
                <w:lang w:eastAsia="en-AU"/>
              </w:rPr>
              <w:tab/>
            </w:r>
            <w:r w:rsidR="005252EC" w:rsidRPr="00CF729D">
              <w:rPr>
                <w:rStyle w:val="Hyperlink"/>
              </w:rPr>
              <w:t>Interrelationships</w:t>
            </w:r>
            <w:r w:rsidR="005252EC">
              <w:rPr>
                <w:webHidden/>
              </w:rPr>
              <w:tab/>
            </w:r>
            <w:r w:rsidR="005252EC">
              <w:rPr>
                <w:webHidden/>
              </w:rPr>
              <w:fldChar w:fldCharType="begin"/>
            </w:r>
            <w:r w:rsidR="005252EC">
              <w:rPr>
                <w:webHidden/>
              </w:rPr>
              <w:instrText xml:space="preserve"> PAGEREF _Toc462752294 \h </w:instrText>
            </w:r>
            <w:r w:rsidR="005252EC">
              <w:rPr>
                <w:webHidden/>
              </w:rPr>
            </w:r>
            <w:r w:rsidR="005252EC">
              <w:rPr>
                <w:webHidden/>
              </w:rPr>
              <w:fldChar w:fldCharType="separate"/>
            </w:r>
            <w:r w:rsidR="005252EC">
              <w:rPr>
                <w:webHidden/>
              </w:rPr>
              <w:t>6-25</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295" w:history="1">
            <w:r w:rsidR="005252EC" w:rsidRPr="00CF729D">
              <w:rPr>
                <w:rStyle w:val="Hyperlink"/>
                <w14:scene3d>
                  <w14:camera w14:prst="orthographicFront"/>
                  <w14:lightRig w14:rig="threePt" w14:dir="t">
                    <w14:rot w14:lat="0" w14:lon="0" w14:rev="0"/>
                  </w14:lightRig>
                </w14:scene3d>
              </w:rPr>
              <w:t>6.4.6</w:t>
            </w:r>
            <w:r w:rsidR="005252EC">
              <w:rPr>
                <w:rFonts w:asciiTheme="minorHAnsi" w:eastAsiaTheme="minorEastAsia" w:hAnsiTheme="minorHAnsi"/>
                <w:lang w:eastAsia="en-AU"/>
              </w:rPr>
              <w:tab/>
            </w:r>
            <w:r w:rsidR="005252EC" w:rsidRPr="00CF729D">
              <w:rPr>
                <w:rStyle w:val="Hyperlink"/>
              </w:rPr>
              <w:t>Summary of submissions on Powerlink's capex proposal</w:t>
            </w:r>
            <w:r w:rsidR="005252EC">
              <w:rPr>
                <w:webHidden/>
              </w:rPr>
              <w:tab/>
            </w:r>
            <w:r w:rsidR="005252EC">
              <w:rPr>
                <w:webHidden/>
              </w:rPr>
              <w:fldChar w:fldCharType="begin"/>
            </w:r>
            <w:r w:rsidR="005252EC">
              <w:rPr>
                <w:webHidden/>
              </w:rPr>
              <w:instrText xml:space="preserve"> PAGEREF _Toc462752295 \h </w:instrText>
            </w:r>
            <w:r w:rsidR="005252EC">
              <w:rPr>
                <w:webHidden/>
              </w:rPr>
            </w:r>
            <w:r w:rsidR="005252EC">
              <w:rPr>
                <w:webHidden/>
              </w:rPr>
              <w:fldChar w:fldCharType="separate"/>
            </w:r>
            <w:r w:rsidR="005252EC">
              <w:rPr>
                <w:webHidden/>
              </w:rPr>
              <w:t>6-26</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296" w:history="1">
            <w:r w:rsidR="005252EC" w:rsidRPr="00CF729D">
              <w:rPr>
                <w:rStyle w:val="Hyperlink"/>
                <w14:scene3d>
                  <w14:camera w14:prst="orthographicFront"/>
                  <w14:lightRig w14:rig="threePt" w14:dir="t">
                    <w14:rot w14:lat="0" w14:lon="0" w14:rev="0"/>
                  </w14:lightRig>
                </w14:scene3d>
              </w:rPr>
              <w:t>6.4.7</w:t>
            </w:r>
            <w:r w:rsidR="005252EC">
              <w:rPr>
                <w:rFonts w:asciiTheme="minorHAnsi" w:eastAsiaTheme="minorEastAsia" w:hAnsiTheme="minorHAnsi"/>
                <w:lang w:eastAsia="en-AU"/>
              </w:rPr>
              <w:tab/>
            </w:r>
            <w:r w:rsidR="005252EC" w:rsidRPr="00CF729D">
              <w:rPr>
                <w:rStyle w:val="Hyperlink"/>
              </w:rPr>
              <w:t>Consideration of the capex factors</w:t>
            </w:r>
            <w:r w:rsidR="005252EC">
              <w:rPr>
                <w:webHidden/>
              </w:rPr>
              <w:tab/>
            </w:r>
            <w:r w:rsidR="005252EC">
              <w:rPr>
                <w:webHidden/>
              </w:rPr>
              <w:fldChar w:fldCharType="begin"/>
            </w:r>
            <w:r w:rsidR="005252EC">
              <w:rPr>
                <w:webHidden/>
              </w:rPr>
              <w:instrText xml:space="preserve"> PAGEREF _Toc462752296 \h </w:instrText>
            </w:r>
            <w:r w:rsidR="005252EC">
              <w:rPr>
                <w:webHidden/>
              </w:rPr>
            </w:r>
            <w:r w:rsidR="005252EC">
              <w:rPr>
                <w:webHidden/>
              </w:rPr>
              <w:fldChar w:fldCharType="separate"/>
            </w:r>
            <w:r w:rsidR="005252EC">
              <w:rPr>
                <w:webHidden/>
              </w:rPr>
              <w:t>6-28</w:t>
            </w:r>
            <w:r w:rsidR="005252EC">
              <w:rPr>
                <w:webHidden/>
              </w:rPr>
              <w:fldChar w:fldCharType="end"/>
            </w:r>
          </w:hyperlink>
        </w:p>
        <w:p w:rsidR="005252EC" w:rsidRDefault="00C15AA5">
          <w:pPr>
            <w:pStyle w:val="TOC1"/>
            <w:rPr>
              <w:rFonts w:asciiTheme="minorHAnsi" w:eastAsiaTheme="minorEastAsia" w:hAnsiTheme="minorHAnsi"/>
              <w:b w:val="0"/>
              <w:color w:val="auto"/>
              <w:sz w:val="22"/>
              <w:lang w:val="en-AU" w:eastAsia="en-AU"/>
            </w:rPr>
          </w:pPr>
          <w:hyperlink w:anchor="_Toc462752297" w:history="1">
            <w:r w:rsidR="005252EC" w:rsidRPr="00CF729D">
              <w:rPr>
                <w:rStyle w:val="Hyperlink"/>
              </w:rPr>
              <w:t>A</w:t>
            </w:r>
            <w:r w:rsidR="005252EC">
              <w:rPr>
                <w:rFonts w:asciiTheme="minorHAnsi" w:eastAsiaTheme="minorEastAsia" w:hAnsiTheme="minorHAnsi"/>
                <w:b w:val="0"/>
                <w:color w:val="auto"/>
                <w:sz w:val="22"/>
                <w:lang w:val="en-AU" w:eastAsia="en-AU"/>
              </w:rPr>
              <w:tab/>
            </w:r>
            <w:r w:rsidR="005252EC" w:rsidRPr="00CF729D">
              <w:rPr>
                <w:rStyle w:val="Hyperlink"/>
              </w:rPr>
              <w:t>Assessment techniques</w:t>
            </w:r>
            <w:r w:rsidR="005252EC">
              <w:rPr>
                <w:webHidden/>
              </w:rPr>
              <w:tab/>
            </w:r>
            <w:r w:rsidR="005252EC">
              <w:rPr>
                <w:webHidden/>
              </w:rPr>
              <w:fldChar w:fldCharType="begin"/>
            </w:r>
            <w:r w:rsidR="005252EC">
              <w:rPr>
                <w:webHidden/>
              </w:rPr>
              <w:instrText xml:space="preserve"> PAGEREF _Toc462752297 \h </w:instrText>
            </w:r>
            <w:r w:rsidR="005252EC">
              <w:rPr>
                <w:webHidden/>
              </w:rPr>
            </w:r>
            <w:r w:rsidR="005252EC">
              <w:rPr>
                <w:webHidden/>
              </w:rPr>
              <w:fldChar w:fldCharType="separate"/>
            </w:r>
            <w:r w:rsidR="005252EC">
              <w:rPr>
                <w:webHidden/>
              </w:rPr>
              <w:t>6-31</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298" w:history="1">
            <w:r w:rsidR="005252EC" w:rsidRPr="00CF729D">
              <w:rPr>
                <w:rStyle w:val="Hyperlink"/>
                <w14:scene3d>
                  <w14:camera w14:prst="orthographicFront"/>
                  <w14:lightRig w14:rig="threePt" w14:dir="t">
                    <w14:rot w14:lat="0" w14:lon="0" w14:rev="0"/>
                  </w14:lightRig>
                </w14:scene3d>
              </w:rPr>
              <w:t>A.1</w:t>
            </w:r>
            <w:r w:rsidR="005252EC">
              <w:rPr>
                <w:rFonts w:asciiTheme="minorHAnsi" w:eastAsiaTheme="minorEastAsia" w:hAnsiTheme="minorHAnsi"/>
                <w:b w:val="0"/>
                <w:color w:val="auto"/>
                <w:sz w:val="22"/>
                <w:lang w:eastAsia="en-AU"/>
              </w:rPr>
              <w:tab/>
            </w:r>
            <w:r w:rsidR="005252EC" w:rsidRPr="00CF729D">
              <w:rPr>
                <w:rStyle w:val="Hyperlink"/>
              </w:rPr>
              <w:t>Economic benchmarking</w:t>
            </w:r>
            <w:r w:rsidR="005252EC">
              <w:rPr>
                <w:webHidden/>
              </w:rPr>
              <w:tab/>
            </w:r>
            <w:r w:rsidR="005252EC">
              <w:rPr>
                <w:webHidden/>
              </w:rPr>
              <w:fldChar w:fldCharType="begin"/>
            </w:r>
            <w:r w:rsidR="005252EC">
              <w:rPr>
                <w:webHidden/>
              </w:rPr>
              <w:instrText xml:space="preserve"> PAGEREF _Toc462752298 \h </w:instrText>
            </w:r>
            <w:r w:rsidR="005252EC">
              <w:rPr>
                <w:webHidden/>
              </w:rPr>
            </w:r>
            <w:r w:rsidR="005252EC">
              <w:rPr>
                <w:webHidden/>
              </w:rPr>
              <w:fldChar w:fldCharType="separate"/>
            </w:r>
            <w:r w:rsidR="005252EC">
              <w:rPr>
                <w:webHidden/>
              </w:rPr>
              <w:t>6-31</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299" w:history="1">
            <w:r w:rsidR="005252EC" w:rsidRPr="00CF729D">
              <w:rPr>
                <w:rStyle w:val="Hyperlink"/>
                <w14:scene3d>
                  <w14:camera w14:prst="orthographicFront"/>
                  <w14:lightRig w14:rig="threePt" w14:dir="t">
                    <w14:rot w14:lat="0" w14:lon="0" w14:rev="0"/>
                  </w14:lightRig>
                </w14:scene3d>
              </w:rPr>
              <w:t>A.2</w:t>
            </w:r>
            <w:r w:rsidR="005252EC">
              <w:rPr>
                <w:rFonts w:asciiTheme="minorHAnsi" w:eastAsiaTheme="minorEastAsia" w:hAnsiTheme="minorHAnsi"/>
                <w:b w:val="0"/>
                <w:color w:val="auto"/>
                <w:sz w:val="22"/>
                <w:lang w:eastAsia="en-AU"/>
              </w:rPr>
              <w:tab/>
            </w:r>
            <w:r w:rsidR="005252EC" w:rsidRPr="00CF729D">
              <w:rPr>
                <w:rStyle w:val="Hyperlink"/>
              </w:rPr>
              <w:t>Trend analysis</w:t>
            </w:r>
            <w:r w:rsidR="005252EC">
              <w:rPr>
                <w:webHidden/>
              </w:rPr>
              <w:tab/>
            </w:r>
            <w:r w:rsidR="005252EC">
              <w:rPr>
                <w:webHidden/>
              </w:rPr>
              <w:fldChar w:fldCharType="begin"/>
            </w:r>
            <w:r w:rsidR="005252EC">
              <w:rPr>
                <w:webHidden/>
              </w:rPr>
              <w:instrText xml:space="preserve"> PAGEREF _Toc462752299 \h </w:instrText>
            </w:r>
            <w:r w:rsidR="005252EC">
              <w:rPr>
                <w:webHidden/>
              </w:rPr>
            </w:r>
            <w:r w:rsidR="005252EC">
              <w:rPr>
                <w:webHidden/>
              </w:rPr>
              <w:fldChar w:fldCharType="separate"/>
            </w:r>
            <w:r w:rsidR="005252EC">
              <w:rPr>
                <w:webHidden/>
              </w:rPr>
              <w:t>6-32</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300" w:history="1">
            <w:r w:rsidR="005252EC" w:rsidRPr="00CF729D">
              <w:rPr>
                <w:rStyle w:val="Hyperlink"/>
                <w14:scene3d>
                  <w14:camera w14:prst="orthographicFront"/>
                  <w14:lightRig w14:rig="threePt" w14:dir="t">
                    <w14:rot w14:lat="0" w14:lon="0" w14:rev="0"/>
                  </w14:lightRig>
                </w14:scene3d>
              </w:rPr>
              <w:t>A.3</w:t>
            </w:r>
            <w:r w:rsidR="005252EC">
              <w:rPr>
                <w:rFonts w:asciiTheme="minorHAnsi" w:eastAsiaTheme="minorEastAsia" w:hAnsiTheme="minorHAnsi"/>
                <w:b w:val="0"/>
                <w:color w:val="auto"/>
                <w:sz w:val="22"/>
                <w:lang w:eastAsia="en-AU"/>
              </w:rPr>
              <w:tab/>
            </w:r>
            <w:r w:rsidR="005252EC" w:rsidRPr="00CF729D">
              <w:rPr>
                <w:rStyle w:val="Hyperlink"/>
              </w:rPr>
              <w:t>Methodology review</w:t>
            </w:r>
            <w:r w:rsidR="005252EC">
              <w:rPr>
                <w:webHidden/>
              </w:rPr>
              <w:tab/>
            </w:r>
            <w:r w:rsidR="005252EC">
              <w:rPr>
                <w:webHidden/>
              </w:rPr>
              <w:fldChar w:fldCharType="begin"/>
            </w:r>
            <w:r w:rsidR="005252EC">
              <w:rPr>
                <w:webHidden/>
              </w:rPr>
              <w:instrText xml:space="preserve"> PAGEREF _Toc462752300 \h </w:instrText>
            </w:r>
            <w:r w:rsidR="005252EC">
              <w:rPr>
                <w:webHidden/>
              </w:rPr>
            </w:r>
            <w:r w:rsidR="005252EC">
              <w:rPr>
                <w:webHidden/>
              </w:rPr>
              <w:fldChar w:fldCharType="separate"/>
            </w:r>
            <w:r w:rsidR="005252EC">
              <w:rPr>
                <w:webHidden/>
              </w:rPr>
              <w:t>6-33</w:t>
            </w:r>
            <w:r w:rsidR="005252EC">
              <w:rPr>
                <w:webHidden/>
              </w:rPr>
              <w:fldChar w:fldCharType="end"/>
            </w:r>
          </w:hyperlink>
        </w:p>
        <w:p w:rsidR="005252EC" w:rsidRDefault="00C15AA5">
          <w:pPr>
            <w:pStyle w:val="TOC1"/>
            <w:rPr>
              <w:rFonts w:asciiTheme="minorHAnsi" w:eastAsiaTheme="minorEastAsia" w:hAnsiTheme="minorHAnsi"/>
              <w:b w:val="0"/>
              <w:color w:val="auto"/>
              <w:sz w:val="22"/>
              <w:lang w:val="en-AU" w:eastAsia="en-AU"/>
            </w:rPr>
          </w:pPr>
          <w:hyperlink w:anchor="_Toc462752301" w:history="1">
            <w:r w:rsidR="005252EC" w:rsidRPr="00CF729D">
              <w:rPr>
                <w:rStyle w:val="Hyperlink"/>
              </w:rPr>
              <w:t>B</w:t>
            </w:r>
            <w:r w:rsidR="005252EC">
              <w:rPr>
                <w:rFonts w:asciiTheme="minorHAnsi" w:eastAsiaTheme="minorEastAsia" w:hAnsiTheme="minorHAnsi"/>
                <w:b w:val="0"/>
                <w:color w:val="auto"/>
                <w:sz w:val="22"/>
                <w:lang w:val="en-AU" w:eastAsia="en-AU"/>
              </w:rPr>
              <w:tab/>
            </w:r>
            <w:r w:rsidR="005252EC" w:rsidRPr="00CF729D">
              <w:rPr>
                <w:rStyle w:val="Hyperlink"/>
              </w:rPr>
              <w:t>Assessment of capex drivers</w:t>
            </w:r>
            <w:r w:rsidR="005252EC">
              <w:rPr>
                <w:webHidden/>
              </w:rPr>
              <w:tab/>
            </w:r>
            <w:r w:rsidR="005252EC">
              <w:rPr>
                <w:webHidden/>
              </w:rPr>
              <w:fldChar w:fldCharType="begin"/>
            </w:r>
            <w:r w:rsidR="005252EC">
              <w:rPr>
                <w:webHidden/>
              </w:rPr>
              <w:instrText xml:space="preserve"> PAGEREF _Toc462752301 \h </w:instrText>
            </w:r>
            <w:r w:rsidR="005252EC">
              <w:rPr>
                <w:webHidden/>
              </w:rPr>
            </w:r>
            <w:r w:rsidR="005252EC">
              <w:rPr>
                <w:webHidden/>
              </w:rPr>
              <w:fldChar w:fldCharType="separate"/>
            </w:r>
            <w:r w:rsidR="005252EC">
              <w:rPr>
                <w:webHidden/>
              </w:rPr>
              <w:t>6-34</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302" w:history="1">
            <w:r w:rsidR="005252EC" w:rsidRPr="00CF729D">
              <w:rPr>
                <w:rStyle w:val="Hyperlink"/>
                <w14:scene3d>
                  <w14:camera w14:prst="orthographicFront"/>
                  <w14:lightRig w14:rig="threePt" w14:dir="t">
                    <w14:rot w14:lat="0" w14:lon="0" w14:rev="0"/>
                  </w14:lightRig>
                </w14:scene3d>
              </w:rPr>
              <w:t>B.1</w:t>
            </w:r>
            <w:r w:rsidR="005252EC">
              <w:rPr>
                <w:rFonts w:asciiTheme="minorHAnsi" w:eastAsiaTheme="minorEastAsia" w:hAnsiTheme="minorHAnsi"/>
                <w:b w:val="0"/>
                <w:color w:val="auto"/>
                <w:sz w:val="22"/>
                <w:lang w:eastAsia="en-AU"/>
              </w:rPr>
              <w:tab/>
            </w:r>
            <w:r w:rsidR="005252EC" w:rsidRPr="00CF729D">
              <w:rPr>
                <w:rStyle w:val="Hyperlink"/>
              </w:rPr>
              <w:t>Alternative estimate</w:t>
            </w:r>
            <w:r w:rsidR="005252EC">
              <w:rPr>
                <w:webHidden/>
              </w:rPr>
              <w:tab/>
            </w:r>
            <w:r w:rsidR="005252EC">
              <w:rPr>
                <w:webHidden/>
              </w:rPr>
              <w:fldChar w:fldCharType="begin"/>
            </w:r>
            <w:r w:rsidR="005252EC">
              <w:rPr>
                <w:webHidden/>
              </w:rPr>
              <w:instrText xml:space="preserve"> PAGEREF _Toc462752302 \h </w:instrText>
            </w:r>
            <w:r w:rsidR="005252EC">
              <w:rPr>
                <w:webHidden/>
              </w:rPr>
            </w:r>
            <w:r w:rsidR="005252EC">
              <w:rPr>
                <w:webHidden/>
              </w:rPr>
              <w:fldChar w:fldCharType="separate"/>
            </w:r>
            <w:r w:rsidR="005252EC">
              <w:rPr>
                <w:webHidden/>
              </w:rPr>
              <w:t>6-34</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303" w:history="1">
            <w:r w:rsidR="005252EC" w:rsidRPr="00CF729D">
              <w:rPr>
                <w:rStyle w:val="Hyperlink"/>
                <w14:scene3d>
                  <w14:camera w14:prst="orthographicFront"/>
                  <w14:lightRig w14:rig="threePt" w14:dir="t">
                    <w14:rot w14:lat="0" w14:lon="0" w14:rev="0"/>
                  </w14:lightRig>
                </w14:scene3d>
              </w:rPr>
              <w:t>B.2</w:t>
            </w:r>
            <w:r w:rsidR="005252EC">
              <w:rPr>
                <w:rFonts w:asciiTheme="minorHAnsi" w:eastAsiaTheme="minorEastAsia" w:hAnsiTheme="minorHAnsi"/>
                <w:b w:val="0"/>
                <w:color w:val="auto"/>
                <w:sz w:val="22"/>
                <w:lang w:eastAsia="en-AU"/>
              </w:rPr>
              <w:tab/>
            </w:r>
            <w:r w:rsidR="005252EC" w:rsidRPr="00CF729D">
              <w:rPr>
                <w:rStyle w:val="Hyperlink"/>
              </w:rPr>
              <w:t>Forecast load-driven capex</w:t>
            </w:r>
            <w:r w:rsidR="005252EC">
              <w:rPr>
                <w:webHidden/>
              </w:rPr>
              <w:tab/>
            </w:r>
            <w:r w:rsidR="005252EC">
              <w:rPr>
                <w:webHidden/>
              </w:rPr>
              <w:fldChar w:fldCharType="begin"/>
            </w:r>
            <w:r w:rsidR="005252EC">
              <w:rPr>
                <w:webHidden/>
              </w:rPr>
              <w:instrText xml:space="preserve"> PAGEREF _Toc462752303 \h </w:instrText>
            </w:r>
            <w:r w:rsidR="005252EC">
              <w:rPr>
                <w:webHidden/>
              </w:rPr>
            </w:r>
            <w:r w:rsidR="005252EC">
              <w:rPr>
                <w:webHidden/>
              </w:rPr>
              <w:fldChar w:fldCharType="separate"/>
            </w:r>
            <w:r w:rsidR="005252EC">
              <w:rPr>
                <w:webHidden/>
              </w:rPr>
              <w:t>6-34</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304" w:history="1">
            <w:r w:rsidR="005252EC" w:rsidRPr="00CF729D">
              <w:rPr>
                <w:rStyle w:val="Hyperlink"/>
                <w14:scene3d>
                  <w14:camera w14:prst="orthographicFront"/>
                  <w14:lightRig w14:rig="threePt" w14:dir="t">
                    <w14:rot w14:lat="0" w14:lon="0" w14:rev="0"/>
                  </w14:lightRig>
                </w14:scene3d>
              </w:rPr>
              <w:t>B.3</w:t>
            </w:r>
            <w:r w:rsidR="005252EC">
              <w:rPr>
                <w:rFonts w:asciiTheme="minorHAnsi" w:eastAsiaTheme="minorEastAsia" w:hAnsiTheme="minorHAnsi"/>
                <w:b w:val="0"/>
                <w:color w:val="auto"/>
                <w:sz w:val="22"/>
                <w:lang w:eastAsia="en-AU"/>
              </w:rPr>
              <w:tab/>
            </w:r>
            <w:r w:rsidR="005252EC" w:rsidRPr="00CF729D">
              <w:rPr>
                <w:rStyle w:val="Hyperlink"/>
              </w:rPr>
              <w:t>Forecast non-load driven capex</w:t>
            </w:r>
            <w:r w:rsidR="005252EC">
              <w:rPr>
                <w:webHidden/>
              </w:rPr>
              <w:tab/>
            </w:r>
            <w:r w:rsidR="005252EC">
              <w:rPr>
                <w:webHidden/>
              </w:rPr>
              <w:fldChar w:fldCharType="begin"/>
            </w:r>
            <w:r w:rsidR="005252EC">
              <w:rPr>
                <w:webHidden/>
              </w:rPr>
              <w:instrText xml:space="preserve"> PAGEREF _Toc462752304 \h </w:instrText>
            </w:r>
            <w:r w:rsidR="005252EC">
              <w:rPr>
                <w:webHidden/>
              </w:rPr>
            </w:r>
            <w:r w:rsidR="005252EC">
              <w:rPr>
                <w:webHidden/>
              </w:rPr>
              <w:fldChar w:fldCharType="separate"/>
            </w:r>
            <w:r w:rsidR="005252EC">
              <w:rPr>
                <w:webHidden/>
              </w:rPr>
              <w:t>6-35</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305" w:history="1">
            <w:r w:rsidR="005252EC" w:rsidRPr="00CF729D">
              <w:rPr>
                <w:rStyle w:val="Hyperlink"/>
              </w:rPr>
              <w:t>B.3.1</w:t>
            </w:r>
            <w:r w:rsidR="005252EC">
              <w:rPr>
                <w:rFonts w:asciiTheme="minorHAnsi" w:eastAsiaTheme="minorEastAsia" w:hAnsiTheme="minorHAnsi"/>
                <w:lang w:eastAsia="en-AU"/>
              </w:rPr>
              <w:tab/>
            </w:r>
            <w:r w:rsidR="005252EC" w:rsidRPr="00CF729D">
              <w:rPr>
                <w:rStyle w:val="Hyperlink"/>
              </w:rPr>
              <w:t>Position</w:t>
            </w:r>
            <w:r w:rsidR="005252EC">
              <w:rPr>
                <w:webHidden/>
              </w:rPr>
              <w:tab/>
            </w:r>
            <w:r w:rsidR="005252EC">
              <w:rPr>
                <w:webHidden/>
              </w:rPr>
              <w:fldChar w:fldCharType="begin"/>
            </w:r>
            <w:r w:rsidR="005252EC">
              <w:rPr>
                <w:webHidden/>
              </w:rPr>
              <w:instrText xml:space="preserve"> PAGEREF _Toc462752305 \h </w:instrText>
            </w:r>
            <w:r w:rsidR="005252EC">
              <w:rPr>
                <w:webHidden/>
              </w:rPr>
            </w:r>
            <w:r w:rsidR="005252EC">
              <w:rPr>
                <w:webHidden/>
              </w:rPr>
              <w:fldChar w:fldCharType="separate"/>
            </w:r>
            <w:r w:rsidR="005252EC">
              <w:rPr>
                <w:webHidden/>
              </w:rPr>
              <w:t>6-35</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306" w:history="1">
            <w:r w:rsidR="005252EC" w:rsidRPr="00CF729D">
              <w:rPr>
                <w:rStyle w:val="Hyperlink"/>
              </w:rPr>
              <w:t>B.3.2</w:t>
            </w:r>
            <w:r w:rsidR="005252EC">
              <w:rPr>
                <w:rFonts w:asciiTheme="minorHAnsi" w:eastAsiaTheme="minorEastAsia" w:hAnsiTheme="minorHAnsi"/>
                <w:lang w:eastAsia="en-AU"/>
              </w:rPr>
              <w:tab/>
            </w:r>
            <w:r w:rsidR="005252EC" w:rsidRPr="00CF729D">
              <w:rPr>
                <w:rStyle w:val="Hyperlink"/>
              </w:rPr>
              <w:t>Powerlink's revenue proposal</w:t>
            </w:r>
            <w:r w:rsidR="005252EC">
              <w:rPr>
                <w:webHidden/>
              </w:rPr>
              <w:tab/>
            </w:r>
            <w:r w:rsidR="005252EC">
              <w:rPr>
                <w:webHidden/>
              </w:rPr>
              <w:fldChar w:fldCharType="begin"/>
            </w:r>
            <w:r w:rsidR="005252EC">
              <w:rPr>
                <w:webHidden/>
              </w:rPr>
              <w:instrText xml:space="preserve"> PAGEREF _Toc462752306 \h </w:instrText>
            </w:r>
            <w:r w:rsidR="005252EC">
              <w:rPr>
                <w:webHidden/>
              </w:rPr>
            </w:r>
            <w:r w:rsidR="005252EC">
              <w:rPr>
                <w:webHidden/>
              </w:rPr>
              <w:fldChar w:fldCharType="separate"/>
            </w:r>
            <w:r w:rsidR="005252EC">
              <w:rPr>
                <w:webHidden/>
              </w:rPr>
              <w:t>6-36</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307" w:history="1">
            <w:r w:rsidR="005252EC" w:rsidRPr="00CF729D">
              <w:rPr>
                <w:rStyle w:val="Hyperlink"/>
              </w:rPr>
              <w:t>B.3.3</w:t>
            </w:r>
            <w:r w:rsidR="005252EC">
              <w:rPr>
                <w:rFonts w:asciiTheme="minorHAnsi" w:eastAsiaTheme="minorEastAsia" w:hAnsiTheme="minorHAnsi"/>
                <w:lang w:eastAsia="en-AU"/>
              </w:rPr>
              <w:tab/>
            </w:r>
            <w:r w:rsidR="005252EC" w:rsidRPr="00CF729D">
              <w:rPr>
                <w:rStyle w:val="Hyperlink"/>
              </w:rPr>
              <w:t>AER non-load driven capex findings</w:t>
            </w:r>
            <w:r w:rsidR="005252EC">
              <w:rPr>
                <w:webHidden/>
              </w:rPr>
              <w:tab/>
            </w:r>
            <w:r w:rsidR="005252EC">
              <w:rPr>
                <w:webHidden/>
              </w:rPr>
              <w:fldChar w:fldCharType="begin"/>
            </w:r>
            <w:r w:rsidR="005252EC">
              <w:rPr>
                <w:webHidden/>
              </w:rPr>
              <w:instrText xml:space="preserve"> PAGEREF _Toc462752307 \h </w:instrText>
            </w:r>
            <w:r w:rsidR="005252EC">
              <w:rPr>
                <w:webHidden/>
              </w:rPr>
            </w:r>
            <w:r w:rsidR="005252EC">
              <w:rPr>
                <w:webHidden/>
              </w:rPr>
              <w:fldChar w:fldCharType="separate"/>
            </w:r>
            <w:r w:rsidR="005252EC">
              <w:rPr>
                <w:webHidden/>
              </w:rPr>
              <w:t>6-37</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308" w:history="1">
            <w:r w:rsidR="005252EC" w:rsidRPr="00CF729D">
              <w:rPr>
                <w:rStyle w:val="Hyperlink"/>
                <w14:scene3d>
                  <w14:camera w14:prst="orthographicFront"/>
                  <w14:lightRig w14:rig="threePt" w14:dir="t">
                    <w14:rot w14:lat="0" w14:lon="0" w14:rev="0"/>
                  </w14:lightRig>
                </w14:scene3d>
              </w:rPr>
              <w:t>B.4</w:t>
            </w:r>
            <w:r w:rsidR="005252EC">
              <w:rPr>
                <w:rFonts w:asciiTheme="minorHAnsi" w:eastAsiaTheme="minorEastAsia" w:hAnsiTheme="minorHAnsi"/>
                <w:b w:val="0"/>
                <w:color w:val="auto"/>
                <w:sz w:val="22"/>
                <w:lang w:eastAsia="en-AU"/>
              </w:rPr>
              <w:tab/>
            </w:r>
            <w:r w:rsidR="005252EC" w:rsidRPr="00CF729D">
              <w:rPr>
                <w:rStyle w:val="Hyperlink"/>
              </w:rPr>
              <w:t>Forecast non-network capex</w:t>
            </w:r>
            <w:r w:rsidR="005252EC">
              <w:rPr>
                <w:webHidden/>
              </w:rPr>
              <w:tab/>
            </w:r>
            <w:r w:rsidR="005252EC">
              <w:rPr>
                <w:webHidden/>
              </w:rPr>
              <w:fldChar w:fldCharType="begin"/>
            </w:r>
            <w:r w:rsidR="005252EC">
              <w:rPr>
                <w:webHidden/>
              </w:rPr>
              <w:instrText xml:space="preserve"> PAGEREF _Toc462752308 \h </w:instrText>
            </w:r>
            <w:r w:rsidR="005252EC">
              <w:rPr>
                <w:webHidden/>
              </w:rPr>
            </w:r>
            <w:r w:rsidR="005252EC">
              <w:rPr>
                <w:webHidden/>
              </w:rPr>
              <w:fldChar w:fldCharType="separate"/>
            </w:r>
            <w:r w:rsidR="005252EC">
              <w:rPr>
                <w:webHidden/>
              </w:rPr>
              <w:t>6-64</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309" w:history="1">
            <w:r w:rsidR="005252EC" w:rsidRPr="00CF729D">
              <w:rPr>
                <w:rStyle w:val="Hyperlink"/>
              </w:rPr>
              <w:t>B.4.1</w:t>
            </w:r>
            <w:r w:rsidR="005252EC">
              <w:rPr>
                <w:rFonts w:asciiTheme="minorHAnsi" w:eastAsiaTheme="minorEastAsia" w:hAnsiTheme="minorHAnsi"/>
                <w:lang w:eastAsia="en-AU"/>
              </w:rPr>
              <w:tab/>
            </w:r>
            <w:r w:rsidR="005252EC" w:rsidRPr="00CF729D">
              <w:rPr>
                <w:rStyle w:val="Hyperlink"/>
              </w:rPr>
              <w:t>Position</w:t>
            </w:r>
            <w:r w:rsidR="005252EC">
              <w:rPr>
                <w:webHidden/>
              </w:rPr>
              <w:tab/>
            </w:r>
            <w:r w:rsidR="005252EC">
              <w:rPr>
                <w:webHidden/>
              </w:rPr>
              <w:fldChar w:fldCharType="begin"/>
            </w:r>
            <w:r w:rsidR="005252EC">
              <w:rPr>
                <w:webHidden/>
              </w:rPr>
              <w:instrText xml:space="preserve"> PAGEREF _Toc462752309 \h </w:instrText>
            </w:r>
            <w:r w:rsidR="005252EC">
              <w:rPr>
                <w:webHidden/>
              </w:rPr>
            </w:r>
            <w:r w:rsidR="005252EC">
              <w:rPr>
                <w:webHidden/>
              </w:rPr>
              <w:fldChar w:fldCharType="separate"/>
            </w:r>
            <w:r w:rsidR="005252EC">
              <w:rPr>
                <w:webHidden/>
              </w:rPr>
              <w:t>6-64</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310" w:history="1">
            <w:r w:rsidR="005252EC" w:rsidRPr="00CF729D">
              <w:rPr>
                <w:rStyle w:val="Hyperlink"/>
              </w:rPr>
              <w:t>B.4.2</w:t>
            </w:r>
            <w:r w:rsidR="005252EC">
              <w:rPr>
                <w:rFonts w:asciiTheme="minorHAnsi" w:eastAsiaTheme="minorEastAsia" w:hAnsiTheme="minorHAnsi"/>
                <w:lang w:eastAsia="en-AU"/>
              </w:rPr>
              <w:tab/>
            </w:r>
            <w:r w:rsidR="005252EC" w:rsidRPr="00CF729D">
              <w:rPr>
                <w:rStyle w:val="Hyperlink"/>
              </w:rPr>
              <w:t>ICT capex</w:t>
            </w:r>
            <w:r w:rsidR="005252EC">
              <w:rPr>
                <w:webHidden/>
              </w:rPr>
              <w:tab/>
            </w:r>
            <w:r w:rsidR="005252EC">
              <w:rPr>
                <w:webHidden/>
              </w:rPr>
              <w:fldChar w:fldCharType="begin"/>
            </w:r>
            <w:r w:rsidR="005252EC">
              <w:rPr>
                <w:webHidden/>
              </w:rPr>
              <w:instrText xml:space="preserve"> PAGEREF _Toc462752310 \h </w:instrText>
            </w:r>
            <w:r w:rsidR="005252EC">
              <w:rPr>
                <w:webHidden/>
              </w:rPr>
            </w:r>
            <w:r w:rsidR="005252EC">
              <w:rPr>
                <w:webHidden/>
              </w:rPr>
              <w:fldChar w:fldCharType="separate"/>
            </w:r>
            <w:r w:rsidR="005252EC">
              <w:rPr>
                <w:webHidden/>
              </w:rPr>
              <w:t>6-67</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311" w:history="1">
            <w:r w:rsidR="005252EC" w:rsidRPr="00CF729D">
              <w:rPr>
                <w:rStyle w:val="Hyperlink"/>
              </w:rPr>
              <w:t>B.4.3</w:t>
            </w:r>
            <w:r w:rsidR="005252EC">
              <w:rPr>
                <w:rFonts w:asciiTheme="minorHAnsi" w:eastAsiaTheme="minorEastAsia" w:hAnsiTheme="minorHAnsi"/>
                <w:lang w:eastAsia="en-AU"/>
              </w:rPr>
              <w:tab/>
            </w:r>
            <w:r w:rsidR="005252EC" w:rsidRPr="00CF729D">
              <w:rPr>
                <w:rStyle w:val="Hyperlink"/>
              </w:rPr>
              <w:t>Motor vehicles capex</w:t>
            </w:r>
            <w:r w:rsidR="005252EC">
              <w:rPr>
                <w:webHidden/>
              </w:rPr>
              <w:tab/>
            </w:r>
            <w:r w:rsidR="005252EC">
              <w:rPr>
                <w:webHidden/>
              </w:rPr>
              <w:fldChar w:fldCharType="begin"/>
            </w:r>
            <w:r w:rsidR="005252EC">
              <w:rPr>
                <w:webHidden/>
              </w:rPr>
              <w:instrText xml:space="preserve"> PAGEREF _Toc462752311 \h </w:instrText>
            </w:r>
            <w:r w:rsidR="005252EC">
              <w:rPr>
                <w:webHidden/>
              </w:rPr>
            </w:r>
            <w:r w:rsidR="005252EC">
              <w:rPr>
                <w:webHidden/>
              </w:rPr>
              <w:fldChar w:fldCharType="separate"/>
            </w:r>
            <w:r w:rsidR="005252EC">
              <w:rPr>
                <w:webHidden/>
              </w:rPr>
              <w:t>6-68</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312" w:history="1">
            <w:r w:rsidR="005252EC" w:rsidRPr="00CF729D">
              <w:rPr>
                <w:rStyle w:val="Hyperlink"/>
              </w:rPr>
              <w:t>B.4.4</w:t>
            </w:r>
            <w:r w:rsidR="005252EC">
              <w:rPr>
                <w:rFonts w:asciiTheme="minorHAnsi" w:eastAsiaTheme="minorEastAsia" w:hAnsiTheme="minorHAnsi"/>
                <w:lang w:eastAsia="en-AU"/>
              </w:rPr>
              <w:tab/>
            </w:r>
            <w:r w:rsidR="005252EC" w:rsidRPr="00CF729D">
              <w:rPr>
                <w:rStyle w:val="Hyperlink"/>
              </w:rPr>
              <w:t>Buildings and property capex</w:t>
            </w:r>
            <w:r w:rsidR="005252EC">
              <w:rPr>
                <w:webHidden/>
              </w:rPr>
              <w:tab/>
            </w:r>
            <w:r w:rsidR="005252EC">
              <w:rPr>
                <w:webHidden/>
              </w:rPr>
              <w:fldChar w:fldCharType="begin"/>
            </w:r>
            <w:r w:rsidR="005252EC">
              <w:rPr>
                <w:webHidden/>
              </w:rPr>
              <w:instrText xml:space="preserve"> PAGEREF _Toc462752312 \h </w:instrText>
            </w:r>
            <w:r w:rsidR="005252EC">
              <w:rPr>
                <w:webHidden/>
              </w:rPr>
            </w:r>
            <w:r w:rsidR="005252EC">
              <w:rPr>
                <w:webHidden/>
              </w:rPr>
              <w:fldChar w:fldCharType="separate"/>
            </w:r>
            <w:r w:rsidR="005252EC">
              <w:rPr>
                <w:webHidden/>
              </w:rPr>
              <w:t>6-69</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313" w:history="1">
            <w:r w:rsidR="005252EC" w:rsidRPr="00CF729D">
              <w:rPr>
                <w:rStyle w:val="Hyperlink"/>
              </w:rPr>
              <w:t>B.4.5</w:t>
            </w:r>
            <w:r w:rsidR="005252EC">
              <w:rPr>
                <w:rFonts w:asciiTheme="minorHAnsi" w:eastAsiaTheme="minorEastAsia" w:hAnsiTheme="minorHAnsi"/>
                <w:lang w:eastAsia="en-AU"/>
              </w:rPr>
              <w:tab/>
            </w:r>
            <w:r w:rsidR="005252EC" w:rsidRPr="00CF729D">
              <w:rPr>
                <w:rStyle w:val="Hyperlink"/>
              </w:rPr>
              <w:t>Tools and equipment capex</w:t>
            </w:r>
            <w:r w:rsidR="005252EC">
              <w:rPr>
                <w:webHidden/>
              </w:rPr>
              <w:tab/>
            </w:r>
            <w:r w:rsidR="005252EC">
              <w:rPr>
                <w:webHidden/>
              </w:rPr>
              <w:fldChar w:fldCharType="begin"/>
            </w:r>
            <w:r w:rsidR="005252EC">
              <w:rPr>
                <w:webHidden/>
              </w:rPr>
              <w:instrText xml:space="preserve"> PAGEREF _Toc462752313 \h </w:instrText>
            </w:r>
            <w:r w:rsidR="005252EC">
              <w:rPr>
                <w:webHidden/>
              </w:rPr>
            </w:r>
            <w:r w:rsidR="005252EC">
              <w:rPr>
                <w:webHidden/>
              </w:rPr>
              <w:fldChar w:fldCharType="separate"/>
            </w:r>
            <w:r w:rsidR="005252EC">
              <w:rPr>
                <w:webHidden/>
              </w:rPr>
              <w:t>6-70</w:t>
            </w:r>
            <w:r w:rsidR="005252EC">
              <w:rPr>
                <w:webHidden/>
              </w:rPr>
              <w:fldChar w:fldCharType="end"/>
            </w:r>
          </w:hyperlink>
        </w:p>
        <w:p w:rsidR="005252EC" w:rsidRDefault="00C15AA5">
          <w:pPr>
            <w:pStyle w:val="TOC1"/>
            <w:rPr>
              <w:rFonts w:asciiTheme="minorHAnsi" w:eastAsiaTheme="minorEastAsia" w:hAnsiTheme="minorHAnsi"/>
              <w:b w:val="0"/>
              <w:color w:val="auto"/>
              <w:sz w:val="22"/>
              <w:lang w:val="en-AU" w:eastAsia="en-AU"/>
            </w:rPr>
          </w:pPr>
          <w:hyperlink w:anchor="_Toc462752314" w:history="1">
            <w:r w:rsidR="005252EC" w:rsidRPr="00CF729D">
              <w:rPr>
                <w:rStyle w:val="Hyperlink"/>
              </w:rPr>
              <w:t>C</w:t>
            </w:r>
            <w:r w:rsidR="005252EC">
              <w:rPr>
                <w:rFonts w:asciiTheme="minorHAnsi" w:eastAsiaTheme="minorEastAsia" w:hAnsiTheme="minorHAnsi"/>
                <w:b w:val="0"/>
                <w:color w:val="auto"/>
                <w:sz w:val="22"/>
                <w:lang w:val="en-AU" w:eastAsia="en-AU"/>
              </w:rPr>
              <w:tab/>
            </w:r>
            <w:r w:rsidR="005252EC" w:rsidRPr="00CF729D">
              <w:rPr>
                <w:rStyle w:val="Hyperlink"/>
              </w:rPr>
              <w:t>Demand</w:t>
            </w:r>
            <w:r w:rsidR="005252EC">
              <w:rPr>
                <w:webHidden/>
              </w:rPr>
              <w:tab/>
            </w:r>
            <w:r w:rsidR="005252EC">
              <w:rPr>
                <w:webHidden/>
              </w:rPr>
              <w:fldChar w:fldCharType="begin"/>
            </w:r>
            <w:r w:rsidR="005252EC">
              <w:rPr>
                <w:webHidden/>
              </w:rPr>
              <w:instrText xml:space="preserve"> PAGEREF _Toc462752314 \h </w:instrText>
            </w:r>
            <w:r w:rsidR="005252EC">
              <w:rPr>
                <w:webHidden/>
              </w:rPr>
            </w:r>
            <w:r w:rsidR="005252EC">
              <w:rPr>
                <w:webHidden/>
              </w:rPr>
              <w:fldChar w:fldCharType="separate"/>
            </w:r>
            <w:r w:rsidR="005252EC">
              <w:rPr>
                <w:webHidden/>
              </w:rPr>
              <w:t>6-71</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315" w:history="1">
            <w:r w:rsidR="005252EC" w:rsidRPr="00CF729D">
              <w:rPr>
                <w:rStyle w:val="Hyperlink"/>
                <w14:scene3d>
                  <w14:camera w14:prst="orthographicFront"/>
                  <w14:lightRig w14:rig="threePt" w14:dir="t">
                    <w14:rot w14:lat="0" w14:lon="0" w14:rev="0"/>
                  </w14:lightRig>
                </w14:scene3d>
              </w:rPr>
              <w:t>C.1</w:t>
            </w:r>
            <w:r w:rsidR="005252EC">
              <w:rPr>
                <w:rFonts w:asciiTheme="minorHAnsi" w:eastAsiaTheme="minorEastAsia" w:hAnsiTheme="minorHAnsi"/>
                <w:b w:val="0"/>
                <w:color w:val="auto"/>
                <w:sz w:val="22"/>
                <w:lang w:eastAsia="en-AU"/>
              </w:rPr>
              <w:tab/>
            </w:r>
            <w:r w:rsidR="005252EC" w:rsidRPr="00CF729D">
              <w:rPr>
                <w:rStyle w:val="Hyperlink"/>
              </w:rPr>
              <w:t>AER draft decision</w:t>
            </w:r>
            <w:r w:rsidR="005252EC">
              <w:rPr>
                <w:webHidden/>
              </w:rPr>
              <w:tab/>
            </w:r>
            <w:r w:rsidR="005252EC">
              <w:rPr>
                <w:webHidden/>
              </w:rPr>
              <w:fldChar w:fldCharType="begin"/>
            </w:r>
            <w:r w:rsidR="005252EC">
              <w:rPr>
                <w:webHidden/>
              </w:rPr>
              <w:instrText xml:space="preserve"> PAGEREF _Toc462752315 \h </w:instrText>
            </w:r>
            <w:r w:rsidR="005252EC">
              <w:rPr>
                <w:webHidden/>
              </w:rPr>
            </w:r>
            <w:r w:rsidR="005252EC">
              <w:rPr>
                <w:webHidden/>
              </w:rPr>
              <w:fldChar w:fldCharType="separate"/>
            </w:r>
            <w:r w:rsidR="005252EC">
              <w:rPr>
                <w:webHidden/>
              </w:rPr>
              <w:t>6-71</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316" w:history="1">
            <w:r w:rsidR="005252EC" w:rsidRPr="00CF729D">
              <w:rPr>
                <w:rStyle w:val="Hyperlink"/>
                <w14:scene3d>
                  <w14:camera w14:prst="orthographicFront"/>
                  <w14:lightRig w14:rig="threePt" w14:dir="t">
                    <w14:rot w14:lat="0" w14:lon="0" w14:rev="0"/>
                  </w14:lightRig>
                </w14:scene3d>
              </w:rPr>
              <w:t>C.2</w:t>
            </w:r>
            <w:r w:rsidR="005252EC">
              <w:rPr>
                <w:rFonts w:asciiTheme="minorHAnsi" w:eastAsiaTheme="minorEastAsia" w:hAnsiTheme="minorHAnsi"/>
                <w:b w:val="0"/>
                <w:color w:val="auto"/>
                <w:sz w:val="22"/>
                <w:lang w:eastAsia="en-AU"/>
              </w:rPr>
              <w:tab/>
            </w:r>
            <w:r w:rsidR="005252EC" w:rsidRPr="00CF729D">
              <w:rPr>
                <w:rStyle w:val="Hyperlink"/>
              </w:rPr>
              <w:t>Powerlink's proposal</w:t>
            </w:r>
            <w:r w:rsidR="005252EC">
              <w:rPr>
                <w:webHidden/>
              </w:rPr>
              <w:tab/>
            </w:r>
            <w:r w:rsidR="005252EC">
              <w:rPr>
                <w:webHidden/>
              </w:rPr>
              <w:fldChar w:fldCharType="begin"/>
            </w:r>
            <w:r w:rsidR="005252EC">
              <w:rPr>
                <w:webHidden/>
              </w:rPr>
              <w:instrText xml:space="preserve"> PAGEREF _Toc462752316 \h </w:instrText>
            </w:r>
            <w:r w:rsidR="005252EC">
              <w:rPr>
                <w:webHidden/>
              </w:rPr>
            </w:r>
            <w:r w:rsidR="005252EC">
              <w:rPr>
                <w:webHidden/>
              </w:rPr>
              <w:fldChar w:fldCharType="separate"/>
            </w:r>
            <w:r w:rsidR="005252EC">
              <w:rPr>
                <w:webHidden/>
              </w:rPr>
              <w:t>6-72</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317" w:history="1">
            <w:r w:rsidR="005252EC" w:rsidRPr="00CF729D">
              <w:rPr>
                <w:rStyle w:val="Hyperlink"/>
                <w14:scene3d>
                  <w14:camera w14:prst="orthographicFront"/>
                  <w14:lightRig w14:rig="threePt" w14:dir="t">
                    <w14:rot w14:lat="0" w14:lon="0" w14:rev="0"/>
                  </w14:lightRig>
                </w14:scene3d>
              </w:rPr>
              <w:t>C.3</w:t>
            </w:r>
            <w:r w:rsidR="005252EC">
              <w:rPr>
                <w:rFonts w:asciiTheme="minorHAnsi" w:eastAsiaTheme="minorEastAsia" w:hAnsiTheme="minorHAnsi"/>
                <w:b w:val="0"/>
                <w:color w:val="auto"/>
                <w:sz w:val="22"/>
                <w:lang w:eastAsia="en-AU"/>
              </w:rPr>
              <w:tab/>
            </w:r>
            <w:r w:rsidR="005252EC" w:rsidRPr="00CF729D">
              <w:rPr>
                <w:rStyle w:val="Hyperlink"/>
              </w:rPr>
              <w:t>AER assessment of Powerlink's forecast</w:t>
            </w:r>
            <w:r w:rsidR="005252EC">
              <w:rPr>
                <w:webHidden/>
              </w:rPr>
              <w:tab/>
            </w:r>
            <w:r w:rsidR="005252EC">
              <w:rPr>
                <w:webHidden/>
              </w:rPr>
              <w:fldChar w:fldCharType="begin"/>
            </w:r>
            <w:r w:rsidR="005252EC">
              <w:rPr>
                <w:webHidden/>
              </w:rPr>
              <w:instrText xml:space="preserve"> PAGEREF _Toc462752317 \h </w:instrText>
            </w:r>
            <w:r w:rsidR="005252EC">
              <w:rPr>
                <w:webHidden/>
              </w:rPr>
            </w:r>
            <w:r w:rsidR="005252EC">
              <w:rPr>
                <w:webHidden/>
              </w:rPr>
              <w:fldChar w:fldCharType="separate"/>
            </w:r>
            <w:r w:rsidR="005252EC">
              <w:rPr>
                <w:webHidden/>
              </w:rPr>
              <w:t>6-72</w:t>
            </w:r>
            <w:r w:rsidR="005252EC">
              <w:rPr>
                <w:webHidden/>
              </w:rPr>
              <w:fldChar w:fldCharType="end"/>
            </w:r>
          </w:hyperlink>
        </w:p>
        <w:p w:rsidR="005252EC" w:rsidRDefault="00C15AA5">
          <w:pPr>
            <w:pStyle w:val="TOC1"/>
            <w:rPr>
              <w:rFonts w:asciiTheme="minorHAnsi" w:eastAsiaTheme="minorEastAsia" w:hAnsiTheme="minorHAnsi"/>
              <w:b w:val="0"/>
              <w:color w:val="auto"/>
              <w:sz w:val="22"/>
              <w:lang w:val="en-AU" w:eastAsia="en-AU"/>
            </w:rPr>
          </w:pPr>
          <w:hyperlink w:anchor="_Toc462752318" w:history="1">
            <w:r w:rsidR="005252EC" w:rsidRPr="00CF729D">
              <w:rPr>
                <w:rStyle w:val="Hyperlink"/>
              </w:rPr>
              <w:t>D</w:t>
            </w:r>
            <w:r w:rsidR="005252EC">
              <w:rPr>
                <w:rFonts w:asciiTheme="minorHAnsi" w:eastAsiaTheme="minorEastAsia" w:hAnsiTheme="minorHAnsi"/>
                <w:b w:val="0"/>
                <w:color w:val="auto"/>
                <w:sz w:val="22"/>
                <w:lang w:val="en-AU" w:eastAsia="en-AU"/>
              </w:rPr>
              <w:tab/>
            </w:r>
            <w:r w:rsidR="005252EC" w:rsidRPr="00CF729D">
              <w:rPr>
                <w:rStyle w:val="Hyperlink"/>
              </w:rPr>
              <w:t>Contingent projects</w:t>
            </w:r>
            <w:r w:rsidR="005252EC">
              <w:rPr>
                <w:webHidden/>
              </w:rPr>
              <w:tab/>
            </w:r>
            <w:r w:rsidR="005252EC">
              <w:rPr>
                <w:webHidden/>
              </w:rPr>
              <w:fldChar w:fldCharType="begin"/>
            </w:r>
            <w:r w:rsidR="005252EC">
              <w:rPr>
                <w:webHidden/>
              </w:rPr>
              <w:instrText xml:space="preserve"> PAGEREF _Toc462752318 \h </w:instrText>
            </w:r>
            <w:r w:rsidR="005252EC">
              <w:rPr>
                <w:webHidden/>
              </w:rPr>
            </w:r>
            <w:r w:rsidR="005252EC">
              <w:rPr>
                <w:webHidden/>
              </w:rPr>
              <w:fldChar w:fldCharType="separate"/>
            </w:r>
            <w:r w:rsidR="005252EC">
              <w:rPr>
                <w:webHidden/>
              </w:rPr>
              <w:t>6-76</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319" w:history="1">
            <w:r w:rsidR="005252EC" w:rsidRPr="00CF729D">
              <w:rPr>
                <w:rStyle w:val="Hyperlink"/>
                <w14:scene3d>
                  <w14:camera w14:prst="orthographicFront"/>
                  <w14:lightRig w14:rig="threePt" w14:dir="t">
                    <w14:rot w14:lat="0" w14:lon="0" w14:rev="0"/>
                  </w14:lightRig>
                </w14:scene3d>
              </w:rPr>
              <w:t>D.1</w:t>
            </w:r>
            <w:r w:rsidR="005252EC">
              <w:rPr>
                <w:rFonts w:asciiTheme="minorHAnsi" w:eastAsiaTheme="minorEastAsia" w:hAnsiTheme="minorHAnsi"/>
                <w:b w:val="0"/>
                <w:color w:val="auto"/>
                <w:sz w:val="22"/>
                <w:lang w:eastAsia="en-AU"/>
              </w:rPr>
              <w:tab/>
            </w:r>
            <w:r w:rsidR="005252EC" w:rsidRPr="00CF729D">
              <w:rPr>
                <w:rStyle w:val="Hyperlink"/>
              </w:rPr>
              <w:t>Assessment approach</w:t>
            </w:r>
            <w:r w:rsidR="005252EC">
              <w:rPr>
                <w:webHidden/>
              </w:rPr>
              <w:tab/>
            </w:r>
            <w:r w:rsidR="005252EC">
              <w:rPr>
                <w:webHidden/>
              </w:rPr>
              <w:fldChar w:fldCharType="begin"/>
            </w:r>
            <w:r w:rsidR="005252EC">
              <w:rPr>
                <w:webHidden/>
              </w:rPr>
              <w:instrText xml:space="preserve"> PAGEREF _Toc462752319 \h </w:instrText>
            </w:r>
            <w:r w:rsidR="005252EC">
              <w:rPr>
                <w:webHidden/>
              </w:rPr>
            </w:r>
            <w:r w:rsidR="005252EC">
              <w:rPr>
                <w:webHidden/>
              </w:rPr>
              <w:fldChar w:fldCharType="separate"/>
            </w:r>
            <w:r w:rsidR="005252EC">
              <w:rPr>
                <w:webHidden/>
              </w:rPr>
              <w:t>6-77</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320" w:history="1">
            <w:r w:rsidR="005252EC" w:rsidRPr="00CF729D">
              <w:rPr>
                <w:rStyle w:val="Hyperlink"/>
                <w14:scene3d>
                  <w14:camera w14:prst="orthographicFront"/>
                  <w14:lightRig w14:rig="threePt" w14:dir="t">
                    <w14:rot w14:lat="0" w14:lon="0" w14:rev="0"/>
                  </w14:lightRig>
                </w14:scene3d>
              </w:rPr>
              <w:t>D.2</w:t>
            </w:r>
            <w:r w:rsidR="005252EC">
              <w:rPr>
                <w:rFonts w:asciiTheme="minorHAnsi" w:eastAsiaTheme="minorEastAsia" w:hAnsiTheme="minorHAnsi"/>
                <w:b w:val="0"/>
                <w:color w:val="auto"/>
                <w:sz w:val="22"/>
                <w:lang w:eastAsia="en-AU"/>
              </w:rPr>
              <w:tab/>
            </w:r>
            <w:r w:rsidR="005252EC" w:rsidRPr="00CF729D">
              <w:rPr>
                <w:rStyle w:val="Hyperlink"/>
              </w:rPr>
              <w:t>Position</w:t>
            </w:r>
            <w:r w:rsidR="005252EC">
              <w:rPr>
                <w:webHidden/>
              </w:rPr>
              <w:tab/>
            </w:r>
            <w:r w:rsidR="005252EC">
              <w:rPr>
                <w:webHidden/>
              </w:rPr>
              <w:fldChar w:fldCharType="begin"/>
            </w:r>
            <w:r w:rsidR="005252EC">
              <w:rPr>
                <w:webHidden/>
              </w:rPr>
              <w:instrText xml:space="preserve"> PAGEREF _Toc462752320 \h </w:instrText>
            </w:r>
            <w:r w:rsidR="005252EC">
              <w:rPr>
                <w:webHidden/>
              </w:rPr>
            </w:r>
            <w:r w:rsidR="005252EC">
              <w:rPr>
                <w:webHidden/>
              </w:rPr>
              <w:fldChar w:fldCharType="separate"/>
            </w:r>
            <w:r w:rsidR="005252EC">
              <w:rPr>
                <w:webHidden/>
              </w:rPr>
              <w:t>6-78</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321" w:history="1">
            <w:r w:rsidR="005252EC" w:rsidRPr="00CF729D">
              <w:rPr>
                <w:rStyle w:val="Hyperlink"/>
              </w:rPr>
              <w:t>D.2.1</w:t>
            </w:r>
            <w:r w:rsidR="005252EC">
              <w:rPr>
                <w:rFonts w:asciiTheme="minorHAnsi" w:eastAsiaTheme="minorEastAsia" w:hAnsiTheme="minorHAnsi"/>
                <w:lang w:eastAsia="en-AU"/>
              </w:rPr>
              <w:tab/>
            </w:r>
            <w:r w:rsidR="005252EC" w:rsidRPr="00CF729D">
              <w:rPr>
                <w:rStyle w:val="Hyperlink"/>
              </w:rPr>
              <w:t>Position on contingent projects</w:t>
            </w:r>
            <w:r w:rsidR="005252EC">
              <w:rPr>
                <w:webHidden/>
              </w:rPr>
              <w:tab/>
            </w:r>
            <w:r w:rsidR="005252EC">
              <w:rPr>
                <w:webHidden/>
              </w:rPr>
              <w:fldChar w:fldCharType="begin"/>
            </w:r>
            <w:r w:rsidR="005252EC">
              <w:rPr>
                <w:webHidden/>
              </w:rPr>
              <w:instrText xml:space="preserve"> PAGEREF _Toc462752321 \h </w:instrText>
            </w:r>
            <w:r w:rsidR="005252EC">
              <w:rPr>
                <w:webHidden/>
              </w:rPr>
            </w:r>
            <w:r w:rsidR="005252EC">
              <w:rPr>
                <w:webHidden/>
              </w:rPr>
              <w:fldChar w:fldCharType="separate"/>
            </w:r>
            <w:r w:rsidR="005252EC">
              <w:rPr>
                <w:webHidden/>
              </w:rPr>
              <w:t>6-78</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322" w:history="1">
            <w:r w:rsidR="005252EC" w:rsidRPr="00CF729D">
              <w:rPr>
                <w:rStyle w:val="Hyperlink"/>
              </w:rPr>
              <w:t>D.2.2</w:t>
            </w:r>
            <w:r w:rsidR="005252EC">
              <w:rPr>
                <w:rFonts w:asciiTheme="minorHAnsi" w:eastAsiaTheme="minorEastAsia" w:hAnsiTheme="minorHAnsi"/>
                <w:lang w:eastAsia="en-AU"/>
              </w:rPr>
              <w:tab/>
            </w:r>
            <w:r w:rsidR="005252EC" w:rsidRPr="00CF729D">
              <w:rPr>
                <w:rStyle w:val="Hyperlink"/>
              </w:rPr>
              <w:t>Review of trigger events</w:t>
            </w:r>
            <w:r w:rsidR="005252EC">
              <w:rPr>
                <w:webHidden/>
              </w:rPr>
              <w:tab/>
            </w:r>
            <w:r w:rsidR="005252EC">
              <w:rPr>
                <w:webHidden/>
              </w:rPr>
              <w:fldChar w:fldCharType="begin"/>
            </w:r>
            <w:r w:rsidR="005252EC">
              <w:rPr>
                <w:webHidden/>
              </w:rPr>
              <w:instrText xml:space="preserve"> PAGEREF _Toc462752322 \h </w:instrText>
            </w:r>
            <w:r w:rsidR="005252EC">
              <w:rPr>
                <w:webHidden/>
              </w:rPr>
            </w:r>
            <w:r w:rsidR="005252EC">
              <w:rPr>
                <w:webHidden/>
              </w:rPr>
              <w:fldChar w:fldCharType="separate"/>
            </w:r>
            <w:r w:rsidR="005252EC">
              <w:rPr>
                <w:webHidden/>
              </w:rPr>
              <w:t>6-79</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323" w:history="1">
            <w:r w:rsidR="005252EC" w:rsidRPr="00CF729D">
              <w:rPr>
                <w:rStyle w:val="Hyperlink"/>
              </w:rPr>
              <w:t>D.2.3</w:t>
            </w:r>
            <w:r w:rsidR="005252EC">
              <w:rPr>
                <w:rFonts w:asciiTheme="minorHAnsi" w:eastAsiaTheme="minorEastAsia" w:hAnsiTheme="minorHAnsi"/>
                <w:lang w:eastAsia="en-AU"/>
              </w:rPr>
              <w:tab/>
            </w:r>
            <w:r w:rsidR="005252EC" w:rsidRPr="00CF729D">
              <w:rPr>
                <w:rStyle w:val="Hyperlink"/>
              </w:rPr>
              <w:t>Capital contributions</w:t>
            </w:r>
            <w:r w:rsidR="005252EC">
              <w:rPr>
                <w:webHidden/>
              </w:rPr>
              <w:tab/>
            </w:r>
            <w:r w:rsidR="005252EC">
              <w:rPr>
                <w:webHidden/>
              </w:rPr>
              <w:fldChar w:fldCharType="begin"/>
            </w:r>
            <w:r w:rsidR="005252EC">
              <w:rPr>
                <w:webHidden/>
              </w:rPr>
              <w:instrText xml:space="preserve"> PAGEREF _Toc462752323 \h </w:instrText>
            </w:r>
            <w:r w:rsidR="005252EC">
              <w:rPr>
                <w:webHidden/>
              </w:rPr>
            </w:r>
            <w:r w:rsidR="005252EC">
              <w:rPr>
                <w:webHidden/>
              </w:rPr>
              <w:fldChar w:fldCharType="separate"/>
            </w:r>
            <w:r w:rsidR="005252EC">
              <w:rPr>
                <w:webHidden/>
              </w:rPr>
              <w:t>6-81</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324" w:history="1">
            <w:r w:rsidR="005252EC" w:rsidRPr="00CF729D">
              <w:rPr>
                <w:rStyle w:val="Hyperlink"/>
              </w:rPr>
              <w:t>D.2.4</w:t>
            </w:r>
            <w:r w:rsidR="005252EC">
              <w:rPr>
                <w:rFonts w:asciiTheme="minorHAnsi" w:eastAsiaTheme="minorEastAsia" w:hAnsiTheme="minorHAnsi"/>
                <w:lang w:eastAsia="en-AU"/>
              </w:rPr>
              <w:tab/>
            </w:r>
            <w:r w:rsidR="005252EC" w:rsidRPr="00CF729D">
              <w:rPr>
                <w:rStyle w:val="Hyperlink"/>
              </w:rPr>
              <w:t>Additional requirements</w:t>
            </w:r>
            <w:r w:rsidR="005252EC">
              <w:rPr>
                <w:webHidden/>
              </w:rPr>
              <w:tab/>
            </w:r>
            <w:r w:rsidR="005252EC">
              <w:rPr>
                <w:webHidden/>
              </w:rPr>
              <w:fldChar w:fldCharType="begin"/>
            </w:r>
            <w:r w:rsidR="005252EC">
              <w:rPr>
                <w:webHidden/>
              </w:rPr>
              <w:instrText xml:space="preserve"> PAGEREF _Toc462752324 \h </w:instrText>
            </w:r>
            <w:r w:rsidR="005252EC">
              <w:rPr>
                <w:webHidden/>
              </w:rPr>
            </w:r>
            <w:r w:rsidR="005252EC">
              <w:rPr>
                <w:webHidden/>
              </w:rPr>
              <w:fldChar w:fldCharType="separate"/>
            </w:r>
            <w:r w:rsidR="005252EC">
              <w:rPr>
                <w:webHidden/>
              </w:rPr>
              <w:t>6-82</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325" w:history="1">
            <w:r w:rsidR="005252EC" w:rsidRPr="00CF729D">
              <w:rPr>
                <w:rStyle w:val="Hyperlink"/>
                <w14:scene3d>
                  <w14:camera w14:prst="orthographicFront"/>
                  <w14:lightRig w14:rig="threePt" w14:dir="t">
                    <w14:rot w14:lat="0" w14:lon="0" w14:rev="0"/>
                  </w14:lightRig>
                </w14:scene3d>
              </w:rPr>
              <w:t>D.3</w:t>
            </w:r>
            <w:r w:rsidR="005252EC">
              <w:rPr>
                <w:rFonts w:asciiTheme="minorHAnsi" w:eastAsiaTheme="minorEastAsia" w:hAnsiTheme="minorHAnsi"/>
                <w:b w:val="0"/>
                <w:color w:val="auto"/>
                <w:sz w:val="22"/>
                <w:lang w:eastAsia="en-AU"/>
              </w:rPr>
              <w:tab/>
            </w:r>
            <w:r w:rsidR="005252EC" w:rsidRPr="00CF729D">
              <w:rPr>
                <w:rStyle w:val="Hyperlink"/>
              </w:rPr>
              <w:t>Contingent project assessments</w:t>
            </w:r>
            <w:r w:rsidR="005252EC">
              <w:rPr>
                <w:webHidden/>
              </w:rPr>
              <w:tab/>
            </w:r>
            <w:r w:rsidR="005252EC">
              <w:rPr>
                <w:webHidden/>
              </w:rPr>
              <w:fldChar w:fldCharType="begin"/>
            </w:r>
            <w:r w:rsidR="005252EC">
              <w:rPr>
                <w:webHidden/>
              </w:rPr>
              <w:instrText xml:space="preserve"> PAGEREF _Toc462752325 \h </w:instrText>
            </w:r>
            <w:r w:rsidR="005252EC">
              <w:rPr>
                <w:webHidden/>
              </w:rPr>
            </w:r>
            <w:r w:rsidR="005252EC">
              <w:rPr>
                <w:webHidden/>
              </w:rPr>
              <w:fldChar w:fldCharType="separate"/>
            </w:r>
            <w:r w:rsidR="005252EC">
              <w:rPr>
                <w:webHidden/>
              </w:rPr>
              <w:t>6-82</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326" w:history="1">
            <w:r w:rsidR="005252EC" w:rsidRPr="00CF729D">
              <w:rPr>
                <w:rStyle w:val="Hyperlink"/>
              </w:rPr>
              <w:t>D.3.1</w:t>
            </w:r>
            <w:r w:rsidR="005252EC">
              <w:rPr>
                <w:rFonts w:asciiTheme="minorHAnsi" w:eastAsiaTheme="minorEastAsia" w:hAnsiTheme="minorHAnsi"/>
                <w:lang w:eastAsia="en-AU"/>
              </w:rPr>
              <w:tab/>
            </w:r>
            <w:r w:rsidR="005252EC" w:rsidRPr="00CF729D">
              <w:rPr>
                <w:rStyle w:val="Hyperlink"/>
              </w:rPr>
              <w:t>North West Surat Basin Area</w:t>
            </w:r>
            <w:r w:rsidR="005252EC">
              <w:rPr>
                <w:webHidden/>
              </w:rPr>
              <w:tab/>
            </w:r>
            <w:r w:rsidR="005252EC">
              <w:rPr>
                <w:webHidden/>
              </w:rPr>
              <w:fldChar w:fldCharType="begin"/>
            </w:r>
            <w:r w:rsidR="005252EC">
              <w:rPr>
                <w:webHidden/>
              </w:rPr>
              <w:instrText xml:space="preserve"> PAGEREF _Toc462752326 \h </w:instrText>
            </w:r>
            <w:r w:rsidR="005252EC">
              <w:rPr>
                <w:webHidden/>
              </w:rPr>
            </w:r>
            <w:r w:rsidR="005252EC">
              <w:rPr>
                <w:webHidden/>
              </w:rPr>
              <w:fldChar w:fldCharType="separate"/>
            </w:r>
            <w:r w:rsidR="005252EC">
              <w:rPr>
                <w:webHidden/>
              </w:rPr>
              <w:t>6-82</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327" w:history="1">
            <w:r w:rsidR="005252EC" w:rsidRPr="00CF729D">
              <w:rPr>
                <w:rStyle w:val="Hyperlink"/>
              </w:rPr>
              <w:t>D.3.2</w:t>
            </w:r>
            <w:r w:rsidR="005252EC">
              <w:rPr>
                <w:rFonts w:asciiTheme="minorHAnsi" w:eastAsiaTheme="minorEastAsia" w:hAnsiTheme="minorHAnsi"/>
                <w:lang w:eastAsia="en-AU"/>
              </w:rPr>
              <w:tab/>
            </w:r>
            <w:r w:rsidR="005252EC" w:rsidRPr="00CF729D">
              <w:rPr>
                <w:rStyle w:val="Hyperlink"/>
              </w:rPr>
              <w:t>Central to North Queensland Reinforcement</w:t>
            </w:r>
            <w:r w:rsidR="005252EC">
              <w:rPr>
                <w:webHidden/>
              </w:rPr>
              <w:tab/>
            </w:r>
            <w:r w:rsidR="005252EC">
              <w:rPr>
                <w:webHidden/>
              </w:rPr>
              <w:fldChar w:fldCharType="begin"/>
            </w:r>
            <w:r w:rsidR="005252EC">
              <w:rPr>
                <w:webHidden/>
              </w:rPr>
              <w:instrText xml:space="preserve"> PAGEREF _Toc462752327 \h </w:instrText>
            </w:r>
            <w:r w:rsidR="005252EC">
              <w:rPr>
                <w:webHidden/>
              </w:rPr>
            </w:r>
            <w:r w:rsidR="005252EC">
              <w:rPr>
                <w:webHidden/>
              </w:rPr>
              <w:fldChar w:fldCharType="separate"/>
            </w:r>
            <w:r w:rsidR="005252EC">
              <w:rPr>
                <w:webHidden/>
              </w:rPr>
              <w:t>6-84</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328" w:history="1">
            <w:r w:rsidR="005252EC" w:rsidRPr="00CF729D">
              <w:rPr>
                <w:rStyle w:val="Hyperlink"/>
              </w:rPr>
              <w:t>D.3.3</w:t>
            </w:r>
            <w:r w:rsidR="005252EC">
              <w:rPr>
                <w:rFonts w:asciiTheme="minorHAnsi" w:eastAsiaTheme="minorEastAsia" w:hAnsiTheme="minorHAnsi"/>
                <w:lang w:eastAsia="en-AU"/>
              </w:rPr>
              <w:tab/>
            </w:r>
            <w:r w:rsidR="005252EC" w:rsidRPr="00CF729D">
              <w:rPr>
                <w:rStyle w:val="Hyperlink"/>
              </w:rPr>
              <w:t>Southern Galilee Basin connection shared network works</w:t>
            </w:r>
            <w:r w:rsidR="005252EC">
              <w:rPr>
                <w:webHidden/>
              </w:rPr>
              <w:tab/>
            </w:r>
            <w:r w:rsidR="005252EC">
              <w:rPr>
                <w:webHidden/>
              </w:rPr>
              <w:fldChar w:fldCharType="begin"/>
            </w:r>
            <w:r w:rsidR="005252EC">
              <w:rPr>
                <w:webHidden/>
              </w:rPr>
              <w:instrText xml:space="preserve"> PAGEREF _Toc462752328 \h </w:instrText>
            </w:r>
            <w:r w:rsidR="005252EC">
              <w:rPr>
                <w:webHidden/>
              </w:rPr>
            </w:r>
            <w:r w:rsidR="005252EC">
              <w:rPr>
                <w:webHidden/>
              </w:rPr>
              <w:fldChar w:fldCharType="separate"/>
            </w:r>
            <w:r w:rsidR="005252EC">
              <w:rPr>
                <w:webHidden/>
              </w:rPr>
              <w:t>6-86</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329" w:history="1">
            <w:r w:rsidR="005252EC" w:rsidRPr="00CF729D">
              <w:rPr>
                <w:rStyle w:val="Hyperlink"/>
              </w:rPr>
              <w:t>D.3.4</w:t>
            </w:r>
            <w:r w:rsidR="005252EC">
              <w:rPr>
                <w:rFonts w:asciiTheme="minorHAnsi" w:eastAsiaTheme="minorEastAsia" w:hAnsiTheme="minorHAnsi"/>
                <w:lang w:eastAsia="en-AU"/>
              </w:rPr>
              <w:tab/>
            </w:r>
            <w:r w:rsidR="005252EC" w:rsidRPr="00CF729D">
              <w:rPr>
                <w:rStyle w:val="Hyperlink"/>
              </w:rPr>
              <w:t>Northern Bowen Basin area</w:t>
            </w:r>
            <w:r w:rsidR="005252EC">
              <w:rPr>
                <w:webHidden/>
              </w:rPr>
              <w:tab/>
            </w:r>
            <w:r w:rsidR="005252EC">
              <w:rPr>
                <w:webHidden/>
              </w:rPr>
              <w:fldChar w:fldCharType="begin"/>
            </w:r>
            <w:r w:rsidR="005252EC">
              <w:rPr>
                <w:webHidden/>
              </w:rPr>
              <w:instrText xml:space="preserve"> PAGEREF _Toc462752329 \h </w:instrText>
            </w:r>
            <w:r w:rsidR="005252EC">
              <w:rPr>
                <w:webHidden/>
              </w:rPr>
            </w:r>
            <w:r w:rsidR="005252EC">
              <w:rPr>
                <w:webHidden/>
              </w:rPr>
              <w:fldChar w:fldCharType="separate"/>
            </w:r>
            <w:r w:rsidR="005252EC">
              <w:rPr>
                <w:webHidden/>
              </w:rPr>
              <w:t>6-88</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330" w:history="1">
            <w:r w:rsidR="005252EC" w:rsidRPr="00CF729D">
              <w:rPr>
                <w:rStyle w:val="Hyperlink"/>
              </w:rPr>
              <w:t>D.3.5</w:t>
            </w:r>
            <w:r w:rsidR="005252EC">
              <w:rPr>
                <w:rFonts w:asciiTheme="minorHAnsi" w:eastAsiaTheme="minorEastAsia" w:hAnsiTheme="minorHAnsi"/>
                <w:lang w:eastAsia="en-AU"/>
              </w:rPr>
              <w:tab/>
            </w:r>
            <w:r w:rsidR="005252EC" w:rsidRPr="00CF729D">
              <w:rPr>
                <w:rStyle w:val="Hyperlink"/>
              </w:rPr>
              <w:t>Bowen Industrial Estate</w:t>
            </w:r>
            <w:r w:rsidR="005252EC">
              <w:rPr>
                <w:webHidden/>
              </w:rPr>
              <w:tab/>
            </w:r>
            <w:r w:rsidR="005252EC">
              <w:rPr>
                <w:webHidden/>
              </w:rPr>
              <w:fldChar w:fldCharType="begin"/>
            </w:r>
            <w:r w:rsidR="005252EC">
              <w:rPr>
                <w:webHidden/>
              </w:rPr>
              <w:instrText xml:space="preserve"> PAGEREF _Toc462752330 \h </w:instrText>
            </w:r>
            <w:r w:rsidR="005252EC">
              <w:rPr>
                <w:webHidden/>
              </w:rPr>
            </w:r>
            <w:r w:rsidR="005252EC">
              <w:rPr>
                <w:webHidden/>
              </w:rPr>
              <w:fldChar w:fldCharType="separate"/>
            </w:r>
            <w:r w:rsidR="005252EC">
              <w:rPr>
                <w:webHidden/>
              </w:rPr>
              <w:t>6-89</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331" w:history="1">
            <w:r w:rsidR="005252EC" w:rsidRPr="00CF729D">
              <w:rPr>
                <w:rStyle w:val="Hyperlink"/>
              </w:rPr>
              <w:t>D.3.6</w:t>
            </w:r>
            <w:r w:rsidR="005252EC">
              <w:rPr>
                <w:rFonts w:asciiTheme="minorHAnsi" w:eastAsiaTheme="minorEastAsia" w:hAnsiTheme="minorHAnsi"/>
                <w:lang w:eastAsia="en-AU"/>
              </w:rPr>
              <w:tab/>
            </w:r>
            <w:r w:rsidR="005252EC" w:rsidRPr="00CF729D">
              <w:rPr>
                <w:rStyle w:val="Hyperlink"/>
              </w:rPr>
              <w:t>QNI upgrade (Queensland component)</w:t>
            </w:r>
            <w:r w:rsidR="005252EC">
              <w:rPr>
                <w:webHidden/>
              </w:rPr>
              <w:tab/>
            </w:r>
            <w:r w:rsidR="005252EC">
              <w:rPr>
                <w:webHidden/>
              </w:rPr>
              <w:fldChar w:fldCharType="begin"/>
            </w:r>
            <w:r w:rsidR="005252EC">
              <w:rPr>
                <w:webHidden/>
              </w:rPr>
              <w:instrText xml:space="preserve"> PAGEREF _Toc462752331 \h </w:instrText>
            </w:r>
            <w:r w:rsidR="005252EC">
              <w:rPr>
                <w:webHidden/>
              </w:rPr>
            </w:r>
            <w:r w:rsidR="005252EC">
              <w:rPr>
                <w:webHidden/>
              </w:rPr>
              <w:fldChar w:fldCharType="separate"/>
            </w:r>
            <w:r w:rsidR="005252EC">
              <w:rPr>
                <w:webHidden/>
              </w:rPr>
              <w:t>6-91</w:t>
            </w:r>
            <w:r w:rsidR="005252EC">
              <w:rPr>
                <w:webHidden/>
              </w:rPr>
              <w:fldChar w:fldCharType="end"/>
            </w:r>
          </w:hyperlink>
        </w:p>
        <w:p w:rsidR="005252EC" w:rsidRDefault="00C15AA5">
          <w:pPr>
            <w:pStyle w:val="TOC3"/>
            <w:rPr>
              <w:rFonts w:asciiTheme="minorHAnsi" w:eastAsiaTheme="minorEastAsia" w:hAnsiTheme="minorHAnsi"/>
              <w:lang w:eastAsia="en-AU"/>
            </w:rPr>
          </w:pPr>
          <w:hyperlink w:anchor="_Toc462752332" w:history="1">
            <w:r w:rsidR="005252EC" w:rsidRPr="00CF729D">
              <w:rPr>
                <w:rStyle w:val="Hyperlink"/>
              </w:rPr>
              <w:t>D.3.7</w:t>
            </w:r>
            <w:r w:rsidR="005252EC">
              <w:rPr>
                <w:rFonts w:asciiTheme="minorHAnsi" w:eastAsiaTheme="minorEastAsia" w:hAnsiTheme="minorHAnsi"/>
                <w:lang w:eastAsia="en-AU"/>
              </w:rPr>
              <w:tab/>
            </w:r>
            <w:r w:rsidR="005252EC" w:rsidRPr="00CF729D">
              <w:rPr>
                <w:rStyle w:val="Hyperlink"/>
              </w:rPr>
              <w:t>Central West to Gladstone Area Reinforcement</w:t>
            </w:r>
            <w:r w:rsidR="005252EC">
              <w:rPr>
                <w:webHidden/>
              </w:rPr>
              <w:tab/>
            </w:r>
            <w:r w:rsidR="005252EC">
              <w:rPr>
                <w:webHidden/>
              </w:rPr>
              <w:fldChar w:fldCharType="begin"/>
            </w:r>
            <w:r w:rsidR="005252EC">
              <w:rPr>
                <w:webHidden/>
              </w:rPr>
              <w:instrText xml:space="preserve"> PAGEREF _Toc462752332 \h </w:instrText>
            </w:r>
            <w:r w:rsidR="005252EC">
              <w:rPr>
                <w:webHidden/>
              </w:rPr>
            </w:r>
            <w:r w:rsidR="005252EC">
              <w:rPr>
                <w:webHidden/>
              </w:rPr>
              <w:fldChar w:fldCharType="separate"/>
            </w:r>
            <w:r w:rsidR="005252EC">
              <w:rPr>
                <w:webHidden/>
              </w:rPr>
              <w:t>6-93</w:t>
            </w:r>
            <w:r w:rsidR="005252EC">
              <w:rPr>
                <w:webHidden/>
              </w:rPr>
              <w:fldChar w:fldCharType="end"/>
            </w:r>
          </w:hyperlink>
        </w:p>
        <w:p w:rsidR="005252EC" w:rsidRDefault="00C15AA5">
          <w:pPr>
            <w:pStyle w:val="TOC1"/>
            <w:rPr>
              <w:rFonts w:asciiTheme="minorHAnsi" w:eastAsiaTheme="minorEastAsia" w:hAnsiTheme="minorHAnsi"/>
              <w:b w:val="0"/>
              <w:color w:val="auto"/>
              <w:sz w:val="22"/>
              <w:lang w:val="en-AU" w:eastAsia="en-AU"/>
            </w:rPr>
          </w:pPr>
          <w:hyperlink w:anchor="_Toc462752333" w:history="1">
            <w:r w:rsidR="005252EC" w:rsidRPr="00CF729D">
              <w:rPr>
                <w:rStyle w:val="Hyperlink"/>
              </w:rPr>
              <w:t>E</w:t>
            </w:r>
            <w:r w:rsidR="005252EC">
              <w:rPr>
                <w:rFonts w:asciiTheme="minorHAnsi" w:eastAsiaTheme="minorEastAsia" w:hAnsiTheme="minorHAnsi"/>
                <w:b w:val="0"/>
                <w:color w:val="auto"/>
                <w:sz w:val="22"/>
                <w:lang w:val="en-AU" w:eastAsia="en-AU"/>
              </w:rPr>
              <w:tab/>
            </w:r>
            <w:r w:rsidR="005252EC" w:rsidRPr="00CF729D">
              <w:rPr>
                <w:rStyle w:val="Hyperlink"/>
              </w:rPr>
              <w:t>Ex post review - 2014–15 capex</w:t>
            </w:r>
            <w:r w:rsidR="005252EC">
              <w:rPr>
                <w:webHidden/>
              </w:rPr>
              <w:tab/>
            </w:r>
            <w:r w:rsidR="005252EC">
              <w:rPr>
                <w:webHidden/>
              </w:rPr>
              <w:fldChar w:fldCharType="begin"/>
            </w:r>
            <w:r w:rsidR="005252EC">
              <w:rPr>
                <w:webHidden/>
              </w:rPr>
              <w:instrText xml:space="preserve"> PAGEREF _Toc462752333 \h </w:instrText>
            </w:r>
            <w:r w:rsidR="005252EC">
              <w:rPr>
                <w:webHidden/>
              </w:rPr>
            </w:r>
            <w:r w:rsidR="005252EC">
              <w:rPr>
                <w:webHidden/>
              </w:rPr>
              <w:fldChar w:fldCharType="separate"/>
            </w:r>
            <w:r w:rsidR="005252EC">
              <w:rPr>
                <w:webHidden/>
              </w:rPr>
              <w:t>6-95</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334" w:history="1">
            <w:r w:rsidR="005252EC" w:rsidRPr="00CF729D">
              <w:rPr>
                <w:rStyle w:val="Hyperlink"/>
                <w14:scene3d>
                  <w14:camera w14:prst="orthographicFront"/>
                  <w14:lightRig w14:rig="threePt" w14:dir="t">
                    <w14:rot w14:lat="0" w14:lon="0" w14:rev="0"/>
                  </w14:lightRig>
                </w14:scene3d>
              </w:rPr>
              <w:t>E.1</w:t>
            </w:r>
            <w:r w:rsidR="005252EC">
              <w:rPr>
                <w:rFonts w:asciiTheme="minorHAnsi" w:eastAsiaTheme="minorEastAsia" w:hAnsiTheme="minorHAnsi"/>
                <w:b w:val="0"/>
                <w:color w:val="auto"/>
                <w:sz w:val="22"/>
                <w:lang w:eastAsia="en-AU"/>
              </w:rPr>
              <w:tab/>
            </w:r>
            <w:r w:rsidR="005252EC" w:rsidRPr="00CF729D">
              <w:rPr>
                <w:rStyle w:val="Hyperlink"/>
              </w:rPr>
              <w:t>Position</w:t>
            </w:r>
            <w:r w:rsidR="005252EC">
              <w:rPr>
                <w:webHidden/>
              </w:rPr>
              <w:tab/>
            </w:r>
            <w:r w:rsidR="005252EC">
              <w:rPr>
                <w:webHidden/>
              </w:rPr>
              <w:fldChar w:fldCharType="begin"/>
            </w:r>
            <w:r w:rsidR="005252EC">
              <w:rPr>
                <w:webHidden/>
              </w:rPr>
              <w:instrText xml:space="preserve"> PAGEREF _Toc462752334 \h </w:instrText>
            </w:r>
            <w:r w:rsidR="005252EC">
              <w:rPr>
                <w:webHidden/>
              </w:rPr>
            </w:r>
            <w:r w:rsidR="005252EC">
              <w:rPr>
                <w:webHidden/>
              </w:rPr>
              <w:fldChar w:fldCharType="separate"/>
            </w:r>
            <w:r w:rsidR="005252EC">
              <w:rPr>
                <w:webHidden/>
              </w:rPr>
              <w:t>6-95</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335" w:history="1">
            <w:r w:rsidR="005252EC" w:rsidRPr="00CF729D">
              <w:rPr>
                <w:rStyle w:val="Hyperlink"/>
                <w14:scene3d>
                  <w14:camera w14:prst="orthographicFront"/>
                  <w14:lightRig w14:rig="threePt" w14:dir="t">
                    <w14:rot w14:lat="0" w14:lon="0" w14:rev="0"/>
                  </w14:lightRig>
                </w14:scene3d>
              </w:rPr>
              <w:t>E.2</w:t>
            </w:r>
            <w:r w:rsidR="005252EC">
              <w:rPr>
                <w:rFonts w:asciiTheme="minorHAnsi" w:eastAsiaTheme="minorEastAsia" w:hAnsiTheme="minorHAnsi"/>
                <w:b w:val="0"/>
                <w:color w:val="auto"/>
                <w:sz w:val="22"/>
                <w:lang w:eastAsia="en-AU"/>
              </w:rPr>
              <w:tab/>
            </w:r>
            <w:r w:rsidR="005252EC" w:rsidRPr="00CF729D">
              <w:rPr>
                <w:rStyle w:val="Hyperlink"/>
              </w:rPr>
              <w:t>AER approach</w:t>
            </w:r>
            <w:r w:rsidR="005252EC">
              <w:rPr>
                <w:webHidden/>
              </w:rPr>
              <w:tab/>
            </w:r>
            <w:r w:rsidR="005252EC">
              <w:rPr>
                <w:webHidden/>
              </w:rPr>
              <w:fldChar w:fldCharType="begin"/>
            </w:r>
            <w:r w:rsidR="005252EC">
              <w:rPr>
                <w:webHidden/>
              </w:rPr>
              <w:instrText xml:space="preserve"> PAGEREF _Toc462752335 \h </w:instrText>
            </w:r>
            <w:r w:rsidR="005252EC">
              <w:rPr>
                <w:webHidden/>
              </w:rPr>
            </w:r>
            <w:r w:rsidR="005252EC">
              <w:rPr>
                <w:webHidden/>
              </w:rPr>
              <w:fldChar w:fldCharType="separate"/>
            </w:r>
            <w:r w:rsidR="005252EC">
              <w:rPr>
                <w:webHidden/>
              </w:rPr>
              <w:t>6-95</w:t>
            </w:r>
            <w:r w:rsidR="005252EC">
              <w:rPr>
                <w:webHidden/>
              </w:rPr>
              <w:fldChar w:fldCharType="end"/>
            </w:r>
          </w:hyperlink>
        </w:p>
        <w:p w:rsidR="005252EC" w:rsidRDefault="00C15AA5">
          <w:pPr>
            <w:pStyle w:val="TOC2"/>
            <w:rPr>
              <w:rFonts w:asciiTheme="minorHAnsi" w:eastAsiaTheme="minorEastAsia" w:hAnsiTheme="minorHAnsi"/>
              <w:b w:val="0"/>
              <w:color w:val="auto"/>
              <w:sz w:val="22"/>
              <w:lang w:eastAsia="en-AU"/>
            </w:rPr>
          </w:pPr>
          <w:hyperlink w:anchor="_Toc462752336" w:history="1">
            <w:r w:rsidR="005252EC" w:rsidRPr="00CF729D">
              <w:rPr>
                <w:rStyle w:val="Hyperlink"/>
                <w14:scene3d>
                  <w14:camera w14:prst="orthographicFront"/>
                  <w14:lightRig w14:rig="threePt" w14:dir="t">
                    <w14:rot w14:lat="0" w14:lon="0" w14:rev="0"/>
                  </w14:lightRig>
                </w14:scene3d>
              </w:rPr>
              <w:t>E.3</w:t>
            </w:r>
            <w:r w:rsidR="005252EC">
              <w:rPr>
                <w:rFonts w:asciiTheme="minorHAnsi" w:eastAsiaTheme="minorEastAsia" w:hAnsiTheme="minorHAnsi"/>
                <w:b w:val="0"/>
                <w:color w:val="auto"/>
                <w:sz w:val="22"/>
                <w:lang w:eastAsia="en-AU"/>
              </w:rPr>
              <w:tab/>
            </w:r>
            <w:r w:rsidR="005252EC" w:rsidRPr="00CF729D">
              <w:rPr>
                <w:rStyle w:val="Hyperlink"/>
              </w:rPr>
              <w:t>AER assessment</w:t>
            </w:r>
            <w:r w:rsidR="005252EC">
              <w:rPr>
                <w:webHidden/>
              </w:rPr>
              <w:tab/>
            </w:r>
            <w:r w:rsidR="005252EC">
              <w:rPr>
                <w:webHidden/>
              </w:rPr>
              <w:fldChar w:fldCharType="begin"/>
            </w:r>
            <w:r w:rsidR="005252EC">
              <w:rPr>
                <w:webHidden/>
              </w:rPr>
              <w:instrText xml:space="preserve"> PAGEREF _Toc462752336 \h </w:instrText>
            </w:r>
            <w:r w:rsidR="005252EC">
              <w:rPr>
                <w:webHidden/>
              </w:rPr>
            </w:r>
            <w:r w:rsidR="005252EC">
              <w:rPr>
                <w:webHidden/>
              </w:rPr>
              <w:fldChar w:fldCharType="separate"/>
            </w:r>
            <w:r w:rsidR="005252EC">
              <w:rPr>
                <w:webHidden/>
              </w:rPr>
              <w:t>6-96</w:t>
            </w:r>
            <w:r w:rsidR="005252EC">
              <w:rPr>
                <w:webHidden/>
              </w:rPr>
              <w:fldChar w:fldCharType="end"/>
            </w:r>
          </w:hyperlink>
        </w:p>
        <w:p w:rsidR="00CE2A23" w:rsidRDefault="00CD283C" w:rsidP="00CD283C">
          <w:pPr>
            <w:pStyle w:val="TOC1"/>
          </w:pPr>
          <w:r>
            <w:fldChar w:fldCharType="end"/>
          </w:r>
        </w:p>
      </w:sdtContent>
    </w:sdt>
    <w:p w:rsidR="00CE2A23" w:rsidRPr="00CE2A23" w:rsidRDefault="00CE2A23" w:rsidP="00CE2A23">
      <w:r>
        <w:t xml:space="preserve"> </w:t>
      </w:r>
    </w:p>
    <w:p w:rsidR="00CE2A23" w:rsidRPr="00271F7C" w:rsidRDefault="00CE2A23" w:rsidP="00CE2A23">
      <w:pPr>
        <w:pStyle w:val="UnnumberedHeading"/>
        <w:numPr>
          <w:ilvl w:val="0"/>
          <w:numId w:val="23"/>
        </w:numPr>
      </w:pPr>
      <w:bookmarkStart w:id="10" w:name="_Toc404700925"/>
      <w:bookmarkStart w:id="11" w:name="_Toc462752281"/>
      <w:r>
        <w:lastRenderedPageBreak/>
        <w:t>Shortened forms</w:t>
      </w:r>
      <w:bookmarkEnd w:id="10"/>
      <w:bookmarkEnd w:id="11"/>
    </w:p>
    <w:tbl>
      <w:tblPr>
        <w:tblStyle w:val="AERtable-text0"/>
        <w:tblW w:w="0" w:type="auto"/>
        <w:tblLook w:val="04A0" w:firstRow="1" w:lastRow="0" w:firstColumn="1" w:lastColumn="0" w:noHBand="0" w:noVBand="1"/>
      </w:tblPr>
      <w:tblGrid>
        <w:gridCol w:w="4340"/>
        <w:gridCol w:w="4353"/>
      </w:tblGrid>
      <w:tr w:rsidR="0053603C" w:rsidRPr="0087648F" w:rsidTr="000474DF">
        <w:trPr>
          <w:cnfStyle w:val="100000000000" w:firstRow="1" w:lastRow="0" w:firstColumn="0" w:lastColumn="0" w:oddVBand="0" w:evenVBand="0" w:oddHBand="0" w:evenHBand="0" w:firstRowFirstColumn="0" w:firstRowLastColumn="0" w:lastRowFirstColumn="0" w:lastRowLastColumn="0"/>
          <w:tblHeader/>
        </w:trPr>
        <w:tc>
          <w:tcPr>
            <w:tcW w:w="4340" w:type="dxa"/>
          </w:tcPr>
          <w:p w:rsidR="0053603C" w:rsidRPr="0087648F" w:rsidRDefault="0087648F" w:rsidP="0087648F">
            <w:r>
              <w:t>Shortened form</w:t>
            </w:r>
          </w:p>
        </w:tc>
        <w:tc>
          <w:tcPr>
            <w:tcW w:w="4353" w:type="dxa"/>
          </w:tcPr>
          <w:p w:rsidR="0053603C" w:rsidRPr="0087648F" w:rsidRDefault="0087648F" w:rsidP="0087648F">
            <w:r>
              <w:t>Extended form</w:t>
            </w:r>
          </w:p>
        </w:tc>
      </w:tr>
      <w:tr w:rsidR="0087648F" w:rsidTr="000474DF">
        <w:tc>
          <w:tcPr>
            <w:tcW w:w="4340" w:type="dxa"/>
          </w:tcPr>
          <w:p w:rsidR="0087648F" w:rsidRDefault="0087648F" w:rsidP="0053603C">
            <w:pPr>
              <w:numPr>
                <w:ilvl w:val="0"/>
                <w:numId w:val="24"/>
              </w:numPr>
            </w:pPr>
            <w:r>
              <w:t>AARR</w:t>
            </w:r>
          </w:p>
        </w:tc>
        <w:tc>
          <w:tcPr>
            <w:tcW w:w="4353" w:type="dxa"/>
          </w:tcPr>
          <w:p w:rsidR="0087648F" w:rsidRDefault="0087648F" w:rsidP="0053603C">
            <w:pPr>
              <w:numPr>
                <w:ilvl w:val="0"/>
                <w:numId w:val="24"/>
              </w:numPr>
            </w:pPr>
            <w:r>
              <w:t>aggregate annual revenue requirement</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AEMC</w:t>
            </w:r>
          </w:p>
        </w:tc>
        <w:tc>
          <w:tcPr>
            <w:tcW w:w="4353" w:type="dxa"/>
          </w:tcPr>
          <w:p w:rsidR="0053603C" w:rsidRDefault="0053603C" w:rsidP="0053603C">
            <w:pPr>
              <w:numPr>
                <w:ilvl w:val="0"/>
                <w:numId w:val="24"/>
              </w:numPr>
            </w:pPr>
            <w:r>
              <w:t>Australian Energy Market Commission</w:t>
            </w:r>
          </w:p>
        </w:tc>
      </w:tr>
      <w:tr w:rsidR="0053603C" w:rsidTr="000474DF">
        <w:tc>
          <w:tcPr>
            <w:tcW w:w="4340" w:type="dxa"/>
          </w:tcPr>
          <w:p w:rsidR="0053603C" w:rsidRDefault="0053603C" w:rsidP="0053603C">
            <w:pPr>
              <w:numPr>
                <w:ilvl w:val="0"/>
                <w:numId w:val="24"/>
              </w:numPr>
            </w:pPr>
            <w:r>
              <w:t>AEMO</w:t>
            </w:r>
          </w:p>
        </w:tc>
        <w:tc>
          <w:tcPr>
            <w:tcW w:w="4353" w:type="dxa"/>
          </w:tcPr>
          <w:p w:rsidR="0053603C" w:rsidRDefault="0053603C" w:rsidP="0053603C">
            <w:pPr>
              <w:numPr>
                <w:ilvl w:val="0"/>
                <w:numId w:val="24"/>
              </w:numPr>
            </w:pPr>
            <w:r>
              <w:t>Australian Energy Market Operator</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AER</w:t>
            </w:r>
          </w:p>
        </w:tc>
        <w:tc>
          <w:tcPr>
            <w:tcW w:w="4353" w:type="dxa"/>
          </w:tcPr>
          <w:p w:rsidR="0053603C" w:rsidRDefault="0053603C" w:rsidP="0053603C">
            <w:pPr>
              <w:numPr>
                <w:ilvl w:val="0"/>
                <w:numId w:val="24"/>
              </w:numPr>
            </w:pPr>
            <w:r>
              <w:t>Australian Energy Regulator</w:t>
            </w:r>
          </w:p>
        </w:tc>
      </w:tr>
      <w:tr w:rsidR="0053603C" w:rsidTr="000474DF">
        <w:tc>
          <w:tcPr>
            <w:tcW w:w="4340" w:type="dxa"/>
          </w:tcPr>
          <w:p w:rsidR="0053603C" w:rsidRDefault="0053603C" w:rsidP="0053603C">
            <w:pPr>
              <w:numPr>
                <w:ilvl w:val="0"/>
                <w:numId w:val="24"/>
              </w:numPr>
            </w:pPr>
            <w:r>
              <w:t>ASRR</w:t>
            </w:r>
          </w:p>
        </w:tc>
        <w:tc>
          <w:tcPr>
            <w:tcW w:w="4353" w:type="dxa"/>
          </w:tcPr>
          <w:p w:rsidR="0053603C" w:rsidRDefault="0053603C" w:rsidP="0053603C">
            <w:pPr>
              <w:numPr>
                <w:ilvl w:val="0"/>
                <w:numId w:val="24"/>
              </w:numPr>
            </w:pPr>
            <w:r>
              <w:t>annual service revenue requirement</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augex</w:t>
            </w:r>
          </w:p>
        </w:tc>
        <w:tc>
          <w:tcPr>
            <w:tcW w:w="4353" w:type="dxa"/>
          </w:tcPr>
          <w:p w:rsidR="0053603C" w:rsidRDefault="0053603C" w:rsidP="0053603C">
            <w:pPr>
              <w:numPr>
                <w:ilvl w:val="0"/>
                <w:numId w:val="24"/>
              </w:numPr>
            </w:pPr>
            <w:r>
              <w:t>augmentation expenditure</w:t>
            </w:r>
          </w:p>
        </w:tc>
      </w:tr>
      <w:tr w:rsidR="0053603C" w:rsidTr="000474DF">
        <w:tc>
          <w:tcPr>
            <w:tcW w:w="4340" w:type="dxa"/>
          </w:tcPr>
          <w:p w:rsidR="0053603C" w:rsidRDefault="0053603C" w:rsidP="0053603C">
            <w:pPr>
              <w:numPr>
                <w:ilvl w:val="0"/>
                <w:numId w:val="24"/>
              </w:numPr>
            </w:pPr>
            <w:r>
              <w:t>capex</w:t>
            </w:r>
          </w:p>
        </w:tc>
        <w:tc>
          <w:tcPr>
            <w:tcW w:w="4353" w:type="dxa"/>
          </w:tcPr>
          <w:p w:rsidR="0053603C" w:rsidRDefault="0053603C" w:rsidP="0053603C">
            <w:pPr>
              <w:numPr>
                <w:ilvl w:val="0"/>
                <w:numId w:val="24"/>
              </w:numPr>
            </w:pPr>
            <w:r>
              <w:t>capital expenditure</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CCP</w:t>
            </w:r>
          </w:p>
        </w:tc>
        <w:tc>
          <w:tcPr>
            <w:tcW w:w="4353" w:type="dxa"/>
          </w:tcPr>
          <w:p w:rsidR="0053603C" w:rsidRDefault="0053603C" w:rsidP="0053603C">
            <w:pPr>
              <w:numPr>
                <w:ilvl w:val="0"/>
                <w:numId w:val="24"/>
              </w:numPr>
            </w:pPr>
            <w:r>
              <w:t>Consumer Challenge Panel</w:t>
            </w:r>
          </w:p>
        </w:tc>
      </w:tr>
      <w:tr w:rsidR="0053603C" w:rsidTr="000474DF">
        <w:tc>
          <w:tcPr>
            <w:tcW w:w="4340" w:type="dxa"/>
          </w:tcPr>
          <w:p w:rsidR="0053603C" w:rsidRDefault="0053603C" w:rsidP="0053603C">
            <w:pPr>
              <w:numPr>
                <w:ilvl w:val="0"/>
                <w:numId w:val="24"/>
              </w:numPr>
            </w:pPr>
            <w:r>
              <w:t>CESS</w:t>
            </w:r>
          </w:p>
        </w:tc>
        <w:tc>
          <w:tcPr>
            <w:tcW w:w="4353" w:type="dxa"/>
          </w:tcPr>
          <w:p w:rsidR="0053603C" w:rsidRDefault="0053603C" w:rsidP="0053603C">
            <w:pPr>
              <w:numPr>
                <w:ilvl w:val="0"/>
                <w:numId w:val="24"/>
              </w:numPr>
            </w:pPr>
            <w:r>
              <w:t>capital expenditure sharing scheme</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CPI</w:t>
            </w:r>
          </w:p>
        </w:tc>
        <w:tc>
          <w:tcPr>
            <w:tcW w:w="4353" w:type="dxa"/>
          </w:tcPr>
          <w:p w:rsidR="0053603C" w:rsidRDefault="0053603C" w:rsidP="0053603C">
            <w:pPr>
              <w:numPr>
                <w:ilvl w:val="0"/>
                <w:numId w:val="24"/>
              </w:numPr>
            </w:pPr>
            <w:r>
              <w:t>consumer price index</w:t>
            </w:r>
          </w:p>
        </w:tc>
      </w:tr>
      <w:tr w:rsidR="00F62A14" w:rsidTr="000474DF">
        <w:tc>
          <w:tcPr>
            <w:tcW w:w="4340" w:type="dxa"/>
          </w:tcPr>
          <w:p w:rsidR="00F62A14" w:rsidRDefault="00F62A14" w:rsidP="0053603C">
            <w:pPr>
              <w:numPr>
                <w:ilvl w:val="0"/>
                <w:numId w:val="24"/>
              </w:numPr>
            </w:pPr>
            <w:r>
              <w:t>DMIA</w:t>
            </w:r>
          </w:p>
        </w:tc>
        <w:tc>
          <w:tcPr>
            <w:tcW w:w="4353" w:type="dxa"/>
          </w:tcPr>
          <w:p w:rsidR="00F62A14" w:rsidRDefault="00F62A14" w:rsidP="0053603C">
            <w:pPr>
              <w:numPr>
                <w:ilvl w:val="0"/>
                <w:numId w:val="24"/>
              </w:numPr>
            </w:pPr>
            <w:r>
              <w:t>demand management innovation allowance</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DRP</w:t>
            </w:r>
          </w:p>
        </w:tc>
        <w:tc>
          <w:tcPr>
            <w:tcW w:w="4353" w:type="dxa"/>
          </w:tcPr>
          <w:p w:rsidR="0053603C" w:rsidRDefault="0053603C" w:rsidP="0053603C">
            <w:pPr>
              <w:numPr>
                <w:ilvl w:val="0"/>
                <w:numId w:val="24"/>
              </w:numPr>
            </w:pPr>
            <w:r>
              <w:t>debt risk premium</w:t>
            </w:r>
          </w:p>
        </w:tc>
      </w:tr>
      <w:tr w:rsidR="0053603C" w:rsidTr="000474DF">
        <w:tc>
          <w:tcPr>
            <w:tcW w:w="4340" w:type="dxa"/>
          </w:tcPr>
          <w:p w:rsidR="0053603C" w:rsidRDefault="0053603C" w:rsidP="0053603C">
            <w:pPr>
              <w:numPr>
                <w:ilvl w:val="0"/>
                <w:numId w:val="24"/>
              </w:numPr>
            </w:pPr>
            <w:r>
              <w:t>EBSS</w:t>
            </w:r>
          </w:p>
        </w:tc>
        <w:tc>
          <w:tcPr>
            <w:tcW w:w="4353" w:type="dxa"/>
          </w:tcPr>
          <w:p w:rsidR="0053603C" w:rsidRDefault="0053603C" w:rsidP="0053603C">
            <w:pPr>
              <w:numPr>
                <w:ilvl w:val="0"/>
                <w:numId w:val="24"/>
              </w:numPr>
            </w:pPr>
            <w:r>
              <w:t>efficiency benefit sharing scheme</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ERP</w:t>
            </w:r>
          </w:p>
        </w:tc>
        <w:tc>
          <w:tcPr>
            <w:tcW w:w="4353" w:type="dxa"/>
          </w:tcPr>
          <w:p w:rsidR="0053603C" w:rsidRDefault="0053603C" w:rsidP="0053603C">
            <w:pPr>
              <w:numPr>
                <w:ilvl w:val="0"/>
                <w:numId w:val="24"/>
              </w:numPr>
            </w:pPr>
            <w:r>
              <w:t>equity risk premium</w:t>
            </w:r>
          </w:p>
        </w:tc>
      </w:tr>
      <w:tr w:rsidR="0053603C" w:rsidTr="000474DF">
        <w:tc>
          <w:tcPr>
            <w:tcW w:w="4340" w:type="dxa"/>
          </w:tcPr>
          <w:p w:rsidR="0053603C" w:rsidRDefault="0053603C" w:rsidP="0053603C">
            <w:pPr>
              <w:numPr>
                <w:ilvl w:val="0"/>
                <w:numId w:val="24"/>
              </w:numPr>
            </w:pPr>
            <w:r>
              <w:t>MAR</w:t>
            </w:r>
          </w:p>
        </w:tc>
        <w:tc>
          <w:tcPr>
            <w:tcW w:w="4353" w:type="dxa"/>
          </w:tcPr>
          <w:p w:rsidR="0053603C" w:rsidRDefault="0053603C" w:rsidP="0053603C">
            <w:pPr>
              <w:numPr>
                <w:ilvl w:val="0"/>
                <w:numId w:val="24"/>
              </w:numPr>
            </w:pPr>
            <w:r>
              <w:t>maximum allowed revenue</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MRP</w:t>
            </w:r>
          </w:p>
        </w:tc>
        <w:tc>
          <w:tcPr>
            <w:tcW w:w="4353" w:type="dxa"/>
          </w:tcPr>
          <w:p w:rsidR="0053603C" w:rsidRDefault="0053603C" w:rsidP="0053603C">
            <w:pPr>
              <w:numPr>
                <w:ilvl w:val="0"/>
                <w:numId w:val="24"/>
              </w:numPr>
            </w:pPr>
            <w:r>
              <w:t>market risk premium</w:t>
            </w:r>
          </w:p>
        </w:tc>
      </w:tr>
      <w:tr w:rsidR="0053603C" w:rsidTr="000474DF">
        <w:tc>
          <w:tcPr>
            <w:tcW w:w="4340" w:type="dxa"/>
          </w:tcPr>
          <w:p w:rsidR="0053603C" w:rsidRDefault="0053603C" w:rsidP="0053603C">
            <w:pPr>
              <w:numPr>
                <w:ilvl w:val="0"/>
                <w:numId w:val="24"/>
              </w:numPr>
            </w:pPr>
            <w:r>
              <w:t>NEL</w:t>
            </w:r>
          </w:p>
        </w:tc>
        <w:tc>
          <w:tcPr>
            <w:tcW w:w="4353" w:type="dxa"/>
          </w:tcPr>
          <w:p w:rsidR="0053603C" w:rsidRDefault="0053603C" w:rsidP="0053603C">
            <w:pPr>
              <w:numPr>
                <w:ilvl w:val="0"/>
                <w:numId w:val="24"/>
              </w:numPr>
            </w:pPr>
            <w:r>
              <w:t>national electricity law</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NEM</w:t>
            </w:r>
          </w:p>
        </w:tc>
        <w:tc>
          <w:tcPr>
            <w:tcW w:w="4353" w:type="dxa"/>
          </w:tcPr>
          <w:p w:rsidR="0053603C" w:rsidRDefault="0053603C" w:rsidP="0053603C">
            <w:pPr>
              <w:numPr>
                <w:ilvl w:val="0"/>
                <w:numId w:val="24"/>
              </w:numPr>
            </w:pPr>
            <w:r>
              <w:t>national electricity market</w:t>
            </w:r>
          </w:p>
        </w:tc>
      </w:tr>
      <w:tr w:rsidR="0053603C" w:rsidTr="000474DF">
        <w:tc>
          <w:tcPr>
            <w:tcW w:w="4340" w:type="dxa"/>
          </w:tcPr>
          <w:p w:rsidR="0053603C" w:rsidRDefault="0053603C" w:rsidP="0053603C">
            <w:pPr>
              <w:numPr>
                <w:ilvl w:val="0"/>
                <w:numId w:val="24"/>
              </w:numPr>
            </w:pPr>
            <w:r>
              <w:t>NEO</w:t>
            </w:r>
          </w:p>
        </w:tc>
        <w:tc>
          <w:tcPr>
            <w:tcW w:w="4353" w:type="dxa"/>
          </w:tcPr>
          <w:p w:rsidR="0053603C" w:rsidRDefault="0053603C" w:rsidP="0053603C">
            <w:pPr>
              <w:numPr>
                <w:ilvl w:val="0"/>
                <w:numId w:val="24"/>
              </w:numPr>
            </w:pPr>
            <w:r>
              <w:t>national electricity objective</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NER</w:t>
            </w:r>
          </w:p>
        </w:tc>
        <w:tc>
          <w:tcPr>
            <w:tcW w:w="4353" w:type="dxa"/>
          </w:tcPr>
          <w:p w:rsidR="0053603C" w:rsidRDefault="0053603C" w:rsidP="0053603C">
            <w:pPr>
              <w:numPr>
                <w:ilvl w:val="0"/>
                <w:numId w:val="24"/>
              </w:numPr>
            </w:pPr>
            <w:r>
              <w:t>national electricity rules</w:t>
            </w:r>
          </w:p>
        </w:tc>
      </w:tr>
      <w:tr w:rsidR="0053603C" w:rsidTr="000474DF">
        <w:tc>
          <w:tcPr>
            <w:tcW w:w="4340" w:type="dxa"/>
          </w:tcPr>
          <w:p w:rsidR="0053603C" w:rsidRDefault="0053603C" w:rsidP="0053603C">
            <w:pPr>
              <w:numPr>
                <w:ilvl w:val="0"/>
                <w:numId w:val="24"/>
              </w:numPr>
            </w:pPr>
            <w:r>
              <w:t>NSP</w:t>
            </w:r>
          </w:p>
        </w:tc>
        <w:tc>
          <w:tcPr>
            <w:tcW w:w="4353" w:type="dxa"/>
          </w:tcPr>
          <w:p w:rsidR="0053603C" w:rsidRDefault="0053603C" w:rsidP="0053603C">
            <w:pPr>
              <w:numPr>
                <w:ilvl w:val="0"/>
                <w:numId w:val="24"/>
              </w:numPr>
            </w:pPr>
            <w:r>
              <w:t>network service provider</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NTSC</w:t>
            </w:r>
          </w:p>
        </w:tc>
        <w:tc>
          <w:tcPr>
            <w:tcW w:w="4353" w:type="dxa"/>
          </w:tcPr>
          <w:p w:rsidR="0053603C" w:rsidRDefault="0053603C" w:rsidP="0053603C">
            <w:pPr>
              <w:numPr>
                <w:ilvl w:val="0"/>
                <w:numId w:val="24"/>
              </w:numPr>
            </w:pPr>
            <w:r>
              <w:t>negotiated transmission service criteria</w:t>
            </w:r>
          </w:p>
        </w:tc>
      </w:tr>
      <w:tr w:rsidR="0053603C" w:rsidTr="000474DF">
        <w:tc>
          <w:tcPr>
            <w:tcW w:w="4340" w:type="dxa"/>
          </w:tcPr>
          <w:p w:rsidR="0053603C" w:rsidRDefault="0053603C" w:rsidP="0053603C">
            <w:pPr>
              <w:numPr>
                <w:ilvl w:val="0"/>
                <w:numId w:val="24"/>
              </w:numPr>
            </w:pPr>
            <w:r>
              <w:t>opex</w:t>
            </w:r>
          </w:p>
        </w:tc>
        <w:tc>
          <w:tcPr>
            <w:tcW w:w="4353" w:type="dxa"/>
          </w:tcPr>
          <w:p w:rsidR="0053603C" w:rsidRDefault="0053603C" w:rsidP="0053603C">
            <w:pPr>
              <w:numPr>
                <w:ilvl w:val="0"/>
                <w:numId w:val="24"/>
              </w:numPr>
            </w:pPr>
            <w:r>
              <w:t>operating expenditure</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PPI</w:t>
            </w:r>
          </w:p>
        </w:tc>
        <w:tc>
          <w:tcPr>
            <w:tcW w:w="4353" w:type="dxa"/>
          </w:tcPr>
          <w:p w:rsidR="0053603C" w:rsidRDefault="0053603C" w:rsidP="0053603C">
            <w:pPr>
              <w:numPr>
                <w:ilvl w:val="0"/>
                <w:numId w:val="24"/>
              </w:numPr>
            </w:pPr>
            <w:r>
              <w:t>partial performance indicators</w:t>
            </w:r>
          </w:p>
        </w:tc>
      </w:tr>
      <w:tr w:rsidR="0053603C" w:rsidTr="000474DF">
        <w:tc>
          <w:tcPr>
            <w:tcW w:w="4340" w:type="dxa"/>
          </w:tcPr>
          <w:p w:rsidR="0053603C" w:rsidRDefault="0053603C" w:rsidP="0053603C">
            <w:pPr>
              <w:numPr>
                <w:ilvl w:val="0"/>
                <w:numId w:val="24"/>
              </w:numPr>
            </w:pPr>
            <w:r>
              <w:t>PTRM</w:t>
            </w:r>
          </w:p>
        </w:tc>
        <w:tc>
          <w:tcPr>
            <w:tcW w:w="4353" w:type="dxa"/>
          </w:tcPr>
          <w:p w:rsidR="0053603C" w:rsidRDefault="0053603C" w:rsidP="0053603C">
            <w:pPr>
              <w:numPr>
                <w:ilvl w:val="0"/>
                <w:numId w:val="24"/>
              </w:numPr>
            </w:pPr>
            <w:r>
              <w:t>post-tax revenue model</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RAB</w:t>
            </w:r>
          </w:p>
        </w:tc>
        <w:tc>
          <w:tcPr>
            <w:tcW w:w="4353" w:type="dxa"/>
          </w:tcPr>
          <w:p w:rsidR="0053603C" w:rsidRDefault="0053603C" w:rsidP="0053603C">
            <w:pPr>
              <w:numPr>
                <w:ilvl w:val="0"/>
                <w:numId w:val="24"/>
              </w:numPr>
            </w:pPr>
            <w:r>
              <w:t>regulatory asset base</w:t>
            </w:r>
          </w:p>
        </w:tc>
      </w:tr>
      <w:tr w:rsidR="0053603C" w:rsidTr="000474DF">
        <w:tc>
          <w:tcPr>
            <w:tcW w:w="4340" w:type="dxa"/>
          </w:tcPr>
          <w:p w:rsidR="0053603C" w:rsidRDefault="0053603C" w:rsidP="0053603C">
            <w:pPr>
              <w:numPr>
                <w:ilvl w:val="0"/>
                <w:numId w:val="24"/>
              </w:numPr>
            </w:pPr>
            <w:r>
              <w:t>RBA</w:t>
            </w:r>
          </w:p>
        </w:tc>
        <w:tc>
          <w:tcPr>
            <w:tcW w:w="4353" w:type="dxa"/>
          </w:tcPr>
          <w:p w:rsidR="0053603C" w:rsidRDefault="0053603C" w:rsidP="0053603C">
            <w:pPr>
              <w:numPr>
                <w:ilvl w:val="0"/>
                <w:numId w:val="24"/>
              </w:numPr>
            </w:pPr>
            <w:r>
              <w:t>Reserve Bank of Australia</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repex</w:t>
            </w:r>
          </w:p>
        </w:tc>
        <w:tc>
          <w:tcPr>
            <w:tcW w:w="4353" w:type="dxa"/>
          </w:tcPr>
          <w:p w:rsidR="0053603C" w:rsidRDefault="0053603C" w:rsidP="0053603C">
            <w:pPr>
              <w:numPr>
                <w:ilvl w:val="0"/>
                <w:numId w:val="24"/>
              </w:numPr>
            </w:pPr>
            <w:r>
              <w:t>replacement expenditure</w:t>
            </w:r>
          </w:p>
        </w:tc>
      </w:tr>
      <w:tr w:rsidR="0053603C" w:rsidTr="000474DF">
        <w:tc>
          <w:tcPr>
            <w:tcW w:w="4340" w:type="dxa"/>
          </w:tcPr>
          <w:p w:rsidR="0053603C" w:rsidRDefault="0053603C" w:rsidP="0053603C">
            <w:pPr>
              <w:numPr>
                <w:ilvl w:val="0"/>
                <w:numId w:val="24"/>
              </w:numPr>
            </w:pPr>
            <w:r>
              <w:t>RFM</w:t>
            </w:r>
          </w:p>
        </w:tc>
        <w:tc>
          <w:tcPr>
            <w:tcW w:w="4353" w:type="dxa"/>
          </w:tcPr>
          <w:p w:rsidR="0053603C" w:rsidRDefault="0053603C" w:rsidP="0053603C">
            <w:pPr>
              <w:numPr>
                <w:ilvl w:val="0"/>
                <w:numId w:val="24"/>
              </w:numPr>
            </w:pPr>
            <w:r>
              <w:t>roll forward model</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RIN</w:t>
            </w:r>
          </w:p>
        </w:tc>
        <w:tc>
          <w:tcPr>
            <w:tcW w:w="4353" w:type="dxa"/>
          </w:tcPr>
          <w:p w:rsidR="0053603C" w:rsidRDefault="0053603C" w:rsidP="0053603C">
            <w:pPr>
              <w:numPr>
                <w:ilvl w:val="0"/>
                <w:numId w:val="24"/>
              </w:numPr>
            </w:pPr>
            <w:r>
              <w:t>regulatory information notice</w:t>
            </w:r>
          </w:p>
        </w:tc>
      </w:tr>
      <w:tr w:rsidR="0053603C" w:rsidTr="000474DF">
        <w:tc>
          <w:tcPr>
            <w:tcW w:w="4340" w:type="dxa"/>
          </w:tcPr>
          <w:p w:rsidR="0053603C" w:rsidRDefault="0053603C" w:rsidP="0053603C">
            <w:pPr>
              <w:numPr>
                <w:ilvl w:val="0"/>
                <w:numId w:val="24"/>
              </w:numPr>
            </w:pPr>
            <w:r>
              <w:lastRenderedPageBreak/>
              <w:t>RPP</w:t>
            </w:r>
          </w:p>
        </w:tc>
        <w:tc>
          <w:tcPr>
            <w:tcW w:w="4353" w:type="dxa"/>
          </w:tcPr>
          <w:p w:rsidR="0053603C" w:rsidRDefault="0053603C" w:rsidP="0053603C">
            <w:pPr>
              <w:numPr>
                <w:ilvl w:val="0"/>
                <w:numId w:val="24"/>
              </w:numPr>
            </w:pPr>
            <w:r>
              <w:t>revenue and pricing principles</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SLCAPM</w:t>
            </w:r>
          </w:p>
        </w:tc>
        <w:tc>
          <w:tcPr>
            <w:tcW w:w="4353" w:type="dxa"/>
          </w:tcPr>
          <w:p w:rsidR="0053603C" w:rsidRDefault="0053603C" w:rsidP="0053603C">
            <w:pPr>
              <w:numPr>
                <w:ilvl w:val="0"/>
                <w:numId w:val="24"/>
              </w:numPr>
            </w:pPr>
            <w:r>
              <w:t>Sharpe-</w:t>
            </w:r>
            <w:proofErr w:type="spellStart"/>
            <w:r>
              <w:t>Lintner</w:t>
            </w:r>
            <w:proofErr w:type="spellEnd"/>
            <w:r>
              <w:t xml:space="preserve"> capital asset pricing model</w:t>
            </w:r>
          </w:p>
        </w:tc>
      </w:tr>
      <w:tr w:rsidR="0053603C" w:rsidTr="000474DF">
        <w:tc>
          <w:tcPr>
            <w:tcW w:w="4340" w:type="dxa"/>
          </w:tcPr>
          <w:p w:rsidR="0053603C" w:rsidRDefault="0053603C" w:rsidP="0053603C">
            <w:pPr>
              <w:numPr>
                <w:ilvl w:val="0"/>
                <w:numId w:val="24"/>
              </w:numPr>
            </w:pPr>
            <w:r>
              <w:t>STPIS</w:t>
            </w:r>
          </w:p>
        </w:tc>
        <w:tc>
          <w:tcPr>
            <w:tcW w:w="4353" w:type="dxa"/>
          </w:tcPr>
          <w:p w:rsidR="0053603C" w:rsidRDefault="0053603C" w:rsidP="0053603C">
            <w:pPr>
              <w:numPr>
                <w:ilvl w:val="0"/>
                <w:numId w:val="24"/>
              </w:numPr>
            </w:pPr>
            <w:r>
              <w:t>service target performance incentive scheme</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TNSP</w:t>
            </w:r>
          </w:p>
        </w:tc>
        <w:tc>
          <w:tcPr>
            <w:tcW w:w="4353" w:type="dxa"/>
          </w:tcPr>
          <w:p w:rsidR="0053603C" w:rsidRDefault="0053603C" w:rsidP="0053603C">
            <w:pPr>
              <w:numPr>
                <w:ilvl w:val="0"/>
                <w:numId w:val="24"/>
              </w:numPr>
            </w:pPr>
            <w:r>
              <w:t>transmission network service provider</w:t>
            </w:r>
          </w:p>
        </w:tc>
      </w:tr>
      <w:tr w:rsidR="0053603C" w:rsidTr="000474DF">
        <w:tc>
          <w:tcPr>
            <w:tcW w:w="4340" w:type="dxa"/>
          </w:tcPr>
          <w:p w:rsidR="0053603C" w:rsidRDefault="0053603C" w:rsidP="0053603C">
            <w:pPr>
              <w:numPr>
                <w:ilvl w:val="0"/>
                <w:numId w:val="24"/>
              </w:numPr>
            </w:pPr>
            <w:proofErr w:type="spellStart"/>
            <w:r>
              <w:t>TUoS</w:t>
            </w:r>
            <w:proofErr w:type="spellEnd"/>
          </w:p>
        </w:tc>
        <w:tc>
          <w:tcPr>
            <w:tcW w:w="4353" w:type="dxa"/>
          </w:tcPr>
          <w:p w:rsidR="0053603C" w:rsidRDefault="0053603C" w:rsidP="0053603C">
            <w:pPr>
              <w:numPr>
                <w:ilvl w:val="0"/>
                <w:numId w:val="24"/>
              </w:numPr>
            </w:pPr>
            <w:r>
              <w:t>transmission use of system</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WACC</w:t>
            </w:r>
          </w:p>
        </w:tc>
        <w:tc>
          <w:tcPr>
            <w:tcW w:w="4353" w:type="dxa"/>
          </w:tcPr>
          <w:p w:rsidR="0053603C" w:rsidRDefault="0053603C" w:rsidP="0053603C">
            <w:pPr>
              <w:numPr>
                <w:ilvl w:val="0"/>
                <w:numId w:val="24"/>
              </w:numPr>
            </w:pPr>
            <w:r>
              <w:t>weighted average cost of capital</w:t>
            </w:r>
          </w:p>
        </w:tc>
      </w:tr>
    </w:tbl>
    <w:p w:rsidR="00DE563D" w:rsidRDefault="000C0C63" w:rsidP="000C0C63">
      <w:pPr>
        <w:pStyle w:val="Heading1"/>
      </w:pPr>
      <w:bookmarkStart w:id="12" w:name="_Toc416278154"/>
      <w:bookmarkStart w:id="13" w:name="_Toc416346517"/>
      <w:bookmarkStart w:id="14" w:name="_Toc416278157"/>
      <w:bookmarkStart w:id="15" w:name="_Toc416346520"/>
      <w:bookmarkStart w:id="16" w:name="_Toc416278160"/>
      <w:bookmarkStart w:id="17" w:name="_Toc416346523"/>
      <w:bookmarkStart w:id="18" w:name="_Toc416278163"/>
      <w:bookmarkStart w:id="19" w:name="_Toc416346526"/>
      <w:bookmarkStart w:id="20" w:name="_Toc416278166"/>
      <w:bookmarkStart w:id="21" w:name="_Toc416346529"/>
      <w:bookmarkStart w:id="22" w:name="_Toc416278169"/>
      <w:bookmarkStart w:id="23" w:name="_Toc416346532"/>
      <w:bookmarkStart w:id="24" w:name="_Toc416278172"/>
      <w:bookmarkStart w:id="25" w:name="_Toc416346535"/>
      <w:bookmarkStart w:id="26" w:name="_Toc416278175"/>
      <w:bookmarkStart w:id="27" w:name="_Toc416346538"/>
      <w:bookmarkStart w:id="28" w:name="_Toc416278178"/>
      <w:bookmarkStart w:id="29" w:name="_Toc416346541"/>
      <w:bookmarkStart w:id="30" w:name="_Toc416278181"/>
      <w:bookmarkStart w:id="31" w:name="_Toc416346544"/>
      <w:bookmarkStart w:id="32" w:name="_Toc416278184"/>
      <w:bookmarkStart w:id="33" w:name="_Toc416346547"/>
      <w:bookmarkStart w:id="34" w:name="_Toc416278187"/>
      <w:bookmarkStart w:id="35" w:name="_Toc416346550"/>
      <w:bookmarkStart w:id="36" w:name="_Toc416278190"/>
      <w:bookmarkStart w:id="37" w:name="_Toc416346553"/>
      <w:bookmarkStart w:id="38" w:name="_Toc416278193"/>
      <w:bookmarkStart w:id="39" w:name="_Toc416346556"/>
      <w:bookmarkStart w:id="40" w:name="_Toc416278196"/>
      <w:bookmarkStart w:id="41" w:name="_Toc416346559"/>
      <w:bookmarkStart w:id="42" w:name="_Toc416278199"/>
      <w:bookmarkStart w:id="43" w:name="_Toc416346562"/>
      <w:bookmarkStart w:id="44" w:name="_Toc416278202"/>
      <w:bookmarkStart w:id="45" w:name="_Toc416346565"/>
      <w:bookmarkStart w:id="46" w:name="_Toc416278205"/>
      <w:bookmarkStart w:id="47" w:name="_Toc416346568"/>
      <w:bookmarkStart w:id="48" w:name="_Toc416278208"/>
      <w:bookmarkStart w:id="49" w:name="_Toc416346571"/>
      <w:bookmarkStart w:id="50" w:name="_Toc416278211"/>
      <w:bookmarkStart w:id="51" w:name="_Toc416346574"/>
      <w:bookmarkStart w:id="52" w:name="_Toc416278214"/>
      <w:bookmarkStart w:id="53" w:name="_Toc416346577"/>
      <w:bookmarkStart w:id="54" w:name="_Toc416278217"/>
      <w:bookmarkStart w:id="55" w:name="_Toc416346580"/>
      <w:bookmarkStart w:id="56" w:name="_Toc416278220"/>
      <w:bookmarkStart w:id="57" w:name="_Toc416346583"/>
      <w:bookmarkStart w:id="58" w:name="_Toc416278223"/>
      <w:bookmarkStart w:id="59" w:name="_Toc416346586"/>
      <w:bookmarkStart w:id="60" w:name="_Toc416278226"/>
      <w:bookmarkStart w:id="61" w:name="_Toc416346589"/>
      <w:bookmarkStart w:id="62" w:name="_Toc416278229"/>
      <w:bookmarkStart w:id="63" w:name="_Toc416346592"/>
      <w:bookmarkStart w:id="64" w:name="_Toc416278232"/>
      <w:bookmarkStart w:id="65" w:name="_Toc416346595"/>
      <w:bookmarkStart w:id="66" w:name="_Toc416278235"/>
      <w:bookmarkStart w:id="67" w:name="_Toc416346598"/>
      <w:bookmarkStart w:id="68" w:name="_Toc416278238"/>
      <w:bookmarkStart w:id="69" w:name="_Toc416346601"/>
      <w:bookmarkStart w:id="70" w:name="_Toc462752282"/>
      <w:bookmarkEnd w:id="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lastRenderedPageBreak/>
        <w:t>Capital</w:t>
      </w:r>
      <w:r w:rsidR="007A4B02">
        <w:t xml:space="preserve"> expenditure</w:t>
      </w:r>
      <w:bookmarkEnd w:id="70"/>
    </w:p>
    <w:p w:rsidR="008C7B59" w:rsidRPr="005F0F0F" w:rsidRDefault="008C7B59" w:rsidP="008C7B59">
      <w:pPr>
        <w:numPr>
          <w:ilvl w:val="0"/>
          <w:numId w:val="24"/>
        </w:numPr>
      </w:pPr>
      <w:r w:rsidRPr="005F0F0F">
        <w:t xml:space="preserve">Capital expenditure (capex) refers to the capital expenses incurred in the provision of prescribed transmission services. This investment mostly relates to assets with long lives and these costs are recovered over several regulatory control periods. On an annual basis, however, the financing cost and depreciation associated with these assets are recovered (return on and of capital) as part of the building blocks that form </w:t>
      </w:r>
      <w:r>
        <w:t xml:space="preserve">Powerlink's </w:t>
      </w:r>
      <w:r w:rsidRPr="005F0F0F">
        <w:t>total revenue requirement.</w:t>
      </w:r>
      <w:r w:rsidRPr="005F0F0F">
        <w:rPr>
          <w:rStyle w:val="AERsuperscript"/>
        </w:rPr>
        <w:footnoteReference w:id="1"/>
      </w:r>
    </w:p>
    <w:p w:rsidR="008C7B59" w:rsidRPr="005F0F0F" w:rsidRDefault="008C7B59" w:rsidP="008C7B59">
      <w:r w:rsidRPr="005F0F0F">
        <w:t xml:space="preserve">This attachment sets out our draft decision on </w:t>
      </w:r>
      <w:r>
        <w:t>Powerlink's</w:t>
      </w:r>
      <w:r w:rsidRPr="005F0F0F">
        <w:t xml:space="preserve"> proposed total forecast capex for the 2017–22 regulatory control </w:t>
      </w:r>
      <w:proofErr w:type="gramStart"/>
      <w:r w:rsidRPr="005F0F0F">
        <w:t>period</w:t>
      </w:r>
      <w:proofErr w:type="gramEnd"/>
      <w:r w:rsidRPr="005F0F0F">
        <w:t>. Further detailed analysis is in the following appendices:</w:t>
      </w:r>
    </w:p>
    <w:p w:rsidR="008C7B59" w:rsidRPr="008D442F" w:rsidRDefault="008C7B59" w:rsidP="008C7B59">
      <w:pPr>
        <w:pStyle w:val="AERbulletlistfirststyle"/>
      </w:pPr>
      <w:r w:rsidRPr="008D442F">
        <w:t>Appendix A - Assessment techniques</w:t>
      </w:r>
    </w:p>
    <w:p w:rsidR="008C7B59" w:rsidRPr="008D442F" w:rsidRDefault="008C7B59" w:rsidP="008C7B59">
      <w:pPr>
        <w:pStyle w:val="AERbulletlistfirststyle"/>
      </w:pPr>
      <w:r w:rsidRPr="008D442F">
        <w:t>Appendix B - Assessment of capex drivers</w:t>
      </w:r>
    </w:p>
    <w:p w:rsidR="008C7B59" w:rsidRPr="008D442F" w:rsidRDefault="008C7B59" w:rsidP="008C7B59">
      <w:pPr>
        <w:pStyle w:val="AERbulletlistfirststyle"/>
      </w:pPr>
      <w:r w:rsidRPr="008D442F">
        <w:t>Appendix C - Demand</w:t>
      </w:r>
    </w:p>
    <w:p w:rsidR="008C7B59" w:rsidRDefault="008C7B59" w:rsidP="008C7B59">
      <w:pPr>
        <w:pStyle w:val="AERbulletlistfirststyle"/>
      </w:pPr>
      <w:r w:rsidRPr="008D442F">
        <w:t>Appendix D - Contingent projects</w:t>
      </w:r>
    </w:p>
    <w:p w:rsidR="00132D43" w:rsidRPr="00132D43" w:rsidRDefault="008C7B59" w:rsidP="008C7B59">
      <w:pPr>
        <w:pStyle w:val="AERbulletlistfirststyle"/>
      </w:pPr>
      <w:r w:rsidRPr="008D442F">
        <w:t xml:space="preserve">Appendix E - </w:t>
      </w:r>
      <w:r w:rsidR="0019633E">
        <w:t>Ex post review</w:t>
      </w:r>
      <w:r w:rsidR="00F73A92">
        <w:t xml:space="preserve"> - 2014–15 capex</w:t>
      </w:r>
    </w:p>
    <w:p w:rsidR="00132D43" w:rsidRDefault="008C7B59" w:rsidP="00132D43">
      <w:pPr>
        <w:pStyle w:val="Heading2"/>
      </w:pPr>
      <w:bookmarkStart w:id="71" w:name="_Toc462752283"/>
      <w:r>
        <w:t>Draft</w:t>
      </w:r>
      <w:r w:rsidR="00132D43">
        <w:t xml:space="preserve"> decision</w:t>
      </w:r>
      <w:bookmarkEnd w:id="71"/>
    </w:p>
    <w:p w:rsidR="008C7B59" w:rsidRDefault="008C7B59" w:rsidP="008C7B59">
      <w:r w:rsidRPr="002650E6">
        <w:t xml:space="preserve">We are not satisfied that </w:t>
      </w:r>
      <w:r>
        <w:t>Powerlink's</w:t>
      </w:r>
      <w:r w:rsidRPr="002650E6">
        <w:t xml:space="preserve"> proposed total forecast capex of $</w:t>
      </w:r>
      <w:r>
        <w:t>959.7</w:t>
      </w:r>
      <w:r w:rsidRPr="002650E6">
        <w:t xml:space="preserve"> million ($2016</w:t>
      </w:r>
      <w:r w:rsidR="00CB260C">
        <w:t>–</w:t>
      </w:r>
      <w:r w:rsidRPr="002650E6">
        <w:t xml:space="preserve">17) for the 2017–22 regulatory control period reasonably reflects the capex criteria. We have substituted it with our estimate of </w:t>
      </w:r>
      <w:r>
        <w:t>Powerlink's</w:t>
      </w:r>
      <w:r w:rsidRPr="002650E6">
        <w:t xml:space="preserve"> total forecast capex for the 2017–22 regulatory control </w:t>
      </w:r>
      <w:proofErr w:type="gramStart"/>
      <w:r w:rsidRPr="002650E6">
        <w:t>period</w:t>
      </w:r>
      <w:proofErr w:type="gramEnd"/>
      <w:r w:rsidRPr="002650E6">
        <w:t>. We are satisfied that our substitute estimate of $</w:t>
      </w:r>
      <w:r>
        <w:t>775</w:t>
      </w:r>
      <w:r w:rsidRPr="00B3125E">
        <w:t>.</w:t>
      </w:r>
      <w:r>
        <w:t>2</w:t>
      </w:r>
      <w:r w:rsidR="00DC038A">
        <w:t xml:space="preserve"> million</w:t>
      </w:r>
      <w:r w:rsidRPr="002650E6">
        <w:t xml:space="preserve"> reasonably reflec</w:t>
      </w:r>
      <w:r>
        <w:t>ts the capex criteria.</w:t>
      </w:r>
      <w:r w:rsidR="007C3024">
        <w:t xml:space="preserve"> W</w:t>
      </w:r>
      <w:r w:rsidR="007C3024" w:rsidRPr="007C3024">
        <w:t>e seek comment from Powerlink and other stakeholders on the approach that we have adopted in</w:t>
      </w:r>
      <w:r w:rsidR="00F73A92">
        <w:t xml:space="preserve"> their</w:t>
      </w:r>
      <w:r w:rsidR="007C3024" w:rsidRPr="007C3024">
        <w:t xml:space="preserve"> response</w:t>
      </w:r>
      <w:r w:rsidR="00F73A92">
        <w:t>s</w:t>
      </w:r>
      <w:r w:rsidR="007C3024" w:rsidRPr="007C3024">
        <w:t xml:space="preserve"> to our draft decision.</w:t>
      </w:r>
      <w:r>
        <w:t xml:space="preserve"> </w:t>
      </w:r>
      <w:r w:rsidRPr="008C7B59">
        <w:fldChar w:fldCharType="begin"/>
      </w:r>
      <w:r>
        <w:instrText xml:space="preserve"> REF _Ref453680169 </w:instrText>
      </w:r>
      <w:r w:rsidRPr="008C7B59">
        <w:fldChar w:fldCharType="separate"/>
      </w:r>
      <w:r w:rsidR="005252EC" w:rsidRPr="002650E6">
        <w:t xml:space="preserve">Table </w:t>
      </w:r>
      <w:r w:rsidR="005252EC">
        <w:rPr>
          <w:noProof/>
        </w:rPr>
        <w:t>6</w:t>
      </w:r>
      <w:r w:rsidR="005252EC">
        <w:t>.</w:t>
      </w:r>
      <w:r w:rsidR="005252EC">
        <w:rPr>
          <w:noProof/>
        </w:rPr>
        <w:t>1</w:t>
      </w:r>
      <w:r w:rsidRPr="008C7B59">
        <w:fldChar w:fldCharType="end"/>
      </w:r>
      <w:r w:rsidR="00DC038A">
        <w:t xml:space="preserve"> sets out</w:t>
      </w:r>
      <w:r w:rsidRPr="002650E6">
        <w:t xml:space="preserve"> our draft decision. The difference is</w:t>
      </w:r>
      <w:r>
        <w:t xml:space="preserve"> due to our findings that Powerlink's replacement expenditure (repex) forecast is not prudent and efficient.</w:t>
      </w:r>
    </w:p>
    <w:p w:rsidR="008C7B59" w:rsidRPr="002650E6" w:rsidRDefault="008C7B59" w:rsidP="008C7B59">
      <w:pPr>
        <w:pStyle w:val="Caption"/>
      </w:pPr>
      <w:bookmarkStart w:id="72" w:name="_Ref453680169"/>
      <w:bookmarkStart w:id="73" w:name="_Ref402258469"/>
      <w:proofErr w:type="gramStart"/>
      <w:r w:rsidRPr="002650E6">
        <w:t xml:space="preserve">Table </w:t>
      </w:r>
      <w:fldSimple w:instr=" STYLEREF 1 \s ">
        <w:r w:rsidR="005252EC">
          <w:rPr>
            <w:noProof/>
          </w:rPr>
          <w:t>6</w:t>
        </w:r>
      </w:fldSimple>
      <w:r w:rsidR="00250D0F">
        <w:t>.</w:t>
      </w:r>
      <w:proofErr w:type="gramEnd"/>
      <w:r w:rsidR="005252EC">
        <w:fldChar w:fldCharType="begin"/>
      </w:r>
      <w:r w:rsidR="005252EC">
        <w:instrText xml:space="preserve"> SEQ Table \* ARABIC \s 1 </w:instrText>
      </w:r>
      <w:r w:rsidR="005252EC">
        <w:fldChar w:fldCharType="separate"/>
      </w:r>
      <w:r w:rsidR="005252EC">
        <w:rPr>
          <w:noProof/>
        </w:rPr>
        <w:t>1</w:t>
      </w:r>
      <w:r w:rsidR="005252EC">
        <w:rPr>
          <w:noProof/>
        </w:rPr>
        <w:fldChar w:fldCharType="end"/>
      </w:r>
      <w:bookmarkEnd w:id="72"/>
      <w:r w:rsidR="00DC038A">
        <w:t xml:space="preserve">  </w:t>
      </w:r>
      <w:r w:rsidRPr="002650E6">
        <w:t xml:space="preserve">Draft decision on </w:t>
      </w:r>
      <w:r>
        <w:t>Powerlink's</w:t>
      </w:r>
      <w:r w:rsidRPr="002650E6">
        <w:t xml:space="preserve"> forecast capex ($2016–17, million)</w:t>
      </w:r>
      <w:bookmarkEnd w:id="73"/>
    </w:p>
    <w:tbl>
      <w:tblPr>
        <w:tblStyle w:val="AERtable-numbers"/>
        <w:tblW w:w="4821" w:type="pct"/>
        <w:tblLook w:val="04A0" w:firstRow="1" w:lastRow="0" w:firstColumn="1" w:lastColumn="0" w:noHBand="0" w:noVBand="1"/>
      </w:tblPr>
      <w:tblGrid>
        <w:gridCol w:w="2376"/>
        <w:gridCol w:w="1001"/>
        <w:gridCol w:w="1001"/>
        <w:gridCol w:w="1001"/>
        <w:gridCol w:w="1001"/>
        <w:gridCol w:w="1001"/>
        <w:gridCol w:w="1001"/>
      </w:tblGrid>
      <w:tr w:rsidR="008C7B59" w:rsidRPr="005667CE" w:rsidTr="005D15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pct"/>
          </w:tcPr>
          <w:p w:rsidR="008C7B59" w:rsidRPr="00EF13AC" w:rsidRDefault="008C7B59" w:rsidP="008C7B59"/>
        </w:tc>
        <w:tc>
          <w:tcPr>
            <w:tcW w:w="597" w:type="pct"/>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rsidRPr="00EF13AC">
              <w:t>2017–18</w:t>
            </w:r>
          </w:p>
        </w:tc>
        <w:tc>
          <w:tcPr>
            <w:tcW w:w="597" w:type="pct"/>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rsidRPr="00EF13AC">
              <w:t>2018–19</w:t>
            </w:r>
          </w:p>
        </w:tc>
        <w:tc>
          <w:tcPr>
            <w:tcW w:w="597" w:type="pct"/>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rsidRPr="00EF13AC">
              <w:t>2019–20</w:t>
            </w:r>
          </w:p>
        </w:tc>
        <w:tc>
          <w:tcPr>
            <w:tcW w:w="597" w:type="pct"/>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rsidRPr="00EF13AC">
              <w:t>2020–21</w:t>
            </w:r>
          </w:p>
        </w:tc>
        <w:tc>
          <w:tcPr>
            <w:tcW w:w="597" w:type="pct"/>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rsidRPr="00EF13AC">
              <w:t>2021–22</w:t>
            </w:r>
          </w:p>
        </w:tc>
        <w:tc>
          <w:tcPr>
            <w:tcW w:w="597" w:type="pct"/>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rsidRPr="00EF13AC">
              <w:t>Total</w:t>
            </w:r>
          </w:p>
        </w:tc>
      </w:tr>
      <w:tr w:rsidR="008C7B59" w:rsidRPr="005667CE" w:rsidTr="005D15EC">
        <w:tc>
          <w:tcPr>
            <w:cnfStyle w:val="001000000000" w:firstRow="0" w:lastRow="0" w:firstColumn="1" w:lastColumn="0" w:oddVBand="0" w:evenVBand="0" w:oddHBand="0" w:evenHBand="0" w:firstRowFirstColumn="0" w:firstRowLastColumn="0" w:lastRowFirstColumn="0" w:lastRowLastColumn="0"/>
            <w:tcW w:w="1418" w:type="pct"/>
          </w:tcPr>
          <w:p w:rsidR="008C7B59" w:rsidRPr="008C7B59" w:rsidRDefault="008C7B59" w:rsidP="008C7B59">
            <w:r>
              <w:t>Powerlink's</w:t>
            </w:r>
            <w:r w:rsidRPr="008C7B59">
              <w:t xml:space="preserve"> proposal</w:t>
            </w:r>
          </w:p>
        </w:tc>
        <w:tc>
          <w:tcPr>
            <w:tcW w:w="597"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198.</w:t>
            </w:r>
            <w:r w:rsidRPr="008C7B59">
              <w:t>6</w:t>
            </w:r>
          </w:p>
        </w:tc>
        <w:tc>
          <w:tcPr>
            <w:tcW w:w="597"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194.</w:t>
            </w:r>
            <w:r w:rsidRPr="008C7B59">
              <w:t>7</w:t>
            </w:r>
          </w:p>
        </w:tc>
        <w:tc>
          <w:tcPr>
            <w:tcW w:w="597"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191.</w:t>
            </w:r>
            <w:r w:rsidRPr="008C7B59">
              <w:t>9</w:t>
            </w:r>
          </w:p>
        </w:tc>
        <w:tc>
          <w:tcPr>
            <w:tcW w:w="597"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192.</w:t>
            </w:r>
            <w:r w:rsidRPr="008C7B59">
              <w:t>8</w:t>
            </w:r>
          </w:p>
        </w:tc>
        <w:tc>
          <w:tcPr>
            <w:tcW w:w="597"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181.</w:t>
            </w:r>
            <w:r w:rsidRPr="008C7B59">
              <w:t>8</w:t>
            </w:r>
          </w:p>
        </w:tc>
        <w:tc>
          <w:tcPr>
            <w:tcW w:w="597"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95</w:t>
            </w:r>
            <w:r w:rsidRPr="008C7B59">
              <w:t>9.7</w:t>
            </w:r>
          </w:p>
        </w:tc>
      </w:tr>
      <w:tr w:rsidR="008C7B59" w:rsidRPr="005667CE" w:rsidTr="005D15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pct"/>
          </w:tcPr>
          <w:p w:rsidR="008C7B59" w:rsidRPr="005D15EC" w:rsidRDefault="008C7B59" w:rsidP="005D15EC">
            <w:r w:rsidRPr="005D15EC">
              <w:t>AER draft decision</w:t>
            </w:r>
          </w:p>
        </w:tc>
        <w:tc>
          <w:tcPr>
            <w:tcW w:w="597"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064A0F">
              <w:t>157.1</w:t>
            </w:r>
          </w:p>
        </w:tc>
        <w:tc>
          <w:tcPr>
            <w:tcW w:w="597"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064A0F">
              <w:t>15</w:t>
            </w:r>
            <w:r w:rsidRPr="008C7B59">
              <w:t>7.2</w:t>
            </w:r>
          </w:p>
        </w:tc>
        <w:tc>
          <w:tcPr>
            <w:tcW w:w="597"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156</w:t>
            </w:r>
            <w:r w:rsidRPr="008C7B59">
              <w:t>.3</w:t>
            </w:r>
          </w:p>
        </w:tc>
        <w:tc>
          <w:tcPr>
            <w:tcW w:w="597"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157</w:t>
            </w:r>
            <w:r w:rsidRPr="008C7B59">
              <w:t>.9</w:t>
            </w:r>
          </w:p>
        </w:tc>
        <w:tc>
          <w:tcPr>
            <w:tcW w:w="597"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146</w:t>
            </w:r>
            <w:r w:rsidRPr="008C7B59">
              <w:t>.7</w:t>
            </w:r>
          </w:p>
        </w:tc>
        <w:tc>
          <w:tcPr>
            <w:tcW w:w="597"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775</w:t>
            </w:r>
            <w:r w:rsidRPr="008C7B59">
              <w:t>.2</w:t>
            </w:r>
          </w:p>
        </w:tc>
      </w:tr>
      <w:tr w:rsidR="008C7B59" w:rsidRPr="005667CE" w:rsidTr="005D15EC">
        <w:tc>
          <w:tcPr>
            <w:cnfStyle w:val="001000000000" w:firstRow="0" w:lastRow="0" w:firstColumn="1" w:lastColumn="0" w:oddVBand="0" w:evenVBand="0" w:oddHBand="0" w:evenHBand="0" w:firstRowFirstColumn="0" w:firstRowLastColumn="0" w:lastRowFirstColumn="0" w:lastRowLastColumn="0"/>
            <w:tcW w:w="1418" w:type="pct"/>
          </w:tcPr>
          <w:p w:rsidR="008C7B59" w:rsidRPr="008C7B59" w:rsidRDefault="008C7B59" w:rsidP="008C7B59">
            <w:pPr>
              <w:rPr>
                <w:rStyle w:val="AERtextitalic"/>
              </w:rPr>
            </w:pPr>
            <w:r w:rsidRPr="00EF13AC">
              <w:t xml:space="preserve">Total adjustment </w:t>
            </w:r>
          </w:p>
        </w:tc>
        <w:tc>
          <w:tcPr>
            <w:tcW w:w="597"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B5558D">
              <w:t>-41.4</w:t>
            </w:r>
          </w:p>
        </w:tc>
        <w:tc>
          <w:tcPr>
            <w:tcW w:w="597"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064A0F">
              <w:t>-37.</w:t>
            </w:r>
            <w:r w:rsidRPr="008C7B59">
              <w:t>5</w:t>
            </w:r>
          </w:p>
        </w:tc>
        <w:tc>
          <w:tcPr>
            <w:tcW w:w="597"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-35</w:t>
            </w:r>
            <w:r w:rsidRPr="008C7B59">
              <w:t>.6</w:t>
            </w:r>
          </w:p>
        </w:tc>
        <w:tc>
          <w:tcPr>
            <w:tcW w:w="597"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-34</w:t>
            </w:r>
            <w:r w:rsidRPr="008C7B59">
              <w:t>.9</w:t>
            </w:r>
          </w:p>
        </w:tc>
        <w:tc>
          <w:tcPr>
            <w:tcW w:w="597"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-35</w:t>
            </w:r>
            <w:r w:rsidRPr="008C7B59">
              <w:t>.0</w:t>
            </w:r>
          </w:p>
        </w:tc>
        <w:tc>
          <w:tcPr>
            <w:tcW w:w="597"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-184</w:t>
            </w:r>
            <w:r w:rsidRPr="008C7B59">
              <w:t>.5</w:t>
            </w:r>
          </w:p>
        </w:tc>
      </w:tr>
      <w:tr w:rsidR="008C7B59" w:rsidRPr="005667CE" w:rsidTr="005D15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pct"/>
          </w:tcPr>
          <w:p w:rsidR="008C7B59" w:rsidRPr="008C7B59" w:rsidRDefault="008C7B59" w:rsidP="008C7B59">
            <w:r w:rsidRPr="00EF13AC">
              <w:t>Total adjustment (%)</w:t>
            </w:r>
          </w:p>
        </w:tc>
        <w:tc>
          <w:tcPr>
            <w:tcW w:w="597"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-20.9%</w:t>
            </w:r>
          </w:p>
        </w:tc>
        <w:tc>
          <w:tcPr>
            <w:tcW w:w="597"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-19.3</w:t>
            </w:r>
            <w:r w:rsidRPr="008C7B59">
              <w:t>%</w:t>
            </w:r>
          </w:p>
        </w:tc>
        <w:tc>
          <w:tcPr>
            <w:tcW w:w="597"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-18.5</w:t>
            </w:r>
            <w:r w:rsidRPr="008C7B59">
              <w:t>%</w:t>
            </w:r>
          </w:p>
        </w:tc>
        <w:tc>
          <w:tcPr>
            <w:tcW w:w="597"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-18.1</w:t>
            </w:r>
            <w:r w:rsidRPr="008C7B59">
              <w:t>%</w:t>
            </w:r>
          </w:p>
        </w:tc>
        <w:tc>
          <w:tcPr>
            <w:tcW w:w="597"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-19.3</w:t>
            </w:r>
            <w:r w:rsidRPr="008C7B59">
              <w:t>%</w:t>
            </w:r>
          </w:p>
        </w:tc>
        <w:tc>
          <w:tcPr>
            <w:tcW w:w="597"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-19.2</w:t>
            </w:r>
            <w:r w:rsidRPr="008C7B59">
              <w:t>%</w:t>
            </w:r>
          </w:p>
        </w:tc>
      </w:tr>
    </w:tbl>
    <w:p w:rsidR="008C7B59" w:rsidRPr="00E31C40" w:rsidRDefault="008C7B59" w:rsidP="008C7B59">
      <w:pPr>
        <w:pStyle w:val="AERtablesource"/>
      </w:pPr>
      <w:r w:rsidRPr="00E31C40">
        <w:t>Source:</w:t>
      </w:r>
      <w:r w:rsidRPr="00E31C40">
        <w:tab/>
      </w:r>
      <w:r>
        <w:t xml:space="preserve">Powerlink, </w:t>
      </w:r>
      <w:r w:rsidRPr="005706F1">
        <w:rPr>
          <w:rStyle w:val="AERtextitalic"/>
        </w:rPr>
        <w:t>Capex model PUBLIC</w:t>
      </w:r>
      <w:r w:rsidRPr="00E31C40">
        <w:t xml:space="preserve">, </w:t>
      </w:r>
      <w:r>
        <w:t>January</w:t>
      </w:r>
      <w:r w:rsidRPr="00E31C40">
        <w:t xml:space="preserve"> 201</w:t>
      </w:r>
      <w:r>
        <w:t>6</w:t>
      </w:r>
      <w:r w:rsidRPr="00E31C40">
        <w:t>; AER analysis</w:t>
      </w:r>
      <w:r>
        <w:t>.</w:t>
      </w:r>
    </w:p>
    <w:p w:rsidR="008C7B59" w:rsidRPr="008C7B59" w:rsidRDefault="008C7B59" w:rsidP="008C7B59">
      <w:pPr>
        <w:pStyle w:val="AERtablesource"/>
        <w:rPr>
          <w:rFonts w:eastAsiaTheme="minorHAnsi"/>
        </w:rPr>
      </w:pPr>
      <w:r w:rsidRPr="00E31C40">
        <w:lastRenderedPageBreak/>
        <w:t>Note:</w:t>
      </w:r>
      <w:r w:rsidRPr="00E31C40" w:rsidDel="002A0B9F">
        <w:t xml:space="preserve"> </w:t>
      </w:r>
      <w:r w:rsidRPr="00E31C40">
        <w:tab/>
        <w:t xml:space="preserve">Numbers may not add up due to rounding. </w:t>
      </w:r>
    </w:p>
    <w:p w:rsidR="00875C9D" w:rsidRDefault="00C0379A" w:rsidP="008C7B59">
      <w:pPr>
        <w:numPr>
          <w:ilvl w:val="0"/>
          <w:numId w:val="24"/>
        </w:numPr>
      </w:pPr>
      <w:r>
        <w:t>Powerlink's capex proposal consists of $843.2 million for non-load driven capex, $10</w:t>
      </w:r>
      <w:r w:rsidR="006E333B">
        <w:t> </w:t>
      </w:r>
      <w:r>
        <w:t xml:space="preserve">million for </w:t>
      </w:r>
      <w:r w:rsidR="00B44DB8">
        <w:t>augmentation</w:t>
      </w:r>
      <w:r>
        <w:t xml:space="preserve"> capex, and $</w:t>
      </w:r>
      <w:r w:rsidR="00B44DB8">
        <w:t>103.1 million for non-network capex. In our substitute estimate, we accept Powerlink's forecast for augmentation and non-network capex, but have substituted our own estimate for non-load driven capex.</w:t>
      </w:r>
    </w:p>
    <w:p w:rsidR="00B44DB8" w:rsidRDefault="00B44DB8" w:rsidP="008C7B59">
      <w:pPr>
        <w:numPr>
          <w:ilvl w:val="0"/>
          <w:numId w:val="24"/>
        </w:numPr>
      </w:pPr>
      <w:r>
        <w:t>Powerlink's non-load driven capex forecast consists of asset replacement ($794.3</w:t>
      </w:r>
      <w:r w:rsidR="006E333B">
        <w:t> </w:t>
      </w:r>
      <w:r>
        <w:t xml:space="preserve">million), security and compliance ($18.8 million), and other non-load driven capex ($30.1 million). Powerlink forecast the bulk of its asset replacement capex using a top-down approach that uses a modified version of the AER's repex model. This model relies on using asset age as a proxy for the many factors that influence individual asset replacements. Powerlink has calibrated and adjusted the repex model inputs </w:t>
      </w:r>
      <w:r w:rsidR="00B316A3">
        <w:t>using its actual expenditure from 2010 to 2015.</w:t>
      </w:r>
    </w:p>
    <w:p w:rsidR="002157D7" w:rsidRDefault="006E333B" w:rsidP="008C7B59">
      <w:pPr>
        <w:numPr>
          <w:ilvl w:val="0"/>
          <w:numId w:val="24"/>
        </w:numPr>
      </w:pPr>
      <w:r>
        <w:t>To assist our</w:t>
      </w:r>
      <w:r w:rsidR="00B316A3">
        <w:t xml:space="preserve"> review of Powerlink's forecast, we engaged consultants to assess the prudency and efficiency of Powerlink's asset replacement forecast</w:t>
      </w:r>
      <w:r>
        <w:t>, including the forecasting methodology, inputs and assumptions</w:t>
      </w:r>
      <w:r w:rsidR="00B316A3">
        <w:t xml:space="preserve">. We also analysed Powerlink's forecast using our internal technical and engineering expertise. </w:t>
      </w:r>
    </w:p>
    <w:p w:rsidR="00A609B2" w:rsidRPr="00A609B2" w:rsidRDefault="00A609B2" w:rsidP="00A609B2">
      <w:pPr>
        <w:numPr>
          <w:ilvl w:val="0"/>
          <w:numId w:val="24"/>
        </w:numPr>
      </w:pPr>
      <w:r w:rsidRPr="00A609B2">
        <w:t xml:space="preserve">Powerlink's forecast capex is 31% lower than its actual expenditure in the previous regulatory control period. The main reason for this reduction is low forecast demand growth. Queensland has transitioned from high to relatively flat demand growth over the last </w:t>
      </w:r>
      <w:r>
        <w:t>5</w:t>
      </w:r>
      <w:r w:rsidRPr="00A609B2">
        <w:t xml:space="preserve"> years. Forecast low demand growth over the next 5 years means that Powerlink requires ver</w:t>
      </w:r>
      <w:r w:rsidR="00FA3733">
        <w:t>y little augmentation capex ($11</w:t>
      </w:r>
      <w:r w:rsidRPr="00A609B2">
        <w:t xml:space="preserve"> million or 1% of total capex) for this period.</w:t>
      </w:r>
    </w:p>
    <w:p w:rsidR="00A609B2" w:rsidRPr="00A609B2" w:rsidRDefault="00A609B2" w:rsidP="00A609B2">
      <w:pPr>
        <w:numPr>
          <w:ilvl w:val="0"/>
          <w:numId w:val="24"/>
        </w:numPr>
      </w:pPr>
      <w:r w:rsidRPr="00A609B2">
        <w:t xml:space="preserve">The focus of Powerlink's capex program is replacement capex. The majority of Powerlink’s repex forecast is based on a top-down forecasting approach which uses the age profile </w:t>
      </w:r>
      <w:r w:rsidR="0019633E">
        <w:t xml:space="preserve">of </w:t>
      </w:r>
      <w:r w:rsidRPr="00A609B2">
        <w:t>its existing assets and applies the historica</w:t>
      </w:r>
      <w:r w:rsidR="00FA3733">
        <w:t>l average asset replacement age</w:t>
      </w:r>
      <w:r w:rsidRPr="00A609B2">
        <w:t xml:space="preserve"> to determine a forecast of replacement requirements for the 2017–22 regulatory control </w:t>
      </w:r>
      <w:proofErr w:type="gramStart"/>
      <w:r w:rsidRPr="00A609B2">
        <w:t>period</w:t>
      </w:r>
      <w:proofErr w:type="gramEnd"/>
      <w:r w:rsidRPr="00A609B2">
        <w:t>.</w:t>
      </w:r>
    </w:p>
    <w:p w:rsidR="00A609B2" w:rsidRPr="00A609B2" w:rsidRDefault="00A609B2" w:rsidP="00A609B2">
      <w:pPr>
        <w:numPr>
          <w:ilvl w:val="0"/>
          <w:numId w:val="24"/>
        </w:numPr>
      </w:pPr>
      <w:r w:rsidRPr="00A609B2">
        <w:t>While we consider that Powerlink’s forecasting methodology is generally reasonable, we have a number of concerns with how Powerlink has implemented its approach. In particular, we have concerns with Powerlink's forecast replacement age of assets. In the past, Powerlink replaced assets at an earlier point than other transmission businesses and earlier than we now believe was necessary in some cases. Powerlink itself has recognised this issue and has adjusted its asset reinvestment policies and practices to bring it more into line with industry best practice. The revisions we have made to the asset replacement lives used in Powerlink's repex model attempt to capture Powerlink's more recent practice.</w:t>
      </w:r>
    </w:p>
    <w:p w:rsidR="00B316A3" w:rsidRDefault="00A609B2" w:rsidP="00A609B2">
      <w:pPr>
        <w:numPr>
          <w:ilvl w:val="0"/>
          <w:numId w:val="24"/>
        </w:numPr>
      </w:pPr>
      <w:r w:rsidRPr="00A609B2">
        <w:t>We seek input from Powerlink and other stakeholders on the approach that we have adopted.</w:t>
      </w:r>
      <w:r>
        <w:t xml:space="preserve"> </w:t>
      </w:r>
      <w:r w:rsidR="006E333B">
        <w:t>We</w:t>
      </w:r>
      <w:r w:rsidR="00B316A3">
        <w:t xml:space="preserve"> concluded that Powerlink's </w:t>
      </w:r>
      <w:r w:rsidR="006F4C17">
        <w:t>average</w:t>
      </w:r>
      <w:r w:rsidR="00B316A3">
        <w:t xml:space="preserve"> asset lives </w:t>
      </w:r>
      <w:r w:rsidR="006F4C17">
        <w:t xml:space="preserve">used as an input </w:t>
      </w:r>
      <w:r w:rsidR="00B316A3">
        <w:t xml:space="preserve">to the repex model were </w:t>
      </w:r>
      <w:r w:rsidR="006F4C17">
        <w:t>shorter than Powerlink is likely to achieve in practice and therefore</w:t>
      </w:r>
      <w:r w:rsidR="007B4065">
        <w:t xml:space="preserve"> needed to be longer to produce a prudent and efficient </w:t>
      </w:r>
      <w:r w:rsidR="006F4C17">
        <w:t xml:space="preserve">capex </w:t>
      </w:r>
      <w:r w:rsidR="007B4065">
        <w:t xml:space="preserve">forecast. This change has led us to substitute an amount of $609.8 million for asset replacement </w:t>
      </w:r>
      <w:r w:rsidR="006F4C17">
        <w:t xml:space="preserve">capex </w:t>
      </w:r>
      <w:r w:rsidR="007B4065">
        <w:t xml:space="preserve">instead of Powerlink's forecast $794.3 million. This change accounts for all of the </w:t>
      </w:r>
      <w:r w:rsidR="007B4065">
        <w:lastRenderedPageBreak/>
        <w:t>difference between our substitute forecast and Powerlink's proposed forecast</w:t>
      </w:r>
      <w:r w:rsidR="006F4C17">
        <w:t xml:space="preserve"> of total capex</w:t>
      </w:r>
      <w:r w:rsidR="007B4065">
        <w:t>.</w:t>
      </w:r>
    </w:p>
    <w:p w:rsidR="008C7B59" w:rsidRPr="00DE1D15" w:rsidRDefault="008C7B59" w:rsidP="008C7B59">
      <w:pPr>
        <w:numPr>
          <w:ilvl w:val="0"/>
          <w:numId w:val="24"/>
        </w:numPr>
      </w:pPr>
      <w:r w:rsidRPr="00DE1D15">
        <w:t>We are guided by the NER in our assessment of a network service provider's capex forecasts. The NER requires us to accept the forecast of required capex included in a building block proposal if we are satisfied that the total of the forecast capex for the regulatory control period reasonably reflects the criteria set out in clause 6A.6.7(c) of the NER</w:t>
      </w:r>
      <w:r w:rsidR="000C5ACF">
        <w:t>, taking into account the capex factors set out in clause 6A.6.7(e)</w:t>
      </w:r>
      <w:r w:rsidRPr="00DE1D15">
        <w:t xml:space="preserve">. In the event that we are not so satisfied, the NER guides us to substitute the service provider's forecast of required capex with one that we are satisfied does </w:t>
      </w:r>
      <w:r w:rsidR="0019633E">
        <w:t>reasonably reflect</w:t>
      </w:r>
      <w:r w:rsidR="0019633E" w:rsidRPr="00DE1D15">
        <w:t xml:space="preserve"> </w:t>
      </w:r>
      <w:r w:rsidRPr="00DE1D15">
        <w:t>the capex criteria.</w:t>
      </w:r>
      <w:r w:rsidR="0019633E">
        <w:rPr>
          <w:rStyle w:val="FootnoteReference"/>
        </w:rPr>
        <w:footnoteReference w:id="2"/>
      </w:r>
    </w:p>
    <w:p w:rsidR="008C7B59" w:rsidRPr="008C7B59" w:rsidRDefault="008C7B59" w:rsidP="008C7B59">
      <w:pPr>
        <w:numPr>
          <w:ilvl w:val="0"/>
          <w:numId w:val="24"/>
        </w:numPr>
      </w:pPr>
      <w:r w:rsidRPr="00DE1D15">
        <w:t xml:space="preserve">We use a variety of techniques in arriving at a forecast of required capex that we are satisfied </w:t>
      </w:r>
      <w:r w:rsidR="000C5ACF">
        <w:t>reasonably reflect</w:t>
      </w:r>
      <w:r w:rsidR="003571EA">
        <w:t>s</w:t>
      </w:r>
      <w:r w:rsidR="000C5ACF" w:rsidRPr="00DE1D15">
        <w:t xml:space="preserve"> </w:t>
      </w:r>
      <w:r w:rsidRPr="00DE1D15">
        <w:t>the capex criteria, including economic benchmarking, trend</w:t>
      </w:r>
      <w:r w:rsidR="003571EA">
        <w:t xml:space="preserve"> analysis, </w:t>
      </w:r>
      <w:r w:rsidRPr="00DE1D15">
        <w:t xml:space="preserve">and a review of forecasting methodology, inputs and assumptions. We also have regard to stakeholder submissions in arriving at our findings. </w:t>
      </w:r>
    </w:p>
    <w:p w:rsidR="008C7B59" w:rsidRPr="00DE1D15" w:rsidRDefault="008C7B59" w:rsidP="008C7B59">
      <w:r w:rsidRPr="00DE1D15">
        <w:t xml:space="preserve">A summary of our reasons and findings that we present in this attachment and appendix </w:t>
      </w:r>
      <w:fldSimple w:instr=" REF _Ref460233849 \r ">
        <w:r w:rsidR="005252EC">
          <w:t>B</w:t>
        </w:r>
      </w:fldSimple>
      <w:r>
        <w:t xml:space="preserve"> </w:t>
      </w:r>
      <w:r w:rsidRPr="00DE1D15">
        <w:t xml:space="preserve">is set out in </w:t>
      </w:r>
      <w:r w:rsidRPr="008C7B59">
        <w:fldChar w:fldCharType="begin"/>
      </w:r>
      <w:r>
        <w:instrText xml:space="preserve"> REF _Ref448499723 </w:instrText>
      </w:r>
      <w:r w:rsidRPr="008C7B59">
        <w:fldChar w:fldCharType="separate"/>
      </w:r>
      <w:r w:rsidR="005252EC">
        <w:t xml:space="preserve">Table </w:t>
      </w:r>
      <w:r w:rsidR="005252EC">
        <w:rPr>
          <w:noProof/>
        </w:rPr>
        <w:t>6</w:t>
      </w:r>
      <w:r w:rsidR="005252EC">
        <w:t>.</w:t>
      </w:r>
      <w:r w:rsidR="005252EC">
        <w:rPr>
          <w:noProof/>
        </w:rPr>
        <w:t>2</w:t>
      </w:r>
      <w:r w:rsidRPr="008C7B59">
        <w:fldChar w:fldCharType="end"/>
      </w:r>
      <w:r w:rsidRPr="00DE1D15">
        <w:t xml:space="preserve">. In the table we present our reasons largely by ‘capex category’ such </w:t>
      </w:r>
      <w:r w:rsidRPr="00B3125E">
        <w:t>as repex and non</w:t>
      </w:r>
      <w:r w:rsidRPr="00B3125E">
        <w:noBreakHyphen/>
        <w:t>network capex.</w:t>
      </w:r>
      <w:r w:rsidRPr="00DE1D15">
        <w:t xml:space="preserve"> This reflects the way in which we tested </w:t>
      </w:r>
      <w:r>
        <w:t>Powerlink's</w:t>
      </w:r>
      <w:r w:rsidRPr="00DE1D15">
        <w:t xml:space="preserve"> proposed total forecast capex. Our testing used techniques tailored to the different capex categories taking into account the best available evidence. Through our techniques, we found some aspects of </w:t>
      </w:r>
      <w:r>
        <w:t>Powerlink's</w:t>
      </w:r>
      <w:r w:rsidRPr="00DE1D15">
        <w:t xml:space="preserve"> proposal were not consistent with the NER. Our findings on </w:t>
      </w:r>
      <w:r>
        <w:t>Powerlink's repex</w:t>
      </w:r>
      <w:r w:rsidRPr="00DE1D15">
        <w:t xml:space="preserve"> explain why we are not satisfied that </w:t>
      </w:r>
      <w:r>
        <w:t>Powerlink's</w:t>
      </w:r>
      <w:r w:rsidRPr="00DE1D15">
        <w:t xml:space="preserve"> total forecast capex meets the capex criteria.</w:t>
      </w:r>
    </w:p>
    <w:p w:rsidR="008C7B59" w:rsidRDefault="008C7B59" w:rsidP="008C7B59">
      <w:pPr>
        <w:numPr>
          <w:ilvl w:val="0"/>
          <w:numId w:val="24"/>
        </w:numPr>
        <w:rPr>
          <w:rStyle w:val="AERbody"/>
        </w:rPr>
      </w:pPr>
      <w:r w:rsidRPr="006768F4">
        <w:rPr>
          <w:rStyle w:val="AERbody"/>
        </w:rPr>
        <w:t xml:space="preserve">Our findings on the capex </w:t>
      </w:r>
      <w:r>
        <w:rPr>
          <w:rStyle w:val="AERbody"/>
        </w:rPr>
        <w:t>categories</w:t>
      </w:r>
      <w:r w:rsidRPr="006768F4">
        <w:rPr>
          <w:rStyle w:val="AERbody"/>
        </w:rPr>
        <w:t xml:space="preserve"> are part of our broader analysis </w:t>
      </w:r>
      <w:r>
        <w:rPr>
          <w:rStyle w:val="AERbody"/>
        </w:rPr>
        <w:t xml:space="preserve">of overall expenditure </w:t>
      </w:r>
      <w:r w:rsidRPr="006768F4">
        <w:rPr>
          <w:rStyle w:val="AERbody"/>
        </w:rPr>
        <w:t xml:space="preserve">and </w:t>
      </w:r>
      <w:r>
        <w:rPr>
          <w:rStyle w:val="AERbody"/>
        </w:rPr>
        <w:t xml:space="preserve">should not </w:t>
      </w:r>
      <w:r w:rsidRPr="006768F4">
        <w:rPr>
          <w:rStyle w:val="AERbody"/>
        </w:rPr>
        <w:t>be considered in isolation. We do not approve an amount of forecast expe</w:t>
      </w:r>
      <w:r>
        <w:rPr>
          <w:rStyle w:val="AERbody"/>
        </w:rPr>
        <w:t xml:space="preserve">nditure for each capex category. </w:t>
      </w:r>
      <w:r w:rsidRPr="006768F4">
        <w:rPr>
          <w:rStyle w:val="AERbody"/>
        </w:rPr>
        <w:t xml:space="preserve">Our </w:t>
      </w:r>
      <w:r>
        <w:rPr>
          <w:rStyle w:val="AERbody"/>
        </w:rPr>
        <w:t>draft</w:t>
      </w:r>
      <w:r w:rsidRPr="006768F4">
        <w:rPr>
          <w:rStyle w:val="AERbody"/>
        </w:rPr>
        <w:t xml:space="preserve"> decision concerns </w:t>
      </w:r>
      <w:r>
        <w:rPr>
          <w:rStyle w:val="AERbody"/>
        </w:rPr>
        <w:t>Powerlink's</w:t>
      </w:r>
      <w:r w:rsidRPr="006768F4">
        <w:rPr>
          <w:rStyle w:val="AERbody"/>
        </w:rPr>
        <w:t xml:space="preserve"> t</w:t>
      </w:r>
      <w:r>
        <w:rPr>
          <w:rStyle w:val="AERbody"/>
        </w:rPr>
        <w:t>otal forecast capex for the 2017–22</w:t>
      </w:r>
      <w:r w:rsidRPr="006768F4">
        <w:rPr>
          <w:rStyle w:val="AERbody"/>
        </w:rPr>
        <w:t xml:space="preserve"> </w:t>
      </w:r>
      <w:r>
        <w:rPr>
          <w:rStyle w:val="AERbody"/>
        </w:rPr>
        <w:t xml:space="preserve">regulatory control </w:t>
      </w:r>
      <w:proofErr w:type="gramStart"/>
      <w:r>
        <w:rPr>
          <w:rStyle w:val="AERbody"/>
        </w:rPr>
        <w:t>period</w:t>
      </w:r>
      <w:proofErr w:type="gramEnd"/>
      <w:r w:rsidRPr="006768F4">
        <w:rPr>
          <w:rStyle w:val="AERbody"/>
        </w:rPr>
        <w:t xml:space="preserve">. </w:t>
      </w:r>
      <w:r>
        <w:rPr>
          <w:rStyle w:val="AERbody"/>
        </w:rPr>
        <w:t>We</w:t>
      </w:r>
      <w:r w:rsidRPr="006768F4">
        <w:rPr>
          <w:rStyle w:val="AERbody"/>
        </w:rPr>
        <w:t xml:space="preserve"> use our findings on the different capex </w:t>
      </w:r>
      <w:r>
        <w:rPr>
          <w:rStyle w:val="AERbody"/>
        </w:rPr>
        <w:t>categories</w:t>
      </w:r>
      <w:r w:rsidRPr="006768F4">
        <w:rPr>
          <w:rStyle w:val="AERbody"/>
        </w:rPr>
        <w:t xml:space="preserve"> to arrive at a subs</w:t>
      </w:r>
      <w:r>
        <w:rPr>
          <w:rStyle w:val="AERbody"/>
        </w:rPr>
        <w:t xml:space="preserve">titute estimate for total capex. We then test this total estimate of capex against the NER requirements. </w:t>
      </w:r>
    </w:p>
    <w:p w:rsidR="008C7B59" w:rsidRDefault="008C7B59" w:rsidP="008C7B59">
      <w:pPr>
        <w:pStyle w:val="Caption"/>
      </w:pPr>
      <w:bookmarkStart w:id="74" w:name="_Ref448499723"/>
      <w:bookmarkStart w:id="75" w:name="_Ref403468179"/>
      <w:proofErr w:type="gramStart"/>
      <w:r>
        <w:t xml:space="preserve">Table </w:t>
      </w:r>
      <w:fldSimple w:instr=" STYLEREF 1 \s ">
        <w:r w:rsidR="005252EC">
          <w:rPr>
            <w:noProof/>
          </w:rPr>
          <w:t>6</w:t>
        </w:r>
      </w:fldSimple>
      <w:r w:rsidR="00250D0F">
        <w:t>.</w:t>
      </w:r>
      <w:proofErr w:type="gramEnd"/>
      <w:r w:rsidR="005252EC">
        <w:fldChar w:fldCharType="begin"/>
      </w:r>
      <w:r w:rsidR="005252EC">
        <w:instrText xml:space="preserve"> SEQ Table \* ARABIC \s 1 </w:instrText>
      </w:r>
      <w:r w:rsidR="005252EC">
        <w:fldChar w:fldCharType="separate"/>
      </w:r>
      <w:r w:rsidR="005252EC">
        <w:rPr>
          <w:noProof/>
        </w:rPr>
        <w:t>2</w:t>
      </w:r>
      <w:r w:rsidR="005252EC">
        <w:rPr>
          <w:noProof/>
        </w:rPr>
        <w:fldChar w:fldCharType="end"/>
      </w:r>
      <w:bookmarkEnd w:id="74"/>
      <w:r>
        <w:tab/>
        <w:t>Summary of AER reasons and findings</w:t>
      </w:r>
      <w:bookmarkEnd w:id="75"/>
    </w:p>
    <w:tbl>
      <w:tblPr>
        <w:tblStyle w:val="AERtable-text0"/>
        <w:tblW w:w="0" w:type="auto"/>
        <w:tblLook w:val="04A0" w:firstRow="1" w:lastRow="0" w:firstColumn="1" w:lastColumn="0" w:noHBand="0" w:noVBand="1"/>
      </w:tblPr>
      <w:tblGrid>
        <w:gridCol w:w="2332"/>
        <w:gridCol w:w="6361"/>
      </w:tblGrid>
      <w:tr w:rsidR="008C7B59" w:rsidRPr="007B6ABF" w:rsidTr="005D15EC">
        <w:trPr>
          <w:cnfStyle w:val="100000000000" w:firstRow="1" w:lastRow="0" w:firstColumn="0" w:lastColumn="0" w:oddVBand="0" w:evenVBand="0" w:oddHBand="0" w:evenHBand="0" w:firstRowFirstColumn="0" w:firstRowLastColumn="0" w:lastRowFirstColumn="0" w:lastRowLastColumn="0"/>
        </w:trPr>
        <w:tc>
          <w:tcPr>
            <w:tcW w:w="2332" w:type="dxa"/>
            <w:hideMark/>
          </w:tcPr>
          <w:p w:rsidR="008C7B59" w:rsidRPr="008C7B59" w:rsidRDefault="008C7B59" w:rsidP="008C7B59">
            <w:r w:rsidRPr="00947470">
              <w:t>Issue</w:t>
            </w:r>
          </w:p>
        </w:tc>
        <w:tc>
          <w:tcPr>
            <w:tcW w:w="6361" w:type="dxa"/>
            <w:hideMark/>
          </w:tcPr>
          <w:p w:rsidR="008C7B59" w:rsidRPr="008C7B59" w:rsidRDefault="008C7B59" w:rsidP="008C7B59">
            <w:r w:rsidRPr="00947470">
              <w:t>Reasons and findings</w:t>
            </w:r>
          </w:p>
        </w:tc>
      </w:tr>
      <w:tr w:rsidR="008C7B59" w:rsidRPr="007B6ABF" w:rsidTr="005D15EC">
        <w:tc>
          <w:tcPr>
            <w:tcW w:w="2332" w:type="dxa"/>
          </w:tcPr>
          <w:p w:rsidR="008C7B59" w:rsidRPr="008C7B59" w:rsidRDefault="008C7B59" w:rsidP="008C7B59">
            <w:r w:rsidRPr="00947470">
              <w:t>Total capex forecast</w:t>
            </w:r>
          </w:p>
        </w:tc>
        <w:tc>
          <w:tcPr>
            <w:tcW w:w="6361" w:type="dxa"/>
          </w:tcPr>
          <w:p w:rsidR="008C7B59" w:rsidRPr="008C7B59" w:rsidRDefault="008C7B59" w:rsidP="008C7B59">
            <w:r>
              <w:t>Powerlink</w:t>
            </w:r>
            <w:r w:rsidRPr="008C7B59">
              <w:t xml:space="preserve"> proposed a total capex forecast of $959.7 million ($2016–17) in its proposal. We are not satisfied this forecast </w:t>
            </w:r>
            <w:r w:rsidR="000C5ACF">
              <w:t>reasonably r</w:t>
            </w:r>
            <w:r w:rsidR="000C5ACF" w:rsidRPr="008C7B59">
              <w:t xml:space="preserve">eflects </w:t>
            </w:r>
            <w:r w:rsidRPr="008C7B59">
              <w:t>the capex criteria.</w:t>
            </w:r>
          </w:p>
          <w:p w:rsidR="008C7B59" w:rsidRPr="008C7B59" w:rsidRDefault="008C7B59" w:rsidP="008C7B59">
            <w:r w:rsidRPr="00947470">
              <w:t xml:space="preserve">We are satisfied our substitute estimate of </w:t>
            </w:r>
            <w:r w:rsidRPr="008C7B59">
              <w:t>$764.5 million ($2016–17) reasonably reflects the capex criteria. Our substitute estimate is 20 per cent lower than Powerlink's proposal.</w:t>
            </w:r>
          </w:p>
          <w:p w:rsidR="008C7B59" w:rsidRPr="008C7B59" w:rsidRDefault="008C7B59" w:rsidP="008C7B59">
            <w:r w:rsidRPr="00947470">
              <w:t>The reasons for this draft decision are summarised in this table and detailed in the remainder of this attachment.</w:t>
            </w:r>
          </w:p>
        </w:tc>
      </w:tr>
      <w:tr w:rsidR="008C7B59" w:rsidRPr="00B82F93" w:rsidTr="005D15EC">
        <w:trPr>
          <w:cnfStyle w:val="000000010000" w:firstRow="0" w:lastRow="0" w:firstColumn="0" w:lastColumn="0" w:oddVBand="0" w:evenVBand="0" w:oddHBand="0" w:evenHBand="1" w:firstRowFirstColumn="0" w:firstRowLastColumn="0" w:lastRowFirstColumn="0" w:lastRowLastColumn="0"/>
        </w:trPr>
        <w:tc>
          <w:tcPr>
            <w:tcW w:w="2332" w:type="dxa"/>
          </w:tcPr>
          <w:p w:rsidR="008C7B59" w:rsidRPr="008C7B59" w:rsidRDefault="008C7B59" w:rsidP="008C7B59">
            <w:r w:rsidRPr="00947470">
              <w:t xml:space="preserve">Forecasting methodology, key assumptions and past </w:t>
            </w:r>
            <w:r w:rsidRPr="00947470">
              <w:lastRenderedPageBreak/>
              <w:t>capex performance</w:t>
            </w:r>
          </w:p>
        </w:tc>
        <w:tc>
          <w:tcPr>
            <w:tcW w:w="6361" w:type="dxa"/>
          </w:tcPr>
          <w:p w:rsidR="008C7B59" w:rsidRPr="008C7B59" w:rsidRDefault="008C7B59" w:rsidP="008C7B59">
            <w:r w:rsidRPr="004163D5">
              <w:lastRenderedPageBreak/>
              <w:t xml:space="preserve">Our </w:t>
            </w:r>
            <w:r w:rsidRPr="008C7B59">
              <w:t xml:space="preserve">concerns involve some aspects of Powerlink's forecasting methodology and key assumptions which are material to our view that we are not reasonably satisfied that its </w:t>
            </w:r>
            <w:r w:rsidRPr="008C7B59">
              <w:lastRenderedPageBreak/>
              <w:t>proposed total forecast capex reasonably reflects the capex criteria.</w:t>
            </w:r>
          </w:p>
          <w:p w:rsidR="008C7B59" w:rsidRPr="008C7B59" w:rsidRDefault="008C7B59" w:rsidP="008C7B59">
            <w:r>
              <w:t>Powerlink's capex foreca</w:t>
            </w:r>
            <w:r w:rsidRPr="008C7B59">
              <w:t xml:space="preserve">sting methodology primarily relies on a top-down approach to forecast asset replacement requirements using a modified version of the AER's repex model. This model relies on using asset age as a proxy for the many factors that influence individual asset replacements. Powerlink has calibrated and adjusted the repex model inputs based on its actual asset replacement expenditure in the period from 2010 to 2015. </w:t>
            </w:r>
          </w:p>
          <w:p w:rsidR="008C7B59" w:rsidRPr="008C7B59" w:rsidRDefault="008C7B59" w:rsidP="008C7B59">
            <w:r>
              <w:t xml:space="preserve">In recent years, </w:t>
            </w:r>
            <w:r w:rsidRPr="008C7B59">
              <w:t>Powerlink has implemented a number of improvement initiatives and continues to review, revise and improve its asset management strategies. However, we are concerned that Powerlink's historical asset replacement policies and practices, particularly in the early years of the calibration period, are likely to distort the repex model calibration and result in average asset replacement lives which are shorter than Powerlink is actually likely to achieve in the 2017–22 regulatory control period.</w:t>
            </w:r>
          </w:p>
          <w:p w:rsidR="008C7B59" w:rsidRPr="008C7B59" w:rsidRDefault="008C7B59" w:rsidP="008C7B59">
            <w:r>
              <w:t>B</w:t>
            </w:r>
            <w:r w:rsidRPr="008C7B59">
              <w:t>ased on Powerlink's historical repex project documentation and actual project outcomes, it is clear that the actual survival lives of assets achieved by Powerlink are typically longer than Powerlink has assumed in its repex model. We are therefore not satisfied that the inputs and assumptions which underpin Powerlink's use of the repex model are likely to result in a capex forecast which reasonably reflects the efficient costs that a prudent operator would require to achieve the capex objectives.</w:t>
            </w:r>
          </w:p>
          <w:p w:rsidR="008C7B59" w:rsidRPr="008C7B59" w:rsidRDefault="008C7B59" w:rsidP="008C7B59">
            <w:pPr>
              <w:rPr>
                <w:rStyle w:val="AERtexthighlight"/>
              </w:rPr>
            </w:pPr>
            <w:r>
              <w:t>Where Powerlink has forecast capex on an individual project basis, suc</w:t>
            </w:r>
            <w:r w:rsidRPr="008C7B59">
              <w:t>h as for power transformers, we also have some concerns that Powerlink has not necessarily considered an appropriate range of options or selected the most prudent and efficient approach to address the identified need.</w:t>
            </w:r>
          </w:p>
        </w:tc>
      </w:tr>
      <w:tr w:rsidR="008C7B59" w:rsidRPr="007B6ABF" w:rsidTr="005D15EC">
        <w:tc>
          <w:tcPr>
            <w:tcW w:w="2332" w:type="dxa"/>
          </w:tcPr>
          <w:p w:rsidR="008C7B59" w:rsidRPr="008C7B59" w:rsidRDefault="008C7B59" w:rsidP="008C7B59">
            <w:r>
              <w:lastRenderedPageBreak/>
              <w:t>Asset replacement (reinvestment</w:t>
            </w:r>
            <w:r w:rsidRPr="008C7B59">
              <w:t>)</w:t>
            </w:r>
          </w:p>
        </w:tc>
        <w:tc>
          <w:tcPr>
            <w:tcW w:w="6361" w:type="dxa"/>
          </w:tcPr>
          <w:p w:rsidR="008C7B59" w:rsidRPr="008C7B59" w:rsidRDefault="008C7B59" w:rsidP="008C7B59">
            <w:r w:rsidRPr="00EB582E">
              <w:t xml:space="preserve">We do not accept Powerlink's forecast </w:t>
            </w:r>
            <w:r w:rsidRPr="008C7B59">
              <w:t>repex of $794.3 million ($2016</w:t>
            </w:r>
            <w:r w:rsidR="00CB260C">
              <w:t>–</w:t>
            </w:r>
            <w:r w:rsidRPr="008C7B59">
              <w:t>17). In particular, we are not satisfied that Powerlink's assumptions of forecast asset replacement lives reflected in its repex modelling are realistic and likely to result in a forecast of asset replacement capex requirements which is prudent and efficient and reflects the capex objectives. We have included in our substitute estimate of overall total capex an amount of $609.8 million ($2016</w:t>
            </w:r>
            <w:r w:rsidR="00CB260C">
              <w:t>–</w:t>
            </w:r>
            <w:r w:rsidRPr="008C7B59">
              <w:t>17) for asset replacement (reinvestment) capex.</w:t>
            </w:r>
          </w:p>
        </w:tc>
      </w:tr>
      <w:tr w:rsidR="008C7B59" w:rsidRPr="007B6ABF" w:rsidTr="005D15EC">
        <w:trPr>
          <w:cnfStyle w:val="000000010000" w:firstRow="0" w:lastRow="0" w:firstColumn="0" w:lastColumn="0" w:oddVBand="0" w:evenVBand="0" w:oddHBand="0" w:evenHBand="1" w:firstRowFirstColumn="0" w:firstRowLastColumn="0" w:lastRowFirstColumn="0" w:lastRowLastColumn="0"/>
        </w:trPr>
        <w:tc>
          <w:tcPr>
            <w:tcW w:w="2332" w:type="dxa"/>
          </w:tcPr>
          <w:p w:rsidR="008C7B59" w:rsidRPr="008C7B59" w:rsidRDefault="008C7B59" w:rsidP="008C7B59">
            <w:r>
              <w:t xml:space="preserve">Security and </w:t>
            </w:r>
            <w:r w:rsidRPr="008C7B59">
              <w:t xml:space="preserve">compliance </w:t>
            </w:r>
          </w:p>
        </w:tc>
        <w:tc>
          <w:tcPr>
            <w:tcW w:w="6361" w:type="dxa"/>
          </w:tcPr>
          <w:p w:rsidR="008C7B59" w:rsidRPr="008C7B59" w:rsidRDefault="008C7B59" w:rsidP="008C7B59">
            <w:r w:rsidRPr="00EB582E">
              <w:t>We accept Powerlink's forecast of $18.8 million ($2016</w:t>
            </w:r>
            <w:r w:rsidR="00CB260C">
              <w:t>–</w:t>
            </w:r>
            <w:r w:rsidRPr="00EB582E">
              <w:t>17) for security and compliance non-load driven capex. We consider that Powerlink's forecasting methodology based on trend analysis adjusted to account for non-recurrent and abnormal items is appropriate for this category of capex.</w:t>
            </w:r>
          </w:p>
        </w:tc>
      </w:tr>
      <w:tr w:rsidR="008C7B59" w:rsidRPr="007B6ABF" w:rsidTr="005D15EC">
        <w:tc>
          <w:tcPr>
            <w:tcW w:w="2332" w:type="dxa"/>
          </w:tcPr>
          <w:p w:rsidR="008C7B59" w:rsidRPr="008C7B59" w:rsidRDefault="008C7B59" w:rsidP="008C7B59">
            <w:r>
              <w:t xml:space="preserve">Other </w:t>
            </w:r>
            <w:r w:rsidRPr="008C7B59">
              <w:t>non-load driven capex</w:t>
            </w:r>
          </w:p>
        </w:tc>
        <w:tc>
          <w:tcPr>
            <w:tcW w:w="6361" w:type="dxa"/>
          </w:tcPr>
          <w:p w:rsidR="008C7B59" w:rsidRPr="008C7B59" w:rsidRDefault="008C7B59" w:rsidP="008C7B59">
            <w:r w:rsidRPr="00EB582E">
              <w:t>We accept Powerlink's forecast of $30.1 million ($2016</w:t>
            </w:r>
            <w:r w:rsidR="00CB260C">
              <w:t>–</w:t>
            </w:r>
            <w:r w:rsidRPr="00EB582E">
              <w:t>17) for other non-load driven capex. We consider that Powerlink's forecasting methodology based on trend analysis adjusted to account for non-recurrent and abnormal items is appropriate for this category of capex. However, we expect that Powerlink will provide additional justification for the non-recurrent Wide Area Network telecommunications project in its revised proposal.</w:t>
            </w:r>
          </w:p>
        </w:tc>
      </w:tr>
      <w:tr w:rsidR="008C7B59" w:rsidRPr="007B6ABF" w:rsidTr="005D15EC">
        <w:trPr>
          <w:cnfStyle w:val="000000010000" w:firstRow="0" w:lastRow="0" w:firstColumn="0" w:lastColumn="0" w:oddVBand="0" w:evenVBand="0" w:oddHBand="0" w:evenHBand="1" w:firstRowFirstColumn="0" w:firstRowLastColumn="0" w:lastRowFirstColumn="0" w:lastRowLastColumn="0"/>
        </w:trPr>
        <w:tc>
          <w:tcPr>
            <w:tcW w:w="2332" w:type="dxa"/>
          </w:tcPr>
          <w:p w:rsidR="008C7B59" w:rsidRPr="008C7B59" w:rsidRDefault="008C7B59" w:rsidP="008C7B59">
            <w:r>
              <w:t>A</w:t>
            </w:r>
            <w:r w:rsidRPr="008C7B59">
              <w:t xml:space="preserve">ugmentation </w:t>
            </w:r>
          </w:p>
        </w:tc>
        <w:tc>
          <w:tcPr>
            <w:tcW w:w="6361" w:type="dxa"/>
          </w:tcPr>
          <w:p w:rsidR="008C7B59" w:rsidRPr="008C7B59" w:rsidRDefault="008C7B59" w:rsidP="008C7B59">
            <w:r>
              <w:t xml:space="preserve">Powerlink </w:t>
            </w:r>
            <w:r w:rsidRPr="008C7B59">
              <w:t>propos</w:t>
            </w:r>
            <w:r w:rsidR="00FA3733">
              <w:t xml:space="preserve">ed $10.8 </w:t>
            </w:r>
            <w:r w:rsidRPr="008C7B59">
              <w:t>million ($2016–17) in augmentation capex comprising $7.7 million ($2016–17) for easement and $3.1</w:t>
            </w:r>
            <w:r w:rsidR="00FA3733">
              <w:t xml:space="preserve"> </w:t>
            </w:r>
            <w:r w:rsidRPr="008C7B59">
              <w:t xml:space="preserve">million ($2016–17) for load-driven augex. </w:t>
            </w:r>
          </w:p>
          <w:p w:rsidR="008C7B59" w:rsidRPr="008C7B59" w:rsidRDefault="00FA3733" w:rsidP="008C7B59">
            <w:r>
              <w:t>We accept the $10.8</w:t>
            </w:r>
            <w:r w:rsidR="008C7B59">
              <w:t xml:space="preserve"> million ($2016–17</w:t>
            </w:r>
            <w:r w:rsidR="008C7B59" w:rsidRPr="008C7B59">
              <w:t xml:space="preserve">) augmentation capex on the basis that it is significantly less than the historical level of augex and reflects the relatively flat demand trend in the current period.  </w:t>
            </w:r>
          </w:p>
        </w:tc>
      </w:tr>
      <w:tr w:rsidR="008C7B59" w:rsidRPr="007B6ABF" w:rsidTr="005D15EC">
        <w:tc>
          <w:tcPr>
            <w:tcW w:w="2332" w:type="dxa"/>
          </w:tcPr>
          <w:p w:rsidR="008C7B59" w:rsidRPr="008C7B59" w:rsidRDefault="008C7B59" w:rsidP="008C7B59">
            <w:r w:rsidRPr="00947470">
              <w:t>Non-network capex</w:t>
            </w:r>
          </w:p>
        </w:tc>
        <w:tc>
          <w:tcPr>
            <w:tcW w:w="6361" w:type="dxa"/>
          </w:tcPr>
          <w:p w:rsidR="008C7B59" w:rsidRPr="008C7B59" w:rsidRDefault="008C7B59" w:rsidP="008C7B59">
            <w:r>
              <w:t>Powerlink proposed $</w:t>
            </w:r>
            <w:r w:rsidRPr="008C7B59">
              <w:t>103.1 million ($2016–17) for non-network capex, including $60.5 million for ICT and $24.5 million for commercial buildings.</w:t>
            </w:r>
          </w:p>
          <w:p w:rsidR="008C7B59" w:rsidRPr="008C7B59" w:rsidRDefault="008C7B59" w:rsidP="008C7B59">
            <w:r>
              <w:t>We accept Powerlink's forecast for non-network capex on the basis that this reasonably reflects the required expenditure for this category.</w:t>
            </w:r>
          </w:p>
        </w:tc>
      </w:tr>
      <w:tr w:rsidR="008C7B59" w:rsidRPr="007B6ABF" w:rsidTr="005D15EC">
        <w:trPr>
          <w:cnfStyle w:val="000000010000" w:firstRow="0" w:lastRow="0" w:firstColumn="0" w:lastColumn="0" w:oddVBand="0" w:evenVBand="0" w:oddHBand="0" w:evenHBand="1" w:firstRowFirstColumn="0" w:firstRowLastColumn="0" w:lastRowFirstColumn="0" w:lastRowLastColumn="0"/>
        </w:trPr>
        <w:tc>
          <w:tcPr>
            <w:tcW w:w="2332" w:type="dxa"/>
          </w:tcPr>
          <w:p w:rsidR="008C7B59" w:rsidRPr="008C7B59" w:rsidRDefault="008C7B59" w:rsidP="008C7B59">
            <w:r w:rsidRPr="00947470">
              <w:t>Real cost escalators</w:t>
            </w:r>
          </w:p>
        </w:tc>
        <w:tc>
          <w:tcPr>
            <w:tcW w:w="6361" w:type="dxa"/>
          </w:tcPr>
          <w:p w:rsidR="008C7B59" w:rsidRPr="008C7B59" w:rsidRDefault="008C7B59" w:rsidP="008C7B59">
            <w:pPr>
              <w:rPr>
                <w:rStyle w:val="AERtexthighlight"/>
              </w:rPr>
            </w:pPr>
            <w:r w:rsidRPr="00064A0F">
              <w:t>We discuss our assessment of forecast</w:t>
            </w:r>
            <w:r w:rsidRPr="008C7B59">
              <w:t xml:space="preserve"> labour price growth for Powerlink in attachment 7. Consistent with our draft decision on forecast opex, we have made no adjustment to Powerlink's forecast capex in relation to forecast real labour cost escalation. Powerlink has not proposed to apply real cost escalation for materials in its capex forecast. We have accepted this approach.  </w:t>
            </w:r>
          </w:p>
        </w:tc>
      </w:tr>
      <w:tr w:rsidR="008C7B59" w:rsidRPr="007B6ABF" w:rsidTr="005D15EC">
        <w:tc>
          <w:tcPr>
            <w:tcW w:w="2332" w:type="dxa"/>
          </w:tcPr>
          <w:p w:rsidR="008C7B59" w:rsidRPr="008C7B59" w:rsidRDefault="008C7B59" w:rsidP="008C7B59">
            <w:r>
              <w:lastRenderedPageBreak/>
              <w:t xml:space="preserve">Contingent projects </w:t>
            </w:r>
          </w:p>
        </w:tc>
        <w:tc>
          <w:tcPr>
            <w:tcW w:w="6361" w:type="dxa"/>
          </w:tcPr>
          <w:p w:rsidR="008C7B59" w:rsidRPr="008C7B59" w:rsidRDefault="008C7B59" w:rsidP="008C7B59">
            <w:r>
              <w:t>Powerlink proposed $590 million for seven contingent projects. We do not accept two of these projects</w:t>
            </w:r>
            <w:r w:rsidRPr="008C7B59">
              <w:t xml:space="preserve"> (the North West Surat Basin Area project and the Southern Galilee Basin project) because we do not consider that the load growth Powerlink forecasted for these two projects will eventuate. We accept the remaining five projects as contingent projects but require Powerlink to amend the trigger events proposed for these projects. </w:t>
            </w:r>
          </w:p>
        </w:tc>
      </w:tr>
    </w:tbl>
    <w:p w:rsidR="008C7B59" w:rsidRPr="006B798A" w:rsidRDefault="008C7B59" w:rsidP="008C7B59">
      <w:pPr>
        <w:pStyle w:val="AERtablesource"/>
      </w:pPr>
      <w:r w:rsidRPr="006B798A">
        <w:t>Source:</w:t>
      </w:r>
      <w:r w:rsidRPr="006B798A">
        <w:tab/>
        <w:t>AER analysis.</w:t>
      </w:r>
    </w:p>
    <w:p w:rsidR="00132D43" w:rsidRDefault="00132D43" w:rsidP="00132D43">
      <w:pPr>
        <w:pStyle w:val="Heading2"/>
      </w:pPr>
      <w:bookmarkStart w:id="76" w:name="_Toc462752284"/>
      <w:r>
        <w:t>Powerlink’s proposal</w:t>
      </w:r>
      <w:bookmarkEnd w:id="76"/>
    </w:p>
    <w:p w:rsidR="008C7B59" w:rsidRPr="0007480A" w:rsidRDefault="008C7B59" w:rsidP="008C7B59">
      <w:r>
        <w:t>Powerlink's</w:t>
      </w:r>
      <w:r w:rsidRPr="0007480A">
        <w:t xml:space="preserve"> proposed total forecast capex of $</w:t>
      </w:r>
      <w:r>
        <w:t>959.7</w:t>
      </w:r>
      <w:r w:rsidRPr="0007480A">
        <w:t xml:space="preserve"> million ($2016–17) for the 2017–22 regulatory control </w:t>
      </w:r>
      <w:proofErr w:type="gramStart"/>
      <w:r w:rsidRPr="0007480A">
        <w:t>period</w:t>
      </w:r>
      <w:proofErr w:type="gramEnd"/>
      <w:r w:rsidRPr="0007480A">
        <w:t>. This is $</w:t>
      </w:r>
      <w:r>
        <w:t>399.9</w:t>
      </w:r>
      <w:r w:rsidRPr="0007480A">
        <w:t xml:space="preserve"> million ($2016–17) or </w:t>
      </w:r>
      <w:r>
        <w:t>30</w:t>
      </w:r>
      <w:r w:rsidRPr="0007480A">
        <w:t xml:space="preserve"> per cent below </w:t>
      </w:r>
      <w:r>
        <w:t>Powerlink's</w:t>
      </w:r>
      <w:r w:rsidRPr="0007480A">
        <w:t xml:space="preserve"> actual and estimated capex of $</w:t>
      </w:r>
      <w:r>
        <w:t>1,359.6</w:t>
      </w:r>
      <w:r w:rsidRPr="0007480A">
        <w:t xml:space="preserve"> million</w:t>
      </w:r>
      <w:r>
        <w:t xml:space="preserve"> ($2016–17)</w:t>
      </w:r>
      <w:r w:rsidRPr="0007480A">
        <w:t xml:space="preserve"> for the 2012–17 period</w:t>
      </w:r>
      <w:r>
        <w:t xml:space="preserve"> and $1,473.1 million ($2016</w:t>
      </w:r>
      <w:r w:rsidR="00CB260C">
        <w:t>–</w:t>
      </w:r>
      <w:r>
        <w:t>17) or 61 per cent less than Powerlink's</w:t>
      </w:r>
      <w:r w:rsidRPr="005C1B16">
        <w:t xml:space="preserve"> capex for the 20</w:t>
      </w:r>
      <w:r>
        <w:t>07</w:t>
      </w:r>
      <w:r w:rsidRPr="005C1B16">
        <w:t>–1</w:t>
      </w:r>
      <w:r>
        <w:t>2</w:t>
      </w:r>
      <w:r w:rsidRPr="005C1B16">
        <w:t xml:space="preserve"> period</w:t>
      </w:r>
      <w:r w:rsidRPr="0007480A">
        <w:t xml:space="preserve">. </w:t>
      </w:r>
      <w:r>
        <w:t>As a result, Powerlink expects its RAB to reduce during the 2017–22 regulatory control period.</w:t>
      </w:r>
    </w:p>
    <w:p w:rsidR="008C7B59" w:rsidRPr="0007480A" w:rsidRDefault="008C7B59" w:rsidP="008C7B59">
      <w:r>
        <w:t xml:space="preserve">Powerlink largely attributed the reduction in proposed capex to a reduction in forecast demand growth. A consequence of a reduction in forecast demand growth is that the load driven categories of capex (augmentations, connections and easements) make up a very small proportion of Powerlink's total forecast capex of $10.8 million or 1.1 per cent. Replacement capex comprises the largest single category of capex accounting for $794.3 million or 83 per cent of total forecast capex. Information and communications technology </w:t>
      </w:r>
      <w:r w:rsidRPr="0007480A">
        <w:t xml:space="preserve">is the next largest category, accounting for </w:t>
      </w:r>
      <w:r>
        <w:t>$60.5 million or 6.3</w:t>
      </w:r>
      <w:r w:rsidRPr="0007480A">
        <w:t xml:space="preserve"> per cent of total forecast capex. </w:t>
      </w:r>
      <w:r>
        <w:t xml:space="preserve">All </w:t>
      </w:r>
      <w:r w:rsidRPr="00104B00">
        <w:t xml:space="preserve">expenditure categories </w:t>
      </w:r>
      <w:r>
        <w:t xml:space="preserve">have </w:t>
      </w:r>
      <w:r w:rsidRPr="00104B00">
        <w:t xml:space="preserve">capex forecasts </w:t>
      </w:r>
      <w:r>
        <w:t xml:space="preserve">which </w:t>
      </w:r>
      <w:r w:rsidRPr="00104B00">
        <w:t xml:space="preserve">are less than </w:t>
      </w:r>
      <w:r>
        <w:t>our</w:t>
      </w:r>
      <w:r w:rsidRPr="00104B00">
        <w:t xml:space="preserve"> approved capex for the 201</w:t>
      </w:r>
      <w:r>
        <w:t>2–</w:t>
      </w:r>
      <w:r w:rsidRPr="00104B00">
        <w:t xml:space="preserve">17 regulatory </w:t>
      </w:r>
      <w:r>
        <w:t xml:space="preserve">control </w:t>
      </w:r>
      <w:proofErr w:type="gramStart"/>
      <w:r w:rsidRPr="00104B00">
        <w:t>period</w:t>
      </w:r>
      <w:proofErr w:type="gramEnd"/>
      <w:r w:rsidRPr="00104B00">
        <w:t>.</w:t>
      </w:r>
    </w:p>
    <w:p w:rsidR="008C7B59" w:rsidRPr="0007480A" w:rsidRDefault="008C7B59" w:rsidP="008C7B59">
      <w:r w:rsidRPr="008C7B59">
        <w:fldChar w:fldCharType="begin"/>
      </w:r>
      <w:r>
        <w:instrText xml:space="preserve"> REF _Ref460234464 </w:instrText>
      </w:r>
      <w:r w:rsidRPr="008C7B59">
        <w:fldChar w:fldCharType="separate"/>
      </w:r>
      <w:r w:rsidR="005252EC">
        <w:t xml:space="preserve">Figure </w:t>
      </w:r>
      <w:r w:rsidR="005252EC">
        <w:rPr>
          <w:noProof/>
        </w:rPr>
        <w:t>6</w:t>
      </w:r>
      <w:r w:rsidR="005252EC">
        <w:t>.</w:t>
      </w:r>
      <w:r w:rsidR="005252EC">
        <w:rPr>
          <w:noProof/>
        </w:rPr>
        <w:t>1</w:t>
      </w:r>
      <w:r w:rsidRPr="008C7B59">
        <w:fldChar w:fldCharType="end"/>
      </w:r>
      <w:r w:rsidRPr="0007480A">
        <w:t xml:space="preserve"> shows </w:t>
      </w:r>
      <w:r>
        <w:t>Powerlink's</w:t>
      </w:r>
      <w:r w:rsidRPr="0007480A">
        <w:t xml:space="preserve"> </w:t>
      </w:r>
      <w:r w:rsidR="003571EA">
        <w:t xml:space="preserve">forecast capex for </w:t>
      </w:r>
      <w:r w:rsidRPr="0007480A">
        <w:t xml:space="preserve">the 2017–22 regulatory control </w:t>
      </w:r>
      <w:proofErr w:type="gramStart"/>
      <w:r w:rsidRPr="0007480A">
        <w:t>period</w:t>
      </w:r>
      <w:proofErr w:type="gramEnd"/>
      <w:r w:rsidRPr="0007480A">
        <w:t xml:space="preserve">. It also shows </w:t>
      </w:r>
      <w:r>
        <w:t>Powerlink's</w:t>
      </w:r>
      <w:r w:rsidRPr="0007480A">
        <w:t xml:space="preserve"> actual capex for each year of the 20</w:t>
      </w:r>
      <w:r>
        <w:t>08</w:t>
      </w:r>
      <w:r w:rsidRPr="0007480A">
        <w:t xml:space="preserve">–17 </w:t>
      </w:r>
      <w:proofErr w:type="gramStart"/>
      <w:r w:rsidRPr="0007480A">
        <w:t>period</w:t>
      </w:r>
      <w:proofErr w:type="gramEnd"/>
      <w:r w:rsidRPr="0007480A">
        <w:t>.</w:t>
      </w:r>
    </w:p>
    <w:p w:rsidR="008C7B59" w:rsidRDefault="008C7B59" w:rsidP="003571EA">
      <w:pPr>
        <w:pStyle w:val="Caption"/>
      </w:pPr>
      <w:bookmarkStart w:id="77" w:name="_Ref460234464"/>
      <w:proofErr w:type="gramStart"/>
      <w:r>
        <w:lastRenderedPageBreak/>
        <w:t xml:space="preserve">Figure </w:t>
      </w:r>
      <w:fldSimple w:instr=" STYLEREF 1 \s ">
        <w:r w:rsidR="005252EC">
          <w:rPr>
            <w:noProof/>
          </w:rPr>
          <w:t>6</w:t>
        </w:r>
      </w:fldSimple>
      <w:r w:rsidR="00D504BF">
        <w:t>.</w:t>
      </w:r>
      <w:proofErr w:type="gramEnd"/>
      <w:r w:rsidR="005252EC">
        <w:fldChar w:fldCharType="begin"/>
      </w:r>
      <w:r w:rsidR="005252EC">
        <w:instrText xml:space="preserve"> SEQ Figure \* ARABIC \s 1 </w:instrText>
      </w:r>
      <w:r w:rsidR="005252EC">
        <w:fldChar w:fldCharType="separate"/>
      </w:r>
      <w:r w:rsidR="005252EC">
        <w:rPr>
          <w:noProof/>
        </w:rPr>
        <w:t>1</w:t>
      </w:r>
      <w:r w:rsidR="005252EC">
        <w:rPr>
          <w:noProof/>
        </w:rPr>
        <w:fldChar w:fldCharType="end"/>
      </w:r>
      <w:bookmarkEnd w:id="77"/>
      <w:r>
        <w:tab/>
      </w:r>
      <w:r w:rsidRPr="00EB582E">
        <w:t>Powerlink's</w:t>
      </w:r>
      <w:r w:rsidRPr="0007480A">
        <w:t xml:space="preserve"> total actual and forecast capex</w:t>
      </w:r>
    </w:p>
    <w:p w:rsidR="00C55407" w:rsidRDefault="00C55407" w:rsidP="008C7B59">
      <w:r w:rsidRPr="00C55407">
        <w:rPr>
          <w:noProof/>
          <w:lang w:eastAsia="en-AU"/>
        </w:rPr>
        <w:drawing>
          <wp:inline distT="0" distB="0" distL="0" distR="0" wp14:anchorId="37E96C16" wp14:editId="10E44B81">
            <wp:extent cx="5545776" cy="3279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72231" cy="3295405"/>
                    </a:xfrm>
                    <a:prstGeom prst="rect">
                      <a:avLst/>
                    </a:prstGeom>
                  </pic:spPr>
                </pic:pic>
              </a:graphicData>
            </a:graphic>
          </wp:inline>
        </w:drawing>
      </w:r>
    </w:p>
    <w:p w:rsidR="008C7B59" w:rsidRDefault="008C7B59" w:rsidP="008C7B59">
      <w:pPr>
        <w:pStyle w:val="AERtablesource"/>
      </w:pPr>
      <w:r w:rsidRPr="00213DCA">
        <w:t>Source:</w:t>
      </w:r>
      <w:r w:rsidRPr="00213DCA">
        <w:tab/>
        <w:t>AER analysis.</w:t>
      </w:r>
    </w:p>
    <w:p w:rsidR="008C7B59" w:rsidRPr="008C7B59" w:rsidRDefault="008C7B59" w:rsidP="008C7B59">
      <w:pPr>
        <w:pStyle w:val="Heading3"/>
      </w:pPr>
      <w:bookmarkStart w:id="78" w:name="_Toc460582364"/>
      <w:bookmarkStart w:id="79" w:name="_Toc462062144"/>
      <w:bookmarkStart w:id="80" w:name="_Toc462752285"/>
      <w:r>
        <w:t>Submissions on Powerlink's proposal</w:t>
      </w:r>
      <w:bookmarkEnd w:id="78"/>
      <w:bookmarkEnd w:id="79"/>
      <w:bookmarkEnd w:id="80"/>
      <w:r>
        <w:t xml:space="preserve"> </w:t>
      </w:r>
    </w:p>
    <w:p w:rsidR="008C7B59" w:rsidDel="00596A2E" w:rsidRDefault="008C7B59" w:rsidP="008C7B59">
      <w:r w:rsidDel="00596A2E">
        <w:t xml:space="preserve">We received </w:t>
      </w:r>
      <w:r w:rsidRPr="002E7B2F" w:rsidDel="00596A2E">
        <w:t>a number of submissions</w:t>
      </w:r>
      <w:r w:rsidDel="00596A2E">
        <w:t xml:space="preserve"> which commented on Powerlink's historical </w:t>
      </w:r>
      <w:r>
        <w:t xml:space="preserve">and forecast </w:t>
      </w:r>
      <w:r w:rsidDel="00596A2E">
        <w:t xml:space="preserve">capex. </w:t>
      </w:r>
      <w:r w:rsidR="003916FE">
        <w:t>Consumer Challenge Panel (CCP)</w:t>
      </w:r>
      <w:r w:rsidR="00C54200">
        <w:t xml:space="preserve"> members Hugh Grant and David Headberry</w:t>
      </w:r>
      <w:r w:rsidR="003916FE">
        <w:t xml:space="preserve"> </w:t>
      </w:r>
      <w:r w:rsidDel="00596A2E">
        <w:t>submitted</w:t>
      </w:r>
      <w:r w:rsidRPr="00BE2D01" w:rsidDel="00596A2E">
        <w:t xml:space="preserve"> </w:t>
      </w:r>
      <w:r w:rsidR="00C54200">
        <w:t xml:space="preserve">that </w:t>
      </w:r>
      <w:r w:rsidDel="00596A2E">
        <w:t>Powerlink</w:t>
      </w:r>
      <w:r>
        <w:t xml:space="preserve">'s historical capex </w:t>
      </w:r>
      <w:r w:rsidDel="00596A2E">
        <w:t xml:space="preserve">is less efficient than other TNSPs, having incurred significantly higher capex </w:t>
      </w:r>
      <w:r w:rsidR="009833F8">
        <w:t>in</w:t>
      </w:r>
      <w:r w:rsidR="009833F8" w:rsidDel="00596A2E">
        <w:t xml:space="preserve"> </w:t>
      </w:r>
      <w:r w:rsidDel="00596A2E">
        <w:t>the past decade</w:t>
      </w:r>
      <w:r w:rsidRPr="00BE2D01" w:rsidDel="00596A2E">
        <w:t>.</w:t>
      </w:r>
      <w:r w:rsidDel="00596A2E">
        <w:t xml:space="preserve"> The CCP </w:t>
      </w:r>
      <w:r w:rsidR="00C54200">
        <w:t xml:space="preserve">members' submission </w:t>
      </w:r>
      <w:r w:rsidDel="00596A2E">
        <w:t>suggested that we should examine Powerlink's repex forecast to determine an efficient allowance, arguing that Powerlink's past repex had not been shown to be efficient.</w:t>
      </w:r>
      <w:r w:rsidR="00F730AA" w:rsidRPr="00F730AA">
        <w:t xml:space="preserve"> </w:t>
      </w:r>
      <w:r w:rsidR="00F730AA">
        <w:rPr>
          <w:rStyle w:val="FootnoteReference"/>
        </w:rPr>
        <w:footnoteReference w:id="3"/>
      </w:r>
      <w:r w:rsidRPr="00F56301">
        <w:t xml:space="preserve"> </w:t>
      </w:r>
      <w:r w:rsidDel="00596A2E">
        <w:t xml:space="preserve"> </w:t>
      </w:r>
      <w:r w:rsidR="004C4AD4">
        <w:t xml:space="preserve"> </w:t>
      </w:r>
      <w:r w:rsidR="003916FE">
        <w:t xml:space="preserve"> </w:t>
      </w:r>
    </w:p>
    <w:p w:rsidR="008C7B59" w:rsidRDefault="008C7B59" w:rsidP="008C7B59">
      <w:r w:rsidDel="00596A2E">
        <w:t>Cotton Australia was encouraged to see a significant reduction in the capex requested by Powerlink which represents a red</w:t>
      </w:r>
      <w:r w:rsidRPr="00BE2D01" w:rsidDel="00596A2E">
        <w:t>uction of 66 per cent compared with the current regulatory period.</w:t>
      </w:r>
      <w:r w:rsidDel="00596A2E">
        <w:t xml:space="preserve"> </w:t>
      </w:r>
      <w:r w:rsidRPr="00BE2D01" w:rsidDel="00596A2E">
        <w:t xml:space="preserve">However, </w:t>
      </w:r>
      <w:r w:rsidDel="00596A2E">
        <w:t>it suggested that</w:t>
      </w:r>
      <w:r w:rsidRPr="00BE2D01" w:rsidDel="00596A2E">
        <w:t xml:space="preserve"> the AER carefully consider the implications of a contingency based approach to capex on consumers for the future regulatory period.</w:t>
      </w:r>
      <w:r w:rsidR="004C4AD4">
        <w:rPr>
          <w:rStyle w:val="FootnoteReference"/>
        </w:rPr>
        <w:footnoteReference w:id="4"/>
      </w:r>
      <w:r w:rsidDel="00596A2E">
        <w:t xml:space="preserve"> In contrast, the Queensland Resources Council supported Powerlink's proposed contingent projects as an appropriate way for managing demand uncertainty</w:t>
      </w:r>
      <w:r w:rsidRPr="00BE2D01" w:rsidDel="00596A2E">
        <w:t>.</w:t>
      </w:r>
      <w:r w:rsidR="003916FE" w:rsidRPr="003916FE">
        <w:t xml:space="preserve"> </w:t>
      </w:r>
      <w:r w:rsidR="003916FE">
        <w:rPr>
          <w:rStyle w:val="FootnoteReference"/>
        </w:rPr>
        <w:footnoteReference w:id="5"/>
      </w:r>
    </w:p>
    <w:p w:rsidR="008C7B59" w:rsidRPr="00BE2D01" w:rsidDel="00596A2E" w:rsidRDefault="008C7B59" w:rsidP="008C7B59">
      <w:r>
        <w:lastRenderedPageBreak/>
        <w:t xml:space="preserve">Jo De Silva, a member of the </w:t>
      </w:r>
      <w:r w:rsidR="00C54200">
        <w:t>CCP,</w:t>
      </w:r>
      <w:r>
        <w:t xml:space="preserve"> suggested that the AER undertake detailed analysis about </w:t>
      </w:r>
      <w:r w:rsidRPr="00B9079B">
        <w:t>business cases and allowances for each significant capex projects and programs.</w:t>
      </w:r>
      <w:r w:rsidRPr="00B9079B">
        <w:rPr>
          <w:rStyle w:val="FootnoteReference"/>
        </w:rPr>
        <w:t xml:space="preserve"> </w:t>
      </w:r>
      <w:r>
        <w:rPr>
          <w:rStyle w:val="FootnoteReference"/>
        </w:rPr>
        <w:footnoteReference w:id="6"/>
      </w:r>
      <w:r w:rsidRPr="00F56301">
        <w:t xml:space="preserve"> </w:t>
      </w:r>
      <w:r w:rsidDel="00596A2E">
        <w:t>Professor Simon Bartlett from the University of Queensland submitted that Powerlink's repex forecast incorporates significant efficiency improvements and that further regulatory cuts may lead to higher costs in the future</w:t>
      </w:r>
      <w:r w:rsidRPr="00BE2D01" w:rsidDel="00596A2E">
        <w:t>.</w:t>
      </w:r>
      <w:r>
        <w:rPr>
          <w:rStyle w:val="FootnoteReference"/>
        </w:rPr>
        <w:footnoteReference w:id="7"/>
      </w:r>
    </w:p>
    <w:p w:rsidR="00132D43" w:rsidRDefault="008C7B59" w:rsidP="00132D43">
      <w:r w:rsidRPr="00270052" w:rsidDel="00596A2E">
        <w:t xml:space="preserve">Our detailed assessment in appendix </w:t>
      </w:r>
      <w:r>
        <w:fldChar w:fldCharType="begin"/>
      </w:r>
      <w:r>
        <w:instrText xml:space="preserve"> REF _Ref460233849 \r \h </w:instrText>
      </w:r>
      <w:r>
        <w:fldChar w:fldCharType="separate"/>
      </w:r>
      <w:r w:rsidR="005252EC">
        <w:t>B</w:t>
      </w:r>
      <w:r>
        <w:fldChar w:fldCharType="end"/>
      </w:r>
      <w:r w:rsidDel="00596A2E">
        <w:t xml:space="preserve"> takes into account these submissions. In appendix </w:t>
      </w:r>
      <w:r>
        <w:fldChar w:fldCharType="begin"/>
      </w:r>
      <w:r>
        <w:instrText xml:space="preserve"> REF _Ref460233849 \r \h </w:instrText>
      </w:r>
      <w:r>
        <w:fldChar w:fldCharType="separate"/>
      </w:r>
      <w:r w:rsidR="005252EC">
        <w:t>B</w:t>
      </w:r>
      <w:r>
        <w:fldChar w:fldCharType="end"/>
      </w:r>
      <w:r w:rsidDel="00596A2E">
        <w:t xml:space="preserve"> we examine whether Powerlink's revenue proposal reflects its expected operating environment. </w:t>
      </w:r>
    </w:p>
    <w:p w:rsidR="00132D43" w:rsidRPr="00250D0F" w:rsidRDefault="00132D43" w:rsidP="00250D0F">
      <w:pPr>
        <w:pStyle w:val="Heading2"/>
      </w:pPr>
      <w:bookmarkStart w:id="81" w:name="_Ref461112428"/>
      <w:bookmarkStart w:id="82" w:name="_Toc462752286"/>
      <w:r w:rsidRPr="00250D0F">
        <w:t>Assessment approach</w:t>
      </w:r>
      <w:bookmarkEnd w:id="81"/>
      <w:bookmarkEnd w:id="82"/>
    </w:p>
    <w:p w:rsidR="008C7B59" w:rsidRPr="00427A92" w:rsidRDefault="008C7B59" w:rsidP="008C7B59">
      <w:r w:rsidRPr="00427A92">
        <w:t xml:space="preserve">This section outlines our approach to capex assessments. It sets out the relevant legislative and rule requirements, and outlines our assessment techniques. It also explains how we derive an alternative estimate of total forecast capex against which we compare the service provider's total forecast capex. The information </w:t>
      </w:r>
      <w:r>
        <w:t xml:space="preserve">Powerlink </w:t>
      </w:r>
      <w:r w:rsidRPr="00427A92">
        <w:t xml:space="preserve">provided in its revenue proposal, including its response to our RIN, is an important part of our assessment. We have also taken into account information that </w:t>
      </w:r>
      <w:r>
        <w:t xml:space="preserve">Powerlink </w:t>
      </w:r>
      <w:r w:rsidRPr="00427A92">
        <w:t>provided in response to our information requests, and submissions from stakeholders.</w:t>
      </w:r>
    </w:p>
    <w:p w:rsidR="008C7B59" w:rsidRDefault="008C7B59" w:rsidP="008C7B59">
      <w:r w:rsidRPr="00427A92">
        <w:t>Our assessment approach involves the following steps:</w:t>
      </w:r>
    </w:p>
    <w:p w:rsidR="008C7B59" w:rsidRPr="00DA618F" w:rsidRDefault="008C7B59" w:rsidP="008C7B59">
      <w:pPr>
        <w:pStyle w:val="AERbulletlistfirststyle"/>
      </w:pPr>
      <w:r w:rsidRPr="00DA618F">
        <w:t xml:space="preserve">Our starting point is </w:t>
      </w:r>
      <w:r>
        <w:t>Powerlink's</w:t>
      </w:r>
      <w:r w:rsidRPr="00DA618F">
        <w:t xml:space="preserve"> revenue proposal.</w:t>
      </w:r>
      <w:r w:rsidRPr="002E4CF5">
        <w:rPr>
          <w:rStyle w:val="AERsuperscript"/>
        </w:rPr>
        <w:footnoteReference w:id="8"/>
      </w:r>
      <w:r w:rsidRPr="00DA618F">
        <w:t xml:space="preserve"> We apply our various assessment techniques, both qualitative and quantitative, to assess the different elements of </w:t>
      </w:r>
      <w:r>
        <w:t>Powerlink's</w:t>
      </w:r>
      <w:r w:rsidRPr="00DA618F">
        <w:t xml:space="preserve"> proposal. This analysis informs our view on whether </w:t>
      </w:r>
      <w:r>
        <w:t>Powerlink's</w:t>
      </w:r>
      <w:r w:rsidRPr="00DA618F">
        <w:t xml:space="preserve"> proposal reasonably reflects the capex criteria set out in the NER.</w:t>
      </w:r>
      <w:r w:rsidRPr="002E4CF5">
        <w:rPr>
          <w:rStyle w:val="AERsuperscript"/>
        </w:rPr>
        <w:footnoteReference w:id="9"/>
      </w:r>
      <w:r w:rsidRPr="00DA618F">
        <w:t xml:space="preserve"> It also provides us with an alternative forecast that we consider </w:t>
      </w:r>
      <w:r w:rsidR="009833F8">
        <w:t xml:space="preserve">reasonably reflects </w:t>
      </w:r>
      <w:r w:rsidRPr="00DA618F">
        <w:t>the criteria. In arriving at our alternative estimate, we weight the various techniques used in our assessment. We give more weight to techniques we consider are more robust in the particular circumstances of the assessment.</w:t>
      </w:r>
    </w:p>
    <w:p w:rsidR="008C7B59" w:rsidRPr="00DA618F" w:rsidRDefault="008C7B59" w:rsidP="008C7B59">
      <w:pPr>
        <w:pStyle w:val="AERbulletlistfirststyle"/>
      </w:pPr>
      <w:r w:rsidRPr="00DA618F">
        <w:t>Having established our alternative estimate of the total forecast capex, we can test the service provider's total forecast capex. This includes comparing our alternative estimate total with the service provider's total forecast capex and what the reasons for any differences are. If there is a difference between the two, we may need to exercise our judgement as to what is a reasonable margin of difference.</w:t>
      </w:r>
    </w:p>
    <w:p w:rsidR="008C7B59" w:rsidRPr="00DA618F" w:rsidRDefault="008C7B59" w:rsidP="008C7B59">
      <w:proofErr w:type="gramStart"/>
      <w:r w:rsidRPr="00DA618F">
        <w:lastRenderedPageBreak/>
        <w:t>If we are satisfied that the service provider's proposal reasonably reflects the capex criteria in meeting the capex objectives, we accept it.</w:t>
      </w:r>
      <w:proofErr w:type="gramEnd"/>
      <w:r w:rsidRPr="00DA618F">
        <w:t xml:space="preserve"> The capital expenditure objectives (capex objectives) referred to in the capex criteria are to:</w:t>
      </w:r>
      <w:r w:rsidRPr="002E4CF5">
        <w:rPr>
          <w:rStyle w:val="AERsuperscript"/>
        </w:rPr>
        <w:footnoteReference w:id="10"/>
      </w:r>
      <w:r w:rsidRPr="00DA618F">
        <w:t xml:space="preserve"> </w:t>
      </w:r>
    </w:p>
    <w:p w:rsidR="008C7B59" w:rsidRPr="00DA618F" w:rsidRDefault="008C7B59" w:rsidP="008C7B59">
      <w:pPr>
        <w:pStyle w:val="AERbulletlistfirststyle"/>
      </w:pPr>
      <w:r w:rsidRPr="00DA618F">
        <w:t>meet or manage the expected demand for prescribed transmission services over the period</w:t>
      </w:r>
      <w:r>
        <w:t>;</w:t>
      </w:r>
    </w:p>
    <w:p w:rsidR="008C7B59" w:rsidRPr="00DA618F" w:rsidRDefault="008C7B59" w:rsidP="008C7B59">
      <w:pPr>
        <w:pStyle w:val="AERbulletlistfirststyle"/>
      </w:pPr>
      <w:r w:rsidRPr="00DA618F">
        <w:t>comply with all regulatory obligations or requirements associated with the provision of prescribed transmission services</w:t>
      </w:r>
      <w:r>
        <w:t>;</w:t>
      </w:r>
    </w:p>
    <w:p w:rsidR="008C7B59" w:rsidRPr="00DA618F" w:rsidRDefault="008C7B59" w:rsidP="008C7B59">
      <w:pPr>
        <w:pStyle w:val="AERbulletlistfirststyle"/>
      </w:pPr>
      <w:r w:rsidRPr="00DA618F">
        <w:t>to the extent that there are no such obligations or requirements, maintain service quality, reliability and security of supply of prescribed transmission services and maintain the reliability and security of the transmission system</w:t>
      </w:r>
      <w:r>
        <w:t>; and</w:t>
      </w:r>
    </w:p>
    <w:p w:rsidR="008C7B59" w:rsidRPr="00DA618F" w:rsidRDefault="008C7B59" w:rsidP="008C7B59">
      <w:pPr>
        <w:pStyle w:val="AERbulletlistfirststyle"/>
      </w:pPr>
      <w:proofErr w:type="gramStart"/>
      <w:r w:rsidRPr="00DA618F">
        <w:t>maintain</w:t>
      </w:r>
      <w:proofErr w:type="gramEnd"/>
      <w:r w:rsidRPr="00DA618F">
        <w:t xml:space="preserve"> the safety of the transmission system through the supply of prescribed transmission services.</w:t>
      </w:r>
    </w:p>
    <w:p w:rsidR="008C7B59" w:rsidRPr="00DA618F" w:rsidRDefault="008C7B59" w:rsidP="008C7B59">
      <w:r w:rsidRPr="00DA618F">
        <w:t>If we are not satisfied, the NER requires us to put in place a substitute estimate which we are satisfied reasonably reflects the capex criteria.</w:t>
      </w:r>
      <w:r w:rsidRPr="002E4CF5">
        <w:rPr>
          <w:rStyle w:val="AERsuperscript"/>
        </w:rPr>
        <w:footnoteReference w:id="11"/>
      </w:r>
      <w:r w:rsidRPr="00DA618F">
        <w:t xml:space="preserve"> Where we have done this, our substitute estimate is based on our alternative estimate.</w:t>
      </w:r>
    </w:p>
    <w:p w:rsidR="008C7B59" w:rsidRPr="00DA618F" w:rsidRDefault="008C7B59" w:rsidP="008C7B59">
      <w:r w:rsidRPr="00DA618F">
        <w:t>The capex criteria are:</w:t>
      </w:r>
    </w:p>
    <w:p w:rsidR="008C7B59" w:rsidRPr="00DA618F" w:rsidRDefault="008C7B59" w:rsidP="008C7B59">
      <w:pPr>
        <w:pStyle w:val="AERbulletlistfirststyle"/>
      </w:pPr>
      <w:r w:rsidRPr="00DA618F">
        <w:t>the efficient costs of achieving the capital expenditure objectives</w:t>
      </w:r>
      <w:r>
        <w:t>;</w:t>
      </w:r>
    </w:p>
    <w:p w:rsidR="008C7B59" w:rsidRPr="00DA618F" w:rsidRDefault="008C7B59" w:rsidP="008C7B59">
      <w:pPr>
        <w:pStyle w:val="AERbulletlistfirststyle"/>
      </w:pPr>
      <w:r w:rsidRPr="00DA618F">
        <w:t>the costs that a prudent operator would require to achieve the capital expenditure objectives</w:t>
      </w:r>
      <w:r>
        <w:t>; and</w:t>
      </w:r>
    </w:p>
    <w:p w:rsidR="008C7B59" w:rsidRPr="00DA618F" w:rsidRDefault="008C7B59" w:rsidP="008C7B59">
      <w:pPr>
        <w:pStyle w:val="AERbulletlistfirststyle"/>
      </w:pPr>
      <w:proofErr w:type="gramStart"/>
      <w:r w:rsidRPr="00DA618F">
        <w:t>a</w:t>
      </w:r>
      <w:proofErr w:type="gramEnd"/>
      <w:r w:rsidRPr="00DA618F">
        <w:t xml:space="preserve"> realistic expectation of the demand forecast and cost inputs required to achieve the capital expenditure objectives.</w:t>
      </w:r>
    </w:p>
    <w:p w:rsidR="008C7B59" w:rsidRPr="00DA618F" w:rsidRDefault="008C7B59" w:rsidP="008C7B59">
      <w:pPr>
        <w:numPr>
          <w:ilvl w:val="0"/>
          <w:numId w:val="24"/>
        </w:numPr>
      </w:pPr>
      <w:r w:rsidRPr="00DA618F">
        <w:t>The AEMC noted that '[t]</w:t>
      </w:r>
      <w:proofErr w:type="spellStart"/>
      <w:r w:rsidRPr="00DA618F">
        <w:t>hese</w:t>
      </w:r>
      <w:proofErr w:type="spellEnd"/>
      <w:r w:rsidRPr="00DA618F">
        <w:t xml:space="preserve"> criteria broadly reflect the NEO [National Electricity Objective]'.</w:t>
      </w:r>
      <w:r w:rsidRPr="002E4CF5">
        <w:rPr>
          <w:rStyle w:val="AERsuperscript"/>
        </w:rPr>
        <w:footnoteReference w:id="12"/>
      </w:r>
      <w:r w:rsidRPr="00DA618F">
        <w:t xml:space="preserve"> Importantly, we approve a total capex forecast and not particular categories, projects or programs in the capex forecast. Our review of particular categories or projects informs our assessment of the total capex forecast. The AEMC stated:</w:t>
      </w:r>
      <w:r w:rsidRPr="002E4CF5">
        <w:rPr>
          <w:rStyle w:val="AERsuperscript"/>
        </w:rPr>
        <w:footnoteReference w:id="13"/>
      </w:r>
    </w:p>
    <w:p w:rsidR="008C7B59" w:rsidRPr="00774ECB" w:rsidRDefault="008C7B59" w:rsidP="008C7B59">
      <w:pPr>
        <w:pStyle w:val="AERquoteindent1"/>
      </w:pPr>
      <w:r w:rsidRPr="00774ECB">
        <w:t>It should be noted here that what the AER approves in this context is expenditure allowances, not projects.</w:t>
      </w:r>
    </w:p>
    <w:p w:rsidR="008C7B59" w:rsidRPr="00DA618F" w:rsidRDefault="008C7B59" w:rsidP="008C7B59">
      <w:r w:rsidRPr="00DA618F">
        <w:t xml:space="preserve">In deciding whether we are satisfied that </w:t>
      </w:r>
      <w:r>
        <w:t>Powerlink's</w:t>
      </w:r>
      <w:r w:rsidRPr="00DA618F">
        <w:t xml:space="preserve"> proposed total forecast capex reasonably reflects the capex criteria, we have regard to the capex factors.</w:t>
      </w:r>
      <w:r w:rsidRPr="002E4CF5">
        <w:rPr>
          <w:rStyle w:val="AERsuperscript"/>
        </w:rPr>
        <w:footnoteReference w:id="14"/>
      </w:r>
      <w:r w:rsidRPr="00DA618F">
        <w:t xml:space="preserve"> </w:t>
      </w:r>
    </w:p>
    <w:p w:rsidR="008C7B59" w:rsidRPr="00DA618F" w:rsidRDefault="008C7B59" w:rsidP="008C7B59">
      <w:r w:rsidRPr="00DA618F">
        <w:t>In taking these factors into account, the AEMC has noted that:</w:t>
      </w:r>
      <w:r w:rsidRPr="002E4CF5">
        <w:rPr>
          <w:rStyle w:val="AERsuperscript"/>
        </w:rPr>
        <w:footnoteReference w:id="15"/>
      </w:r>
    </w:p>
    <w:p w:rsidR="008C7B59" w:rsidRPr="00DA618F" w:rsidRDefault="008C7B59" w:rsidP="008C7B59">
      <w:pPr>
        <w:pStyle w:val="AERquoteindent1"/>
      </w:pPr>
      <w:r w:rsidRPr="00DA618F">
        <w:lastRenderedPageBreak/>
        <w:t>…this does not mean that every factor will be relevant to every aspect of every regulatory determination the AER makes. The AER may decide that certain factors are not relevant in certain cases once it has considered them.</w:t>
      </w:r>
    </w:p>
    <w:p w:rsidR="008C7B59" w:rsidRPr="00DA618F" w:rsidRDefault="00DA7D97" w:rsidP="008C7B59">
      <w:fldSimple w:instr=" REF _Ref403666738  \* MERGEFORMAT ">
        <w:r w:rsidR="005252EC" w:rsidRPr="008C6DC8">
          <w:t xml:space="preserve">Table </w:t>
        </w:r>
        <w:r w:rsidR="005252EC">
          <w:t>6.6</w:t>
        </w:r>
      </w:fldSimple>
      <w:r w:rsidR="008C7B59" w:rsidRPr="00DA618F">
        <w:t xml:space="preserve"> summarises how we took the capex factors into consideration.</w:t>
      </w:r>
    </w:p>
    <w:p w:rsidR="008C7B59" w:rsidRPr="00DA618F" w:rsidRDefault="008C7B59" w:rsidP="008C7B59">
      <w:pPr>
        <w:numPr>
          <w:ilvl w:val="0"/>
          <w:numId w:val="24"/>
        </w:numPr>
      </w:pPr>
      <w:r w:rsidRPr="00DA618F">
        <w:t>More broadly, we note that in exercising our discretion, we take into account the revenue and pricing principles set out in the NEL.</w:t>
      </w:r>
      <w:r w:rsidRPr="00A812DA">
        <w:rPr>
          <w:rStyle w:val="AERsuperscript"/>
        </w:rPr>
        <w:footnoteReference w:id="16"/>
      </w:r>
      <w:r w:rsidRPr="00DA618F">
        <w:t xml:space="preserve"> In particular, we take into account whether our overall capex forecast provides</w:t>
      </w:r>
      <w:r>
        <w:t xml:space="preserve"> Powerlink </w:t>
      </w:r>
      <w:r w:rsidRPr="00DA618F">
        <w:t xml:space="preserve">a reasonable opportunity to recover at least the efficient costs it incurs in: </w:t>
      </w:r>
    </w:p>
    <w:p w:rsidR="008C7B59" w:rsidRPr="00DA618F" w:rsidRDefault="008C7B59" w:rsidP="008C7B59">
      <w:pPr>
        <w:pStyle w:val="AERbulletlistfirststyle"/>
      </w:pPr>
      <w:r w:rsidRPr="00DA618F">
        <w:t>providing direct control network services; and</w:t>
      </w:r>
    </w:p>
    <w:p w:rsidR="008C7B59" w:rsidRPr="00DA618F" w:rsidRDefault="008C7B59" w:rsidP="008C7B59">
      <w:pPr>
        <w:pStyle w:val="AERbulletlistfirststyle"/>
      </w:pPr>
      <w:proofErr w:type="gramStart"/>
      <w:r w:rsidRPr="00DA618F">
        <w:t>complying</w:t>
      </w:r>
      <w:proofErr w:type="gramEnd"/>
      <w:r w:rsidRPr="00DA618F">
        <w:t xml:space="preserve"> with its regulatory obligations and requirements.</w:t>
      </w:r>
      <w:r w:rsidRPr="00A812DA">
        <w:rPr>
          <w:rStyle w:val="AERsuperscript"/>
        </w:rPr>
        <w:footnoteReference w:id="17"/>
      </w:r>
      <w:r w:rsidRPr="00DA618F">
        <w:t xml:space="preserve"> </w:t>
      </w:r>
    </w:p>
    <w:p w:rsidR="008C7B59" w:rsidRPr="00DA618F" w:rsidRDefault="008C7B59" w:rsidP="008C7B59">
      <w:pPr>
        <w:pStyle w:val="HeadingBoldBlue"/>
      </w:pPr>
      <w:bookmarkStart w:id="83" w:name="_Toc456608780"/>
      <w:r w:rsidRPr="00DA618F">
        <w:t xml:space="preserve">Expenditure </w:t>
      </w:r>
      <w:r w:rsidR="009833F8">
        <w:t xml:space="preserve">Forecast </w:t>
      </w:r>
      <w:r w:rsidRPr="00DA618F">
        <w:t>Assessment Guideline</w:t>
      </w:r>
      <w:bookmarkEnd w:id="83"/>
      <w:r w:rsidRPr="00DA618F">
        <w:t xml:space="preserve"> </w:t>
      </w:r>
    </w:p>
    <w:p w:rsidR="008C7B59" w:rsidRPr="00DA618F" w:rsidRDefault="008C7B59" w:rsidP="008C7B59">
      <w:r w:rsidRPr="00DA618F">
        <w:t>We published our Expenditure Forecast Assessment Guideline for electricity transmission (Guideline) in November 2013.</w:t>
      </w:r>
      <w:r w:rsidRPr="00A812DA">
        <w:rPr>
          <w:rStyle w:val="AERsuperscript"/>
        </w:rPr>
        <w:footnoteReference w:id="18"/>
      </w:r>
      <w:r w:rsidRPr="00DA618F">
        <w:t xml:space="preserve"> The Guideline sets out our proposed general approach to assessing capex (and opex) forecasts. This assists in providing transparency and predictability in regulatory processes and outcomes. We also set out our approach to assessing capex in </w:t>
      </w:r>
      <w:r>
        <w:t>our</w:t>
      </w:r>
      <w:r w:rsidRPr="00DA618F">
        <w:t xml:space="preserve"> framework and approach paper. For </w:t>
      </w:r>
      <w:r>
        <w:t>Powerlink</w:t>
      </w:r>
      <w:r w:rsidRPr="00DA618F">
        <w:t xml:space="preserve">, </w:t>
      </w:r>
      <w:r>
        <w:t>we</w:t>
      </w:r>
      <w:r w:rsidRPr="00DA618F">
        <w:t xml:space="preserve"> stated that we would </w:t>
      </w:r>
      <w:r>
        <w:t>apply the Guideline, including the assessment techniques outlined in it. However, we stated that we would exercise our judgement in determining the extent to which we use a particular technique as set out in the Guideline. In the Framework and Approach process, Powerlink notified us of its intention to apply a "Top-Down" approach to its capex forecast rather than the traditional method of a "Bottom-Up Build".</w:t>
      </w:r>
      <w:r>
        <w:rPr>
          <w:rStyle w:val="FootnoteReference"/>
        </w:rPr>
        <w:footnoteReference w:id="19"/>
      </w:r>
      <w:r>
        <w:t xml:space="preserve"> </w:t>
      </w:r>
      <w:r w:rsidRPr="00DA618F">
        <w:t>We may depart from our Guideline approach and if we do so, we need to provide reasons. In this d</w:t>
      </w:r>
      <w:r w:rsidR="006D0683">
        <w:t>raft decision</w:t>
      </w:r>
      <w:r w:rsidRPr="00DA618F">
        <w:t>, we have not departed from the approach set out in our Guideline.</w:t>
      </w:r>
      <w:r>
        <w:t xml:space="preserve"> We considered that </w:t>
      </w:r>
      <w:r w:rsidRPr="00FC12A9">
        <w:t xml:space="preserve">Powerlink may make use of "top–down" forecasting but if we consider it is inappropriate to a particular expenditure </w:t>
      </w:r>
      <w:r>
        <w:t xml:space="preserve">category, </w:t>
      </w:r>
      <w:r w:rsidRPr="00FC12A9">
        <w:t>Powerlink will be at risk of that proposal being rejected or substantially amended.</w:t>
      </w:r>
      <w:r>
        <w:rPr>
          <w:rStyle w:val="FootnoteReference"/>
        </w:rPr>
        <w:footnoteReference w:id="20"/>
      </w:r>
    </w:p>
    <w:p w:rsidR="008C7B59" w:rsidRPr="00DA618F" w:rsidRDefault="008C7B59" w:rsidP="008C7B59">
      <w:pPr>
        <w:numPr>
          <w:ilvl w:val="0"/>
          <w:numId w:val="24"/>
        </w:numPr>
      </w:pPr>
      <w:r w:rsidRPr="00DA618F">
        <w:t>We note that the RIN data form part of a service provider's revenue proposal.</w:t>
      </w:r>
      <w:r w:rsidRPr="00A812DA">
        <w:rPr>
          <w:rStyle w:val="AERsuperscript"/>
        </w:rPr>
        <w:footnoteReference w:id="21"/>
      </w:r>
      <w:r w:rsidRPr="00A812DA">
        <w:rPr>
          <w:rStyle w:val="AERsuperscript"/>
        </w:rPr>
        <w:t xml:space="preserve"> </w:t>
      </w:r>
      <w:r w:rsidRPr="00DA618F">
        <w:t xml:space="preserve">In our Guideline we stated we would "require all the data that facilitate the application of our assessment approach and assessment techniques". We also stated that the RIN we issued in advance of a service provider lodging its revenue proposal would specify the </w:t>
      </w:r>
      <w:r w:rsidRPr="00DA618F">
        <w:lastRenderedPageBreak/>
        <w:t>exact information we require.</w:t>
      </w:r>
      <w:r w:rsidRPr="00A812DA">
        <w:rPr>
          <w:rStyle w:val="AERsuperscript"/>
        </w:rPr>
        <w:footnoteReference w:id="22"/>
      </w:r>
      <w:r w:rsidRPr="00DA618F">
        <w:t xml:space="preserve"> Our Guideline made clear our intention to rely upon RIN data in transmission revenue determinations. </w:t>
      </w:r>
    </w:p>
    <w:p w:rsidR="008C7B59" w:rsidRPr="008C7B59" w:rsidRDefault="008C7B59" w:rsidP="008C7B59">
      <w:pPr>
        <w:pStyle w:val="Heading3"/>
      </w:pPr>
      <w:bookmarkStart w:id="84" w:name="_Toc413855476"/>
      <w:bookmarkStart w:id="85" w:name="_Toc413858626"/>
      <w:bookmarkStart w:id="86" w:name="_Toc417727145"/>
      <w:bookmarkStart w:id="87" w:name="_Toc456608781"/>
      <w:bookmarkStart w:id="88" w:name="_Toc460239228"/>
      <w:bookmarkStart w:id="89" w:name="_Toc460239296"/>
      <w:bookmarkStart w:id="90" w:name="_Toc460239549"/>
      <w:bookmarkStart w:id="91" w:name="_Toc460321506"/>
      <w:bookmarkStart w:id="92" w:name="_Toc460582366"/>
      <w:bookmarkStart w:id="93" w:name="_Toc462062146"/>
      <w:bookmarkStart w:id="94" w:name="_Toc462752287"/>
      <w:r w:rsidRPr="00DA618F">
        <w:t>Building an alternative estimate of total forecast capex</w:t>
      </w:r>
      <w:bookmarkEnd w:id="84"/>
      <w:bookmarkEnd w:id="85"/>
      <w:bookmarkEnd w:id="86"/>
      <w:bookmarkEnd w:id="87"/>
      <w:bookmarkEnd w:id="88"/>
      <w:bookmarkEnd w:id="89"/>
      <w:bookmarkEnd w:id="90"/>
      <w:bookmarkEnd w:id="91"/>
      <w:bookmarkEnd w:id="92"/>
      <w:bookmarkEnd w:id="93"/>
      <w:bookmarkEnd w:id="94"/>
    </w:p>
    <w:p w:rsidR="008C7B59" w:rsidRPr="00DA618F" w:rsidRDefault="008C7B59" w:rsidP="008C7B59">
      <w:r w:rsidRPr="00DA618F">
        <w:t>The following section sets out the approach we apply to arrive at an alternative estimate of total forecast capex.</w:t>
      </w:r>
    </w:p>
    <w:p w:rsidR="008C7B59" w:rsidRPr="00DA618F" w:rsidRDefault="008C7B59" w:rsidP="008C7B59">
      <w:r w:rsidRPr="00DA618F">
        <w:t xml:space="preserve">Our starting point for building an alternative estimate is </w:t>
      </w:r>
      <w:r>
        <w:t>Powerlink's</w:t>
      </w:r>
      <w:r w:rsidRPr="00DA618F">
        <w:t xml:space="preserve"> proposal.</w:t>
      </w:r>
      <w:r w:rsidRPr="00A812DA">
        <w:rPr>
          <w:rStyle w:val="AERsuperscript"/>
        </w:rPr>
        <w:footnoteReference w:id="23"/>
      </w:r>
      <w:r w:rsidRPr="00DA618F">
        <w:t xml:space="preserve"> We review</w:t>
      </w:r>
      <w:r w:rsidRPr="00DA618F" w:rsidDel="00D91250">
        <w:t xml:space="preserve"> </w:t>
      </w:r>
      <w:r w:rsidRPr="00DA618F">
        <w:t>the</w:t>
      </w:r>
      <w:r w:rsidRPr="00DA618F" w:rsidDel="00D91250">
        <w:t xml:space="preserve"> proposed forecast methodology and </w:t>
      </w:r>
      <w:r w:rsidRPr="00DA618F">
        <w:t>the</w:t>
      </w:r>
      <w:r w:rsidRPr="00DA618F" w:rsidDel="00D91250">
        <w:t xml:space="preserve"> k</w:t>
      </w:r>
      <w:r w:rsidRPr="00DA618F">
        <w:t>ey assumptions that underlie the</w:t>
      </w:r>
      <w:r w:rsidRPr="00DA618F" w:rsidDel="00D91250">
        <w:t xml:space="preserve"> forecast.</w:t>
      </w:r>
      <w:r w:rsidRPr="00DA618F">
        <w:t xml:space="preserve"> We also consider its performance in the previous regulatory control period to inform our alternative estimate. </w:t>
      </w:r>
    </w:p>
    <w:p w:rsidR="008C7B59" w:rsidRPr="00DA618F" w:rsidRDefault="008C7B59" w:rsidP="008C7B59">
      <w:r w:rsidRPr="00DA618F">
        <w:t xml:space="preserve">We then apply our specific assessment techniques to develop an estimate and assess the economic justifications that </w:t>
      </w:r>
      <w:r>
        <w:t xml:space="preserve">Powerlink </w:t>
      </w:r>
      <w:r w:rsidRPr="00DA618F">
        <w:t xml:space="preserve">put forward. Many of our techniques encompass </w:t>
      </w:r>
      <w:r w:rsidR="00511256">
        <w:t xml:space="preserve">having regard to </w:t>
      </w:r>
      <w:r w:rsidRPr="00DA618F">
        <w:t>the capex factors. Appendix A and appendix B contain further details on each of these techniques.</w:t>
      </w:r>
    </w:p>
    <w:p w:rsidR="008C7B59" w:rsidRPr="00DA618F" w:rsidRDefault="008C7B59" w:rsidP="008C7B59">
      <w:pPr>
        <w:numPr>
          <w:ilvl w:val="0"/>
          <w:numId w:val="24"/>
        </w:numPr>
      </w:pPr>
      <w:r w:rsidRPr="00DA618F">
        <w:t>Some of these techniques focus on total capex; others focus on high level, standardised sub-categories of capex. Importantly, while we may consider certain projects and programs in forming a view on the total capex forecast, we do not determine which projects or programs the service provider should or should not undertake. This is consistent with the regulatory framework and the AEMC's statement that the AER does not approve specific projects. Rather, we approve an overall revenue requirement that includes an assessment of what we find to be an efficient total capex forecast.</w:t>
      </w:r>
      <w:r w:rsidRPr="00A812DA">
        <w:rPr>
          <w:rStyle w:val="AERsuperscript"/>
        </w:rPr>
        <w:footnoteReference w:id="24"/>
      </w:r>
    </w:p>
    <w:p w:rsidR="008C7B59" w:rsidRPr="00DA618F" w:rsidRDefault="008C7B59" w:rsidP="008C7B59">
      <w:pPr>
        <w:numPr>
          <w:ilvl w:val="0"/>
          <w:numId w:val="24"/>
        </w:numPr>
      </w:pPr>
      <w:r w:rsidRPr="00DA618F">
        <w:t xml:space="preserve">We determine total revenue by reference to our analysis of the proposed capex and the various building blocks. Once we approve total revenue, the service provider is able to prioritise its capex program given its circumstances over the course of the regulatory control period. </w:t>
      </w:r>
      <w:r>
        <w:t xml:space="preserve">Powerlink </w:t>
      </w:r>
      <w:r w:rsidRPr="00DA618F">
        <w:t xml:space="preserve">may need to undertake projects or programs it did not anticipate in its revenue proposal. </w:t>
      </w:r>
      <w:r>
        <w:t xml:space="preserve">Powerlink </w:t>
      </w:r>
      <w:r w:rsidRPr="00DA618F">
        <w:t>may also not require some of the projects or programs it proposed for the regulatory control period. We consider a prudent and efficient service provider would consider the changing environment throughout the regulatory control period in its decision-making.</w:t>
      </w:r>
    </w:p>
    <w:p w:rsidR="008C7B59" w:rsidRPr="00DA618F" w:rsidRDefault="008C7B59" w:rsidP="008C7B59">
      <w:pPr>
        <w:numPr>
          <w:ilvl w:val="0"/>
          <w:numId w:val="24"/>
        </w:numPr>
      </w:pPr>
      <w:r w:rsidRPr="00DA618F">
        <w:t>As we explained in our Guideline:</w:t>
      </w:r>
      <w:r w:rsidRPr="00926D87">
        <w:rPr>
          <w:rStyle w:val="AERsuperscript"/>
        </w:rPr>
        <w:footnoteReference w:id="25"/>
      </w:r>
    </w:p>
    <w:p w:rsidR="008C7B59" w:rsidRPr="00DA618F" w:rsidRDefault="008C7B59" w:rsidP="008C7B59">
      <w:pPr>
        <w:pStyle w:val="AERquoteindent1"/>
      </w:pPr>
      <w:r w:rsidRPr="00DA618F">
        <w:lastRenderedPageBreak/>
        <w:t>Our assessment techniques may complement each other in terms of the information they provide. This holistic approach gives us the ability to use all of these techniques, and refine them over time. The extent to which we use each technique will vary depending on the expenditure proposal we are assessing, but we intend to consider the inter-connections between our assessment techniques when determining total capex … forecasts. We typically would not infer the findings of an assessment technique in isolation from other techniques.</w:t>
      </w:r>
    </w:p>
    <w:p w:rsidR="008C7B59" w:rsidRPr="00DA618F" w:rsidRDefault="008C7B59" w:rsidP="008C7B59">
      <w:r w:rsidRPr="00DA618F">
        <w:t xml:space="preserve">In arriving at our estimate, we weight the various techniques used in our assessment. We weight these techniques on a case by case basis using our judgement. Broadly, we give more weight to techniques we consider to be more robust in the particular circumstances of the assessment. By relying on a number of techniques, we ensure we consider a wide variety of information and can take a holistic approach to assessing the service provider's capex forecast. </w:t>
      </w:r>
    </w:p>
    <w:p w:rsidR="008C7B59" w:rsidRPr="00DA618F" w:rsidRDefault="008C7B59" w:rsidP="008C7B59">
      <w:pPr>
        <w:numPr>
          <w:ilvl w:val="0"/>
          <w:numId w:val="24"/>
        </w:numPr>
      </w:pPr>
      <w:r w:rsidRPr="00DA618F">
        <w:t>We also take into account the various interrelationships between the total forecast capex and other components of a service provider's transmission determination. The other components that directly affect the total forecast capex include:</w:t>
      </w:r>
    </w:p>
    <w:p w:rsidR="008C7B59" w:rsidRPr="00DA618F" w:rsidRDefault="008C7B59" w:rsidP="008C7B59">
      <w:pPr>
        <w:pStyle w:val="AERbulletlistfirststyle"/>
      </w:pPr>
      <w:r w:rsidRPr="00DA618F">
        <w:t>forecast opex</w:t>
      </w:r>
    </w:p>
    <w:p w:rsidR="008C7B59" w:rsidRPr="00DA618F" w:rsidRDefault="008C7B59" w:rsidP="008C7B59">
      <w:pPr>
        <w:pStyle w:val="AERbulletlistfirststyle"/>
      </w:pPr>
      <w:r w:rsidRPr="00DA618F">
        <w:t>forecast demand</w:t>
      </w:r>
    </w:p>
    <w:p w:rsidR="008C7B59" w:rsidRPr="00DA618F" w:rsidRDefault="008C7B59" w:rsidP="008C7B59">
      <w:pPr>
        <w:pStyle w:val="AERbulletlistfirststyle"/>
      </w:pPr>
      <w:r w:rsidRPr="00DA618F">
        <w:t>the service target performance incentive scheme</w:t>
      </w:r>
    </w:p>
    <w:p w:rsidR="008C7B59" w:rsidRPr="00DA618F" w:rsidRDefault="008C7B59" w:rsidP="008C7B59">
      <w:pPr>
        <w:pStyle w:val="AERbulletlistfirststyle"/>
      </w:pPr>
      <w:r w:rsidRPr="00DA618F">
        <w:t>the capital expenditure sharing scheme</w:t>
      </w:r>
    </w:p>
    <w:p w:rsidR="008C7B59" w:rsidRPr="00DA618F" w:rsidRDefault="008C7B59" w:rsidP="008C7B59">
      <w:pPr>
        <w:pStyle w:val="AERbulletlistfirststyle"/>
      </w:pPr>
      <w:r w:rsidRPr="00DA618F">
        <w:t>real cost escalation</w:t>
      </w:r>
    </w:p>
    <w:p w:rsidR="008C7B59" w:rsidRPr="00DA618F" w:rsidRDefault="008C7B59" w:rsidP="008C7B59">
      <w:pPr>
        <w:pStyle w:val="AERbulletlistfirststyle"/>
      </w:pPr>
      <w:proofErr w:type="gramStart"/>
      <w:r w:rsidRPr="00DA618F">
        <w:t>contingent</w:t>
      </w:r>
      <w:proofErr w:type="gramEnd"/>
      <w:r w:rsidRPr="00DA618F">
        <w:t xml:space="preserve"> projects. </w:t>
      </w:r>
    </w:p>
    <w:p w:rsidR="008C7B59" w:rsidRPr="00DA618F" w:rsidRDefault="008C7B59" w:rsidP="008C7B59">
      <w:r w:rsidRPr="00DA618F">
        <w:t xml:space="preserve">We discuss how these components impact the total forecast capex in </w:t>
      </w:r>
      <w:r w:rsidRPr="008C7B59">
        <w:fldChar w:fldCharType="begin"/>
      </w:r>
      <w:r>
        <w:instrText xml:space="preserve"> REF _Ref453680679 </w:instrText>
      </w:r>
      <w:r w:rsidRPr="008C7B59">
        <w:fldChar w:fldCharType="separate"/>
      </w:r>
      <w:r w:rsidR="005252EC">
        <w:t xml:space="preserve">Table </w:t>
      </w:r>
      <w:r w:rsidR="005252EC">
        <w:rPr>
          <w:noProof/>
        </w:rPr>
        <w:t>6</w:t>
      </w:r>
      <w:r w:rsidR="005252EC">
        <w:t>.</w:t>
      </w:r>
      <w:r w:rsidR="005252EC">
        <w:rPr>
          <w:noProof/>
        </w:rPr>
        <w:t>4</w:t>
      </w:r>
      <w:r w:rsidRPr="008C7B59">
        <w:fldChar w:fldCharType="end"/>
      </w:r>
      <w:r w:rsidRPr="00DA618F">
        <w:t>.</w:t>
      </w:r>
    </w:p>
    <w:p w:rsidR="008C7B59" w:rsidRPr="00DA618F" w:rsidRDefault="008C7B59" w:rsidP="008C7B59">
      <w:pPr>
        <w:numPr>
          <w:ilvl w:val="0"/>
          <w:numId w:val="24"/>
        </w:numPr>
      </w:pPr>
      <w:r w:rsidRPr="00DA618F">
        <w:t>Underlying our approach are two general assumptions:</w:t>
      </w:r>
    </w:p>
    <w:p w:rsidR="008C7B59" w:rsidRPr="00DA618F" w:rsidRDefault="008C7B59" w:rsidP="008C7B59">
      <w:pPr>
        <w:pStyle w:val="AERbulletlistfirststyle"/>
      </w:pPr>
      <w:proofErr w:type="gramStart"/>
      <w:r w:rsidRPr="00DA618F">
        <w:t>the</w:t>
      </w:r>
      <w:proofErr w:type="gramEnd"/>
      <w:r w:rsidRPr="00DA618F">
        <w:t xml:space="preserve"> capex criteria relating to a prudent operator and efficient costs are complementary. Prudent and efficient expenditure reflects the lowest long-term cost to consumers for the most appropriate investment or activity required to achieve the expenditure objectives</w:t>
      </w:r>
      <w:r>
        <w:t>;</w:t>
      </w:r>
      <w:r w:rsidRPr="00926D87">
        <w:rPr>
          <w:rStyle w:val="AERsuperscript"/>
        </w:rPr>
        <w:footnoteReference w:id="26"/>
      </w:r>
      <w:r>
        <w:t xml:space="preserve"> and</w:t>
      </w:r>
      <w:r w:rsidRPr="00DA618F">
        <w:t xml:space="preserve"> </w:t>
      </w:r>
    </w:p>
    <w:p w:rsidR="008C7B59" w:rsidRPr="00DA618F" w:rsidRDefault="008C7B59" w:rsidP="008C7B59">
      <w:pPr>
        <w:pStyle w:val="AERbulletlistfirststyle"/>
      </w:pPr>
      <w:proofErr w:type="gramStart"/>
      <w:r w:rsidRPr="00DA618F">
        <w:t>past</w:t>
      </w:r>
      <w:proofErr w:type="gramEnd"/>
      <w:r w:rsidRPr="00DA618F">
        <w:t xml:space="preserve"> expenditure was sufficient for </w:t>
      </w:r>
      <w:r>
        <w:t xml:space="preserve">Powerlink </w:t>
      </w:r>
      <w:r w:rsidRPr="00DA618F">
        <w:t>to manage and operate its network in past periods, in a manner that achieved the capex objectives.</w:t>
      </w:r>
      <w:r w:rsidRPr="00926D87">
        <w:rPr>
          <w:rStyle w:val="AERsuperscript"/>
        </w:rPr>
        <w:footnoteReference w:id="27"/>
      </w:r>
      <w:r w:rsidRPr="00926D87">
        <w:rPr>
          <w:rStyle w:val="AERsuperscript"/>
        </w:rPr>
        <w:t xml:space="preserve"> </w:t>
      </w:r>
    </w:p>
    <w:p w:rsidR="008C7B59" w:rsidRPr="008C7B59" w:rsidRDefault="008C7B59" w:rsidP="00814879">
      <w:pPr>
        <w:pStyle w:val="Heading3"/>
      </w:pPr>
      <w:bookmarkStart w:id="95" w:name="_Toc413855477"/>
      <w:bookmarkStart w:id="96" w:name="_Toc413858627"/>
      <w:bookmarkStart w:id="97" w:name="_Toc417727146"/>
      <w:bookmarkStart w:id="98" w:name="_Toc456608782"/>
      <w:bookmarkStart w:id="99" w:name="_Toc460239229"/>
      <w:bookmarkStart w:id="100" w:name="_Toc460239297"/>
      <w:bookmarkStart w:id="101" w:name="_Toc460239550"/>
      <w:bookmarkStart w:id="102" w:name="_Toc460321507"/>
      <w:bookmarkStart w:id="103" w:name="_Toc460582367"/>
      <w:bookmarkStart w:id="104" w:name="_Toc462062147"/>
      <w:bookmarkStart w:id="105" w:name="_Toc462752288"/>
      <w:r w:rsidRPr="00DA618F">
        <w:lastRenderedPageBreak/>
        <w:t>Comparing the service provider's proposal with our alternative estimate</w:t>
      </w:r>
      <w:bookmarkEnd w:id="95"/>
      <w:bookmarkEnd w:id="96"/>
      <w:bookmarkEnd w:id="97"/>
      <w:bookmarkEnd w:id="98"/>
      <w:bookmarkEnd w:id="99"/>
      <w:bookmarkEnd w:id="100"/>
      <w:bookmarkEnd w:id="101"/>
      <w:bookmarkEnd w:id="102"/>
      <w:bookmarkEnd w:id="103"/>
      <w:bookmarkEnd w:id="104"/>
      <w:bookmarkEnd w:id="105"/>
    </w:p>
    <w:p w:rsidR="008C7B59" w:rsidRPr="00DA618F" w:rsidRDefault="008C7B59" w:rsidP="008C7B59">
      <w:pPr>
        <w:numPr>
          <w:ilvl w:val="0"/>
          <w:numId w:val="24"/>
        </w:numPr>
      </w:pPr>
      <w:r w:rsidRPr="00DA618F">
        <w:t xml:space="preserve">Having established our estimate of the total forecast capex, we can test the service provider's proposed total forecast capex. This includes comparing our estimate of forecast total capex with </w:t>
      </w:r>
      <w:r>
        <w:t>Powerlink's</w:t>
      </w:r>
      <w:r w:rsidRPr="00DA618F">
        <w:t xml:space="preserve"> proposal. </w:t>
      </w:r>
      <w:r>
        <w:t>Powerlink's</w:t>
      </w:r>
      <w:r w:rsidRPr="00DA618F">
        <w:t xml:space="preserve"> forecasting methodology and its key assumptions may explain any differences between our alternative estimate and its proposal. </w:t>
      </w:r>
    </w:p>
    <w:p w:rsidR="008C7B59" w:rsidRPr="00DA618F" w:rsidRDefault="008C7B59" w:rsidP="008C7B59">
      <w:pPr>
        <w:numPr>
          <w:ilvl w:val="0"/>
          <w:numId w:val="24"/>
        </w:numPr>
      </w:pPr>
      <w:r w:rsidRPr="00DA618F">
        <w:t>As the AEMC foreshadowed, we may need to exercise our judgement in determining whether any 'margin of difference' is reasonable:</w:t>
      </w:r>
      <w:r w:rsidRPr="00B42ACF">
        <w:rPr>
          <w:rStyle w:val="AERsuperscript"/>
        </w:rPr>
        <w:footnoteReference w:id="28"/>
      </w:r>
    </w:p>
    <w:p w:rsidR="008C7B59" w:rsidRPr="00DA618F" w:rsidRDefault="008C7B59" w:rsidP="008C7B59">
      <w:pPr>
        <w:pStyle w:val="AERquoteindent1"/>
      </w:pPr>
      <w:r w:rsidRPr="00DA618F">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8C7B59" w:rsidRPr="00DA618F" w:rsidRDefault="008C7B59" w:rsidP="008C7B59">
      <w:r w:rsidRPr="00DA618F">
        <w:t>As noted above, we draw on a range of techniques, as well as our assessment of elements that impact upon capex such as demand and real cost escalators.</w:t>
      </w:r>
    </w:p>
    <w:p w:rsidR="008C7B59" w:rsidRPr="00DA618F" w:rsidRDefault="008C7B59" w:rsidP="008C7B59">
      <w:r w:rsidRPr="00DA618F">
        <w:t xml:space="preserve">Our decision on the total forecast capex does not strictly limit a service provider’s actual spending. A service provider might spend more on capex than the total forecast capex amount specified in our decision in response to unanticipated expenditure needs. </w:t>
      </w:r>
    </w:p>
    <w:p w:rsidR="008C7B59" w:rsidRPr="00DA618F" w:rsidRDefault="008C7B59" w:rsidP="008C7B59">
      <w:r w:rsidRPr="00DA618F">
        <w:t xml:space="preserve">The regulatory framework has a number of mechanisms to deal with such circumstances. Importantly, a service provider does not bear the full cost where unexpected events lead to </w:t>
      </w:r>
      <w:proofErr w:type="gramStart"/>
      <w:r w:rsidRPr="00DA618F">
        <w:t>an overspend</w:t>
      </w:r>
      <w:proofErr w:type="gramEnd"/>
      <w:r w:rsidRPr="00DA618F">
        <w:t xml:space="preserve"> of the approved capex forecast. Rather, </w:t>
      </w:r>
      <w:r w:rsidR="005648CD">
        <w:t xml:space="preserve">under the Capital Expenditure Sharing Scheme </w:t>
      </w:r>
      <w:r w:rsidRPr="00DA618F">
        <w:t xml:space="preserve">the service provider bears 30 per cent of this cost if the expenditure is subsequently found to be prudent and efficient. Further, the </w:t>
      </w:r>
      <w:proofErr w:type="gramStart"/>
      <w:r w:rsidRPr="00DA618F">
        <w:t>pass through provisions provide</w:t>
      </w:r>
      <w:proofErr w:type="gramEnd"/>
      <w:r w:rsidRPr="00DA618F">
        <w:t xml:space="preserve"> a means for a service provider to pass on significant, unexpected capex to customers, where appropriate.</w:t>
      </w:r>
      <w:r w:rsidRPr="00343A84">
        <w:rPr>
          <w:rStyle w:val="AERsuperscript"/>
        </w:rPr>
        <w:footnoteReference w:id="29"/>
      </w:r>
      <w:r w:rsidRPr="00DA618F">
        <w:t xml:space="preserve"> Similarly, a service provider may spend less than the capex forecast because they have been more efficient than expected. In this case the service p</w:t>
      </w:r>
      <w:r w:rsidR="005648CD">
        <w:t>rovider will keep on average 30 per </w:t>
      </w:r>
      <w:r w:rsidRPr="00DA618F">
        <w:t>cent of this reduction over time</w:t>
      </w:r>
      <w:r w:rsidR="005648CD">
        <w:t xml:space="preserve"> in accordance with the Capital Expenditure Sharing Scheme.</w:t>
      </w:r>
    </w:p>
    <w:p w:rsidR="00132D43" w:rsidRDefault="008C7B59" w:rsidP="00132D43">
      <w:r w:rsidRPr="00DA618F">
        <w:t xml:space="preserve">We set our alternative estimate at the level where the service provider has a reasonable opportunity to recover efficient costs. The regulatory framework allows the service provider to respond to any unanticipated issues that arise during the regulatory control period. In the event that this leads to the approved total revenue </w:t>
      </w:r>
      <w:r w:rsidRPr="00DA618F">
        <w:lastRenderedPageBreak/>
        <w:t xml:space="preserve">underestimating the total capex required, the service provider should have sufficient flexibility to allow it to meet its safety and reliability obligations by reallocating its budget. Conversely, if there is an overestimation, the stronger incentives the AEMC put in place in 2012 should result in the service provider only spending what is efficient. As noted, the service provider and consumers share the benefits of </w:t>
      </w:r>
      <w:proofErr w:type="gramStart"/>
      <w:r w:rsidRPr="00DA618F">
        <w:t>the underspend</w:t>
      </w:r>
      <w:proofErr w:type="gramEnd"/>
      <w:r w:rsidRPr="00DA618F">
        <w:t xml:space="preserve"> and the costs of an overspend under the regulatory regime.</w:t>
      </w:r>
    </w:p>
    <w:p w:rsidR="00132D43" w:rsidRDefault="00132D43" w:rsidP="00132D43">
      <w:pPr>
        <w:pStyle w:val="Heading2"/>
      </w:pPr>
      <w:bookmarkStart w:id="106" w:name="_Toc462752289"/>
      <w:r>
        <w:t xml:space="preserve">Reasons for </w:t>
      </w:r>
      <w:r w:rsidR="008C7B59">
        <w:t>draft</w:t>
      </w:r>
      <w:r>
        <w:t xml:space="preserve"> decision</w:t>
      </w:r>
      <w:bookmarkEnd w:id="106"/>
    </w:p>
    <w:p w:rsidR="008C7B59" w:rsidRPr="005D11CE" w:rsidRDefault="008C7B59" w:rsidP="008C7B59">
      <w:r w:rsidRPr="005D11CE">
        <w:t>We applied the assessment approach set out in</w:t>
      </w:r>
      <w:r>
        <w:t xml:space="preserve"> section</w:t>
      </w:r>
      <w:r w:rsidRPr="005D11CE">
        <w:t xml:space="preserve"> </w:t>
      </w:r>
      <w:r w:rsidR="00250D0F">
        <w:t>6.3</w:t>
      </w:r>
      <w:r w:rsidRPr="005D11CE">
        <w:t xml:space="preserve"> to </w:t>
      </w:r>
      <w:r>
        <w:t>Powerlink</w:t>
      </w:r>
      <w:r w:rsidRPr="005D11CE">
        <w:t xml:space="preserve">. </w:t>
      </w:r>
      <w:r>
        <w:t>In this draft decision, we</w:t>
      </w:r>
      <w:r w:rsidRPr="005D11CE">
        <w:t xml:space="preserve"> are not satisfied </w:t>
      </w:r>
      <w:r>
        <w:t>Powerlink's</w:t>
      </w:r>
      <w:r w:rsidRPr="005D11CE">
        <w:t xml:space="preserve"> total forecast capex reasonably reflects the capex criteria. We compared </w:t>
      </w:r>
      <w:r>
        <w:t>Powerlink's</w:t>
      </w:r>
      <w:r w:rsidRPr="005D11CE">
        <w:t xml:space="preserve"> capex forecast to the alternative capex forecast we constructed using the approach and techniques outlined in appendices </w:t>
      </w:r>
      <w:r w:rsidR="00DA7D97">
        <w:fldChar w:fldCharType="begin"/>
      </w:r>
      <w:r w:rsidR="00DA7D97">
        <w:instrText xml:space="preserve"> REF _Ref461112548 \r </w:instrText>
      </w:r>
      <w:r w:rsidR="00DA7D97">
        <w:fldChar w:fldCharType="separate"/>
      </w:r>
      <w:proofErr w:type="gramStart"/>
      <w:r w:rsidR="005252EC">
        <w:t>A</w:t>
      </w:r>
      <w:proofErr w:type="gramEnd"/>
      <w:r w:rsidR="00DA7D97">
        <w:fldChar w:fldCharType="end"/>
      </w:r>
      <w:r w:rsidR="00FB2BEF">
        <w:fldChar w:fldCharType="begin"/>
      </w:r>
      <w:r w:rsidR="00FB2BEF">
        <w:instrText xml:space="preserve"> REF _Ref448499492 \r </w:instrText>
      </w:r>
      <w:r w:rsidR="00FB2BEF">
        <w:fldChar w:fldCharType="separate"/>
      </w:r>
      <w:r w:rsidR="005252EC">
        <w:rPr>
          <w:b/>
          <w:bCs/>
          <w:lang w:val="en-US"/>
        </w:rPr>
        <w:t>Error! Reference source not found.</w:t>
      </w:r>
      <w:r w:rsidR="00FB2BEF">
        <w:fldChar w:fldCharType="end"/>
      </w:r>
      <w:r>
        <w:t xml:space="preserve"> </w:t>
      </w:r>
      <w:proofErr w:type="gramStart"/>
      <w:r w:rsidRPr="005D11CE">
        <w:t>and</w:t>
      </w:r>
      <w:proofErr w:type="gramEnd"/>
      <w:r>
        <w:t xml:space="preserve"> </w:t>
      </w:r>
      <w:r>
        <w:fldChar w:fldCharType="begin"/>
      </w:r>
      <w:r>
        <w:instrText xml:space="preserve"> REF _Ref460233849 \r \h </w:instrText>
      </w:r>
      <w:r>
        <w:fldChar w:fldCharType="separate"/>
      </w:r>
      <w:r w:rsidR="005252EC">
        <w:t>B</w:t>
      </w:r>
      <w:r>
        <w:fldChar w:fldCharType="end"/>
      </w:r>
      <w:r w:rsidRPr="005D11CE">
        <w:t xml:space="preserve">. </w:t>
      </w:r>
      <w:r>
        <w:t>Powerlink's</w:t>
      </w:r>
      <w:r w:rsidRPr="005D11CE">
        <w:t xml:space="preserve"> proposal is materially higher than ours. We are satisfied that our alternative estimate reasonably reflects the capex criteria.</w:t>
      </w:r>
    </w:p>
    <w:p w:rsidR="008C7B59" w:rsidRDefault="008C7B59" w:rsidP="008C7B59">
      <w:r w:rsidRPr="00711968">
        <w:fldChar w:fldCharType="begin"/>
      </w:r>
      <w:r>
        <w:instrText xml:space="preserve"> REF _Ref448499611 </w:instrText>
      </w:r>
      <w:r w:rsidRPr="00711968">
        <w:fldChar w:fldCharType="separate"/>
      </w:r>
      <w:r w:rsidR="005252EC">
        <w:t xml:space="preserve">Table </w:t>
      </w:r>
      <w:r w:rsidR="005252EC">
        <w:rPr>
          <w:noProof/>
        </w:rPr>
        <w:t>6</w:t>
      </w:r>
      <w:r w:rsidR="005252EC">
        <w:t>.</w:t>
      </w:r>
      <w:r w:rsidR="005252EC">
        <w:rPr>
          <w:noProof/>
        </w:rPr>
        <w:t>3</w:t>
      </w:r>
      <w:r w:rsidRPr="00711968">
        <w:fldChar w:fldCharType="end"/>
      </w:r>
      <w:r>
        <w:t xml:space="preserve"> </w:t>
      </w:r>
      <w:r w:rsidRPr="005D11CE">
        <w:t xml:space="preserve">sets out the capex amounts by driver that we included in our alternative estimate of </w:t>
      </w:r>
      <w:r>
        <w:t>Powerlink's</w:t>
      </w:r>
      <w:r w:rsidRPr="005D11CE">
        <w:t xml:space="preserve"> total forecast capex for the 201</w:t>
      </w:r>
      <w:r>
        <w:t>7–22</w:t>
      </w:r>
      <w:r w:rsidRPr="005D11CE">
        <w:t xml:space="preserve"> </w:t>
      </w:r>
      <w:r>
        <w:t xml:space="preserve">regulatory control </w:t>
      </w:r>
      <w:proofErr w:type="gramStart"/>
      <w:r w:rsidRPr="005D11CE">
        <w:t>period</w:t>
      </w:r>
      <w:proofErr w:type="gramEnd"/>
      <w:r w:rsidRPr="005D11CE">
        <w:t>.</w:t>
      </w:r>
    </w:p>
    <w:p w:rsidR="008C7B59" w:rsidRPr="005531F2" w:rsidRDefault="008C7B59" w:rsidP="008C7B59">
      <w:pPr>
        <w:pStyle w:val="Caption"/>
      </w:pPr>
      <w:bookmarkStart w:id="107" w:name="_Ref448499611"/>
      <w:bookmarkStart w:id="108" w:name="_Ref403485719"/>
      <w:proofErr w:type="gramStart"/>
      <w:r>
        <w:t xml:space="preserve">Table </w:t>
      </w:r>
      <w:fldSimple w:instr=" STYLEREF 1 \s ">
        <w:r w:rsidR="005252EC">
          <w:rPr>
            <w:noProof/>
          </w:rPr>
          <w:t>6</w:t>
        </w:r>
      </w:fldSimple>
      <w:r w:rsidR="00250D0F">
        <w:t>.</w:t>
      </w:r>
      <w:proofErr w:type="gramEnd"/>
      <w:r w:rsidR="005252EC">
        <w:fldChar w:fldCharType="begin"/>
      </w:r>
      <w:r w:rsidR="005252EC">
        <w:instrText xml:space="preserve"> SEQ Table \* ARABIC \s 1 </w:instrText>
      </w:r>
      <w:r w:rsidR="005252EC">
        <w:fldChar w:fldCharType="separate"/>
      </w:r>
      <w:r w:rsidR="005252EC">
        <w:rPr>
          <w:noProof/>
        </w:rPr>
        <w:t>3</w:t>
      </w:r>
      <w:r w:rsidR="005252EC">
        <w:rPr>
          <w:noProof/>
        </w:rPr>
        <w:fldChar w:fldCharType="end"/>
      </w:r>
      <w:bookmarkEnd w:id="107"/>
      <w:r w:rsidRPr="005531F2">
        <w:tab/>
      </w:r>
      <w:r>
        <w:t>Draft decision</w:t>
      </w:r>
      <w:r w:rsidRPr="005531F2">
        <w:t xml:space="preserve"> assessment of required capex by capex driver 201</w:t>
      </w:r>
      <w:r>
        <w:t>7–22</w:t>
      </w:r>
      <w:r w:rsidRPr="005531F2">
        <w:t xml:space="preserve"> ($</w:t>
      </w:r>
      <w:r>
        <w:t>2016</w:t>
      </w:r>
      <w:r w:rsidR="00CB260C">
        <w:t>–</w:t>
      </w:r>
      <w:r>
        <w:t>17,</w:t>
      </w:r>
      <w:r w:rsidRPr="005531F2">
        <w:t> million)</w:t>
      </w:r>
      <w:bookmarkEnd w:id="108"/>
    </w:p>
    <w:tbl>
      <w:tblPr>
        <w:tblStyle w:val="AERtable-numbers"/>
        <w:tblW w:w="5000" w:type="pct"/>
        <w:tblLook w:val="04A0" w:firstRow="1" w:lastRow="0" w:firstColumn="1" w:lastColumn="0" w:noHBand="0" w:noVBand="1"/>
      </w:tblPr>
      <w:tblGrid>
        <w:gridCol w:w="2171"/>
        <w:gridCol w:w="1087"/>
        <w:gridCol w:w="1087"/>
        <w:gridCol w:w="1087"/>
        <w:gridCol w:w="1087"/>
        <w:gridCol w:w="1087"/>
        <w:gridCol w:w="1087"/>
      </w:tblGrid>
      <w:tr w:rsidR="008C7B59" w:rsidRPr="005667CE" w:rsidTr="005D15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8C7B59" w:rsidRPr="008C7B59" w:rsidRDefault="008C7B59" w:rsidP="008C7B59">
            <w:r w:rsidRPr="001848FE">
              <w:t>Category</w:t>
            </w:r>
          </w:p>
        </w:tc>
        <w:tc>
          <w:tcPr>
            <w:tcW w:w="625" w:type="pct"/>
            <w:hideMark/>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rsidRPr="001848FE">
              <w:t>2017–18</w:t>
            </w:r>
          </w:p>
        </w:tc>
        <w:tc>
          <w:tcPr>
            <w:tcW w:w="625" w:type="pct"/>
            <w:hideMark/>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rsidRPr="001848FE">
              <w:t>2018–19</w:t>
            </w:r>
          </w:p>
        </w:tc>
        <w:tc>
          <w:tcPr>
            <w:tcW w:w="625" w:type="pct"/>
            <w:hideMark/>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rsidRPr="001848FE">
              <w:t>2019–20</w:t>
            </w:r>
          </w:p>
        </w:tc>
        <w:tc>
          <w:tcPr>
            <w:tcW w:w="625" w:type="pct"/>
            <w:hideMark/>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rsidRPr="001848FE">
              <w:t>2020–21</w:t>
            </w:r>
          </w:p>
        </w:tc>
        <w:tc>
          <w:tcPr>
            <w:tcW w:w="625" w:type="pct"/>
            <w:hideMark/>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rsidRPr="001848FE">
              <w:t>2021–22</w:t>
            </w:r>
          </w:p>
        </w:tc>
        <w:tc>
          <w:tcPr>
            <w:tcW w:w="625" w:type="pct"/>
            <w:hideMark/>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rsidRPr="001848FE">
              <w:t>Total</w:t>
            </w:r>
          </w:p>
        </w:tc>
      </w:tr>
      <w:tr w:rsidR="008C7B59" w:rsidRPr="005667CE" w:rsidTr="005D15EC">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8C7B59" w:rsidRPr="008C7B59" w:rsidRDefault="008C7B59" w:rsidP="008C7B59">
            <w:r w:rsidRPr="007327F0">
              <w:t>Augmentation</w:t>
            </w:r>
          </w:p>
        </w:tc>
        <w:tc>
          <w:tcPr>
            <w:tcW w:w="625" w:type="pct"/>
            <w:vAlign w:val="top"/>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BE60FE">
              <w:t>0.3</w:t>
            </w:r>
          </w:p>
        </w:tc>
        <w:tc>
          <w:tcPr>
            <w:tcW w:w="625" w:type="pct"/>
            <w:vAlign w:val="top"/>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BE60FE">
              <w:t>2.6</w:t>
            </w:r>
          </w:p>
        </w:tc>
        <w:tc>
          <w:tcPr>
            <w:tcW w:w="625" w:type="pct"/>
            <w:vAlign w:val="top"/>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BE60FE">
              <w:t>0.3</w:t>
            </w:r>
          </w:p>
        </w:tc>
        <w:tc>
          <w:tcPr>
            <w:tcW w:w="625" w:type="pct"/>
            <w:vAlign w:val="top"/>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BE60FE">
              <w:t>0.0</w:t>
            </w:r>
          </w:p>
        </w:tc>
        <w:tc>
          <w:tcPr>
            <w:tcW w:w="625" w:type="pct"/>
            <w:vAlign w:val="top"/>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BE60FE">
              <w:t>0.0</w:t>
            </w:r>
          </w:p>
        </w:tc>
        <w:tc>
          <w:tcPr>
            <w:tcW w:w="625" w:type="pct"/>
            <w:vAlign w:val="top"/>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BE60FE">
              <w:t>3.1</w:t>
            </w:r>
          </w:p>
        </w:tc>
      </w:tr>
      <w:tr w:rsidR="008C7B59" w:rsidRPr="005667CE" w:rsidTr="005D15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8C7B59" w:rsidRPr="008C7B59" w:rsidRDefault="008C7B59" w:rsidP="008C7B59">
            <w:r w:rsidRPr="007327F0">
              <w:t>Easements</w:t>
            </w:r>
          </w:p>
        </w:tc>
        <w:tc>
          <w:tcPr>
            <w:tcW w:w="625" w:type="pct"/>
            <w:vAlign w:val="top"/>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BE60FE">
              <w:t>2.6</w:t>
            </w:r>
          </w:p>
        </w:tc>
        <w:tc>
          <w:tcPr>
            <w:tcW w:w="625" w:type="pct"/>
            <w:vAlign w:val="top"/>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BE60FE">
              <w:t>1.5</w:t>
            </w:r>
          </w:p>
        </w:tc>
        <w:tc>
          <w:tcPr>
            <w:tcW w:w="625" w:type="pct"/>
            <w:vAlign w:val="top"/>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BE60FE">
              <w:t>3.2</w:t>
            </w:r>
          </w:p>
        </w:tc>
        <w:tc>
          <w:tcPr>
            <w:tcW w:w="625" w:type="pct"/>
            <w:vAlign w:val="top"/>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BE60FE">
              <w:t>0.3</w:t>
            </w:r>
          </w:p>
        </w:tc>
        <w:tc>
          <w:tcPr>
            <w:tcW w:w="625" w:type="pct"/>
            <w:vAlign w:val="top"/>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BE60FE">
              <w:t>0.0</w:t>
            </w:r>
          </w:p>
        </w:tc>
        <w:tc>
          <w:tcPr>
            <w:tcW w:w="625" w:type="pct"/>
            <w:vAlign w:val="top"/>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BE60FE">
              <w:t>7.7</w:t>
            </w:r>
          </w:p>
        </w:tc>
      </w:tr>
      <w:tr w:rsidR="008C7B59" w:rsidRPr="005667CE" w:rsidTr="005D15EC">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8C7B59" w:rsidRPr="008C7B59" w:rsidRDefault="008C7B59" w:rsidP="008C7B59">
            <w:r>
              <w:t>Replacement</w:t>
            </w:r>
          </w:p>
        </w:tc>
        <w:tc>
          <w:tcPr>
            <w:tcW w:w="62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BE60FE">
              <w:t>120.2</w:t>
            </w:r>
          </w:p>
        </w:tc>
        <w:tc>
          <w:tcPr>
            <w:tcW w:w="62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BE60FE">
              <w:t>123.</w:t>
            </w:r>
            <w:r w:rsidRPr="008C7B59">
              <w:t>7</w:t>
            </w:r>
          </w:p>
        </w:tc>
        <w:tc>
          <w:tcPr>
            <w:tcW w:w="62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120</w:t>
            </w:r>
            <w:r w:rsidRPr="008C7B59">
              <w:t>.2</w:t>
            </w:r>
          </w:p>
        </w:tc>
        <w:tc>
          <w:tcPr>
            <w:tcW w:w="62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124</w:t>
            </w:r>
            <w:r w:rsidRPr="008C7B59">
              <w:t>.7</w:t>
            </w:r>
          </w:p>
        </w:tc>
        <w:tc>
          <w:tcPr>
            <w:tcW w:w="62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121</w:t>
            </w:r>
            <w:r w:rsidRPr="008C7B59">
              <w:t>.0</w:t>
            </w:r>
          </w:p>
        </w:tc>
        <w:tc>
          <w:tcPr>
            <w:tcW w:w="62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609</w:t>
            </w:r>
            <w:r w:rsidRPr="008C7B59">
              <w:t>.8</w:t>
            </w:r>
          </w:p>
        </w:tc>
      </w:tr>
      <w:tr w:rsidR="008C7B59" w:rsidRPr="005667CE" w:rsidTr="005D15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8C7B59" w:rsidRPr="008C7B59" w:rsidRDefault="008C7B59" w:rsidP="008C7B59">
            <w:r>
              <w:t xml:space="preserve">Security and </w:t>
            </w:r>
            <w:r w:rsidRPr="008C7B59">
              <w:t>compliance</w:t>
            </w:r>
          </w:p>
        </w:tc>
        <w:tc>
          <w:tcPr>
            <w:tcW w:w="62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BE60FE">
              <w:t>3.7</w:t>
            </w:r>
          </w:p>
        </w:tc>
        <w:tc>
          <w:tcPr>
            <w:tcW w:w="62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BE60FE">
              <w:t>3.7</w:t>
            </w:r>
          </w:p>
        </w:tc>
        <w:tc>
          <w:tcPr>
            <w:tcW w:w="62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BE60FE">
              <w:t>3.8</w:t>
            </w:r>
          </w:p>
        </w:tc>
        <w:tc>
          <w:tcPr>
            <w:tcW w:w="62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BE60FE">
              <w:t>3.8</w:t>
            </w:r>
          </w:p>
        </w:tc>
        <w:tc>
          <w:tcPr>
            <w:tcW w:w="62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BE60FE">
              <w:t>3.8</w:t>
            </w:r>
          </w:p>
        </w:tc>
        <w:tc>
          <w:tcPr>
            <w:tcW w:w="62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BE60FE">
              <w:t>18.8</w:t>
            </w:r>
          </w:p>
        </w:tc>
      </w:tr>
      <w:tr w:rsidR="008C7B59" w:rsidRPr="005667CE" w:rsidTr="005D15EC">
        <w:trPr>
          <w:trHeight w:val="300"/>
        </w:trPr>
        <w:tc>
          <w:tcPr>
            <w:cnfStyle w:val="001000000000" w:firstRow="0" w:lastRow="0" w:firstColumn="1" w:lastColumn="0" w:oddVBand="0" w:evenVBand="0" w:oddHBand="0" w:evenHBand="0" w:firstRowFirstColumn="0" w:firstRowLastColumn="0" w:lastRowFirstColumn="0" w:lastRowLastColumn="0"/>
            <w:tcW w:w="1249" w:type="pct"/>
          </w:tcPr>
          <w:p w:rsidR="008C7B59" w:rsidRPr="008C7B59" w:rsidRDefault="008C7B59" w:rsidP="008C7B59">
            <w:r>
              <w:t>Other non-load driven</w:t>
            </w:r>
          </w:p>
        </w:tc>
        <w:tc>
          <w:tcPr>
            <w:tcW w:w="62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BE60FE">
              <w:t>12.0</w:t>
            </w:r>
          </w:p>
        </w:tc>
        <w:tc>
          <w:tcPr>
            <w:tcW w:w="62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BE60FE">
              <w:t>6.1</w:t>
            </w:r>
          </w:p>
        </w:tc>
        <w:tc>
          <w:tcPr>
            <w:tcW w:w="62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BE60FE">
              <w:t>4.0</w:t>
            </w:r>
          </w:p>
        </w:tc>
        <w:tc>
          <w:tcPr>
            <w:tcW w:w="62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BE60FE">
              <w:t>4.0</w:t>
            </w:r>
          </w:p>
        </w:tc>
        <w:tc>
          <w:tcPr>
            <w:tcW w:w="62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BE60FE">
              <w:t>4.0</w:t>
            </w:r>
          </w:p>
        </w:tc>
        <w:tc>
          <w:tcPr>
            <w:tcW w:w="62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BE60FE">
              <w:t>30.1</w:t>
            </w:r>
          </w:p>
        </w:tc>
      </w:tr>
      <w:tr w:rsidR="008C7B59" w:rsidRPr="005667CE" w:rsidTr="005D15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8C7B59" w:rsidRPr="008C7B59" w:rsidRDefault="008C7B59" w:rsidP="008C7B59">
            <w:r w:rsidRPr="001848FE">
              <w:t>Non-network</w:t>
            </w:r>
          </w:p>
        </w:tc>
        <w:tc>
          <w:tcPr>
            <w:tcW w:w="62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BE60FE">
              <w:t>18.3</w:t>
            </w:r>
          </w:p>
        </w:tc>
        <w:tc>
          <w:tcPr>
            <w:tcW w:w="62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BE60FE">
              <w:t>19.6</w:t>
            </w:r>
          </w:p>
        </w:tc>
        <w:tc>
          <w:tcPr>
            <w:tcW w:w="62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BE60FE">
              <w:t>24.9</w:t>
            </w:r>
          </w:p>
        </w:tc>
        <w:tc>
          <w:tcPr>
            <w:tcW w:w="62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BE60FE">
              <w:t>25.0</w:t>
            </w:r>
          </w:p>
        </w:tc>
        <w:tc>
          <w:tcPr>
            <w:tcW w:w="62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BE60FE">
              <w:t>18.0</w:t>
            </w:r>
          </w:p>
        </w:tc>
        <w:tc>
          <w:tcPr>
            <w:tcW w:w="62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rsidRPr="00BE60FE">
              <w:t>105.8</w:t>
            </w:r>
          </w:p>
        </w:tc>
      </w:tr>
      <w:tr w:rsidR="008C7B59" w:rsidRPr="005667CE" w:rsidTr="005D15EC">
        <w:trPr>
          <w:trHeight w:val="315"/>
        </w:trPr>
        <w:tc>
          <w:tcPr>
            <w:cnfStyle w:val="001000000000" w:firstRow="0" w:lastRow="0" w:firstColumn="1" w:lastColumn="0" w:oddVBand="0" w:evenVBand="0" w:oddHBand="0" w:evenHBand="0" w:firstRowFirstColumn="0" w:firstRowLastColumn="0" w:lastRowFirstColumn="0" w:lastRowLastColumn="0"/>
            <w:tcW w:w="1249" w:type="pct"/>
            <w:hideMark/>
          </w:tcPr>
          <w:p w:rsidR="008C7B59" w:rsidRPr="008C7B59" w:rsidRDefault="008C7B59" w:rsidP="008C7B59">
            <w:pPr>
              <w:rPr>
                <w:rStyle w:val="Strong"/>
              </w:rPr>
            </w:pPr>
            <w:r w:rsidRPr="001353ED">
              <w:t>Total</w:t>
            </w:r>
            <w:r w:rsidRPr="008C7B59">
              <w:rPr>
                <w:rStyle w:val="Strong"/>
              </w:rPr>
              <w:t xml:space="preserve"> </w:t>
            </w:r>
            <w:r w:rsidRPr="008C7B59">
              <w:t>capex</w:t>
            </w:r>
          </w:p>
        </w:tc>
        <w:tc>
          <w:tcPr>
            <w:tcW w:w="625" w:type="pct"/>
            <w:vAlign w:val="bottom"/>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BE60FE">
              <w:t>157.1</w:t>
            </w:r>
          </w:p>
        </w:tc>
        <w:tc>
          <w:tcPr>
            <w:tcW w:w="625" w:type="pct"/>
            <w:vAlign w:val="bottom"/>
          </w:tcPr>
          <w:p w:rsidR="008C7B59" w:rsidRPr="008C7B59" w:rsidRDefault="008C7B59" w:rsidP="00107AAB">
            <w:pPr>
              <w:cnfStyle w:val="000000000000" w:firstRow="0" w:lastRow="0" w:firstColumn="0" w:lastColumn="0" w:oddVBand="0" w:evenVBand="0" w:oddHBand="0" w:evenHBand="0" w:firstRowFirstColumn="0" w:firstRowLastColumn="0" w:lastRowFirstColumn="0" w:lastRowLastColumn="0"/>
            </w:pPr>
            <w:r w:rsidRPr="00BE60FE">
              <w:t>15</w:t>
            </w:r>
            <w:r w:rsidR="00107AAB">
              <w:t>7.2</w:t>
            </w:r>
          </w:p>
        </w:tc>
        <w:tc>
          <w:tcPr>
            <w:tcW w:w="625" w:type="pct"/>
            <w:vAlign w:val="bottom"/>
          </w:tcPr>
          <w:p w:rsidR="008C7B59" w:rsidRPr="008C7B59" w:rsidRDefault="008C7B59" w:rsidP="00107AAB">
            <w:pPr>
              <w:cnfStyle w:val="000000000000" w:firstRow="0" w:lastRow="0" w:firstColumn="0" w:lastColumn="0" w:oddVBand="0" w:evenVBand="0" w:oddHBand="0" w:evenHBand="0" w:firstRowFirstColumn="0" w:firstRowLastColumn="0" w:lastRowFirstColumn="0" w:lastRowLastColumn="0"/>
            </w:pPr>
            <w:r w:rsidRPr="00BE60FE">
              <w:t>15</w:t>
            </w:r>
            <w:r w:rsidR="00107AAB">
              <w:t>6.3</w:t>
            </w:r>
          </w:p>
        </w:tc>
        <w:tc>
          <w:tcPr>
            <w:tcW w:w="625" w:type="pct"/>
            <w:vAlign w:val="bottom"/>
          </w:tcPr>
          <w:p w:rsidR="008C7B59" w:rsidRPr="008C7B59" w:rsidRDefault="008C7B59" w:rsidP="00107AAB">
            <w:pPr>
              <w:cnfStyle w:val="000000000000" w:firstRow="0" w:lastRow="0" w:firstColumn="0" w:lastColumn="0" w:oddVBand="0" w:evenVBand="0" w:oddHBand="0" w:evenHBand="0" w:firstRowFirstColumn="0" w:firstRowLastColumn="0" w:lastRowFirstColumn="0" w:lastRowLastColumn="0"/>
            </w:pPr>
            <w:r w:rsidRPr="00BE60FE">
              <w:t>15</w:t>
            </w:r>
            <w:r w:rsidR="00107AAB">
              <w:t>7.9</w:t>
            </w:r>
          </w:p>
        </w:tc>
        <w:tc>
          <w:tcPr>
            <w:tcW w:w="625" w:type="pct"/>
            <w:vAlign w:val="bottom"/>
          </w:tcPr>
          <w:p w:rsidR="008C7B59" w:rsidRPr="008C7B59" w:rsidRDefault="008C7B59" w:rsidP="00107AAB">
            <w:pPr>
              <w:cnfStyle w:val="000000000000" w:firstRow="0" w:lastRow="0" w:firstColumn="0" w:lastColumn="0" w:oddVBand="0" w:evenVBand="0" w:oddHBand="0" w:evenHBand="0" w:firstRowFirstColumn="0" w:firstRowLastColumn="0" w:lastRowFirstColumn="0" w:lastRowLastColumn="0"/>
            </w:pPr>
            <w:r w:rsidRPr="00BE60FE">
              <w:t>14</w:t>
            </w:r>
            <w:r w:rsidR="00107AAB">
              <w:t>6.7</w:t>
            </w:r>
          </w:p>
        </w:tc>
        <w:tc>
          <w:tcPr>
            <w:tcW w:w="62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775.2</w:t>
            </w:r>
          </w:p>
        </w:tc>
      </w:tr>
    </w:tbl>
    <w:p w:rsidR="008C7B59" w:rsidRPr="001848FE" w:rsidRDefault="008C7B59" w:rsidP="008C7B59">
      <w:pPr>
        <w:pStyle w:val="AERtablesource"/>
      </w:pPr>
      <w:r w:rsidRPr="001848FE">
        <w:t>Source:</w:t>
      </w:r>
      <w:r w:rsidRPr="001848FE">
        <w:tab/>
        <w:t>AER analysis.</w:t>
      </w:r>
      <w:r w:rsidRPr="001848FE">
        <w:tab/>
      </w:r>
    </w:p>
    <w:p w:rsidR="008C7B59" w:rsidRPr="007327F0" w:rsidRDefault="008C7B59" w:rsidP="00250D0F">
      <w:pPr>
        <w:pStyle w:val="AERtablesource"/>
      </w:pPr>
      <w:r w:rsidRPr="007327F0">
        <w:t>Note:</w:t>
      </w:r>
      <w:r w:rsidRPr="007327F0" w:rsidDel="002A0B9F">
        <w:t xml:space="preserve"> </w:t>
      </w:r>
      <w:r w:rsidRPr="007327F0">
        <w:tab/>
        <w:t>Numbers may not add up due to rounding</w:t>
      </w:r>
      <w:r w:rsidRPr="00250D0F">
        <w:t xml:space="preserve">. </w:t>
      </w:r>
    </w:p>
    <w:p w:rsidR="008C7B59" w:rsidRPr="00433688" w:rsidRDefault="008C7B59" w:rsidP="008C7B59">
      <w:r w:rsidRPr="00433688">
        <w:t xml:space="preserve">Our alternative estimate </w:t>
      </w:r>
      <w:r w:rsidRPr="00163E01">
        <w:t>of $</w:t>
      </w:r>
      <w:r>
        <w:t>775.2</w:t>
      </w:r>
      <w:r w:rsidRPr="00163E01">
        <w:t xml:space="preserve"> million is $</w:t>
      </w:r>
      <w:r>
        <w:t>184.5</w:t>
      </w:r>
      <w:r w:rsidRPr="00163E01">
        <w:t xml:space="preserve"> million</w:t>
      </w:r>
      <w:r w:rsidRPr="00433688">
        <w:t xml:space="preserve"> lower than </w:t>
      </w:r>
      <w:r>
        <w:t>Powerlink's</w:t>
      </w:r>
      <w:r w:rsidRPr="00433688">
        <w:t xml:space="preserve"> forecast of $</w:t>
      </w:r>
      <w:r>
        <w:t>959.7 million. This reflects a reduction in repex driven by different assumptions of expected asset replacement lives.</w:t>
      </w:r>
    </w:p>
    <w:p w:rsidR="008C7B59" w:rsidRPr="00433688" w:rsidRDefault="008C7B59" w:rsidP="008C7B59">
      <w:r w:rsidRPr="00433688">
        <w:t>Our assessments of capex drivers are in appendix B. These set out the application of our assessment techniques to the capex drivers, and the weighting we gave to particular techniques. We used our reasoning in the appendices to form our alternative estimate.</w:t>
      </w:r>
    </w:p>
    <w:p w:rsidR="008C7B59" w:rsidRDefault="008C7B59" w:rsidP="008C7B59">
      <w:r w:rsidRPr="00433688">
        <w:t xml:space="preserve">We discuss our assessment of </w:t>
      </w:r>
      <w:r>
        <w:t>Powerlink's</w:t>
      </w:r>
      <w:r w:rsidRPr="00433688">
        <w:t xml:space="preserve"> forecasting methodology, key assumptions and past capex performance in the sections below. </w:t>
      </w:r>
    </w:p>
    <w:p w:rsidR="008C7B59" w:rsidRPr="008C7B59" w:rsidRDefault="00753586" w:rsidP="00A52AFF">
      <w:pPr>
        <w:pStyle w:val="Heading3"/>
      </w:pPr>
      <w:bookmarkStart w:id="109" w:name="_Toc456608784"/>
      <w:bookmarkStart w:id="110" w:name="_Toc460239231"/>
      <w:bookmarkStart w:id="111" w:name="_Toc460239299"/>
      <w:bookmarkStart w:id="112" w:name="_Toc460239552"/>
      <w:bookmarkStart w:id="113" w:name="_Toc460321509"/>
      <w:bookmarkStart w:id="114" w:name="_Ref460428727"/>
      <w:bookmarkStart w:id="115" w:name="_Ref460428737"/>
      <w:bookmarkStart w:id="116" w:name="_Toc460582369"/>
      <w:bookmarkStart w:id="117" w:name="_Toc462062149"/>
      <w:bookmarkStart w:id="118" w:name="_Toc462752290"/>
      <w:r>
        <w:lastRenderedPageBreak/>
        <w:t>Ex post</w:t>
      </w:r>
      <w:r w:rsidRPr="00B97836">
        <w:t xml:space="preserve"> </w:t>
      </w:r>
      <w:r w:rsidR="008C7B59" w:rsidRPr="00A52AFF">
        <w:t>review</w:t>
      </w:r>
      <w:r w:rsidR="008C7B59" w:rsidRPr="00B97836">
        <w:t xml:space="preserve"> of past capital expenditure</w:t>
      </w:r>
      <w:bookmarkEnd w:id="109"/>
      <w:bookmarkEnd w:id="110"/>
      <w:bookmarkEnd w:id="111"/>
      <w:bookmarkEnd w:id="112"/>
      <w:bookmarkEnd w:id="113"/>
      <w:bookmarkEnd w:id="114"/>
      <w:bookmarkEnd w:id="115"/>
      <w:bookmarkEnd w:id="116"/>
      <w:bookmarkEnd w:id="117"/>
      <w:bookmarkEnd w:id="118"/>
      <w:r w:rsidR="008C7B59" w:rsidRPr="00B97836">
        <w:t xml:space="preserve"> </w:t>
      </w:r>
    </w:p>
    <w:p w:rsidR="008C7B59" w:rsidRDefault="008C7B59" w:rsidP="008C7B59">
      <w:bookmarkStart w:id="119" w:name="_Toc460239232"/>
      <w:bookmarkStart w:id="120" w:name="_Toc460239300"/>
      <w:bookmarkStart w:id="121" w:name="_Toc460239553"/>
      <w:bookmarkStart w:id="122" w:name="_Toc460321510"/>
      <w:r>
        <w:t xml:space="preserve">The capex incentive regime aims to ensure that </w:t>
      </w:r>
      <w:r w:rsidRPr="00B27F43">
        <w:t xml:space="preserve">only </w:t>
      </w:r>
      <w:r>
        <w:t>capex</w:t>
      </w:r>
      <w:r w:rsidRPr="00B27F43">
        <w:t xml:space="preserve"> that i</w:t>
      </w:r>
      <w:r>
        <w:t>s efficient should enter the regulatory asset base</w:t>
      </w:r>
      <w:r w:rsidRPr="00B27F43">
        <w:t xml:space="preserve"> to be recovered from</w:t>
      </w:r>
      <w:r>
        <w:t xml:space="preserve"> consumers.</w:t>
      </w:r>
      <w:r>
        <w:rPr>
          <w:rStyle w:val="FootnoteReference"/>
        </w:rPr>
        <w:footnoteReference w:id="30"/>
      </w:r>
      <w:r>
        <w:t xml:space="preserve"> We are required to provide a statement on whether past expenditure included in the roll forward of the regulatory asset base </w:t>
      </w:r>
      <w:r w:rsidR="004D40D3">
        <w:t>contributes to the achievement of the capital expenditure incentive objective</w:t>
      </w:r>
      <w:r>
        <w:t>.</w:t>
      </w:r>
      <w:r>
        <w:rPr>
          <w:rStyle w:val="FootnoteReference"/>
        </w:rPr>
        <w:footnoteReference w:id="31"/>
      </w:r>
      <w:r>
        <w:t xml:space="preserve"> For this decision, our statement relates only to the 2014–15 regulatory year.</w:t>
      </w:r>
      <w:r>
        <w:rPr>
          <w:rStyle w:val="FootnoteReference"/>
        </w:rPr>
        <w:footnoteReference w:id="32"/>
      </w:r>
      <w:r>
        <w:t xml:space="preserve"> </w:t>
      </w:r>
    </w:p>
    <w:p w:rsidR="008C7B59" w:rsidRDefault="008C7B59" w:rsidP="008C7B59">
      <w:r>
        <w:t xml:space="preserve">We have assessed </w:t>
      </w:r>
      <w:r w:rsidRPr="00D6334E">
        <w:t xml:space="preserve">the extent to which the roll forward of the regulatory asset base from the </w:t>
      </w:r>
      <w:r>
        <w:t>2012–17</w:t>
      </w:r>
      <w:r w:rsidRPr="00D6334E">
        <w:t xml:space="preserve"> regulatory control period to the commencement of the </w:t>
      </w:r>
      <w:r>
        <w:t xml:space="preserve">2017–22 </w:t>
      </w:r>
      <w:r w:rsidRPr="00D6334E">
        <w:t>regulatory control period contributes to the achievement of the capital expenditure incentive objective</w:t>
      </w:r>
      <w:r>
        <w:t>.</w:t>
      </w:r>
      <w:r>
        <w:rPr>
          <w:rStyle w:val="FootnoteReference"/>
        </w:rPr>
        <w:footnoteReference w:id="33"/>
      </w:r>
      <w:r>
        <w:t xml:space="preserve"> The capital expenditure incentive objective essentially requires that only prudent and efficient expenditure is included in the regulatory asset base. </w:t>
      </w:r>
    </w:p>
    <w:p w:rsidR="008C7B59" w:rsidRDefault="008C7B59" w:rsidP="008C7B59">
      <w:r>
        <w:t xml:space="preserve">Our approach to this assessment </w:t>
      </w:r>
      <w:r w:rsidR="00D5502C">
        <w:t xml:space="preserve">applies the approach set out in </w:t>
      </w:r>
      <w:r>
        <w:t>our Capital Expenditure Incentive Guideline.</w:t>
      </w:r>
      <w:r>
        <w:rPr>
          <w:rStyle w:val="FootnoteReference"/>
        </w:rPr>
        <w:footnoteReference w:id="34"/>
      </w:r>
      <w:r>
        <w:t xml:space="preserve"> Our Guideline outlines a two stage process for assessing whether past expenditure is likely to be efficient and prudent.</w:t>
      </w:r>
      <w:r>
        <w:rPr>
          <w:rStyle w:val="FootnoteReference"/>
        </w:rPr>
        <w:footnoteReference w:id="35"/>
      </w:r>
      <w:r>
        <w:t xml:space="preserve"> The first stage considers whether a service provider has over-spent against its approved total capex forecast and </w:t>
      </w:r>
      <w:r w:rsidR="006249FF">
        <w:t>how that</w:t>
      </w:r>
      <w:r>
        <w:t xml:space="preserve"> expenditure compares with previous levels of capex and with other service providers.</w:t>
      </w:r>
    </w:p>
    <w:p w:rsidR="008C7B59" w:rsidRPr="001054BB" w:rsidRDefault="008C7B59" w:rsidP="003571EA">
      <w:pPr>
        <w:rPr>
          <w:rStyle w:val="AERbody"/>
        </w:rPr>
      </w:pPr>
      <w:r>
        <w:t xml:space="preserve">As discussed in appendix E, our assessment of Powerlink's past capex relates only to the 2014–15 regulatory year. We are satisfied that Powerlink's actual capex </w:t>
      </w:r>
      <w:r w:rsidR="00F8768D">
        <w:t>incurred in 2014–15 is below the forecast allowance. Therefore, the overspending requirement</w:t>
      </w:r>
      <w:r w:rsidR="00F8768D" w:rsidRPr="00F8768D">
        <w:t xml:space="preserve"> </w:t>
      </w:r>
      <w:r w:rsidR="00F8768D">
        <w:t>for an</w:t>
      </w:r>
      <w:r w:rsidR="00F8768D" w:rsidRPr="004B1B8E">
        <w:t xml:space="preserve"> efficiency review</w:t>
      </w:r>
      <w:r w:rsidR="00F8768D">
        <w:t xml:space="preserve"> of past capex</w:t>
      </w:r>
      <w:r w:rsidR="00F8768D" w:rsidRPr="004B1B8E">
        <w:t xml:space="preserve"> is not </w:t>
      </w:r>
      <w:r w:rsidR="00F8768D">
        <w:t>satisfied</w:t>
      </w:r>
      <w:r w:rsidR="00F8768D" w:rsidRPr="004B1B8E">
        <w:t>.</w:t>
      </w:r>
      <w:r w:rsidR="00F8768D">
        <w:rPr>
          <w:rStyle w:val="FootnoteReference"/>
        </w:rPr>
        <w:footnoteReference w:id="36"/>
      </w:r>
      <w:r w:rsidR="00F8768D">
        <w:t xml:space="preserve"> </w:t>
      </w:r>
      <w:r w:rsidR="00E4446C">
        <w:t>A</w:t>
      </w:r>
      <w:r w:rsidR="00E4446C" w:rsidRPr="004B1B8E">
        <w:t xml:space="preserve">ccordingly, </w:t>
      </w:r>
      <w:r w:rsidR="00E4446C" w:rsidRPr="00797A6C">
        <w:t xml:space="preserve">this supports the view that this expenditure is consistent with the capital expenditure </w:t>
      </w:r>
      <w:r w:rsidR="00E4446C">
        <w:t xml:space="preserve">incentive </w:t>
      </w:r>
      <w:r w:rsidR="00E4446C" w:rsidRPr="00797A6C">
        <w:t>objective.</w:t>
      </w:r>
    </w:p>
    <w:p w:rsidR="008C7B59" w:rsidRPr="008C7B59" w:rsidRDefault="008C7B59" w:rsidP="008C7B59">
      <w:pPr>
        <w:pStyle w:val="Heading3"/>
      </w:pPr>
      <w:bookmarkStart w:id="123" w:name="_Toc460582370"/>
      <w:bookmarkStart w:id="124" w:name="_Toc462062150"/>
      <w:bookmarkStart w:id="125" w:name="_Toc462752291"/>
      <w:r>
        <w:t>Key assumptions</w:t>
      </w:r>
      <w:bookmarkEnd w:id="119"/>
      <w:bookmarkEnd w:id="120"/>
      <w:bookmarkEnd w:id="121"/>
      <w:bookmarkEnd w:id="122"/>
      <w:bookmarkEnd w:id="123"/>
      <w:bookmarkEnd w:id="124"/>
      <w:bookmarkEnd w:id="125"/>
    </w:p>
    <w:p w:rsidR="008C7B59" w:rsidRDefault="008C7B59" w:rsidP="008C7B59">
      <w:r>
        <w:t>The NER requires Powerlink to include in its revenue proposal the key assumptions that underlie its proposed forecast capex. Powerlink must also provide a certification by its Directors that those key assumptions are reasonable.</w:t>
      </w:r>
      <w:r>
        <w:rPr>
          <w:rStyle w:val="FootnoteReference"/>
        </w:rPr>
        <w:footnoteReference w:id="37"/>
      </w:r>
    </w:p>
    <w:p w:rsidR="008C7B59" w:rsidRDefault="008C7B59" w:rsidP="008C7B59">
      <w:r>
        <w:t>The key assumptions and inputs that underlie Powerlink's capex forecasts are:</w:t>
      </w:r>
      <w:r>
        <w:rPr>
          <w:rStyle w:val="FootnoteReference"/>
        </w:rPr>
        <w:footnoteReference w:id="38"/>
      </w:r>
    </w:p>
    <w:p w:rsidR="008C7B59" w:rsidRPr="00506AC0" w:rsidRDefault="008C7B59" w:rsidP="008C7B59">
      <w:pPr>
        <w:pStyle w:val="AERbulletlistfirststyle"/>
      </w:pPr>
      <w:r>
        <w:lastRenderedPageBreak/>
        <w:t>demand forecasts</w:t>
      </w:r>
    </w:p>
    <w:p w:rsidR="008C7B59" w:rsidRDefault="008C7B59" w:rsidP="008C7B59">
      <w:pPr>
        <w:pStyle w:val="AERbulletlistfirststyle"/>
      </w:pPr>
      <w:r>
        <w:t>a</w:t>
      </w:r>
      <w:r w:rsidRPr="00D92596">
        <w:t>sset management planning</w:t>
      </w:r>
    </w:p>
    <w:p w:rsidR="008C7B59" w:rsidRDefault="008C7B59" w:rsidP="008C7B59">
      <w:pPr>
        <w:pStyle w:val="AERbulletlistfirststyle"/>
      </w:pPr>
      <w:r>
        <w:t>a</w:t>
      </w:r>
      <w:r w:rsidRPr="00D92596">
        <w:t>sset reinvestment</w:t>
      </w:r>
    </w:p>
    <w:p w:rsidR="008C7B59" w:rsidRDefault="008C7B59" w:rsidP="008C7B59">
      <w:pPr>
        <w:pStyle w:val="AERbulletlistfirststyle"/>
      </w:pPr>
      <w:r>
        <w:t>n</w:t>
      </w:r>
      <w:r w:rsidRPr="00D92596">
        <w:t>etwork modelling</w:t>
      </w:r>
    </w:p>
    <w:p w:rsidR="008C7B59" w:rsidRDefault="008C7B59" w:rsidP="008C7B59">
      <w:pPr>
        <w:pStyle w:val="AERbulletlistfirststyle"/>
      </w:pPr>
      <w:proofErr w:type="gramStart"/>
      <w:r>
        <w:t>n</w:t>
      </w:r>
      <w:r w:rsidRPr="00D92596">
        <w:t>etwork</w:t>
      </w:r>
      <w:proofErr w:type="gramEnd"/>
      <w:r w:rsidRPr="00D92596">
        <w:t xml:space="preserve"> planning criteria</w:t>
      </w:r>
      <w:r>
        <w:t>.</w:t>
      </w:r>
    </w:p>
    <w:p w:rsidR="008C7B59" w:rsidRDefault="008C7B59" w:rsidP="008C7B59">
      <w:r>
        <w:t xml:space="preserve">We assessed Powerlink's key assumptions in </w:t>
      </w:r>
      <w:r w:rsidRPr="00BE60FE">
        <w:t>appendices B and C</w:t>
      </w:r>
      <w:r w:rsidRPr="008B34DA">
        <w:t xml:space="preserve"> to this</w:t>
      </w:r>
      <w:r>
        <w:t xml:space="preserve"> capex attachment. </w:t>
      </w:r>
      <w:r w:rsidRPr="00BE60FE">
        <w:t>We have identified concerns with some of the key assumptions relied upon by Powerlink either in how they were formulated or applied (e.g. we have used updated asset lives and adopted some alternative assumptions/inputs used in Powerlink's repex model).</w:t>
      </w:r>
      <w:r w:rsidRPr="008617DB">
        <w:t xml:space="preserve"> These concerns contribute to our </w:t>
      </w:r>
      <w:r>
        <w:t xml:space="preserve">draft </w:t>
      </w:r>
      <w:r w:rsidRPr="008617DB">
        <w:t xml:space="preserve">decision that we are not satisfied that </w:t>
      </w:r>
      <w:r>
        <w:t>Powerlink's</w:t>
      </w:r>
      <w:r w:rsidRPr="008617DB">
        <w:t xml:space="preserve"> forecast capex reasonably reflects the capex criteria.</w:t>
      </w:r>
    </w:p>
    <w:p w:rsidR="008C7B59" w:rsidRPr="008C7B59" w:rsidRDefault="008C7B59" w:rsidP="008C7B59">
      <w:pPr>
        <w:pStyle w:val="Heading3"/>
      </w:pPr>
      <w:bookmarkStart w:id="126" w:name="_Toc460239233"/>
      <w:bookmarkStart w:id="127" w:name="_Toc460239301"/>
      <w:bookmarkStart w:id="128" w:name="_Toc460239554"/>
      <w:bookmarkStart w:id="129" w:name="_Toc460321511"/>
      <w:bookmarkStart w:id="130" w:name="_Toc460582371"/>
      <w:bookmarkStart w:id="131" w:name="_Toc462062151"/>
      <w:bookmarkStart w:id="132" w:name="_Toc462752292"/>
      <w:r w:rsidRPr="00524D75">
        <w:t>Forecasting methodology</w:t>
      </w:r>
      <w:bookmarkEnd w:id="126"/>
      <w:bookmarkEnd w:id="127"/>
      <w:bookmarkEnd w:id="128"/>
      <w:bookmarkEnd w:id="129"/>
      <w:bookmarkEnd w:id="130"/>
      <w:bookmarkEnd w:id="131"/>
      <w:bookmarkEnd w:id="132"/>
    </w:p>
    <w:p w:rsidR="008C7B59" w:rsidRPr="00894BB0" w:rsidRDefault="008C7B59" w:rsidP="008C7B59">
      <w:r>
        <w:t xml:space="preserve">The NER requires Powerlink </w:t>
      </w:r>
      <w:r w:rsidRPr="00894BB0">
        <w:t xml:space="preserve">to </w:t>
      </w:r>
      <w:r>
        <w:t xml:space="preserve">set out </w:t>
      </w:r>
      <w:r w:rsidRPr="00894BB0">
        <w:t xml:space="preserve">the methodology it proposes to use to prepare its forecast capex allowance before it submits its </w:t>
      </w:r>
      <w:r>
        <w:t>revenue</w:t>
      </w:r>
      <w:r w:rsidRPr="00894BB0">
        <w:t xml:space="preserve"> proposal.</w:t>
      </w:r>
      <w:r w:rsidRPr="00894BB0">
        <w:rPr>
          <w:rStyle w:val="FootnoteReference"/>
        </w:rPr>
        <w:footnoteReference w:id="39"/>
      </w:r>
      <w:r w:rsidRPr="00894BB0">
        <w:t xml:space="preserve"> </w:t>
      </w:r>
      <w:r>
        <w:t xml:space="preserve">Powerlink </w:t>
      </w:r>
      <w:r w:rsidRPr="00894BB0">
        <w:t xml:space="preserve">must include this information in its </w:t>
      </w:r>
      <w:r>
        <w:t>revenue</w:t>
      </w:r>
      <w:r w:rsidRPr="00894BB0">
        <w:t xml:space="preserve"> proposal.</w:t>
      </w:r>
      <w:r w:rsidRPr="00894BB0">
        <w:rPr>
          <w:rStyle w:val="FootnoteReference"/>
        </w:rPr>
        <w:footnoteReference w:id="40"/>
      </w:r>
    </w:p>
    <w:p w:rsidR="008C7B59" w:rsidRDefault="008C7B59" w:rsidP="008C7B59">
      <w:r>
        <w:t xml:space="preserve">Powerlink submitted that it has </w:t>
      </w:r>
      <w:r w:rsidRPr="00BB76A9">
        <w:t>adopted</w:t>
      </w:r>
      <w:r>
        <w:t xml:space="preserve"> a</w:t>
      </w:r>
      <w:r w:rsidRPr="00BB76A9">
        <w:t xml:space="preserve"> </w:t>
      </w:r>
      <w:r>
        <w:t>hybrid forec</w:t>
      </w:r>
      <w:r w:rsidRPr="00BB76A9">
        <w:t>a</w:t>
      </w:r>
      <w:r>
        <w:t>sting approach by using a</w:t>
      </w:r>
      <w:r w:rsidRPr="00BB76A9">
        <w:t xml:space="preserve"> mix of both bottom-up and top-down forecasting</w:t>
      </w:r>
      <w:r>
        <w:t xml:space="preserve"> </w:t>
      </w:r>
      <w:r w:rsidRPr="00BB76A9">
        <w:t>methods to determine its total forecast capital expenditure</w:t>
      </w:r>
      <w:r>
        <w:t>.</w:t>
      </w:r>
      <w:r>
        <w:rPr>
          <w:rStyle w:val="FootnoteReference"/>
        </w:rPr>
        <w:footnoteReference w:id="41"/>
      </w:r>
      <w:r>
        <w:t xml:space="preserve"> </w:t>
      </w:r>
    </w:p>
    <w:p w:rsidR="008C7B59" w:rsidRDefault="008C7B59" w:rsidP="008C7B59">
      <w:r>
        <w:t>Powerlink considers that as the</w:t>
      </w:r>
      <w:r w:rsidRPr="00BB76A9">
        <w:t xml:space="preserve"> triggers for load driven </w:t>
      </w:r>
      <w:r>
        <w:t>capex</w:t>
      </w:r>
      <w:r w:rsidRPr="00BB76A9">
        <w:t xml:space="preserve"> are based on specific local demand growth</w:t>
      </w:r>
      <w:r>
        <w:t xml:space="preserve"> </w:t>
      </w:r>
      <w:r w:rsidRPr="00BB76A9">
        <w:t>forecasts and the amount of existing headroom in network capability in those areas, the forecast expenditure</w:t>
      </w:r>
      <w:r>
        <w:t xml:space="preserve"> </w:t>
      </w:r>
      <w:r w:rsidRPr="00BB76A9">
        <w:t>profile tends to be quite lumpy</w:t>
      </w:r>
      <w:r>
        <w:t xml:space="preserve"> and that a</w:t>
      </w:r>
      <w:r w:rsidRPr="00BB76A9">
        <w:t xml:space="preserve"> bottom-up analysis remains the most practical means for</w:t>
      </w:r>
      <w:r>
        <w:t xml:space="preserve"> </w:t>
      </w:r>
      <w:r w:rsidRPr="00BB76A9">
        <w:t>developing forecasts.</w:t>
      </w:r>
      <w:r>
        <w:t xml:space="preserve"> For load driven projects, Powerlink </w:t>
      </w:r>
      <w:r w:rsidRPr="00AA2D36">
        <w:t xml:space="preserve">has developed cost estimates using </w:t>
      </w:r>
      <w:r>
        <w:t>its</w:t>
      </w:r>
      <w:r w:rsidRPr="00AA2D36">
        <w:t xml:space="preserve"> standard project estimating processes</w:t>
      </w:r>
      <w:r>
        <w:t xml:space="preserve"> and considered only the most likely scenario of forecast demand growth (medium economic outlook) from its 2015 </w:t>
      </w:r>
      <w:r w:rsidRPr="00385B33">
        <w:t>Transmission Annual Planning Report</w:t>
      </w:r>
      <w:r w:rsidRPr="00AA2D36">
        <w:t>.</w:t>
      </w:r>
      <w:r>
        <w:rPr>
          <w:rStyle w:val="FootnoteReference"/>
        </w:rPr>
        <w:footnoteReference w:id="42"/>
      </w:r>
      <w:r>
        <w:t xml:space="preserve"> </w:t>
      </w:r>
    </w:p>
    <w:p w:rsidR="008C7B59" w:rsidRDefault="008C7B59" w:rsidP="008C7B59">
      <w:r>
        <w:t>For the most significant of the non-load driven categories, replacement capex, Powerlink has used predictive m</w:t>
      </w:r>
      <w:r w:rsidRPr="008D1656">
        <w:t>odelling techniques</w:t>
      </w:r>
      <w:r>
        <w:t xml:space="preserve"> based on the AER’s </w:t>
      </w:r>
      <w:r w:rsidRPr="008D1656">
        <w:t>Replacement Expenditure Model.</w:t>
      </w:r>
      <w:r>
        <w:rPr>
          <w:rStyle w:val="FootnoteReference"/>
        </w:rPr>
        <w:footnoteReference w:id="43"/>
      </w:r>
      <w:r>
        <w:t xml:space="preserve"> The remaining components of non-load driven capex including security/ compliance and other capex have been forecast using a trend analysis technique.</w:t>
      </w:r>
      <w:r>
        <w:rPr>
          <w:rStyle w:val="FootnoteReference"/>
        </w:rPr>
        <w:footnoteReference w:id="44"/>
      </w:r>
      <w:r>
        <w:t xml:space="preserve"> Powerlink forecast information and communications technology capex using a planning process that identified future business needs and required capex for </w:t>
      </w:r>
      <w:r>
        <w:lastRenderedPageBreak/>
        <w:t>information technology applications and infrastructure.</w:t>
      </w:r>
      <w:r>
        <w:rPr>
          <w:rStyle w:val="FootnoteReference"/>
        </w:rPr>
        <w:footnoteReference w:id="45"/>
      </w:r>
      <w:r>
        <w:t xml:space="preserve"> Buildings, fleet, and tools capex forecasts were developed using a mix of historic trends and expected future business requirements.</w:t>
      </w:r>
      <w:r>
        <w:rPr>
          <w:rStyle w:val="FootnoteReference"/>
        </w:rPr>
        <w:footnoteReference w:id="46"/>
      </w:r>
      <w:r>
        <w:t xml:space="preserve"> </w:t>
      </w:r>
    </w:p>
    <w:p w:rsidR="008C7B59" w:rsidRPr="008C7B59" w:rsidRDefault="008C7B59" w:rsidP="008C7B59">
      <w:pPr>
        <w:pStyle w:val="Heading3"/>
      </w:pPr>
      <w:bookmarkStart w:id="133" w:name="_Toc460239234"/>
      <w:bookmarkStart w:id="134" w:name="_Toc460239302"/>
      <w:bookmarkStart w:id="135" w:name="_Toc460239555"/>
      <w:bookmarkStart w:id="136" w:name="_Toc460321512"/>
      <w:bookmarkStart w:id="137" w:name="_Ref460428765"/>
      <w:bookmarkStart w:id="138" w:name="_Toc460582372"/>
      <w:bookmarkStart w:id="139" w:name="_Ref461806383"/>
      <w:bookmarkStart w:id="140" w:name="_Toc462062152"/>
      <w:bookmarkStart w:id="141" w:name="_Toc462752293"/>
      <w:r>
        <w:t>Powerlink's</w:t>
      </w:r>
      <w:r w:rsidRPr="008C7B59">
        <w:t xml:space="preserve"> capex performance</w:t>
      </w:r>
      <w:bookmarkEnd w:id="133"/>
      <w:bookmarkEnd w:id="134"/>
      <w:bookmarkEnd w:id="135"/>
      <w:bookmarkEnd w:id="136"/>
      <w:bookmarkEnd w:id="137"/>
      <w:bookmarkEnd w:id="138"/>
      <w:bookmarkEnd w:id="139"/>
      <w:bookmarkEnd w:id="140"/>
      <w:bookmarkEnd w:id="141"/>
      <w:r w:rsidRPr="008C7B59">
        <w:t xml:space="preserve"> </w:t>
      </w:r>
    </w:p>
    <w:p w:rsidR="008C7B59" w:rsidRPr="00C84D37" w:rsidRDefault="008C7B59" w:rsidP="008C7B59">
      <w:pPr>
        <w:numPr>
          <w:ilvl w:val="0"/>
          <w:numId w:val="24"/>
        </w:numPr>
      </w:pPr>
      <w:r w:rsidRPr="00C84D37">
        <w:t xml:space="preserve">We have looked at a number of </w:t>
      </w:r>
      <w:r>
        <w:t xml:space="preserve">historical metrics of Powerlink's </w:t>
      </w:r>
      <w:r w:rsidRPr="00C84D37">
        <w:t>capex performance to help info</w:t>
      </w:r>
      <w:r>
        <w:t xml:space="preserve">rm our assessment of Powerlink's </w:t>
      </w:r>
      <w:r w:rsidRPr="00C84D37">
        <w:t>proposed capex for</w:t>
      </w:r>
      <w:r>
        <w:t xml:space="preserve">ecast. This includes Powerlink's </w:t>
      </w:r>
      <w:r w:rsidRPr="00C84D37">
        <w:t>relative multilateral total factor productivity (MTFP) performance from our annual benchmarking report, and its proposed forecast capex allowance against historical trends.</w:t>
      </w:r>
    </w:p>
    <w:p w:rsidR="008C7B59" w:rsidRPr="00C84D37" w:rsidRDefault="008C7B59" w:rsidP="008C7B59">
      <w:pPr>
        <w:pStyle w:val="ListParagraph"/>
        <w:numPr>
          <w:ilvl w:val="0"/>
          <w:numId w:val="24"/>
        </w:numPr>
      </w:pPr>
      <w:r w:rsidRPr="00C84D37">
        <w:t>We note that the NER sets out that we must have regard to our annual benchmarking report.</w:t>
      </w:r>
      <w:r w:rsidR="004072E9">
        <w:rPr>
          <w:rStyle w:val="FootnoteReference"/>
        </w:rPr>
        <w:footnoteReference w:id="47"/>
      </w:r>
      <w:r w:rsidRPr="00C84D37">
        <w:t xml:space="preserve"> This section shows how </w:t>
      </w:r>
      <w:r>
        <w:t xml:space="preserve">we have taken it into account. </w:t>
      </w:r>
      <w:r w:rsidRPr="00C84D37">
        <w:t xml:space="preserve">We consider this high level benchmarking at the overall capex level is suitable to gain an overall understanding of </w:t>
      </w:r>
      <w:r>
        <w:t xml:space="preserve">Powerlink's </w:t>
      </w:r>
      <w:r w:rsidRPr="00C84D37">
        <w:t xml:space="preserve">proposal in a broader context. However, in our capex assessment we have not relied on our high level benchmarking metrics set out below other than to note that these metrics generally support the outcomes of our other techniques. We have not used this analysis deterministically in our capex assessment. </w:t>
      </w:r>
    </w:p>
    <w:p w:rsidR="008C7B59" w:rsidRPr="004F290D" w:rsidRDefault="008C7B59" w:rsidP="008C7B59">
      <w:pPr>
        <w:rPr>
          <w:rStyle w:val="AERtexthighlight"/>
        </w:rPr>
      </w:pPr>
      <w:r w:rsidRPr="001400EB">
        <w:fldChar w:fldCharType="begin"/>
      </w:r>
      <w:r>
        <w:instrText xml:space="preserve"> REF _Ref453680981 </w:instrText>
      </w:r>
      <w:r w:rsidRPr="001400EB">
        <w:fldChar w:fldCharType="separate"/>
      </w:r>
      <w:r w:rsidR="005252EC">
        <w:t xml:space="preserve">Figure </w:t>
      </w:r>
      <w:r w:rsidR="005252EC">
        <w:rPr>
          <w:noProof/>
        </w:rPr>
        <w:t>6</w:t>
      </w:r>
      <w:r w:rsidR="005252EC">
        <w:t>.</w:t>
      </w:r>
      <w:r w:rsidR="005252EC">
        <w:rPr>
          <w:noProof/>
        </w:rPr>
        <w:t>2</w:t>
      </w:r>
      <w:r w:rsidRPr="001400EB">
        <w:fldChar w:fldCharType="end"/>
      </w:r>
      <w:r>
        <w:t xml:space="preserve"> </w:t>
      </w:r>
      <w:r w:rsidRPr="00C84D37">
        <w:t xml:space="preserve">shows </w:t>
      </w:r>
      <w:r>
        <w:t xml:space="preserve">Powerlink's </w:t>
      </w:r>
      <w:r w:rsidRPr="00C84D37">
        <w:t xml:space="preserve">MTFP performance over time and relative to the other service providers. MTFP measures how efficient a business is in terms of its inputs (costs) and outputs (customer numbers, ratcheted maximum demand, reliability, circuit line length and energy delivered). </w:t>
      </w:r>
      <w:r>
        <w:t>These results show that Powerlink's cost efficiency has decreased slightly since 2012. Powerlink submitted that it expects its performance under the MTFP to improve in the 2017–22 regulatory period with reduced forecast expenditure and forecast increases in demand and energy consumption due to the ramp up of LNG production in the Surat Basin.</w:t>
      </w:r>
      <w:r>
        <w:rPr>
          <w:rStyle w:val="FootnoteReference"/>
        </w:rPr>
        <w:footnoteReference w:id="48"/>
      </w:r>
    </w:p>
    <w:p w:rsidR="008C7B59" w:rsidRDefault="008C7B59" w:rsidP="008C7B59">
      <w:pPr>
        <w:pStyle w:val="Caption"/>
      </w:pPr>
      <w:bookmarkStart w:id="142" w:name="_Ref453680981"/>
      <w:proofErr w:type="gramStart"/>
      <w:r>
        <w:lastRenderedPageBreak/>
        <w:t xml:space="preserve">Figure </w:t>
      </w:r>
      <w:fldSimple w:instr=" STYLEREF 1 \s ">
        <w:r w:rsidR="005252EC">
          <w:rPr>
            <w:noProof/>
          </w:rPr>
          <w:t>6</w:t>
        </w:r>
      </w:fldSimple>
      <w:r w:rsidR="00D504BF">
        <w:t>.</w:t>
      </w:r>
      <w:proofErr w:type="gramEnd"/>
      <w:r w:rsidR="005252EC">
        <w:fldChar w:fldCharType="begin"/>
      </w:r>
      <w:r w:rsidR="005252EC">
        <w:instrText xml:space="preserve"> SEQ Figure \* ARABIC \s 1 </w:instrText>
      </w:r>
      <w:r w:rsidR="005252EC">
        <w:fldChar w:fldCharType="separate"/>
      </w:r>
      <w:r w:rsidR="005252EC">
        <w:rPr>
          <w:noProof/>
        </w:rPr>
        <w:t>2</w:t>
      </w:r>
      <w:r w:rsidR="005252EC">
        <w:rPr>
          <w:noProof/>
        </w:rPr>
        <w:fldChar w:fldCharType="end"/>
      </w:r>
      <w:bookmarkEnd w:id="142"/>
      <w:r>
        <w:tab/>
        <w:t>Relative MFTP performance of transmission networks</w:t>
      </w:r>
    </w:p>
    <w:p w:rsidR="008C7B59" w:rsidRDefault="008C7B59" w:rsidP="008C7B59">
      <w:pPr>
        <w:pStyle w:val="AERtablesource"/>
      </w:pPr>
      <w:r w:rsidRPr="008C7B59">
        <w:rPr>
          <w:noProof/>
          <w:lang w:eastAsia="en-AU"/>
        </w:rPr>
        <w:drawing>
          <wp:inline distT="0" distB="0" distL="0" distR="0" wp14:anchorId="11F0CD46" wp14:editId="5DFFB225">
            <wp:extent cx="5148000" cy="31252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8000" cy="3125237"/>
                    </a:xfrm>
                    <a:prstGeom prst="rect">
                      <a:avLst/>
                    </a:prstGeom>
                    <a:noFill/>
                    <a:ln>
                      <a:noFill/>
                    </a:ln>
                  </pic:spPr>
                </pic:pic>
              </a:graphicData>
            </a:graphic>
          </wp:inline>
        </w:drawing>
      </w:r>
      <w:r>
        <w:t xml:space="preserve">Source: AER, </w:t>
      </w:r>
      <w:r w:rsidRPr="001A6ECD">
        <w:rPr>
          <w:rStyle w:val="AERtextitalic"/>
        </w:rPr>
        <w:t>Annual benchmarking report: Electricity transmission network service providers</w:t>
      </w:r>
      <w:r>
        <w:t>, November 2015, p.11.</w:t>
      </w:r>
    </w:p>
    <w:p w:rsidR="008C7B59" w:rsidRPr="00074213" w:rsidRDefault="008C7B59" w:rsidP="008C7B59">
      <w:pPr>
        <w:pStyle w:val="Heading4"/>
      </w:pPr>
      <w:bookmarkStart w:id="143" w:name="_Toc456608788"/>
      <w:r>
        <w:t>Powerlink's h</w:t>
      </w:r>
      <w:r w:rsidRPr="00074213">
        <w:t>istoric</w:t>
      </w:r>
      <w:r>
        <w:t>al</w:t>
      </w:r>
      <w:r w:rsidRPr="00074213">
        <w:t xml:space="preserve"> capex trends</w:t>
      </w:r>
      <w:bookmarkEnd w:id="143"/>
    </w:p>
    <w:p w:rsidR="008C7B59" w:rsidRPr="00270052" w:rsidRDefault="008C7B59" w:rsidP="008C7B59">
      <w:r w:rsidRPr="00270052">
        <w:t xml:space="preserve">We compared </w:t>
      </w:r>
      <w:r>
        <w:t xml:space="preserve">Powerlink's </w:t>
      </w:r>
      <w:r w:rsidRPr="00270052">
        <w:t>capex proposal for the 201</w:t>
      </w:r>
      <w:r>
        <w:t>7–22</w:t>
      </w:r>
      <w:r w:rsidRPr="00270052">
        <w:t xml:space="preserve"> regulatory control period against the long term historical trend in capex levels. </w:t>
      </w:r>
    </w:p>
    <w:p w:rsidR="008C7B59" w:rsidRDefault="008C7B59" w:rsidP="008C7B59">
      <w:r w:rsidRPr="001400EB">
        <w:fldChar w:fldCharType="begin"/>
      </w:r>
      <w:r>
        <w:instrText xml:space="preserve"> REF _Ref453681025 </w:instrText>
      </w:r>
      <w:r w:rsidRPr="001400EB">
        <w:fldChar w:fldCharType="separate"/>
      </w:r>
      <w:r w:rsidR="005252EC">
        <w:t xml:space="preserve">Figure </w:t>
      </w:r>
      <w:r w:rsidR="005252EC">
        <w:rPr>
          <w:noProof/>
        </w:rPr>
        <w:t>6</w:t>
      </w:r>
      <w:r w:rsidR="005252EC">
        <w:t>.</w:t>
      </w:r>
      <w:r w:rsidR="005252EC">
        <w:rPr>
          <w:noProof/>
        </w:rPr>
        <w:t>3</w:t>
      </w:r>
      <w:r w:rsidRPr="001400EB">
        <w:fldChar w:fldCharType="end"/>
      </w:r>
      <w:r>
        <w:t xml:space="preserve"> </w:t>
      </w:r>
      <w:r w:rsidRPr="00270052">
        <w:t xml:space="preserve">shows actual historic capex and proposed capex </w:t>
      </w:r>
      <w:r>
        <w:t>between 2008 and</w:t>
      </w:r>
      <w:r w:rsidRPr="00270052">
        <w:t xml:space="preserve"> </w:t>
      </w:r>
      <w:r>
        <w:t>2022</w:t>
      </w:r>
      <w:r w:rsidRPr="00270052">
        <w:t xml:space="preserve">. This figure shows </w:t>
      </w:r>
      <w:r>
        <w:t>Powerlink</w:t>
      </w:r>
      <w:r w:rsidRPr="00270052">
        <w:t xml:space="preserve"> forecasted </w:t>
      </w:r>
      <w:r>
        <w:t>lower capex in the 2017–22</w:t>
      </w:r>
      <w:r w:rsidRPr="00270052">
        <w:t xml:space="preserve"> regulatory control period compared to ac</w:t>
      </w:r>
      <w:r>
        <w:t>tual/estimated capex in the 2012–17</w:t>
      </w:r>
      <w:r w:rsidRPr="00270052">
        <w:t xml:space="preserve"> period</w:t>
      </w:r>
      <w:r>
        <w:t>. Powerlink's capex forecast for the 2017–22</w:t>
      </w:r>
      <w:r w:rsidRPr="00270052">
        <w:t xml:space="preserve"> regulatory control period </w:t>
      </w:r>
      <w:r>
        <w:t>is also forecast to decline to relatively low levels compared to historical expenditure</w:t>
      </w:r>
      <w:r w:rsidRPr="00270052">
        <w:t xml:space="preserve">. </w:t>
      </w:r>
    </w:p>
    <w:p w:rsidR="008C7B59" w:rsidRDefault="008C7B59" w:rsidP="008C7B59">
      <w:pPr>
        <w:pStyle w:val="Caption"/>
      </w:pPr>
      <w:bookmarkStart w:id="144" w:name="_Ref453681025"/>
      <w:proofErr w:type="gramStart"/>
      <w:r>
        <w:t xml:space="preserve">Figure </w:t>
      </w:r>
      <w:fldSimple w:instr=" STYLEREF 1 \s ">
        <w:r w:rsidR="005252EC">
          <w:rPr>
            <w:noProof/>
          </w:rPr>
          <w:t>6</w:t>
        </w:r>
      </w:fldSimple>
      <w:r w:rsidR="00D504BF">
        <w:t>.</w:t>
      </w:r>
      <w:proofErr w:type="gramEnd"/>
      <w:r w:rsidR="005252EC">
        <w:fldChar w:fldCharType="begin"/>
      </w:r>
      <w:r w:rsidR="005252EC">
        <w:instrText xml:space="preserve"> SEQ Figure \* ARABIC \s 1 </w:instrText>
      </w:r>
      <w:r w:rsidR="005252EC">
        <w:fldChar w:fldCharType="separate"/>
      </w:r>
      <w:r w:rsidR="005252EC">
        <w:rPr>
          <w:noProof/>
        </w:rPr>
        <w:t>3</w:t>
      </w:r>
      <w:r w:rsidR="005252EC">
        <w:rPr>
          <w:noProof/>
        </w:rPr>
        <w:fldChar w:fldCharType="end"/>
      </w:r>
      <w:bookmarkEnd w:id="144"/>
      <w:r>
        <w:tab/>
        <w:t>Powerlink total capex - historical and forecast ($2016</w:t>
      </w:r>
      <w:r w:rsidR="00CB260C">
        <w:t>–</w:t>
      </w:r>
      <w:r>
        <w:t>17)</w:t>
      </w:r>
    </w:p>
    <w:p w:rsidR="008C7B59" w:rsidRDefault="008C7B59" w:rsidP="008C7B59"/>
    <w:p w:rsidR="008C7B59" w:rsidRPr="001400EB" w:rsidRDefault="008C7B59" w:rsidP="008C7B59">
      <w:r w:rsidRPr="008C7B59">
        <w:rPr>
          <w:noProof/>
          <w:lang w:eastAsia="en-AU"/>
        </w:rPr>
        <w:lastRenderedPageBreak/>
        <w:drawing>
          <wp:inline distT="0" distB="0" distL="0" distR="0" wp14:anchorId="35622CBA" wp14:editId="125ABC02">
            <wp:extent cx="5487035" cy="3286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7035" cy="3286125"/>
                    </a:xfrm>
                    <a:prstGeom prst="rect">
                      <a:avLst/>
                    </a:prstGeom>
                    <a:noFill/>
                  </pic:spPr>
                </pic:pic>
              </a:graphicData>
            </a:graphic>
          </wp:inline>
        </w:drawing>
      </w:r>
    </w:p>
    <w:p w:rsidR="008C7B59" w:rsidRDefault="008C7B59" w:rsidP="008C7B59">
      <w:pPr>
        <w:pStyle w:val="AERtablesource"/>
      </w:pPr>
      <w:r>
        <w:t>Source: AER analysis</w:t>
      </w:r>
    </w:p>
    <w:p w:rsidR="008C7B59" w:rsidRDefault="008C7B59" w:rsidP="008C7B59">
      <w:r>
        <w:t>Powerlink stated its forecast capex</w:t>
      </w:r>
      <w:r w:rsidRPr="00270052">
        <w:t xml:space="preserve"> is </w:t>
      </w:r>
      <w:r>
        <w:t xml:space="preserve">on average 54 per cent lower than the AER's allowance for the 2012–17 regulatory control </w:t>
      </w:r>
      <w:proofErr w:type="gramStart"/>
      <w:r>
        <w:t>period</w:t>
      </w:r>
      <w:proofErr w:type="gramEnd"/>
      <w:r>
        <w:t>. Powerlink submitted that its lower capex forecast is attributed to a significant reduction in electricity demand growth which has resulted in Powerlink cancelling or deferring load driven investment and taking a different approach to its panned reinvestment program.</w:t>
      </w:r>
      <w:r w:rsidRPr="00270052">
        <w:rPr>
          <w:rStyle w:val="FootnoteReference"/>
        </w:rPr>
        <w:footnoteReference w:id="49"/>
      </w:r>
    </w:p>
    <w:p w:rsidR="008C7B59" w:rsidRPr="008C7B59" w:rsidRDefault="008C7B59" w:rsidP="008C7B59">
      <w:pPr>
        <w:pStyle w:val="Heading3"/>
      </w:pPr>
      <w:bookmarkStart w:id="145" w:name="_Toc456608789"/>
      <w:bookmarkStart w:id="146" w:name="_Toc460239235"/>
      <w:bookmarkStart w:id="147" w:name="_Toc460239303"/>
      <w:bookmarkStart w:id="148" w:name="_Toc460239556"/>
      <w:bookmarkStart w:id="149" w:name="_Toc460321513"/>
      <w:bookmarkStart w:id="150" w:name="_Toc460582373"/>
      <w:bookmarkStart w:id="151" w:name="_Toc462062153"/>
      <w:bookmarkStart w:id="152" w:name="_Toc462752294"/>
      <w:r>
        <w:t>Interrelationships</w:t>
      </w:r>
      <w:bookmarkEnd w:id="145"/>
      <w:bookmarkEnd w:id="146"/>
      <w:bookmarkEnd w:id="147"/>
      <w:bookmarkEnd w:id="148"/>
      <w:bookmarkEnd w:id="149"/>
      <w:bookmarkEnd w:id="150"/>
      <w:bookmarkEnd w:id="151"/>
      <w:bookmarkEnd w:id="152"/>
    </w:p>
    <w:p w:rsidR="008C7B59" w:rsidRDefault="008C7B59" w:rsidP="008C7B59">
      <w:r w:rsidRPr="00270052">
        <w:t xml:space="preserve">There are a number of interrelationships between </w:t>
      </w:r>
      <w:r>
        <w:t>Powerlink's</w:t>
      </w:r>
      <w:r w:rsidRPr="00270052">
        <w:t xml:space="preserve"> t</w:t>
      </w:r>
      <w:r>
        <w:t>otal forecast capex for the 2017–22</w:t>
      </w:r>
      <w:r w:rsidRPr="00270052">
        <w:t xml:space="preserve"> regulatory control period and other components of its </w:t>
      </w:r>
      <w:r>
        <w:t>transmission</w:t>
      </w:r>
      <w:r w:rsidRPr="00270052">
        <w:t xml:space="preserve"> determination (see</w:t>
      </w:r>
      <w:r>
        <w:t xml:space="preserve"> </w:t>
      </w:r>
      <w:r w:rsidRPr="001B500B">
        <w:fldChar w:fldCharType="begin"/>
      </w:r>
      <w:r>
        <w:instrText xml:space="preserve"> REF _Ref453680679 </w:instrText>
      </w:r>
      <w:r w:rsidRPr="001B500B">
        <w:fldChar w:fldCharType="separate"/>
      </w:r>
      <w:r w:rsidR="005252EC">
        <w:t xml:space="preserve">Table </w:t>
      </w:r>
      <w:r w:rsidR="005252EC">
        <w:rPr>
          <w:noProof/>
        </w:rPr>
        <w:t>6</w:t>
      </w:r>
      <w:r w:rsidR="005252EC">
        <w:t>.</w:t>
      </w:r>
      <w:r w:rsidR="005252EC">
        <w:rPr>
          <w:noProof/>
        </w:rPr>
        <w:t>4</w:t>
      </w:r>
      <w:r w:rsidRPr="001B500B">
        <w:fldChar w:fldCharType="end"/>
      </w:r>
      <w:r w:rsidRPr="00270052">
        <w:t xml:space="preserve">). We considered these interrelationships in coming to our </w:t>
      </w:r>
      <w:r>
        <w:t xml:space="preserve">draft </w:t>
      </w:r>
      <w:r w:rsidRPr="00270052">
        <w:t>decision on total forecast capex.</w:t>
      </w:r>
    </w:p>
    <w:p w:rsidR="008C7B59" w:rsidRPr="00270052" w:rsidRDefault="008C7B59" w:rsidP="008C7B59">
      <w:pPr>
        <w:pStyle w:val="Caption"/>
      </w:pPr>
      <w:bookmarkStart w:id="153" w:name="_Ref453680679"/>
      <w:proofErr w:type="gramStart"/>
      <w:r>
        <w:t xml:space="preserve">Table </w:t>
      </w:r>
      <w:fldSimple w:instr=" STYLEREF 1 \s ">
        <w:r w:rsidR="005252EC">
          <w:rPr>
            <w:noProof/>
          </w:rPr>
          <w:t>6</w:t>
        </w:r>
      </w:fldSimple>
      <w:r w:rsidR="00250D0F">
        <w:t>.</w:t>
      </w:r>
      <w:proofErr w:type="gramEnd"/>
      <w:r w:rsidR="005252EC">
        <w:fldChar w:fldCharType="begin"/>
      </w:r>
      <w:r w:rsidR="005252EC">
        <w:instrText xml:space="preserve"> SEQ Table \* ARABIC \s 1 </w:instrText>
      </w:r>
      <w:r w:rsidR="005252EC">
        <w:fldChar w:fldCharType="separate"/>
      </w:r>
      <w:r w:rsidR="005252EC">
        <w:rPr>
          <w:noProof/>
        </w:rPr>
        <w:t>4</w:t>
      </w:r>
      <w:r w:rsidR="005252EC">
        <w:rPr>
          <w:noProof/>
        </w:rPr>
        <w:fldChar w:fldCharType="end"/>
      </w:r>
      <w:bookmarkEnd w:id="153"/>
      <w:r>
        <w:tab/>
      </w:r>
      <w:r w:rsidRPr="00270052">
        <w:t>Interrelationships between total forecast capex and other components</w:t>
      </w:r>
    </w:p>
    <w:tbl>
      <w:tblPr>
        <w:tblStyle w:val="AERtable-text0"/>
        <w:tblW w:w="0" w:type="auto"/>
        <w:tblLook w:val="04A0" w:firstRow="1" w:lastRow="0" w:firstColumn="1" w:lastColumn="0" w:noHBand="0" w:noVBand="1"/>
      </w:tblPr>
      <w:tblGrid>
        <w:gridCol w:w="1812"/>
        <w:gridCol w:w="6881"/>
      </w:tblGrid>
      <w:tr w:rsidR="008C7B59" w:rsidRPr="005531F2" w:rsidTr="005D15EC">
        <w:trPr>
          <w:cnfStyle w:val="100000000000" w:firstRow="1" w:lastRow="0" w:firstColumn="0" w:lastColumn="0" w:oddVBand="0" w:evenVBand="0" w:oddHBand="0" w:evenHBand="0" w:firstRowFirstColumn="0" w:firstRowLastColumn="0" w:lastRowFirstColumn="0" w:lastRowLastColumn="0"/>
          <w:tblHeader/>
        </w:trPr>
        <w:tc>
          <w:tcPr>
            <w:tcW w:w="1832" w:type="dxa"/>
          </w:tcPr>
          <w:p w:rsidR="008C7B59" w:rsidRPr="00270052" w:rsidRDefault="008C7B59" w:rsidP="008C7B59">
            <w:pPr>
              <w:numPr>
                <w:ilvl w:val="0"/>
                <w:numId w:val="24"/>
              </w:numPr>
            </w:pPr>
            <w:r w:rsidRPr="00270052">
              <w:t>Other component</w:t>
            </w:r>
          </w:p>
        </w:tc>
        <w:tc>
          <w:tcPr>
            <w:tcW w:w="7410" w:type="dxa"/>
          </w:tcPr>
          <w:p w:rsidR="008C7B59" w:rsidRPr="00270052" w:rsidRDefault="008C7B59" w:rsidP="008C7B59">
            <w:pPr>
              <w:numPr>
                <w:ilvl w:val="0"/>
                <w:numId w:val="24"/>
              </w:numPr>
            </w:pPr>
            <w:r w:rsidRPr="00270052">
              <w:t>Interrelationships with total forecast capex</w:t>
            </w:r>
          </w:p>
        </w:tc>
      </w:tr>
      <w:tr w:rsidR="008C7B59" w:rsidRPr="005531F2" w:rsidTr="005D15EC">
        <w:tc>
          <w:tcPr>
            <w:tcW w:w="1832" w:type="dxa"/>
          </w:tcPr>
          <w:p w:rsidR="008C7B59" w:rsidRPr="008C7B59" w:rsidRDefault="008C7B59" w:rsidP="008C7B59">
            <w:r w:rsidRPr="00270052">
              <w:t>Total forecast opex</w:t>
            </w:r>
          </w:p>
        </w:tc>
        <w:tc>
          <w:tcPr>
            <w:tcW w:w="7410" w:type="dxa"/>
          </w:tcPr>
          <w:p w:rsidR="008C7B59" w:rsidRPr="008C7B59" w:rsidRDefault="008C7B59" w:rsidP="008C7B59">
            <w:r w:rsidRPr="00270052">
              <w:t xml:space="preserve">There are elements of </w:t>
            </w:r>
            <w:r w:rsidRPr="008C7B59">
              <w:t>Powerlink's total for</w:t>
            </w:r>
            <w:r w:rsidR="00EC22C9">
              <w:t>ecast opex that are</w:t>
            </w:r>
            <w:r w:rsidRPr="008C7B59">
              <w:t xml:space="preserve"> related to its total forecast capex. These include the forecast labour price growth that we included in our opex forecast in Attachment 7. This is because the price of labour affects both total forecast capex and total forecast opex. </w:t>
            </w:r>
          </w:p>
          <w:p w:rsidR="008C7B59" w:rsidRDefault="008C7B59" w:rsidP="008C7B59">
            <w:r w:rsidRPr="00270052">
              <w:t xml:space="preserve">More generally, we note our total opex forecast will provide </w:t>
            </w:r>
            <w:r w:rsidRPr="008C7B59">
              <w:t xml:space="preserve">Powerlink with sufficient opex to maintain the reliability and safety of its network. Although we do not approve opex on specific categories of opex such as maintenance, the total opex we approve will in part influence the </w:t>
            </w:r>
            <w:r w:rsidRPr="008C7B59">
              <w:lastRenderedPageBreak/>
              <w:t>repex Powerlink needs to spend during the 2017–22 period.</w:t>
            </w:r>
          </w:p>
          <w:p w:rsidR="00EC22C9" w:rsidRPr="008C7B59" w:rsidRDefault="00EC22C9" w:rsidP="008C7B59">
            <w:r>
              <w:t>We have reduced Powerlink's forecast repex be extending Powerlink's mean replacement lives of assets. However, we have also offset this reduction by providing additional capex for asset reinvestment and life extension strategies. We therefore do not consider that any increase in forecast opex is required as a result of this draft decision on forecast capex.</w:t>
            </w:r>
          </w:p>
        </w:tc>
      </w:tr>
      <w:tr w:rsidR="008C7B59" w:rsidRPr="005531F2" w:rsidTr="005D15EC">
        <w:trPr>
          <w:cnfStyle w:val="000000010000" w:firstRow="0" w:lastRow="0" w:firstColumn="0" w:lastColumn="0" w:oddVBand="0" w:evenVBand="0" w:oddHBand="0" w:evenHBand="1" w:firstRowFirstColumn="0" w:firstRowLastColumn="0" w:lastRowFirstColumn="0" w:lastRowLastColumn="0"/>
        </w:trPr>
        <w:tc>
          <w:tcPr>
            <w:tcW w:w="1832" w:type="dxa"/>
          </w:tcPr>
          <w:p w:rsidR="008C7B59" w:rsidRPr="008C7B59" w:rsidRDefault="008C7B59" w:rsidP="008C7B59">
            <w:r w:rsidRPr="00270052">
              <w:lastRenderedPageBreak/>
              <w:t>Forecast demand</w:t>
            </w:r>
          </w:p>
        </w:tc>
        <w:tc>
          <w:tcPr>
            <w:tcW w:w="7410" w:type="dxa"/>
          </w:tcPr>
          <w:p w:rsidR="008C7B59" w:rsidRPr="008C7B59" w:rsidRDefault="008C7B59" w:rsidP="008C7B59">
            <w:r w:rsidRPr="00270052">
              <w:t xml:space="preserve">Forecast demand is related </w:t>
            </w:r>
            <w:r w:rsidRPr="008C7B59">
              <w:t>to Powerlink's total forecast capex. Growth driven capex, which includes augex and easements capex, is typically triggered by a need to build or upgrade the network to address changes in demand or to comply with quality, reliability and security of supply requirements. Hence, the main driver of growth-related capex is maximum demand and its effect on network utilisation and reliability. Forecast demand also affects the need and timing of asset replacement capex as this affects the risk of unserved energy as a result of asset failure. In circumstances of flat or falling demand, it may be possible to decommission aged assets with replacement, or to re-configure the network to avoid the need to replace specific assets. Hence, maximum demand and its effect on network utilisation and reliability is also a driver of replacement related capex.</w:t>
            </w:r>
          </w:p>
        </w:tc>
      </w:tr>
      <w:tr w:rsidR="008C7B59" w:rsidRPr="005531F2" w:rsidTr="005D15EC">
        <w:tc>
          <w:tcPr>
            <w:tcW w:w="1832" w:type="dxa"/>
          </w:tcPr>
          <w:p w:rsidR="008C7B59" w:rsidRPr="008C7B59" w:rsidRDefault="008C7B59" w:rsidP="008C7B59">
            <w:r w:rsidRPr="00270052">
              <w:t xml:space="preserve">Capital Expenditure </w:t>
            </w:r>
            <w:r w:rsidRPr="008C7B59">
              <w:t>Sharing Scheme (CESS)</w:t>
            </w:r>
          </w:p>
        </w:tc>
        <w:tc>
          <w:tcPr>
            <w:tcW w:w="7410" w:type="dxa"/>
          </w:tcPr>
          <w:p w:rsidR="008C7B59" w:rsidRPr="008C7B59" w:rsidRDefault="008C7B59" w:rsidP="008C7B59">
            <w:r w:rsidRPr="00270052">
              <w:t xml:space="preserve">The CESS is related to </w:t>
            </w:r>
            <w:r w:rsidRPr="008C7B59">
              <w:t xml:space="preserve">Powerlink's total forecast capex. In particular, the effective application of the CESS is contingent on the approved total forecast capex being efficient, and that it reasonably reflects the capex criteria. As we note in the capex criteria table below, this is because any efficiency gains or losses are measured against the approved total forecast capex. In addition, we are required to undertake an ex post review of the efficiency and prudency of capex, with the option to exclude any inefficient capex in excess of the approved total forecast capex from Powerlink's regulatory asset base. In particular, the CESS will ensure that Powerlink bears at least 30 per cent of any overspend against the capex allowance. Similarly, if Powerlink can fulfil their objectives without spending the full capex allowance, it will be able to retain 30 per cent of the benefit of this. In addition, if </w:t>
            </w:r>
            <w:proofErr w:type="gramStart"/>
            <w:r w:rsidRPr="008C7B59">
              <w:t>an over-spend</w:t>
            </w:r>
            <w:proofErr w:type="gramEnd"/>
            <w:r w:rsidRPr="008C7B59">
              <w:t xml:space="preserve"> is found to be inefficient through the ex post review, Powerlink risks having to bear the entire overspend.</w:t>
            </w:r>
          </w:p>
        </w:tc>
      </w:tr>
      <w:tr w:rsidR="008C7B59" w:rsidRPr="005531F2" w:rsidTr="005D15EC">
        <w:trPr>
          <w:cnfStyle w:val="000000010000" w:firstRow="0" w:lastRow="0" w:firstColumn="0" w:lastColumn="0" w:oddVBand="0" w:evenVBand="0" w:oddHBand="0" w:evenHBand="1" w:firstRowFirstColumn="0" w:firstRowLastColumn="0" w:lastRowFirstColumn="0" w:lastRowLastColumn="0"/>
        </w:trPr>
        <w:tc>
          <w:tcPr>
            <w:tcW w:w="1832" w:type="dxa"/>
          </w:tcPr>
          <w:p w:rsidR="008C7B59" w:rsidRPr="008C7B59" w:rsidRDefault="008C7B59" w:rsidP="008C7B59">
            <w:r w:rsidRPr="00270052">
              <w:t>Service Target Performance Incentive Scheme (STPIS)</w:t>
            </w:r>
          </w:p>
        </w:tc>
        <w:tc>
          <w:tcPr>
            <w:tcW w:w="7410" w:type="dxa"/>
          </w:tcPr>
          <w:p w:rsidR="008C7B59" w:rsidRPr="008C7B59" w:rsidRDefault="008C7B59" w:rsidP="008C7B59">
            <w:r w:rsidRPr="00270052">
              <w:t xml:space="preserve">The STPIS is interrelated to </w:t>
            </w:r>
            <w:r w:rsidRPr="008C7B59">
              <w:t xml:space="preserve">Powerlink's total forecast capex, in so far as it is important that it does not include any expenditure for the purposes of improving supply reliability during the 2017–22 regulatory control </w:t>
            </w:r>
            <w:proofErr w:type="gramStart"/>
            <w:r w:rsidRPr="008C7B59">
              <w:t>period</w:t>
            </w:r>
            <w:proofErr w:type="gramEnd"/>
            <w:r w:rsidRPr="008C7B59">
              <w:t>. This is because such expenditure should be offset by rewards provided through the application of the STPIS.</w:t>
            </w:r>
          </w:p>
          <w:p w:rsidR="008C7B59" w:rsidRPr="008C7B59" w:rsidRDefault="008C7B59" w:rsidP="008C7B59">
            <w:r w:rsidRPr="00270052">
              <w:t xml:space="preserve">Further, the forecast capex should be sufficient to allow </w:t>
            </w:r>
            <w:r w:rsidRPr="008C7B59">
              <w:t>Powerlink to maintain performance at the targets set under the STPIS. The capex allowance should not be set such that there is an expectation that it will lead to Powerlink systematically under or over performing against its targets.</w:t>
            </w:r>
          </w:p>
        </w:tc>
      </w:tr>
      <w:tr w:rsidR="008C7B59" w:rsidRPr="005531F2" w:rsidTr="005D15EC">
        <w:tc>
          <w:tcPr>
            <w:tcW w:w="1832" w:type="dxa"/>
          </w:tcPr>
          <w:p w:rsidR="008C7B59" w:rsidRPr="008C7B59" w:rsidRDefault="008C7B59" w:rsidP="008C7B59">
            <w:r w:rsidRPr="00270052">
              <w:t>Contingent project</w:t>
            </w:r>
            <w:r w:rsidRPr="008C7B59">
              <w:t>s</w:t>
            </w:r>
          </w:p>
        </w:tc>
        <w:tc>
          <w:tcPr>
            <w:tcW w:w="7410" w:type="dxa"/>
          </w:tcPr>
          <w:p w:rsidR="008C7B59" w:rsidRPr="008C7B59" w:rsidRDefault="008C7B59" w:rsidP="008C7B59">
            <w:r w:rsidRPr="00546E61">
              <w:t>Generally, contingent projects are significant network augmentation projects that are reasonably required to be undertaken in order to achieve the capex objectives.</w:t>
            </w:r>
            <w:r w:rsidRPr="008C7B59">
              <w:t xml:space="preserve"> However, unlike other proposed capex projects, the need for the project within the regulatory period and the associated costs are not sufficiently certain. Consequently, expenditure for such projects does not form a part of the total forecast capex that we approve in this determination.  </w:t>
            </w:r>
          </w:p>
          <w:p w:rsidR="008C7B59" w:rsidRPr="008C7B59" w:rsidRDefault="008C7B59" w:rsidP="008C7B59">
            <w:r>
              <w:t xml:space="preserve"> </w:t>
            </w:r>
            <w:r w:rsidRPr="008C7B59">
              <w:t xml:space="preserve">Powerlink proposed $590 million for seven contingent projects for the 2017–22 </w:t>
            </w:r>
            <w:proofErr w:type="gramStart"/>
            <w:r w:rsidRPr="008C7B59">
              <w:t>period</w:t>
            </w:r>
            <w:proofErr w:type="gramEnd"/>
            <w:r w:rsidRPr="008C7B59">
              <w:t>. Powerlink submitted that the proposed projects are for managing the risk of significant network investments which may be triggered by material changes in demand or new connections (including new coal mines and LNG production projects).</w:t>
            </w:r>
            <w:r w:rsidRPr="008C7B59">
              <w:rPr>
                <w:rStyle w:val="FootnoteReference"/>
              </w:rPr>
              <w:t xml:space="preserve"> </w:t>
            </w:r>
            <w:r w:rsidRPr="008C7B59">
              <w:rPr>
                <w:rStyle w:val="FootnoteReference"/>
              </w:rPr>
              <w:footnoteReference w:id="50"/>
            </w:r>
            <w:r w:rsidRPr="008C7B59">
              <w:t xml:space="preserve"> </w:t>
            </w:r>
          </w:p>
        </w:tc>
      </w:tr>
    </w:tbl>
    <w:p w:rsidR="008C7B59" w:rsidRDefault="008C7B59" w:rsidP="008C7B59">
      <w:pPr>
        <w:pStyle w:val="Source"/>
      </w:pPr>
      <w:r>
        <w:t>Source: AER analysis</w:t>
      </w:r>
    </w:p>
    <w:p w:rsidR="008C7B59" w:rsidRPr="008C7B59" w:rsidRDefault="008C7B59" w:rsidP="008C7B59">
      <w:pPr>
        <w:pStyle w:val="Heading3"/>
      </w:pPr>
      <w:bookmarkStart w:id="154" w:name="_Toc460504536"/>
      <w:bookmarkStart w:id="155" w:name="_Toc460582374"/>
      <w:bookmarkStart w:id="156" w:name="_Toc462062154"/>
      <w:bookmarkStart w:id="157" w:name="_Toc462752295"/>
      <w:bookmarkStart w:id="158" w:name="_Toc456608790"/>
      <w:bookmarkStart w:id="159" w:name="_Toc460239236"/>
      <w:bookmarkStart w:id="160" w:name="_Toc460239304"/>
      <w:bookmarkStart w:id="161" w:name="_Toc460239557"/>
      <w:bookmarkStart w:id="162" w:name="_Toc460321514"/>
      <w:r w:rsidRPr="00027649">
        <w:t>Summary</w:t>
      </w:r>
      <w:r w:rsidRPr="008C7B59">
        <w:t xml:space="preserve"> of submissions on Powerlink's capex proposal</w:t>
      </w:r>
      <w:bookmarkEnd w:id="154"/>
      <w:bookmarkEnd w:id="155"/>
      <w:bookmarkEnd w:id="156"/>
      <w:bookmarkEnd w:id="157"/>
    </w:p>
    <w:p w:rsidR="008C7B59" w:rsidRPr="00027649" w:rsidRDefault="00DA7D97" w:rsidP="008C7B59">
      <w:fldSimple w:instr=" REF _Ref461112985 ">
        <w:r w:rsidR="005252EC">
          <w:t xml:space="preserve">Table </w:t>
        </w:r>
        <w:r w:rsidR="005252EC">
          <w:rPr>
            <w:noProof/>
          </w:rPr>
          <w:t>6</w:t>
        </w:r>
        <w:r w:rsidR="005252EC">
          <w:t>.</w:t>
        </w:r>
        <w:r w:rsidR="005252EC">
          <w:rPr>
            <w:noProof/>
          </w:rPr>
          <w:t>5</w:t>
        </w:r>
      </w:fldSimple>
      <w:r w:rsidR="00250D0F">
        <w:t xml:space="preserve"> </w:t>
      </w:r>
      <w:r w:rsidR="008C7B59" w:rsidRPr="00027649">
        <w:t xml:space="preserve">provides a summary of stakeholder submissions on Powerlink's </w:t>
      </w:r>
      <w:r w:rsidR="008C7B59">
        <w:t>capex</w:t>
      </w:r>
      <w:r w:rsidR="008C7B59" w:rsidRPr="00027649">
        <w:t xml:space="preserve"> proposal and our response.</w:t>
      </w:r>
    </w:p>
    <w:p w:rsidR="008C7B59" w:rsidRDefault="00250D0F" w:rsidP="00250D0F">
      <w:pPr>
        <w:pStyle w:val="Caption"/>
      </w:pPr>
      <w:bookmarkStart w:id="163" w:name="_Ref461112985"/>
      <w:proofErr w:type="gramStart"/>
      <w:r>
        <w:t xml:space="preserve">Table </w:t>
      </w:r>
      <w:fldSimple w:instr=" STYLEREF 1 \s ">
        <w:r w:rsidR="005252EC">
          <w:rPr>
            <w:noProof/>
          </w:rPr>
          <w:t>6</w:t>
        </w:r>
      </w:fldSimple>
      <w:r>
        <w:t>.</w:t>
      </w:r>
      <w:proofErr w:type="gramEnd"/>
      <w:r w:rsidR="005252EC">
        <w:fldChar w:fldCharType="begin"/>
      </w:r>
      <w:r w:rsidR="005252EC">
        <w:instrText xml:space="preserve"> SEQ Table \* ARABIC \s 1 </w:instrText>
      </w:r>
      <w:r w:rsidR="005252EC">
        <w:fldChar w:fldCharType="separate"/>
      </w:r>
      <w:r w:rsidR="005252EC">
        <w:rPr>
          <w:noProof/>
        </w:rPr>
        <w:t>5</w:t>
      </w:r>
      <w:r w:rsidR="005252EC">
        <w:rPr>
          <w:noProof/>
        </w:rPr>
        <w:fldChar w:fldCharType="end"/>
      </w:r>
      <w:bookmarkEnd w:id="163"/>
      <w:r>
        <w:t xml:space="preserve">  </w:t>
      </w:r>
      <w:r w:rsidR="008C7B59">
        <w:t>S</w:t>
      </w:r>
      <w:r w:rsidR="008C7B59" w:rsidRPr="0066113F">
        <w:t xml:space="preserve">ubmissions </w:t>
      </w:r>
      <w:r w:rsidR="008C7B59" w:rsidRPr="00657E51">
        <w:t xml:space="preserve">on Powerlink's </w:t>
      </w:r>
      <w:r w:rsidR="008C7B59">
        <w:t>ca</w:t>
      </w:r>
      <w:r w:rsidR="008C7B59" w:rsidRPr="00657E51">
        <w:t xml:space="preserve">pex proposal </w:t>
      </w:r>
      <w:r w:rsidR="008C7B59">
        <w:t xml:space="preserve">and our response </w:t>
      </w:r>
    </w:p>
    <w:tbl>
      <w:tblPr>
        <w:tblStyle w:val="AERtable-text0"/>
        <w:tblW w:w="0" w:type="auto"/>
        <w:tblLook w:val="04A0" w:firstRow="1" w:lastRow="0" w:firstColumn="1" w:lastColumn="0" w:noHBand="0" w:noVBand="1"/>
      </w:tblPr>
      <w:tblGrid>
        <w:gridCol w:w="1273"/>
        <w:gridCol w:w="2776"/>
        <w:gridCol w:w="236"/>
        <w:gridCol w:w="4408"/>
      </w:tblGrid>
      <w:tr w:rsidR="008C7B59" w:rsidRPr="004B005E" w:rsidTr="005D15EC">
        <w:trPr>
          <w:cnfStyle w:val="100000000000" w:firstRow="1" w:lastRow="0" w:firstColumn="0" w:lastColumn="0" w:oddVBand="0" w:evenVBand="0" w:oddHBand="0" w:evenHBand="0" w:firstRowFirstColumn="0" w:firstRowLastColumn="0" w:lastRowFirstColumn="0" w:lastRowLastColumn="0"/>
          <w:tblHeader/>
        </w:trPr>
        <w:tc>
          <w:tcPr>
            <w:tcW w:w="1273" w:type="dxa"/>
          </w:tcPr>
          <w:p w:rsidR="008C7B59" w:rsidRPr="008C7B59" w:rsidRDefault="008C7B59" w:rsidP="008C7B59">
            <w:r>
              <w:t>S</w:t>
            </w:r>
            <w:r w:rsidRPr="008C7B59">
              <w:t xml:space="preserve">takeholder </w:t>
            </w:r>
          </w:p>
        </w:tc>
        <w:tc>
          <w:tcPr>
            <w:tcW w:w="2776" w:type="dxa"/>
          </w:tcPr>
          <w:p w:rsidR="008C7B59" w:rsidRPr="008C7B59" w:rsidRDefault="008C7B59" w:rsidP="008C7B59">
            <w:r>
              <w:t>I</w:t>
            </w:r>
            <w:r w:rsidRPr="008C7B59">
              <w:t>ssue</w:t>
            </w:r>
          </w:p>
        </w:tc>
        <w:tc>
          <w:tcPr>
            <w:tcW w:w="236" w:type="dxa"/>
          </w:tcPr>
          <w:p w:rsidR="008C7B59" w:rsidRDefault="008C7B59" w:rsidP="008C7B59"/>
        </w:tc>
        <w:tc>
          <w:tcPr>
            <w:tcW w:w="4408" w:type="dxa"/>
          </w:tcPr>
          <w:p w:rsidR="008C7B59" w:rsidRPr="008C7B59" w:rsidRDefault="008C7B59" w:rsidP="008C7B59">
            <w:r>
              <w:t>Our response</w:t>
            </w:r>
          </w:p>
        </w:tc>
      </w:tr>
      <w:tr w:rsidR="008C7B59" w:rsidRPr="004B005E" w:rsidTr="005D15EC">
        <w:tc>
          <w:tcPr>
            <w:tcW w:w="1273" w:type="dxa"/>
          </w:tcPr>
          <w:p w:rsidR="008C7B59" w:rsidRPr="008C7B59" w:rsidRDefault="008C7B59" w:rsidP="008C7B59">
            <w:r>
              <w:t xml:space="preserve">Queensland Resources Council </w:t>
            </w:r>
          </w:p>
          <w:p w:rsidR="008C7B59" w:rsidRPr="0066113F" w:rsidRDefault="008C7B59" w:rsidP="008C7B59"/>
        </w:tc>
        <w:tc>
          <w:tcPr>
            <w:tcW w:w="2776" w:type="dxa"/>
          </w:tcPr>
          <w:p w:rsidR="008C7B59" w:rsidRPr="008C7B59" w:rsidRDefault="00E76E25" w:rsidP="00E76E25">
            <w:r>
              <w:t xml:space="preserve">The Queensland Resources Council supported </w:t>
            </w:r>
            <w:r w:rsidR="008C7B59">
              <w:t>Powerlink’s p</w:t>
            </w:r>
            <w:r w:rsidR="008C7B59" w:rsidRPr="008C7B59">
              <w:t>roposal for contingent projects</w:t>
            </w:r>
            <w:r w:rsidR="00B57283">
              <w:t>,</w:t>
            </w:r>
            <w:r w:rsidR="008C7B59" w:rsidRPr="008C7B59">
              <w:t xml:space="preserve"> </w:t>
            </w:r>
            <w:r>
              <w:t>noting this approach is</w:t>
            </w:r>
            <w:r w:rsidR="008C7B59" w:rsidRPr="008C7B59">
              <w:t xml:space="preserve"> a better system for managing demand uncertainty.</w:t>
            </w:r>
            <w:r w:rsidR="008C7B59" w:rsidRPr="008C7B59">
              <w:rPr>
                <w:rStyle w:val="FootnoteReference"/>
              </w:rPr>
              <w:footnoteReference w:id="51"/>
            </w:r>
          </w:p>
        </w:tc>
        <w:tc>
          <w:tcPr>
            <w:tcW w:w="236" w:type="dxa"/>
          </w:tcPr>
          <w:p w:rsidR="008C7B59" w:rsidRDefault="008C7B59" w:rsidP="008C7B59"/>
        </w:tc>
        <w:tc>
          <w:tcPr>
            <w:tcW w:w="4408" w:type="dxa"/>
          </w:tcPr>
          <w:p w:rsidR="008C7B59" w:rsidRPr="008C7B59" w:rsidRDefault="008C7B59" w:rsidP="00533E44">
            <w:r w:rsidRPr="008C7B59">
              <w:t>We accept five</w:t>
            </w:r>
            <w:r w:rsidR="00E76E25">
              <w:t xml:space="preserve"> of the seven proposed</w:t>
            </w:r>
            <w:r w:rsidRPr="008C7B59">
              <w:t xml:space="preserve"> projects as contingent projects but require Powerlink to amend the trigger events proposed for these projects. </w:t>
            </w:r>
            <w:r w:rsidR="00E76E25">
              <w:t>W</w:t>
            </w:r>
            <w:r w:rsidR="00E76E25" w:rsidRPr="008C7B59">
              <w:t>e do not accept the North West Surat Basin Area project and the Southern Galilee Basin project</w:t>
            </w:r>
            <w:r w:rsidR="00E76E25">
              <w:t>.</w:t>
            </w:r>
          </w:p>
        </w:tc>
      </w:tr>
      <w:tr w:rsidR="008C7B59" w:rsidRPr="008946FF" w:rsidTr="005D15EC">
        <w:trPr>
          <w:cnfStyle w:val="000000010000" w:firstRow="0" w:lastRow="0" w:firstColumn="0" w:lastColumn="0" w:oddVBand="0" w:evenVBand="0" w:oddHBand="0" w:evenHBand="1" w:firstRowFirstColumn="0" w:firstRowLastColumn="0" w:lastRowFirstColumn="0" w:lastRowLastColumn="0"/>
        </w:trPr>
        <w:tc>
          <w:tcPr>
            <w:tcW w:w="1273" w:type="dxa"/>
          </w:tcPr>
          <w:p w:rsidR="008C7B59" w:rsidRDefault="008C7B59" w:rsidP="008C7B59"/>
        </w:tc>
        <w:tc>
          <w:tcPr>
            <w:tcW w:w="2776" w:type="dxa"/>
          </w:tcPr>
          <w:p w:rsidR="008C7B59" w:rsidRPr="008C7B59" w:rsidRDefault="00B57283" w:rsidP="008C7B59">
            <w:r>
              <w:t xml:space="preserve">QRC submitted that </w:t>
            </w:r>
            <w:r w:rsidR="008C7B59">
              <w:t>Powerlink’s relatively low re</w:t>
            </w:r>
            <w:r w:rsidR="008C7B59" w:rsidRPr="008C7B59">
              <w:t>duction in operational capital seems inconsistent with the much larger reductions in forecast capital expenditure or even in maximum allowable revenue.</w:t>
            </w:r>
            <w:r w:rsidR="008C7B59" w:rsidRPr="008C7B59">
              <w:rPr>
                <w:rStyle w:val="FootnoteReference"/>
              </w:rPr>
              <w:footnoteReference w:id="52"/>
            </w:r>
          </w:p>
        </w:tc>
        <w:tc>
          <w:tcPr>
            <w:tcW w:w="236" w:type="dxa"/>
          </w:tcPr>
          <w:p w:rsidR="008C7B59" w:rsidRPr="006E192A" w:rsidRDefault="008C7B59" w:rsidP="008C7B59"/>
        </w:tc>
        <w:tc>
          <w:tcPr>
            <w:tcW w:w="4408" w:type="dxa"/>
          </w:tcPr>
          <w:p w:rsidR="008C7B59" w:rsidRPr="008C7B59" w:rsidRDefault="008C7B59" w:rsidP="008C7B59">
            <w:r>
              <w:t xml:space="preserve">Our review shows that Powerlink's proposed capex of $959.7million is largely made up of repex (around 83 per cent). Our assessment of Powerlink's proposed repex shows that Powerlink could prudently reduce its forecast through deferral of projects and application of life extension techniques. </w:t>
            </w:r>
          </w:p>
        </w:tc>
      </w:tr>
      <w:tr w:rsidR="008C7B59" w:rsidRPr="008946FF" w:rsidTr="005D15EC">
        <w:tc>
          <w:tcPr>
            <w:tcW w:w="1273" w:type="dxa"/>
          </w:tcPr>
          <w:p w:rsidR="008C7B59" w:rsidRPr="008C7B59" w:rsidRDefault="008C7B59" w:rsidP="008C7B59">
            <w:r>
              <w:t xml:space="preserve">Cotton Australia </w:t>
            </w:r>
          </w:p>
        </w:tc>
        <w:tc>
          <w:tcPr>
            <w:tcW w:w="2776" w:type="dxa"/>
          </w:tcPr>
          <w:p w:rsidR="008C7B59" w:rsidRPr="008C7B59" w:rsidRDefault="00B57283" w:rsidP="008C7B59">
            <w:r>
              <w:t>Cotton Australia submitted t</w:t>
            </w:r>
            <w:r w:rsidR="008C7B59">
              <w:t>he significant drop in capex forecast compared to the current regulatory period is a reflection of the demand to materialise in contrast to previous forecasts.</w:t>
            </w:r>
            <w:r w:rsidR="008C7B59" w:rsidRPr="008C7B59">
              <w:rPr>
                <w:rStyle w:val="FootnoteReference"/>
              </w:rPr>
              <w:footnoteReference w:id="53"/>
            </w:r>
          </w:p>
        </w:tc>
        <w:tc>
          <w:tcPr>
            <w:tcW w:w="236" w:type="dxa"/>
          </w:tcPr>
          <w:p w:rsidR="008C7B59" w:rsidRPr="006E192A" w:rsidRDefault="008C7B59" w:rsidP="008C7B59"/>
        </w:tc>
        <w:tc>
          <w:tcPr>
            <w:tcW w:w="4408" w:type="dxa"/>
          </w:tcPr>
          <w:p w:rsidR="008C7B59" w:rsidRPr="008C7B59" w:rsidRDefault="008C7B59" w:rsidP="008C7B59">
            <w:r>
              <w:t xml:space="preserve">Our assessment of the proposed augex also reaches this view.  </w:t>
            </w:r>
          </w:p>
        </w:tc>
      </w:tr>
      <w:tr w:rsidR="008C7B59" w:rsidRPr="004B005E" w:rsidTr="005D15EC">
        <w:trPr>
          <w:cnfStyle w:val="000000010000" w:firstRow="0" w:lastRow="0" w:firstColumn="0" w:lastColumn="0" w:oddVBand="0" w:evenVBand="0" w:oddHBand="0" w:evenHBand="1" w:firstRowFirstColumn="0" w:firstRowLastColumn="0" w:lastRowFirstColumn="0" w:lastRowLastColumn="0"/>
        </w:trPr>
        <w:tc>
          <w:tcPr>
            <w:tcW w:w="1273" w:type="dxa"/>
          </w:tcPr>
          <w:p w:rsidR="008C7B59" w:rsidRDefault="008C7B59" w:rsidP="008C7B59"/>
        </w:tc>
        <w:tc>
          <w:tcPr>
            <w:tcW w:w="2776" w:type="dxa"/>
          </w:tcPr>
          <w:p w:rsidR="008C7B59" w:rsidRPr="008C7B59" w:rsidRDefault="00B57283" w:rsidP="00B57283">
            <w:r>
              <w:t>It submitted that t</w:t>
            </w:r>
            <w:r w:rsidR="008C7B59">
              <w:t>he A</w:t>
            </w:r>
            <w:r w:rsidR="008C7B59" w:rsidRPr="008C7B59">
              <w:t>ER should consider the implications of a contingency based approach to capex on consumers for the future regulatory period.</w:t>
            </w:r>
            <w:r w:rsidR="008C7B59" w:rsidRPr="008C7B59">
              <w:rPr>
                <w:rStyle w:val="FootnoteReference"/>
              </w:rPr>
              <w:footnoteReference w:id="54"/>
            </w:r>
          </w:p>
        </w:tc>
        <w:tc>
          <w:tcPr>
            <w:tcW w:w="236" w:type="dxa"/>
          </w:tcPr>
          <w:p w:rsidR="008C7B59" w:rsidRDefault="008C7B59" w:rsidP="008C7B59"/>
        </w:tc>
        <w:tc>
          <w:tcPr>
            <w:tcW w:w="4408" w:type="dxa"/>
          </w:tcPr>
          <w:p w:rsidR="008C7B59" w:rsidRPr="008C7B59" w:rsidRDefault="008C7B59" w:rsidP="008C7B59">
            <w:r>
              <w:t>Powerlink has proposed the regulatory investment test (RIT-T) as a trigger event for some of the proposed contingent projects. We consider the RIT-T should be a trigger</w:t>
            </w:r>
            <w:r w:rsidRPr="008C7B59">
              <w:t xml:space="preserve"> event for each of the contingent projects we accepted because one of the tests under the RIT-T is cost benefit analysis for the required project. </w:t>
            </w:r>
          </w:p>
        </w:tc>
      </w:tr>
      <w:tr w:rsidR="008C7B59" w:rsidRPr="004B005E" w:rsidTr="005D15EC">
        <w:tc>
          <w:tcPr>
            <w:tcW w:w="1273" w:type="dxa"/>
          </w:tcPr>
          <w:p w:rsidR="008C7B59" w:rsidRDefault="008C7B59" w:rsidP="008C7B59"/>
        </w:tc>
        <w:tc>
          <w:tcPr>
            <w:tcW w:w="2776" w:type="dxa"/>
          </w:tcPr>
          <w:p w:rsidR="008C7B59" w:rsidRPr="008C7B59" w:rsidRDefault="00B57283" w:rsidP="00A25056">
            <w:r>
              <w:t>It submitted that t</w:t>
            </w:r>
            <w:r w:rsidR="008C7B59" w:rsidRPr="008C7B59">
              <w:t>he repex forecasts appear to be built around standard asset lives as opposed to any actual replacement assessment.</w:t>
            </w:r>
            <w:r w:rsidR="008C7B59" w:rsidRPr="008C7B59">
              <w:rPr>
                <w:rStyle w:val="FootnoteReference"/>
              </w:rPr>
              <w:footnoteReference w:id="55"/>
            </w:r>
          </w:p>
        </w:tc>
        <w:tc>
          <w:tcPr>
            <w:tcW w:w="236" w:type="dxa"/>
          </w:tcPr>
          <w:p w:rsidR="008C7B59" w:rsidRDefault="008C7B59" w:rsidP="008C7B59"/>
        </w:tc>
        <w:tc>
          <w:tcPr>
            <w:tcW w:w="4408" w:type="dxa"/>
          </w:tcPr>
          <w:p w:rsidR="008C7B59" w:rsidRPr="008C7B59" w:rsidRDefault="008C7B59" w:rsidP="00CB260C">
            <w:r>
              <w:t>O</w:t>
            </w:r>
            <w:r w:rsidRPr="008C7B59">
              <w:t>ur assessment of Powerlink's proposed repex shows that reductions can be made based on different assumptions of expected asset replacement lives and deferral of projects into the 2022</w:t>
            </w:r>
            <w:r w:rsidR="00CB260C">
              <w:t>–2</w:t>
            </w:r>
            <w:r w:rsidRPr="008C7B59">
              <w:t xml:space="preserve">7 regulatory control </w:t>
            </w:r>
            <w:proofErr w:type="gramStart"/>
            <w:r w:rsidRPr="008C7B59">
              <w:t>period</w:t>
            </w:r>
            <w:proofErr w:type="gramEnd"/>
            <w:r w:rsidRPr="008C7B59">
              <w:t>.</w:t>
            </w:r>
          </w:p>
        </w:tc>
      </w:tr>
      <w:tr w:rsidR="008C7B59" w:rsidRPr="004B005E" w:rsidTr="005D15EC">
        <w:trPr>
          <w:cnfStyle w:val="000000010000" w:firstRow="0" w:lastRow="0" w:firstColumn="0" w:lastColumn="0" w:oddVBand="0" w:evenVBand="0" w:oddHBand="0" w:evenHBand="1" w:firstRowFirstColumn="0" w:firstRowLastColumn="0" w:lastRowFirstColumn="0" w:lastRowLastColumn="0"/>
        </w:trPr>
        <w:tc>
          <w:tcPr>
            <w:tcW w:w="1273" w:type="dxa"/>
          </w:tcPr>
          <w:p w:rsidR="008C7B59" w:rsidRPr="008C7B59" w:rsidRDefault="008C7B59" w:rsidP="00C54200">
            <w:r>
              <w:t xml:space="preserve">CCP </w:t>
            </w:r>
            <w:r w:rsidR="00C54200">
              <w:t>members</w:t>
            </w:r>
          </w:p>
        </w:tc>
        <w:tc>
          <w:tcPr>
            <w:tcW w:w="2776" w:type="dxa"/>
          </w:tcPr>
          <w:p w:rsidR="008C7B59" w:rsidRPr="008C7B59" w:rsidRDefault="00C54200" w:rsidP="00C54200">
            <w:r>
              <w:t xml:space="preserve">CCP members </w:t>
            </w:r>
            <w:r w:rsidR="00B57283">
              <w:t xml:space="preserve">submitted that </w:t>
            </w:r>
            <w:r w:rsidR="008C7B59">
              <w:t>Powerlink'</w:t>
            </w:r>
            <w:r w:rsidR="008C7B59" w:rsidRPr="008C7B59">
              <w:t>s proposed business IT capex is higher than other transmission networks' IT capex.</w:t>
            </w:r>
            <w:r w:rsidR="008C7B59" w:rsidRPr="008C7B59">
              <w:rPr>
                <w:rStyle w:val="FootnoteReference"/>
              </w:rPr>
              <w:t xml:space="preserve"> </w:t>
            </w:r>
            <w:r w:rsidR="008C7B59" w:rsidRPr="008C7B59">
              <w:rPr>
                <w:rStyle w:val="FootnoteReference"/>
              </w:rPr>
              <w:footnoteReference w:id="56"/>
            </w:r>
          </w:p>
        </w:tc>
        <w:tc>
          <w:tcPr>
            <w:tcW w:w="236" w:type="dxa"/>
          </w:tcPr>
          <w:p w:rsidR="008C7B59" w:rsidRDefault="008C7B59" w:rsidP="008C7B59"/>
        </w:tc>
        <w:tc>
          <w:tcPr>
            <w:tcW w:w="4408" w:type="dxa"/>
          </w:tcPr>
          <w:p w:rsidR="008C7B59" w:rsidRPr="008C7B59" w:rsidRDefault="008C7B59" w:rsidP="008C7B59">
            <w:r>
              <w:t xml:space="preserve">Our assessment of Powerlink's proposed information </w:t>
            </w:r>
            <w:r w:rsidRPr="008C7B59">
              <w:t xml:space="preserve">and communications capex is set out in section </w:t>
            </w:r>
            <w:r w:rsidRPr="008C7B59">
              <w:fldChar w:fldCharType="begin"/>
            </w:r>
            <w:r w:rsidRPr="008C7B59">
              <w:instrText xml:space="preserve"> REF _Ref460507325 \r \h </w:instrText>
            </w:r>
            <w:r w:rsidRPr="008C7B59">
              <w:fldChar w:fldCharType="separate"/>
            </w:r>
            <w:r w:rsidR="005252EC">
              <w:rPr>
                <w:b/>
                <w:bCs/>
                <w:lang w:val="en-US"/>
              </w:rPr>
              <w:t>Error! Reference source not found.</w:t>
            </w:r>
            <w:r w:rsidRPr="008C7B59">
              <w:fldChar w:fldCharType="end"/>
            </w:r>
            <w:r w:rsidRPr="008C7B59">
              <w:t xml:space="preserve">.  </w:t>
            </w:r>
          </w:p>
        </w:tc>
      </w:tr>
      <w:tr w:rsidR="008C7B59" w:rsidRPr="004B005E" w:rsidTr="005D15EC">
        <w:tc>
          <w:tcPr>
            <w:tcW w:w="1273" w:type="dxa"/>
          </w:tcPr>
          <w:p w:rsidR="008C7B59" w:rsidRDefault="008C7B59" w:rsidP="008C7B59"/>
        </w:tc>
        <w:tc>
          <w:tcPr>
            <w:tcW w:w="2776" w:type="dxa"/>
          </w:tcPr>
          <w:p w:rsidR="008C7B59" w:rsidRPr="008C7B59" w:rsidRDefault="00C54200" w:rsidP="00E1421E">
            <w:r>
              <w:t>They</w:t>
            </w:r>
            <w:r w:rsidR="00B57283">
              <w:t xml:space="preserve"> submitted that </w:t>
            </w:r>
            <w:r w:rsidR="008C7B59">
              <w:t xml:space="preserve">Powerlink incurred significantly higher capex </w:t>
            </w:r>
            <w:r w:rsidR="008C7B59">
              <w:lastRenderedPageBreak/>
              <w:t>to meet demand growth than the other transmission networks.</w:t>
            </w:r>
            <w:r w:rsidR="008C7B59" w:rsidRPr="008C7B59">
              <w:rPr>
                <w:rStyle w:val="FootnoteReference"/>
              </w:rPr>
              <w:footnoteReference w:id="57"/>
            </w:r>
          </w:p>
        </w:tc>
        <w:tc>
          <w:tcPr>
            <w:tcW w:w="236" w:type="dxa"/>
          </w:tcPr>
          <w:p w:rsidR="008C7B59" w:rsidRDefault="008C7B59" w:rsidP="008C7B59"/>
        </w:tc>
        <w:tc>
          <w:tcPr>
            <w:tcW w:w="4408" w:type="dxa"/>
          </w:tcPr>
          <w:p w:rsidR="008C7B59" w:rsidRPr="008C7B59" w:rsidRDefault="008C7B59" w:rsidP="00FA3733">
            <w:r>
              <w:t xml:space="preserve">Our review of </w:t>
            </w:r>
            <w:r w:rsidRPr="008C7B59">
              <w:t xml:space="preserve">Powerlink's demand forecast is set out in </w:t>
            </w:r>
            <w:r w:rsidR="00FA3733">
              <w:t>appendix</w:t>
            </w:r>
            <w:r w:rsidRPr="008C7B59">
              <w:t xml:space="preserve"> </w:t>
            </w:r>
            <w:r w:rsidRPr="008C7B59">
              <w:fldChar w:fldCharType="begin"/>
            </w:r>
            <w:r w:rsidRPr="008C7B59">
              <w:instrText xml:space="preserve"> REF _Ref460507358 \r \h </w:instrText>
            </w:r>
            <w:r w:rsidRPr="008C7B59">
              <w:fldChar w:fldCharType="separate"/>
            </w:r>
            <w:r w:rsidR="005252EC">
              <w:rPr>
                <w:b/>
                <w:bCs/>
                <w:lang w:val="en-US"/>
              </w:rPr>
              <w:t>Error! Reference source not found.</w:t>
            </w:r>
            <w:r w:rsidRPr="008C7B59">
              <w:fldChar w:fldCharType="end"/>
            </w:r>
            <w:r w:rsidRPr="008C7B59">
              <w:t xml:space="preserve">. </w:t>
            </w:r>
          </w:p>
        </w:tc>
      </w:tr>
      <w:tr w:rsidR="008C7B59" w:rsidRPr="004B005E" w:rsidTr="005D15EC">
        <w:trPr>
          <w:cnfStyle w:val="000000010000" w:firstRow="0" w:lastRow="0" w:firstColumn="0" w:lastColumn="0" w:oddVBand="0" w:evenVBand="0" w:oddHBand="0" w:evenHBand="1" w:firstRowFirstColumn="0" w:firstRowLastColumn="0" w:lastRowFirstColumn="0" w:lastRowLastColumn="0"/>
        </w:trPr>
        <w:tc>
          <w:tcPr>
            <w:tcW w:w="1273" w:type="dxa"/>
          </w:tcPr>
          <w:p w:rsidR="008C7B59" w:rsidRDefault="008C7B59" w:rsidP="008C7B59"/>
        </w:tc>
        <w:tc>
          <w:tcPr>
            <w:tcW w:w="2776" w:type="dxa"/>
          </w:tcPr>
          <w:p w:rsidR="008C7B59" w:rsidRPr="008C7B59" w:rsidRDefault="00C54200" w:rsidP="008C7B59">
            <w:r>
              <w:t>They</w:t>
            </w:r>
            <w:r w:rsidR="00B57283">
              <w:t xml:space="preserve"> submitted that </w:t>
            </w:r>
            <w:r w:rsidR="008C7B59" w:rsidRPr="000F0388">
              <w:t xml:space="preserve">Powerlink’s proposed load-driven capex is </w:t>
            </w:r>
            <w:r w:rsidR="008C7B59" w:rsidRPr="008C7B59">
              <w:t>most likely to be reflective of its needs for subsequent regulatory periods.</w:t>
            </w:r>
            <w:r w:rsidR="008C7B59" w:rsidRPr="008C7B59">
              <w:rPr>
                <w:rStyle w:val="FootnoteReference"/>
              </w:rPr>
              <w:footnoteReference w:id="58"/>
            </w:r>
            <w:r w:rsidR="008C7B59" w:rsidRPr="008C7B59">
              <w:t xml:space="preserve"> </w:t>
            </w:r>
          </w:p>
        </w:tc>
        <w:tc>
          <w:tcPr>
            <w:tcW w:w="236" w:type="dxa"/>
          </w:tcPr>
          <w:p w:rsidR="008C7B59" w:rsidRDefault="008C7B59" w:rsidP="008C7B59"/>
        </w:tc>
        <w:tc>
          <w:tcPr>
            <w:tcW w:w="4408" w:type="dxa"/>
          </w:tcPr>
          <w:p w:rsidR="008C7B59" w:rsidRPr="008C7B59" w:rsidRDefault="008C7B59" w:rsidP="008C7B59">
            <w:r>
              <w:t xml:space="preserve">Our review of the load-driven capex is set out in section </w:t>
            </w:r>
            <w:r w:rsidRPr="008C7B59">
              <w:fldChar w:fldCharType="begin"/>
            </w:r>
            <w:r w:rsidRPr="008C7B59">
              <w:instrText xml:space="preserve"> REF _Ref460507412 \r \h </w:instrText>
            </w:r>
            <w:r w:rsidRPr="008C7B59">
              <w:fldChar w:fldCharType="separate"/>
            </w:r>
            <w:r w:rsidR="005252EC">
              <w:rPr>
                <w:b/>
                <w:bCs/>
                <w:lang w:val="en-US"/>
              </w:rPr>
              <w:t>Error! Reference source not found.</w:t>
            </w:r>
            <w:r w:rsidRPr="008C7B59">
              <w:fldChar w:fldCharType="end"/>
            </w:r>
            <w:r w:rsidRPr="008C7B59">
              <w:t xml:space="preserve">. </w:t>
            </w:r>
          </w:p>
        </w:tc>
      </w:tr>
      <w:tr w:rsidR="008C7B59" w:rsidRPr="004B005E" w:rsidTr="005D15EC">
        <w:tc>
          <w:tcPr>
            <w:tcW w:w="1273" w:type="dxa"/>
          </w:tcPr>
          <w:p w:rsidR="008C7B59" w:rsidRDefault="008C7B59" w:rsidP="008C7B59"/>
        </w:tc>
        <w:tc>
          <w:tcPr>
            <w:tcW w:w="2776" w:type="dxa"/>
          </w:tcPr>
          <w:p w:rsidR="008C7B59" w:rsidRPr="008C7B59" w:rsidRDefault="00C54200" w:rsidP="00B57283">
            <w:r>
              <w:t>They</w:t>
            </w:r>
            <w:r w:rsidR="00B57283">
              <w:t xml:space="preserve"> submitted that t</w:t>
            </w:r>
            <w:r w:rsidR="008C7B59">
              <w:t xml:space="preserve">he AER's repex assessment can be refined to have a greater regard to Powerlink's excess capacity, </w:t>
            </w:r>
            <w:r w:rsidR="008C7B59" w:rsidRPr="008C7B59">
              <w:t>low asset utilisation levels and detailed assessments of the proposed repex projects.</w:t>
            </w:r>
            <w:r w:rsidR="008C7B59" w:rsidRPr="008C7B59">
              <w:rPr>
                <w:rStyle w:val="FootnoteReference"/>
              </w:rPr>
              <w:footnoteReference w:id="59"/>
            </w:r>
          </w:p>
        </w:tc>
        <w:tc>
          <w:tcPr>
            <w:tcW w:w="236" w:type="dxa"/>
          </w:tcPr>
          <w:p w:rsidR="008C7B59" w:rsidRDefault="008C7B59" w:rsidP="008C7B59"/>
        </w:tc>
        <w:tc>
          <w:tcPr>
            <w:tcW w:w="4408" w:type="dxa"/>
          </w:tcPr>
          <w:p w:rsidR="008C7B59" w:rsidRPr="008C7B59" w:rsidRDefault="008C7B59" w:rsidP="00FA3733">
            <w:r>
              <w:t xml:space="preserve">The assessment techniques we used for Powerlink's proposed repex are set out in section </w:t>
            </w:r>
            <w:r w:rsidRPr="008C7B59">
              <w:fldChar w:fldCharType="begin"/>
            </w:r>
            <w:r w:rsidRPr="008C7B59">
              <w:instrText xml:space="preserve"> REF _Ref460507517 \r \h </w:instrText>
            </w:r>
            <w:r w:rsidRPr="008C7B59">
              <w:fldChar w:fldCharType="separate"/>
            </w:r>
            <w:r w:rsidR="005252EC">
              <w:rPr>
                <w:b/>
                <w:bCs/>
                <w:lang w:val="en-US"/>
              </w:rPr>
              <w:t>Error! Reference source not found.</w:t>
            </w:r>
            <w:r w:rsidRPr="008C7B59">
              <w:fldChar w:fldCharType="end"/>
            </w:r>
            <w:r w:rsidR="00B57283">
              <w:t xml:space="preserve"> </w:t>
            </w:r>
            <w:proofErr w:type="gramStart"/>
            <w:r w:rsidR="00B57283">
              <w:t>and</w:t>
            </w:r>
            <w:proofErr w:type="gramEnd"/>
            <w:r w:rsidR="00B57283">
              <w:t xml:space="preserve"> our assessment of Powerlink's repex is set out in </w:t>
            </w:r>
            <w:r w:rsidR="00FA3733">
              <w:t>section</w:t>
            </w:r>
            <w:r w:rsidR="00B57283">
              <w:t xml:space="preserve"> </w:t>
            </w:r>
            <w:r w:rsidR="00B57283">
              <w:fldChar w:fldCharType="begin"/>
            </w:r>
            <w:r w:rsidR="00B57283">
              <w:instrText xml:space="preserve"> REF _Ref461437923 \r \h </w:instrText>
            </w:r>
            <w:r w:rsidR="00B57283">
              <w:fldChar w:fldCharType="separate"/>
            </w:r>
            <w:r w:rsidR="005252EC">
              <w:t>B.3</w:t>
            </w:r>
            <w:r w:rsidR="00B57283">
              <w:fldChar w:fldCharType="end"/>
            </w:r>
            <w:r w:rsidRPr="008C7B59">
              <w:t xml:space="preserve">. </w:t>
            </w:r>
          </w:p>
        </w:tc>
      </w:tr>
      <w:tr w:rsidR="008C7B59" w:rsidRPr="004B005E" w:rsidTr="005D15EC">
        <w:trPr>
          <w:cnfStyle w:val="000000010000" w:firstRow="0" w:lastRow="0" w:firstColumn="0" w:lastColumn="0" w:oddVBand="0" w:evenVBand="0" w:oddHBand="0" w:evenHBand="1" w:firstRowFirstColumn="0" w:firstRowLastColumn="0" w:lastRowFirstColumn="0" w:lastRowLastColumn="0"/>
        </w:trPr>
        <w:tc>
          <w:tcPr>
            <w:tcW w:w="1273" w:type="dxa"/>
          </w:tcPr>
          <w:p w:rsidR="008C7B59" w:rsidRPr="008C7B59" w:rsidRDefault="008C7B59" w:rsidP="008C7B59">
            <w:r>
              <w:t xml:space="preserve">Professor Simon Bartlett </w:t>
            </w:r>
          </w:p>
        </w:tc>
        <w:tc>
          <w:tcPr>
            <w:tcW w:w="2776" w:type="dxa"/>
          </w:tcPr>
          <w:p w:rsidR="008C7B59" w:rsidRPr="008C7B59" w:rsidRDefault="00B57283" w:rsidP="004C15D8">
            <w:r>
              <w:t xml:space="preserve">Professor Bartlett submitted that </w:t>
            </w:r>
            <w:r w:rsidR="008C7B59">
              <w:t xml:space="preserve">Powerlink's strategy of minimising capex </w:t>
            </w:r>
            <w:r w:rsidR="008C7B59" w:rsidRPr="008C7B59">
              <w:t>during 2017–22 may significantly increase refurbishment and repex costs in the subsequent</w:t>
            </w:r>
            <w:r>
              <w:t xml:space="preserve"> </w:t>
            </w:r>
            <w:r w:rsidR="008C7B59" w:rsidRPr="008C7B59">
              <w:t xml:space="preserve">regulatory periods. This will impose otherwise avoidable constraints on the economic development of Queensland’s best renewable resources in Northern and Central Queensland. </w:t>
            </w:r>
            <w:r w:rsidR="008C7B59" w:rsidRPr="008C7B59">
              <w:rPr>
                <w:rStyle w:val="FootnoteReference"/>
              </w:rPr>
              <w:t xml:space="preserve"> </w:t>
            </w:r>
            <w:r w:rsidR="008C7B59" w:rsidRPr="008C7B59">
              <w:rPr>
                <w:rStyle w:val="FootnoteReference"/>
              </w:rPr>
              <w:footnoteReference w:id="60"/>
            </w:r>
          </w:p>
        </w:tc>
        <w:tc>
          <w:tcPr>
            <w:tcW w:w="236" w:type="dxa"/>
          </w:tcPr>
          <w:p w:rsidR="008C7B59" w:rsidRDefault="008C7B59" w:rsidP="008C7B59"/>
        </w:tc>
        <w:tc>
          <w:tcPr>
            <w:tcW w:w="4408" w:type="dxa"/>
          </w:tcPr>
          <w:p w:rsidR="008C7B59" w:rsidRPr="008C7B59" w:rsidRDefault="008C7B59" w:rsidP="008C7B59">
            <w:r>
              <w:t>Powerlink has proposed seven contingent projects to deal with uncertainty in forecast load growth. This has resulted in reduced capex forecast for the 2017–22 regulatory control period.  We consid</w:t>
            </w:r>
            <w:r w:rsidRPr="008C7B59">
              <w:t>er that the RIT-T should be a trigger event for each of the contingent projects we accepted because one of the tests under the RIT-T is consideration of network alternatives.</w:t>
            </w:r>
          </w:p>
        </w:tc>
      </w:tr>
    </w:tbl>
    <w:p w:rsidR="008C7B59" w:rsidRPr="008C7B59" w:rsidRDefault="008C7B59" w:rsidP="008C7B59">
      <w:pPr>
        <w:pStyle w:val="Heading3"/>
      </w:pPr>
      <w:bookmarkStart w:id="164" w:name="_Toc460582375"/>
      <w:bookmarkStart w:id="165" w:name="_Toc462062155"/>
      <w:bookmarkStart w:id="166" w:name="_Toc462752296"/>
      <w:r>
        <w:t>Consideration of the capex factors</w:t>
      </w:r>
      <w:bookmarkEnd w:id="158"/>
      <w:bookmarkEnd w:id="159"/>
      <w:bookmarkEnd w:id="160"/>
      <w:bookmarkEnd w:id="161"/>
      <w:bookmarkEnd w:id="162"/>
      <w:bookmarkEnd w:id="164"/>
      <w:bookmarkEnd w:id="165"/>
      <w:bookmarkEnd w:id="166"/>
    </w:p>
    <w:p w:rsidR="008C7B59" w:rsidRPr="008C6DC8" w:rsidRDefault="008C7B59" w:rsidP="008C7B59">
      <w:pPr>
        <w:rPr>
          <w:rStyle w:val="AERbody"/>
        </w:rPr>
      </w:pPr>
      <w:r w:rsidRPr="008C6DC8">
        <w:rPr>
          <w:rStyle w:val="AERbody"/>
        </w:rPr>
        <w:t>As we discussed in section</w:t>
      </w:r>
      <w:r>
        <w:rPr>
          <w:rStyle w:val="AERbody"/>
        </w:rPr>
        <w:t xml:space="preserve"> </w:t>
      </w:r>
      <w:r>
        <w:rPr>
          <w:rStyle w:val="AERbody"/>
        </w:rPr>
        <w:fldChar w:fldCharType="begin"/>
      </w:r>
      <w:r>
        <w:rPr>
          <w:rStyle w:val="AERbody"/>
        </w:rPr>
        <w:instrText xml:space="preserve"> REF _Ref460243394 \r </w:instrText>
      </w:r>
      <w:r>
        <w:rPr>
          <w:rStyle w:val="AERbody"/>
        </w:rPr>
        <w:fldChar w:fldCharType="separate"/>
      </w:r>
      <w:r w:rsidR="005252EC">
        <w:rPr>
          <w:rStyle w:val="AERbody"/>
          <w:b/>
          <w:bCs/>
          <w:lang w:val="en-US"/>
        </w:rPr>
        <w:t xml:space="preserve">Error! Reference source not </w:t>
      </w:r>
      <w:proofErr w:type="gramStart"/>
      <w:r w:rsidR="005252EC">
        <w:rPr>
          <w:rStyle w:val="AERbody"/>
          <w:b/>
          <w:bCs/>
          <w:lang w:val="en-US"/>
        </w:rPr>
        <w:t>found.</w:t>
      </w:r>
      <w:r>
        <w:rPr>
          <w:rStyle w:val="AERbody"/>
        </w:rPr>
        <w:fldChar w:fldCharType="end"/>
      </w:r>
      <w:r w:rsidRPr="008C6DC8">
        <w:rPr>
          <w:rStyle w:val="AERbody"/>
        </w:rPr>
        <w:t>,</w:t>
      </w:r>
      <w:proofErr w:type="gramEnd"/>
      <w:r w:rsidRPr="008C6DC8">
        <w:rPr>
          <w:rStyle w:val="AERbody"/>
        </w:rPr>
        <w:t xml:space="preserve"> we </w:t>
      </w:r>
      <w:r w:rsidR="00A25056">
        <w:rPr>
          <w:rStyle w:val="AERbody"/>
        </w:rPr>
        <w:t xml:space="preserve">had regard to </w:t>
      </w:r>
      <w:r w:rsidRPr="008C6DC8">
        <w:rPr>
          <w:rStyle w:val="AERbody"/>
        </w:rPr>
        <w:t xml:space="preserve">the capex factors when assessing </w:t>
      </w:r>
      <w:r>
        <w:rPr>
          <w:rStyle w:val="AERbody"/>
        </w:rPr>
        <w:t>Powerlink's</w:t>
      </w:r>
      <w:r w:rsidRPr="008C6DC8">
        <w:rPr>
          <w:rStyle w:val="AERbody"/>
        </w:rPr>
        <w:t xml:space="preserve"> total capex forecast.</w:t>
      </w:r>
      <w:r w:rsidRPr="00827169">
        <w:rPr>
          <w:rStyle w:val="FootnoteReference"/>
        </w:rPr>
        <w:footnoteReference w:id="61"/>
      </w:r>
      <w:r w:rsidRPr="008C6DC8">
        <w:rPr>
          <w:rStyle w:val="AERbody"/>
        </w:rPr>
        <w:t xml:space="preserve"> </w:t>
      </w:r>
      <w:r w:rsidRPr="008C6DC8">
        <w:rPr>
          <w:rStyle w:val="AERbody"/>
        </w:rPr>
        <w:fldChar w:fldCharType="begin"/>
      </w:r>
      <w:r w:rsidRPr="008C6DC8">
        <w:rPr>
          <w:rStyle w:val="AERbody"/>
        </w:rPr>
        <w:instrText xml:space="preserve"> REF _Ref403666738 \h  \* MERGEFORMAT </w:instrText>
      </w:r>
      <w:r w:rsidRPr="008C6DC8">
        <w:rPr>
          <w:rStyle w:val="AERbody"/>
        </w:rPr>
      </w:r>
      <w:r w:rsidRPr="008C6DC8">
        <w:rPr>
          <w:rStyle w:val="AERbody"/>
        </w:rPr>
        <w:fldChar w:fldCharType="separate"/>
      </w:r>
      <w:r w:rsidR="005252EC" w:rsidRPr="005252EC">
        <w:rPr>
          <w:rStyle w:val="AERbody"/>
        </w:rPr>
        <w:t>Table 6.6</w:t>
      </w:r>
      <w:r w:rsidRPr="008C6DC8">
        <w:rPr>
          <w:rStyle w:val="AERbody"/>
        </w:rPr>
        <w:fldChar w:fldCharType="end"/>
      </w:r>
      <w:r w:rsidRPr="008C6DC8">
        <w:rPr>
          <w:rStyle w:val="AERbody"/>
        </w:rPr>
        <w:t xml:space="preserve"> summarises how we have </w:t>
      </w:r>
      <w:r w:rsidR="00A25056">
        <w:rPr>
          <w:rStyle w:val="AERbody"/>
        </w:rPr>
        <w:t>had regard to</w:t>
      </w:r>
      <w:r w:rsidRPr="008C6DC8">
        <w:rPr>
          <w:rStyle w:val="AERbody"/>
        </w:rPr>
        <w:t xml:space="preserve"> the capex factors. </w:t>
      </w:r>
    </w:p>
    <w:p w:rsidR="008C7B59" w:rsidRPr="008C6DC8" w:rsidRDefault="008C7B59" w:rsidP="008C7B59">
      <w:pPr>
        <w:pStyle w:val="Charttitle"/>
      </w:pPr>
      <w:bookmarkStart w:id="167" w:name="_Ref403666738"/>
      <w:proofErr w:type="gramStart"/>
      <w:r w:rsidRPr="008C6DC8">
        <w:t xml:space="preserve">Table </w:t>
      </w:r>
      <w:fldSimple w:instr=" STYLEREF 1 \s ">
        <w:r w:rsidR="005252EC">
          <w:rPr>
            <w:noProof/>
          </w:rPr>
          <w:t>6</w:t>
        </w:r>
      </w:fldSimple>
      <w:r w:rsidR="00250D0F">
        <w:t>.</w:t>
      </w:r>
      <w:proofErr w:type="gramEnd"/>
      <w:r w:rsidR="005252EC">
        <w:fldChar w:fldCharType="begin"/>
      </w:r>
      <w:r w:rsidR="005252EC">
        <w:instrText xml:space="preserve"> SEQ Table \* ARABIC \s 1 </w:instrText>
      </w:r>
      <w:r w:rsidR="005252EC">
        <w:fldChar w:fldCharType="separate"/>
      </w:r>
      <w:r w:rsidR="005252EC">
        <w:rPr>
          <w:noProof/>
        </w:rPr>
        <w:t>6</w:t>
      </w:r>
      <w:r w:rsidR="005252EC">
        <w:rPr>
          <w:noProof/>
        </w:rPr>
        <w:fldChar w:fldCharType="end"/>
      </w:r>
      <w:bookmarkEnd w:id="167"/>
      <w:r w:rsidRPr="008C6DC8">
        <w:tab/>
        <w:t>AER consideration of the capex factors</w:t>
      </w:r>
    </w:p>
    <w:tbl>
      <w:tblPr>
        <w:tblStyle w:val="AERtable-text0"/>
        <w:tblW w:w="8755" w:type="dxa"/>
        <w:tblLook w:val="04A0" w:firstRow="1" w:lastRow="0" w:firstColumn="1" w:lastColumn="0" w:noHBand="0" w:noVBand="1"/>
      </w:tblPr>
      <w:tblGrid>
        <w:gridCol w:w="3860"/>
        <w:gridCol w:w="4895"/>
      </w:tblGrid>
      <w:tr w:rsidR="008C7B59" w:rsidRPr="005531F2" w:rsidTr="00972028">
        <w:trPr>
          <w:cnfStyle w:val="100000000000" w:firstRow="1" w:lastRow="0" w:firstColumn="0" w:lastColumn="0" w:oddVBand="0" w:evenVBand="0" w:oddHBand="0" w:evenHBand="0" w:firstRowFirstColumn="0" w:firstRowLastColumn="0" w:lastRowFirstColumn="0" w:lastRowLastColumn="0"/>
          <w:tblHeader/>
        </w:trPr>
        <w:tc>
          <w:tcPr>
            <w:tcW w:w="3860" w:type="dxa"/>
            <w:hideMark/>
          </w:tcPr>
          <w:p w:rsidR="008C7B59" w:rsidRPr="008C7B59" w:rsidRDefault="008C7B59" w:rsidP="008C7B59">
            <w:r w:rsidRPr="008C6DC8">
              <w:t>Capex factor</w:t>
            </w:r>
          </w:p>
        </w:tc>
        <w:tc>
          <w:tcPr>
            <w:tcW w:w="4895" w:type="dxa"/>
            <w:hideMark/>
          </w:tcPr>
          <w:p w:rsidR="008C7B59" w:rsidRPr="008C7B59" w:rsidRDefault="008C7B59" w:rsidP="008C7B59">
            <w:r w:rsidRPr="008C6DC8">
              <w:t>AER consideration</w:t>
            </w:r>
          </w:p>
        </w:tc>
      </w:tr>
      <w:tr w:rsidR="008C7B59" w:rsidRPr="005531F2" w:rsidTr="00972028">
        <w:tc>
          <w:tcPr>
            <w:tcW w:w="3860" w:type="dxa"/>
            <w:hideMark/>
          </w:tcPr>
          <w:p w:rsidR="008C7B59" w:rsidRPr="008C7B59" w:rsidRDefault="008C7B59" w:rsidP="008C7B59">
            <w:r w:rsidRPr="008C6DC8">
              <w:t xml:space="preserve">The most recent annual benchmarking report and benchmarking capex that would be incurred by an </w:t>
            </w:r>
            <w:r w:rsidRPr="008C7B59">
              <w:t>efficient distributor over the relevant regulatory control period</w:t>
            </w:r>
          </w:p>
        </w:tc>
        <w:tc>
          <w:tcPr>
            <w:tcW w:w="4895" w:type="dxa"/>
          </w:tcPr>
          <w:p w:rsidR="008C7B59" w:rsidRPr="008C7B59" w:rsidRDefault="008C7B59" w:rsidP="008C7B59">
            <w:r w:rsidRPr="008C6DC8">
              <w:t xml:space="preserve">We had regard to our most recent benchmarking report in assessing </w:t>
            </w:r>
            <w:r w:rsidRPr="008C7B59">
              <w:t xml:space="preserve">Powerlink's proposed total forecast for the 2017–22 regulatory control </w:t>
            </w:r>
            <w:proofErr w:type="gramStart"/>
            <w:r w:rsidRPr="008C7B59">
              <w:t>period</w:t>
            </w:r>
            <w:proofErr w:type="gramEnd"/>
            <w:r w:rsidRPr="008C7B59">
              <w:t>. This can be seen in the metrics we used in our assessment of Powerlink's capex performance</w:t>
            </w:r>
            <w:r w:rsidR="005648CD">
              <w:t xml:space="preserve"> in section </w:t>
            </w:r>
            <w:fldSimple w:instr=" REF _Ref461806383 \r ">
              <w:r w:rsidR="005252EC">
                <w:t>6.4.4</w:t>
              </w:r>
            </w:fldSimple>
            <w:r w:rsidRPr="008C7B59">
              <w:t>.</w:t>
            </w:r>
          </w:p>
        </w:tc>
      </w:tr>
      <w:tr w:rsidR="008C7B59" w:rsidRPr="005531F2" w:rsidTr="00972028">
        <w:trPr>
          <w:cnfStyle w:val="000000010000" w:firstRow="0" w:lastRow="0" w:firstColumn="0" w:lastColumn="0" w:oddVBand="0" w:evenVBand="0" w:oddHBand="0" w:evenHBand="1" w:firstRowFirstColumn="0" w:firstRowLastColumn="0" w:lastRowFirstColumn="0" w:lastRowLastColumn="0"/>
        </w:trPr>
        <w:tc>
          <w:tcPr>
            <w:tcW w:w="3860" w:type="dxa"/>
            <w:hideMark/>
          </w:tcPr>
          <w:p w:rsidR="008C7B59" w:rsidRPr="008C7B59" w:rsidRDefault="008C7B59" w:rsidP="008C7B59">
            <w:r w:rsidRPr="008C6DC8">
              <w:t xml:space="preserve">The actual and expected capex of </w:t>
            </w:r>
            <w:r w:rsidRPr="008C7B59">
              <w:t xml:space="preserve">Powerlink during </w:t>
            </w:r>
            <w:r w:rsidRPr="008C7B59">
              <w:lastRenderedPageBreak/>
              <w:t>any preceding regulatory control periods</w:t>
            </w:r>
          </w:p>
        </w:tc>
        <w:tc>
          <w:tcPr>
            <w:tcW w:w="4895" w:type="dxa"/>
          </w:tcPr>
          <w:p w:rsidR="008C7B59" w:rsidRPr="008C7B59" w:rsidRDefault="008C7B59" w:rsidP="008C7B59">
            <w:r w:rsidRPr="008C6DC8">
              <w:lastRenderedPageBreak/>
              <w:t xml:space="preserve">We had regard to </w:t>
            </w:r>
            <w:r w:rsidRPr="008C7B59">
              <w:t xml:space="preserve">Powerlink's actual and expected capex during </w:t>
            </w:r>
            <w:r w:rsidRPr="008C7B59">
              <w:lastRenderedPageBreak/>
              <w:t xml:space="preserve">the 2012–17 regulatory control period and preceding regulatory control periods in assessing its proposed total forecast. </w:t>
            </w:r>
          </w:p>
          <w:p w:rsidR="008C7B59" w:rsidRPr="008C7B59" w:rsidRDefault="008C7B59" w:rsidP="008C7B59">
            <w:r w:rsidRPr="008C6DC8">
              <w:t xml:space="preserve">This can be seen in our assessment of </w:t>
            </w:r>
            <w:r w:rsidRPr="008C7B59">
              <w:t xml:space="preserve">Powerlink's capex performance. It can also be seen in our assessment of the forecast capex associated with the capex drivers and programs that underlie Powerlink's total forecast capex. </w:t>
            </w:r>
          </w:p>
        </w:tc>
      </w:tr>
      <w:tr w:rsidR="008C7B59" w:rsidRPr="005531F2" w:rsidTr="00972028">
        <w:tc>
          <w:tcPr>
            <w:tcW w:w="3860" w:type="dxa"/>
            <w:hideMark/>
          </w:tcPr>
          <w:p w:rsidR="008C7B59" w:rsidRPr="008C7B59" w:rsidRDefault="008C7B59" w:rsidP="008C7B59">
            <w:r w:rsidRPr="008C6DC8">
              <w:lastRenderedPageBreak/>
              <w:t xml:space="preserve">The extent to which the capex forecast includes expenditure to address concerns of electricity consumers as identified by </w:t>
            </w:r>
            <w:r w:rsidRPr="008C7B59">
              <w:t>Powerlink in the course of its engagement with electricity consumers</w:t>
            </w:r>
          </w:p>
        </w:tc>
        <w:tc>
          <w:tcPr>
            <w:tcW w:w="4895" w:type="dxa"/>
          </w:tcPr>
          <w:p w:rsidR="008C7B59" w:rsidRPr="008C7B59" w:rsidRDefault="008C7B59" w:rsidP="008C7B59">
            <w:pPr>
              <w:rPr>
                <w:rStyle w:val="AERtexthighlight"/>
              </w:rPr>
            </w:pPr>
            <w:r>
              <w:t xml:space="preserve">We had regard to the extent to which </w:t>
            </w:r>
            <w:r w:rsidRPr="008C7B59">
              <w:t>Powerlink engaged with customers in its approach to forecasting capex.  Powerlink has established its Customer and Consumer Panel in May 2015, to meet on a quarterly basis to provide a face-to-face forum for stakeholders to provide their input to Powerlink decision making processes and methodologies.</w:t>
            </w:r>
            <w:r w:rsidRPr="008C7B59">
              <w:rPr>
                <w:rStyle w:val="FootnoteReference"/>
              </w:rPr>
              <w:footnoteReference w:id="62"/>
            </w:r>
            <w:r w:rsidRPr="008C7B59">
              <w:t xml:space="preserve"> </w:t>
            </w:r>
          </w:p>
        </w:tc>
      </w:tr>
      <w:tr w:rsidR="008C7B59" w:rsidRPr="005531F2" w:rsidTr="00972028">
        <w:trPr>
          <w:cnfStyle w:val="000000010000" w:firstRow="0" w:lastRow="0" w:firstColumn="0" w:lastColumn="0" w:oddVBand="0" w:evenVBand="0" w:oddHBand="0" w:evenHBand="1" w:firstRowFirstColumn="0" w:firstRowLastColumn="0" w:lastRowFirstColumn="0" w:lastRowLastColumn="0"/>
        </w:trPr>
        <w:tc>
          <w:tcPr>
            <w:tcW w:w="3860" w:type="dxa"/>
          </w:tcPr>
          <w:p w:rsidR="008C7B59" w:rsidRPr="008C7B59" w:rsidRDefault="008C7B59" w:rsidP="008C7B59">
            <w:r w:rsidRPr="008C6DC8">
              <w:t>The relative prices of operating and capital inputs</w:t>
            </w:r>
          </w:p>
        </w:tc>
        <w:tc>
          <w:tcPr>
            <w:tcW w:w="4895" w:type="dxa"/>
          </w:tcPr>
          <w:p w:rsidR="008C7B59" w:rsidRPr="008C7B59" w:rsidRDefault="008C7B59" w:rsidP="008C7B59">
            <w:r w:rsidRPr="008C6DC8">
              <w:t xml:space="preserve">We had regard to the relative prices of operating and capital inputs in assessing </w:t>
            </w:r>
            <w:r w:rsidRPr="008C7B59">
              <w:t>Powerlink's proposed real cost escalation factors. In particular, we have accepted Powerlink's proposed cost escalation for labour</w:t>
            </w:r>
            <w:r w:rsidR="005648CD">
              <w:t xml:space="preserve"> as applied to forecast capex</w:t>
            </w:r>
            <w:r w:rsidRPr="008C7B59">
              <w:t>.</w:t>
            </w:r>
          </w:p>
        </w:tc>
      </w:tr>
      <w:tr w:rsidR="008C7B59" w:rsidRPr="005531F2" w:rsidTr="00972028">
        <w:tc>
          <w:tcPr>
            <w:tcW w:w="3860" w:type="dxa"/>
            <w:hideMark/>
          </w:tcPr>
          <w:p w:rsidR="008C7B59" w:rsidRPr="008C7B59" w:rsidRDefault="008C7B59" w:rsidP="008C7B59">
            <w:r w:rsidRPr="008C6DC8">
              <w:t>The substitution possibilities between operating and capital expenditure</w:t>
            </w:r>
          </w:p>
        </w:tc>
        <w:tc>
          <w:tcPr>
            <w:tcW w:w="4895" w:type="dxa"/>
          </w:tcPr>
          <w:p w:rsidR="008C7B59" w:rsidRPr="008C7B59" w:rsidRDefault="008C7B59" w:rsidP="008C7B59">
            <w:r w:rsidRPr="008C6DC8">
              <w:t xml:space="preserve">We had regard to the substitution possibilities between opex and </w:t>
            </w:r>
            <w:r w:rsidRPr="008C7B59">
              <w:t xml:space="preserve">capex. We considered whether there are more efficient and prudent trade-offs in investing more or less in capital in place of ongoing operations. See our discussion about the interrelationships between Powerlink's total forecast capex and total forecast opex in </w:t>
            </w:r>
            <w:r w:rsidRPr="008C7B59">
              <w:fldChar w:fldCharType="begin"/>
            </w:r>
            <w:r w:rsidRPr="008C7B59">
              <w:instrText xml:space="preserve"> REF _Ref453680679 \h </w:instrText>
            </w:r>
            <w:r w:rsidRPr="008C7B59">
              <w:fldChar w:fldCharType="separate"/>
            </w:r>
            <w:r w:rsidR="005252EC">
              <w:t xml:space="preserve">Table </w:t>
            </w:r>
            <w:r w:rsidR="005252EC">
              <w:rPr>
                <w:noProof/>
              </w:rPr>
              <w:t>6</w:t>
            </w:r>
            <w:r w:rsidR="005252EC">
              <w:t>.</w:t>
            </w:r>
            <w:r w:rsidR="005252EC">
              <w:rPr>
                <w:noProof/>
              </w:rPr>
              <w:t>4</w:t>
            </w:r>
            <w:r w:rsidRPr="008C7B59">
              <w:fldChar w:fldCharType="end"/>
            </w:r>
            <w:r w:rsidRPr="008C7B59">
              <w:t xml:space="preserve"> above.</w:t>
            </w:r>
          </w:p>
        </w:tc>
      </w:tr>
      <w:tr w:rsidR="008C7B59" w:rsidRPr="005531F2" w:rsidTr="00972028">
        <w:trPr>
          <w:cnfStyle w:val="000000010000" w:firstRow="0" w:lastRow="0" w:firstColumn="0" w:lastColumn="0" w:oddVBand="0" w:evenVBand="0" w:oddHBand="0" w:evenHBand="1" w:firstRowFirstColumn="0" w:firstRowLastColumn="0" w:lastRowFirstColumn="0" w:lastRowLastColumn="0"/>
        </w:trPr>
        <w:tc>
          <w:tcPr>
            <w:tcW w:w="3860" w:type="dxa"/>
            <w:hideMark/>
          </w:tcPr>
          <w:p w:rsidR="008C7B59" w:rsidRPr="008C7B59" w:rsidRDefault="008C7B59" w:rsidP="008C7B59">
            <w:r w:rsidRPr="008C6DC8">
              <w:t xml:space="preserve">Whether the capex forecast is consistent with any incentive scheme or schemes that apply to </w:t>
            </w:r>
            <w:r w:rsidRPr="008C7B59">
              <w:t>Powerlink</w:t>
            </w:r>
          </w:p>
        </w:tc>
        <w:tc>
          <w:tcPr>
            <w:tcW w:w="4895" w:type="dxa"/>
          </w:tcPr>
          <w:p w:rsidR="008C7B59" w:rsidRPr="008C7B59" w:rsidRDefault="008C7B59" w:rsidP="008C7B59">
            <w:r w:rsidRPr="008C6DC8">
              <w:t xml:space="preserve">We had regard to whether </w:t>
            </w:r>
            <w:r w:rsidRPr="008C7B59">
              <w:t xml:space="preserve">Powerlink's proposed total forecast capex is consistent with the CESS and the STPIS. See our discussion about the interrelationships between Powerlink's total forecast capex and the application of the CESS and the STPIS in </w:t>
            </w:r>
            <w:fldSimple w:instr=" REF _Ref453680679 ">
              <w:r w:rsidR="005252EC">
                <w:t xml:space="preserve">Table </w:t>
              </w:r>
              <w:r w:rsidR="005252EC">
                <w:rPr>
                  <w:noProof/>
                </w:rPr>
                <w:t>6</w:t>
              </w:r>
              <w:r w:rsidR="005252EC">
                <w:t>.</w:t>
              </w:r>
              <w:r w:rsidR="005252EC">
                <w:rPr>
                  <w:noProof/>
                </w:rPr>
                <w:t>4</w:t>
              </w:r>
            </w:fldSimple>
            <w:r w:rsidRPr="008C7B59">
              <w:t xml:space="preserve"> above.</w:t>
            </w:r>
          </w:p>
        </w:tc>
      </w:tr>
      <w:tr w:rsidR="008C7B59" w:rsidRPr="005531F2" w:rsidTr="00972028">
        <w:tc>
          <w:tcPr>
            <w:tcW w:w="3860" w:type="dxa"/>
            <w:hideMark/>
          </w:tcPr>
          <w:p w:rsidR="008C7B59" w:rsidRPr="008C7B59" w:rsidRDefault="008C7B59" w:rsidP="008C7B59">
            <w:r w:rsidRPr="008C6DC8">
              <w:t xml:space="preserve">The </w:t>
            </w:r>
            <w:r w:rsidRPr="008C7B59">
              <w:t>extent to which the capex forecast is referrable to arrangements with a person other than the service provider  that do not reflect arm's length terms</w:t>
            </w:r>
          </w:p>
        </w:tc>
        <w:tc>
          <w:tcPr>
            <w:tcW w:w="4895" w:type="dxa"/>
          </w:tcPr>
          <w:p w:rsidR="008C7B59" w:rsidRPr="008C7B59" w:rsidRDefault="008C7B59" w:rsidP="008C7B59">
            <w:pPr>
              <w:rPr>
                <w:rStyle w:val="AERtexthighlight"/>
              </w:rPr>
            </w:pPr>
            <w:r w:rsidRPr="008C6DC8">
              <w:t xml:space="preserve">We had regard to whether any part of </w:t>
            </w:r>
            <w:r w:rsidRPr="008C7B59">
              <w:t>Powerlink's proposed total forecast capex or our alternative estimate is referrable to arrangements with a person other than Powerlink that do not reflect arm's length terms. Based on the information provided by Powerlink we are satisfied that the capex forecast is based on arrangements that reflect arm's length terms.</w:t>
            </w:r>
          </w:p>
        </w:tc>
      </w:tr>
      <w:tr w:rsidR="008C7B59" w:rsidRPr="005531F2" w:rsidTr="00972028">
        <w:trPr>
          <w:cnfStyle w:val="000000010000" w:firstRow="0" w:lastRow="0" w:firstColumn="0" w:lastColumn="0" w:oddVBand="0" w:evenVBand="0" w:oddHBand="0" w:evenHBand="1" w:firstRowFirstColumn="0" w:firstRowLastColumn="0" w:lastRowFirstColumn="0" w:lastRowLastColumn="0"/>
        </w:trPr>
        <w:tc>
          <w:tcPr>
            <w:tcW w:w="3860" w:type="dxa"/>
            <w:hideMark/>
          </w:tcPr>
          <w:p w:rsidR="008C7B59" w:rsidRPr="008C7B59" w:rsidRDefault="008C7B59" w:rsidP="008C7B59">
            <w:r w:rsidRPr="008C6DC8">
              <w:t>Whether the capex forecast includes an amount relating to a project that should more appropriately be included as a contingent project</w:t>
            </w:r>
          </w:p>
        </w:tc>
        <w:tc>
          <w:tcPr>
            <w:tcW w:w="4895" w:type="dxa"/>
          </w:tcPr>
          <w:p w:rsidR="008C7B59" w:rsidRPr="008C7B59" w:rsidRDefault="008C7B59" w:rsidP="008C7B59">
            <w:pPr>
              <w:rPr>
                <w:rStyle w:val="AERtexthighlight"/>
              </w:rPr>
            </w:pPr>
            <w:r w:rsidRPr="008C6DC8">
              <w:t xml:space="preserve">We had regard to whether any amount of </w:t>
            </w:r>
            <w:r w:rsidRPr="008C7B59">
              <w:t xml:space="preserve">Powerlink's proposed total forecast capex or our alternative estimate relates to a project that should more appropriately be included as a contingent project. We did not identify any such amounts that should more appropriately be included as a contingent project. </w:t>
            </w:r>
          </w:p>
        </w:tc>
      </w:tr>
      <w:tr w:rsidR="008C7B59" w:rsidRPr="005531F2" w:rsidTr="00972028">
        <w:tc>
          <w:tcPr>
            <w:tcW w:w="3860" w:type="dxa"/>
          </w:tcPr>
          <w:p w:rsidR="008C7B59" w:rsidRPr="008C7B59" w:rsidRDefault="008C7B59" w:rsidP="008C7B59">
            <w:r>
              <w:t xml:space="preserve">The most recent </w:t>
            </w:r>
            <w:r w:rsidRPr="008C7B59">
              <w:t>National Transmission Network Development Plan (NTNDP), and any submissions made by AEMO, in accordance with the Rules, on the forecast of Powerlink's required capex</w:t>
            </w:r>
          </w:p>
        </w:tc>
        <w:tc>
          <w:tcPr>
            <w:tcW w:w="4895" w:type="dxa"/>
          </w:tcPr>
          <w:p w:rsidR="008C7B59" w:rsidRPr="008C7B59" w:rsidRDefault="008C7B59" w:rsidP="005648CD">
            <w:r>
              <w:t xml:space="preserve">We have taken into account the most recent </w:t>
            </w:r>
            <w:r w:rsidRPr="008C7B59">
              <w:t xml:space="preserve">NTNDP in assessing Powerlink's forecast capex. AEMO did not make a submission on Powerlink's capex proposal in this instance.  </w:t>
            </w:r>
          </w:p>
        </w:tc>
      </w:tr>
      <w:tr w:rsidR="008C7B59" w:rsidRPr="005531F2" w:rsidTr="00972028">
        <w:trPr>
          <w:cnfStyle w:val="000000010000" w:firstRow="0" w:lastRow="0" w:firstColumn="0" w:lastColumn="0" w:oddVBand="0" w:evenVBand="0" w:oddHBand="0" w:evenHBand="1" w:firstRowFirstColumn="0" w:firstRowLastColumn="0" w:lastRowFirstColumn="0" w:lastRowLastColumn="0"/>
        </w:trPr>
        <w:tc>
          <w:tcPr>
            <w:tcW w:w="3860" w:type="dxa"/>
          </w:tcPr>
          <w:p w:rsidR="008C7B59" w:rsidRPr="008C7B59" w:rsidRDefault="008C7B59" w:rsidP="008C7B59">
            <w:r w:rsidRPr="008C6DC8">
              <w:t xml:space="preserve">The extent to which </w:t>
            </w:r>
            <w:r w:rsidRPr="008C7B59">
              <w:t>Powerlink has considered and made provision for efficient and prudent non-network alternatives</w:t>
            </w:r>
          </w:p>
        </w:tc>
        <w:tc>
          <w:tcPr>
            <w:tcW w:w="4895" w:type="dxa"/>
          </w:tcPr>
          <w:p w:rsidR="008C7B59" w:rsidRPr="008C7B59" w:rsidRDefault="008C7B59" w:rsidP="008C7B59">
            <w:r>
              <w:t>We have had regard to the ext</w:t>
            </w:r>
            <w:r w:rsidRPr="008C7B59">
              <w:t xml:space="preserve">ent to which Powerlink made provision for efficient and prudent non-network alternatives. Powerlink makes provision for non-network alternatives in its asset reinvestment planning. See appendix B. </w:t>
            </w:r>
          </w:p>
        </w:tc>
      </w:tr>
      <w:tr w:rsidR="008C7B59" w:rsidRPr="005531F2" w:rsidTr="00972028">
        <w:tc>
          <w:tcPr>
            <w:tcW w:w="3860" w:type="dxa"/>
          </w:tcPr>
          <w:p w:rsidR="008C7B59" w:rsidRPr="008C7B59" w:rsidRDefault="008C7B59" w:rsidP="008C7B59">
            <w:r>
              <w:t>Any relevant project assessment conclusions report required under clause 5.</w:t>
            </w:r>
            <w:r w:rsidRPr="008C7B59">
              <w:t>16 of the NER</w:t>
            </w:r>
          </w:p>
        </w:tc>
        <w:tc>
          <w:tcPr>
            <w:tcW w:w="4895" w:type="dxa"/>
          </w:tcPr>
          <w:p w:rsidR="008C7B59" w:rsidRPr="008C7B59" w:rsidRDefault="008C7B59" w:rsidP="008C7B59">
            <w:r>
              <w:t xml:space="preserve">We have had regard to the extent to which Powerlink made project assessment conclusions under clause 5.16 of the NER. </w:t>
            </w:r>
            <w:r>
              <w:lastRenderedPageBreak/>
              <w:t xml:space="preserve">See appendix B. </w:t>
            </w:r>
          </w:p>
        </w:tc>
      </w:tr>
      <w:tr w:rsidR="008C7B59" w:rsidRPr="005531F2" w:rsidTr="00972028">
        <w:trPr>
          <w:cnfStyle w:val="000000010000" w:firstRow="0" w:lastRow="0" w:firstColumn="0" w:lastColumn="0" w:oddVBand="0" w:evenVBand="0" w:oddHBand="0" w:evenHBand="1" w:firstRowFirstColumn="0" w:firstRowLastColumn="0" w:lastRowFirstColumn="0" w:lastRowLastColumn="0"/>
        </w:trPr>
        <w:tc>
          <w:tcPr>
            <w:tcW w:w="3860" w:type="dxa"/>
            <w:hideMark/>
          </w:tcPr>
          <w:p w:rsidR="008C7B59" w:rsidRPr="008C7B59" w:rsidRDefault="008C7B59" w:rsidP="008C7B59">
            <w:r w:rsidRPr="008C6DC8">
              <w:lastRenderedPageBreak/>
              <w:t xml:space="preserve">Any other factor the AER </w:t>
            </w:r>
            <w:r w:rsidRPr="008C7B59">
              <w:t>considers relevant and which the AER has notified Powerlink in writing, prior to the submission of its revenue proposal, is a capex factor</w:t>
            </w:r>
          </w:p>
        </w:tc>
        <w:tc>
          <w:tcPr>
            <w:tcW w:w="4895" w:type="dxa"/>
          </w:tcPr>
          <w:p w:rsidR="008C7B59" w:rsidRPr="008C7B59" w:rsidRDefault="008C7B59" w:rsidP="008C7B59">
            <w:r w:rsidRPr="008C6DC8">
              <w:t>We did not identify any other capex factor that we consider relevant.</w:t>
            </w:r>
          </w:p>
        </w:tc>
      </w:tr>
    </w:tbl>
    <w:p w:rsidR="008C7B59" w:rsidRPr="001B500B" w:rsidRDefault="008C7B59" w:rsidP="008C7B59">
      <w:pPr>
        <w:pStyle w:val="AERtablesource"/>
      </w:pPr>
      <w:r w:rsidRPr="008C6DC8">
        <w:t xml:space="preserve">Source: </w:t>
      </w:r>
      <w:r w:rsidRPr="008C6DC8">
        <w:tab/>
        <w:t>AER analysis.</w:t>
      </w:r>
      <w:r>
        <w:br w:type="page"/>
      </w:r>
    </w:p>
    <w:p w:rsidR="00132D43" w:rsidRDefault="008C7B59" w:rsidP="008C7B59">
      <w:pPr>
        <w:pStyle w:val="Heading7"/>
      </w:pPr>
      <w:bookmarkStart w:id="168" w:name="_Toc460321515"/>
      <w:bookmarkStart w:id="169" w:name="_Ref461112548"/>
      <w:bookmarkStart w:id="170" w:name="_Toc462752297"/>
      <w:r>
        <w:lastRenderedPageBreak/>
        <w:t>A</w:t>
      </w:r>
      <w:r w:rsidRPr="00A52F7E">
        <w:t>ssessment</w:t>
      </w:r>
      <w:r>
        <w:t xml:space="preserve"> techniques</w:t>
      </w:r>
      <w:bookmarkEnd w:id="168"/>
      <w:bookmarkEnd w:id="169"/>
      <w:bookmarkEnd w:id="170"/>
    </w:p>
    <w:p w:rsidR="008C7B59" w:rsidRPr="00547456" w:rsidRDefault="008C7B59" w:rsidP="008C7B59">
      <w:pPr>
        <w:numPr>
          <w:ilvl w:val="0"/>
          <w:numId w:val="24"/>
        </w:numPr>
      </w:pPr>
      <w:r w:rsidRPr="00547456">
        <w:t xml:space="preserve">This Appendix describes the assessment approaches we have applied in assessing </w:t>
      </w:r>
      <w:r>
        <w:t>Powerlink's</w:t>
      </w:r>
      <w:r w:rsidRPr="00547456">
        <w:t xml:space="preserve"> proposed forecast capex.  The extent to which we rely on each of the asses</w:t>
      </w:r>
      <w:r>
        <w:t>sment techniques is set out in a</w:t>
      </w:r>
      <w:r w:rsidRPr="00547456">
        <w:t xml:space="preserve">ppendix </w:t>
      </w:r>
      <w:r>
        <w:t>B</w:t>
      </w:r>
      <w:r w:rsidRPr="00547456">
        <w:t>.</w:t>
      </w:r>
    </w:p>
    <w:p w:rsidR="008C7B59" w:rsidRPr="00547456" w:rsidRDefault="008C7B59" w:rsidP="008C7B59">
      <w:pPr>
        <w:numPr>
          <w:ilvl w:val="0"/>
          <w:numId w:val="24"/>
        </w:numPr>
      </w:pPr>
      <w:r w:rsidRPr="00547456">
        <w:t>The assessment techniques that we apply in capex are necessarily different from those we apply in the assessment of opex. This is reflective of differences in the nature of the expenditure being assessed. As such, we use some assessment techniques in our capex assessment that are not suitable for assessing opex and vice versa. We set this out in our Expenditure Guideline, where we stated:</w:t>
      </w:r>
      <w:r w:rsidRPr="00547456">
        <w:rPr>
          <w:rStyle w:val="FootnoteReference"/>
        </w:rPr>
        <w:footnoteReference w:id="63"/>
      </w:r>
    </w:p>
    <w:p w:rsidR="008C7B59" w:rsidRDefault="008C7B59" w:rsidP="008C7B59">
      <w:pPr>
        <w:pStyle w:val="AERquote"/>
      </w:pPr>
      <w:r w:rsidRPr="001C00D7">
        <w:t>Past actual expenditure may not be an appropriate starting point for capex given it is largely non-recurrent or 'lumpy', and so past expenditures or work volumes may not be indicative of future volumes. For non-recurrent expenditure, we will attempt to normalise for work volumes and examine per unit costs (including through benchmarking across TNSPs) when forming a view on forecast unit costs.</w:t>
      </w:r>
    </w:p>
    <w:p w:rsidR="008C7B59" w:rsidRPr="001C00D7" w:rsidRDefault="008C7B59" w:rsidP="008C7B59">
      <w:pPr>
        <w:pStyle w:val="AERquote"/>
      </w:pPr>
      <w:r w:rsidRPr="001C00D7">
        <w:t>Other drivers of capex (such as replacement expenditure and connections works) may be recurrent. For such expenditure, we will attempt to identify trends in revealed volumes and costs as an indicator of forecast requirements.</w:t>
      </w:r>
    </w:p>
    <w:p w:rsidR="008C7B59" w:rsidRPr="00547456" w:rsidRDefault="008C7B59" w:rsidP="008C7B59">
      <w:r w:rsidRPr="00547456">
        <w:t>The assessment techniques that we have used to asse</w:t>
      </w:r>
      <w:r>
        <w:t>s</w:t>
      </w:r>
      <w:r w:rsidRPr="00547456">
        <w:t xml:space="preserve">s </w:t>
      </w:r>
      <w:r>
        <w:t>Powerlink's</w:t>
      </w:r>
      <w:r w:rsidRPr="00547456">
        <w:t xml:space="preserve"> capex are set out below.  </w:t>
      </w:r>
    </w:p>
    <w:p w:rsidR="008C7B59" w:rsidRPr="008C7B59" w:rsidRDefault="008C7B59" w:rsidP="008C7B59">
      <w:pPr>
        <w:pStyle w:val="Heading8"/>
      </w:pPr>
      <w:bookmarkStart w:id="171" w:name="_Toc413855490"/>
      <w:bookmarkStart w:id="172" w:name="_Toc413858637"/>
      <w:bookmarkStart w:id="173" w:name="_Toc417727155"/>
      <w:bookmarkStart w:id="174" w:name="_Toc456608792"/>
      <w:bookmarkStart w:id="175" w:name="_Toc460321516"/>
      <w:bookmarkStart w:id="176" w:name="_Toc462752298"/>
      <w:r w:rsidRPr="00547456">
        <w:t>Economic benchmarking</w:t>
      </w:r>
      <w:bookmarkEnd w:id="171"/>
      <w:bookmarkEnd w:id="172"/>
      <w:bookmarkEnd w:id="173"/>
      <w:bookmarkEnd w:id="174"/>
      <w:bookmarkEnd w:id="175"/>
      <w:bookmarkEnd w:id="176"/>
    </w:p>
    <w:p w:rsidR="008C7B59" w:rsidRPr="00547456" w:rsidRDefault="008C7B59" w:rsidP="008C7B59">
      <w:pPr>
        <w:numPr>
          <w:ilvl w:val="0"/>
          <w:numId w:val="24"/>
        </w:numPr>
      </w:pPr>
      <w:r w:rsidRPr="00547456">
        <w:t>Economic benchmarking is one of the key outputs of our annual benchmarking report. We are required to consider economic benchmarking as it is one of the capex factors under the NER.</w:t>
      </w:r>
      <w:r w:rsidRPr="00547456">
        <w:rPr>
          <w:rStyle w:val="FootnoteReference"/>
        </w:rPr>
        <w:footnoteReference w:id="64"/>
      </w:r>
      <w:r w:rsidRPr="00547456">
        <w:t xml:space="preserve"> Economic benchmarking applies economic theory to measure the efficiency of a service provider's use of inputs to produce outputs, having regard to operating environment factors.</w:t>
      </w:r>
      <w:r w:rsidRPr="00547456">
        <w:rPr>
          <w:rStyle w:val="FootnoteReference"/>
        </w:rPr>
        <w:footnoteReference w:id="65"/>
      </w:r>
      <w:r w:rsidRPr="00547456">
        <w:t xml:space="preserve"> It allows us to compare the performance of a service provider against its own past performance, and the performance of other service providers. Economic benchmarking helps us to assess whether a service provider's capex forecast represents efficient costs.</w:t>
      </w:r>
      <w:r w:rsidRPr="00547456">
        <w:rPr>
          <w:rStyle w:val="FootnoteReference"/>
        </w:rPr>
        <w:footnoteReference w:id="66"/>
      </w:r>
      <w:r w:rsidRPr="00547456">
        <w:t xml:space="preserve"> As stated by the AEMC, 'benchmarking is a critical exercise in assessing the efficiency of a NSP'.</w:t>
      </w:r>
      <w:r w:rsidRPr="00547456">
        <w:rPr>
          <w:rStyle w:val="FootnoteReference"/>
        </w:rPr>
        <w:footnoteReference w:id="67"/>
      </w:r>
      <w:r w:rsidRPr="00547456">
        <w:t xml:space="preserve"> </w:t>
      </w:r>
    </w:p>
    <w:p w:rsidR="008C7B59" w:rsidRPr="00547456" w:rsidRDefault="008C7B59" w:rsidP="008C7B59">
      <w:pPr>
        <w:numPr>
          <w:ilvl w:val="0"/>
          <w:numId w:val="24"/>
        </w:numPr>
      </w:pPr>
      <w:r w:rsidRPr="00547456">
        <w:t xml:space="preserve">A number of economic benchmarks from the annual benchmarking report are relevant to our assessment of capex. These include measures of total cost efficiency and </w:t>
      </w:r>
      <w:r w:rsidRPr="00547456">
        <w:lastRenderedPageBreak/>
        <w:t>overall capex efficiency. In general, these measures calculate a service provider's efficiency with consideration given to its inputs, outputs and its operating environment. We have considered each service provider's operating environment insofar as there are factors that are outside of a NSP's control but which affect a NSP's ability to convert inputs into outputs.</w:t>
      </w:r>
      <w:r w:rsidRPr="00547456">
        <w:rPr>
          <w:rStyle w:val="FootnoteReference"/>
        </w:rPr>
        <w:footnoteReference w:id="68"/>
      </w:r>
      <w:r w:rsidRPr="00547456">
        <w:t xml:space="preserve"> Once such exogenous factors are taken into account, we expect service providers to operate at similar levels of efficiency. One example of an exogenous factor that we have taken into account is customer density. For more on how we have forecast these measures, see our annual benchmarking report.</w:t>
      </w:r>
      <w:r w:rsidRPr="00547456">
        <w:rPr>
          <w:rStyle w:val="FootnoteReference"/>
        </w:rPr>
        <w:footnoteReference w:id="69"/>
      </w:r>
    </w:p>
    <w:p w:rsidR="008C7B59" w:rsidRPr="00547456" w:rsidRDefault="008C7B59" w:rsidP="008C7B59">
      <w:pPr>
        <w:numPr>
          <w:ilvl w:val="0"/>
          <w:numId w:val="24"/>
        </w:numPr>
      </w:pPr>
      <w:r w:rsidRPr="00547456">
        <w:t xml:space="preserve">For the TNSPs we consider this economic benchmarking can give an indication of how the efficiency of each service provider has changed over time. We accept that it is not currently robust enough to draw conclusions about the relative efficiency of these service providers. </w:t>
      </w:r>
    </w:p>
    <w:p w:rsidR="008C7B59" w:rsidRPr="008C7B59" w:rsidRDefault="008C7B59" w:rsidP="008C7B59">
      <w:pPr>
        <w:pStyle w:val="Heading8"/>
      </w:pPr>
      <w:bookmarkStart w:id="177" w:name="_Toc413855491"/>
      <w:bookmarkStart w:id="178" w:name="_Toc413858638"/>
      <w:bookmarkStart w:id="179" w:name="_Toc417727156"/>
      <w:bookmarkStart w:id="180" w:name="_Toc456608793"/>
      <w:bookmarkStart w:id="181" w:name="_Toc460321517"/>
      <w:bookmarkStart w:id="182" w:name="_Toc462752299"/>
      <w:r w:rsidRPr="00547456">
        <w:t>Trend analysis</w:t>
      </w:r>
      <w:bookmarkEnd w:id="177"/>
      <w:bookmarkEnd w:id="178"/>
      <w:bookmarkEnd w:id="179"/>
      <w:bookmarkEnd w:id="180"/>
      <w:bookmarkEnd w:id="181"/>
      <w:bookmarkEnd w:id="182"/>
    </w:p>
    <w:p w:rsidR="008C7B59" w:rsidRPr="00547456" w:rsidRDefault="008C7B59" w:rsidP="008C7B59">
      <w:pPr>
        <w:numPr>
          <w:ilvl w:val="0"/>
          <w:numId w:val="24"/>
        </w:numPr>
      </w:pPr>
      <w:r w:rsidRPr="00547456">
        <w:t>We have considered past trends in actual and forecast capex. This is one of the capex factors that we are required to have regard to.</w:t>
      </w:r>
      <w:r w:rsidRPr="00547456">
        <w:rPr>
          <w:rStyle w:val="FootnoteReference"/>
        </w:rPr>
        <w:footnoteReference w:id="70"/>
      </w:r>
      <w:r w:rsidRPr="00547456">
        <w:t xml:space="preserve"> </w:t>
      </w:r>
    </w:p>
    <w:p w:rsidR="008C7B59" w:rsidRPr="00547456" w:rsidRDefault="008C7B59" w:rsidP="008C7B59">
      <w:pPr>
        <w:numPr>
          <w:ilvl w:val="0"/>
          <w:numId w:val="24"/>
        </w:numPr>
      </w:pPr>
      <w:r w:rsidRPr="00547456">
        <w:t>Trend analysis involves comparing service providers forecast capex and work volumes against historic levels. Where forecast capex and volumes are materially different to historic levels, we have sought to understand what has caused these differences. In doing so, we have considered the reasons given by the service providers in their proposals, as well as changes in the circumstances of the service provider.</w:t>
      </w:r>
    </w:p>
    <w:p w:rsidR="008C7B59" w:rsidRPr="00547456" w:rsidRDefault="008C7B59" w:rsidP="008C7B59">
      <w:pPr>
        <w:numPr>
          <w:ilvl w:val="0"/>
          <w:numId w:val="24"/>
        </w:numPr>
      </w:pPr>
      <w:r w:rsidRPr="00547456">
        <w:t xml:space="preserve">In considering whether a business' capex forecast reasonably reflects the capex criteria, we need to consider whether the forecast will allow the business to </w:t>
      </w:r>
      <w:r>
        <w:t>maintain reliability and safety performance</w:t>
      </w:r>
      <w:r w:rsidRPr="00547456">
        <w:t>, and comply with relevant regulatory obligations.</w:t>
      </w:r>
      <w:r w:rsidRPr="00547456">
        <w:rPr>
          <w:rStyle w:val="FootnoteReference"/>
        </w:rPr>
        <w:footnoteReference w:id="71"/>
      </w:r>
      <w:r w:rsidRPr="00547456">
        <w:t xml:space="preserve"> </w:t>
      </w:r>
      <w:r>
        <w:t xml:space="preserve">The requirement to maintain reliability and safety, including </w:t>
      </w:r>
      <w:r w:rsidRPr="00547456">
        <w:t xml:space="preserve">regulatory obligations (specifically, service standards) are key drivers of capex. More onerous standards will </w:t>
      </w:r>
      <w:r>
        <w:t xml:space="preserve">typically </w:t>
      </w:r>
      <w:r w:rsidRPr="00547456">
        <w:t xml:space="preserve">increase </w:t>
      </w:r>
      <w:proofErr w:type="gramStart"/>
      <w:r w:rsidRPr="00547456">
        <w:t>capex,</w:t>
      </w:r>
      <w:proofErr w:type="gramEnd"/>
      <w:r w:rsidRPr="00547456">
        <w:t xml:space="preserve"> </w:t>
      </w:r>
      <w:r>
        <w:t>c</w:t>
      </w:r>
      <w:r w:rsidRPr="00547456">
        <w:t xml:space="preserve">onversely, reduced service obligations will likely cause a reduction in the amount of capex required by a service provider. </w:t>
      </w:r>
    </w:p>
    <w:p w:rsidR="008C7B59" w:rsidRPr="00547456" w:rsidRDefault="008C7B59" w:rsidP="008C7B59">
      <w:pPr>
        <w:pStyle w:val="ListParagraph"/>
        <w:numPr>
          <w:ilvl w:val="0"/>
          <w:numId w:val="24"/>
        </w:numPr>
      </w:pPr>
      <w:r w:rsidRPr="00547456">
        <w:t xml:space="preserve">Maximum demand is </w:t>
      </w:r>
      <w:r>
        <w:t xml:space="preserve">also </w:t>
      </w:r>
      <w:r w:rsidRPr="00547456">
        <w:t xml:space="preserve">a driver of </w:t>
      </w:r>
      <w:r>
        <w:t>replacement</w:t>
      </w:r>
      <w:r w:rsidRPr="00547456">
        <w:t xml:space="preserve"> expenditure</w:t>
      </w:r>
      <w:r>
        <w:t xml:space="preserve"> as changes in demand will affect the economic value of asset failure</w:t>
      </w:r>
      <w:r w:rsidRPr="00547456">
        <w:t xml:space="preserve">. As </w:t>
      </w:r>
      <w:r>
        <w:t>replacement</w:t>
      </w:r>
      <w:r w:rsidRPr="00547456">
        <w:t xml:space="preserve"> often needs to occur prior to demand growth being realised, forecast rather than actual demand is relevant when a business is deciding what </w:t>
      </w:r>
      <w:r>
        <w:t>replacement</w:t>
      </w:r>
      <w:r w:rsidRPr="00547456">
        <w:t xml:space="preserve"> projects will be required in an upcoming regulatory control period. However, to the extent that revised forecasts differ from the initial demand forecast, a service provider should incorporate this updated information in a timely manner and should reassess the need </w:t>
      </w:r>
      <w:r>
        <w:t>and timing for the projects.</w:t>
      </w:r>
    </w:p>
    <w:p w:rsidR="008C7B59" w:rsidRPr="00547456" w:rsidRDefault="008C7B59" w:rsidP="008C7B59">
      <w:pPr>
        <w:numPr>
          <w:ilvl w:val="0"/>
          <w:numId w:val="24"/>
        </w:numPr>
      </w:pPr>
      <w:r w:rsidRPr="00547456">
        <w:lastRenderedPageBreak/>
        <w:t>For service standards, there is generally a lag between when capex is undertaken (or not) and when the service improves (or declines). This is important in considering the expected impact of an increase or decrease in capex on service levels. It is also relevant to consider when service standards have changed and how this has affected a NSP's capex requirements.</w:t>
      </w:r>
    </w:p>
    <w:p w:rsidR="008C7B59" w:rsidRPr="00547456" w:rsidRDefault="008C7B59" w:rsidP="008C7B59">
      <w:pPr>
        <w:numPr>
          <w:ilvl w:val="0"/>
          <w:numId w:val="24"/>
        </w:numPr>
      </w:pPr>
      <w:r w:rsidRPr="00547456">
        <w:t>We have looked at trends in capex across a range of levels</w:t>
      </w:r>
      <w:r>
        <w:t>,</w:t>
      </w:r>
      <w:r w:rsidRPr="00547456">
        <w:t xml:space="preserve"> including at the total capex level, for replacement </w:t>
      </w:r>
      <w:r>
        <w:t xml:space="preserve">and non-network </w:t>
      </w:r>
      <w:r w:rsidRPr="00547456">
        <w:t>capex</w:t>
      </w:r>
      <w:r>
        <w:t xml:space="preserve">, and categories of replacement </w:t>
      </w:r>
      <w:r w:rsidRPr="00547456">
        <w:t xml:space="preserve">and </w:t>
      </w:r>
      <w:r>
        <w:t>non-network</w:t>
      </w:r>
      <w:r w:rsidRPr="00547456">
        <w:t xml:space="preserve"> </w:t>
      </w:r>
      <w:r>
        <w:t>capex</w:t>
      </w:r>
      <w:r w:rsidRPr="00547456">
        <w:t xml:space="preserve"> as relevant. </w:t>
      </w:r>
    </w:p>
    <w:p w:rsidR="008C7B59" w:rsidRPr="008C7B59" w:rsidRDefault="008C7B59" w:rsidP="008C7B59">
      <w:pPr>
        <w:pStyle w:val="Heading8"/>
      </w:pPr>
      <w:bookmarkStart w:id="183" w:name="_Toc404174174"/>
      <w:bookmarkStart w:id="184" w:name="_Toc417727157"/>
      <w:bookmarkStart w:id="185" w:name="_Toc456608794"/>
      <w:bookmarkStart w:id="186" w:name="_Toc460321518"/>
      <w:bookmarkStart w:id="187" w:name="_Toc462752300"/>
      <w:r>
        <w:t xml:space="preserve">Methodology </w:t>
      </w:r>
      <w:bookmarkEnd w:id="183"/>
      <w:bookmarkEnd w:id="184"/>
      <w:r>
        <w:t>review</w:t>
      </w:r>
      <w:bookmarkEnd w:id="185"/>
      <w:bookmarkEnd w:id="186"/>
      <w:bookmarkEnd w:id="187"/>
    </w:p>
    <w:p w:rsidR="008C7B59" w:rsidRDefault="008C7B59" w:rsidP="008C7B59">
      <w:pPr>
        <w:numPr>
          <w:ilvl w:val="0"/>
          <w:numId w:val="24"/>
        </w:numPr>
      </w:pPr>
      <w:r>
        <w:t xml:space="preserve">We have considered the methodology that Powerlink has used to determine its capex forecasts, including assumptions, inputs and models. </w:t>
      </w:r>
      <w:r w:rsidRPr="00547456">
        <w:t xml:space="preserve">This has involved reviewing </w:t>
      </w:r>
      <w:r>
        <w:t>whether Powerlink's</w:t>
      </w:r>
      <w:r w:rsidRPr="00547456">
        <w:t xml:space="preserve"> </w:t>
      </w:r>
      <w:r>
        <w:t>methodology is a sound basis for developing expenditure forecasts that reasonably reflect the capex criteria.</w:t>
      </w:r>
      <w:r w:rsidRPr="00F9685D">
        <w:rPr>
          <w:rStyle w:val="FootnoteReference"/>
        </w:rPr>
        <w:footnoteReference w:id="72"/>
      </w:r>
    </w:p>
    <w:p w:rsidR="008C7B59" w:rsidRDefault="008C7B59" w:rsidP="008C7B59">
      <w:pPr>
        <w:numPr>
          <w:ilvl w:val="0"/>
          <w:numId w:val="24"/>
        </w:numPr>
      </w:pPr>
      <w:r>
        <w:t>Where we are not satisfied that the forecasting methodology is likely to reasonably reflect prudent and efficient costs, we have adjusted the methodology such that it is a reasonable basis for developing expenditure forecasts that reasonably reflect the capex criteria. In some circumstances we may consider the methodology to be reasonable but may not consider the inputs or assumptions used in a service providers' proposed forecasting methodology to be reasonable.</w:t>
      </w:r>
    </w:p>
    <w:p w:rsidR="008C7B59" w:rsidRDefault="008C7B59" w:rsidP="008C7B59">
      <w:pPr>
        <w:numPr>
          <w:ilvl w:val="0"/>
          <w:numId w:val="24"/>
        </w:numPr>
      </w:pPr>
      <w:r>
        <w:t>In relation to Powerlink's proposed amount for repex we have focused on the following key inputs used in its expenditure forecasting methodology:</w:t>
      </w:r>
    </w:p>
    <w:p w:rsidR="008C7B59" w:rsidRDefault="008C7B59" w:rsidP="008C7B59">
      <w:pPr>
        <w:pStyle w:val="AERbulletlistfirststyle"/>
      </w:pPr>
      <w:r>
        <w:t xml:space="preserve">forecast asset replacement lives and unit costs used as inputs to the repex model </w:t>
      </w:r>
    </w:p>
    <w:p w:rsidR="008C7B59" w:rsidRDefault="008C7B59" w:rsidP="008C7B59">
      <w:pPr>
        <w:pStyle w:val="AERbulletlistfirststyle"/>
      </w:pPr>
      <w:r>
        <w:t>the basis of Powerlink's calibration and adjustments made to the repex model</w:t>
      </w:r>
    </w:p>
    <w:p w:rsidR="008C7B59" w:rsidRDefault="008C7B59" w:rsidP="008C7B59">
      <w:pPr>
        <w:pStyle w:val="AERbulletlistfirststyle"/>
      </w:pPr>
      <w:proofErr w:type="gramStart"/>
      <w:r>
        <w:t>condition</w:t>
      </w:r>
      <w:proofErr w:type="gramEnd"/>
      <w:r>
        <w:t xml:space="preserve"> assessment reports and options analysis used to justify forecast project specific capex.</w:t>
      </w:r>
    </w:p>
    <w:p w:rsidR="008C7B59" w:rsidRDefault="008C7B59" w:rsidP="008C7B59">
      <w:pPr>
        <w:numPr>
          <w:ilvl w:val="0"/>
          <w:numId w:val="24"/>
        </w:numPr>
      </w:pPr>
      <w:r w:rsidRPr="00547456">
        <w:t xml:space="preserve">We have considered these factors as they relate directly to our assessment of whether </w:t>
      </w:r>
      <w:r>
        <w:t>Powerlink's</w:t>
      </w:r>
      <w:r w:rsidRPr="00547456">
        <w:t xml:space="preserve"> proposal reflects the efficient costs that a prudent operator would require to achieve the capex objectives</w:t>
      </w:r>
      <w:r>
        <w:t>.</w:t>
      </w:r>
    </w:p>
    <w:p w:rsidR="008C7B59" w:rsidRDefault="008C7B59">
      <w:pPr>
        <w:spacing w:line="240" w:lineRule="auto"/>
      </w:pPr>
      <w:r>
        <w:br w:type="page"/>
      </w:r>
    </w:p>
    <w:p w:rsidR="008C7B59" w:rsidRPr="008C7B59" w:rsidRDefault="008C7B59" w:rsidP="008C7B59">
      <w:pPr>
        <w:pStyle w:val="Heading7"/>
      </w:pPr>
      <w:bookmarkStart w:id="188" w:name="_Ref460233849"/>
      <w:bookmarkStart w:id="189" w:name="_Toc460321520"/>
      <w:bookmarkStart w:id="190" w:name="_Toc462752301"/>
      <w:r w:rsidRPr="007D55FB">
        <w:lastRenderedPageBreak/>
        <w:t>Assessment</w:t>
      </w:r>
      <w:r w:rsidRPr="008C7B59">
        <w:t xml:space="preserve"> of capex drivers</w:t>
      </w:r>
      <w:bookmarkEnd w:id="188"/>
      <w:bookmarkEnd w:id="189"/>
      <w:bookmarkEnd w:id="190"/>
    </w:p>
    <w:p w:rsidR="008C7B59" w:rsidRDefault="008C7B59" w:rsidP="00CF538C">
      <w:pPr>
        <w:pStyle w:val="Heading8"/>
        <w:numPr>
          <w:ilvl w:val="1"/>
          <w:numId w:val="29"/>
        </w:numPr>
      </w:pPr>
      <w:bookmarkStart w:id="191" w:name="_Toc460321521"/>
      <w:bookmarkStart w:id="192" w:name="_Toc462752302"/>
      <w:r>
        <w:t>Alternative estimate</w:t>
      </w:r>
      <w:bookmarkEnd w:id="191"/>
      <w:bookmarkEnd w:id="192"/>
    </w:p>
    <w:p w:rsidR="008C7B59" w:rsidRPr="00CF4E62" w:rsidRDefault="008C7B59" w:rsidP="008C7B59">
      <w:r w:rsidRPr="00CF4E62">
        <w:t xml:space="preserve">Having examined </w:t>
      </w:r>
      <w:r>
        <w:t>Powerlink's</w:t>
      </w:r>
      <w:r w:rsidRPr="00CF4E62">
        <w:t xml:space="preserve"> proposal, we formed a view on our alternative estimate of the capex required to reasonably reflect the capex criteria. Our alternative estimate is based on our assessment techniques (refer to appendix A). Our weighting of each of these techniques, and our response to </w:t>
      </w:r>
      <w:r>
        <w:t>Powerlink's</w:t>
      </w:r>
      <w:r w:rsidRPr="00CF4E62">
        <w:t xml:space="preserve"> submissions on the weighting that should be given to particular techniques, is set out unde</w:t>
      </w:r>
      <w:r>
        <w:t xml:space="preserve">r the capex drivers in </w:t>
      </w:r>
      <w:r w:rsidR="00144D27">
        <w:t>this appendix</w:t>
      </w:r>
      <w:r w:rsidRPr="00CF4E62">
        <w:t>.</w:t>
      </w:r>
    </w:p>
    <w:p w:rsidR="008C7B59" w:rsidRDefault="008C7B59" w:rsidP="008C7B59">
      <w:r w:rsidRPr="00CF4E62">
        <w:t>We are satisfied that our alternative estimate reasonably reflects the capex criteria.</w:t>
      </w:r>
    </w:p>
    <w:p w:rsidR="008C7B59" w:rsidRPr="008C7B59" w:rsidRDefault="008C7B59" w:rsidP="008C7B59">
      <w:pPr>
        <w:pStyle w:val="Heading8"/>
      </w:pPr>
      <w:bookmarkStart w:id="193" w:name="_Toc460321522"/>
      <w:bookmarkStart w:id="194" w:name="_Toc462752303"/>
      <w:r>
        <w:t>Forecast load-driven capex</w:t>
      </w:r>
      <w:bookmarkEnd w:id="193"/>
      <w:bookmarkEnd w:id="194"/>
    </w:p>
    <w:p w:rsidR="008C7B59" w:rsidRPr="00F46D25" w:rsidRDefault="008C7B59" w:rsidP="008C7B59">
      <w:r w:rsidRPr="00F46D25">
        <w:t>Powerlink proposed $10.9 million ($2016–17) in load-driven capex or augex (which includes $7.8 million ($2016–17) easements for land acquisitions associated with substations or communication sites and $3.1 million for demand-driven augex).</w:t>
      </w:r>
      <w:r>
        <w:rPr>
          <w:rStyle w:val="FootnoteReference"/>
        </w:rPr>
        <w:footnoteReference w:id="73"/>
      </w:r>
      <w:r w:rsidRPr="00F46D25">
        <w:t xml:space="preserve"> Powerlink proposed zero connections capex. Powerlink submitted that the reason for the lower augex forecast is that the maximum demand forecast (the main trigger of this capex) is expected to be flat over the 2017–22 regulatory </w:t>
      </w:r>
      <w:proofErr w:type="gramStart"/>
      <w:r w:rsidRPr="00F46D25">
        <w:t>period</w:t>
      </w:r>
      <w:proofErr w:type="gramEnd"/>
      <w:r w:rsidRPr="00F46D25">
        <w:t>.</w:t>
      </w:r>
      <w:r>
        <w:rPr>
          <w:rStyle w:val="FootnoteReference"/>
        </w:rPr>
        <w:footnoteReference w:id="74"/>
      </w:r>
      <w:r w:rsidRPr="00F46D25">
        <w:t xml:space="preserve"> We consider forecast maximum demand in</w:t>
      </w:r>
      <w:r>
        <w:t xml:space="preserve"> appendix </w:t>
      </w:r>
      <w:r>
        <w:fldChar w:fldCharType="begin"/>
      </w:r>
      <w:r>
        <w:instrText xml:space="preserve"> REF _Ref460427187 \r \h </w:instrText>
      </w:r>
      <w:r>
        <w:fldChar w:fldCharType="separate"/>
      </w:r>
      <w:r w:rsidR="005252EC">
        <w:t>C</w:t>
      </w:r>
      <w:r>
        <w:fldChar w:fldCharType="end"/>
      </w:r>
      <w:r w:rsidRPr="00F46D25">
        <w:t>.</w:t>
      </w:r>
    </w:p>
    <w:p w:rsidR="008C7B59" w:rsidRPr="00F46D25" w:rsidRDefault="008C7B59" w:rsidP="008C7B59">
      <w:r w:rsidRPr="00F46D25">
        <w:t>Powerlink’s trend in actual and forecast augex is shown in</w:t>
      </w:r>
      <w:r>
        <w:t xml:space="preserve"> </w:t>
      </w:r>
      <w:r>
        <w:fldChar w:fldCharType="begin"/>
      </w:r>
      <w:r>
        <w:instrText xml:space="preserve"> REF _Ref460227405 \h </w:instrText>
      </w:r>
      <w:r>
        <w:fldChar w:fldCharType="separate"/>
      </w:r>
      <w:r w:rsidR="005252EC">
        <w:t xml:space="preserve">Figure </w:t>
      </w:r>
      <w:r w:rsidR="005252EC">
        <w:rPr>
          <w:noProof/>
        </w:rPr>
        <w:t>6</w:t>
      </w:r>
      <w:r w:rsidR="005252EC">
        <w:t>.</w:t>
      </w:r>
      <w:r w:rsidR="005252EC">
        <w:rPr>
          <w:noProof/>
        </w:rPr>
        <w:t>4</w:t>
      </w:r>
      <w:r>
        <w:fldChar w:fldCharType="end"/>
      </w:r>
      <w:r w:rsidRPr="00F46D25">
        <w:t xml:space="preserve"> below. This shows that total forecast augex is similar to the last three years of the current regulatory period, and 94 per cent lower than the $185.9</w:t>
      </w:r>
      <w:r>
        <w:t xml:space="preserve"> </w:t>
      </w:r>
      <w:r w:rsidRPr="00F46D25">
        <w:t xml:space="preserve">million ($2016–17) incurred for the previous five years (2012–17). </w:t>
      </w:r>
    </w:p>
    <w:p w:rsidR="008C7B59" w:rsidRPr="00F46D25" w:rsidRDefault="008C7B59" w:rsidP="008C7B59">
      <w:pPr>
        <w:pStyle w:val="Caption"/>
      </w:pPr>
      <w:bookmarkStart w:id="195" w:name="_Ref460227405"/>
      <w:proofErr w:type="gramStart"/>
      <w:r>
        <w:lastRenderedPageBreak/>
        <w:t xml:space="preserve">Figure </w:t>
      </w:r>
      <w:fldSimple w:instr=" STYLEREF 1 \s ">
        <w:r w:rsidR="005252EC">
          <w:rPr>
            <w:noProof/>
          </w:rPr>
          <w:t>6</w:t>
        </w:r>
      </w:fldSimple>
      <w:r w:rsidR="00D504BF">
        <w:t>.</w:t>
      </w:r>
      <w:proofErr w:type="gramEnd"/>
      <w:r w:rsidR="005252EC">
        <w:fldChar w:fldCharType="begin"/>
      </w:r>
      <w:r w:rsidR="005252EC">
        <w:instrText xml:space="preserve"> SEQ Figure \* ARABIC \s 1 </w:instrText>
      </w:r>
      <w:r w:rsidR="005252EC">
        <w:fldChar w:fldCharType="separate"/>
      </w:r>
      <w:r w:rsidR="005252EC">
        <w:rPr>
          <w:noProof/>
        </w:rPr>
        <w:t>4</w:t>
      </w:r>
      <w:r w:rsidR="005252EC">
        <w:rPr>
          <w:noProof/>
        </w:rPr>
        <w:fldChar w:fldCharType="end"/>
      </w:r>
      <w:bookmarkEnd w:id="195"/>
      <w:r>
        <w:tab/>
      </w:r>
      <w:r w:rsidRPr="00F46D25">
        <w:t>Powerlink</w:t>
      </w:r>
      <w:r>
        <w:t>'s</w:t>
      </w:r>
      <w:r w:rsidRPr="00F46D25">
        <w:t xml:space="preserve"> demand-driven augex ($million, $2016</w:t>
      </w:r>
      <w:r w:rsidR="00CB260C">
        <w:t>–</w:t>
      </w:r>
      <w:r w:rsidRPr="00F46D25">
        <w:t xml:space="preserve">17, excluding overheads and easements) </w:t>
      </w:r>
    </w:p>
    <w:p w:rsidR="008C7B59" w:rsidRDefault="008C7B59" w:rsidP="008C7B59">
      <w:r w:rsidRPr="008C7B59">
        <w:rPr>
          <w:noProof/>
          <w:lang w:eastAsia="en-AU"/>
        </w:rPr>
        <w:drawing>
          <wp:inline distT="0" distB="0" distL="0" distR="0" wp14:anchorId="055F1115" wp14:editId="2B1EF805">
            <wp:extent cx="5157470" cy="3230880"/>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7470" cy="3230880"/>
                    </a:xfrm>
                    <a:prstGeom prst="rect">
                      <a:avLst/>
                    </a:prstGeom>
                    <a:noFill/>
                  </pic:spPr>
                </pic:pic>
              </a:graphicData>
            </a:graphic>
          </wp:inline>
        </w:drawing>
      </w:r>
    </w:p>
    <w:p w:rsidR="008C7B59" w:rsidRPr="00F46D25" w:rsidRDefault="008C7B59" w:rsidP="008C7B59">
      <w:pPr>
        <w:pStyle w:val="AERtablesource"/>
      </w:pPr>
      <w:r>
        <w:t>Source:</w:t>
      </w:r>
      <w:r>
        <w:tab/>
        <w:t>Powerlink</w:t>
      </w:r>
      <w:r w:rsidRPr="0054358E">
        <w:t xml:space="preserve">, </w:t>
      </w:r>
      <w:r w:rsidRPr="0054358E">
        <w:rPr>
          <w:rStyle w:val="AERtextitalic"/>
        </w:rPr>
        <w:t>Regulatory information notice</w:t>
      </w:r>
      <w:r w:rsidRPr="0054358E">
        <w:t>, template 2.</w:t>
      </w:r>
      <w:r>
        <w:t xml:space="preserve">3, </w:t>
      </w:r>
      <w:r w:rsidRPr="005C1776">
        <w:t>January 2016;</w:t>
      </w:r>
      <w:r w:rsidRPr="0054358E">
        <w:t xml:space="preserve"> </w:t>
      </w:r>
      <w:r>
        <w:t>Powerlink</w:t>
      </w:r>
      <w:r w:rsidRPr="0054358E">
        <w:t xml:space="preserve">, </w:t>
      </w:r>
      <w:r w:rsidRPr="0054358E">
        <w:rPr>
          <w:rStyle w:val="AERtextitalic"/>
        </w:rPr>
        <w:t xml:space="preserve">Category Analysis RIN </w:t>
      </w:r>
      <w:r>
        <w:rPr>
          <w:rStyle w:val="AERtextitalic"/>
        </w:rPr>
        <w:t>2008</w:t>
      </w:r>
      <w:r w:rsidR="00CB260C">
        <w:rPr>
          <w:rStyle w:val="AERtextitalic"/>
        </w:rPr>
        <w:t>–</w:t>
      </w:r>
      <w:r>
        <w:rPr>
          <w:rStyle w:val="AERtextitalic"/>
        </w:rPr>
        <w:t>13</w:t>
      </w:r>
      <w:r>
        <w:t>, template 2.3; Powerlink</w:t>
      </w:r>
      <w:r w:rsidRPr="0054358E">
        <w:t xml:space="preserve">, </w:t>
      </w:r>
      <w:r w:rsidRPr="0054358E">
        <w:rPr>
          <w:rStyle w:val="AERtextitalic"/>
        </w:rPr>
        <w:t xml:space="preserve">Category Analysis RIN </w:t>
      </w:r>
      <w:r>
        <w:rPr>
          <w:rStyle w:val="AERtextitalic"/>
        </w:rPr>
        <w:t>2013</w:t>
      </w:r>
      <w:r w:rsidR="00CB260C">
        <w:rPr>
          <w:rStyle w:val="AERtextitalic"/>
        </w:rPr>
        <w:t>–</w:t>
      </w:r>
      <w:r>
        <w:rPr>
          <w:rStyle w:val="AERtextitalic"/>
        </w:rPr>
        <w:t>14</w:t>
      </w:r>
      <w:r>
        <w:t>, template 2.3; Powerlink</w:t>
      </w:r>
      <w:r w:rsidRPr="0054358E">
        <w:t xml:space="preserve">, </w:t>
      </w:r>
      <w:r w:rsidRPr="0054358E">
        <w:rPr>
          <w:rStyle w:val="AERtextitalic"/>
        </w:rPr>
        <w:t xml:space="preserve">Category Analysis RIN </w:t>
      </w:r>
      <w:r>
        <w:rPr>
          <w:rStyle w:val="AERtextitalic"/>
        </w:rPr>
        <w:t>2014</w:t>
      </w:r>
      <w:r w:rsidR="00CB260C">
        <w:rPr>
          <w:rStyle w:val="AERtextitalic"/>
        </w:rPr>
        <w:t>–</w:t>
      </w:r>
      <w:r>
        <w:rPr>
          <w:rStyle w:val="AERtextitalic"/>
        </w:rPr>
        <w:t>15</w:t>
      </w:r>
      <w:r>
        <w:t>, template 2.3; AER analysis.</w:t>
      </w:r>
    </w:p>
    <w:p w:rsidR="008C7B59" w:rsidRPr="00F46D25" w:rsidRDefault="008C7B59" w:rsidP="008C7B59">
      <w:r w:rsidRPr="00F46D25">
        <w:t xml:space="preserve">We accept the $10.9 million ($2016–17) proposed for augex on the basis that it is significantly less than the historical levels of augex and reflects the relatively flat demand trend in the current period. Therefore, the forecast augex of $10.9 million ($2016–17) reasonably reflects the capex criteria and will enable Powerlink to achieve the capex objectives. </w:t>
      </w:r>
    </w:p>
    <w:p w:rsidR="008C7B59" w:rsidRDefault="008C7B59" w:rsidP="008C7B59">
      <w:r w:rsidRPr="00F46D25">
        <w:t>However, Powerlink</w:t>
      </w:r>
      <w:r w:rsidR="00144D27">
        <w:t xml:space="preserve"> also</w:t>
      </w:r>
      <w:r w:rsidR="00A52AFF">
        <w:t xml:space="preserve"> proposed</w:t>
      </w:r>
      <w:r w:rsidRPr="00F46D25">
        <w:t xml:space="preserve"> $590 million ($2016–17) for seven contingent projects that are triggered by material increases in demand or new major connections. Our consideration of these contingent projects is discussed in </w:t>
      </w:r>
      <w:r>
        <w:t xml:space="preserve">appendix </w:t>
      </w:r>
      <w:r>
        <w:fldChar w:fldCharType="begin"/>
      </w:r>
      <w:r>
        <w:instrText xml:space="preserve"> REF _Ref460313158 \r \h </w:instrText>
      </w:r>
      <w:r>
        <w:fldChar w:fldCharType="separate"/>
      </w:r>
      <w:r w:rsidR="005252EC">
        <w:t>D</w:t>
      </w:r>
      <w:r>
        <w:fldChar w:fldCharType="end"/>
      </w:r>
      <w:r>
        <w:t>.</w:t>
      </w:r>
      <w:r w:rsidRPr="00653D8E" w:rsidDel="00653D8E">
        <w:t xml:space="preserve"> </w:t>
      </w:r>
    </w:p>
    <w:p w:rsidR="008C7B59" w:rsidRPr="008C7B59" w:rsidRDefault="008C7B59" w:rsidP="00814879">
      <w:pPr>
        <w:pStyle w:val="Heading8"/>
      </w:pPr>
      <w:bookmarkStart w:id="196" w:name="_Toc460321523"/>
      <w:bookmarkStart w:id="197" w:name="_Ref461437923"/>
      <w:bookmarkStart w:id="198" w:name="_Toc462752304"/>
      <w:r>
        <w:t>Forecast non-load driven capex</w:t>
      </w:r>
      <w:bookmarkEnd w:id="196"/>
      <w:bookmarkEnd w:id="197"/>
      <w:bookmarkEnd w:id="198"/>
    </w:p>
    <w:p w:rsidR="008C7B59" w:rsidRDefault="008C7B59" w:rsidP="008C7B59">
      <w:r>
        <w:t>Powerlink's non-load driven capex primarily reflects asset replacement expenditure (repex) as well as minor expenditure related to security and compliance and other network capex needs. Repex</w:t>
      </w:r>
      <w:r w:rsidRPr="00BA7F96">
        <w:t xml:space="preserve"> involves replacing an asset with its modern equivalent where the asset has reached the end of its economic life. Economic life takes into account the age, condition, technology or operating environment of an existing asset. In general, we classify capex as repex where the expenditure decision is primarily based on the existing asset's inability to efficiently maintain its service performance requirement.</w:t>
      </w:r>
    </w:p>
    <w:p w:rsidR="008C7B59" w:rsidRPr="008C7B59" w:rsidRDefault="008C7B59" w:rsidP="008C7B59">
      <w:pPr>
        <w:pStyle w:val="Heading9"/>
      </w:pPr>
      <w:bookmarkStart w:id="199" w:name="_Toc460239250"/>
      <w:bookmarkStart w:id="200" w:name="_Toc460239318"/>
      <w:bookmarkStart w:id="201" w:name="_Toc460239571"/>
      <w:bookmarkStart w:id="202" w:name="_Toc460321524"/>
      <w:bookmarkStart w:id="203" w:name="_Toc460582384"/>
      <w:bookmarkStart w:id="204" w:name="_Toc462062164"/>
      <w:bookmarkStart w:id="205" w:name="_Toc462752305"/>
      <w:r w:rsidRPr="00BA7F96">
        <w:t>Position</w:t>
      </w:r>
      <w:bookmarkEnd w:id="199"/>
      <w:bookmarkEnd w:id="200"/>
      <w:bookmarkEnd w:id="201"/>
      <w:bookmarkEnd w:id="202"/>
      <w:bookmarkEnd w:id="203"/>
      <w:bookmarkEnd w:id="204"/>
      <w:bookmarkEnd w:id="205"/>
    </w:p>
    <w:p w:rsidR="00144D27" w:rsidRDefault="008C7B59" w:rsidP="008C7B59">
      <w:r w:rsidRPr="00BA7F96">
        <w:lastRenderedPageBreak/>
        <w:t xml:space="preserve">We do not accept </w:t>
      </w:r>
      <w:r>
        <w:t>Powerlink's proposed non-load driven capex of $843.2 million ($2016</w:t>
      </w:r>
      <w:r w:rsidR="00CB260C">
        <w:t>–</w:t>
      </w:r>
      <w:r>
        <w:t>17</w:t>
      </w:r>
      <w:r w:rsidRPr="00BA7F96">
        <w:t xml:space="preserve">). We </w:t>
      </w:r>
      <w:r>
        <w:t xml:space="preserve">have </w:t>
      </w:r>
      <w:r w:rsidRPr="00BA7F96">
        <w:t>instead include</w:t>
      </w:r>
      <w:r>
        <w:t>d</w:t>
      </w:r>
      <w:r w:rsidRPr="00BA7F96">
        <w:t xml:space="preserve"> in our alternative estimate of overa</w:t>
      </w:r>
      <w:r>
        <w:t>ll total capex an amount of $658.7 million ($2016</w:t>
      </w:r>
      <w:r w:rsidR="00CB260C">
        <w:t>–</w:t>
      </w:r>
      <w:r>
        <w:t>17) for non-load driven capex. This is 22</w:t>
      </w:r>
      <w:r w:rsidRPr="00BA7F96">
        <w:t xml:space="preserve"> per cent lower than </w:t>
      </w:r>
      <w:r>
        <w:t>Powerlink's</w:t>
      </w:r>
      <w:r w:rsidRPr="00BA7F96">
        <w:t xml:space="preserve"> proposal. </w:t>
      </w:r>
      <w:r w:rsidR="00DC038A">
        <w:t>However</w:t>
      </w:r>
      <w:r w:rsidR="00DC038A" w:rsidRPr="00DC038A">
        <w:t>, we seek comment form Powerlink and other stakeholders on the approach we have adopted in response to our draft decision</w:t>
      </w:r>
      <w:r w:rsidR="00DC038A">
        <w:t>.</w:t>
      </w:r>
    </w:p>
    <w:p w:rsidR="008C7B59" w:rsidRPr="00BA7F96" w:rsidRDefault="008C7B59" w:rsidP="008C7B59">
      <w:r w:rsidRPr="00BA7F96">
        <w:t>We are satisfied that this amount reasonably reflects the capex criteria.</w:t>
      </w:r>
      <w:r w:rsidR="00144D27">
        <w:t xml:space="preserve"> </w:t>
      </w:r>
      <w:r>
        <w:t>In coming to this view, as</w:t>
      </w:r>
      <w:r w:rsidRPr="00BA7F96">
        <w:t xml:space="preserve"> discuss</w:t>
      </w:r>
      <w:r>
        <w:t>ed</w:t>
      </w:r>
      <w:r w:rsidRPr="00BA7F96">
        <w:t xml:space="preserve"> in Appendix A, we applied:</w:t>
      </w:r>
    </w:p>
    <w:p w:rsidR="008C7B59" w:rsidRPr="00BA7F96" w:rsidRDefault="008C7B59" w:rsidP="008C7B59">
      <w:pPr>
        <w:pStyle w:val="AERbulletlistfirststyle"/>
      </w:pPr>
      <w:r w:rsidRPr="00BA7F96">
        <w:t>trend analysis, comparing past trends</w:t>
      </w:r>
      <w:r>
        <w:t xml:space="preserve"> in total actual and forecast ca</w:t>
      </w:r>
      <w:r w:rsidRPr="00BA7F96">
        <w:t>pex f</w:t>
      </w:r>
      <w:r>
        <w:t>or the proposed non-load driven capex programs;</w:t>
      </w:r>
      <w:r>
        <w:rPr>
          <w:rStyle w:val="FootnoteReference"/>
        </w:rPr>
        <w:footnoteReference w:id="75"/>
      </w:r>
      <w:r>
        <w:t xml:space="preserve"> and</w:t>
      </w:r>
    </w:p>
    <w:p w:rsidR="008C7B59" w:rsidRPr="00BA7F96" w:rsidRDefault="008C7B59" w:rsidP="008C7B59">
      <w:pPr>
        <w:pStyle w:val="AERbulletlistfirststyle"/>
      </w:pPr>
      <w:proofErr w:type="gramStart"/>
      <w:r w:rsidRPr="00BA7F96">
        <w:t>a</w:t>
      </w:r>
      <w:proofErr w:type="gramEnd"/>
      <w:r w:rsidRPr="00BA7F96">
        <w:t xml:space="preserve"> methodology review of </w:t>
      </w:r>
      <w:r>
        <w:t>Powerlink's</w:t>
      </w:r>
      <w:r w:rsidRPr="00BA7F96">
        <w:t xml:space="preserve"> expenditure forecasting methodology, includ</w:t>
      </w:r>
      <w:r>
        <w:t>ing key inputs and assumptions</w:t>
      </w:r>
      <w:r w:rsidRPr="00BA7F96">
        <w:t>.</w:t>
      </w:r>
    </w:p>
    <w:p w:rsidR="008C7B59" w:rsidRDefault="008C7B59" w:rsidP="008C7B59">
      <w:r w:rsidRPr="008C7B59">
        <w:fldChar w:fldCharType="begin"/>
      </w:r>
      <w:r>
        <w:instrText xml:space="preserve"> REF _Ref458686095 </w:instrText>
      </w:r>
      <w:r w:rsidRPr="008C7B59">
        <w:fldChar w:fldCharType="separate"/>
      </w:r>
      <w:r w:rsidR="005252EC">
        <w:t xml:space="preserve">Table </w:t>
      </w:r>
      <w:r w:rsidR="005252EC">
        <w:rPr>
          <w:noProof/>
        </w:rPr>
        <w:t>6</w:t>
      </w:r>
      <w:r w:rsidR="005252EC">
        <w:t>.</w:t>
      </w:r>
      <w:r w:rsidR="005252EC">
        <w:rPr>
          <w:noProof/>
        </w:rPr>
        <w:t>7</w:t>
      </w:r>
      <w:r w:rsidRPr="008C7B59">
        <w:fldChar w:fldCharType="end"/>
      </w:r>
      <w:r>
        <w:t xml:space="preserve"> summarises Powerlink's</w:t>
      </w:r>
      <w:r w:rsidRPr="00BA7F96">
        <w:t xml:space="preserve"> proposal and our alternative amount for </w:t>
      </w:r>
      <w:r>
        <w:t>non-load driven capex</w:t>
      </w:r>
      <w:r w:rsidRPr="00BA7F96">
        <w:t>.</w:t>
      </w:r>
    </w:p>
    <w:p w:rsidR="008C7B59" w:rsidRDefault="008C7B59" w:rsidP="008C7B59">
      <w:pPr>
        <w:pStyle w:val="Caption"/>
      </w:pPr>
      <w:bookmarkStart w:id="206" w:name="_Ref458686095"/>
      <w:proofErr w:type="gramStart"/>
      <w:r>
        <w:t xml:space="preserve">Table </w:t>
      </w:r>
      <w:fldSimple w:instr=" STYLEREF 1 \s ">
        <w:r w:rsidR="005252EC">
          <w:rPr>
            <w:noProof/>
          </w:rPr>
          <w:t>6</w:t>
        </w:r>
      </w:fldSimple>
      <w:r w:rsidR="00250D0F">
        <w:t>.</w:t>
      </w:r>
      <w:proofErr w:type="gramEnd"/>
      <w:r w:rsidR="005252EC">
        <w:fldChar w:fldCharType="begin"/>
      </w:r>
      <w:r w:rsidR="005252EC">
        <w:instrText xml:space="preserve"> SEQ Table \* ARABIC \s 1 </w:instrText>
      </w:r>
      <w:r w:rsidR="005252EC">
        <w:fldChar w:fldCharType="separate"/>
      </w:r>
      <w:r w:rsidR="005252EC">
        <w:rPr>
          <w:noProof/>
        </w:rPr>
        <w:t>7</w:t>
      </w:r>
      <w:r w:rsidR="005252EC">
        <w:rPr>
          <w:noProof/>
        </w:rPr>
        <w:fldChar w:fldCharType="end"/>
      </w:r>
      <w:bookmarkEnd w:id="206"/>
      <w:r>
        <w:tab/>
        <w:t>Draft</w:t>
      </w:r>
      <w:r w:rsidRPr="00D42C31">
        <w:t xml:space="preserve"> decision on </w:t>
      </w:r>
      <w:r>
        <w:t>Powerlink's total forecast non-load driven capex ($2016</w:t>
      </w:r>
      <w:r w:rsidR="00CB260C">
        <w:t>–</w:t>
      </w:r>
      <w:r>
        <w:t>17, </w:t>
      </w:r>
      <w:r w:rsidRPr="00D42C31">
        <w:t>million)</w:t>
      </w:r>
    </w:p>
    <w:tbl>
      <w:tblPr>
        <w:tblStyle w:val="AERtable-numbers"/>
        <w:tblW w:w="4710" w:type="pct"/>
        <w:tblLook w:val="04A0" w:firstRow="1" w:lastRow="0" w:firstColumn="1" w:lastColumn="0" w:noHBand="0" w:noVBand="1"/>
      </w:tblPr>
      <w:tblGrid>
        <w:gridCol w:w="2374"/>
        <w:gridCol w:w="969"/>
        <w:gridCol w:w="970"/>
        <w:gridCol w:w="970"/>
        <w:gridCol w:w="970"/>
        <w:gridCol w:w="970"/>
        <w:gridCol w:w="966"/>
      </w:tblGrid>
      <w:tr w:rsidR="008C7B59" w:rsidRPr="00E54DCA" w:rsidTr="005D15EC">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450" w:type="pct"/>
          </w:tcPr>
          <w:p w:rsidR="008C7B59" w:rsidRPr="00355E98" w:rsidRDefault="008C7B59" w:rsidP="008C7B59"/>
        </w:tc>
        <w:tc>
          <w:tcPr>
            <w:tcW w:w="592" w:type="pct"/>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rsidRPr="00355E98">
              <w:t>2017</w:t>
            </w:r>
            <w:r w:rsidR="00CB260C">
              <w:t>–</w:t>
            </w:r>
            <w:r w:rsidRPr="00355E98">
              <w:t>18</w:t>
            </w:r>
          </w:p>
        </w:tc>
        <w:tc>
          <w:tcPr>
            <w:tcW w:w="592" w:type="pct"/>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rsidRPr="00355E98">
              <w:t>2018</w:t>
            </w:r>
            <w:r w:rsidR="00CB260C">
              <w:t>–</w:t>
            </w:r>
            <w:r w:rsidRPr="00355E98">
              <w:t>19</w:t>
            </w:r>
          </w:p>
        </w:tc>
        <w:tc>
          <w:tcPr>
            <w:tcW w:w="592" w:type="pct"/>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rsidRPr="00355E98">
              <w:t>2019</w:t>
            </w:r>
            <w:r w:rsidR="00CB260C">
              <w:t>–</w:t>
            </w:r>
            <w:r w:rsidRPr="00355E98">
              <w:t>20</w:t>
            </w:r>
          </w:p>
        </w:tc>
        <w:tc>
          <w:tcPr>
            <w:tcW w:w="592" w:type="pct"/>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rsidRPr="00355E98">
              <w:t>2020</w:t>
            </w:r>
            <w:r w:rsidR="00CB260C">
              <w:t>–</w:t>
            </w:r>
            <w:r w:rsidRPr="00355E98">
              <w:t>21</w:t>
            </w:r>
          </w:p>
        </w:tc>
        <w:tc>
          <w:tcPr>
            <w:tcW w:w="592" w:type="pct"/>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rsidRPr="00355E98">
              <w:t>2021</w:t>
            </w:r>
            <w:r w:rsidR="00CB260C">
              <w:t>–</w:t>
            </w:r>
            <w:r w:rsidRPr="00355E98">
              <w:t>22</w:t>
            </w:r>
          </w:p>
        </w:tc>
        <w:tc>
          <w:tcPr>
            <w:tcW w:w="590" w:type="pct"/>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rsidRPr="00355E98">
              <w:t>Total</w:t>
            </w:r>
          </w:p>
        </w:tc>
      </w:tr>
      <w:tr w:rsidR="008C7B59" w:rsidRPr="00E54DCA" w:rsidTr="005D15EC">
        <w:trPr>
          <w:trHeight w:val="569"/>
        </w:trPr>
        <w:tc>
          <w:tcPr>
            <w:cnfStyle w:val="001000000000" w:firstRow="0" w:lastRow="0" w:firstColumn="1" w:lastColumn="0" w:oddVBand="0" w:evenVBand="0" w:oddHBand="0" w:evenHBand="0" w:firstRowFirstColumn="0" w:firstRowLastColumn="0" w:lastRowFirstColumn="0" w:lastRowLastColumn="0"/>
            <w:tcW w:w="1450" w:type="pct"/>
          </w:tcPr>
          <w:p w:rsidR="008C7B59" w:rsidRPr="008C7B59" w:rsidRDefault="008C7B59" w:rsidP="008C7B59">
            <w:r w:rsidRPr="008A72B4">
              <w:t>Powerlink's proposal</w:t>
            </w:r>
          </w:p>
        </w:tc>
        <w:tc>
          <w:tcPr>
            <w:tcW w:w="592"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 xml:space="preserve"> 177.3</w:t>
            </w:r>
            <w:r w:rsidRPr="008C7B59">
              <w:t xml:space="preserve"> </w:t>
            </w:r>
          </w:p>
        </w:tc>
        <w:tc>
          <w:tcPr>
            <w:tcW w:w="592"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 xml:space="preserve"> 171.0</w:t>
            </w:r>
            <w:r w:rsidRPr="008C7B59">
              <w:t xml:space="preserve"> </w:t>
            </w:r>
          </w:p>
        </w:tc>
        <w:tc>
          <w:tcPr>
            <w:tcW w:w="592"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 xml:space="preserve"> 163.6</w:t>
            </w:r>
            <w:r w:rsidRPr="008C7B59">
              <w:t xml:space="preserve"> </w:t>
            </w:r>
          </w:p>
        </w:tc>
        <w:tc>
          <w:tcPr>
            <w:tcW w:w="592"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 xml:space="preserve"> 167.4</w:t>
            </w:r>
            <w:r w:rsidRPr="008C7B59">
              <w:t xml:space="preserve"> </w:t>
            </w:r>
          </w:p>
        </w:tc>
        <w:tc>
          <w:tcPr>
            <w:tcW w:w="592"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 xml:space="preserve"> 163.8</w:t>
            </w:r>
            <w:r w:rsidRPr="008C7B59">
              <w:t xml:space="preserve"> </w:t>
            </w:r>
          </w:p>
        </w:tc>
        <w:tc>
          <w:tcPr>
            <w:tcW w:w="590"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843.2</w:t>
            </w:r>
          </w:p>
        </w:tc>
      </w:tr>
      <w:tr w:rsidR="008C7B59" w:rsidRPr="00E54DCA" w:rsidTr="005D15EC">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450" w:type="pct"/>
          </w:tcPr>
          <w:p w:rsidR="008C7B59" w:rsidRPr="008C7B59" w:rsidRDefault="008C7B59" w:rsidP="008C7B59">
            <w:r w:rsidRPr="00D42C31">
              <w:t>AER</w:t>
            </w:r>
            <w:r w:rsidRPr="008C7B59">
              <w:t xml:space="preserve"> draft decision</w:t>
            </w:r>
          </w:p>
        </w:tc>
        <w:tc>
          <w:tcPr>
            <w:tcW w:w="592"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135.9</w:t>
            </w:r>
          </w:p>
        </w:tc>
        <w:tc>
          <w:tcPr>
            <w:tcW w:w="592"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133.</w:t>
            </w:r>
            <w:r w:rsidRPr="008C7B59">
              <w:t>5</w:t>
            </w:r>
          </w:p>
        </w:tc>
        <w:tc>
          <w:tcPr>
            <w:tcW w:w="592"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128</w:t>
            </w:r>
            <w:r w:rsidRPr="008C7B59">
              <w:t>.0</w:t>
            </w:r>
          </w:p>
        </w:tc>
        <w:tc>
          <w:tcPr>
            <w:tcW w:w="592"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132</w:t>
            </w:r>
            <w:r w:rsidRPr="008C7B59">
              <w:t>.5</w:t>
            </w:r>
          </w:p>
        </w:tc>
        <w:tc>
          <w:tcPr>
            <w:tcW w:w="592"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128</w:t>
            </w:r>
            <w:r w:rsidRPr="008C7B59">
              <w:t>.8</w:t>
            </w:r>
          </w:p>
        </w:tc>
        <w:tc>
          <w:tcPr>
            <w:tcW w:w="590"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658</w:t>
            </w:r>
            <w:r w:rsidRPr="008C7B59">
              <w:t>.7</w:t>
            </w:r>
          </w:p>
        </w:tc>
      </w:tr>
      <w:tr w:rsidR="008C7B59" w:rsidRPr="00E54DCA" w:rsidTr="005D15EC">
        <w:trPr>
          <w:trHeight w:val="569"/>
        </w:trPr>
        <w:tc>
          <w:tcPr>
            <w:cnfStyle w:val="001000000000" w:firstRow="0" w:lastRow="0" w:firstColumn="1" w:lastColumn="0" w:oddVBand="0" w:evenVBand="0" w:oddHBand="0" w:evenHBand="0" w:firstRowFirstColumn="0" w:firstRowLastColumn="0" w:lastRowFirstColumn="0" w:lastRowLastColumn="0"/>
            <w:tcW w:w="1450" w:type="pct"/>
          </w:tcPr>
          <w:p w:rsidR="008C7B59" w:rsidRPr="008C7B59" w:rsidRDefault="008C7B59" w:rsidP="008C7B59">
            <w:r w:rsidRPr="00355E98">
              <w:t>Total adjustment</w:t>
            </w:r>
          </w:p>
        </w:tc>
        <w:tc>
          <w:tcPr>
            <w:tcW w:w="592"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B5558D">
              <w:t>-41.4</w:t>
            </w:r>
          </w:p>
        </w:tc>
        <w:tc>
          <w:tcPr>
            <w:tcW w:w="592"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064A0F">
              <w:t>-37.</w:t>
            </w:r>
            <w:r w:rsidRPr="008C7B59">
              <w:t>5</w:t>
            </w:r>
          </w:p>
        </w:tc>
        <w:tc>
          <w:tcPr>
            <w:tcW w:w="592"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-35</w:t>
            </w:r>
            <w:r w:rsidRPr="008C7B59">
              <w:t>.6</w:t>
            </w:r>
          </w:p>
        </w:tc>
        <w:tc>
          <w:tcPr>
            <w:tcW w:w="592"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-34</w:t>
            </w:r>
            <w:r w:rsidRPr="008C7B59">
              <w:t>.9</w:t>
            </w:r>
          </w:p>
        </w:tc>
        <w:tc>
          <w:tcPr>
            <w:tcW w:w="592"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-35</w:t>
            </w:r>
            <w:r w:rsidRPr="008C7B59">
              <w:t>.0</w:t>
            </w:r>
          </w:p>
        </w:tc>
        <w:tc>
          <w:tcPr>
            <w:tcW w:w="590"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-184</w:t>
            </w:r>
            <w:r w:rsidRPr="008C7B59">
              <w:t>.5</w:t>
            </w:r>
          </w:p>
        </w:tc>
      </w:tr>
      <w:tr w:rsidR="008C7B59" w:rsidRPr="00E54DCA" w:rsidTr="005D15EC">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450" w:type="pct"/>
          </w:tcPr>
          <w:p w:rsidR="008C7B59" w:rsidRPr="008C7B59" w:rsidRDefault="008C7B59" w:rsidP="008C7B59">
            <w:r w:rsidRPr="00355E98">
              <w:t>Total adjustment (%)</w:t>
            </w:r>
          </w:p>
        </w:tc>
        <w:tc>
          <w:tcPr>
            <w:tcW w:w="592"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-23.4%</w:t>
            </w:r>
          </w:p>
        </w:tc>
        <w:tc>
          <w:tcPr>
            <w:tcW w:w="592"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-22.0</w:t>
            </w:r>
            <w:r w:rsidRPr="008C7B59">
              <w:t>%</w:t>
            </w:r>
          </w:p>
        </w:tc>
        <w:tc>
          <w:tcPr>
            <w:tcW w:w="592"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-21.8</w:t>
            </w:r>
            <w:r w:rsidRPr="008C7B59">
              <w:t>%</w:t>
            </w:r>
          </w:p>
        </w:tc>
        <w:tc>
          <w:tcPr>
            <w:tcW w:w="592"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-20.8</w:t>
            </w:r>
            <w:r w:rsidRPr="008C7B59">
              <w:t>%</w:t>
            </w:r>
          </w:p>
        </w:tc>
        <w:tc>
          <w:tcPr>
            <w:tcW w:w="592"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-21.4</w:t>
            </w:r>
            <w:r w:rsidRPr="008C7B59">
              <w:t>%</w:t>
            </w:r>
          </w:p>
        </w:tc>
        <w:tc>
          <w:tcPr>
            <w:tcW w:w="590"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-21.9</w:t>
            </w:r>
            <w:r w:rsidRPr="008C7B59">
              <w:t>%</w:t>
            </w:r>
          </w:p>
        </w:tc>
      </w:tr>
    </w:tbl>
    <w:p w:rsidR="008C7B59" w:rsidRPr="00D42C31" w:rsidRDefault="008C7B59" w:rsidP="008C7B59">
      <w:pPr>
        <w:pStyle w:val="AERtablesource"/>
      </w:pPr>
      <w:r w:rsidRPr="00D42C31">
        <w:t xml:space="preserve">Source: </w:t>
      </w:r>
      <w:r w:rsidRPr="00D42C31">
        <w:tab/>
        <w:t xml:space="preserve">AER analysis. </w:t>
      </w:r>
    </w:p>
    <w:p w:rsidR="008C7B59" w:rsidRDefault="008C7B59" w:rsidP="008C7B59">
      <w:pPr>
        <w:pStyle w:val="AERtablesource"/>
      </w:pPr>
      <w:r w:rsidRPr="00D42C31">
        <w:t xml:space="preserve">Note: </w:t>
      </w:r>
      <w:r w:rsidRPr="00D42C31">
        <w:tab/>
        <w:t>Numbers may not add up due to rounding.</w:t>
      </w:r>
    </w:p>
    <w:p w:rsidR="008C7B59" w:rsidRPr="008C7B59" w:rsidRDefault="008C7B59" w:rsidP="008C7B59">
      <w:pPr>
        <w:pStyle w:val="Heading9"/>
      </w:pPr>
      <w:bookmarkStart w:id="207" w:name="_Toc460239251"/>
      <w:bookmarkStart w:id="208" w:name="_Toc460239319"/>
      <w:bookmarkStart w:id="209" w:name="_Toc460239572"/>
      <w:bookmarkStart w:id="210" w:name="_Toc460321525"/>
      <w:bookmarkStart w:id="211" w:name="_Toc460582385"/>
      <w:bookmarkStart w:id="212" w:name="_Toc462062165"/>
      <w:bookmarkStart w:id="213" w:name="_Toc462752306"/>
      <w:r>
        <w:t>Powerlink's</w:t>
      </w:r>
      <w:r w:rsidRPr="008C7B59">
        <w:t xml:space="preserve"> revenue proposal</w:t>
      </w:r>
      <w:bookmarkEnd w:id="207"/>
      <w:bookmarkEnd w:id="208"/>
      <w:bookmarkEnd w:id="209"/>
      <w:bookmarkEnd w:id="210"/>
      <w:bookmarkEnd w:id="211"/>
      <w:bookmarkEnd w:id="212"/>
      <w:bookmarkEnd w:id="213"/>
    </w:p>
    <w:p w:rsidR="008C7B59" w:rsidRPr="00D42C31" w:rsidRDefault="008C7B59" w:rsidP="008C7B59">
      <w:r>
        <w:t>Powerlink's forecast non-load driven capex</w:t>
      </w:r>
      <w:r w:rsidRPr="00D42C31">
        <w:t xml:space="preserve"> is </w:t>
      </w:r>
      <w:r>
        <w:t>$843.2</w:t>
      </w:r>
      <w:r w:rsidRPr="00D42C31">
        <w:t xml:space="preserve"> million</w:t>
      </w:r>
      <w:r>
        <w:t>. Powerlink</w:t>
      </w:r>
      <w:r w:rsidRPr="00D42C31">
        <w:t xml:space="preserve"> submitted that this expenditure is driven by:</w:t>
      </w:r>
      <w:r>
        <w:rPr>
          <w:rStyle w:val="FootnoteReference"/>
        </w:rPr>
        <w:footnoteReference w:id="76"/>
      </w:r>
    </w:p>
    <w:p w:rsidR="008C7B59" w:rsidRDefault="008C7B59" w:rsidP="008C7B59">
      <w:pPr>
        <w:pStyle w:val="AERbulletlistfirststyle"/>
      </w:pPr>
      <w:r w:rsidRPr="00D42C31">
        <w:t xml:space="preserve">the </w:t>
      </w:r>
      <w:r>
        <w:t>need to meet the demand for prescribed transmission services, with regard to the demand forecast and the continued application of deterministically expressed planning standards</w:t>
      </w:r>
      <w:r w:rsidR="00144D27">
        <w:t>;</w:t>
      </w:r>
    </w:p>
    <w:p w:rsidR="008C7B59" w:rsidRPr="00D42C31" w:rsidRDefault="008C7B59" w:rsidP="008C7B59">
      <w:pPr>
        <w:pStyle w:val="AERbulletlistfirststyle"/>
      </w:pPr>
      <w:r>
        <w:t xml:space="preserve">the </w:t>
      </w:r>
      <w:r w:rsidRPr="00D42C31">
        <w:t xml:space="preserve">requirement to </w:t>
      </w:r>
      <w:r>
        <w:t>comply with applicable regulatory obligations, including</w:t>
      </w:r>
      <w:r w:rsidRPr="00D42C31">
        <w:t xml:space="preserve"> to </w:t>
      </w:r>
      <w:r>
        <w:t>ensure the safety and security of people and assets;</w:t>
      </w:r>
      <w:r w:rsidR="00144D27">
        <w:t xml:space="preserve"> and</w:t>
      </w:r>
    </w:p>
    <w:p w:rsidR="008C7B59" w:rsidRDefault="008C7B59" w:rsidP="008C7B59">
      <w:pPr>
        <w:pStyle w:val="AERbulletlistfirststyle"/>
      </w:pPr>
      <w:proofErr w:type="gramStart"/>
      <w:r>
        <w:lastRenderedPageBreak/>
        <w:t>asset</w:t>
      </w:r>
      <w:proofErr w:type="gramEnd"/>
      <w:r>
        <w:t xml:space="preserve"> reinvestment needs in an environment of low demand growth</w:t>
      </w:r>
      <w:r w:rsidRPr="00D42C31">
        <w:t>.</w:t>
      </w:r>
    </w:p>
    <w:p w:rsidR="008C7B59" w:rsidRPr="008C7B59" w:rsidRDefault="008C7B59" w:rsidP="008C7B59">
      <w:pPr>
        <w:pStyle w:val="Heading9"/>
      </w:pPr>
      <w:bookmarkStart w:id="214" w:name="_Toc460239252"/>
      <w:bookmarkStart w:id="215" w:name="_Toc460239320"/>
      <w:bookmarkStart w:id="216" w:name="_Toc460239573"/>
      <w:bookmarkStart w:id="217" w:name="_Ref460316345"/>
      <w:bookmarkStart w:id="218" w:name="_Toc460321526"/>
      <w:bookmarkStart w:id="219" w:name="_Toc460582386"/>
      <w:bookmarkStart w:id="220" w:name="_Toc462062166"/>
      <w:bookmarkStart w:id="221" w:name="_Toc462752307"/>
      <w:r>
        <w:t>AER non-load driven capex findings</w:t>
      </w:r>
      <w:bookmarkEnd w:id="214"/>
      <w:bookmarkEnd w:id="215"/>
      <w:bookmarkEnd w:id="216"/>
      <w:bookmarkEnd w:id="217"/>
      <w:bookmarkEnd w:id="218"/>
      <w:bookmarkEnd w:id="219"/>
      <w:bookmarkEnd w:id="220"/>
      <w:bookmarkEnd w:id="221"/>
    </w:p>
    <w:p w:rsidR="008C7B59" w:rsidRPr="002710E8" w:rsidRDefault="008C7B59" w:rsidP="008C7B59">
      <w:pPr>
        <w:pStyle w:val="HeadingBoldBlue"/>
      </w:pPr>
      <w:r>
        <w:t>Historical and forecast non-load driven capex trends</w:t>
      </w:r>
    </w:p>
    <w:p w:rsidR="008C7B59" w:rsidRPr="00F12A15" w:rsidRDefault="008C7B59" w:rsidP="008C7B59">
      <w:r w:rsidRPr="00F12A15">
        <w:t>We have conducted a trend analysis of non-load driven capex. The NER requires that we consider the actual and expected capital expenditure during any preceding regulatory control period.</w:t>
      </w:r>
      <w:r>
        <w:rPr>
          <w:rStyle w:val="FootnoteReference"/>
        </w:rPr>
        <w:footnoteReference w:id="77"/>
      </w:r>
      <w:r w:rsidRPr="00F12A15">
        <w:t xml:space="preserve"> Our use of trend analysis for non-load driven capex </w:t>
      </w:r>
      <w:r w:rsidR="00144D27">
        <w:t>allows us</w:t>
      </w:r>
      <w:r w:rsidRPr="00F12A15">
        <w:t xml:space="preserve"> to gauge how Powerlink’s historical actual non-load driven capex compares to its expected non-load driven capex for the 2017</w:t>
      </w:r>
      <w:r w:rsidR="00CB260C">
        <w:t>–</w:t>
      </w:r>
      <w:r w:rsidRPr="00F12A15">
        <w:t xml:space="preserve">22 regulatory control period. </w:t>
      </w:r>
      <w:r w:rsidRPr="008C7B59">
        <w:fldChar w:fldCharType="begin"/>
      </w:r>
      <w:r>
        <w:instrText xml:space="preserve"> REF _Ref459130725 </w:instrText>
      </w:r>
      <w:r w:rsidRPr="008C7B59">
        <w:fldChar w:fldCharType="separate"/>
      </w:r>
      <w:r w:rsidR="005252EC">
        <w:t xml:space="preserve">Figure </w:t>
      </w:r>
      <w:r w:rsidR="005252EC">
        <w:rPr>
          <w:noProof/>
        </w:rPr>
        <w:t>6</w:t>
      </w:r>
      <w:r w:rsidR="005252EC">
        <w:t>.</w:t>
      </w:r>
      <w:r w:rsidR="005252EC">
        <w:rPr>
          <w:noProof/>
        </w:rPr>
        <w:t>5</w:t>
      </w:r>
      <w:r w:rsidRPr="008C7B59">
        <w:fldChar w:fldCharType="end"/>
      </w:r>
      <w:r>
        <w:t xml:space="preserve"> </w:t>
      </w:r>
      <w:r w:rsidRPr="00F12A15">
        <w:t>shows Powerlink’s non-load driven capex spend</w:t>
      </w:r>
      <w:r>
        <w:t xml:space="preserve">ing </w:t>
      </w:r>
      <w:r w:rsidRPr="00F12A15">
        <w:t>peaked in 2011</w:t>
      </w:r>
      <w:r w:rsidR="00CB260C">
        <w:t>–</w:t>
      </w:r>
      <w:r w:rsidRPr="00F12A15">
        <w:t>12 and has been steadily reducing to its current level. Total non-load driven capex spend</w:t>
      </w:r>
      <w:r>
        <w:t>ing</w:t>
      </w:r>
      <w:r w:rsidRPr="00F12A15">
        <w:t xml:space="preserve"> is forecast to increase </w:t>
      </w:r>
      <w:r>
        <w:t>in 2016</w:t>
      </w:r>
      <w:r w:rsidR="00CB260C">
        <w:t>–</w:t>
      </w:r>
      <w:r>
        <w:t>17</w:t>
      </w:r>
      <w:r w:rsidRPr="00F12A15">
        <w:t xml:space="preserve"> and </w:t>
      </w:r>
      <w:r>
        <w:t xml:space="preserve">then </w:t>
      </w:r>
      <w:r w:rsidRPr="00F12A15">
        <w:t>remain steady over the 2017</w:t>
      </w:r>
      <w:r>
        <w:softHyphen/>
        <w:t>–</w:t>
      </w:r>
      <w:r w:rsidRPr="00F12A15">
        <w:t xml:space="preserve">22 regulatory control period. </w:t>
      </w:r>
    </w:p>
    <w:p w:rsidR="008C7B59" w:rsidRPr="00F12A15" w:rsidRDefault="008C7B59" w:rsidP="008C7B59">
      <w:pPr>
        <w:pStyle w:val="Caption"/>
      </w:pPr>
      <w:bookmarkStart w:id="222" w:name="_Ref459130725"/>
      <w:proofErr w:type="gramStart"/>
      <w:r>
        <w:t xml:space="preserve">Figure </w:t>
      </w:r>
      <w:fldSimple w:instr=" STYLEREF 1 \s ">
        <w:r w:rsidR="005252EC">
          <w:rPr>
            <w:noProof/>
          </w:rPr>
          <w:t>6</w:t>
        </w:r>
      </w:fldSimple>
      <w:r w:rsidR="00D504BF">
        <w:t>.</w:t>
      </w:r>
      <w:proofErr w:type="gramEnd"/>
      <w:r w:rsidR="005252EC">
        <w:fldChar w:fldCharType="begin"/>
      </w:r>
      <w:r w:rsidR="005252EC">
        <w:instrText xml:space="preserve"> SEQ Figure \* ARABIC \s 1 </w:instrText>
      </w:r>
      <w:r w:rsidR="005252EC">
        <w:fldChar w:fldCharType="separate"/>
      </w:r>
      <w:r w:rsidR="005252EC">
        <w:rPr>
          <w:noProof/>
        </w:rPr>
        <w:t>5</w:t>
      </w:r>
      <w:r w:rsidR="005252EC">
        <w:rPr>
          <w:noProof/>
        </w:rPr>
        <w:fldChar w:fldCharType="end"/>
      </w:r>
      <w:bookmarkEnd w:id="222"/>
      <w:r w:rsidRPr="00F12A15">
        <w:tab/>
        <w:t xml:space="preserve">Powerlink </w:t>
      </w:r>
      <w:r w:rsidRPr="00F12A15">
        <w:noBreakHyphen/>
        <w:t xml:space="preserve"> Actual and forecast total non-load driven capex ($2016</w:t>
      </w:r>
      <w:r w:rsidR="00CB260C">
        <w:t>–</w:t>
      </w:r>
      <w:r w:rsidRPr="00F12A15">
        <w:t>17)</w:t>
      </w:r>
    </w:p>
    <w:p w:rsidR="008C7B59" w:rsidRPr="00F12A15" w:rsidRDefault="008C7B59" w:rsidP="008C7B59">
      <w:r w:rsidRPr="008C7B59">
        <w:rPr>
          <w:noProof/>
          <w:lang w:eastAsia="en-AU"/>
        </w:rPr>
        <w:drawing>
          <wp:inline distT="0" distB="0" distL="0" distR="0" wp14:anchorId="5E1DA3CB" wp14:editId="322183A1">
            <wp:extent cx="5318342" cy="31646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7346" cy="3164026"/>
                    </a:xfrm>
                    <a:prstGeom prst="rect">
                      <a:avLst/>
                    </a:prstGeom>
                    <a:noFill/>
                    <a:ln>
                      <a:noFill/>
                    </a:ln>
                  </pic:spPr>
                </pic:pic>
              </a:graphicData>
            </a:graphic>
          </wp:inline>
        </w:drawing>
      </w:r>
    </w:p>
    <w:p w:rsidR="008C7B59" w:rsidRDefault="008C7B59" w:rsidP="008C7B59">
      <w:pPr>
        <w:pStyle w:val="AERtablesource"/>
      </w:pPr>
      <w:r w:rsidRPr="00F12A15">
        <w:t xml:space="preserve">Source: </w:t>
      </w:r>
      <w:r w:rsidRPr="00F12A15">
        <w:tab/>
        <w:t xml:space="preserve">Powerlink, </w:t>
      </w:r>
      <w:r w:rsidRPr="006E3C43">
        <w:rPr>
          <w:rStyle w:val="AERtextitalic"/>
        </w:rPr>
        <w:t>Revenue proposal 2017–22</w:t>
      </w:r>
      <w:r w:rsidRPr="00F12A15">
        <w:t>, January 2016, p. 24 and AER analysis.</w:t>
      </w:r>
    </w:p>
    <w:p w:rsidR="00C712A4" w:rsidRPr="00C712A4" w:rsidRDefault="00027C4C" w:rsidP="00027C4C">
      <w:pPr>
        <w:pStyle w:val="AERtablesource"/>
      </w:pPr>
      <w:r>
        <w:t>Note:</w:t>
      </w:r>
      <w:r>
        <w:tab/>
        <w:t>Powerlink used</w:t>
      </w:r>
      <w:r w:rsidRPr="00027C4C">
        <w:t xml:space="preserve"> actual historical replacement vol</w:t>
      </w:r>
      <w:r>
        <w:t xml:space="preserve">umes in the five year period from 2010-11 to </w:t>
      </w:r>
      <w:r w:rsidRPr="00027C4C">
        <w:t>201</w:t>
      </w:r>
      <w:r>
        <w:t>4-15</w:t>
      </w:r>
      <w:r w:rsidRPr="00027C4C">
        <w:t xml:space="preserve"> to </w:t>
      </w:r>
      <w:r>
        <w:t>calibrate its repex modelling.</w:t>
      </w:r>
    </w:p>
    <w:p w:rsidR="008C7B59" w:rsidRPr="00F12A15" w:rsidRDefault="008C7B59" w:rsidP="008C7B59">
      <w:r w:rsidRPr="00F12A15">
        <w:t>Replacement capex accounts for $794.3 million ($ 2016</w:t>
      </w:r>
      <w:r w:rsidR="00CB260C">
        <w:t>–</w:t>
      </w:r>
      <w:r w:rsidRPr="00F12A15">
        <w:t>17) which is almost 90 per cent o</w:t>
      </w:r>
      <w:r>
        <w:t>f total non-load driven capex and</w:t>
      </w:r>
      <w:r w:rsidRPr="00F12A15">
        <w:t xml:space="preserve"> 83 per cent of total forecast capex. </w:t>
      </w:r>
      <w:r>
        <w:t xml:space="preserve">Powerlink's </w:t>
      </w:r>
      <w:r>
        <w:lastRenderedPageBreak/>
        <w:t>for</w:t>
      </w:r>
      <w:r w:rsidR="000126EA">
        <w:t>ecast non-load driven capex is 9</w:t>
      </w:r>
      <w:r>
        <w:t> per cent</w:t>
      </w:r>
      <w:r w:rsidRPr="00F12A15">
        <w:t xml:space="preserve"> lower than actual</w:t>
      </w:r>
      <w:r>
        <w:t xml:space="preserve"> and estimated</w:t>
      </w:r>
      <w:r w:rsidRPr="00F12A15">
        <w:t xml:space="preserve"> non-load driven capex for the 201</w:t>
      </w:r>
      <w:r>
        <w:t>2</w:t>
      </w:r>
      <w:r w:rsidR="00CB260C">
        <w:t>–</w:t>
      </w:r>
      <w:r w:rsidRPr="00F12A15">
        <w:t xml:space="preserve">2017 regulatory control period. </w:t>
      </w:r>
      <w:r>
        <w:t xml:space="preserve">This, in turn, is 26 per cent less than actual </w:t>
      </w:r>
      <w:r w:rsidRPr="00F12A15">
        <w:t>non-load driven cape</w:t>
      </w:r>
      <w:r>
        <w:t xml:space="preserve">x in the 2007–12 regulatory control </w:t>
      </w:r>
      <w:proofErr w:type="gramStart"/>
      <w:r>
        <w:t>period</w:t>
      </w:r>
      <w:proofErr w:type="gramEnd"/>
      <w:r>
        <w:t xml:space="preserve">. </w:t>
      </w:r>
      <w:r w:rsidRPr="00F12A15">
        <w:t xml:space="preserve">Powerlink submitted that a reduction in </w:t>
      </w:r>
      <w:r>
        <w:t xml:space="preserve">forecast </w:t>
      </w:r>
      <w:r w:rsidRPr="00F12A15">
        <w:t>demand growth over the previous two regulatory control periods has had an impact on non-load driven capex</w:t>
      </w:r>
      <w:r w:rsidR="003E4D62">
        <w:t>.</w:t>
      </w:r>
      <w:r w:rsidRPr="00F12A15">
        <w:t xml:space="preserve"> </w:t>
      </w:r>
      <w:r w:rsidR="00A52AFF">
        <w:t>This is because n</w:t>
      </w:r>
      <w:r w:rsidRPr="00F12A15">
        <w:t>etwork re</w:t>
      </w:r>
      <w:r w:rsidR="00A52AFF">
        <w:t>investment plans have been</w:t>
      </w:r>
      <w:r w:rsidRPr="00F12A15">
        <w:t xml:space="preserve"> focused on different outcomes</w:t>
      </w:r>
      <w:r>
        <w:t>,</w:t>
      </w:r>
      <w:r w:rsidRPr="00F12A15">
        <w:t xml:space="preserve"> such as removing assets without replacement</w:t>
      </w:r>
      <w:r>
        <w:t>,</w:t>
      </w:r>
      <w:r w:rsidRPr="00F12A15">
        <w:t xml:space="preserve"> or replacing with assets of different capacity and/or configuration.</w:t>
      </w:r>
      <w:r>
        <w:t xml:space="preserve"> Powerlink also stated that this reduction in forecast demand growth </w:t>
      </w:r>
      <w:r w:rsidRPr="00F12A15">
        <w:t>has provided the opportunity for greater use of alternative options, such as network support or network reconfiguration, to manage asset condition and risk at a lower overall cost.</w:t>
      </w:r>
      <w:r w:rsidRPr="00AC3718">
        <w:rPr>
          <w:rStyle w:val="AERsuperscript"/>
        </w:rPr>
        <w:footnoteReference w:id="78"/>
      </w:r>
      <w:r w:rsidRPr="00F12A15">
        <w:t xml:space="preserve"> </w:t>
      </w:r>
    </w:p>
    <w:p w:rsidR="008C7B59" w:rsidRPr="00F12A15" w:rsidRDefault="008C7B59" w:rsidP="008C7B59">
      <w:r w:rsidRPr="00F12A15">
        <w:t xml:space="preserve">An increasing or decreasing trend in total non-load driven capex does not, in and of itself, indicate that a service provider has proposed non-load driven capex that is likely to reflect or not reflect the capex criteria. In the case of Powerlink, which has proposed an average annual decrease in non-load driven capex from the last regulatory control period, we must consider whether it has sufficiently justified that this expenditure reasonably reflects the capex criteria. We use our trend analysis on key programs, a methodology review, the views of stakeholders and consultants, and the material put forward by Powerlink in support of its forecast, to help us form a view on whether Powerlink has sufficiently justified its proposed total non-load driven capex. </w:t>
      </w:r>
    </w:p>
    <w:p w:rsidR="008C7B59" w:rsidRPr="00F12A15" w:rsidRDefault="008C7B59" w:rsidP="008C7B59">
      <w:r w:rsidRPr="00F12A15">
        <w:t xml:space="preserve">We have had </w:t>
      </w:r>
      <w:r>
        <w:t xml:space="preserve">particular </w:t>
      </w:r>
      <w:r w:rsidRPr="00F12A15">
        <w:t xml:space="preserve">regard to historical and forecast expenditure trends in our assessment of Powerlink’s </w:t>
      </w:r>
      <w:r>
        <w:t>security and compliance and 'other'</w:t>
      </w:r>
      <w:r w:rsidRPr="00F12A15">
        <w:t xml:space="preserve"> capex programs</w:t>
      </w:r>
      <w:r>
        <w:t xml:space="preserve">. </w:t>
      </w:r>
      <w:r w:rsidRPr="00F12A15">
        <w:t xml:space="preserve"> </w:t>
      </w:r>
      <w:r>
        <w:t>Powerlink has used trend analysis to forecast expenditure in these categories,</w:t>
      </w:r>
      <w:r w:rsidRPr="00F12A15">
        <w:t xml:space="preserve"> given </w:t>
      </w:r>
      <w:r>
        <w:t>it expects expenditure in these categories to be</w:t>
      </w:r>
      <w:r w:rsidRPr="00F12A15">
        <w:t xml:space="preserve"> ongoing and relatively recurrent in nature</w:t>
      </w:r>
      <w:r>
        <w:t>. This is discussed further as part of our forecasting methodology review below.</w:t>
      </w:r>
      <w:r w:rsidRPr="00F12A15">
        <w:t xml:space="preserve"> </w:t>
      </w:r>
    </w:p>
    <w:p w:rsidR="008C7B59" w:rsidRDefault="008C7B59" w:rsidP="008C7B59">
      <w:r>
        <w:t>Powerlink's non-load driven capex trend shows a decline from 2011</w:t>
      </w:r>
      <w:r w:rsidR="00CB260C">
        <w:t>–</w:t>
      </w:r>
      <w:r>
        <w:t>12 to 2015</w:t>
      </w:r>
      <w:r w:rsidR="00CB260C">
        <w:t>–</w:t>
      </w:r>
      <w:r>
        <w:t>16, followed by an increase of 50 per cent in the 2016</w:t>
      </w:r>
      <w:r w:rsidR="00CB260C">
        <w:t>–</w:t>
      </w:r>
      <w:r>
        <w:t xml:space="preserve">17 year. </w:t>
      </w:r>
      <w:r w:rsidRPr="00F12A15">
        <w:t xml:space="preserve">Powerlink stated that </w:t>
      </w:r>
      <w:r>
        <w:t>the anticipated</w:t>
      </w:r>
      <w:r w:rsidRPr="00F12A15">
        <w:t xml:space="preserve"> increase in </w:t>
      </w:r>
      <w:r>
        <w:t>non-load driven capex</w:t>
      </w:r>
      <w:r w:rsidRPr="00F12A15">
        <w:t xml:space="preserve"> in 2016</w:t>
      </w:r>
      <w:r w:rsidR="00CB260C">
        <w:t>–</w:t>
      </w:r>
      <w:r w:rsidRPr="00F12A15">
        <w:t>17 reflects a correction from lower levels of expenditure in 2015</w:t>
      </w:r>
      <w:r w:rsidR="00CB260C">
        <w:t>–</w:t>
      </w:r>
      <w:r w:rsidRPr="00F12A15">
        <w:t xml:space="preserve">16 to a more typical profile of investment. Powerlink </w:t>
      </w:r>
      <w:r>
        <w:t>submitted</w:t>
      </w:r>
      <w:r w:rsidRPr="00F12A15">
        <w:t xml:space="preserve"> that the proposed increase in replacement capex in 2016</w:t>
      </w:r>
      <w:r w:rsidR="00CB260C">
        <w:t>–</w:t>
      </w:r>
      <w:r w:rsidRPr="00F12A15">
        <w:t xml:space="preserve">17 is largely driven by </w:t>
      </w:r>
      <w:r>
        <w:t>its</w:t>
      </w:r>
      <w:r w:rsidRPr="00F12A15">
        <w:t xml:space="preserve"> decision to take a more detailed review of its overall network planning and investment process (including a review of Area Plans) in response to the changed demand environment, the timing of establishment of its transmission line refit panel</w:t>
      </w:r>
      <w:r>
        <w:t>,</w:t>
      </w:r>
      <w:r w:rsidRPr="00F12A15">
        <w:t xml:space="preserve"> and other factors.</w:t>
      </w:r>
      <w:r w:rsidRPr="00F12A15">
        <w:rPr>
          <w:rStyle w:val="FootnoteReference"/>
        </w:rPr>
        <w:footnoteReference w:id="79"/>
      </w:r>
      <w:r w:rsidRPr="00F12A15">
        <w:t xml:space="preserve"> </w:t>
      </w:r>
    </w:p>
    <w:p w:rsidR="008C7B59" w:rsidRPr="00F12A15" w:rsidRDefault="008C7B59" w:rsidP="008C7B59">
      <w:r w:rsidRPr="00F12A15">
        <w:t>For the 201</w:t>
      </w:r>
      <w:r>
        <w:t>2–</w:t>
      </w:r>
      <w:r w:rsidRPr="00F12A15">
        <w:t>17 regulatory control period there was a wide variation between Powerlink’s forecast and actual non-load driven capex, particularly in the early years (2012</w:t>
      </w:r>
      <w:r w:rsidR="00CB260C">
        <w:t>–</w:t>
      </w:r>
      <w:r w:rsidRPr="00F12A15">
        <w:t>13 and 2013</w:t>
      </w:r>
      <w:r w:rsidR="00CB260C">
        <w:t>–</w:t>
      </w:r>
      <w:r w:rsidRPr="00F12A15">
        <w:t>14) of the regulatory control period. Powerlink expects to underspend its non-load driven capex by $592 million ($2016</w:t>
      </w:r>
      <w:r w:rsidR="00CB260C">
        <w:t>–</w:t>
      </w:r>
      <w:r w:rsidRPr="00F12A15">
        <w:t xml:space="preserve">17) or 40 per cent </w:t>
      </w:r>
      <w:r>
        <w:lastRenderedPageBreak/>
        <w:t>compared to our regulatory determination for</w:t>
      </w:r>
      <w:r w:rsidRPr="00F12A15">
        <w:t xml:space="preserve"> the 2013</w:t>
      </w:r>
      <w:r w:rsidR="00CB260C">
        <w:t>–</w:t>
      </w:r>
      <w:r w:rsidRPr="00F12A15">
        <w:t>17 regulatory control period.</w:t>
      </w:r>
      <w:r w:rsidRPr="00F12A15">
        <w:rPr>
          <w:rStyle w:val="FootnoteReference"/>
        </w:rPr>
        <w:footnoteReference w:id="80"/>
      </w:r>
      <w:r w:rsidRPr="00F12A15">
        <w:t xml:space="preserve"> Powerlink </w:t>
      </w:r>
      <w:r>
        <w:t xml:space="preserve">has underspent its </w:t>
      </w:r>
      <w:r w:rsidRPr="00F12A15">
        <w:t xml:space="preserve">capex </w:t>
      </w:r>
      <w:r>
        <w:t xml:space="preserve">forecast </w:t>
      </w:r>
      <w:r w:rsidRPr="00F12A15">
        <w:t xml:space="preserve">for all the non-load driven capex categories (repex, security and compliance, and ‘other’). </w:t>
      </w:r>
    </w:p>
    <w:p w:rsidR="008C7B59" w:rsidRPr="00F12A15" w:rsidRDefault="008C7B59" w:rsidP="008C7B59">
      <w:r w:rsidRPr="00F12A15">
        <w:t>Powerlink identified the following drivers for the capex underspend during the 201</w:t>
      </w:r>
      <w:r>
        <w:t>2–17</w:t>
      </w:r>
      <w:r w:rsidRPr="00F12A15">
        <w:t xml:space="preserve"> regulatory control period:</w:t>
      </w:r>
      <w:r w:rsidRPr="00F12A15">
        <w:rPr>
          <w:rStyle w:val="FootnoteReference"/>
        </w:rPr>
        <w:footnoteReference w:id="81"/>
      </w:r>
    </w:p>
    <w:p w:rsidR="008C7B59" w:rsidRPr="00F12A15" w:rsidRDefault="008C7B59" w:rsidP="008C7B59">
      <w:pPr>
        <w:pStyle w:val="AERbulletlistfirststyle"/>
      </w:pPr>
      <w:r w:rsidRPr="00F12A15">
        <w:t>refinement of project scope and timing as a result of a review of ongoing asset requirements in the context of the unexpected downturn in forecast demand</w:t>
      </w:r>
      <w:r>
        <w:t xml:space="preserve"> (38 per cent of underspend)</w:t>
      </w:r>
    </w:p>
    <w:p w:rsidR="008C7B59" w:rsidRPr="00F12A15" w:rsidRDefault="008C7B59" w:rsidP="008C7B59">
      <w:pPr>
        <w:pStyle w:val="AERbulletlistfirststyle"/>
      </w:pPr>
      <w:r w:rsidRPr="00F12A15">
        <w:t>refinement of project scope and timing arising from more detailed asset condition assessment</w:t>
      </w:r>
      <w:r>
        <w:t xml:space="preserve"> (24 per cent of underspend)</w:t>
      </w:r>
    </w:p>
    <w:p w:rsidR="008C7B59" w:rsidRPr="00F12A15" w:rsidRDefault="008C7B59" w:rsidP="008C7B59">
      <w:pPr>
        <w:pStyle w:val="AERbulletlistfirststyle"/>
      </w:pPr>
      <w:r w:rsidRPr="00F12A15">
        <w:t xml:space="preserve">achievement of lower that forecast </w:t>
      </w:r>
      <w:r>
        <w:t>costs</w:t>
      </w:r>
      <w:r w:rsidRPr="00F12A15">
        <w:t xml:space="preserve"> for work, due primarily to softer market conditions</w:t>
      </w:r>
      <w:r>
        <w:t>, a pilot program for transmission line refits,</w:t>
      </w:r>
      <w:r w:rsidRPr="00F12A15">
        <w:t xml:space="preserve"> and improvements to its contracting strategy</w:t>
      </w:r>
      <w:r>
        <w:t xml:space="preserve"> (25 per cent of underspend)</w:t>
      </w:r>
      <w:r w:rsidRPr="00F12A15">
        <w:t>.</w:t>
      </w:r>
    </w:p>
    <w:p w:rsidR="008C7B59" w:rsidRDefault="008C7B59" w:rsidP="008C7B59">
      <w:r>
        <w:t xml:space="preserve">The unexpected reduction in forecast demand was a significant driver of Powerlink's underspending of non-load driven capex in the 2012–17 regulatory control </w:t>
      </w:r>
      <w:proofErr w:type="gramStart"/>
      <w:r>
        <w:t>period</w:t>
      </w:r>
      <w:proofErr w:type="gramEnd"/>
      <w:r>
        <w:t>. However, it is concern</w:t>
      </w:r>
      <w:r w:rsidR="00A52AFF">
        <w:t>ing that Powerlink</w:t>
      </w:r>
      <w:r>
        <w:t xml:space="preserve"> </w:t>
      </w:r>
      <w:r w:rsidR="007C3024">
        <w:t xml:space="preserve">significantly </w:t>
      </w:r>
      <w:r>
        <w:t>underspent its forecast capex as a result of the</w:t>
      </w:r>
      <w:r w:rsidRPr="00F12A15">
        <w:t xml:space="preserve"> </w:t>
      </w:r>
      <w:r>
        <w:t xml:space="preserve">deferral, </w:t>
      </w:r>
      <w:r w:rsidRPr="00F12A15">
        <w:t>re-scoping</w:t>
      </w:r>
      <w:r>
        <w:t xml:space="preserve"> and reduced cost of planned repex </w:t>
      </w:r>
      <w:r w:rsidR="007C3024">
        <w:t xml:space="preserve">following a more detailed project-level analysis of options </w:t>
      </w:r>
      <w:r>
        <w:t>bas</w:t>
      </w:r>
      <w:r w:rsidR="007C3024">
        <w:t>ed on updated condition data</w:t>
      </w:r>
      <w:r>
        <w:t>. In our view, this suggests</w:t>
      </w:r>
      <w:r w:rsidRPr="00F12A15">
        <w:t xml:space="preserve"> a </w:t>
      </w:r>
      <w:r w:rsidR="00BF2423">
        <w:t>historical</w:t>
      </w:r>
      <w:r w:rsidRPr="00F12A15">
        <w:t xml:space="preserve"> bias towards over-forecasting the scope, timing and cost of work required. </w:t>
      </w:r>
      <w:r>
        <w:t>This in turn brings into question</w:t>
      </w:r>
      <w:r w:rsidRPr="00F12A15">
        <w:t xml:space="preserve"> Powerlink’s historical asset </w:t>
      </w:r>
      <w:r w:rsidR="00D06E8A">
        <w:t>refurbishment</w:t>
      </w:r>
      <w:r w:rsidR="00D06E8A" w:rsidRPr="00F12A15">
        <w:t xml:space="preserve"> </w:t>
      </w:r>
      <w:r w:rsidRPr="00F12A15">
        <w:t xml:space="preserve">and replacement </w:t>
      </w:r>
      <w:r>
        <w:t xml:space="preserve">governance policies and </w:t>
      </w:r>
      <w:r w:rsidRPr="00F12A15">
        <w:t xml:space="preserve">practices. </w:t>
      </w:r>
      <w:r>
        <w:t>We have considered these issues further as part of our forecasting methodology review below.</w:t>
      </w:r>
    </w:p>
    <w:p w:rsidR="008C7B59" w:rsidRDefault="008C7B59" w:rsidP="008C7B59">
      <w:r w:rsidRPr="00F12A15">
        <w:t xml:space="preserve">Notwithstanding these concerns, on the basis of our review of Powerlink’s historic asset failure and outage and system reliability performance (of which further details are discussed in the network health indicators section below), we consider that Powerlink’s </w:t>
      </w:r>
      <w:r w:rsidRPr="0013399B">
        <w:t xml:space="preserve">past expenditure has been sufficient to maintain the quality, reliability and security of supply of </w:t>
      </w:r>
      <w:r>
        <w:t xml:space="preserve">its </w:t>
      </w:r>
      <w:r w:rsidRPr="0013399B">
        <w:t>prescribed transmission services.</w:t>
      </w:r>
    </w:p>
    <w:p w:rsidR="008C7B59" w:rsidRDefault="008C7B59" w:rsidP="008C7B59">
      <w:pPr>
        <w:pStyle w:val="HeadingBoldBlue"/>
      </w:pPr>
      <w:r>
        <w:t xml:space="preserve">Forecasting methodology review </w:t>
      </w:r>
    </w:p>
    <w:p w:rsidR="008C7B59" w:rsidRDefault="008C7B59" w:rsidP="008C7B59">
      <w:r w:rsidRPr="00167F38">
        <w:t>We have</w:t>
      </w:r>
      <w:r>
        <w:t xml:space="preserve"> reviewed Powerlink's expenditure forecasting methodology for non-load driven capex, including key input assumptions, to assess whether the resulting capex forecast reasonably reflects the capex criteria. In doing so, we have drawn on the engineering and technical expertise of our consultants, EMCa, as well as the information provided in Powerlink's revenue proposal and submissions from stakeholders.</w:t>
      </w:r>
    </w:p>
    <w:p w:rsidR="008C7B59" w:rsidRDefault="008C7B59" w:rsidP="008C7B59">
      <w:r>
        <w:lastRenderedPageBreak/>
        <w:t>Our assessment of key issues identified in relation to Powerlink's forecasting methodology and assumptions is set out below.</w:t>
      </w:r>
    </w:p>
    <w:p w:rsidR="008C7B59" w:rsidRDefault="008C7B59" w:rsidP="008C7B59">
      <w:pPr>
        <w:pStyle w:val="HeadingBoldItalic"/>
      </w:pPr>
      <w:r>
        <w:t>Repex model</w:t>
      </w:r>
    </w:p>
    <w:p w:rsidR="008C7B59" w:rsidRDefault="008C7B59" w:rsidP="008C7B59">
      <w:r>
        <w:t>Powerlink used a modified version of the AER's repex model</w:t>
      </w:r>
      <w:r>
        <w:rPr>
          <w:rStyle w:val="FootnoteReference"/>
        </w:rPr>
        <w:footnoteReference w:id="82"/>
      </w:r>
      <w:r>
        <w:t xml:space="preserve"> to forecast repex requirements in the 2017–22 regulatory control </w:t>
      </w:r>
      <w:proofErr w:type="gramStart"/>
      <w:r>
        <w:t>period</w:t>
      </w:r>
      <w:proofErr w:type="gramEnd"/>
      <w:r>
        <w:t xml:space="preserve"> for the following asset categories:</w:t>
      </w:r>
      <w:r>
        <w:rPr>
          <w:rStyle w:val="FootnoteReference"/>
        </w:rPr>
        <w:footnoteReference w:id="83"/>
      </w:r>
    </w:p>
    <w:p w:rsidR="008C7B59" w:rsidRDefault="008C7B59" w:rsidP="008C7B59">
      <w:pPr>
        <w:pStyle w:val="AERbulletlistfirststyle"/>
      </w:pPr>
      <w:r>
        <w:t>transmission line structures – tower rebuilds and refits by corrosion zone;</w:t>
      </w:r>
    </w:p>
    <w:p w:rsidR="008C7B59" w:rsidRDefault="008C7B59" w:rsidP="008C7B59">
      <w:pPr>
        <w:pStyle w:val="AERbulletlistfirststyle"/>
      </w:pPr>
      <w:r>
        <w:t>substation switchgear – circuit breakers, isolators/earth switches, voltage transformers (VTs) and current transformers (CTs);</w:t>
      </w:r>
    </w:p>
    <w:p w:rsidR="008C7B59" w:rsidRDefault="008C7B59" w:rsidP="008C7B59">
      <w:pPr>
        <w:pStyle w:val="AERbulletlistfirststyle"/>
      </w:pPr>
      <w:r>
        <w:t>secondary systems and telecommunications – bay and non-bay secondary systems, telecommunications and metering; and</w:t>
      </w:r>
    </w:p>
    <w:p w:rsidR="008C7B59" w:rsidRDefault="008C7B59" w:rsidP="008C7B59">
      <w:pPr>
        <w:pStyle w:val="AERbulletlistfirststyle"/>
      </w:pPr>
      <w:proofErr w:type="gramStart"/>
      <w:r>
        <w:t>substation</w:t>
      </w:r>
      <w:proofErr w:type="gramEnd"/>
      <w:r>
        <w:t xml:space="preserve"> buildings and infrastructure – substation buildings, communications buildings and site infrastructure.</w:t>
      </w:r>
    </w:p>
    <w:p w:rsidR="008C7B59" w:rsidRDefault="008C7B59" w:rsidP="008C7B59">
      <w:r>
        <w:t>Other asset types have been excluded from the repex model, either because Powerlink has not forecast any reinvestment need in the 2017–22 regulatory control period (conductors, underground cables and reactive plant) or because they are low volume, high cost assets more suited to individual needs-based forecast (power transformers). Powerlink has also excluded forecast capex for committed projects it expects to complete in the 2017–22 regulatory control period.</w:t>
      </w:r>
      <w:r>
        <w:rPr>
          <w:rStyle w:val="FootnoteReference"/>
        </w:rPr>
        <w:footnoteReference w:id="84"/>
      </w:r>
      <w:r>
        <w:t xml:space="preserve"> Overall, forecasts derived from the repex model make up approximately 74 per cent of Powerlink's total forecast capex for the 2017–22 regulatory control </w:t>
      </w:r>
      <w:proofErr w:type="gramStart"/>
      <w:r>
        <w:t>period</w:t>
      </w:r>
      <w:proofErr w:type="gramEnd"/>
      <w:r>
        <w:t>.</w:t>
      </w:r>
      <w:r>
        <w:rPr>
          <w:rStyle w:val="FootnoteReference"/>
        </w:rPr>
        <w:footnoteReference w:id="85"/>
      </w:r>
    </w:p>
    <w:p w:rsidR="008C7B59" w:rsidRDefault="008C7B59" w:rsidP="008C7B59">
      <w:r>
        <w:t xml:space="preserve">Powerlink's 2017–22 revenue </w:t>
      </w:r>
      <w:proofErr w:type="gramStart"/>
      <w:r>
        <w:t>proposal</w:t>
      </w:r>
      <w:proofErr w:type="gramEnd"/>
      <w:r>
        <w:t xml:space="preserve"> is the first time that a transmission network service provider has used the repex model to forecast a significant proportion of its capex requirements. In doing so, Powerlink has applied a range of modelling approaches, data inputs and assumptions to arrive at a capex forecast which it considers reasonably reflects a prudent and efficient forecast of required capex. The key aspects of Powerlink's approach in forecasting its repex requirements using the repex model include:</w:t>
      </w:r>
    </w:p>
    <w:p w:rsidR="008C7B59" w:rsidRDefault="008C7B59" w:rsidP="008C7B59">
      <w:pPr>
        <w:pStyle w:val="AERbulletlistfirststyle"/>
      </w:pPr>
      <w:r>
        <w:t xml:space="preserve">the use of regulatory information notice (RIN) data to populate the model, and the application of a range of adjustments to that input data; </w:t>
      </w:r>
    </w:p>
    <w:p w:rsidR="008C7B59" w:rsidRDefault="008C7B59" w:rsidP="008C7B59">
      <w:pPr>
        <w:pStyle w:val="AERbulletlistfirststyle"/>
      </w:pPr>
      <w:r>
        <w:lastRenderedPageBreak/>
        <w:t>the methodology used to calibrate the model, including the use of historical replacement volumes to calculate average asset replacement lives; and</w:t>
      </w:r>
    </w:p>
    <w:p w:rsidR="008C7B59" w:rsidRDefault="008C7B59" w:rsidP="008C7B59">
      <w:pPr>
        <w:pStyle w:val="AERbulletlistfirststyle"/>
      </w:pPr>
      <w:proofErr w:type="gramStart"/>
      <w:r>
        <w:t>the</w:t>
      </w:r>
      <w:proofErr w:type="gramEnd"/>
      <w:r>
        <w:t xml:space="preserve"> unit rates applied to the forecast asset quantities to produce the repex forecast.</w:t>
      </w:r>
    </w:p>
    <w:p w:rsidR="008C7B59" w:rsidRDefault="008C7B59" w:rsidP="008C7B59">
      <w:r>
        <w:t>Powerlink supported its repex model based forecast with a sample of likely future projects to provide an indication of the type and scale of work it expects to undertake in the 2017–22 regulatory control period. Powerlink highlighted that the sample projects did not represent</w:t>
      </w:r>
      <w:r w:rsidRPr="00175684">
        <w:t xml:space="preserve"> a firm program of work</w:t>
      </w:r>
      <w:r>
        <w:t>, and that the</w:t>
      </w:r>
      <w:r w:rsidRPr="00175684">
        <w:t xml:space="preserve"> </w:t>
      </w:r>
      <w:r>
        <w:t>estimated cost of most of these sample projects was not directly reflected in its capex forecast.</w:t>
      </w:r>
      <w:r>
        <w:rPr>
          <w:rStyle w:val="FootnoteReference"/>
        </w:rPr>
        <w:footnoteReference w:id="86"/>
      </w:r>
      <w:r>
        <w:t xml:space="preserve"> </w:t>
      </w:r>
    </w:p>
    <w:p w:rsidR="008C7B59" w:rsidRDefault="008C7B59" w:rsidP="008C7B59">
      <w:r>
        <w:t>Powerlink's use of the repex model was foreshadowed in its expenditure forecasting methodology, and considered by the AER and other stakeholders through the Framework and Approa</w:t>
      </w:r>
      <w:r w:rsidR="00E9650D">
        <w:t>ch process for Powerlink's 2017</w:t>
      </w:r>
      <w:r>
        <w:t xml:space="preserve">–22 regulatory review. At that time, CCP </w:t>
      </w:r>
      <w:r w:rsidR="00E9650D">
        <w:t xml:space="preserve">members (Jo De Silva and David Headberry) </w:t>
      </w:r>
      <w:r>
        <w:t>submitted that Powerlink's capex forecasting methodology</w:t>
      </w:r>
      <w:r w:rsidRPr="00590B3F">
        <w:t xml:space="preserve"> </w:t>
      </w:r>
      <w:r w:rsidRPr="00317DCA">
        <w:t>would not provide sufficient information as to the governance behind the development of the capex allowance, the risk assessments made underpinning the capex forecasts, the structure of cost inputs and the need for the capex claimed</w:t>
      </w:r>
      <w:r>
        <w:t>.</w:t>
      </w:r>
      <w:r>
        <w:rPr>
          <w:rStyle w:val="FootnoteReference"/>
        </w:rPr>
        <w:footnoteReference w:id="87"/>
      </w:r>
      <w:r>
        <w:t xml:space="preserve"> In our final Framework and Approach for Powerlink, we noted that:</w:t>
      </w:r>
      <w:r>
        <w:rPr>
          <w:rStyle w:val="FootnoteReference"/>
        </w:rPr>
        <w:footnoteReference w:id="88"/>
      </w:r>
    </w:p>
    <w:p w:rsidR="008C7B59" w:rsidRDefault="008C7B59" w:rsidP="008C7B59">
      <w:pPr>
        <w:pStyle w:val="AERbulletlistfirststyle"/>
      </w:pPr>
      <w:r>
        <w:t>w</w:t>
      </w:r>
      <w:r w:rsidRPr="00AB4CDC">
        <w:t xml:space="preserve">e continue to expect that the major technique used in forecasting capex will be </w:t>
      </w:r>
      <w:r>
        <w:t>a project based 'bottom-up' basis; and</w:t>
      </w:r>
    </w:p>
    <w:p w:rsidR="008C7B59" w:rsidRDefault="008C7B59" w:rsidP="008C7B59">
      <w:pPr>
        <w:pStyle w:val="AERbulletlistfirststyle"/>
      </w:pPr>
      <w:r>
        <w:t xml:space="preserve"> </w:t>
      </w:r>
      <w:r w:rsidRPr="00A60FF1">
        <w:t xml:space="preserve">Powerlink may make use of </w:t>
      </w:r>
      <w:r>
        <w:t>the repex model as a basis for</w:t>
      </w:r>
      <w:r w:rsidRPr="00A60FF1">
        <w:t xml:space="preserve"> forecasting but if we</w:t>
      </w:r>
      <w:r>
        <w:t xml:space="preserve"> consider it is inappropriate for</w:t>
      </w:r>
      <w:r w:rsidRPr="00A60FF1">
        <w:t xml:space="preserve"> a particular expenditure</w:t>
      </w:r>
      <w:r>
        <w:t>, Powerlink would</w:t>
      </w:r>
      <w:r w:rsidRPr="00A60FF1">
        <w:t xml:space="preserve"> be at risk of that proposal being rejected or substantially amended.</w:t>
      </w:r>
    </w:p>
    <w:p w:rsidR="008C7B59" w:rsidRDefault="00E9650D" w:rsidP="008C7B59">
      <w:r>
        <w:t xml:space="preserve">The </w:t>
      </w:r>
      <w:r w:rsidR="008C7B59">
        <w:t xml:space="preserve">CCP </w:t>
      </w:r>
      <w:r>
        <w:t xml:space="preserve">members' submission on Powerlink's revenue proposal </w:t>
      </w:r>
      <w:r w:rsidR="008C7B59">
        <w:t xml:space="preserve">reiterated </w:t>
      </w:r>
      <w:r>
        <w:t xml:space="preserve">their </w:t>
      </w:r>
      <w:r w:rsidR="008C7B59">
        <w:t>concerns with Powerlink's repex forecasting methodology, and submitted that:</w:t>
      </w:r>
      <w:r w:rsidR="008C7B59">
        <w:rPr>
          <w:rStyle w:val="FootnoteReference"/>
        </w:rPr>
        <w:footnoteReference w:id="89"/>
      </w:r>
    </w:p>
    <w:p w:rsidR="008C7B59" w:rsidRDefault="008C7B59" w:rsidP="008C7B59">
      <w:pPr>
        <w:pStyle w:val="AERbulletlistfirststyle"/>
      </w:pPr>
      <w:r>
        <w:t>a</w:t>
      </w:r>
      <w:r w:rsidRPr="00FE4EA4">
        <w:t>n</w:t>
      </w:r>
      <w:r>
        <w:t xml:space="preserve"> </w:t>
      </w:r>
      <w:r w:rsidRPr="00FE4EA4">
        <w:t>appropriate</w:t>
      </w:r>
      <w:r>
        <w:t xml:space="preserve"> </w:t>
      </w:r>
      <w:r w:rsidRPr="00FE4EA4">
        <w:t>mix</w:t>
      </w:r>
      <w:r>
        <w:t xml:space="preserve"> </w:t>
      </w:r>
      <w:r w:rsidRPr="00FE4EA4">
        <w:t>of</w:t>
      </w:r>
      <w:r>
        <w:t xml:space="preserve"> </w:t>
      </w:r>
      <w:r w:rsidRPr="00FE4EA4">
        <w:t>top</w:t>
      </w:r>
      <w:r>
        <w:t xml:space="preserve"> </w:t>
      </w:r>
      <w:r w:rsidRPr="00FE4EA4">
        <w:t>down</w:t>
      </w:r>
      <w:r>
        <w:t xml:space="preserve"> </w:t>
      </w:r>
      <w:r w:rsidRPr="00FE4EA4">
        <w:t>and</w:t>
      </w:r>
      <w:r>
        <w:t xml:space="preserve"> </w:t>
      </w:r>
      <w:r w:rsidRPr="00FE4EA4">
        <w:t>bottom</w:t>
      </w:r>
      <w:r>
        <w:t xml:space="preserve"> </w:t>
      </w:r>
      <w:r w:rsidRPr="00FE4EA4">
        <w:t>up</w:t>
      </w:r>
      <w:r>
        <w:t xml:space="preserve"> </w:t>
      </w:r>
      <w:r w:rsidRPr="00FE4EA4">
        <w:t>forecasting</w:t>
      </w:r>
      <w:r>
        <w:t xml:space="preserve"> </w:t>
      </w:r>
      <w:r w:rsidRPr="00FE4EA4">
        <w:t>is</w:t>
      </w:r>
      <w:r>
        <w:t xml:space="preserve"> </w:t>
      </w:r>
      <w:r w:rsidRPr="00FE4EA4">
        <w:t>required</w:t>
      </w:r>
      <w:r>
        <w:t xml:space="preserve"> </w:t>
      </w:r>
      <w:r w:rsidRPr="00FE4EA4">
        <w:t>to</w:t>
      </w:r>
      <w:r>
        <w:t xml:space="preserve"> </w:t>
      </w:r>
      <w:r w:rsidRPr="00FE4EA4">
        <w:t>demonstrate</w:t>
      </w:r>
      <w:r>
        <w:t xml:space="preserve">  t</w:t>
      </w:r>
      <w:r w:rsidRPr="00FE4EA4">
        <w:t>he</w:t>
      </w:r>
      <w:r>
        <w:t xml:space="preserve"> </w:t>
      </w:r>
      <w:r w:rsidRPr="00FE4EA4">
        <w:t>prudency</w:t>
      </w:r>
      <w:r>
        <w:t xml:space="preserve"> </w:t>
      </w:r>
      <w:r w:rsidRPr="00FE4EA4">
        <w:t>and</w:t>
      </w:r>
      <w:r>
        <w:t xml:space="preserve"> </w:t>
      </w:r>
      <w:r w:rsidRPr="00FE4EA4">
        <w:t>efficiency</w:t>
      </w:r>
      <w:r>
        <w:t xml:space="preserve"> </w:t>
      </w:r>
      <w:r w:rsidRPr="00FE4EA4">
        <w:t>of</w:t>
      </w:r>
      <w:r>
        <w:t xml:space="preserve"> </w:t>
      </w:r>
      <w:r w:rsidRPr="00FE4EA4">
        <w:t>Powerlink’s</w:t>
      </w:r>
      <w:r>
        <w:t xml:space="preserve"> </w:t>
      </w:r>
      <w:r w:rsidRPr="00FE4EA4">
        <w:t>proposed</w:t>
      </w:r>
      <w:r>
        <w:t xml:space="preserve"> </w:t>
      </w:r>
      <w:r w:rsidRPr="00FE4EA4">
        <w:t>repex</w:t>
      </w:r>
      <w:r>
        <w:t>;</w:t>
      </w:r>
    </w:p>
    <w:p w:rsidR="008C7B59" w:rsidRPr="00D87C42" w:rsidRDefault="008C7B59" w:rsidP="008C7B59">
      <w:pPr>
        <w:pStyle w:val="AERbulletlistfirststyle"/>
      </w:pPr>
      <w:r>
        <w:t>Powerlink's forecasting approach is overly reliant on the use of its historical repex costs,</w:t>
      </w:r>
      <w:r w:rsidRPr="00590B3F">
        <w:t xml:space="preserve"> </w:t>
      </w:r>
      <w:r w:rsidRPr="00456821">
        <w:t>which have not been demonstrated to be efficient</w:t>
      </w:r>
      <w:r>
        <w:t>;</w:t>
      </w:r>
    </w:p>
    <w:p w:rsidR="008C7B59" w:rsidRDefault="008C7B59" w:rsidP="008C7B59">
      <w:pPr>
        <w:pStyle w:val="AERbulletlistfirststyle"/>
      </w:pPr>
      <w:r>
        <w:t>Powerlink's repex proposal is not justified by asset condition information and is based on excessively conservative and predominately qualitative risk assessments;</w:t>
      </w:r>
    </w:p>
    <w:p w:rsidR="008C7B59" w:rsidRDefault="008C7B59" w:rsidP="008C7B59">
      <w:pPr>
        <w:pStyle w:val="AERbulletlistfirststyle"/>
      </w:pPr>
      <w:r>
        <w:t xml:space="preserve">Powerlink's </w:t>
      </w:r>
      <w:r w:rsidRPr="00FE4EA4">
        <w:t>assumed</w:t>
      </w:r>
      <w:r>
        <w:t xml:space="preserve"> standard </w:t>
      </w:r>
      <w:r w:rsidRPr="00FE4EA4">
        <w:t>asset</w:t>
      </w:r>
      <w:r>
        <w:t xml:space="preserve"> </w:t>
      </w:r>
      <w:r w:rsidRPr="00FE4EA4">
        <w:t>lives</w:t>
      </w:r>
      <w:r>
        <w:t xml:space="preserve"> </w:t>
      </w:r>
      <w:r w:rsidRPr="00FE4EA4">
        <w:t>are</w:t>
      </w:r>
      <w:r>
        <w:t xml:space="preserve"> </w:t>
      </w:r>
      <w:r w:rsidRPr="00FE4EA4">
        <w:t>much</w:t>
      </w:r>
      <w:r>
        <w:t xml:space="preserve"> </w:t>
      </w:r>
      <w:r w:rsidRPr="00FE4EA4">
        <w:t>shorter</w:t>
      </w:r>
      <w:r>
        <w:t xml:space="preserve"> </w:t>
      </w:r>
      <w:r w:rsidRPr="00FE4EA4">
        <w:t>than</w:t>
      </w:r>
      <w:r>
        <w:t xml:space="preserve"> </w:t>
      </w:r>
      <w:r w:rsidRPr="00FE4EA4">
        <w:t>the</w:t>
      </w:r>
      <w:r>
        <w:t xml:space="preserve"> </w:t>
      </w:r>
      <w:r w:rsidRPr="00FE4EA4">
        <w:t>asset</w:t>
      </w:r>
      <w:r>
        <w:t xml:space="preserve"> </w:t>
      </w:r>
      <w:r w:rsidRPr="00FE4EA4">
        <w:t>lives</w:t>
      </w:r>
      <w:r>
        <w:t xml:space="preserve"> being achieved </w:t>
      </w:r>
      <w:r w:rsidRPr="00FE4EA4">
        <w:t>by</w:t>
      </w:r>
      <w:r>
        <w:t xml:space="preserve"> </w:t>
      </w:r>
      <w:r w:rsidRPr="00FE4EA4">
        <w:t>other</w:t>
      </w:r>
      <w:r>
        <w:t xml:space="preserve"> </w:t>
      </w:r>
      <w:r w:rsidRPr="00FE4EA4">
        <w:t>networks</w:t>
      </w:r>
      <w:r>
        <w:t>; and</w:t>
      </w:r>
    </w:p>
    <w:p w:rsidR="008C7B59" w:rsidRDefault="008C7B59" w:rsidP="008C7B59">
      <w:pPr>
        <w:pStyle w:val="AERbulletlistfirststyle"/>
      </w:pPr>
      <w:r>
        <w:lastRenderedPageBreak/>
        <w:t>Powerlink has not identified the outcomes, in terms of system performance, that its repex proposal would deliver.</w:t>
      </w:r>
    </w:p>
    <w:p w:rsidR="008C7B59" w:rsidRDefault="008C7B59" w:rsidP="008C7B59">
      <w:r w:rsidRPr="00317DCA">
        <w:t>Our expenditure forecasting asses</w:t>
      </w:r>
      <w:r>
        <w:t xml:space="preserve">sment guideline </w:t>
      </w:r>
      <w:r w:rsidRPr="00317DCA">
        <w:t>recognises that a range of different estimating techniques may be employed to develop an expenditure forecast.</w:t>
      </w:r>
      <w:r>
        <w:rPr>
          <w:rStyle w:val="FootnoteReference"/>
        </w:rPr>
        <w:footnoteReference w:id="90"/>
      </w:r>
      <w:r>
        <w:t xml:space="preserve"> </w:t>
      </w:r>
      <w:r w:rsidRPr="00BB483E">
        <w:t xml:space="preserve">Our concern is to ensure that the </w:t>
      </w:r>
      <w:r>
        <w:t>forecasting</w:t>
      </w:r>
      <w:r w:rsidRPr="00BB483E">
        <w:t xml:space="preserve"> techniques employe</w:t>
      </w:r>
      <w:r>
        <w:t>d provide a reasonable assessment of</w:t>
      </w:r>
      <w:r w:rsidRPr="00BB483E">
        <w:t xml:space="preserve"> </w:t>
      </w:r>
      <w:r>
        <w:t xml:space="preserve">Powerlink's </w:t>
      </w:r>
      <w:r w:rsidRPr="00BB483E">
        <w:t xml:space="preserve">prudent and efficient future </w:t>
      </w:r>
      <w:r>
        <w:t>capex</w:t>
      </w:r>
      <w:r w:rsidRPr="00BB483E">
        <w:t xml:space="preserve"> requir</w:t>
      </w:r>
      <w:r>
        <w:t>ements</w:t>
      </w:r>
      <w:r w:rsidRPr="00BB483E">
        <w:t xml:space="preserve">. </w:t>
      </w:r>
      <w:r>
        <w:t>Noting the concerns raised by the CCP</w:t>
      </w:r>
      <w:r w:rsidR="00E9650D">
        <w:t xml:space="preserve"> members</w:t>
      </w:r>
      <w:r>
        <w:t>, and the significant contribution of predictive repex modelling to Powerlink's overall capex forecast, we sought advice from EMCa to identify any systemic issues with Powerlink's forecasting approach.</w:t>
      </w:r>
    </w:p>
    <w:p w:rsidR="008C7B59" w:rsidRDefault="008C7B59" w:rsidP="008C7B59">
      <w:r>
        <w:t>EMCa reviewed Powerlink's repex forecasting methodology, including the underlying inputs and assumptions, capex governance and management policies, and a sample of historical and forecast project documentation.</w:t>
      </w:r>
      <w:r>
        <w:rPr>
          <w:rStyle w:val="FootnoteReference"/>
        </w:rPr>
        <w:footnoteReference w:id="91"/>
      </w:r>
      <w:r w:rsidR="00E54B8E">
        <w:t xml:space="preserve"> We have also drawn on our own internal technical and engineering expertise as part of this assessment, including </w:t>
      </w:r>
      <w:proofErr w:type="gramStart"/>
      <w:r w:rsidR="00E54B8E">
        <w:t>to critically review and test</w:t>
      </w:r>
      <w:proofErr w:type="gramEnd"/>
      <w:r w:rsidR="00E54B8E">
        <w:t xml:space="preserve"> EMCa's analysis and findings.</w:t>
      </w:r>
      <w:r w:rsidR="00EC6F81">
        <w:t xml:space="preserve"> EMCA's advice and our views are detailed below.</w:t>
      </w:r>
    </w:p>
    <w:p w:rsidR="008C7B59" w:rsidRDefault="008C7B59" w:rsidP="008C7B59">
      <w:r>
        <w:t xml:space="preserve">EMCa summarised Powerlink's repex forecasting process as shown in </w:t>
      </w:r>
      <w:r w:rsidRPr="008C7B59">
        <w:fldChar w:fldCharType="begin"/>
      </w:r>
      <w:r>
        <w:instrText xml:space="preserve"> REF _Ref460505593 </w:instrText>
      </w:r>
      <w:r w:rsidRPr="008C7B59">
        <w:fldChar w:fldCharType="separate"/>
      </w:r>
      <w:r w:rsidR="005252EC">
        <w:t xml:space="preserve">Figure </w:t>
      </w:r>
      <w:r w:rsidR="005252EC">
        <w:rPr>
          <w:noProof/>
        </w:rPr>
        <w:t>6</w:t>
      </w:r>
      <w:r w:rsidR="005252EC">
        <w:t>.</w:t>
      </w:r>
      <w:r w:rsidR="005252EC">
        <w:rPr>
          <w:noProof/>
        </w:rPr>
        <w:t>6</w:t>
      </w:r>
      <w:r w:rsidRPr="008C7B59">
        <w:fldChar w:fldCharType="end"/>
      </w:r>
      <w:r>
        <w:t>.</w:t>
      </w:r>
    </w:p>
    <w:p w:rsidR="008C7B59" w:rsidRDefault="008C7B59" w:rsidP="008C7B59">
      <w:pPr>
        <w:pStyle w:val="Caption"/>
      </w:pPr>
      <w:bookmarkStart w:id="223" w:name="_Ref460505593"/>
      <w:proofErr w:type="gramStart"/>
      <w:r>
        <w:t xml:space="preserve">Figure </w:t>
      </w:r>
      <w:fldSimple w:instr=" STYLEREF 1 \s ">
        <w:r w:rsidR="005252EC">
          <w:rPr>
            <w:noProof/>
          </w:rPr>
          <w:t>6</w:t>
        </w:r>
      </w:fldSimple>
      <w:r w:rsidR="00D504BF">
        <w:t>.</w:t>
      </w:r>
      <w:proofErr w:type="gramEnd"/>
      <w:r w:rsidR="005252EC">
        <w:fldChar w:fldCharType="begin"/>
      </w:r>
      <w:r w:rsidR="005252EC">
        <w:instrText xml:space="preserve"> SEQ Figure \* ARABIC \s 1 </w:instrText>
      </w:r>
      <w:r w:rsidR="005252EC">
        <w:fldChar w:fldCharType="separate"/>
      </w:r>
      <w:r w:rsidR="005252EC">
        <w:rPr>
          <w:noProof/>
        </w:rPr>
        <w:t>6</w:t>
      </w:r>
      <w:r w:rsidR="005252EC">
        <w:rPr>
          <w:noProof/>
        </w:rPr>
        <w:fldChar w:fldCharType="end"/>
      </w:r>
      <w:bookmarkEnd w:id="223"/>
      <w:r>
        <w:tab/>
        <w:t>Powerlink's repex forecasting process</w:t>
      </w:r>
      <w:r w:rsidRPr="00C351E1">
        <w:t xml:space="preserve"> </w:t>
      </w:r>
    </w:p>
    <w:p w:rsidR="00B8359B" w:rsidRPr="00B8359B" w:rsidRDefault="00B8359B" w:rsidP="00B8359B">
      <w:r w:rsidRPr="00B8359B">
        <w:rPr>
          <w:noProof/>
          <w:lang w:eastAsia="en-AU"/>
        </w:rPr>
        <w:drawing>
          <wp:inline distT="0" distB="0" distL="0" distR="0" wp14:anchorId="5540E9E5" wp14:editId="3659DF51">
            <wp:extent cx="5382895" cy="3175185"/>
            <wp:effectExtent l="0" t="0" r="825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2895" cy="3175185"/>
                    </a:xfrm>
                    <a:prstGeom prst="rect">
                      <a:avLst/>
                    </a:prstGeom>
                    <a:noFill/>
                    <a:ln>
                      <a:noFill/>
                    </a:ln>
                  </pic:spPr>
                </pic:pic>
              </a:graphicData>
            </a:graphic>
          </wp:inline>
        </w:drawing>
      </w:r>
    </w:p>
    <w:p w:rsidR="008C7B59" w:rsidRDefault="008C7B59" w:rsidP="008C7B59">
      <w:pPr>
        <w:pStyle w:val="AERtablesource"/>
      </w:pPr>
      <w:r>
        <w:t>Source:</w:t>
      </w:r>
      <w:r>
        <w:tab/>
        <w:t xml:space="preserve">EMCa, </w:t>
      </w:r>
      <w:r w:rsidRPr="00167F38">
        <w:rPr>
          <w:rStyle w:val="AERtextitalic"/>
        </w:rPr>
        <w:t>Review of forecast non-load driven capital expenditure</w:t>
      </w:r>
      <w:r w:rsidRPr="002A2777">
        <w:t>, July 2016</w:t>
      </w:r>
      <w:r>
        <w:t>, p. 31.</w:t>
      </w:r>
    </w:p>
    <w:p w:rsidR="008C7B59" w:rsidRDefault="008C7B59" w:rsidP="008C7B59">
      <w:r>
        <w:lastRenderedPageBreak/>
        <w:t>In relation to Powerlink's use of the repex model to forecast its non-load driven capex, EMCa found that:</w:t>
      </w:r>
    </w:p>
    <w:p w:rsidR="008C7B59" w:rsidRPr="00797A08" w:rsidRDefault="008C7B59" w:rsidP="008C7B59">
      <w:pPr>
        <w:pStyle w:val="AERbulletlistfirststyle"/>
      </w:pPr>
      <w:r w:rsidRPr="008853E4">
        <w:t xml:space="preserve">Powerlink’s use of </w:t>
      </w:r>
      <w:r w:rsidRPr="00797A08">
        <w:t>the repex model represents a significant departure from the capex forecasting methodology used for its previous revenue proposal, and</w:t>
      </w:r>
      <w:r>
        <w:t xml:space="preserve"> is coincident</w:t>
      </w:r>
      <w:r w:rsidRPr="00797A08">
        <w:t xml:space="preserve"> </w:t>
      </w:r>
      <w:r>
        <w:t>with a significant change in the primary driver of Powerlink's capex from growth to reinvestment;</w:t>
      </w:r>
      <w:r w:rsidR="005D15EC">
        <w:rPr>
          <w:rStyle w:val="FootnoteReference"/>
        </w:rPr>
        <w:footnoteReference w:id="92"/>
      </w:r>
    </w:p>
    <w:p w:rsidR="008C7B59" w:rsidRDefault="008C7B59" w:rsidP="008C7B59">
      <w:pPr>
        <w:pStyle w:val="AERbulletlistfirststyle"/>
      </w:pPr>
      <w:r>
        <w:t>Powerlink</w:t>
      </w:r>
      <w:r w:rsidRPr="00BB7A01">
        <w:t xml:space="preserve"> </w:t>
      </w:r>
      <w:r>
        <w:t>has</w:t>
      </w:r>
      <w:r w:rsidRPr="00BB7A01">
        <w:t xml:space="preserve"> adjust</w:t>
      </w:r>
      <w:r>
        <w:t>ed</w:t>
      </w:r>
      <w:r w:rsidRPr="00BB7A01">
        <w:t xml:space="preserve"> the input repex RIN data significa</w:t>
      </w:r>
      <w:r>
        <w:t>ntly with the aim of enhancing forecast accuracy (for example by excluding assets which it expects to decommi</w:t>
      </w:r>
      <w:r w:rsidRPr="00472171">
        <w:t>ssion but not replace</w:t>
      </w:r>
      <w:r>
        <w:t>),</w:t>
      </w:r>
      <w:r w:rsidRPr="00472171">
        <w:t xml:space="preserve"> </w:t>
      </w:r>
      <w:r>
        <w:t>and by introducing</w:t>
      </w:r>
      <w:r w:rsidRPr="00BB7A01">
        <w:t xml:space="preserve"> sub-categories</w:t>
      </w:r>
      <w:r>
        <w:t xml:space="preserve"> for various assets (for example, different corrosion zones for transmission towers);</w:t>
      </w:r>
      <w:r w:rsidR="00E65295">
        <w:rPr>
          <w:rStyle w:val="FootnoteReference"/>
        </w:rPr>
        <w:footnoteReference w:id="93"/>
      </w:r>
    </w:p>
    <w:p w:rsidR="008C7B59" w:rsidRDefault="008C7B59" w:rsidP="008C7B59">
      <w:pPr>
        <w:pStyle w:val="AERbulletlistfirststyle"/>
      </w:pPr>
      <w:r w:rsidRPr="00624D44">
        <w:t xml:space="preserve">Powerlink’s calibration model </w:t>
      </w:r>
      <w:r>
        <w:t>uses</w:t>
      </w:r>
      <w:r w:rsidRPr="00624D44">
        <w:t xml:space="preserve"> actual historical replacement volumes </w:t>
      </w:r>
      <w:r>
        <w:t xml:space="preserve">in the calibration period (2010–2015) </w:t>
      </w:r>
      <w:r w:rsidRPr="00624D44">
        <w:t xml:space="preserve">to calculate the average annual replacement volume </w:t>
      </w:r>
      <w:r>
        <w:t>and mean asset replacement life;</w:t>
      </w:r>
      <w:r w:rsidR="00E65295">
        <w:rPr>
          <w:rStyle w:val="FootnoteReference"/>
        </w:rPr>
        <w:footnoteReference w:id="94"/>
      </w:r>
      <w:r w:rsidRPr="00624D44">
        <w:t xml:space="preserve"> </w:t>
      </w:r>
    </w:p>
    <w:p w:rsidR="008C7B59" w:rsidRDefault="008C7B59" w:rsidP="008C7B59">
      <w:pPr>
        <w:pStyle w:val="AERbulletlistfirststyle"/>
      </w:pPr>
      <w:r w:rsidRPr="00624D44">
        <w:t>Powerlink’s repex forecasting</w:t>
      </w:r>
      <w:r>
        <w:t xml:space="preserve"> approach </w:t>
      </w:r>
      <w:r w:rsidRPr="00624D44">
        <w:t xml:space="preserve">takes the mean replacement lives determined </w:t>
      </w:r>
      <w:r>
        <w:t>by the</w:t>
      </w:r>
      <w:r w:rsidRPr="00624D44">
        <w:t xml:space="preserve"> calibration model and applies them to the asset age profile at the start of the forecast period to derive the reinvestm</w:t>
      </w:r>
      <w:r>
        <w:t>ent schedule;</w:t>
      </w:r>
      <w:r w:rsidR="00E65295">
        <w:rPr>
          <w:rStyle w:val="FootnoteReference"/>
        </w:rPr>
        <w:footnoteReference w:id="95"/>
      </w:r>
      <w:r>
        <w:t xml:space="preserve"> </w:t>
      </w:r>
    </w:p>
    <w:p w:rsidR="008C7B59" w:rsidRDefault="008C7B59" w:rsidP="008C7B59">
      <w:pPr>
        <w:pStyle w:val="AERbulletlistfirststyle"/>
      </w:pPr>
      <w:r>
        <w:t xml:space="preserve">the </w:t>
      </w:r>
      <w:r w:rsidRPr="00ED7A4C">
        <w:t>unit costs used to pr</w:t>
      </w:r>
      <w:r>
        <w:t>oduce Powerlink's</w:t>
      </w:r>
      <w:r w:rsidRPr="00ED7A4C">
        <w:t xml:space="preserve"> repex forecast</w:t>
      </w:r>
      <w:r>
        <w:t xml:space="preserve"> were based on</w:t>
      </w:r>
      <w:r w:rsidRPr="00ED7A4C">
        <w:t xml:space="preserve"> historical costs from actual projects and the most recent unit</w:t>
      </w:r>
      <w:r>
        <w:t xml:space="preserve"> costs observed in project tenders, benchmarked against industry average unit costs</w:t>
      </w:r>
      <w:r w:rsidRPr="00ED7A4C">
        <w:t xml:space="preserve"> produced independently by </w:t>
      </w:r>
      <w:r>
        <w:t xml:space="preserve">Powerlink's consultant </w:t>
      </w:r>
      <w:r w:rsidRPr="00ED7A4C">
        <w:t>Jacobs</w:t>
      </w:r>
      <w:r>
        <w:t>;</w:t>
      </w:r>
      <w:r>
        <w:rPr>
          <w:rStyle w:val="FootnoteReference"/>
        </w:rPr>
        <w:footnoteReference w:id="96"/>
      </w:r>
    </w:p>
    <w:p w:rsidR="008C7B59" w:rsidRDefault="008C7B59" w:rsidP="008C7B59">
      <w:pPr>
        <w:pStyle w:val="AERbulletlistfirststyle"/>
      </w:pPr>
      <w:r w:rsidRPr="00624D44">
        <w:t>Powerlink</w:t>
      </w:r>
      <w:r>
        <w:t>'s</w:t>
      </w:r>
      <w:r w:rsidRPr="00624D44">
        <w:t xml:space="preserve"> </w:t>
      </w:r>
      <w:r>
        <w:t xml:space="preserve">model </w:t>
      </w:r>
      <w:r w:rsidRPr="00624D44">
        <w:t>calibration and adjustments, when applied appropriately should produce a predictive replacement schedule that reflects historical practice</w:t>
      </w:r>
      <w:r>
        <w:t>;</w:t>
      </w:r>
      <w:r w:rsidR="00E65295">
        <w:rPr>
          <w:rStyle w:val="FootnoteReference"/>
        </w:rPr>
        <w:footnoteReference w:id="97"/>
      </w:r>
      <w:r w:rsidRPr="00624D44">
        <w:t xml:space="preserve"> </w:t>
      </w:r>
    </w:p>
    <w:p w:rsidR="008C7B59" w:rsidRDefault="008C7B59" w:rsidP="008C7B59">
      <w:pPr>
        <w:pStyle w:val="AERbulletlistfirststyle"/>
      </w:pPr>
      <w:r>
        <w:t>t</w:t>
      </w:r>
      <w:r w:rsidRPr="009C7B84">
        <w:t>he use of hi</w:t>
      </w:r>
      <w:r>
        <w:t>storical data to calibrate the repex m</w:t>
      </w:r>
      <w:r w:rsidRPr="009C7B84">
        <w:t>odel mean</w:t>
      </w:r>
      <w:r>
        <w:t xml:space="preserve">s that any lack of prudency </w:t>
      </w:r>
      <w:r w:rsidRPr="009C7B84">
        <w:t>or inefficiency in Powerlink’s management of its asset replacement program in the five year per</w:t>
      </w:r>
      <w:r>
        <w:t>iod used to calibrate the model</w:t>
      </w:r>
      <w:r w:rsidRPr="009C7B84">
        <w:t xml:space="preserve"> will deliver a repex forecas</w:t>
      </w:r>
      <w:r>
        <w:t>t that mirrors this performance;</w:t>
      </w:r>
      <w:r w:rsidR="00E65295">
        <w:rPr>
          <w:rStyle w:val="FootnoteReference"/>
        </w:rPr>
        <w:footnoteReference w:id="98"/>
      </w:r>
    </w:p>
    <w:p w:rsidR="008C7B59" w:rsidRDefault="008C7B59" w:rsidP="008C7B59">
      <w:pPr>
        <w:pStyle w:val="AERbulletlistfirststyle"/>
      </w:pPr>
      <w:r w:rsidRPr="009C7B84">
        <w:t xml:space="preserve">improvements to asset management decision-making </w:t>
      </w:r>
      <w:r>
        <w:t>in recent years, or</w:t>
      </w:r>
      <w:r w:rsidRPr="009C7B84">
        <w:t xml:space="preserve"> in the course of deployment, will not be fully cap</w:t>
      </w:r>
      <w:r>
        <w:t>tured by the model calibration;</w:t>
      </w:r>
      <w:r w:rsidR="00C25A83">
        <w:rPr>
          <w:rStyle w:val="FootnoteReference"/>
        </w:rPr>
        <w:footnoteReference w:id="99"/>
      </w:r>
      <w:r>
        <w:t xml:space="preserve"> and</w:t>
      </w:r>
    </w:p>
    <w:p w:rsidR="008C7B59" w:rsidRDefault="008C7B59" w:rsidP="008C7B59">
      <w:pPr>
        <w:pStyle w:val="AERbulletlistfirststyle"/>
      </w:pPr>
      <w:proofErr w:type="gramStart"/>
      <w:r>
        <w:t>in</w:t>
      </w:r>
      <w:proofErr w:type="gramEnd"/>
      <w:r>
        <w:t xml:space="preserve"> order t</w:t>
      </w:r>
      <w:r w:rsidRPr="009C7B84">
        <w:t xml:space="preserve">o conclude that </w:t>
      </w:r>
      <w:r>
        <w:t>the forecast produced by the</w:t>
      </w:r>
      <w:r w:rsidRPr="009C7B84">
        <w:t xml:space="preserve"> </w:t>
      </w:r>
      <w:r>
        <w:t>repex</w:t>
      </w:r>
      <w:r w:rsidRPr="009C7B84">
        <w:t xml:space="preserve"> model reflects the prudent and efficient costs needed to maintain </w:t>
      </w:r>
      <w:r>
        <w:t>Powerlink's</w:t>
      </w:r>
      <w:r w:rsidRPr="009C7B84">
        <w:t xml:space="preserve"> network requires an assessment of Powerlink’s actual performance when implementing its asset replacement programmes.</w:t>
      </w:r>
      <w:r w:rsidR="00C25A83">
        <w:rPr>
          <w:rStyle w:val="FootnoteReference"/>
        </w:rPr>
        <w:footnoteReference w:id="100"/>
      </w:r>
    </w:p>
    <w:p w:rsidR="008C7B59" w:rsidRDefault="008C7B59" w:rsidP="008C7B59">
      <w:r w:rsidRPr="00797A08">
        <w:lastRenderedPageBreak/>
        <w:t>EMCa's</w:t>
      </w:r>
      <w:r>
        <w:t xml:space="preserve"> conclusions are consistent with our own views on the operation and utility of the repex model. Our repex model handbook explains that the model relies on using asset age as a proxy for the many factors that influence individual asset replacements. The timing of the replacement need must therefore be directly or implicitly linked to the age of the asset.</w:t>
      </w:r>
      <w:r>
        <w:rPr>
          <w:rStyle w:val="FootnoteReference"/>
        </w:rPr>
        <w:footnoteReference w:id="101"/>
      </w:r>
      <w:r>
        <w:t xml:space="preserve"> Where the timing of actual historical replacements has been driven by other factors, such as augmentation requirements, poor maintenance practices, or imprudent and inefficient asset replacement decisions, trending forward the observed asset replacement lives will perpetuate these issues into the repex forecast. </w:t>
      </w:r>
    </w:p>
    <w:p w:rsidR="008C7B59" w:rsidRDefault="008C7B59" w:rsidP="008C7B59">
      <w:r>
        <w:t xml:space="preserve">In our view, this can be a particular problem for electricity transmission businesses, as replacement projects tend to have a more 'lumpy' profile than the ongoing replacement programs more typical for distribution businesses. For example, a transmission line replacement program may, for practical reasons, require the replacement of all towers on a particular line at the same time even though some towers are in better condition and have longer remaining useful lives than others. </w:t>
      </w:r>
    </w:p>
    <w:p w:rsidR="008C7B59" w:rsidRDefault="008C7B59" w:rsidP="008C7B59">
      <w:r>
        <w:t>This issue was recognised by Powerlink's consultant Nuttall Consulting. Powerlink engaged Nuttall Consulting to review and validate its repex forecasting methodologies. Relevantly, Nuttall Consulting found that:</w:t>
      </w:r>
      <w:r>
        <w:rPr>
          <w:rStyle w:val="FootnoteReference"/>
        </w:rPr>
        <w:footnoteReference w:id="102"/>
      </w:r>
    </w:p>
    <w:p w:rsidR="008C7B59" w:rsidRDefault="008C7B59" w:rsidP="008C7B59">
      <w:pPr>
        <w:pStyle w:val="AERbulletlistfirststyle"/>
      </w:pPr>
      <w:r>
        <w:t xml:space="preserve">the repex model, with suitable application, can be </w:t>
      </w:r>
      <w:r w:rsidRPr="00BA368A">
        <w:t>an appropriate method for prepari</w:t>
      </w:r>
      <w:r>
        <w:t xml:space="preserve">ng the replacement forecast for </w:t>
      </w:r>
      <w:r w:rsidRPr="00BA368A">
        <w:t>many asset classes</w:t>
      </w:r>
      <w:r>
        <w:t>;</w:t>
      </w:r>
    </w:p>
    <w:p w:rsidR="008C7B59" w:rsidRDefault="008C7B59" w:rsidP="008C7B59">
      <w:pPr>
        <w:pStyle w:val="AERbulletlistfirststyle"/>
      </w:pPr>
      <w:r>
        <w:t xml:space="preserve">this finding relies on the underlying assumption that </w:t>
      </w:r>
      <w:r w:rsidRPr="00130D85">
        <w:t>historical practices represented prudent and efficient decisions</w:t>
      </w:r>
      <w:r>
        <w:t>; and</w:t>
      </w:r>
    </w:p>
    <w:p w:rsidR="008C7B59" w:rsidRDefault="008C7B59" w:rsidP="008C7B59">
      <w:pPr>
        <w:pStyle w:val="AERbulletlistfirststyle"/>
      </w:pPr>
      <w:proofErr w:type="gramStart"/>
      <w:r>
        <w:t>if</w:t>
      </w:r>
      <w:proofErr w:type="gramEnd"/>
      <w:r>
        <w:t xml:space="preserve"> this assumption </w:t>
      </w:r>
      <w:r w:rsidRPr="00422BE8">
        <w:t>is not valid then</w:t>
      </w:r>
      <w:r>
        <w:t xml:space="preserve"> </w:t>
      </w:r>
      <w:r w:rsidRPr="00422BE8">
        <w:t>some form of adjustment to t</w:t>
      </w:r>
      <w:r>
        <w:t>he forecast produced through Powerlink's methodology will be required</w:t>
      </w:r>
      <w:r w:rsidRPr="00422BE8">
        <w:t>.</w:t>
      </w:r>
    </w:p>
    <w:p w:rsidR="008C7B59" w:rsidRDefault="008C7B59" w:rsidP="008C7B59">
      <w:r>
        <w:t xml:space="preserve">We tested the validity of the assumption that Powerlink's historical practices represented prudent and efficient asset replacement decisions. To do this, we sought further advice from EMCa regarding Powerlink's </w:t>
      </w:r>
      <w:r w:rsidRPr="00566E3F">
        <w:t>capex governance and asset management policies</w:t>
      </w:r>
      <w:r>
        <w:t xml:space="preserve"> and</w:t>
      </w:r>
      <w:r w:rsidRPr="00566E3F">
        <w:t xml:space="preserve"> pr</w:t>
      </w:r>
      <w:r>
        <w:t>actices in the context of a sample of 18 historical projects completed or commenced in the 2012–17 regulatory control period. The 18 projects had a total approved cost of $683.9 million. EMCa reviewed the asset condition assessment reports, business cases and other supporting documentation associated with these projects.</w:t>
      </w:r>
      <w:r>
        <w:rPr>
          <w:rStyle w:val="FootnoteReference"/>
        </w:rPr>
        <w:footnoteReference w:id="103"/>
      </w:r>
      <w:r>
        <w:t xml:space="preserve"> It is important to recognise that this analysis was not an ex post review intended to determine the prudency and efficiency of historical capex, but rather a means of testing the suitability of Powerlink's repex modelling inputs used to forecast repex in the 2017–22 regulatory control period. </w:t>
      </w:r>
    </w:p>
    <w:p w:rsidR="008C7B59" w:rsidRDefault="008C7B59" w:rsidP="008C7B59">
      <w:r>
        <w:t>Based on this review</w:t>
      </w:r>
      <w:r w:rsidR="0084378F">
        <w:t xml:space="preserve"> and our own analysis informed by our internal technical and engineering expertise</w:t>
      </w:r>
      <w:r>
        <w:t xml:space="preserve">, </w:t>
      </w:r>
      <w:r w:rsidR="0084378F">
        <w:t>we consider</w:t>
      </w:r>
      <w:r>
        <w:t xml:space="preserve"> that despite Powerlink's repex model calibration and adjustments, Powerlink's repex modelling is likely to be based on asset </w:t>
      </w:r>
      <w:r>
        <w:lastRenderedPageBreak/>
        <w:t>replacement lives that are too short for the asset classes considered.</w:t>
      </w:r>
      <w:r w:rsidR="005D15EC">
        <w:t xml:space="preserve"> </w:t>
      </w:r>
      <w:r>
        <w:t xml:space="preserve">EMCa's findings on Powerlink's historical asset replacement governance and practices for each asset class included in Powerlink's repex model are summarised in turn below. </w:t>
      </w:r>
    </w:p>
    <w:p w:rsidR="008C7B59" w:rsidRDefault="008C7B59" w:rsidP="008C7B59">
      <w:pPr>
        <w:pStyle w:val="HeadingItalic"/>
      </w:pPr>
      <w:r w:rsidRPr="00930428">
        <w:t>Transmission lines</w:t>
      </w:r>
    </w:p>
    <w:p w:rsidR="008C7B59" w:rsidRDefault="008C7B59" w:rsidP="008C7B59">
      <w:r>
        <w:t>EMCa examined four transmission line replacement projects with total approved costs of $255.1 million, and found that:</w:t>
      </w:r>
      <w:r>
        <w:rPr>
          <w:rStyle w:val="FootnoteReference"/>
        </w:rPr>
        <w:footnoteReference w:id="104"/>
      </w:r>
    </w:p>
    <w:p w:rsidR="008C7B59" w:rsidRDefault="008C7B59" w:rsidP="008C7B59">
      <w:pPr>
        <w:pStyle w:val="AERbulletlistfirststyle"/>
      </w:pPr>
      <w:r>
        <w:t>i</w:t>
      </w:r>
      <w:r w:rsidRPr="00930428">
        <w:t xml:space="preserve">n each of the four transmission line </w:t>
      </w:r>
      <w:r>
        <w:t>c</w:t>
      </w:r>
      <w:r w:rsidRPr="00930428">
        <w:t>ondition assessment reports</w:t>
      </w:r>
      <w:r>
        <w:t>, it</w:t>
      </w:r>
      <w:r w:rsidRPr="00930428">
        <w:t xml:space="preserve"> appear</w:t>
      </w:r>
      <w:r>
        <w:t>s</w:t>
      </w:r>
      <w:r w:rsidRPr="00930428">
        <w:t xml:space="preserve"> that a strategy of </w:t>
      </w:r>
      <w:r w:rsidR="001D1D7E">
        <w:t>replacement rather than life extension</w:t>
      </w:r>
      <w:r w:rsidRPr="00930428">
        <w:t xml:space="preserve"> has been adopted</w:t>
      </w:r>
      <w:r>
        <w:t>;</w:t>
      </w:r>
    </w:p>
    <w:p w:rsidR="008C7B59" w:rsidRDefault="008C7B59" w:rsidP="008C7B59">
      <w:pPr>
        <w:pStyle w:val="AERbulletlistfirststyle"/>
      </w:pPr>
      <w:r>
        <w:t>Powerlink’s condition assessment r</w:t>
      </w:r>
      <w:r w:rsidRPr="00930428">
        <w:t>eports typically provide sufficient information to conclude that some form o</w:t>
      </w:r>
      <w:r>
        <w:t>f corrective action is required</w:t>
      </w:r>
      <w:r w:rsidRPr="00930428">
        <w:t xml:space="preserve"> to address condition-related defects, but on balance do not provide sufficient evidence for the need to replace all the towers;</w:t>
      </w:r>
    </w:p>
    <w:p w:rsidR="008C7B59" w:rsidRDefault="008C7B59" w:rsidP="008C7B59">
      <w:pPr>
        <w:pStyle w:val="AERbulletlistfirststyle"/>
      </w:pPr>
      <w:r w:rsidRPr="00930428">
        <w:t>Powerlink has not provided compelling options analys</w:t>
      </w:r>
      <w:r w:rsidR="00DC038A">
        <w:t>i</w:t>
      </w:r>
      <w:r>
        <w:t>s for the four pr</w:t>
      </w:r>
      <w:r w:rsidR="00ED00C0">
        <w:t>ojects, including option analysi</w:t>
      </w:r>
      <w:r>
        <w:t>s for life extension rather than replacement;</w:t>
      </w:r>
    </w:p>
    <w:p w:rsidR="001D1D7E" w:rsidRDefault="001D1D7E" w:rsidP="008C7B59">
      <w:pPr>
        <w:pStyle w:val="AERbulletlistfirststyle"/>
      </w:pPr>
      <w:proofErr w:type="gramStart"/>
      <w:r>
        <w:t>there</w:t>
      </w:r>
      <w:proofErr w:type="gramEnd"/>
      <w:r>
        <w:t xml:space="preserve"> was significant augmentation of the replaced assets, including load driven capacity upgrades and unjustified upgrades to communications capacity. While</w:t>
      </w:r>
      <w:r w:rsidR="00ED00C0">
        <w:t xml:space="preserve"> Powerlink made a deduction of nine</w:t>
      </w:r>
      <w:r>
        <w:t xml:space="preserve"> per cent to its repex model inputs to remove non-condition driven expenditure, EMCa was unable to verify whether the amount of the deduction was appropriate or how it had been applied</w:t>
      </w:r>
      <w:r w:rsidR="006273B2">
        <w:t>;</w:t>
      </w:r>
    </w:p>
    <w:p w:rsidR="008C7B59" w:rsidRDefault="008C7B59" w:rsidP="008C7B59">
      <w:pPr>
        <w:pStyle w:val="AERbulletlistfirststyle"/>
      </w:pPr>
      <w:r>
        <w:t>t</w:t>
      </w:r>
      <w:r w:rsidRPr="00280FE6">
        <w:t>he actual replacement li</w:t>
      </w:r>
      <w:r>
        <w:t>fe of the four transmission lines was on average 12 years or 31</w:t>
      </w:r>
      <w:r w:rsidRPr="00280FE6">
        <w:t xml:space="preserve"> per cent </w:t>
      </w:r>
      <w:r>
        <w:t>longer</w:t>
      </w:r>
      <w:r w:rsidRPr="00280FE6">
        <w:t xml:space="preserve"> than the average 40.3 years assumed in Powerlink’s repex model for lines in coastal areas</w:t>
      </w:r>
      <w:r>
        <w:t xml:space="preserve"> (corrosion zones D, E and F);</w:t>
      </w:r>
      <w:r w:rsidRPr="00886904">
        <w:t xml:space="preserve"> </w:t>
      </w:r>
      <w:r>
        <w:t>and</w:t>
      </w:r>
    </w:p>
    <w:p w:rsidR="008C7B59" w:rsidRDefault="008C7B59" w:rsidP="008C7B59">
      <w:pPr>
        <w:pStyle w:val="AERbulletlistfirststyle"/>
      </w:pPr>
      <w:proofErr w:type="gramStart"/>
      <w:r w:rsidRPr="00886904">
        <w:t>if</w:t>
      </w:r>
      <w:proofErr w:type="gramEnd"/>
      <w:r w:rsidRPr="00886904">
        <w:t xml:space="preserve"> Powerlink had adopted a </w:t>
      </w:r>
      <w:r w:rsidR="00D06E8A">
        <w:t>refurbishment</w:t>
      </w:r>
      <w:r w:rsidRPr="00886904">
        <w:t xml:space="preserve"> strategy directed to economic life</w:t>
      </w:r>
      <w:r>
        <w:t xml:space="preserve"> extension (such as</w:t>
      </w:r>
      <w:r w:rsidRPr="00886904">
        <w:t xml:space="preserve"> </w:t>
      </w:r>
      <w:r w:rsidR="00705782">
        <w:t>bringing forward tower repainting</w:t>
      </w:r>
      <w:r w:rsidRPr="00886904">
        <w:t>) the replacement lives would be longer still</w:t>
      </w:r>
      <w:r>
        <w:t>.</w:t>
      </w:r>
    </w:p>
    <w:p w:rsidR="008C7B59" w:rsidRPr="00886904" w:rsidRDefault="008C7B59" w:rsidP="008C7B59">
      <w:pPr>
        <w:pStyle w:val="HeadingItalic"/>
      </w:pPr>
      <w:r>
        <w:t>Primary substation equipment</w:t>
      </w:r>
    </w:p>
    <w:p w:rsidR="008C7B59" w:rsidRDefault="008C7B59" w:rsidP="008C7B59">
      <w:r w:rsidRPr="00886904">
        <w:t xml:space="preserve">EMCa examined </w:t>
      </w:r>
      <w:r>
        <w:t>six primary equipment replacement</w:t>
      </w:r>
      <w:r w:rsidRPr="00886904">
        <w:t xml:space="preserve"> projects with total approved costs</w:t>
      </w:r>
      <w:r>
        <w:t xml:space="preserve"> of $331.4</w:t>
      </w:r>
      <w:r w:rsidRPr="00886904">
        <w:t xml:space="preserve"> million, and found that:</w:t>
      </w:r>
      <w:r>
        <w:rPr>
          <w:rStyle w:val="FootnoteReference"/>
        </w:rPr>
        <w:footnoteReference w:id="105"/>
      </w:r>
    </w:p>
    <w:p w:rsidR="008C7B59" w:rsidRDefault="008C7B59" w:rsidP="008C7B59">
      <w:pPr>
        <w:pStyle w:val="AERbulletlistfirststyle"/>
      </w:pPr>
      <w:r>
        <w:t>Powerlink’s condition assessment r</w:t>
      </w:r>
      <w:r w:rsidRPr="00886904">
        <w:t>eports are generally sufficient to demonstrate that at least some of the key substation assets wi</w:t>
      </w:r>
      <w:r>
        <w:t>ll require replacement within ten</w:t>
      </w:r>
      <w:r w:rsidRPr="00886904">
        <w:t xml:space="preserve"> years from the ass</w:t>
      </w:r>
      <w:r>
        <w:t>essment without remedial action;</w:t>
      </w:r>
    </w:p>
    <w:p w:rsidR="008C7B59" w:rsidRDefault="008C7B59" w:rsidP="008C7B59">
      <w:pPr>
        <w:pStyle w:val="AERbulletlistfirststyle"/>
      </w:pPr>
      <w:r w:rsidRPr="000D7A14">
        <w:t>Powerlink undertakes limited options analysis, both in terms of the range of options consi</w:t>
      </w:r>
      <w:r>
        <w:t>dered and the depth of analysis;</w:t>
      </w:r>
    </w:p>
    <w:p w:rsidR="008C7B59" w:rsidRDefault="008C7B59" w:rsidP="008C7B59">
      <w:pPr>
        <w:pStyle w:val="AERbulletlistfirststyle"/>
      </w:pPr>
      <w:r w:rsidRPr="000D7A14">
        <w:lastRenderedPageBreak/>
        <w:t xml:space="preserve">the </w:t>
      </w:r>
      <w:r>
        <w:t xml:space="preserve">actual </w:t>
      </w:r>
      <w:r w:rsidRPr="000D7A14">
        <w:t>average replacement life of the primar</w:t>
      </w:r>
      <w:r>
        <w:t>y plant assets was 7 years or 21 per cent</w:t>
      </w:r>
      <w:r w:rsidRPr="000D7A14">
        <w:t xml:space="preserve"> longer than the average of the primary plant replacement lives used by</w:t>
      </w:r>
      <w:r>
        <w:t xml:space="preserve"> Powerlink in its repex model;</w:t>
      </w:r>
      <w:r w:rsidRPr="000D7A14">
        <w:t xml:space="preserve"> </w:t>
      </w:r>
      <w:r>
        <w:t xml:space="preserve">and </w:t>
      </w:r>
    </w:p>
    <w:p w:rsidR="008C7B59" w:rsidRDefault="008C7B59" w:rsidP="008C7B59">
      <w:pPr>
        <w:pStyle w:val="AERbulletlistfirststyle"/>
      </w:pPr>
      <w:r w:rsidRPr="000D7A14">
        <w:t xml:space="preserve">Powerlink appears to have foregone the opportunity to extend the life of its primary assets through better </w:t>
      </w:r>
      <w:r w:rsidR="00FC4E64">
        <w:t>targeted replacement or refurbishment</w:t>
      </w:r>
      <w:r w:rsidRPr="000D7A14">
        <w:t>. If as</w:t>
      </w:r>
      <w:r>
        <w:t>set management practices</w:t>
      </w:r>
      <w:r w:rsidRPr="000D7A14">
        <w:t xml:space="preserve"> change to focus </w:t>
      </w:r>
      <w:r>
        <w:t>more on life extension, this</w:t>
      </w:r>
      <w:r w:rsidRPr="000D7A14">
        <w:t xml:space="preserve"> should be taken into account in the repex model.</w:t>
      </w:r>
    </w:p>
    <w:p w:rsidR="008C7B59" w:rsidRDefault="008C7B59" w:rsidP="008C7B59">
      <w:pPr>
        <w:pStyle w:val="HeadingItalic"/>
      </w:pPr>
      <w:r>
        <w:t>Secondary systems</w:t>
      </w:r>
    </w:p>
    <w:p w:rsidR="008C7B59" w:rsidRDefault="008C7B59" w:rsidP="008C7B59">
      <w:r w:rsidRPr="00886904">
        <w:t xml:space="preserve">EMCa examined </w:t>
      </w:r>
      <w:r>
        <w:t>five secondary systems replacement</w:t>
      </w:r>
      <w:r w:rsidRPr="00886904">
        <w:t xml:space="preserve"> projects with total approved costs</w:t>
      </w:r>
      <w:r>
        <w:t xml:space="preserve"> of $104.7</w:t>
      </w:r>
      <w:r w:rsidRPr="00886904">
        <w:t xml:space="preserve"> million, and found that:</w:t>
      </w:r>
      <w:r>
        <w:rPr>
          <w:rStyle w:val="FootnoteReference"/>
        </w:rPr>
        <w:footnoteReference w:id="106"/>
      </w:r>
    </w:p>
    <w:p w:rsidR="008C7B59" w:rsidRDefault="008C7B59" w:rsidP="008C7B59">
      <w:pPr>
        <w:pStyle w:val="AERbulletlistfirststyle"/>
      </w:pPr>
      <w:r>
        <w:t>t</w:t>
      </w:r>
      <w:r w:rsidRPr="000D7A14">
        <w:t xml:space="preserve">he qualitative condition assessments </w:t>
      </w:r>
      <w:r>
        <w:t>indicate</w:t>
      </w:r>
      <w:r w:rsidRPr="000D7A14">
        <w:t xml:space="preserve"> the n</w:t>
      </w:r>
      <w:r>
        <w:t>eed for corrective action on</w:t>
      </w:r>
      <w:r w:rsidRPr="000D7A14">
        <w:t xml:space="preserve"> older secondary systems equipment on the grounds of condition and/or obsolescence</w:t>
      </w:r>
      <w:r>
        <w:t>,</w:t>
      </w:r>
      <w:r w:rsidRPr="000D7A14">
        <w:t xml:space="preserve"> but</w:t>
      </w:r>
      <w:r>
        <w:t xml:space="preserve"> </w:t>
      </w:r>
      <w:r w:rsidRPr="000D7A14">
        <w:t>d</w:t>
      </w:r>
      <w:r>
        <w:t>o not support replacement of</w:t>
      </w:r>
      <w:r w:rsidRPr="000D7A14">
        <w:t xml:space="preserve"> more recently installed systems</w:t>
      </w:r>
      <w:r>
        <w:t>;</w:t>
      </w:r>
    </w:p>
    <w:p w:rsidR="00FC4E64" w:rsidRDefault="008C7B59" w:rsidP="008C7B59">
      <w:pPr>
        <w:pStyle w:val="AERbulletlistfirststyle"/>
      </w:pPr>
      <w:r>
        <w:t xml:space="preserve">the options analysis: </w:t>
      </w:r>
    </w:p>
    <w:p w:rsidR="00FC4E64" w:rsidRDefault="008C7B59" w:rsidP="00814D31">
      <w:pPr>
        <w:pStyle w:val="AERbulletlistsecondstyle"/>
      </w:pPr>
      <w:r w:rsidRPr="007924F0">
        <w:t xml:space="preserve">does not consider a broad range of possible options, including life </w:t>
      </w:r>
      <w:r>
        <w:t>extension or partial refit;</w:t>
      </w:r>
      <w:r w:rsidRPr="007924F0">
        <w:t xml:space="preserve"> </w:t>
      </w:r>
    </w:p>
    <w:p w:rsidR="00FC4E64" w:rsidRDefault="008C7B59" w:rsidP="00814D31">
      <w:pPr>
        <w:pStyle w:val="AERbulletlistsecondstyle"/>
      </w:pPr>
      <w:r w:rsidRPr="007924F0">
        <w:t>does not include risk assessment in accordance with g</w:t>
      </w:r>
      <w:r>
        <w:t>ood industry practice; and</w:t>
      </w:r>
      <w:r w:rsidRPr="007924F0">
        <w:t xml:space="preserve"> </w:t>
      </w:r>
    </w:p>
    <w:p w:rsidR="008C7B59" w:rsidRDefault="008C7B59" w:rsidP="00814D31">
      <w:pPr>
        <w:pStyle w:val="AERbulletlistsecondstyle"/>
      </w:pPr>
      <w:r w:rsidRPr="007924F0">
        <w:t>included limited risk-cost assessment to confirm the optimal timing of the selected option;</w:t>
      </w:r>
    </w:p>
    <w:p w:rsidR="008C7B59" w:rsidRDefault="008C7B59" w:rsidP="008C7B59">
      <w:pPr>
        <w:pStyle w:val="AERbulletlistfirststyle"/>
      </w:pPr>
      <w:r>
        <w:t>the bundled</w:t>
      </w:r>
      <w:r w:rsidRPr="00BB318A">
        <w:t xml:space="preserve"> replacement of older and younger assets may help explain the relatively low replacement life derived by Power</w:t>
      </w:r>
      <w:r>
        <w:t>link for use in its repex model, and</w:t>
      </w:r>
      <w:r w:rsidRPr="00BB318A">
        <w:t xml:space="preserve"> also leads to relatively high asset write-offs</w:t>
      </w:r>
      <w:r>
        <w:t>;</w:t>
      </w:r>
    </w:p>
    <w:p w:rsidR="008C7B59" w:rsidRPr="000D7A14" w:rsidRDefault="008C7B59" w:rsidP="008C7B59">
      <w:pPr>
        <w:pStyle w:val="AERbulletlistfirststyle"/>
      </w:pPr>
      <w:proofErr w:type="gramStart"/>
      <w:r w:rsidRPr="000D7A14">
        <w:t>the</w:t>
      </w:r>
      <w:proofErr w:type="gramEnd"/>
      <w:r w:rsidRPr="000D7A14">
        <w:t xml:space="preserve"> </w:t>
      </w:r>
      <w:r w:rsidRPr="007924F0">
        <w:t xml:space="preserve">actual average replacement life of the </w:t>
      </w:r>
      <w:r>
        <w:t>secondary systems</w:t>
      </w:r>
      <w:r w:rsidRPr="007924F0">
        <w:t xml:space="preserve"> </w:t>
      </w:r>
      <w:r>
        <w:t>equipment</w:t>
      </w:r>
      <w:r w:rsidRPr="007924F0">
        <w:t xml:space="preserve"> was </w:t>
      </w:r>
      <w:r w:rsidR="00FC4E64">
        <w:t>27</w:t>
      </w:r>
      <w:r w:rsidR="00ED00C0">
        <w:t> </w:t>
      </w:r>
      <w:r w:rsidR="00FC4E64">
        <w:t xml:space="preserve">years, which is </w:t>
      </w:r>
      <w:r w:rsidRPr="007924F0">
        <w:t xml:space="preserve">7 years or </w:t>
      </w:r>
      <w:r>
        <w:t>35</w:t>
      </w:r>
      <w:r w:rsidRPr="007924F0">
        <w:t xml:space="preserve"> per cent longer than the average </w:t>
      </w:r>
      <w:r w:rsidR="00FC4E64">
        <w:t>replacement life</w:t>
      </w:r>
      <w:r w:rsidRPr="007924F0">
        <w:t xml:space="preserve"> used by Powerlink in its repex model</w:t>
      </w:r>
      <w:r>
        <w:t>.</w:t>
      </w:r>
    </w:p>
    <w:p w:rsidR="00934851" w:rsidRDefault="00934851" w:rsidP="008C7B59">
      <w:r>
        <w:t xml:space="preserve">We also reviewed Powerlink's historical project outcomes and supporting documentation, and found that EMCa's analysis and findings accorded with our own view. We expect Powerlink will also review EMCa's analysis and findings and provide its response along with any further supporting or clarifying information with its revised revenue proposal. </w:t>
      </w:r>
    </w:p>
    <w:p w:rsidR="008C7B59" w:rsidRDefault="008C7B59" w:rsidP="008C7B59">
      <w:r>
        <w:t>In our view, having regard to EMCa's a</w:t>
      </w:r>
      <w:r w:rsidR="00934851">
        <w:t>dvice</w:t>
      </w:r>
      <w:r>
        <w:t xml:space="preserve"> and our own review of Powerlink's historical repex project documentation and actual project outcomes, we are not satisfied that the inputs and assumptions which underpin Powerlink's use of the repex model are likely to result in a capex forecast which reasonably reflects the efficient </w:t>
      </w:r>
      <w:r>
        <w:lastRenderedPageBreak/>
        <w:t>costs that a prudent operator would require to achieve the capex objectives.</w:t>
      </w:r>
      <w:r>
        <w:rPr>
          <w:rStyle w:val="FootnoteReference"/>
        </w:rPr>
        <w:footnoteReference w:id="107"/>
      </w:r>
      <w:r>
        <w:t xml:space="preserve"> We consider that the </w:t>
      </w:r>
      <w:r w:rsidR="0023181C">
        <w:t xml:space="preserve">mean </w:t>
      </w:r>
      <w:r>
        <w:t xml:space="preserve">asset replacement lives used as inputs to Powerlink's repex model should be extended to ensure that the resulting estimate of forecast </w:t>
      </w:r>
      <w:r w:rsidR="007E5D52">
        <w:t xml:space="preserve">asset replacement requirements </w:t>
      </w:r>
      <w:r>
        <w:t>is not more than is reasonably necessary to achieve the capex objectives.</w:t>
      </w:r>
    </w:p>
    <w:p w:rsidR="008C7B59" w:rsidRDefault="008C7B59" w:rsidP="008C7B59">
      <w:r>
        <w:t>The key parameter for predicting asset replacement needs through the repex model is the asset replacement life. Powerlink's forecasting methodology uses a calibrated average replacement life based on average replacement volumes in the calibration period (2010</w:t>
      </w:r>
      <w:r w:rsidR="00CB260C">
        <w:t>–</w:t>
      </w:r>
      <w:r>
        <w:t>11 to 2014</w:t>
      </w:r>
      <w:r w:rsidR="00CB260C">
        <w:t>–</w:t>
      </w:r>
      <w:r>
        <w:t>15). Powerlink has implemented a number of improvement initiatives in recent years and continues to review, revise and improve its asset management strategies.</w:t>
      </w:r>
      <w:r>
        <w:rPr>
          <w:rStyle w:val="FootnoteReference"/>
        </w:rPr>
        <w:footnoteReference w:id="108"/>
      </w:r>
      <w:r>
        <w:t xml:space="preserve"> Powerlink described the changes in its approach to reinvestment decisions made in the 2012–17 regulatory control period (the later years of the repex model calibration period) in the following terms:</w:t>
      </w:r>
      <w:r>
        <w:rPr>
          <w:rStyle w:val="FootnoteReference"/>
        </w:rPr>
        <w:footnoteReference w:id="109"/>
      </w:r>
    </w:p>
    <w:p w:rsidR="008C7B59" w:rsidRDefault="008C7B59" w:rsidP="008C7B59">
      <w:pPr>
        <w:pStyle w:val="AERquote"/>
      </w:pPr>
      <w:r w:rsidRPr="00BE3B7A">
        <w:t>Powerlink has adapted its approach to</w:t>
      </w:r>
      <w:r>
        <w:t xml:space="preserve"> reinvestment decisions, with a </w:t>
      </w:r>
      <w:r w:rsidRPr="00BE3B7A">
        <w:t xml:space="preserve">particular focus on assessing whether there was an enduring need for the key assets and alternative </w:t>
      </w:r>
      <w:r w:rsidRPr="00210543">
        <w:t>investment</w:t>
      </w:r>
      <w:r>
        <w:t xml:space="preserve"> </w:t>
      </w:r>
      <w:r w:rsidRPr="00BE3B7A">
        <w:t>options to manage asset condition and risks at a lower cost (such as network reconfiguration or asset retirement).</w:t>
      </w:r>
      <w:r>
        <w:t xml:space="preserve"> </w:t>
      </w:r>
      <w:r w:rsidRPr="00BE3B7A">
        <w:t>Also, Powerlink has taken a cautious approach in determining where it is approp</w:t>
      </w:r>
      <w:r>
        <w:t xml:space="preserve">riate to refit or replace aging </w:t>
      </w:r>
      <w:r w:rsidRPr="00BE3B7A">
        <w:t>transmission line assets and how to implement these works cost effectively. These changes have been aimed at</w:t>
      </w:r>
      <w:r>
        <w:t xml:space="preserve"> </w:t>
      </w:r>
      <w:r w:rsidRPr="00BE3B7A">
        <w:t>delivering better value to consumers.</w:t>
      </w:r>
    </w:p>
    <w:p w:rsidR="008C7B59" w:rsidRDefault="008C7B59" w:rsidP="008C7B59">
      <w:r>
        <w:t>The effect of Powerlink's revised approach to asset reinvestment decisions is evident in Powerlink's historical repex trend. For example, actual repex in 2014</w:t>
      </w:r>
      <w:r w:rsidR="00CB260C">
        <w:t>–</w:t>
      </w:r>
      <w:r>
        <w:t>15 was less than half the level of expenditure in 2011</w:t>
      </w:r>
      <w:r>
        <w:softHyphen/>
      </w:r>
      <w:r w:rsidR="00CB260C">
        <w:t>–</w:t>
      </w:r>
      <w:r>
        <w:t>12. However, we are concerned that Powerlink's historical asset replacement policies and practices, particularly in the early years of the calibration period, are likely to distort the repex model calibration and result in average asset replacement lives which are shorter than Powerlink is actually likely to achieve in the 2017–22 regulatory control period. This is because:</w:t>
      </w:r>
    </w:p>
    <w:p w:rsidR="008C7B59" w:rsidRDefault="008C7B59" w:rsidP="008C7B59">
      <w:pPr>
        <w:pStyle w:val="AERbulletlistfirststyle"/>
      </w:pPr>
      <w:r>
        <w:t xml:space="preserve">historically, Powerlink has not </w:t>
      </w:r>
      <w:r w:rsidRPr="00E76248">
        <w:t>consider</w:t>
      </w:r>
      <w:r>
        <w:t>ed</w:t>
      </w:r>
      <w:r w:rsidRPr="00E76248">
        <w:t xml:space="preserve"> </w:t>
      </w:r>
      <w:r>
        <w:t>all technically viable options,</w:t>
      </w:r>
      <w:r w:rsidRPr="00E76248">
        <w:t xml:space="preserve"> in particular life extension options t</w:t>
      </w:r>
      <w:r>
        <w:t>argeted at</w:t>
      </w:r>
      <w:r w:rsidRPr="00E76248">
        <w:t xml:space="preserve"> </w:t>
      </w:r>
      <w:r>
        <w:t xml:space="preserve">specific </w:t>
      </w:r>
      <w:r w:rsidRPr="00E76248">
        <w:t>assets representing major risks</w:t>
      </w:r>
      <w:r>
        <w:t>;</w:t>
      </w:r>
    </w:p>
    <w:p w:rsidR="008C7B59" w:rsidRDefault="008C7B59" w:rsidP="008C7B59">
      <w:pPr>
        <w:pStyle w:val="AERbulletlistfirststyle"/>
      </w:pPr>
      <w:r>
        <w:t xml:space="preserve">there is evidence that </w:t>
      </w:r>
      <w:r w:rsidRPr="00E76248">
        <w:t xml:space="preserve">Powerlink has </w:t>
      </w:r>
      <w:r>
        <w:t xml:space="preserve">historically </w:t>
      </w:r>
      <w:r w:rsidRPr="00E76248">
        <w:t>replaced equipment that was well sho</w:t>
      </w:r>
      <w:r>
        <w:t>rt of its economic end of life</w:t>
      </w:r>
      <w:r w:rsidR="00994E5B">
        <w:t xml:space="preserve"> by bundling y</w:t>
      </w:r>
      <w:r w:rsidR="00FC4E64">
        <w:t xml:space="preserve">ounger assets </w:t>
      </w:r>
      <w:r w:rsidR="00994E5B">
        <w:t>with</w:t>
      </w:r>
      <w:r w:rsidR="00FC4E64">
        <w:t xml:space="preserve"> older assets in</w:t>
      </w:r>
      <w:r w:rsidRPr="00E76248">
        <w:t xml:space="preserve"> full replacement options when partial replacement</w:t>
      </w:r>
      <w:r w:rsidR="00FC4E64">
        <w:t xml:space="preserve"> or </w:t>
      </w:r>
      <w:r w:rsidRPr="00E76248">
        <w:t>refurbishment options could have been deployed to address the asset</w:t>
      </w:r>
      <w:r>
        <w:t xml:space="preserve"> condition/obsolescence issues;</w:t>
      </w:r>
    </w:p>
    <w:p w:rsidR="008C7B59" w:rsidRDefault="008C7B59" w:rsidP="008C7B59">
      <w:pPr>
        <w:pStyle w:val="AERbulletlistfirststyle"/>
      </w:pPr>
      <w:r>
        <w:t xml:space="preserve">in almost all of the historical projects reviewed, </w:t>
      </w:r>
      <w:r w:rsidRPr="00E76248">
        <w:t>the actual surviv</w:t>
      </w:r>
      <w:r>
        <w:t>al life of the assets</w:t>
      </w:r>
      <w:r w:rsidRPr="00E76248">
        <w:t xml:space="preserve"> was signific</w:t>
      </w:r>
      <w:r>
        <w:t>antly longer than the</w:t>
      </w:r>
      <w:r w:rsidRPr="00E76248">
        <w:t xml:space="preserve"> </w:t>
      </w:r>
      <w:r>
        <w:t xml:space="preserve">comparable </w:t>
      </w:r>
      <w:r w:rsidRPr="00E76248">
        <w:t xml:space="preserve">asset replacement </w:t>
      </w:r>
      <w:r>
        <w:t xml:space="preserve">lives that Powerlink has applied </w:t>
      </w:r>
      <w:r w:rsidRPr="00E76248">
        <w:t>in its repex model</w:t>
      </w:r>
      <w:r>
        <w:t>; and</w:t>
      </w:r>
    </w:p>
    <w:p w:rsidR="008C7B59" w:rsidRDefault="008C7B59" w:rsidP="008C7B59">
      <w:pPr>
        <w:pStyle w:val="AERbulletlistfirststyle"/>
      </w:pPr>
      <w:r w:rsidRPr="00514FCF">
        <w:lastRenderedPageBreak/>
        <w:t>Powerlink app</w:t>
      </w:r>
      <w:r w:rsidR="00ED00C0">
        <w:t>ears to have applied asset management</w:t>
      </w:r>
      <w:r w:rsidRPr="00514FCF">
        <w:t xml:space="preserve"> strategies biased towards </w:t>
      </w:r>
      <w:r w:rsidR="00C93282">
        <w:t>early replacement rather than refurbishment or life extension strategies</w:t>
      </w:r>
      <w:r>
        <w:t>, such that it is likely that Powerlink could have further</w:t>
      </w:r>
      <w:r w:rsidRPr="00E76248">
        <w:t xml:space="preserve"> extend</w:t>
      </w:r>
      <w:r>
        <w:t>ed</w:t>
      </w:r>
      <w:r w:rsidRPr="00E76248">
        <w:t xml:space="preserve"> the </w:t>
      </w:r>
      <w:r>
        <w:t xml:space="preserve">actual </w:t>
      </w:r>
      <w:r w:rsidRPr="00E76248">
        <w:t xml:space="preserve">lives of its assets by adopting </w:t>
      </w:r>
      <w:r w:rsidR="00994E5B">
        <w:t>earlier, targeted replacement and refurbishment techniques</w:t>
      </w:r>
      <w:r>
        <w:t>.</w:t>
      </w:r>
      <w:r w:rsidR="00C93282">
        <w:rPr>
          <w:rStyle w:val="FootnoteReference"/>
        </w:rPr>
        <w:footnoteReference w:id="110"/>
      </w:r>
    </w:p>
    <w:p w:rsidR="008C7B59" w:rsidRDefault="008C7B59" w:rsidP="008C7B59">
      <w:r>
        <w:t>We recognise that Powerlink has made adjustments to the repex model input data, for example to exclude historical asset replacement</w:t>
      </w:r>
      <w:r w:rsidR="00C93282">
        <w:t xml:space="preserve"> quantities</w:t>
      </w:r>
      <w:r>
        <w:t xml:space="preserve"> not driven by asset condition, and assets for which there is no enduring need.</w:t>
      </w:r>
      <w:r>
        <w:rPr>
          <w:rStyle w:val="FootnoteReference"/>
        </w:rPr>
        <w:footnoteReference w:id="111"/>
      </w:r>
      <w:r>
        <w:t xml:space="preserve"> These modifications have reduced Powerlink's forecast repex compared to what the forecast would have been had Powerlink not made these adjustments. Nonetheless, we are not satisfied that these adjustments are likely to correct for the fundamental</w:t>
      </w:r>
      <w:r w:rsidR="00994E5B">
        <w:t xml:space="preserve"> </w:t>
      </w:r>
      <w:r>
        <w:t xml:space="preserve">issues with Powerlink's historical asset maintenance and replacement policies and practices identified by EMCa, or account for </w:t>
      </w:r>
      <w:r w:rsidRPr="00F12A15">
        <w:t>the full impact that changes in policy and practice will have on actua</w:t>
      </w:r>
      <w:r>
        <w:t>l work undertaken in the future.</w:t>
      </w:r>
    </w:p>
    <w:p w:rsidR="007F3D41" w:rsidRDefault="008C7B59" w:rsidP="008C7B59">
      <w:r>
        <w:t xml:space="preserve">In modelling our alternative estimate of forecast capex for the 2017–22 regulatory control </w:t>
      </w:r>
      <w:proofErr w:type="gramStart"/>
      <w:r>
        <w:t>period</w:t>
      </w:r>
      <w:proofErr w:type="gramEnd"/>
      <w:r>
        <w:t>, we have applied an alternative set of asset replacement lives to Powerlink's repex model. In determining our alternative asset replacement lives, we have had regard to expert advice from EMCa</w:t>
      </w:r>
      <w:r w:rsidR="00C93282">
        <w:t xml:space="preserve"> and our own internal technical and engineering expertise</w:t>
      </w:r>
      <w:r>
        <w:t>.</w:t>
      </w:r>
      <w:r>
        <w:rPr>
          <w:rStyle w:val="FootnoteReference"/>
        </w:rPr>
        <w:footnoteReference w:id="112"/>
      </w:r>
      <w:r>
        <w:t xml:space="preserve"> </w:t>
      </w:r>
      <w:r w:rsidR="007F3D41">
        <w:t xml:space="preserve">Our analysis and EMCa's advice found that in practice, </w:t>
      </w:r>
      <w:r w:rsidR="00C70E05">
        <w:t xml:space="preserve">including </w:t>
      </w:r>
      <w:r w:rsidR="007F3D41">
        <w:t xml:space="preserve">during </w:t>
      </w:r>
      <w:r w:rsidR="00C70E05">
        <w:t xml:space="preserve">the </w:t>
      </w:r>
      <w:r w:rsidR="007F3D41">
        <w:t>2010–2015</w:t>
      </w:r>
      <w:r w:rsidR="00C70E05">
        <w:t xml:space="preserve"> calibration period</w:t>
      </w:r>
      <w:r w:rsidR="007F3D41">
        <w:t xml:space="preserve">, Powerlink replaced assets at later ages than the </w:t>
      </w:r>
      <w:r w:rsidR="008E7AD6">
        <w:t>mean</w:t>
      </w:r>
      <w:r w:rsidR="007F3D41">
        <w:t xml:space="preserve"> </w:t>
      </w:r>
      <w:r w:rsidR="008E7AD6">
        <w:t xml:space="preserve">replacement </w:t>
      </w:r>
      <w:r w:rsidR="007F3D41">
        <w:t xml:space="preserve">ages used in the repex model. The actual replacement ages </w:t>
      </w:r>
      <w:r w:rsidR="008229B6">
        <w:t xml:space="preserve">observed in the sample of historical projects reviewed </w:t>
      </w:r>
      <w:r w:rsidR="006F4C17">
        <w:t>exceeded</w:t>
      </w:r>
      <w:r w:rsidR="007F3D41">
        <w:t xml:space="preserve"> the </w:t>
      </w:r>
      <w:r w:rsidR="008E7AD6">
        <w:t>mean</w:t>
      </w:r>
      <w:r w:rsidR="007F3D41">
        <w:t xml:space="preserve"> </w:t>
      </w:r>
      <w:r w:rsidR="00C70E05">
        <w:t xml:space="preserve">replacement </w:t>
      </w:r>
      <w:r w:rsidR="007F3D41">
        <w:t xml:space="preserve">ages used in </w:t>
      </w:r>
      <w:r w:rsidR="00C70E05">
        <w:t>Powerlink's repex</w:t>
      </w:r>
      <w:r w:rsidR="007F3D41">
        <w:t xml:space="preserve"> model </w:t>
      </w:r>
      <w:r w:rsidR="006F4C17">
        <w:t>by</w:t>
      </w:r>
      <w:r w:rsidR="007F3D41">
        <w:t xml:space="preserve"> </w:t>
      </w:r>
      <w:r w:rsidR="00C70E05">
        <w:t xml:space="preserve">between 7 and 12 years. This is </w:t>
      </w:r>
      <w:r w:rsidR="00626A11">
        <w:t>at least</w:t>
      </w:r>
      <w:r w:rsidR="00C70E05">
        <w:t xml:space="preserve"> one</w:t>
      </w:r>
      <w:r w:rsidR="007F3D41">
        <w:t xml:space="preserve"> standard deviation </w:t>
      </w:r>
      <w:r w:rsidR="00C70E05">
        <w:t xml:space="preserve">above </w:t>
      </w:r>
      <w:r w:rsidR="008229B6">
        <w:t>Powerlink's</w:t>
      </w:r>
      <w:r w:rsidR="00C70E05">
        <w:t xml:space="preserve"> mean </w:t>
      </w:r>
      <w:r w:rsidR="008229B6">
        <w:t xml:space="preserve">replacement life </w:t>
      </w:r>
      <w:r w:rsidR="007F3D41">
        <w:t>across</w:t>
      </w:r>
      <w:r w:rsidR="006F4C17">
        <w:t xml:space="preserve"> </w:t>
      </w:r>
      <w:r w:rsidR="007F3D41">
        <w:t xml:space="preserve">the </w:t>
      </w:r>
      <w:r w:rsidR="00FA3028">
        <w:t xml:space="preserve">various </w:t>
      </w:r>
      <w:r w:rsidR="007F3D41">
        <w:t>asset categories</w:t>
      </w:r>
      <w:r w:rsidR="006F4C17">
        <w:t xml:space="preserve"> reviewed</w:t>
      </w:r>
      <w:r w:rsidR="008229B6">
        <w:t>.</w:t>
      </w:r>
      <w:r w:rsidR="008229B6" w:rsidRPr="008229B6">
        <w:t xml:space="preserve"> </w:t>
      </w:r>
      <w:r w:rsidR="008229B6">
        <w:t>The standard deviation for the relevant asset classes is between 4.5 years and 8.5 years</w:t>
      </w:r>
      <w:r w:rsidR="007F3D41">
        <w:t>.</w:t>
      </w:r>
      <w:r w:rsidR="00F80BF8">
        <w:rPr>
          <w:rStyle w:val="FootnoteReference"/>
        </w:rPr>
        <w:footnoteReference w:id="113"/>
      </w:r>
      <w:r w:rsidR="007F3D41">
        <w:t xml:space="preserve"> </w:t>
      </w:r>
      <w:r w:rsidR="00C17853">
        <w:t>In our view, this level of variation between Powerlink's historically achieved asset lives and the forecast mean asset lives used as inputs to the repex model is significant.</w:t>
      </w:r>
    </w:p>
    <w:p w:rsidR="008C7B59" w:rsidRDefault="008C7B59" w:rsidP="008C7B59">
      <w:r>
        <w:t xml:space="preserve">We consider that extending the </w:t>
      </w:r>
      <w:r w:rsidR="008229B6">
        <w:t>mean</w:t>
      </w:r>
      <w:r>
        <w:t xml:space="preserve"> asset replacement lives for towers, primary substation assets and secondary systems</w:t>
      </w:r>
      <w:r w:rsidR="00C02438">
        <w:t>,</w:t>
      </w:r>
      <w:r>
        <w:t xml:space="preserve"> by an average of one standard deviation from the mean </w:t>
      </w:r>
      <w:r w:rsidR="00994E5B">
        <w:t>replacement lives in Powerlink's repex model</w:t>
      </w:r>
      <w:r w:rsidR="00C02438">
        <w:t>,</w:t>
      </w:r>
      <w:r w:rsidR="00994E5B">
        <w:t xml:space="preserve"> </w:t>
      </w:r>
      <w:r>
        <w:t xml:space="preserve">provides a </w:t>
      </w:r>
      <w:r w:rsidR="00C93282">
        <w:t xml:space="preserve">more </w:t>
      </w:r>
      <w:r>
        <w:t xml:space="preserve">realistic estimate of the actual likely survival life of Powerlink's key asset categories in the 2017–22 regulatory control period. </w:t>
      </w:r>
      <w:r w:rsidR="003F4E55">
        <w:t xml:space="preserve">This is because the average variance in actual replacement lives from those assumed by Powerlink is similar to the average standard deviation observed in Powerlink's asset life data. </w:t>
      </w:r>
      <w:r w:rsidR="00626A11">
        <w:t xml:space="preserve">This adjustment will increase the mean age at which asset replacement is forecast by the repex model to be more in line with the actual replacement ages historically achieved by Powerlink. </w:t>
      </w:r>
      <w:r>
        <w:t xml:space="preserve">Our substitute asset replacement lives are set out in </w:t>
      </w:r>
      <w:r>
        <w:fldChar w:fldCharType="begin"/>
      </w:r>
      <w:r>
        <w:instrText xml:space="preserve"> REF _Ref460340815 \h </w:instrText>
      </w:r>
      <w:r>
        <w:fldChar w:fldCharType="separate"/>
      </w:r>
      <w:r w:rsidR="005252EC">
        <w:t xml:space="preserve">Table </w:t>
      </w:r>
      <w:r w:rsidR="005252EC">
        <w:rPr>
          <w:noProof/>
        </w:rPr>
        <w:t>6</w:t>
      </w:r>
      <w:r w:rsidR="005252EC">
        <w:t>.</w:t>
      </w:r>
      <w:r w:rsidR="005252EC">
        <w:rPr>
          <w:noProof/>
        </w:rPr>
        <w:t>8</w:t>
      </w:r>
      <w:r>
        <w:fldChar w:fldCharType="end"/>
      </w:r>
      <w:r>
        <w:t xml:space="preserve"> below.</w:t>
      </w:r>
      <w:r w:rsidR="003F4E55">
        <w:t xml:space="preserve">  </w:t>
      </w:r>
    </w:p>
    <w:p w:rsidR="008C7B59" w:rsidRDefault="008C7B59" w:rsidP="008C7B59">
      <w:pPr>
        <w:pStyle w:val="Caption"/>
      </w:pPr>
      <w:bookmarkStart w:id="224" w:name="_Ref460340815"/>
      <w:proofErr w:type="gramStart"/>
      <w:r>
        <w:lastRenderedPageBreak/>
        <w:t xml:space="preserve">Table </w:t>
      </w:r>
      <w:fldSimple w:instr=" STYLEREF 1 \s ">
        <w:r w:rsidR="005252EC">
          <w:rPr>
            <w:noProof/>
          </w:rPr>
          <w:t>6</w:t>
        </w:r>
      </w:fldSimple>
      <w:r w:rsidR="00250D0F">
        <w:t>.</w:t>
      </w:r>
      <w:proofErr w:type="gramEnd"/>
      <w:r w:rsidR="005252EC">
        <w:fldChar w:fldCharType="begin"/>
      </w:r>
      <w:r w:rsidR="005252EC">
        <w:instrText xml:space="preserve"> SEQ Table \* ARABIC \s 1 </w:instrText>
      </w:r>
      <w:r w:rsidR="005252EC">
        <w:fldChar w:fldCharType="separate"/>
      </w:r>
      <w:r w:rsidR="005252EC">
        <w:rPr>
          <w:noProof/>
        </w:rPr>
        <w:t>8</w:t>
      </w:r>
      <w:r w:rsidR="005252EC">
        <w:rPr>
          <w:noProof/>
        </w:rPr>
        <w:fldChar w:fldCharType="end"/>
      </w:r>
      <w:bookmarkEnd w:id="224"/>
      <w:r>
        <w:tab/>
      </w:r>
      <w:r w:rsidRPr="00F365C8">
        <w:t>Powerlink</w:t>
      </w:r>
      <w:r>
        <w:t xml:space="preserve"> and the AER's forecast average asset replacement </w:t>
      </w:r>
      <w:r w:rsidRPr="00F365C8">
        <w:t>lives</w:t>
      </w:r>
      <w:r>
        <w:t xml:space="preserve"> (years)</w:t>
      </w:r>
    </w:p>
    <w:tbl>
      <w:tblPr>
        <w:tblStyle w:val="AERtable-text1"/>
        <w:tblW w:w="8755" w:type="dxa"/>
        <w:tblInd w:w="0" w:type="dxa"/>
        <w:tblLook w:val="04A0" w:firstRow="1" w:lastRow="0" w:firstColumn="1" w:lastColumn="0" w:noHBand="0" w:noVBand="1"/>
      </w:tblPr>
      <w:tblGrid>
        <w:gridCol w:w="1951"/>
        <w:gridCol w:w="2126"/>
        <w:gridCol w:w="1568"/>
        <w:gridCol w:w="1524"/>
        <w:gridCol w:w="1586"/>
      </w:tblGrid>
      <w:tr w:rsidR="008C7B59" w:rsidRPr="002D44B5" w:rsidTr="005D15EC">
        <w:trPr>
          <w:cnfStyle w:val="100000000000" w:firstRow="1" w:lastRow="0" w:firstColumn="0" w:lastColumn="0" w:oddVBand="0" w:evenVBand="0" w:oddHBand="0" w:evenHBand="0" w:firstRowFirstColumn="0" w:firstRowLastColumn="0" w:lastRowFirstColumn="0" w:lastRowLastColumn="0"/>
        </w:trPr>
        <w:tc>
          <w:tcPr>
            <w:tcW w:w="1951" w:type="dxa"/>
          </w:tcPr>
          <w:p w:rsidR="008C7B59" w:rsidRPr="008C7B59" w:rsidRDefault="008C7B59" w:rsidP="008C7B59">
            <w:r w:rsidRPr="002D44B5">
              <w:t xml:space="preserve">Primary </w:t>
            </w:r>
            <w:r w:rsidRPr="008C7B59">
              <w:t>asset category</w:t>
            </w:r>
          </w:p>
        </w:tc>
        <w:tc>
          <w:tcPr>
            <w:tcW w:w="2126" w:type="dxa"/>
          </w:tcPr>
          <w:p w:rsidR="008C7B59" w:rsidRPr="008C7B59" w:rsidRDefault="008C7B59" w:rsidP="008C7B59">
            <w:r w:rsidRPr="002D44B5">
              <w:t>Sub-category</w:t>
            </w:r>
          </w:p>
        </w:tc>
        <w:tc>
          <w:tcPr>
            <w:tcW w:w="1568" w:type="dxa"/>
          </w:tcPr>
          <w:p w:rsidR="008C7B59" w:rsidRPr="008C7B59" w:rsidRDefault="008C7B59" w:rsidP="008C7B59">
            <w:r w:rsidRPr="002D44B5">
              <w:t xml:space="preserve">Powerlink forecast </w:t>
            </w:r>
            <w:r w:rsidRPr="008C7B59">
              <w:t>asset replacement life</w:t>
            </w:r>
          </w:p>
        </w:tc>
        <w:tc>
          <w:tcPr>
            <w:tcW w:w="1524" w:type="dxa"/>
          </w:tcPr>
          <w:p w:rsidR="008C7B59" w:rsidRPr="008C7B59" w:rsidRDefault="008C7B59" w:rsidP="008C7B59">
            <w:r w:rsidRPr="002D44B5">
              <w:t>AER forecast asset replacement life</w:t>
            </w:r>
          </w:p>
        </w:tc>
        <w:tc>
          <w:tcPr>
            <w:tcW w:w="1586" w:type="dxa"/>
          </w:tcPr>
          <w:p w:rsidR="008C7B59" w:rsidRPr="008C7B59" w:rsidRDefault="008C7B59" w:rsidP="008C7B59">
            <w:r w:rsidRPr="002D44B5">
              <w:t>Difference between AER and Powerlink replacement lives</w:t>
            </w:r>
          </w:p>
        </w:tc>
      </w:tr>
      <w:tr w:rsidR="008C7B59" w:rsidRPr="002D44B5" w:rsidTr="005D15EC">
        <w:tc>
          <w:tcPr>
            <w:tcW w:w="1951" w:type="dxa"/>
            <w:vMerge w:val="restart"/>
          </w:tcPr>
          <w:p w:rsidR="008C7B59" w:rsidRPr="008C7B59" w:rsidRDefault="008C7B59" w:rsidP="008C7B59">
            <w:r w:rsidRPr="002D44B5">
              <w:t xml:space="preserve">Towers </w:t>
            </w:r>
          </w:p>
        </w:tc>
        <w:tc>
          <w:tcPr>
            <w:tcW w:w="2126" w:type="dxa"/>
          </w:tcPr>
          <w:p w:rsidR="008C7B59" w:rsidRPr="008C7B59" w:rsidRDefault="008C7B59" w:rsidP="008C7B59">
            <w:r w:rsidRPr="002D44B5">
              <w:t>Corrosion zone DEF</w:t>
            </w:r>
          </w:p>
        </w:tc>
        <w:tc>
          <w:tcPr>
            <w:tcW w:w="1568" w:type="dxa"/>
          </w:tcPr>
          <w:p w:rsidR="008C7B59" w:rsidRPr="008C7B59" w:rsidRDefault="00B8359B" w:rsidP="008C7B59">
            <w:pPr>
              <w:pStyle w:val="Tabletext-centred"/>
              <w:rPr>
                <w:rStyle w:val="AERtextsize8"/>
              </w:rPr>
            </w:pPr>
            <w:r>
              <w:rPr>
                <w:rStyle w:val="AERtextsize8"/>
              </w:rPr>
              <w:t>40</w:t>
            </w:r>
            <w:r w:rsidR="008C7B59" w:rsidRPr="00387D36">
              <w:rPr>
                <w:rStyle w:val="AERtextsize8"/>
              </w:rPr>
              <w:t>.3</w:t>
            </w:r>
          </w:p>
        </w:tc>
        <w:tc>
          <w:tcPr>
            <w:tcW w:w="1524" w:type="dxa"/>
          </w:tcPr>
          <w:p w:rsidR="008C7B59" w:rsidRPr="008C7B59" w:rsidRDefault="00B8359B" w:rsidP="008C7B59">
            <w:pPr>
              <w:pStyle w:val="Tabletext-centred"/>
              <w:rPr>
                <w:rStyle w:val="AERtextsize8"/>
              </w:rPr>
            </w:pPr>
            <w:r>
              <w:rPr>
                <w:rStyle w:val="AERtextsize8"/>
              </w:rPr>
              <w:t>46</w:t>
            </w:r>
            <w:r w:rsidR="008C7B59" w:rsidRPr="00387D36">
              <w:rPr>
                <w:rStyle w:val="AERtextsize8"/>
              </w:rPr>
              <w:t>.6</w:t>
            </w:r>
          </w:p>
        </w:tc>
        <w:tc>
          <w:tcPr>
            <w:tcW w:w="1586" w:type="dxa"/>
          </w:tcPr>
          <w:p w:rsidR="008C7B59" w:rsidRPr="008C7B59" w:rsidRDefault="008C7B59" w:rsidP="008C7B59">
            <w:pPr>
              <w:pStyle w:val="Tabletext-centred"/>
              <w:rPr>
                <w:rStyle w:val="AERtextsize8"/>
              </w:rPr>
            </w:pPr>
            <w:r w:rsidRPr="00387D36">
              <w:rPr>
                <w:rStyle w:val="AERtextsize8"/>
              </w:rPr>
              <w:t>6.3</w:t>
            </w:r>
          </w:p>
        </w:tc>
      </w:tr>
      <w:tr w:rsidR="008C7B59" w:rsidRPr="002D44B5" w:rsidTr="005D15EC">
        <w:trPr>
          <w:cnfStyle w:val="000000010000" w:firstRow="0" w:lastRow="0" w:firstColumn="0" w:lastColumn="0" w:oddVBand="0" w:evenVBand="0" w:oddHBand="0" w:evenHBand="1" w:firstRowFirstColumn="0" w:firstRowLastColumn="0" w:lastRowFirstColumn="0" w:lastRowLastColumn="0"/>
        </w:trPr>
        <w:tc>
          <w:tcPr>
            <w:tcW w:w="1951" w:type="dxa"/>
            <w:vMerge/>
          </w:tcPr>
          <w:p w:rsidR="008C7B59" w:rsidRPr="002D44B5" w:rsidRDefault="008C7B59" w:rsidP="008C7B59"/>
        </w:tc>
        <w:tc>
          <w:tcPr>
            <w:tcW w:w="2126" w:type="dxa"/>
          </w:tcPr>
          <w:p w:rsidR="008C7B59" w:rsidRPr="008C7B59" w:rsidRDefault="008C7B59" w:rsidP="008C7B59">
            <w:r w:rsidRPr="002D44B5">
              <w:t>Corrosion zone C</w:t>
            </w:r>
          </w:p>
        </w:tc>
        <w:tc>
          <w:tcPr>
            <w:tcW w:w="1568" w:type="dxa"/>
          </w:tcPr>
          <w:p w:rsidR="008C7B59" w:rsidRPr="008C7B59" w:rsidRDefault="00B8359B" w:rsidP="008C7B59">
            <w:pPr>
              <w:pStyle w:val="Tabletext-centred"/>
              <w:rPr>
                <w:rStyle w:val="AERtextsize8"/>
              </w:rPr>
            </w:pPr>
            <w:r>
              <w:rPr>
                <w:rStyle w:val="AERtextsize8"/>
              </w:rPr>
              <w:t>57</w:t>
            </w:r>
            <w:r w:rsidR="008C7B59" w:rsidRPr="00387D36">
              <w:rPr>
                <w:rStyle w:val="AERtextsize8"/>
              </w:rPr>
              <w:t>.9</w:t>
            </w:r>
          </w:p>
        </w:tc>
        <w:tc>
          <w:tcPr>
            <w:tcW w:w="1524" w:type="dxa"/>
          </w:tcPr>
          <w:p w:rsidR="008C7B59" w:rsidRPr="008C7B59" w:rsidRDefault="00B8359B" w:rsidP="008C7B59">
            <w:pPr>
              <w:pStyle w:val="Tabletext-centred"/>
              <w:rPr>
                <w:rStyle w:val="AERtextsize8"/>
              </w:rPr>
            </w:pPr>
            <w:r>
              <w:rPr>
                <w:rStyle w:val="AERtextsize8"/>
              </w:rPr>
              <w:t>65</w:t>
            </w:r>
            <w:r w:rsidR="008C7B59" w:rsidRPr="00387D36">
              <w:rPr>
                <w:rStyle w:val="AERtextsize8"/>
              </w:rPr>
              <w:t>.5</w:t>
            </w:r>
          </w:p>
        </w:tc>
        <w:tc>
          <w:tcPr>
            <w:tcW w:w="1586" w:type="dxa"/>
          </w:tcPr>
          <w:p w:rsidR="008C7B59" w:rsidRPr="008C7B59" w:rsidRDefault="008C7B59" w:rsidP="008C7B59">
            <w:pPr>
              <w:pStyle w:val="Tabletext-centred"/>
              <w:rPr>
                <w:rStyle w:val="AERtextsize8"/>
              </w:rPr>
            </w:pPr>
            <w:r w:rsidRPr="00387D36">
              <w:rPr>
                <w:rStyle w:val="AERtextsize8"/>
              </w:rPr>
              <w:t>7.6</w:t>
            </w:r>
          </w:p>
        </w:tc>
      </w:tr>
      <w:tr w:rsidR="008C7B59" w:rsidRPr="002D44B5" w:rsidTr="005D15EC">
        <w:tc>
          <w:tcPr>
            <w:tcW w:w="1951" w:type="dxa"/>
            <w:vMerge/>
          </w:tcPr>
          <w:p w:rsidR="008C7B59" w:rsidRPr="002D44B5" w:rsidRDefault="008C7B59" w:rsidP="008C7B59"/>
        </w:tc>
        <w:tc>
          <w:tcPr>
            <w:tcW w:w="2126" w:type="dxa"/>
          </w:tcPr>
          <w:p w:rsidR="008C7B59" w:rsidRPr="008C7B59" w:rsidRDefault="008C7B59" w:rsidP="008C7B59">
            <w:r w:rsidRPr="002D44B5">
              <w:t>Corrosion zone B</w:t>
            </w:r>
          </w:p>
        </w:tc>
        <w:tc>
          <w:tcPr>
            <w:tcW w:w="1568" w:type="dxa"/>
          </w:tcPr>
          <w:p w:rsidR="008C7B59" w:rsidRPr="008C7B59" w:rsidRDefault="00B8359B" w:rsidP="008C7B59">
            <w:pPr>
              <w:pStyle w:val="Tabletext-centred"/>
              <w:rPr>
                <w:rStyle w:val="AERtextsize8"/>
              </w:rPr>
            </w:pPr>
            <w:r>
              <w:rPr>
                <w:rStyle w:val="AERtextsize8"/>
              </w:rPr>
              <w:t>71</w:t>
            </w:r>
            <w:r w:rsidR="008C7B59" w:rsidRPr="00387D36">
              <w:rPr>
                <w:rStyle w:val="AERtextsize8"/>
              </w:rPr>
              <w:t>.4</w:t>
            </w:r>
          </w:p>
        </w:tc>
        <w:tc>
          <w:tcPr>
            <w:tcW w:w="1524" w:type="dxa"/>
          </w:tcPr>
          <w:p w:rsidR="008C7B59" w:rsidRPr="008C7B59" w:rsidRDefault="00B8359B" w:rsidP="008C7B59">
            <w:pPr>
              <w:pStyle w:val="Tabletext-centred"/>
              <w:rPr>
                <w:rStyle w:val="AERtextsize8"/>
              </w:rPr>
            </w:pPr>
            <w:r>
              <w:rPr>
                <w:rStyle w:val="AERtextsize8"/>
              </w:rPr>
              <w:t>79</w:t>
            </w:r>
            <w:r w:rsidR="008C7B59" w:rsidRPr="00387D36">
              <w:rPr>
                <w:rStyle w:val="AERtextsize8"/>
              </w:rPr>
              <w:t>.9</w:t>
            </w:r>
          </w:p>
        </w:tc>
        <w:tc>
          <w:tcPr>
            <w:tcW w:w="1586" w:type="dxa"/>
          </w:tcPr>
          <w:p w:rsidR="008C7B59" w:rsidRPr="008C7B59" w:rsidRDefault="008C7B59" w:rsidP="008C7B59">
            <w:pPr>
              <w:pStyle w:val="Tabletext-centred"/>
              <w:rPr>
                <w:rStyle w:val="AERtextsize8"/>
              </w:rPr>
            </w:pPr>
            <w:r w:rsidRPr="00387D36">
              <w:rPr>
                <w:rStyle w:val="AERtextsize8"/>
              </w:rPr>
              <w:t>8.5</w:t>
            </w:r>
          </w:p>
        </w:tc>
      </w:tr>
      <w:tr w:rsidR="008C7B59" w:rsidRPr="002D44B5" w:rsidTr="005D15EC">
        <w:trPr>
          <w:cnfStyle w:val="000000010000" w:firstRow="0" w:lastRow="0" w:firstColumn="0" w:lastColumn="0" w:oddVBand="0" w:evenVBand="0" w:oddHBand="0" w:evenHBand="1" w:firstRowFirstColumn="0" w:firstRowLastColumn="0" w:lastRowFirstColumn="0" w:lastRowLastColumn="0"/>
        </w:trPr>
        <w:tc>
          <w:tcPr>
            <w:tcW w:w="1951" w:type="dxa"/>
            <w:vMerge w:val="restart"/>
          </w:tcPr>
          <w:p w:rsidR="008C7B59" w:rsidRPr="008C7B59" w:rsidRDefault="008C7B59" w:rsidP="008C7B59">
            <w:r>
              <w:t xml:space="preserve">Primary </w:t>
            </w:r>
            <w:r w:rsidRPr="008C7B59">
              <w:t>substation equipment</w:t>
            </w:r>
          </w:p>
        </w:tc>
        <w:tc>
          <w:tcPr>
            <w:tcW w:w="2126" w:type="dxa"/>
          </w:tcPr>
          <w:p w:rsidR="008C7B59" w:rsidRPr="008C7B59" w:rsidRDefault="008C7B59" w:rsidP="008C7B59">
            <w:r w:rsidRPr="002D44B5">
              <w:t>Circuit breakers</w:t>
            </w:r>
          </w:p>
        </w:tc>
        <w:tc>
          <w:tcPr>
            <w:tcW w:w="1568" w:type="dxa"/>
          </w:tcPr>
          <w:p w:rsidR="008C7B59" w:rsidRPr="008C7B59" w:rsidRDefault="008C7B59" w:rsidP="008C7B59">
            <w:pPr>
              <w:pStyle w:val="Tabletext-centred"/>
              <w:rPr>
                <w:rStyle w:val="AERtextsize8"/>
              </w:rPr>
            </w:pPr>
            <w:r w:rsidRPr="00387D36">
              <w:rPr>
                <w:rStyle w:val="AERtextsize8"/>
              </w:rPr>
              <w:t>34.2</w:t>
            </w:r>
          </w:p>
        </w:tc>
        <w:tc>
          <w:tcPr>
            <w:tcW w:w="1524" w:type="dxa"/>
          </w:tcPr>
          <w:p w:rsidR="008C7B59" w:rsidRPr="008C7B59" w:rsidRDefault="008C7B59" w:rsidP="008C7B59">
            <w:pPr>
              <w:pStyle w:val="Tabletext-centred"/>
              <w:rPr>
                <w:rStyle w:val="AERtextsize8"/>
              </w:rPr>
            </w:pPr>
            <w:r w:rsidRPr="00387D36">
              <w:rPr>
                <w:rStyle w:val="AERtextsize8"/>
              </w:rPr>
              <w:t>40.</w:t>
            </w:r>
            <w:r w:rsidRPr="008C7B59">
              <w:rPr>
                <w:rStyle w:val="AERtextsize8"/>
              </w:rPr>
              <w:t>2</w:t>
            </w:r>
          </w:p>
        </w:tc>
        <w:tc>
          <w:tcPr>
            <w:tcW w:w="1586" w:type="dxa"/>
          </w:tcPr>
          <w:p w:rsidR="008C7B59" w:rsidRPr="008C7B59" w:rsidRDefault="008C7B59" w:rsidP="008C7B59">
            <w:pPr>
              <w:pStyle w:val="Tabletext-centred"/>
              <w:rPr>
                <w:rStyle w:val="AERtextsize8"/>
              </w:rPr>
            </w:pPr>
            <w:r>
              <w:rPr>
                <w:rStyle w:val="AERtextsize8"/>
              </w:rPr>
              <w:t>6</w:t>
            </w:r>
            <w:r w:rsidRPr="008C7B59">
              <w:rPr>
                <w:rStyle w:val="AERtextsize8"/>
              </w:rPr>
              <w:t>.0</w:t>
            </w:r>
          </w:p>
        </w:tc>
      </w:tr>
      <w:tr w:rsidR="008C7B59" w:rsidRPr="002D44B5" w:rsidTr="005D15EC">
        <w:tc>
          <w:tcPr>
            <w:tcW w:w="1951" w:type="dxa"/>
            <w:vMerge/>
          </w:tcPr>
          <w:p w:rsidR="008C7B59" w:rsidRPr="002D44B5" w:rsidRDefault="008C7B59" w:rsidP="008C7B59"/>
        </w:tc>
        <w:tc>
          <w:tcPr>
            <w:tcW w:w="2126" w:type="dxa"/>
          </w:tcPr>
          <w:p w:rsidR="008C7B59" w:rsidRPr="008C7B59" w:rsidRDefault="008C7B59" w:rsidP="008C7B59">
            <w:r w:rsidRPr="002D44B5">
              <w:t>Isolators/earth switches</w:t>
            </w:r>
          </w:p>
        </w:tc>
        <w:tc>
          <w:tcPr>
            <w:tcW w:w="1568" w:type="dxa"/>
          </w:tcPr>
          <w:p w:rsidR="008C7B59" w:rsidRPr="008C7B59" w:rsidRDefault="008C7B59" w:rsidP="008C7B59">
            <w:pPr>
              <w:pStyle w:val="Tabletext-centred"/>
              <w:rPr>
                <w:rStyle w:val="AERtextsize8"/>
              </w:rPr>
            </w:pPr>
            <w:r w:rsidRPr="00387D36">
              <w:rPr>
                <w:rStyle w:val="AERtextsize8"/>
              </w:rPr>
              <w:t>39.8</w:t>
            </w:r>
          </w:p>
        </w:tc>
        <w:tc>
          <w:tcPr>
            <w:tcW w:w="1524" w:type="dxa"/>
          </w:tcPr>
          <w:p w:rsidR="008C7B59" w:rsidRPr="008C7B59" w:rsidRDefault="008C7B59" w:rsidP="008C7B59">
            <w:pPr>
              <w:pStyle w:val="Tabletext-centred"/>
              <w:rPr>
                <w:rStyle w:val="AERtextsize8"/>
              </w:rPr>
            </w:pPr>
            <w:r w:rsidRPr="00387D36">
              <w:rPr>
                <w:rStyle w:val="AERtextsize8"/>
              </w:rPr>
              <w:t>4</w:t>
            </w:r>
            <w:r w:rsidRPr="008C7B59">
              <w:rPr>
                <w:rStyle w:val="AERtextsize8"/>
              </w:rPr>
              <w:t>5.8</w:t>
            </w:r>
          </w:p>
        </w:tc>
        <w:tc>
          <w:tcPr>
            <w:tcW w:w="1586" w:type="dxa"/>
          </w:tcPr>
          <w:p w:rsidR="008C7B59" w:rsidRPr="008C7B59" w:rsidRDefault="008C7B59" w:rsidP="008C7B59">
            <w:pPr>
              <w:pStyle w:val="Tabletext-centred"/>
              <w:rPr>
                <w:rStyle w:val="AERtextsize8"/>
              </w:rPr>
            </w:pPr>
            <w:r>
              <w:rPr>
                <w:rStyle w:val="AERtextsize8"/>
              </w:rPr>
              <w:t>6</w:t>
            </w:r>
            <w:r w:rsidRPr="008C7B59">
              <w:rPr>
                <w:rStyle w:val="AERtextsize8"/>
              </w:rPr>
              <w:t>.0</w:t>
            </w:r>
          </w:p>
        </w:tc>
      </w:tr>
      <w:tr w:rsidR="008C7B59" w:rsidRPr="002D44B5" w:rsidTr="005D15EC">
        <w:trPr>
          <w:cnfStyle w:val="000000010000" w:firstRow="0" w:lastRow="0" w:firstColumn="0" w:lastColumn="0" w:oddVBand="0" w:evenVBand="0" w:oddHBand="0" w:evenHBand="1" w:firstRowFirstColumn="0" w:firstRowLastColumn="0" w:lastRowFirstColumn="0" w:lastRowLastColumn="0"/>
        </w:trPr>
        <w:tc>
          <w:tcPr>
            <w:tcW w:w="1951" w:type="dxa"/>
            <w:vMerge/>
          </w:tcPr>
          <w:p w:rsidR="008C7B59" w:rsidRPr="002D44B5" w:rsidRDefault="008C7B59" w:rsidP="008C7B59"/>
        </w:tc>
        <w:tc>
          <w:tcPr>
            <w:tcW w:w="2126" w:type="dxa"/>
          </w:tcPr>
          <w:p w:rsidR="008C7B59" w:rsidRPr="008C7B59" w:rsidRDefault="008C7B59" w:rsidP="008C7B59">
            <w:r w:rsidRPr="002D44B5">
              <w:t>Voltage transformers</w:t>
            </w:r>
          </w:p>
        </w:tc>
        <w:tc>
          <w:tcPr>
            <w:tcW w:w="1568" w:type="dxa"/>
          </w:tcPr>
          <w:p w:rsidR="008C7B59" w:rsidRPr="008C7B59" w:rsidRDefault="008C7B59" w:rsidP="008C7B59">
            <w:pPr>
              <w:pStyle w:val="Tabletext-centred"/>
              <w:rPr>
                <w:rStyle w:val="AERtextsize8"/>
              </w:rPr>
            </w:pPr>
            <w:r w:rsidRPr="00387D36">
              <w:rPr>
                <w:rStyle w:val="AERtextsize8"/>
              </w:rPr>
              <w:t>34.6</w:t>
            </w:r>
          </w:p>
        </w:tc>
        <w:tc>
          <w:tcPr>
            <w:tcW w:w="1524" w:type="dxa"/>
          </w:tcPr>
          <w:p w:rsidR="008C7B59" w:rsidRPr="008C7B59" w:rsidRDefault="008C7B59" w:rsidP="008C7B59">
            <w:pPr>
              <w:pStyle w:val="Tabletext-centred"/>
              <w:rPr>
                <w:rStyle w:val="AERtextsize8"/>
              </w:rPr>
            </w:pPr>
            <w:r w:rsidRPr="00387D36">
              <w:rPr>
                <w:rStyle w:val="AERtextsize8"/>
              </w:rPr>
              <w:t>40.</w:t>
            </w:r>
            <w:r w:rsidRPr="008C7B59">
              <w:rPr>
                <w:rStyle w:val="AERtextsize8"/>
              </w:rPr>
              <w:t>6</w:t>
            </w:r>
          </w:p>
        </w:tc>
        <w:tc>
          <w:tcPr>
            <w:tcW w:w="1586" w:type="dxa"/>
          </w:tcPr>
          <w:p w:rsidR="008C7B59" w:rsidRPr="008C7B59" w:rsidRDefault="008C7B59" w:rsidP="008C7B59">
            <w:pPr>
              <w:pStyle w:val="Tabletext-centred"/>
              <w:rPr>
                <w:rStyle w:val="AERtextsize8"/>
              </w:rPr>
            </w:pPr>
            <w:r>
              <w:rPr>
                <w:rStyle w:val="AERtextsize8"/>
              </w:rPr>
              <w:t>6</w:t>
            </w:r>
            <w:r w:rsidRPr="008C7B59">
              <w:rPr>
                <w:rStyle w:val="AERtextsize8"/>
              </w:rPr>
              <w:t>.0</w:t>
            </w:r>
          </w:p>
        </w:tc>
      </w:tr>
      <w:tr w:rsidR="008C7B59" w:rsidRPr="002D44B5" w:rsidTr="005D15EC">
        <w:tc>
          <w:tcPr>
            <w:tcW w:w="1951" w:type="dxa"/>
            <w:vMerge/>
          </w:tcPr>
          <w:p w:rsidR="008C7B59" w:rsidRPr="002D44B5" w:rsidRDefault="008C7B59" w:rsidP="008C7B59"/>
        </w:tc>
        <w:tc>
          <w:tcPr>
            <w:tcW w:w="2126" w:type="dxa"/>
          </w:tcPr>
          <w:p w:rsidR="008C7B59" w:rsidRPr="008C7B59" w:rsidRDefault="008C7B59" w:rsidP="008C7B59">
            <w:r w:rsidRPr="002D44B5">
              <w:t>Current transformers</w:t>
            </w:r>
          </w:p>
        </w:tc>
        <w:tc>
          <w:tcPr>
            <w:tcW w:w="1568" w:type="dxa"/>
          </w:tcPr>
          <w:p w:rsidR="008C7B59" w:rsidRPr="008C7B59" w:rsidRDefault="008C7B59" w:rsidP="008C7B59">
            <w:pPr>
              <w:pStyle w:val="Tabletext-centred"/>
              <w:rPr>
                <w:rStyle w:val="AERtextsize8"/>
              </w:rPr>
            </w:pPr>
            <w:r w:rsidRPr="00387D36">
              <w:rPr>
                <w:rStyle w:val="AERtextsize8"/>
              </w:rPr>
              <w:t>33.2</w:t>
            </w:r>
          </w:p>
        </w:tc>
        <w:tc>
          <w:tcPr>
            <w:tcW w:w="1524" w:type="dxa"/>
          </w:tcPr>
          <w:p w:rsidR="008C7B59" w:rsidRPr="008C7B59" w:rsidRDefault="008C7B59" w:rsidP="008C7B59">
            <w:pPr>
              <w:pStyle w:val="Tabletext-centred"/>
              <w:rPr>
                <w:rStyle w:val="AERtextsize8"/>
              </w:rPr>
            </w:pPr>
            <w:r w:rsidRPr="00387D36">
              <w:rPr>
                <w:rStyle w:val="AERtextsize8"/>
              </w:rPr>
              <w:t>39.</w:t>
            </w:r>
            <w:r w:rsidRPr="008C7B59">
              <w:rPr>
                <w:rStyle w:val="AERtextsize8"/>
              </w:rPr>
              <w:t>2</w:t>
            </w:r>
          </w:p>
        </w:tc>
        <w:tc>
          <w:tcPr>
            <w:tcW w:w="1586" w:type="dxa"/>
          </w:tcPr>
          <w:p w:rsidR="008C7B59" w:rsidRPr="008C7B59" w:rsidRDefault="008C7B59" w:rsidP="008C7B59">
            <w:pPr>
              <w:pStyle w:val="Tabletext-centred"/>
              <w:rPr>
                <w:rStyle w:val="AERtextsize8"/>
              </w:rPr>
            </w:pPr>
            <w:r>
              <w:rPr>
                <w:rStyle w:val="AERtextsize8"/>
              </w:rPr>
              <w:t>6</w:t>
            </w:r>
            <w:r w:rsidRPr="008C7B59">
              <w:rPr>
                <w:rStyle w:val="AERtextsize8"/>
              </w:rPr>
              <w:t>.0</w:t>
            </w:r>
          </w:p>
        </w:tc>
      </w:tr>
      <w:tr w:rsidR="008C7B59" w:rsidRPr="002D44B5" w:rsidTr="005D15EC">
        <w:trPr>
          <w:cnfStyle w:val="000000010000" w:firstRow="0" w:lastRow="0" w:firstColumn="0" w:lastColumn="0" w:oddVBand="0" w:evenVBand="0" w:oddHBand="0" w:evenHBand="1" w:firstRowFirstColumn="0" w:firstRowLastColumn="0" w:lastRowFirstColumn="0" w:lastRowLastColumn="0"/>
        </w:trPr>
        <w:tc>
          <w:tcPr>
            <w:tcW w:w="1951" w:type="dxa"/>
            <w:vMerge w:val="restart"/>
          </w:tcPr>
          <w:p w:rsidR="008C7B59" w:rsidRPr="008C7B59" w:rsidRDefault="008C7B59" w:rsidP="008C7B59">
            <w:r w:rsidRPr="002D44B5">
              <w:t>Secondary systems and telecommunications</w:t>
            </w:r>
          </w:p>
        </w:tc>
        <w:tc>
          <w:tcPr>
            <w:tcW w:w="2126" w:type="dxa"/>
          </w:tcPr>
          <w:p w:rsidR="008C7B59" w:rsidRPr="008C7B59" w:rsidRDefault="008C7B59" w:rsidP="008C7B59">
            <w:r w:rsidRPr="002D44B5">
              <w:t>Secondary systems (bay and non-bay)</w:t>
            </w:r>
          </w:p>
        </w:tc>
        <w:tc>
          <w:tcPr>
            <w:tcW w:w="1568" w:type="dxa"/>
          </w:tcPr>
          <w:p w:rsidR="008C7B59" w:rsidRPr="008C7B59" w:rsidRDefault="008C7B59" w:rsidP="008C7B59">
            <w:pPr>
              <w:pStyle w:val="Tabletext-centred"/>
              <w:rPr>
                <w:rStyle w:val="AERtextsize8"/>
              </w:rPr>
            </w:pPr>
            <w:r w:rsidRPr="00387D36">
              <w:rPr>
                <w:rStyle w:val="AERtextsize8"/>
              </w:rPr>
              <w:t>20.2</w:t>
            </w:r>
          </w:p>
        </w:tc>
        <w:tc>
          <w:tcPr>
            <w:tcW w:w="1524" w:type="dxa"/>
          </w:tcPr>
          <w:p w:rsidR="008C7B59" w:rsidRPr="008C7B59" w:rsidRDefault="008C7B59" w:rsidP="008C7B59">
            <w:pPr>
              <w:pStyle w:val="Tabletext-centred"/>
              <w:rPr>
                <w:rStyle w:val="AERtextsize8"/>
              </w:rPr>
            </w:pPr>
            <w:r w:rsidRPr="00387D36">
              <w:rPr>
                <w:rStyle w:val="AERtextsize8"/>
              </w:rPr>
              <w:t>24.7</w:t>
            </w:r>
          </w:p>
        </w:tc>
        <w:tc>
          <w:tcPr>
            <w:tcW w:w="1586" w:type="dxa"/>
          </w:tcPr>
          <w:p w:rsidR="008C7B59" w:rsidRPr="008C7B59" w:rsidRDefault="008C7B59" w:rsidP="008C7B59">
            <w:pPr>
              <w:pStyle w:val="Tabletext-centred"/>
              <w:rPr>
                <w:rStyle w:val="AERtextsize8"/>
              </w:rPr>
            </w:pPr>
            <w:r w:rsidRPr="00387D36">
              <w:rPr>
                <w:rStyle w:val="AERtextsize8"/>
              </w:rPr>
              <w:t>4.5</w:t>
            </w:r>
          </w:p>
        </w:tc>
      </w:tr>
      <w:tr w:rsidR="008C7B59" w:rsidRPr="002D44B5" w:rsidTr="005D15EC">
        <w:tc>
          <w:tcPr>
            <w:tcW w:w="1951" w:type="dxa"/>
            <w:vMerge/>
          </w:tcPr>
          <w:p w:rsidR="008C7B59" w:rsidRPr="002D44B5" w:rsidRDefault="008C7B59" w:rsidP="008C7B59"/>
        </w:tc>
        <w:tc>
          <w:tcPr>
            <w:tcW w:w="2126" w:type="dxa"/>
          </w:tcPr>
          <w:p w:rsidR="008C7B59" w:rsidRPr="008C7B59" w:rsidRDefault="008C7B59" w:rsidP="008C7B59">
            <w:r w:rsidRPr="002D44B5">
              <w:t>Telecommunications</w:t>
            </w:r>
          </w:p>
        </w:tc>
        <w:tc>
          <w:tcPr>
            <w:tcW w:w="1568" w:type="dxa"/>
          </w:tcPr>
          <w:p w:rsidR="008C7B59" w:rsidRPr="008C7B59" w:rsidRDefault="008C7B59" w:rsidP="008C7B59">
            <w:pPr>
              <w:pStyle w:val="Tabletext-centred"/>
              <w:rPr>
                <w:rStyle w:val="AERtextsize8"/>
              </w:rPr>
            </w:pPr>
            <w:r w:rsidRPr="00387D36">
              <w:rPr>
                <w:rStyle w:val="AERtextsize8"/>
              </w:rPr>
              <w:t>10.7</w:t>
            </w:r>
          </w:p>
        </w:tc>
        <w:tc>
          <w:tcPr>
            <w:tcW w:w="1524" w:type="dxa"/>
          </w:tcPr>
          <w:p w:rsidR="008C7B59" w:rsidRPr="008C7B59" w:rsidRDefault="008C7B59" w:rsidP="008C7B59">
            <w:pPr>
              <w:pStyle w:val="Tabletext-centred"/>
              <w:rPr>
                <w:rStyle w:val="AERtextsize8"/>
              </w:rPr>
            </w:pPr>
            <w:r w:rsidRPr="00387D36">
              <w:rPr>
                <w:rStyle w:val="AERtextsize8"/>
              </w:rPr>
              <w:t>10.7</w:t>
            </w:r>
          </w:p>
        </w:tc>
        <w:tc>
          <w:tcPr>
            <w:tcW w:w="1586" w:type="dxa"/>
          </w:tcPr>
          <w:p w:rsidR="008C7B59" w:rsidRPr="008C7B59" w:rsidRDefault="008C7B59" w:rsidP="008C7B59">
            <w:pPr>
              <w:pStyle w:val="Tabletext-centred"/>
              <w:rPr>
                <w:rStyle w:val="AERtextsize8"/>
              </w:rPr>
            </w:pPr>
            <w:r w:rsidRPr="00387D36">
              <w:rPr>
                <w:rStyle w:val="AERtextsize8"/>
              </w:rPr>
              <w:t>-</w:t>
            </w:r>
          </w:p>
        </w:tc>
      </w:tr>
      <w:tr w:rsidR="008C7B59" w:rsidRPr="002D44B5" w:rsidTr="005D15EC">
        <w:trPr>
          <w:cnfStyle w:val="000000010000" w:firstRow="0" w:lastRow="0" w:firstColumn="0" w:lastColumn="0" w:oddVBand="0" w:evenVBand="0" w:oddHBand="0" w:evenHBand="1" w:firstRowFirstColumn="0" w:firstRowLastColumn="0" w:lastRowFirstColumn="0" w:lastRowLastColumn="0"/>
        </w:trPr>
        <w:tc>
          <w:tcPr>
            <w:tcW w:w="1951" w:type="dxa"/>
            <w:vMerge w:val="restart"/>
          </w:tcPr>
          <w:p w:rsidR="008C7B59" w:rsidRPr="008C7B59" w:rsidRDefault="008C7B59" w:rsidP="008C7B59">
            <w:r w:rsidRPr="002D44B5">
              <w:t>Buildings and infrastructure</w:t>
            </w:r>
          </w:p>
        </w:tc>
        <w:tc>
          <w:tcPr>
            <w:tcW w:w="2126" w:type="dxa"/>
          </w:tcPr>
          <w:p w:rsidR="008C7B59" w:rsidRPr="008C7B59" w:rsidRDefault="008C7B59" w:rsidP="008C7B59">
            <w:r w:rsidRPr="002D44B5">
              <w:t>Substation buildings</w:t>
            </w:r>
          </w:p>
        </w:tc>
        <w:tc>
          <w:tcPr>
            <w:tcW w:w="1568" w:type="dxa"/>
          </w:tcPr>
          <w:p w:rsidR="008C7B59" w:rsidRPr="008C7B59" w:rsidRDefault="008C7B59" w:rsidP="008C7B59">
            <w:pPr>
              <w:pStyle w:val="Tabletext-centred"/>
              <w:rPr>
                <w:rStyle w:val="AERtextsize8"/>
              </w:rPr>
            </w:pPr>
            <w:r w:rsidRPr="00387D36">
              <w:rPr>
                <w:rStyle w:val="AERtextsize8"/>
              </w:rPr>
              <w:t>34.3</w:t>
            </w:r>
          </w:p>
        </w:tc>
        <w:tc>
          <w:tcPr>
            <w:tcW w:w="1524" w:type="dxa"/>
          </w:tcPr>
          <w:p w:rsidR="008C7B59" w:rsidRPr="008C7B59" w:rsidRDefault="008C7B59" w:rsidP="008C7B59">
            <w:pPr>
              <w:pStyle w:val="Tabletext-centred"/>
              <w:rPr>
                <w:rStyle w:val="AERtextsize8"/>
              </w:rPr>
            </w:pPr>
            <w:r w:rsidRPr="00387D36">
              <w:rPr>
                <w:rStyle w:val="AERtextsize8"/>
              </w:rPr>
              <w:t>34.3</w:t>
            </w:r>
          </w:p>
        </w:tc>
        <w:tc>
          <w:tcPr>
            <w:tcW w:w="1586" w:type="dxa"/>
          </w:tcPr>
          <w:p w:rsidR="008C7B59" w:rsidRPr="008C7B59" w:rsidRDefault="008C7B59" w:rsidP="008C7B59">
            <w:pPr>
              <w:pStyle w:val="Tabletext-centred"/>
              <w:rPr>
                <w:rStyle w:val="AERtextsize8"/>
              </w:rPr>
            </w:pPr>
            <w:r w:rsidRPr="00387D36">
              <w:rPr>
                <w:rStyle w:val="AERtextsize8"/>
              </w:rPr>
              <w:t>-</w:t>
            </w:r>
          </w:p>
        </w:tc>
      </w:tr>
      <w:tr w:rsidR="008C7B59" w:rsidRPr="002D44B5" w:rsidTr="005D15EC">
        <w:tc>
          <w:tcPr>
            <w:tcW w:w="1951" w:type="dxa"/>
            <w:vMerge/>
          </w:tcPr>
          <w:p w:rsidR="008C7B59" w:rsidRPr="002D44B5" w:rsidRDefault="008C7B59" w:rsidP="008C7B59"/>
        </w:tc>
        <w:tc>
          <w:tcPr>
            <w:tcW w:w="2126" w:type="dxa"/>
          </w:tcPr>
          <w:p w:rsidR="008C7B59" w:rsidRPr="008C7B59" w:rsidRDefault="008C7B59" w:rsidP="008C7B59">
            <w:r w:rsidRPr="002D44B5">
              <w:t>Communicatio</w:t>
            </w:r>
            <w:r w:rsidRPr="008C7B59">
              <w:t>ns buildings</w:t>
            </w:r>
          </w:p>
        </w:tc>
        <w:tc>
          <w:tcPr>
            <w:tcW w:w="1568" w:type="dxa"/>
          </w:tcPr>
          <w:p w:rsidR="008C7B59" w:rsidRPr="008C7B59" w:rsidRDefault="008C7B59" w:rsidP="008C7B59">
            <w:pPr>
              <w:pStyle w:val="Tabletext-centred"/>
              <w:rPr>
                <w:rStyle w:val="AERtextsize8"/>
              </w:rPr>
            </w:pPr>
            <w:r w:rsidRPr="00387D36">
              <w:rPr>
                <w:rStyle w:val="AERtextsize8"/>
              </w:rPr>
              <w:t>42.3</w:t>
            </w:r>
          </w:p>
        </w:tc>
        <w:tc>
          <w:tcPr>
            <w:tcW w:w="1524" w:type="dxa"/>
          </w:tcPr>
          <w:p w:rsidR="008C7B59" w:rsidRPr="008C7B59" w:rsidRDefault="008C7B59" w:rsidP="008C7B59">
            <w:pPr>
              <w:pStyle w:val="Tabletext-centred"/>
              <w:rPr>
                <w:rStyle w:val="AERtextsize8"/>
              </w:rPr>
            </w:pPr>
            <w:r w:rsidRPr="00387D36">
              <w:rPr>
                <w:rStyle w:val="AERtextsize8"/>
              </w:rPr>
              <w:t>42.3</w:t>
            </w:r>
          </w:p>
        </w:tc>
        <w:tc>
          <w:tcPr>
            <w:tcW w:w="1586" w:type="dxa"/>
          </w:tcPr>
          <w:p w:rsidR="008C7B59" w:rsidRPr="008C7B59" w:rsidRDefault="008C7B59" w:rsidP="008C7B59">
            <w:pPr>
              <w:pStyle w:val="Tabletext-centred"/>
              <w:rPr>
                <w:rStyle w:val="AERtextsize8"/>
              </w:rPr>
            </w:pPr>
            <w:r w:rsidRPr="00387D36">
              <w:rPr>
                <w:rStyle w:val="AERtextsize8"/>
              </w:rPr>
              <w:t>-</w:t>
            </w:r>
          </w:p>
        </w:tc>
      </w:tr>
      <w:tr w:rsidR="008C7B59" w:rsidRPr="002D44B5" w:rsidTr="005D15EC">
        <w:trPr>
          <w:cnfStyle w:val="000000010000" w:firstRow="0" w:lastRow="0" w:firstColumn="0" w:lastColumn="0" w:oddVBand="0" w:evenVBand="0" w:oddHBand="0" w:evenHBand="1" w:firstRowFirstColumn="0" w:firstRowLastColumn="0" w:lastRowFirstColumn="0" w:lastRowLastColumn="0"/>
        </w:trPr>
        <w:tc>
          <w:tcPr>
            <w:tcW w:w="1951" w:type="dxa"/>
            <w:vMerge/>
          </w:tcPr>
          <w:p w:rsidR="008C7B59" w:rsidRPr="002D44B5" w:rsidRDefault="008C7B59" w:rsidP="008C7B59"/>
        </w:tc>
        <w:tc>
          <w:tcPr>
            <w:tcW w:w="2126" w:type="dxa"/>
          </w:tcPr>
          <w:p w:rsidR="008C7B59" w:rsidRPr="008C7B59" w:rsidRDefault="008C7B59" w:rsidP="008C7B59">
            <w:r w:rsidRPr="002D44B5">
              <w:t>Site infrastructure</w:t>
            </w:r>
          </w:p>
        </w:tc>
        <w:tc>
          <w:tcPr>
            <w:tcW w:w="1568" w:type="dxa"/>
          </w:tcPr>
          <w:p w:rsidR="008C7B59" w:rsidRPr="008C7B59" w:rsidRDefault="008C7B59" w:rsidP="008C7B59">
            <w:pPr>
              <w:pStyle w:val="Tabletext-centred"/>
              <w:rPr>
                <w:rStyle w:val="AERtextsize8"/>
              </w:rPr>
            </w:pPr>
            <w:r w:rsidRPr="00387D36">
              <w:rPr>
                <w:rStyle w:val="AERtextsize8"/>
              </w:rPr>
              <w:t>50.6</w:t>
            </w:r>
          </w:p>
        </w:tc>
        <w:tc>
          <w:tcPr>
            <w:tcW w:w="1524" w:type="dxa"/>
          </w:tcPr>
          <w:p w:rsidR="008C7B59" w:rsidRPr="008C7B59" w:rsidRDefault="008C7B59" w:rsidP="008C7B59">
            <w:pPr>
              <w:pStyle w:val="Tabletext-centred"/>
              <w:rPr>
                <w:rStyle w:val="AERtextsize8"/>
              </w:rPr>
            </w:pPr>
            <w:r w:rsidRPr="00387D36">
              <w:rPr>
                <w:rStyle w:val="AERtextsize8"/>
              </w:rPr>
              <w:t>50.6</w:t>
            </w:r>
          </w:p>
        </w:tc>
        <w:tc>
          <w:tcPr>
            <w:tcW w:w="1586" w:type="dxa"/>
          </w:tcPr>
          <w:p w:rsidR="008C7B59" w:rsidRPr="008C7B59" w:rsidRDefault="008C7B59" w:rsidP="008C7B59">
            <w:pPr>
              <w:pStyle w:val="Tabletext-centred"/>
              <w:rPr>
                <w:rStyle w:val="AERtextsize8"/>
              </w:rPr>
            </w:pPr>
            <w:r w:rsidRPr="00387D36">
              <w:rPr>
                <w:rStyle w:val="AERtextsize8"/>
              </w:rPr>
              <w:t>-</w:t>
            </w:r>
          </w:p>
        </w:tc>
      </w:tr>
    </w:tbl>
    <w:p w:rsidR="008C7B59" w:rsidRDefault="008C7B59" w:rsidP="008C7B59">
      <w:pPr>
        <w:pStyle w:val="AERtablesource"/>
      </w:pPr>
      <w:r>
        <w:t>Source:</w:t>
      </w:r>
      <w:r>
        <w:tab/>
        <w:t>AER analysis.</w:t>
      </w:r>
    </w:p>
    <w:p w:rsidR="003F4E55" w:rsidRDefault="008C7B59" w:rsidP="008C7B59">
      <w:r>
        <w:t xml:space="preserve">The extended asset replacement lives set out in </w:t>
      </w:r>
      <w:r w:rsidRPr="008C7B59">
        <w:fldChar w:fldCharType="begin"/>
      </w:r>
      <w:r>
        <w:instrText xml:space="preserve"> REF _Ref460340815 </w:instrText>
      </w:r>
      <w:r w:rsidRPr="008C7B59">
        <w:fldChar w:fldCharType="separate"/>
      </w:r>
      <w:r w:rsidR="005252EC">
        <w:t xml:space="preserve">Table </w:t>
      </w:r>
      <w:r w:rsidR="005252EC">
        <w:rPr>
          <w:noProof/>
        </w:rPr>
        <w:t>6</w:t>
      </w:r>
      <w:r w:rsidR="005252EC">
        <w:t>.</w:t>
      </w:r>
      <w:r w:rsidR="005252EC">
        <w:rPr>
          <w:noProof/>
        </w:rPr>
        <w:t>8</w:t>
      </w:r>
      <w:r w:rsidRPr="008C7B59">
        <w:fldChar w:fldCharType="end"/>
      </w:r>
      <w:r>
        <w:t xml:space="preserve">, when applied as inputs to Powerlink's repex </w:t>
      </w:r>
      <w:proofErr w:type="gramStart"/>
      <w:r>
        <w:t>model,</w:t>
      </w:r>
      <w:proofErr w:type="gramEnd"/>
      <w:r>
        <w:t xml:space="preserve"> have the effect of deferring the profile of asset replacements forecast by the model and reducing forecast capex in the 2017–22 regulatory control period. </w:t>
      </w:r>
    </w:p>
    <w:p w:rsidR="008C7B59" w:rsidRDefault="008C7B59" w:rsidP="008C7B59">
      <w:r>
        <w:t>As a corollary to this reduction</w:t>
      </w:r>
      <w:r w:rsidR="003F4E55">
        <w:t xml:space="preserve"> in forecast repex</w:t>
      </w:r>
      <w:r>
        <w:t xml:space="preserve">, we recognise that the extension of </w:t>
      </w:r>
      <w:r w:rsidR="003F4E55">
        <w:t xml:space="preserve">physical </w:t>
      </w:r>
      <w:r>
        <w:t>asset replacement lives is likely to require a prudent increase in preventative and corrective asset re</w:t>
      </w:r>
      <w:r w:rsidR="000F5929">
        <w:t>investment</w:t>
      </w:r>
      <w:r>
        <w:t xml:space="preserve"> capex within the 2017–22 regulatory control </w:t>
      </w:r>
      <w:proofErr w:type="gramStart"/>
      <w:r>
        <w:t>period</w:t>
      </w:r>
      <w:proofErr w:type="gramEnd"/>
      <w:r>
        <w:t xml:space="preserve">. This would include asset life extension expenditure, such as the early painting of transmission towers to prevent corrosion. EMCa has estimated an offsetting allowance equivalent to 15 per cent of Powerlink's </w:t>
      </w:r>
      <w:r w:rsidR="003F4E55">
        <w:t xml:space="preserve">initial </w:t>
      </w:r>
      <w:r>
        <w:t xml:space="preserve">modelled repex as a reasonable estimate of the additional life extension capex likely to be required in the 2017–22 regulatory control </w:t>
      </w:r>
      <w:proofErr w:type="gramStart"/>
      <w:r>
        <w:t>period</w:t>
      </w:r>
      <w:proofErr w:type="gramEnd"/>
      <w:r>
        <w:t xml:space="preserve"> to achieve the extended </w:t>
      </w:r>
      <w:r w:rsidR="000126EA">
        <w:t xml:space="preserve">mean </w:t>
      </w:r>
      <w:r>
        <w:t>asset replacement lives set out in this draft decision.</w:t>
      </w:r>
      <w:r>
        <w:rPr>
          <w:rStyle w:val="FootnoteReference"/>
        </w:rPr>
        <w:footnoteReference w:id="114"/>
      </w:r>
      <w:r>
        <w:t xml:space="preserve"> </w:t>
      </w:r>
      <w:r w:rsidR="004A1A65">
        <w:t>This is based on the</w:t>
      </w:r>
      <w:r w:rsidR="000F5929">
        <w:t xml:space="preserve"> </w:t>
      </w:r>
      <w:r w:rsidR="004A1A65">
        <w:t xml:space="preserve">experience of </w:t>
      </w:r>
      <w:proofErr w:type="spellStart"/>
      <w:r w:rsidR="004A1A65">
        <w:t>Transpower</w:t>
      </w:r>
      <w:proofErr w:type="spellEnd"/>
      <w:r w:rsidR="004A1A65">
        <w:t xml:space="preserve"> New Zealand, which has</w:t>
      </w:r>
      <w:r w:rsidR="004A1A65" w:rsidRPr="004A1A65">
        <w:t xml:space="preserve"> adopted an ‘early’ tower painting program in which it repaints towers before </w:t>
      </w:r>
      <w:r w:rsidR="004A1A65">
        <w:t>signs of significant corrosion appear</w:t>
      </w:r>
      <w:r w:rsidR="004A1A65" w:rsidRPr="004A1A65">
        <w:t xml:space="preserve">. </w:t>
      </w:r>
      <w:proofErr w:type="spellStart"/>
      <w:r w:rsidR="004A1A65" w:rsidRPr="004A1A65">
        <w:t>Transpower</w:t>
      </w:r>
      <w:proofErr w:type="spellEnd"/>
      <w:r w:rsidR="004A1A65" w:rsidRPr="004A1A65">
        <w:t xml:space="preserve"> has demonstrated that this is a lower cost strategy than line replacement. </w:t>
      </w:r>
      <w:r w:rsidR="004A1A65">
        <w:t>EMCa advised that, b</w:t>
      </w:r>
      <w:r w:rsidR="004A1A65" w:rsidRPr="004A1A65">
        <w:t xml:space="preserve">ased on </w:t>
      </w:r>
      <w:proofErr w:type="spellStart"/>
      <w:r w:rsidR="004A1A65" w:rsidRPr="004A1A65">
        <w:t>Transpower’s</w:t>
      </w:r>
      <w:proofErr w:type="spellEnd"/>
      <w:r w:rsidR="004A1A65" w:rsidRPr="004A1A65">
        <w:t xml:space="preserve"> reported </w:t>
      </w:r>
      <w:r w:rsidR="004A1A65" w:rsidRPr="004A1A65">
        <w:lastRenderedPageBreak/>
        <w:t xml:space="preserve">criteria for tower painting and the average </w:t>
      </w:r>
      <w:r w:rsidR="004A1A65">
        <w:t>cost per tower,</w:t>
      </w:r>
      <w:r w:rsidR="004A1A65" w:rsidRPr="004A1A65">
        <w:t xml:space="preserve"> Powerlink would nee</w:t>
      </w:r>
      <w:r w:rsidR="004A1A65">
        <w:t>d to spend the equivalent of 15 per cent</w:t>
      </w:r>
      <w:r w:rsidR="004A1A65" w:rsidRPr="004A1A65">
        <w:t xml:space="preserve"> of its forecast tower replacem</w:t>
      </w:r>
      <w:r w:rsidR="004A1A65">
        <w:t>ent expenditure</w:t>
      </w:r>
      <w:r w:rsidR="004A1A65" w:rsidRPr="004A1A65">
        <w:t xml:space="preserve"> to adopt an early tower painting program</w:t>
      </w:r>
      <w:r w:rsidR="004A1A65">
        <w:t>.</w:t>
      </w:r>
      <w:r w:rsidR="004A1A65">
        <w:rPr>
          <w:rStyle w:val="FootnoteReference"/>
        </w:rPr>
        <w:footnoteReference w:id="115"/>
      </w:r>
      <w:r w:rsidR="004A1A65">
        <w:t xml:space="preserve"> </w:t>
      </w:r>
      <w:r>
        <w:t xml:space="preserve">We have accounted for this additional </w:t>
      </w:r>
      <w:r w:rsidR="004A1A65">
        <w:t xml:space="preserve">refurbishment capex </w:t>
      </w:r>
      <w:r>
        <w:t xml:space="preserve">in our alternative estimate of repex required to achieve the capex objectives. </w:t>
      </w:r>
      <w:r w:rsidR="004A1A65">
        <w:t>Given we have allowed for this offsetting increase in refurbishment capex, we do not consider that an increase in Powerlink's forecast maintenance opex would be required as a result of this draft decision on forecast capex.</w:t>
      </w:r>
    </w:p>
    <w:p w:rsidR="00113AAC" w:rsidRDefault="008C7B59" w:rsidP="00814D31">
      <w:r>
        <w:t xml:space="preserve">Applying the alternative asset replacement lives set out in </w:t>
      </w:r>
      <w:r>
        <w:fldChar w:fldCharType="begin"/>
      </w:r>
      <w:r>
        <w:instrText xml:space="preserve"> REF _Ref460340815 \h </w:instrText>
      </w:r>
      <w:r>
        <w:fldChar w:fldCharType="separate"/>
      </w:r>
      <w:r w:rsidR="005252EC">
        <w:t xml:space="preserve">Table </w:t>
      </w:r>
      <w:r w:rsidR="005252EC">
        <w:rPr>
          <w:noProof/>
        </w:rPr>
        <w:t>6</w:t>
      </w:r>
      <w:r w:rsidR="005252EC">
        <w:t>.</w:t>
      </w:r>
      <w:r w:rsidR="005252EC">
        <w:rPr>
          <w:noProof/>
        </w:rPr>
        <w:t>8</w:t>
      </w:r>
      <w:r>
        <w:fldChar w:fldCharType="end"/>
      </w:r>
      <w:r>
        <w:t xml:space="preserve"> and the 15 per cent offset for increased capitalised refurbishment </w:t>
      </w:r>
      <w:r w:rsidR="00F8384B">
        <w:t xml:space="preserve">and life extension </w:t>
      </w:r>
      <w:r>
        <w:t>costs results in a reduction in repex from $794.3 million to $609.8 million ($2015</w:t>
      </w:r>
      <w:r w:rsidR="00CB260C">
        <w:t>–</w:t>
      </w:r>
      <w:r>
        <w:t>16).</w:t>
      </w:r>
      <w:r w:rsidR="00744B06">
        <w:t xml:space="preserve"> </w:t>
      </w:r>
    </w:p>
    <w:p w:rsidR="00B53873" w:rsidRDefault="00744B06">
      <w:r>
        <w:t xml:space="preserve">We consider that </w:t>
      </w:r>
      <w:r w:rsidR="00B53873">
        <w:t>our reduction in</w:t>
      </w:r>
      <w:r>
        <w:t xml:space="preserve"> forecast repex is </w:t>
      </w:r>
      <w:r w:rsidR="00B53873">
        <w:t>realistic yet conservative in the circumstances, noting that our extended asset replacement lives remain shorter than those actually achieved by Powerlink for relevant asset classes in the sample of historical projects reviewed.</w:t>
      </w:r>
      <w:r w:rsidR="00113AAC">
        <w:t xml:space="preserve"> Also, </w:t>
      </w:r>
      <w:r w:rsidR="00B53873">
        <w:t xml:space="preserve">we have made no adjustment to </w:t>
      </w:r>
      <w:r w:rsidR="00113AAC">
        <w:t>Powerlink's forecast unit rates in this draft decision.</w:t>
      </w:r>
      <w:r w:rsidR="00B53873">
        <w:t xml:space="preserve"> </w:t>
      </w:r>
      <w:r w:rsidR="00113AAC">
        <w:t>While we found that several of Powerlink's historical repex projects</w:t>
      </w:r>
      <w:r w:rsidR="00B53873" w:rsidRPr="00B53873">
        <w:t xml:space="preserve"> </w:t>
      </w:r>
      <w:r w:rsidR="00113AAC">
        <w:t xml:space="preserve">used to calibrate its repex model inputs </w:t>
      </w:r>
      <w:r w:rsidR="00B53873" w:rsidRPr="00B53873">
        <w:t>included expendi</w:t>
      </w:r>
      <w:r w:rsidR="00113AAC">
        <w:t>ture to augment replaced assets, Powerlink advised that it had</w:t>
      </w:r>
      <w:r w:rsidR="00B53873" w:rsidRPr="00B53873">
        <w:t xml:space="preserve"> allowed for this </w:t>
      </w:r>
      <w:r w:rsidR="00113AAC">
        <w:t>by reducing historical replacement quantities</w:t>
      </w:r>
      <w:r w:rsidR="009A51BD">
        <w:t>, resulting in a reduction of approximately nine per cent from historical expenditure</w:t>
      </w:r>
      <w:r w:rsidR="00B53873" w:rsidRPr="00B53873">
        <w:t xml:space="preserve">. </w:t>
      </w:r>
      <w:r w:rsidR="00814D31">
        <w:t xml:space="preserve">In our final decision, we </w:t>
      </w:r>
      <w:r w:rsidR="009A51BD">
        <w:t xml:space="preserve">will further review the quantum and application of this adjustment, including the possible impact of historical augmentation capex on Powerlink's unit rates, </w:t>
      </w:r>
      <w:r w:rsidR="009A51BD" w:rsidRPr="009A51BD">
        <w:t xml:space="preserve">to </w:t>
      </w:r>
      <w:r w:rsidR="009A51BD">
        <w:t>confirm that</w:t>
      </w:r>
      <w:r w:rsidR="009A51BD" w:rsidRPr="009A51BD">
        <w:t xml:space="preserve"> </w:t>
      </w:r>
      <w:r w:rsidR="009A51BD">
        <w:t>Powerlink has fully accounted for the impact of augmentation in historical repex projects</w:t>
      </w:r>
      <w:r w:rsidR="00B53873" w:rsidRPr="00B53873">
        <w:t>.</w:t>
      </w:r>
    </w:p>
    <w:p w:rsidR="000F5929" w:rsidRDefault="008C7B59" w:rsidP="000F5929">
      <w:r>
        <w:t xml:space="preserve">We recognise that the </w:t>
      </w:r>
      <w:r w:rsidR="00814D31">
        <w:t xml:space="preserve">proposed </w:t>
      </w:r>
      <w:r>
        <w:t xml:space="preserve">reduction in repex associated with extending the expected replacement lives of Powerlink's assets in the repex model </w:t>
      </w:r>
      <w:r w:rsidR="00814D31">
        <w:t xml:space="preserve">as set out in this draft decision </w:t>
      </w:r>
      <w:r>
        <w:t xml:space="preserve">will, over time, result in an increase in the average age of Powerlink's network assets. </w:t>
      </w:r>
      <w:r w:rsidR="000F5929">
        <w:t xml:space="preserve">We consider this to be reasonable, noting that, on average, Powerlink's existing assets are significantly younger than those of other Australian transmission network service providers, as shown in </w:t>
      </w:r>
      <w:r w:rsidR="000F5929" w:rsidRPr="00047D4D">
        <w:fldChar w:fldCharType="begin"/>
      </w:r>
      <w:r w:rsidR="000F5929">
        <w:instrText xml:space="preserve"> REF _Ref459129577 </w:instrText>
      </w:r>
      <w:r w:rsidR="000F5929" w:rsidRPr="00047D4D">
        <w:fldChar w:fldCharType="separate"/>
      </w:r>
      <w:r w:rsidR="005252EC">
        <w:t xml:space="preserve">Table </w:t>
      </w:r>
      <w:r w:rsidR="005252EC">
        <w:rPr>
          <w:noProof/>
        </w:rPr>
        <w:t>6</w:t>
      </w:r>
      <w:r w:rsidR="005252EC">
        <w:t>.</w:t>
      </w:r>
      <w:r w:rsidR="005252EC">
        <w:rPr>
          <w:noProof/>
        </w:rPr>
        <w:t>9</w:t>
      </w:r>
      <w:r w:rsidR="000F5929" w:rsidRPr="00047D4D">
        <w:fldChar w:fldCharType="end"/>
      </w:r>
      <w:r w:rsidR="000F5929">
        <w:t xml:space="preserve">. </w:t>
      </w:r>
    </w:p>
    <w:p w:rsidR="008C7B59" w:rsidRDefault="008C7B59" w:rsidP="008C7B59">
      <w:pPr>
        <w:pStyle w:val="Caption"/>
      </w:pPr>
      <w:bookmarkStart w:id="225" w:name="_Ref459129577"/>
      <w:proofErr w:type="gramStart"/>
      <w:r>
        <w:t xml:space="preserve">Table </w:t>
      </w:r>
      <w:fldSimple w:instr=" STYLEREF 1 \s ">
        <w:r w:rsidR="005252EC">
          <w:rPr>
            <w:noProof/>
          </w:rPr>
          <w:t>6</w:t>
        </w:r>
      </w:fldSimple>
      <w:r w:rsidR="00250D0F">
        <w:t>.</w:t>
      </w:r>
      <w:proofErr w:type="gramEnd"/>
      <w:r w:rsidR="005252EC">
        <w:fldChar w:fldCharType="begin"/>
      </w:r>
      <w:r w:rsidR="005252EC">
        <w:instrText xml:space="preserve"> SEQ Table \* ARABIC \s 1 </w:instrText>
      </w:r>
      <w:r w:rsidR="005252EC">
        <w:fldChar w:fldCharType="separate"/>
      </w:r>
      <w:r w:rsidR="005252EC">
        <w:rPr>
          <w:noProof/>
        </w:rPr>
        <w:t>9</w:t>
      </w:r>
      <w:r w:rsidR="005252EC">
        <w:rPr>
          <w:noProof/>
        </w:rPr>
        <w:fldChar w:fldCharType="end"/>
      </w:r>
      <w:bookmarkEnd w:id="225"/>
      <w:r>
        <w:tab/>
        <w:t>Comparison of weighted average asset ages (years)</w:t>
      </w:r>
    </w:p>
    <w:tbl>
      <w:tblPr>
        <w:tblStyle w:val="AERtable-numbers"/>
        <w:tblW w:w="0" w:type="auto"/>
        <w:tblLook w:val="04A0" w:firstRow="1" w:lastRow="0" w:firstColumn="1" w:lastColumn="0" w:noHBand="0" w:noVBand="1"/>
      </w:tblPr>
      <w:tblGrid>
        <w:gridCol w:w="1809"/>
        <w:gridCol w:w="1376"/>
        <w:gridCol w:w="1377"/>
        <w:gridCol w:w="1377"/>
        <w:gridCol w:w="1377"/>
        <w:gridCol w:w="1377"/>
      </w:tblGrid>
      <w:tr w:rsidR="008C7B59" w:rsidTr="005D15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8C7B59" w:rsidRPr="008C7B59" w:rsidRDefault="008C7B59" w:rsidP="008C7B59">
            <w:r>
              <w:t>Asset type</w:t>
            </w:r>
          </w:p>
        </w:tc>
        <w:tc>
          <w:tcPr>
            <w:tcW w:w="1376" w:type="dxa"/>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t>Powerlink</w:t>
            </w:r>
          </w:p>
        </w:tc>
        <w:tc>
          <w:tcPr>
            <w:tcW w:w="1377" w:type="dxa"/>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t>AusNet Services</w:t>
            </w:r>
          </w:p>
        </w:tc>
        <w:tc>
          <w:tcPr>
            <w:tcW w:w="1377" w:type="dxa"/>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t>TransGrid</w:t>
            </w:r>
          </w:p>
        </w:tc>
        <w:tc>
          <w:tcPr>
            <w:tcW w:w="1377" w:type="dxa"/>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t>ElectraNet</w:t>
            </w:r>
          </w:p>
        </w:tc>
        <w:tc>
          <w:tcPr>
            <w:tcW w:w="1377" w:type="dxa"/>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t>TasNetworks</w:t>
            </w:r>
          </w:p>
        </w:tc>
      </w:tr>
      <w:tr w:rsidR="008C7B59" w:rsidTr="005D15EC">
        <w:tc>
          <w:tcPr>
            <w:cnfStyle w:val="001000000000" w:firstRow="0" w:lastRow="0" w:firstColumn="1" w:lastColumn="0" w:oddVBand="0" w:evenVBand="0" w:oddHBand="0" w:evenHBand="0" w:firstRowFirstColumn="0" w:firstRowLastColumn="0" w:lastRowFirstColumn="0" w:lastRowLastColumn="0"/>
            <w:tcW w:w="1809" w:type="dxa"/>
          </w:tcPr>
          <w:p w:rsidR="008C7B59" w:rsidRPr="008C7B59" w:rsidRDefault="008C7B59" w:rsidP="008C7B59">
            <w:r>
              <w:t>Towers</w:t>
            </w:r>
          </w:p>
        </w:tc>
        <w:tc>
          <w:tcPr>
            <w:tcW w:w="1376" w:type="dxa"/>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rPr>
                <w:rStyle w:val="Strong"/>
              </w:rPr>
            </w:pPr>
            <w:r w:rsidRPr="00167F38">
              <w:rPr>
                <w:rStyle w:val="Strong"/>
              </w:rPr>
              <w:t>26</w:t>
            </w:r>
          </w:p>
        </w:tc>
        <w:tc>
          <w:tcPr>
            <w:tcW w:w="1377" w:type="dxa"/>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44</w:t>
            </w:r>
          </w:p>
        </w:tc>
        <w:tc>
          <w:tcPr>
            <w:tcW w:w="1377" w:type="dxa"/>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37</w:t>
            </w:r>
          </w:p>
        </w:tc>
        <w:tc>
          <w:tcPr>
            <w:tcW w:w="1377" w:type="dxa"/>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44</w:t>
            </w:r>
          </w:p>
        </w:tc>
        <w:tc>
          <w:tcPr>
            <w:tcW w:w="1377" w:type="dxa"/>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48</w:t>
            </w:r>
          </w:p>
        </w:tc>
      </w:tr>
      <w:tr w:rsidR="008C7B59" w:rsidTr="005D15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8C7B59" w:rsidRPr="008C7B59" w:rsidRDefault="008C7B59" w:rsidP="008C7B59">
            <w:r>
              <w:t>Substation p</w:t>
            </w:r>
            <w:r w:rsidRPr="008C7B59">
              <w:t>ower transformers</w:t>
            </w:r>
          </w:p>
        </w:tc>
        <w:tc>
          <w:tcPr>
            <w:tcW w:w="1376" w:type="dxa"/>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rPr>
                <w:rStyle w:val="Strong"/>
              </w:rPr>
            </w:pPr>
            <w:r w:rsidRPr="00167F38">
              <w:rPr>
                <w:rStyle w:val="Strong"/>
              </w:rPr>
              <w:t>17</w:t>
            </w:r>
          </w:p>
        </w:tc>
        <w:tc>
          <w:tcPr>
            <w:tcW w:w="1377" w:type="dxa"/>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30</w:t>
            </w:r>
          </w:p>
        </w:tc>
        <w:tc>
          <w:tcPr>
            <w:tcW w:w="1377" w:type="dxa"/>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22</w:t>
            </w:r>
          </w:p>
        </w:tc>
        <w:tc>
          <w:tcPr>
            <w:tcW w:w="1377" w:type="dxa"/>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30</w:t>
            </w:r>
          </w:p>
        </w:tc>
        <w:tc>
          <w:tcPr>
            <w:tcW w:w="1377" w:type="dxa"/>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22</w:t>
            </w:r>
          </w:p>
        </w:tc>
      </w:tr>
      <w:tr w:rsidR="008C7B59" w:rsidTr="005D15EC">
        <w:tc>
          <w:tcPr>
            <w:cnfStyle w:val="001000000000" w:firstRow="0" w:lastRow="0" w:firstColumn="1" w:lastColumn="0" w:oddVBand="0" w:evenVBand="0" w:oddHBand="0" w:evenHBand="0" w:firstRowFirstColumn="0" w:firstRowLastColumn="0" w:lastRowFirstColumn="0" w:lastRowLastColumn="0"/>
            <w:tcW w:w="1809" w:type="dxa"/>
          </w:tcPr>
          <w:p w:rsidR="008C7B59" w:rsidRPr="008C7B59" w:rsidRDefault="008C7B59" w:rsidP="008C7B59">
            <w:r>
              <w:t>Substation switchgear</w:t>
            </w:r>
          </w:p>
        </w:tc>
        <w:tc>
          <w:tcPr>
            <w:tcW w:w="1376" w:type="dxa"/>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rPr>
                <w:rStyle w:val="Strong"/>
              </w:rPr>
            </w:pPr>
            <w:r w:rsidRPr="00167F38">
              <w:rPr>
                <w:rStyle w:val="Strong"/>
              </w:rPr>
              <w:t>14</w:t>
            </w:r>
          </w:p>
        </w:tc>
        <w:tc>
          <w:tcPr>
            <w:tcW w:w="1377" w:type="dxa"/>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24</w:t>
            </w:r>
          </w:p>
        </w:tc>
        <w:tc>
          <w:tcPr>
            <w:tcW w:w="1377" w:type="dxa"/>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19</w:t>
            </w:r>
          </w:p>
        </w:tc>
        <w:tc>
          <w:tcPr>
            <w:tcW w:w="1377" w:type="dxa"/>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21</w:t>
            </w:r>
          </w:p>
        </w:tc>
        <w:tc>
          <w:tcPr>
            <w:tcW w:w="1377" w:type="dxa"/>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18</w:t>
            </w:r>
          </w:p>
        </w:tc>
      </w:tr>
      <w:tr w:rsidR="008C7B59" w:rsidTr="005D15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8C7B59" w:rsidRPr="008C7B59" w:rsidRDefault="008C7B59" w:rsidP="008C7B59">
            <w:r>
              <w:t>Conductors</w:t>
            </w:r>
          </w:p>
        </w:tc>
        <w:tc>
          <w:tcPr>
            <w:tcW w:w="1376" w:type="dxa"/>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rPr>
                <w:rStyle w:val="Strong"/>
              </w:rPr>
            </w:pPr>
            <w:r w:rsidRPr="00167F38">
              <w:rPr>
                <w:rStyle w:val="Strong"/>
              </w:rPr>
              <w:t>24</w:t>
            </w:r>
          </w:p>
        </w:tc>
        <w:tc>
          <w:tcPr>
            <w:tcW w:w="1377" w:type="dxa"/>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41</w:t>
            </w:r>
          </w:p>
        </w:tc>
        <w:tc>
          <w:tcPr>
            <w:tcW w:w="1377" w:type="dxa"/>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37</w:t>
            </w:r>
          </w:p>
        </w:tc>
        <w:tc>
          <w:tcPr>
            <w:tcW w:w="1377" w:type="dxa"/>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41</w:t>
            </w:r>
          </w:p>
        </w:tc>
        <w:tc>
          <w:tcPr>
            <w:tcW w:w="1377" w:type="dxa"/>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41</w:t>
            </w:r>
          </w:p>
        </w:tc>
      </w:tr>
    </w:tbl>
    <w:p w:rsidR="008C7B59" w:rsidRDefault="008C7B59" w:rsidP="008C7B59">
      <w:pPr>
        <w:pStyle w:val="AERtablesource"/>
      </w:pPr>
      <w:r>
        <w:t>Source: AER analysis.</w:t>
      </w:r>
    </w:p>
    <w:p w:rsidR="000F5929" w:rsidRDefault="000F5929" w:rsidP="000F5929">
      <w:r>
        <w:lastRenderedPageBreak/>
        <w:t>We have also considered the effect that the associated reduction in repex may have on Powerlink's ability to meet the expected demand for prescribed transmission services, comply with applicable regulatory obligations and maintain the safety of the transmission system.</w:t>
      </w:r>
    </w:p>
    <w:p w:rsidR="008C7B59" w:rsidRPr="007F5A92" w:rsidRDefault="008C7B59" w:rsidP="008C7B59">
      <w:r>
        <w:t xml:space="preserve">We note that there is a significant amount of spare capacity in Powerlink's transmission network. </w:t>
      </w:r>
      <w:r w:rsidRPr="007F5A92">
        <w:t xml:space="preserve">Transmission networks </w:t>
      </w:r>
      <w:r>
        <w:t>typically develop</w:t>
      </w:r>
      <w:r w:rsidRPr="007F5A92">
        <w:t xml:space="preserve"> with greater capacity than </w:t>
      </w:r>
      <w:r>
        <w:t>forecast maximum demand</w:t>
      </w:r>
      <w:r w:rsidRPr="007F5A92">
        <w:t xml:space="preserve"> to allow for a margin of spare capacity to manage asset outages for maintenance, to provide redundancy in the event of asset failure and to allow for future demand growth. </w:t>
      </w:r>
      <w:r>
        <w:t>However, as submitted by CCP</w:t>
      </w:r>
      <w:r w:rsidR="00E9650D">
        <w:t xml:space="preserve"> members</w:t>
      </w:r>
      <w:r>
        <w:t>, the utilisation of Powerlink's network as measured by spare transformer capacity has declined in recent years.</w:t>
      </w:r>
      <w:r>
        <w:rPr>
          <w:rStyle w:val="FootnoteReference"/>
        </w:rPr>
        <w:footnoteReference w:id="116"/>
      </w:r>
      <w:r>
        <w:t xml:space="preserve"> </w:t>
      </w:r>
      <w:r w:rsidRPr="007F5A92">
        <w:t xml:space="preserve"> </w:t>
      </w:r>
      <w:r w:rsidRPr="008C7B59">
        <w:fldChar w:fldCharType="begin"/>
      </w:r>
      <w:r>
        <w:instrText xml:space="preserve"> REF _Ref460503795 </w:instrText>
      </w:r>
      <w:r w:rsidRPr="008C7B59">
        <w:fldChar w:fldCharType="separate"/>
      </w:r>
      <w:r w:rsidR="005252EC">
        <w:t xml:space="preserve">Figure </w:t>
      </w:r>
      <w:r w:rsidR="005252EC">
        <w:rPr>
          <w:noProof/>
        </w:rPr>
        <w:t>6</w:t>
      </w:r>
      <w:r w:rsidR="005252EC">
        <w:t>.</w:t>
      </w:r>
      <w:r w:rsidR="005252EC">
        <w:rPr>
          <w:noProof/>
        </w:rPr>
        <w:t>7</w:t>
      </w:r>
      <w:r w:rsidRPr="008C7B59">
        <w:fldChar w:fldCharType="end"/>
      </w:r>
      <w:r>
        <w:t xml:space="preserve"> </w:t>
      </w:r>
      <w:r w:rsidRPr="007F5A92">
        <w:t>shows that</w:t>
      </w:r>
      <w:r w:rsidR="00F25139">
        <w:t>,</w:t>
      </w:r>
      <w:r w:rsidRPr="007F5A92">
        <w:t xml:space="preserve"> on a</w:t>
      </w:r>
      <w:r>
        <w:t>verage</w:t>
      </w:r>
      <w:r w:rsidR="00F25139">
        <w:t>,</w:t>
      </w:r>
      <w:r>
        <w:t xml:space="preserve"> Powerlink </w:t>
      </w:r>
      <w:proofErr w:type="gramStart"/>
      <w:r>
        <w:t>has</w:t>
      </w:r>
      <w:proofErr w:type="gramEnd"/>
      <w:r w:rsidRPr="007F5A92">
        <w:t xml:space="preserve"> </w:t>
      </w:r>
      <w:r>
        <w:t>in recent years</w:t>
      </w:r>
      <w:r w:rsidRPr="007F5A92">
        <w:t xml:space="preserve"> increased the margin of spare capacity </w:t>
      </w:r>
      <w:r>
        <w:t>in the network by</w:t>
      </w:r>
      <w:r w:rsidRPr="007F5A92">
        <w:t xml:space="preserve"> increasing </w:t>
      </w:r>
      <w:r>
        <w:t>connection point capacity by 26 per</w:t>
      </w:r>
      <w:r w:rsidR="000F5929">
        <w:t> </w:t>
      </w:r>
      <w:r>
        <w:t>cent</w:t>
      </w:r>
      <w:r w:rsidRPr="007F5A92">
        <w:t>, while demand has remained static.</w:t>
      </w:r>
    </w:p>
    <w:p w:rsidR="008C7B59" w:rsidRDefault="008C7B59" w:rsidP="008C7B59">
      <w:pPr>
        <w:pStyle w:val="Caption"/>
      </w:pPr>
      <w:bookmarkStart w:id="226" w:name="_Ref460503795"/>
      <w:proofErr w:type="gramStart"/>
      <w:r>
        <w:t xml:space="preserve">Figure </w:t>
      </w:r>
      <w:fldSimple w:instr=" STYLEREF 1 \s ">
        <w:r w:rsidR="005252EC">
          <w:rPr>
            <w:noProof/>
          </w:rPr>
          <w:t>6</w:t>
        </w:r>
      </w:fldSimple>
      <w:r w:rsidR="00D504BF">
        <w:t>.</w:t>
      </w:r>
      <w:proofErr w:type="gramEnd"/>
      <w:r w:rsidR="005252EC">
        <w:fldChar w:fldCharType="begin"/>
      </w:r>
      <w:r w:rsidR="005252EC">
        <w:instrText xml:space="preserve"> SEQ Figure \* ARABIC \s 1 </w:instrText>
      </w:r>
      <w:r w:rsidR="005252EC">
        <w:fldChar w:fldCharType="separate"/>
      </w:r>
      <w:r w:rsidR="005252EC">
        <w:rPr>
          <w:noProof/>
        </w:rPr>
        <w:t>7</w:t>
      </w:r>
      <w:r w:rsidR="005252EC">
        <w:rPr>
          <w:noProof/>
        </w:rPr>
        <w:fldChar w:fldCharType="end"/>
      </w:r>
      <w:bookmarkEnd w:id="226"/>
      <w:r>
        <w:tab/>
      </w:r>
      <w:r w:rsidRPr="007703EA">
        <w:t>Powerlink total connection point rating and maximum demand (MVA)</w:t>
      </w:r>
    </w:p>
    <w:p w:rsidR="008C7B59" w:rsidRDefault="008C7B59" w:rsidP="008C7B59">
      <w:r w:rsidRPr="008C7B59">
        <w:rPr>
          <w:noProof/>
          <w:lang w:eastAsia="en-AU"/>
        </w:rPr>
        <w:drawing>
          <wp:inline distT="0" distB="0" distL="0" distR="0" wp14:anchorId="322ABF31" wp14:editId="2CF596E4">
            <wp:extent cx="4886325" cy="309767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325" cy="3097670"/>
                    </a:xfrm>
                    <a:prstGeom prst="rect">
                      <a:avLst/>
                    </a:prstGeom>
                    <a:noFill/>
                    <a:ln>
                      <a:noFill/>
                    </a:ln>
                  </pic:spPr>
                </pic:pic>
              </a:graphicData>
            </a:graphic>
          </wp:inline>
        </w:drawing>
      </w:r>
    </w:p>
    <w:p w:rsidR="008C7B59" w:rsidRDefault="008C7B59" w:rsidP="008C7B59">
      <w:pPr>
        <w:pStyle w:val="AERtablesource"/>
      </w:pPr>
      <w:r>
        <w:t>Source: AER analysis of Powerlink category analysis RINs.</w:t>
      </w:r>
    </w:p>
    <w:p w:rsidR="008C7B59" w:rsidRDefault="008C7B59" w:rsidP="008C7B59">
      <w:r w:rsidRPr="008B2231">
        <w:t>The increased margin in Powerl</w:t>
      </w:r>
      <w:r>
        <w:t>ink’s network capacity over recent years</w:t>
      </w:r>
      <w:r w:rsidRPr="008B2231">
        <w:t xml:space="preserve"> </w:t>
      </w:r>
      <w:r>
        <w:t>has provided more redundancy in Powerlink's network. Un</w:t>
      </w:r>
      <w:r w:rsidRPr="008B2231">
        <w:t xml:space="preserve">planned asset outages are </w:t>
      </w:r>
      <w:r>
        <w:t xml:space="preserve">therefore </w:t>
      </w:r>
      <w:r w:rsidRPr="008B2231">
        <w:t xml:space="preserve">less likely to lead to customer interruptions. This is evident in the </w:t>
      </w:r>
      <w:r>
        <w:t>trend of network reliability as measured by the amount of unserved energy</w:t>
      </w:r>
      <w:r w:rsidRPr="008B2231">
        <w:t xml:space="preserve"> </w:t>
      </w:r>
      <w:r>
        <w:t xml:space="preserve">experienced by Powerlink's customers, which </w:t>
      </w:r>
      <w:r w:rsidRPr="008B2231">
        <w:t>has consistently improved over this same period</w:t>
      </w:r>
      <w:r w:rsidR="00616E18">
        <w:t xml:space="preserve"> as shown in </w:t>
      </w:r>
      <w:fldSimple w:instr=" REF _Ref461186603 ">
        <w:r w:rsidR="005252EC">
          <w:t xml:space="preserve">Figure </w:t>
        </w:r>
        <w:r w:rsidR="005252EC">
          <w:rPr>
            <w:noProof/>
          </w:rPr>
          <w:lastRenderedPageBreak/>
          <w:t>6</w:t>
        </w:r>
        <w:r w:rsidR="005252EC">
          <w:t>.</w:t>
        </w:r>
        <w:r w:rsidR="005252EC">
          <w:rPr>
            <w:noProof/>
          </w:rPr>
          <w:t>8</w:t>
        </w:r>
      </w:fldSimple>
      <w:r w:rsidRPr="008B2231">
        <w:t>. Unserved energy for Power</w:t>
      </w:r>
      <w:r>
        <w:t>link’s customers has reduced (that is,</w:t>
      </w:r>
      <w:r w:rsidRPr="008B2231">
        <w:t xml:space="preserve"> reliabi</w:t>
      </w:r>
      <w:r>
        <w:t>lity has improved) by around 22 per cent since 2007</w:t>
      </w:r>
      <w:r w:rsidR="00CB260C">
        <w:t>–</w:t>
      </w:r>
      <w:r>
        <w:t>08</w:t>
      </w:r>
      <w:r w:rsidRPr="008B2231">
        <w:t>.</w:t>
      </w:r>
      <w:r>
        <w:rPr>
          <w:rStyle w:val="FootnoteReference"/>
        </w:rPr>
        <w:footnoteReference w:id="117"/>
      </w:r>
    </w:p>
    <w:p w:rsidR="00616E18" w:rsidRDefault="00D504BF" w:rsidP="00D504BF">
      <w:pPr>
        <w:pStyle w:val="Caption"/>
      </w:pPr>
      <w:bookmarkStart w:id="227" w:name="_Ref461186603"/>
      <w:proofErr w:type="gramStart"/>
      <w:r>
        <w:t xml:space="preserve">Figure </w:t>
      </w:r>
      <w:fldSimple w:instr=" STYLEREF 1 \s ">
        <w:r w:rsidR="005252EC">
          <w:rPr>
            <w:noProof/>
          </w:rPr>
          <w:t>6</w:t>
        </w:r>
      </w:fldSimple>
      <w:r>
        <w:t>.</w:t>
      </w:r>
      <w:proofErr w:type="gramEnd"/>
      <w:r w:rsidR="005252EC">
        <w:fldChar w:fldCharType="begin"/>
      </w:r>
      <w:r w:rsidR="005252EC">
        <w:instrText xml:space="preserve"> SEQ Figure \* ARABIC \s 1 </w:instrText>
      </w:r>
      <w:r w:rsidR="005252EC">
        <w:fldChar w:fldCharType="separate"/>
      </w:r>
      <w:r w:rsidR="005252EC">
        <w:rPr>
          <w:noProof/>
        </w:rPr>
        <w:t>8</w:t>
      </w:r>
      <w:r w:rsidR="005252EC">
        <w:rPr>
          <w:noProof/>
        </w:rPr>
        <w:fldChar w:fldCharType="end"/>
      </w:r>
      <w:bookmarkEnd w:id="227"/>
      <w:r w:rsidR="00616E18" w:rsidRPr="00616E18">
        <w:tab/>
      </w:r>
      <w:r w:rsidR="00616E18">
        <w:t>TNSP unserved energy 2006 - 2014 (three year moving average</w:t>
      </w:r>
      <w:r w:rsidR="00FB2BEF">
        <w:t>)</w:t>
      </w:r>
    </w:p>
    <w:p w:rsidR="00616E18" w:rsidRDefault="00616E18" w:rsidP="008C7B59">
      <w:r w:rsidRPr="00616E18">
        <w:rPr>
          <w:noProof/>
          <w:lang w:eastAsia="en-AU"/>
        </w:rPr>
        <w:drawing>
          <wp:inline distT="0" distB="0" distL="0" distR="0" wp14:anchorId="64AA655E" wp14:editId="77FFBE5B">
            <wp:extent cx="5382895" cy="31291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2895" cy="3129134"/>
                    </a:xfrm>
                    <a:prstGeom prst="rect">
                      <a:avLst/>
                    </a:prstGeom>
                    <a:noFill/>
                    <a:ln>
                      <a:noFill/>
                    </a:ln>
                  </pic:spPr>
                </pic:pic>
              </a:graphicData>
            </a:graphic>
          </wp:inline>
        </w:drawing>
      </w:r>
    </w:p>
    <w:p w:rsidR="00FB2BEF" w:rsidRDefault="00CB4CC1" w:rsidP="00FB2BEF">
      <w:pPr>
        <w:pStyle w:val="AERtablesource"/>
      </w:pPr>
      <w:r>
        <w:t xml:space="preserve">Source: </w:t>
      </w:r>
      <w:r w:rsidR="000C766F">
        <w:tab/>
      </w:r>
      <w:r>
        <w:t>AER,</w:t>
      </w:r>
      <w:r w:rsidRPr="00CB4CC1">
        <w:rPr>
          <w:rFonts w:eastAsiaTheme="minorHAnsi"/>
        </w:rPr>
        <w:t xml:space="preserve"> </w:t>
      </w:r>
      <w:hyperlink r:id="rId21" w:history="1">
        <w:r w:rsidRPr="00CB4CC1">
          <w:rPr>
            <w:rStyle w:val="AERtextitalic"/>
            <w:rFonts w:eastAsiaTheme="majorEastAsia"/>
          </w:rPr>
          <w:t xml:space="preserve">AER Transmission network service </w:t>
        </w:r>
        <w:proofErr w:type="gramStart"/>
        <w:r w:rsidRPr="00CB4CC1">
          <w:rPr>
            <w:rStyle w:val="AERtextitalic"/>
            <w:rFonts w:eastAsiaTheme="majorEastAsia"/>
          </w:rPr>
          <w:t>providers</w:t>
        </w:r>
        <w:proofErr w:type="gramEnd"/>
        <w:r w:rsidRPr="00CB4CC1">
          <w:rPr>
            <w:rStyle w:val="AERtextitalic"/>
            <w:rFonts w:eastAsiaTheme="majorEastAsia"/>
          </w:rPr>
          <w:t xml:space="preserve"> partial performance indicators 2010 - 2014</w:t>
        </w:r>
      </w:hyperlink>
      <w:r>
        <w:rPr>
          <w:rStyle w:val="AERtextitalic"/>
        </w:rPr>
        <w:t xml:space="preserve"> - Physical data worksheet</w:t>
      </w:r>
      <w:r>
        <w:t xml:space="preserve">, </w:t>
      </w:r>
      <w:r w:rsidRPr="00CB4CC1">
        <w:t>30 November 2015</w:t>
      </w:r>
      <w:r>
        <w:t>.</w:t>
      </w:r>
    </w:p>
    <w:p w:rsidR="008C7B59" w:rsidRPr="008B2231" w:rsidRDefault="008C7B59" w:rsidP="008C7B59">
      <w:r>
        <w:t xml:space="preserve">Having regard to Powerlink's existing asset age profile and levels of spare capacity, network redundancy and network reliability, we are satisfied that Powerlink's network is sufficiently robust to accommodate </w:t>
      </w:r>
      <w:r w:rsidR="00DE1E8B">
        <w:t>an</w:t>
      </w:r>
      <w:r>
        <w:t xml:space="preserve"> increase in average asset age in the 2017–22 regulatory control period. </w:t>
      </w:r>
      <w:r w:rsidRPr="008D442F">
        <w:t xml:space="preserve">We </w:t>
      </w:r>
      <w:r>
        <w:t>therefore consider that our alternative estimate of repex</w:t>
      </w:r>
      <w:r w:rsidRPr="008D442F">
        <w:t xml:space="preserve"> should be sufficient for a prudent and efficient service provider in Powerlink's circumstances to be able to maintain the safety, service quality, security and reliability of its network consistent with its current obligations.</w:t>
      </w:r>
      <w:r w:rsidR="000F5929">
        <w:t xml:space="preserve"> </w:t>
      </w:r>
      <w:r w:rsidR="008212C0">
        <w:t>Powerlink will have an opportunity through its revised proposal to assess t</w:t>
      </w:r>
      <w:r w:rsidR="000F5929">
        <w:t xml:space="preserve">he </w:t>
      </w:r>
      <w:r w:rsidR="008212C0">
        <w:t xml:space="preserve">likely impact, in terms of network health and reliability, of extending the mean asset replacement lives as envisaged in this draft decision. We will have regard to any such analysis in making our final decision. </w:t>
      </w:r>
    </w:p>
    <w:p w:rsidR="008C7B59" w:rsidRDefault="008C7B59" w:rsidP="008C7B59">
      <w:pPr>
        <w:pStyle w:val="HeadingBoldItalic"/>
      </w:pPr>
      <w:r w:rsidRPr="00C5248B">
        <w:t>Power transformers repex</w:t>
      </w:r>
    </w:p>
    <w:p w:rsidR="008C7B59" w:rsidRDefault="008C7B59" w:rsidP="008C7B59">
      <w:r>
        <w:t>Powerlink forecast repex of $43.1 million for seven power transformer replacement projects in the 2017</w:t>
      </w:r>
      <w:r>
        <w:softHyphen/>
        <w:t>–22 regulatory control period.</w:t>
      </w:r>
      <w:r>
        <w:rPr>
          <w:rStyle w:val="FootnoteReference"/>
        </w:rPr>
        <w:footnoteReference w:id="118"/>
      </w:r>
      <w:r>
        <w:t xml:space="preserve"> Power transformers are relatively low volume, high cost items and Powerlink therefore considers them not suitable for </w:t>
      </w:r>
      <w:r>
        <w:lastRenderedPageBreak/>
        <w:t>modelling through the repex model. Powerlink has forecast its power transformer capex on an individual project basis.</w:t>
      </w:r>
      <w:r>
        <w:rPr>
          <w:rStyle w:val="FootnoteReference"/>
        </w:rPr>
        <w:footnoteReference w:id="119"/>
      </w:r>
      <w:r>
        <w:t xml:space="preserve"> </w:t>
      </w:r>
    </w:p>
    <w:p w:rsidR="008C7B59" w:rsidRDefault="008C7B59" w:rsidP="008C7B59">
      <w:r>
        <w:t>We reviewed the supporting documentation provided by Powerlink for the seven transformer replacement projects forecast for the 2017–22 regulatory control period, and sought advice from EMCa regarding the project need and Powerlink's application of its capex governance policies and procedures in the context of these projects.</w:t>
      </w:r>
      <w:r>
        <w:rPr>
          <w:rStyle w:val="FootnoteReference"/>
        </w:rPr>
        <w:footnoteReference w:id="120"/>
      </w:r>
    </w:p>
    <w:p w:rsidR="008C7B59" w:rsidRDefault="008C7B59" w:rsidP="008C7B59">
      <w:r>
        <w:t>Powerlink's forecast transformer replacement projects are 'unapproved', meaning that business cases for the projects have yet to be developed.</w:t>
      </w:r>
      <w:r>
        <w:rPr>
          <w:rStyle w:val="FootnoteReference"/>
        </w:rPr>
        <w:footnoteReference w:id="121"/>
      </w:r>
      <w:r>
        <w:t xml:space="preserve"> Typically, Powerlink has supported its individual transformer replacement projects with project proposal documents and condition assessment reports as well as, in one case, a risk assessment.</w:t>
      </w:r>
      <w:r>
        <w:rPr>
          <w:rStyle w:val="FootnoteReference"/>
        </w:rPr>
        <w:footnoteReference w:id="122"/>
      </w:r>
    </w:p>
    <w:p w:rsidR="008C7B59" w:rsidRDefault="008C7B59" w:rsidP="008C7B59">
      <w:r>
        <w:t>Based on its review of Powerlink's forecast project documentation, EMCa found that:</w:t>
      </w:r>
      <w:r>
        <w:rPr>
          <w:rStyle w:val="FootnoteReference"/>
        </w:rPr>
        <w:footnoteReference w:id="123"/>
      </w:r>
    </w:p>
    <w:p w:rsidR="008C7B59" w:rsidRDefault="008C7B59" w:rsidP="008C7B59">
      <w:pPr>
        <w:pStyle w:val="AERbulletlistfirststyle"/>
      </w:pPr>
      <w:r>
        <w:t>the scope of each project is well defined;</w:t>
      </w:r>
    </w:p>
    <w:p w:rsidR="008C7B59" w:rsidRDefault="008C7B59" w:rsidP="008C7B59">
      <w:pPr>
        <w:pStyle w:val="AERbulletlistfirststyle"/>
      </w:pPr>
      <w:r>
        <w:t>the condition assessment reports provide adequate information to confirm that some action is required in the 2017–22 regulatory control period;</w:t>
      </w:r>
    </w:p>
    <w:p w:rsidR="008C7B59" w:rsidRDefault="008C7B59" w:rsidP="008C7B59">
      <w:pPr>
        <w:pStyle w:val="AERbulletlistfirststyle"/>
      </w:pPr>
      <w:r>
        <w:t>limited options analysis is provided in most cases, with typically a discussion of one or two alternatives to the recommended approach;</w:t>
      </w:r>
    </w:p>
    <w:p w:rsidR="008C7B59" w:rsidRDefault="008C7B59" w:rsidP="008C7B59">
      <w:pPr>
        <w:pStyle w:val="AERbulletlistfirststyle"/>
      </w:pPr>
      <w:r>
        <w:t>little or no economic analysis is presented to support the preferred option;</w:t>
      </w:r>
    </w:p>
    <w:p w:rsidR="008C7B59" w:rsidRDefault="008C7B59" w:rsidP="008C7B59">
      <w:pPr>
        <w:pStyle w:val="AERbulletlistfirststyle"/>
      </w:pPr>
      <w:r>
        <w:t xml:space="preserve">where </w:t>
      </w:r>
      <w:r w:rsidRPr="00556F10">
        <w:t>Powerlink has proposed the replacement of transformers with larger units or a higher total installed capacity, Powerlink has not justified this increase in capacity</w:t>
      </w:r>
      <w:r>
        <w:t>;</w:t>
      </w:r>
      <w:r w:rsidRPr="00556F10">
        <w:t xml:space="preserve"> </w:t>
      </w:r>
      <w:r>
        <w:t>and</w:t>
      </w:r>
    </w:p>
    <w:p w:rsidR="008C7B59" w:rsidRDefault="008C7B59" w:rsidP="008C7B59">
      <w:pPr>
        <w:pStyle w:val="AERbulletlistfirststyle"/>
      </w:pPr>
      <w:proofErr w:type="gramStart"/>
      <w:r>
        <w:t>in</w:t>
      </w:r>
      <w:proofErr w:type="gramEnd"/>
      <w:r>
        <w:t xml:space="preserve"> several cases, it appears that transformer refurbishment </w:t>
      </w:r>
      <w:r w:rsidR="00F8384B">
        <w:t>may be</w:t>
      </w:r>
      <w:r>
        <w:t xml:space="preserve"> a viable option yet in most cases there is no discussion of the technical viability of life extension rather than asset replacement.</w:t>
      </w:r>
    </w:p>
    <w:p w:rsidR="008C7B59" w:rsidRDefault="008C7B59" w:rsidP="008C7B59">
      <w:r>
        <w:t>EMCa also reviewed two examples of Powerlink's historical transformer replacement projects.</w:t>
      </w:r>
      <w:r>
        <w:rPr>
          <w:rStyle w:val="FootnoteReference"/>
        </w:rPr>
        <w:footnoteReference w:id="124"/>
      </w:r>
      <w:r>
        <w:t xml:space="preserve"> EMCa found that these historical projects displayed similar systemic issues to the forecast transformer projects and projects in other asset categories, including:</w:t>
      </w:r>
      <w:r>
        <w:rPr>
          <w:rStyle w:val="FootnoteReference"/>
        </w:rPr>
        <w:footnoteReference w:id="125"/>
      </w:r>
    </w:p>
    <w:p w:rsidR="008C7B59" w:rsidRPr="00EA6D1E" w:rsidRDefault="008C7B59" w:rsidP="008C7B59">
      <w:pPr>
        <w:pStyle w:val="AERbulletlistfirststyle"/>
      </w:pPr>
      <w:r>
        <w:t>i</w:t>
      </w:r>
      <w:r w:rsidRPr="00EA6D1E">
        <w:t>nadequate options analysis to demonstrate tha</w:t>
      </w:r>
      <w:r>
        <w:t>t the prudent and efficient option</w:t>
      </w:r>
      <w:r w:rsidRPr="00EA6D1E">
        <w:t xml:space="preserve"> has been selected</w:t>
      </w:r>
      <w:r>
        <w:t>; and</w:t>
      </w:r>
    </w:p>
    <w:p w:rsidR="008C7B59" w:rsidRDefault="008C7B59" w:rsidP="008C7B59">
      <w:pPr>
        <w:pStyle w:val="AERbulletlistfirststyle"/>
      </w:pPr>
      <w:proofErr w:type="gramStart"/>
      <w:r>
        <w:lastRenderedPageBreak/>
        <w:t>e</w:t>
      </w:r>
      <w:r w:rsidRPr="00EA6D1E">
        <w:t>vidence</w:t>
      </w:r>
      <w:proofErr w:type="gramEnd"/>
      <w:r w:rsidRPr="00EA6D1E">
        <w:t xml:space="preserve"> that inappropriate asset management strategies have been applied in the past, leading to premature replaceme</w:t>
      </w:r>
      <w:r>
        <w:t>nt of the assets being required</w:t>
      </w:r>
      <w:r w:rsidRPr="00EA6D1E">
        <w:t>.</w:t>
      </w:r>
    </w:p>
    <w:p w:rsidR="008C7B59" w:rsidRDefault="008C7B59" w:rsidP="008C7B59">
      <w:r>
        <w:t xml:space="preserve">Nonetheless, </w:t>
      </w:r>
      <w:r w:rsidRPr="00EA6D1E">
        <w:t xml:space="preserve">based on the </w:t>
      </w:r>
      <w:r>
        <w:t xml:space="preserve">available </w:t>
      </w:r>
      <w:r w:rsidRPr="00EA6D1E">
        <w:t>condition</w:t>
      </w:r>
      <w:r>
        <w:t xml:space="preserve"> assessment information</w:t>
      </w:r>
      <w:r w:rsidRPr="00EA6D1E">
        <w:t xml:space="preserve">, </w:t>
      </w:r>
      <w:r>
        <w:t>EMCa</w:t>
      </w:r>
      <w:r w:rsidRPr="00EA6D1E">
        <w:t xml:space="preserve"> consider</w:t>
      </w:r>
      <w:r>
        <w:t>ed</w:t>
      </w:r>
      <w:r w:rsidRPr="00EA6D1E">
        <w:t xml:space="preserve"> that the </w:t>
      </w:r>
      <w:r>
        <w:t>condition</w:t>
      </w:r>
      <w:r w:rsidRPr="00EA6D1E">
        <w:t xml:space="preserve"> of the transformers was such that </w:t>
      </w:r>
      <w:r w:rsidR="000C766F">
        <w:t xml:space="preserve">these historical </w:t>
      </w:r>
      <w:r w:rsidRPr="00EA6D1E">
        <w:t>replacement</w:t>
      </w:r>
      <w:r w:rsidR="000C766F">
        <w:t>s</w:t>
      </w:r>
      <w:r w:rsidRPr="00EA6D1E">
        <w:t xml:space="preserve"> w</w:t>
      </w:r>
      <w:r w:rsidR="000C766F">
        <w:t>ere</w:t>
      </w:r>
      <w:r w:rsidRPr="00EA6D1E">
        <w:t xml:space="preserve"> likely to be prudent.</w:t>
      </w:r>
      <w:r w:rsidR="00F8384B">
        <w:rPr>
          <w:rStyle w:val="FootnoteReference"/>
        </w:rPr>
        <w:footnoteReference w:id="126"/>
      </w:r>
    </w:p>
    <w:p w:rsidR="008C7B59" w:rsidRDefault="008C7B59" w:rsidP="008C7B59">
      <w:r>
        <w:t xml:space="preserve">Based on this advice and our own assessment of Powerlink's transformer replacement project documentation, we are not </w:t>
      </w:r>
      <w:r w:rsidR="000C766F">
        <w:t xml:space="preserve">yet </w:t>
      </w:r>
      <w:r>
        <w:t>satisfied that Powerlink has clearly demonstrated that the forecast power transformer capex reasonably reflects the efficient costs that a prudent operator would require in the 2017–22 regulatory control period.</w:t>
      </w:r>
      <w:r>
        <w:rPr>
          <w:rStyle w:val="FootnoteReference"/>
        </w:rPr>
        <w:footnoteReference w:id="127"/>
      </w:r>
      <w:r>
        <w:t xml:space="preserve"> In our view, </w:t>
      </w:r>
      <w:r w:rsidR="000361C7">
        <w:t xml:space="preserve">on the information available </w:t>
      </w:r>
      <w:r>
        <w:t>it is not clear that Powerlink has sufficiently considered an appropriate range of options for these projects. Powerlink's condition assessment reports appear to show that, similar to the other asset categories discussed above, there may be scope for Powerlink to</w:t>
      </w:r>
      <w:r w:rsidRPr="00D322CD">
        <w:t xml:space="preserve"> </w:t>
      </w:r>
      <w:r>
        <w:t>prudently reduce the proposed</w:t>
      </w:r>
      <w:r w:rsidRPr="00D322CD">
        <w:t xml:space="preserve"> replacement </w:t>
      </w:r>
      <w:r>
        <w:t xml:space="preserve">expenditure </w:t>
      </w:r>
      <w:r w:rsidRPr="00D322CD">
        <w:t xml:space="preserve">through </w:t>
      </w:r>
      <w:r>
        <w:t xml:space="preserve">the deferral of projects and the application of life extension techniques in some cases. This could </w:t>
      </w:r>
      <w:r w:rsidR="000C766F">
        <w:t xml:space="preserve">include </w:t>
      </w:r>
      <w:r>
        <w:t>limited component replacement rather than full transformer replacement</w:t>
      </w:r>
      <w:r w:rsidR="00F8384B">
        <w:t xml:space="preserve"> in some cases</w:t>
      </w:r>
      <w:r>
        <w:t>.</w:t>
      </w:r>
    </w:p>
    <w:p w:rsidR="008C7B59" w:rsidRPr="00387D36" w:rsidRDefault="008C7B59" w:rsidP="008C7B59">
      <w:r>
        <w:t xml:space="preserve">Based on the information available, the extent to which Powerlink may be able to derive efficiencies or defer transformer replacement projects is unclear. </w:t>
      </w:r>
      <w:r w:rsidR="00DE1E8B">
        <w:t>Therefore, for this draft decision w</w:t>
      </w:r>
      <w:r w:rsidR="00DE1E8B" w:rsidRPr="00E37611">
        <w:t xml:space="preserve">e have </w:t>
      </w:r>
      <w:r w:rsidR="00DE1E8B">
        <w:t xml:space="preserve">not made any specific adjustment to forecast power transformer capex in determining </w:t>
      </w:r>
      <w:r w:rsidR="00DE1E8B" w:rsidRPr="00E37611">
        <w:t xml:space="preserve">our alternative estimate of other non-load driven capex. </w:t>
      </w:r>
      <w:r w:rsidR="00292405">
        <w:t xml:space="preserve">Given that Powerlink's proposal is for replacement of only a very small proportion of its transformer fleet, </w:t>
      </w:r>
      <w:r w:rsidR="00D354DC">
        <w:t xml:space="preserve">it is unlikely that Powerlink has materially overestimated the prudent and efficient level of capex required for transformer reinvestment in the 2017–22 regulatory control </w:t>
      </w:r>
      <w:proofErr w:type="gramStart"/>
      <w:r w:rsidR="00D354DC">
        <w:t>period</w:t>
      </w:r>
      <w:proofErr w:type="gramEnd"/>
      <w:r w:rsidR="00292405">
        <w:t xml:space="preserve">. </w:t>
      </w:r>
      <w:r>
        <w:t xml:space="preserve">We expect that Powerlink will </w:t>
      </w:r>
      <w:r w:rsidR="00ED00C0">
        <w:t xml:space="preserve">further </w:t>
      </w:r>
      <w:r>
        <w:t>consider opportunities for project efficiencies and deferrals, including through increasing the application of life extension approaches in lieu of asset replacement</w:t>
      </w:r>
      <w:r w:rsidR="00ED00C0">
        <w:t xml:space="preserve">. </w:t>
      </w:r>
      <w:r w:rsidR="00DE1E8B">
        <w:t>We will consider any additional information provided by Powerlink in its revised proposal when making our final decision.</w:t>
      </w:r>
    </w:p>
    <w:p w:rsidR="008C7B59" w:rsidRDefault="008C7B59" w:rsidP="008C7B59">
      <w:pPr>
        <w:pStyle w:val="HeadingBoldItalic"/>
      </w:pPr>
      <w:r w:rsidRPr="00797A08">
        <w:t>Security</w:t>
      </w:r>
      <w:r>
        <w:t xml:space="preserve"> and compliance capex</w:t>
      </w:r>
    </w:p>
    <w:p w:rsidR="008C7B59" w:rsidRDefault="008C7B59" w:rsidP="008C7B59">
      <w:r>
        <w:t xml:space="preserve">Powerlink forecast security and compliance capex of $18.8 million ($2016–17) for the 2017–22 regulatory control </w:t>
      </w:r>
      <w:proofErr w:type="gramStart"/>
      <w:r>
        <w:t>period</w:t>
      </w:r>
      <w:proofErr w:type="gramEnd"/>
      <w:r>
        <w:t>. Expenditure in this category is required to maintain the physical and cyber security of the network, and to ensure compliance with amendments to technical, safety and environmental legislation.</w:t>
      </w:r>
      <w:r>
        <w:rPr>
          <w:rStyle w:val="FootnoteReference"/>
        </w:rPr>
        <w:footnoteReference w:id="128"/>
      </w:r>
    </w:p>
    <w:p w:rsidR="008C7B59" w:rsidRDefault="008C7B59" w:rsidP="008C7B59">
      <w:r>
        <w:t>Powerlink forecast capex in this category using trend modelling, on the basis that there is a recurring level of expenditure in this category that is necessary for the ongoing provision of prescribed transmission services. Powerlink forecast its security and compliance capex by:</w:t>
      </w:r>
    </w:p>
    <w:p w:rsidR="008C7B59" w:rsidRDefault="008C7B59" w:rsidP="008C7B59">
      <w:pPr>
        <w:pStyle w:val="AERbulletlistfirststyle"/>
      </w:pPr>
      <w:r>
        <w:lastRenderedPageBreak/>
        <w:t>taking the most recent five years of actual historical capex in this category and adjusting the data by removing non-recurrent or abnormal projects which should not form part of the base trend;</w:t>
      </w:r>
    </w:p>
    <w:p w:rsidR="008C7B59" w:rsidRDefault="008C7B59" w:rsidP="008C7B59">
      <w:pPr>
        <w:pStyle w:val="AERbulletlistfirststyle"/>
      </w:pPr>
      <w:r>
        <w:t>trending forward the adjusted average historical base expenditure as the forecast base expenditure for the 2017</w:t>
      </w:r>
      <w:r>
        <w:softHyphen/>
        <w:t>–22 regulatory control period; and</w:t>
      </w:r>
    </w:p>
    <w:p w:rsidR="008C7B59" w:rsidRDefault="008C7B59" w:rsidP="008C7B59">
      <w:pPr>
        <w:pStyle w:val="AERbulletlistfirststyle"/>
      </w:pPr>
      <w:proofErr w:type="gramStart"/>
      <w:r>
        <w:t>adding</w:t>
      </w:r>
      <w:proofErr w:type="gramEnd"/>
      <w:r>
        <w:t xml:space="preserve"> any new non-recurrent or abnormal projects planned for the forecast period.</w:t>
      </w:r>
    </w:p>
    <w:p w:rsidR="008C7B59" w:rsidRDefault="008C7B59" w:rsidP="008C7B59">
      <w:r w:rsidRPr="008C7B59">
        <w:fldChar w:fldCharType="begin"/>
      </w:r>
      <w:r>
        <w:instrText xml:space="preserve"> REF _Ref459371089 </w:instrText>
      </w:r>
      <w:r w:rsidRPr="008C7B59">
        <w:fldChar w:fldCharType="separate"/>
      </w:r>
      <w:r w:rsidR="005252EC">
        <w:t xml:space="preserve">Figure </w:t>
      </w:r>
      <w:r w:rsidR="005252EC">
        <w:rPr>
          <w:noProof/>
        </w:rPr>
        <w:t>6</w:t>
      </w:r>
      <w:r w:rsidR="005252EC">
        <w:t>.</w:t>
      </w:r>
      <w:r w:rsidR="005252EC">
        <w:rPr>
          <w:noProof/>
        </w:rPr>
        <w:t>9</w:t>
      </w:r>
      <w:r w:rsidRPr="008C7B59">
        <w:fldChar w:fldCharType="end"/>
      </w:r>
      <w:r>
        <w:t xml:space="preserve"> </w:t>
      </w:r>
      <w:r w:rsidRPr="0065446C">
        <w:t xml:space="preserve">shows Powerlink's actual and expected </w:t>
      </w:r>
      <w:r>
        <w:t>security and compliance capex for the period from 2007</w:t>
      </w:r>
      <w:r w:rsidRPr="0065446C">
        <w:t xml:space="preserve"> to 2017, and forecast capex for the 2017–22 regulatory control period.</w:t>
      </w:r>
    </w:p>
    <w:p w:rsidR="008C7B59" w:rsidRDefault="008C7B59" w:rsidP="008C7B59">
      <w:pPr>
        <w:pStyle w:val="Caption"/>
      </w:pPr>
      <w:bookmarkStart w:id="228" w:name="_Ref459371089"/>
      <w:proofErr w:type="gramStart"/>
      <w:r>
        <w:t xml:space="preserve">Figure </w:t>
      </w:r>
      <w:fldSimple w:instr=" STYLEREF 1 \s ">
        <w:r w:rsidR="005252EC">
          <w:rPr>
            <w:noProof/>
          </w:rPr>
          <w:t>6</w:t>
        </w:r>
      </w:fldSimple>
      <w:r w:rsidR="00D504BF">
        <w:t>.</w:t>
      </w:r>
      <w:proofErr w:type="gramEnd"/>
      <w:r w:rsidR="005252EC">
        <w:fldChar w:fldCharType="begin"/>
      </w:r>
      <w:r w:rsidR="005252EC">
        <w:instrText xml:space="preserve"> SEQ Figure \* ARABIC \s 1 </w:instrText>
      </w:r>
      <w:r w:rsidR="005252EC">
        <w:fldChar w:fldCharType="separate"/>
      </w:r>
      <w:r w:rsidR="005252EC">
        <w:rPr>
          <w:noProof/>
        </w:rPr>
        <w:t>9</w:t>
      </w:r>
      <w:r w:rsidR="005252EC">
        <w:rPr>
          <w:noProof/>
        </w:rPr>
        <w:fldChar w:fldCharType="end"/>
      </w:r>
      <w:bookmarkEnd w:id="228"/>
      <w:r>
        <w:tab/>
        <w:t>Powerlink's security and compliance capex 2007 to 2022 ($m, 2016</w:t>
      </w:r>
      <w:r w:rsidR="00CB260C">
        <w:t>–</w:t>
      </w:r>
      <w:r>
        <w:t xml:space="preserve">17) </w:t>
      </w:r>
    </w:p>
    <w:p w:rsidR="008C7B59" w:rsidRPr="006E630C" w:rsidRDefault="008C7B59" w:rsidP="008C7B59">
      <w:r w:rsidRPr="008C7B59">
        <w:rPr>
          <w:noProof/>
          <w:lang w:eastAsia="en-AU"/>
        </w:rPr>
        <w:drawing>
          <wp:inline distT="0" distB="0" distL="0" distR="0" wp14:anchorId="2936A8E3" wp14:editId="30F9E1A9">
            <wp:extent cx="5163540" cy="298174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2942" cy="2987170"/>
                    </a:xfrm>
                    <a:prstGeom prst="rect">
                      <a:avLst/>
                    </a:prstGeom>
                    <a:noFill/>
                    <a:ln>
                      <a:noFill/>
                    </a:ln>
                  </pic:spPr>
                </pic:pic>
              </a:graphicData>
            </a:graphic>
          </wp:inline>
        </w:drawing>
      </w:r>
    </w:p>
    <w:p w:rsidR="008C7B59" w:rsidRDefault="008C7B59" w:rsidP="008C7B59">
      <w:pPr>
        <w:pStyle w:val="AERtablesource"/>
      </w:pPr>
      <w:r>
        <w:t>Source:</w:t>
      </w:r>
      <w:r>
        <w:tab/>
        <w:t xml:space="preserve">Powerlink, </w:t>
      </w:r>
      <w:r w:rsidRPr="007E6632">
        <w:rPr>
          <w:rStyle w:val="AERtextitalic"/>
        </w:rPr>
        <w:t>Revenue proposal</w:t>
      </w:r>
      <w:r>
        <w:t xml:space="preserve">, January 2016, pp. 24 and 53; AER analysis. </w:t>
      </w:r>
    </w:p>
    <w:p w:rsidR="008C7B59" w:rsidRDefault="008C7B59" w:rsidP="008C7B59">
      <w:r>
        <w:t xml:space="preserve">Powerlink's forecast security and compliance capex is 16 per cent below actual and estimated expenditure in the 2012–17 regulatory control period, and 50 per cent below expenditure in the 2007–12 regulatory control </w:t>
      </w:r>
      <w:proofErr w:type="gramStart"/>
      <w:r>
        <w:t>period</w:t>
      </w:r>
      <w:proofErr w:type="gramEnd"/>
      <w:r>
        <w:t>. These reductions compare favourably to the reductions in overall non-load driven capex of 8 per cent and 26 per cent respectively.</w:t>
      </w:r>
      <w:r w:rsidRPr="00994D6D">
        <w:t xml:space="preserve"> In our view, this suggests that Powerlink's forecast of non-network capex requirements in the 2017–22 regulatory control period is likely to be reasonable having regard to past expenditure.</w:t>
      </w:r>
      <w:r w:rsidRPr="00994D6D">
        <w:rPr>
          <w:rStyle w:val="FootnoteReference"/>
        </w:rPr>
        <w:footnoteReference w:id="129"/>
      </w:r>
    </w:p>
    <w:p w:rsidR="008C7B59" w:rsidRDefault="008C7B59" w:rsidP="008C7B59">
      <w:r>
        <w:t xml:space="preserve">We are satisfied that Powerlink's forecasting methodology for this category is reasonable and likely to produce a forecast of capex requirements which reflects the </w:t>
      </w:r>
      <w:r>
        <w:lastRenderedPageBreak/>
        <w:t>capex criteria. Importantly, Powerlink has not simply used its actual historical expenditure as a base for its trend modelling, but has applied adjustments to remove abnormal and non-recurrent expenditures from the historical data. This ensures that only underlying, recurrent expenditure in this category is carried forward through the trend model into the forecasting period. Also, Powerlink has not applied any step changes to the trend based capex forecast for new non-recurrent or abnormal expenditure in the 2017–22 regulatory control period.</w:t>
      </w:r>
    </w:p>
    <w:p w:rsidR="008C7B59" w:rsidRDefault="008C7B59" w:rsidP="008C7B59">
      <w:r>
        <w:t>H</w:t>
      </w:r>
      <w:r w:rsidRPr="00222714">
        <w:t>aving considered Powerlink's regulatory propo</w:t>
      </w:r>
      <w:r>
        <w:t>sal</w:t>
      </w:r>
      <w:r w:rsidRPr="00222714">
        <w:t xml:space="preserve">, we are satisfied that </w:t>
      </w:r>
      <w:r>
        <w:t>Powerlink's forecast for security and compliance capex is likely to reasonably reflect prudent and efficient costs for this category of capex.</w:t>
      </w:r>
      <w:r>
        <w:rPr>
          <w:rStyle w:val="FootnoteReference"/>
        </w:rPr>
        <w:footnoteReference w:id="130"/>
      </w:r>
      <w:r>
        <w:t xml:space="preserve"> </w:t>
      </w:r>
      <w:r w:rsidRPr="00222714">
        <w:t xml:space="preserve">Our estimate of total capex for the 2017–22 regulatory control </w:t>
      </w:r>
      <w:proofErr w:type="gramStart"/>
      <w:r w:rsidRPr="00222714">
        <w:t>period</w:t>
      </w:r>
      <w:proofErr w:type="gramEnd"/>
      <w:r w:rsidRPr="00222714">
        <w:t xml:space="preserve"> reflects this conclusion.</w:t>
      </w:r>
    </w:p>
    <w:p w:rsidR="008C7B59" w:rsidRDefault="008C7B59" w:rsidP="008C7B59">
      <w:pPr>
        <w:pStyle w:val="HeadingBoldItalic"/>
      </w:pPr>
      <w:r>
        <w:t>Other non-load driven capex</w:t>
      </w:r>
    </w:p>
    <w:p w:rsidR="008C7B59" w:rsidRDefault="008C7B59" w:rsidP="008C7B59">
      <w:r>
        <w:t>Powerlink forecast other non-load driven capex of $30.1 million ($2016–17) for the 2017–22 regulatory control period. Expenditure in this category includes all other capex associated with the transmission network not captured by other categories, including enhancements to communication systems, improvements to network switching functionality, and insurance spares.</w:t>
      </w:r>
      <w:r>
        <w:rPr>
          <w:rStyle w:val="FootnoteReference"/>
        </w:rPr>
        <w:footnoteReference w:id="131"/>
      </w:r>
    </w:p>
    <w:p w:rsidR="008C7B59" w:rsidRDefault="008C7B59" w:rsidP="008C7B59">
      <w:r>
        <w:t>Powerlink forecast capex in this category using trend modelling, on the basis that there is a recurring level of expenditure in this category that is necessary for the ongoing provision of prescribed transmission services. Powerlink forecast its other non-load driven capex, similar to its process for security and compliance capex, by:</w:t>
      </w:r>
    </w:p>
    <w:p w:rsidR="008C7B59" w:rsidRDefault="008C7B59" w:rsidP="008C7B59">
      <w:pPr>
        <w:pStyle w:val="AERbulletlistfirststyle"/>
      </w:pPr>
      <w:r>
        <w:t>taking the most recent five years of actual historical capex in this category and adjusting the data by removing non-recurrent or abnormal projects which should not form part of the base trend;</w:t>
      </w:r>
    </w:p>
    <w:p w:rsidR="008C7B59" w:rsidRDefault="008C7B59" w:rsidP="008C7B59">
      <w:pPr>
        <w:pStyle w:val="AERbulletlistfirststyle"/>
      </w:pPr>
      <w:r>
        <w:t>trending forward the adjusted average historical base expenditure as the forecast base expenditure for the 2017</w:t>
      </w:r>
      <w:r>
        <w:softHyphen/>
        <w:t>–22 regulatory control period; and</w:t>
      </w:r>
    </w:p>
    <w:p w:rsidR="008C7B59" w:rsidRDefault="008C7B59" w:rsidP="008C7B59">
      <w:pPr>
        <w:pStyle w:val="AERbulletlistfirststyle"/>
      </w:pPr>
      <w:proofErr w:type="gramStart"/>
      <w:r>
        <w:t>adding</w:t>
      </w:r>
      <w:proofErr w:type="gramEnd"/>
      <w:r>
        <w:t xml:space="preserve"> any new non-recurrent or abnormal projects planned for the forecast period.</w:t>
      </w:r>
    </w:p>
    <w:p w:rsidR="008C7B59" w:rsidRDefault="008C7B59" w:rsidP="008C7B59">
      <w:r w:rsidRPr="008C7B59">
        <w:fldChar w:fldCharType="begin"/>
      </w:r>
      <w:r>
        <w:instrText xml:space="preserve"> REF _Ref459382630 </w:instrText>
      </w:r>
      <w:r w:rsidRPr="008C7B59">
        <w:fldChar w:fldCharType="separate"/>
      </w:r>
      <w:r w:rsidR="005252EC">
        <w:t xml:space="preserve">Figure </w:t>
      </w:r>
      <w:r w:rsidR="005252EC">
        <w:rPr>
          <w:noProof/>
        </w:rPr>
        <w:t>6</w:t>
      </w:r>
      <w:r w:rsidR="005252EC">
        <w:t>.</w:t>
      </w:r>
      <w:r w:rsidR="005252EC">
        <w:rPr>
          <w:noProof/>
        </w:rPr>
        <w:t>10</w:t>
      </w:r>
      <w:r w:rsidRPr="008C7B59">
        <w:fldChar w:fldCharType="end"/>
      </w:r>
      <w:r>
        <w:t xml:space="preserve"> </w:t>
      </w:r>
      <w:r w:rsidRPr="0065446C">
        <w:t xml:space="preserve">shows Powerlink's actual and expected </w:t>
      </w:r>
      <w:r>
        <w:t>other non-load driven capex for the period from 2007</w:t>
      </w:r>
      <w:r w:rsidRPr="0065446C">
        <w:t xml:space="preserve"> to 2017, and forecast capex for the 2017–22 regulatory control period.</w:t>
      </w:r>
    </w:p>
    <w:p w:rsidR="008C7B59" w:rsidRDefault="008C7B59" w:rsidP="008C7B59">
      <w:pPr>
        <w:pStyle w:val="Caption"/>
      </w:pPr>
      <w:bookmarkStart w:id="229" w:name="_Ref459382630"/>
      <w:proofErr w:type="gramStart"/>
      <w:r>
        <w:lastRenderedPageBreak/>
        <w:t xml:space="preserve">Figure </w:t>
      </w:r>
      <w:fldSimple w:instr=" STYLEREF 1 \s ">
        <w:r w:rsidR="005252EC">
          <w:rPr>
            <w:noProof/>
          </w:rPr>
          <w:t>6</w:t>
        </w:r>
      </w:fldSimple>
      <w:r w:rsidR="00D504BF">
        <w:t>.</w:t>
      </w:r>
      <w:proofErr w:type="gramEnd"/>
      <w:r w:rsidR="005252EC">
        <w:fldChar w:fldCharType="begin"/>
      </w:r>
      <w:r w:rsidR="005252EC">
        <w:instrText xml:space="preserve"> SEQ Figure \* ARABIC \s 1 </w:instrText>
      </w:r>
      <w:r w:rsidR="005252EC">
        <w:fldChar w:fldCharType="separate"/>
      </w:r>
      <w:r w:rsidR="005252EC">
        <w:rPr>
          <w:noProof/>
        </w:rPr>
        <w:t>10</w:t>
      </w:r>
      <w:r w:rsidR="005252EC">
        <w:rPr>
          <w:noProof/>
        </w:rPr>
        <w:fldChar w:fldCharType="end"/>
      </w:r>
      <w:bookmarkEnd w:id="229"/>
      <w:r>
        <w:tab/>
        <w:t>Powerlink's other non-load driven capex 2007 to 2022 ($m, 2016</w:t>
      </w:r>
      <w:r w:rsidR="00CB260C">
        <w:t>–</w:t>
      </w:r>
      <w:r>
        <w:t>17)</w:t>
      </w:r>
    </w:p>
    <w:p w:rsidR="008C7B59" w:rsidRDefault="008C7B59" w:rsidP="008C7B59">
      <w:r w:rsidRPr="008C7B59">
        <w:rPr>
          <w:noProof/>
          <w:lang w:eastAsia="en-AU"/>
        </w:rPr>
        <w:drawing>
          <wp:inline distT="0" distB="0" distL="0" distR="0" wp14:anchorId="7D52D806" wp14:editId="6E3650E4">
            <wp:extent cx="5009184" cy="3196425"/>
            <wp:effectExtent l="0" t="0" r="127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9184" cy="3196425"/>
                    </a:xfrm>
                    <a:prstGeom prst="rect">
                      <a:avLst/>
                    </a:prstGeom>
                    <a:noFill/>
                    <a:ln>
                      <a:noFill/>
                    </a:ln>
                  </pic:spPr>
                </pic:pic>
              </a:graphicData>
            </a:graphic>
          </wp:inline>
        </w:drawing>
      </w:r>
    </w:p>
    <w:p w:rsidR="008C7B59" w:rsidRDefault="008C7B59" w:rsidP="008C7B59">
      <w:pPr>
        <w:pStyle w:val="AERtablesource"/>
      </w:pPr>
      <w:r>
        <w:t>Source:</w:t>
      </w:r>
      <w:r>
        <w:tab/>
        <w:t>Source:</w:t>
      </w:r>
      <w:r>
        <w:tab/>
        <w:t xml:space="preserve">Powerlink, </w:t>
      </w:r>
      <w:r w:rsidRPr="009850BB">
        <w:rPr>
          <w:rStyle w:val="AERtextitalic"/>
        </w:rPr>
        <w:t>Revenue proposal</w:t>
      </w:r>
      <w:r>
        <w:t>, January 2016, pp. 24 and 53; AER analysis.</w:t>
      </w:r>
    </w:p>
    <w:p w:rsidR="008C7B59" w:rsidRDefault="008C7B59" w:rsidP="008C7B59">
      <w:r>
        <w:t xml:space="preserve">Powerlink's forecast other non-load driven capex is 4 per cent below actual and estimated expenditure in the 2012–17 regulatory control period, and 39 per cent below expenditure in the 2007–12 regulatory control period. This is less than the 8 per cent reduction in overall non-load driven capex from the 2012–17 regulatory control period, but more than the 26 per cent reduction from the 2007–12 regulatory control </w:t>
      </w:r>
      <w:proofErr w:type="gramStart"/>
      <w:r>
        <w:t>period</w:t>
      </w:r>
      <w:proofErr w:type="gramEnd"/>
      <w:r>
        <w:t>.</w:t>
      </w:r>
      <w:r w:rsidRPr="00994D6D">
        <w:t xml:space="preserve"> In our view, this suggests that Powerlink's forecast of non-network capex requirements in the 2017–22 regulatory control period </w:t>
      </w:r>
      <w:r>
        <w:t>may</w:t>
      </w:r>
      <w:r w:rsidRPr="00994D6D">
        <w:t xml:space="preserve"> be reasonable having regard to past expenditure</w:t>
      </w:r>
      <w:r>
        <w:t>.</w:t>
      </w:r>
      <w:r w:rsidRPr="00994D6D">
        <w:rPr>
          <w:rStyle w:val="FootnoteReference"/>
        </w:rPr>
        <w:footnoteReference w:id="132"/>
      </w:r>
      <w:r>
        <w:t xml:space="preserve"> However, further review is warranted to determine why the forecast reduction in other non-load driven capex is less than the reduction in total non-load driven capex</w:t>
      </w:r>
      <w:r w:rsidRPr="00994D6D">
        <w:t>.</w:t>
      </w:r>
      <w:r>
        <w:t xml:space="preserve"> </w:t>
      </w:r>
      <w:r w:rsidRPr="008C7B59">
        <w:fldChar w:fldCharType="begin"/>
      </w:r>
      <w:r>
        <w:instrText xml:space="preserve"> REF _Ref459382630 </w:instrText>
      </w:r>
      <w:r w:rsidRPr="008C7B59">
        <w:fldChar w:fldCharType="separate"/>
      </w:r>
      <w:r w:rsidR="005252EC">
        <w:t xml:space="preserve">Figure </w:t>
      </w:r>
      <w:r w:rsidR="005252EC">
        <w:rPr>
          <w:noProof/>
        </w:rPr>
        <w:t>6</w:t>
      </w:r>
      <w:r w:rsidR="005252EC">
        <w:t>.</w:t>
      </w:r>
      <w:r w:rsidR="005252EC">
        <w:rPr>
          <w:noProof/>
        </w:rPr>
        <w:t>10</w:t>
      </w:r>
      <w:r w:rsidRPr="008C7B59">
        <w:fldChar w:fldCharType="end"/>
      </w:r>
      <w:r>
        <w:t xml:space="preserve"> also shows that Powerlink's forecast other non-load driven capex is front loaded within the 2017–22 regulatory control period, with 40 per cent of the forecast capex to be incurred in the 2017–18 year. We have therefore reviewed the drivers behind this forecast capex profile to confirm the timing and need for this expenditure.</w:t>
      </w:r>
    </w:p>
    <w:p w:rsidR="008C7B59" w:rsidRDefault="008C7B59" w:rsidP="008C7B59">
      <w:r>
        <w:t xml:space="preserve">We are satisfied that Powerlink's forecasting methodology for this category is reasonable and likely to produce a forecast of capex requirements which reflects the capex criteria. Importantly, Powerlink has not simply used its actual historical expenditure as a base for its trend modelling, but has applied adjustments to remove abnormal and non-recurrent expenditures from the historical data. This ensures that </w:t>
      </w:r>
      <w:r>
        <w:lastRenderedPageBreak/>
        <w:t xml:space="preserve">only underlying, recurrent expenditure in this category is carried forward through the trend model into the forecasting period. </w:t>
      </w:r>
    </w:p>
    <w:p w:rsidR="008C7B59" w:rsidRDefault="008C7B59" w:rsidP="008C7B59">
      <w:r>
        <w:t xml:space="preserve">In addition to the trend based forecast of recurrent capex in this category, Powerlink applied a step change for a specific additional project: the Wide Area Network (WAN) stage two deployment </w:t>
      </w:r>
      <w:proofErr w:type="gramStart"/>
      <w:r>
        <w:t>project</w:t>
      </w:r>
      <w:proofErr w:type="gramEnd"/>
      <w:r>
        <w:t>. The WAN stage two project provides for the extension of its existing WAN capability across a further 34 sites across the network.</w:t>
      </w:r>
      <w:r>
        <w:rPr>
          <w:rStyle w:val="FootnoteReference"/>
        </w:rPr>
        <w:footnoteReference w:id="133"/>
      </w:r>
      <w:r>
        <w:t xml:space="preserve"> This project is the driver of Powerlink's increased expenditure in the 2017–18 year, with the majority of the $10.1 million ($2016–17) project costs scheduled for the first year of the 2017–22 regulatory control </w:t>
      </w:r>
      <w:proofErr w:type="gramStart"/>
      <w:r>
        <w:t>period</w:t>
      </w:r>
      <w:proofErr w:type="gramEnd"/>
      <w:r>
        <w:t>.</w:t>
      </w:r>
    </w:p>
    <w:p w:rsidR="008C7B59" w:rsidRDefault="008C7B59" w:rsidP="008C7B59">
      <w:r>
        <w:t>We examined the documentation submitted by Powerlink</w:t>
      </w:r>
      <w:r w:rsidRPr="00281464">
        <w:t xml:space="preserve"> in support of the </w:t>
      </w:r>
      <w:r>
        <w:t xml:space="preserve">WAN stage two </w:t>
      </w:r>
      <w:proofErr w:type="gramStart"/>
      <w:r>
        <w:t>project</w:t>
      </w:r>
      <w:proofErr w:type="gramEnd"/>
      <w:r w:rsidRPr="00281464">
        <w:t>,</w:t>
      </w:r>
      <w:r>
        <w:t xml:space="preserve"> to assess the</w:t>
      </w:r>
      <w:r w:rsidRPr="00281464">
        <w:t xml:space="preserve"> justification for the proposed </w:t>
      </w:r>
      <w:r>
        <w:t xml:space="preserve">step change </w:t>
      </w:r>
      <w:r w:rsidRPr="00281464">
        <w:t>expenditure</w:t>
      </w:r>
      <w:r>
        <w:t xml:space="preserve"> for this project. The WAN stage two </w:t>
      </w:r>
      <w:proofErr w:type="gramStart"/>
      <w:r>
        <w:t>project</w:t>
      </w:r>
      <w:proofErr w:type="gramEnd"/>
      <w:r>
        <w:t xml:space="preserve"> is one of the sixteen 'sample unapproved' capex projects identified by Powerlink to provide some transparency of likely future investment needs. Where Powerlink has included a specific project in its capex forecast as a step change in addition to its trend/predictive modelling based forecast, we would expect Powerlink to provide supporting project documentation that clearly justifies the need, timing and cost of the proposed project. </w:t>
      </w:r>
    </w:p>
    <w:p w:rsidR="008C7B59" w:rsidRPr="00281464" w:rsidRDefault="008C7B59" w:rsidP="008C7B59">
      <w:r>
        <w:t xml:space="preserve">Powerlink submitted a project proposal document in support of the WAN stage two deployment </w:t>
      </w:r>
      <w:proofErr w:type="gramStart"/>
      <w:r>
        <w:t>project</w:t>
      </w:r>
      <w:proofErr w:type="gramEnd"/>
      <w:r>
        <w:t>.</w:t>
      </w:r>
      <w:r>
        <w:rPr>
          <w:rStyle w:val="FootnoteReference"/>
        </w:rPr>
        <w:footnoteReference w:id="134"/>
      </w:r>
      <w:r>
        <w:t xml:space="preserve"> This document</w:t>
      </w:r>
      <w:r w:rsidRPr="00281464">
        <w:t xml:space="preserve"> did not address key factors which we consider would typically be evident in documentation used to justify the prudence and efficiency of a proposed capex project. While the </w:t>
      </w:r>
      <w:r>
        <w:t>project proposal</w:t>
      </w:r>
      <w:r w:rsidRPr="00281464">
        <w:t xml:space="preserve"> provide</w:t>
      </w:r>
      <w:r>
        <w:t>d</w:t>
      </w:r>
      <w:r w:rsidRPr="00281464">
        <w:t xml:space="preserve"> a </w:t>
      </w:r>
      <w:r>
        <w:t xml:space="preserve">high level </w:t>
      </w:r>
      <w:r w:rsidRPr="00281464">
        <w:t xml:space="preserve">description of proposed works, costs and delivery timeframes, </w:t>
      </w:r>
      <w:r>
        <w:t>it did not provide</w:t>
      </w:r>
      <w:r w:rsidRPr="00281464">
        <w:t xml:space="preserve">: </w:t>
      </w:r>
    </w:p>
    <w:p w:rsidR="008C7B59" w:rsidRPr="00281464" w:rsidRDefault="008C7B59" w:rsidP="008C7B59">
      <w:pPr>
        <w:pStyle w:val="AERbulletlistfirststyle"/>
      </w:pPr>
      <w:r w:rsidRPr="00281464">
        <w:t>a detailed description of the need for investment, with supporting evidence as to the nature of asset obsolescence, or other speci</w:t>
      </w:r>
      <w:r>
        <w:t>fic site condition or capacity</w:t>
      </w:r>
      <w:r w:rsidRPr="00281464">
        <w:t xml:space="preserve"> issues </w:t>
      </w:r>
      <w:r>
        <w:t>driving the project scope;</w:t>
      </w:r>
    </w:p>
    <w:p w:rsidR="008C7B59" w:rsidRPr="00281464" w:rsidRDefault="008C7B59" w:rsidP="008C7B59">
      <w:pPr>
        <w:pStyle w:val="AERbulletlistfirststyle"/>
      </w:pPr>
      <w:r w:rsidRPr="00281464">
        <w:t>evidence that a suitable range of alternative options, including a 'do nothing' option, has been considered</w:t>
      </w:r>
      <w:r>
        <w:t>;</w:t>
      </w:r>
      <w:r w:rsidRPr="00281464">
        <w:t xml:space="preserve"> </w:t>
      </w:r>
    </w:p>
    <w:p w:rsidR="008C7B59" w:rsidRPr="00281464" w:rsidRDefault="008C7B59" w:rsidP="008C7B59">
      <w:pPr>
        <w:pStyle w:val="AERbulletlistfirststyle"/>
      </w:pPr>
      <w:r w:rsidRPr="00281464">
        <w:t>evidence of a formal risk assessment as part of the need identification or options analysis process</w:t>
      </w:r>
      <w:r>
        <w:t>;</w:t>
      </w:r>
    </w:p>
    <w:p w:rsidR="008C7B59" w:rsidRPr="00281464" w:rsidRDefault="008C7B59" w:rsidP="008C7B59">
      <w:pPr>
        <w:pStyle w:val="AERbulletlistfirststyle"/>
      </w:pPr>
      <w:r w:rsidRPr="00281464">
        <w:t xml:space="preserve">evidence that </w:t>
      </w:r>
      <w:r>
        <w:t>expected</w:t>
      </w:r>
      <w:r w:rsidRPr="00281464">
        <w:t xml:space="preserve"> benefits have been identified and quantified for all options considered</w:t>
      </w:r>
      <w:r>
        <w:t>;</w:t>
      </w:r>
    </w:p>
    <w:p w:rsidR="008C7B59" w:rsidRPr="00281464" w:rsidRDefault="008C7B59" w:rsidP="008C7B59">
      <w:pPr>
        <w:pStyle w:val="AERbulletlistfirststyle"/>
      </w:pPr>
      <w:r w:rsidRPr="00281464">
        <w:t>a comparison of costs and benefits for each option considered</w:t>
      </w:r>
      <w:r>
        <w:t>; and</w:t>
      </w:r>
      <w:r w:rsidRPr="00281464">
        <w:t xml:space="preserve"> </w:t>
      </w:r>
    </w:p>
    <w:p w:rsidR="008C7B59" w:rsidRDefault="008C7B59" w:rsidP="008C7B59">
      <w:pPr>
        <w:pStyle w:val="AERbulletlistfirststyle"/>
      </w:pPr>
      <w:proofErr w:type="gramStart"/>
      <w:r w:rsidRPr="00281464">
        <w:t>evidence</w:t>
      </w:r>
      <w:proofErr w:type="gramEnd"/>
      <w:r w:rsidRPr="00281464">
        <w:t xml:space="preserve"> that the preferred option is economically justified</w:t>
      </w:r>
      <w:r>
        <w:t>.</w:t>
      </w:r>
    </w:p>
    <w:p w:rsidR="008C7B59" w:rsidRPr="003C757D" w:rsidRDefault="008C7B59" w:rsidP="008C7B59">
      <w:r>
        <w:t xml:space="preserve">In our view, the </w:t>
      </w:r>
      <w:r w:rsidRPr="003C757D">
        <w:t xml:space="preserve">absence of detail evaluating the costs, benefits and risks of alternative options </w:t>
      </w:r>
      <w:r>
        <w:t>for this project is concerning</w:t>
      </w:r>
      <w:r w:rsidRPr="003C757D">
        <w:t xml:space="preserve">. </w:t>
      </w:r>
      <w:r>
        <w:t xml:space="preserve">We would expect that more comprehensive supporting documentation should be available as evidence of Powerlink's capital </w:t>
      </w:r>
      <w:r>
        <w:lastRenderedPageBreak/>
        <w:t>approvals process, particularly given Powerlink expects to incur significant expenditure in relation to this project in the first year of the 2017–22 regulatory control period.</w:t>
      </w:r>
      <w:r w:rsidRPr="00283274">
        <w:t xml:space="preserve"> </w:t>
      </w:r>
    </w:p>
    <w:p w:rsidR="008C7B59" w:rsidRDefault="008C7B59" w:rsidP="008C7B59">
      <w:r w:rsidRPr="003C757D">
        <w:t xml:space="preserve">Based on the information available, we are not </w:t>
      </w:r>
      <w:r>
        <w:t xml:space="preserve">yet </w:t>
      </w:r>
      <w:r w:rsidRPr="003C757D">
        <w:t xml:space="preserve">satisfied that the forecast capex </w:t>
      </w:r>
      <w:r>
        <w:t xml:space="preserve">for the WAN stage two </w:t>
      </w:r>
      <w:proofErr w:type="gramStart"/>
      <w:r>
        <w:t>deployment</w:t>
      </w:r>
      <w:proofErr w:type="gramEnd"/>
      <w:r>
        <w:t xml:space="preserve"> </w:t>
      </w:r>
      <w:r w:rsidRPr="003C757D">
        <w:t>is prudent and efficient or is required to achieve the capex objectives.</w:t>
      </w:r>
      <w:r>
        <w:rPr>
          <w:rStyle w:val="FootnoteReference"/>
        </w:rPr>
        <w:footnoteReference w:id="135"/>
      </w:r>
      <w:r>
        <w:t xml:space="preserve"> However, Powerlink's project schedule for the WAN stage two </w:t>
      </w:r>
      <w:proofErr w:type="gramStart"/>
      <w:r>
        <w:t>project</w:t>
      </w:r>
      <w:proofErr w:type="gramEnd"/>
      <w:r>
        <w:t xml:space="preserve"> indicates that it expects full project approval (including business case approval) to occur in September 2016.</w:t>
      </w:r>
      <w:r>
        <w:rPr>
          <w:rStyle w:val="FootnoteReference"/>
        </w:rPr>
        <w:footnoteReference w:id="136"/>
      </w:r>
      <w:r>
        <w:t xml:space="preserve"> We </w:t>
      </w:r>
      <w:r w:rsidRPr="00740C9F">
        <w:t xml:space="preserve">will </w:t>
      </w:r>
      <w:r>
        <w:t xml:space="preserve">therefore </w:t>
      </w:r>
      <w:r w:rsidRPr="00740C9F">
        <w:t xml:space="preserve">review any updated or additional supporting information relating to </w:t>
      </w:r>
      <w:r>
        <w:t>this project</w:t>
      </w:r>
      <w:r w:rsidRPr="00740C9F">
        <w:t xml:space="preserve"> submitted by </w:t>
      </w:r>
      <w:r>
        <w:t>Powerlink</w:t>
      </w:r>
      <w:r w:rsidRPr="00740C9F">
        <w:t xml:space="preserve"> as part of its revised </w:t>
      </w:r>
      <w:r>
        <w:t xml:space="preserve">revenue </w:t>
      </w:r>
      <w:r w:rsidRPr="00740C9F">
        <w:t>proposal</w:t>
      </w:r>
      <w:r>
        <w:t xml:space="preserve"> in making our final decision on Powerlink's other non-load driven capex.</w:t>
      </w:r>
    </w:p>
    <w:p w:rsidR="008C7B59" w:rsidRDefault="008C7B59" w:rsidP="008C7B59">
      <w:pPr>
        <w:pStyle w:val="HeadingBoldItalic"/>
      </w:pPr>
      <w:r>
        <w:t>Summary of non-load driven capex</w:t>
      </w:r>
    </w:p>
    <w:p w:rsidR="008C7B59" w:rsidRDefault="008C7B59" w:rsidP="008C7B59">
      <w:r>
        <w:t xml:space="preserve">Based on our findings in this section, we have reduced Powerlink's forecast non-load driven capex </w:t>
      </w:r>
      <w:r w:rsidRPr="006E29DF">
        <w:t>by $</w:t>
      </w:r>
      <w:r>
        <w:t>184.5</w:t>
      </w:r>
      <w:r w:rsidRPr="006E29DF">
        <w:t xml:space="preserve"> million</w:t>
      </w:r>
      <w:r>
        <w:t xml:space="preserve"> ($2016</w:t>
      </w:r>
      <w:r w:rsidR="00CB260C">
        <w:t>–</w:t>
      </w:r>
      <w:r>
        <w:t>17)</w:t>
      </w:r>
      <w:r w:rsidR="0007453A">
        <w:t xml:space="preserve">. This reduction is due to </w:t>
      </w:r>
      <w:r>
        <w:t xml:space="preserve">our conclusions on Powerlink's repex model asset life assumptions. </w:t>
      </w:r>
      <w:r w:rsidRPr="008C7B59">
        <w:fldChar w:fldCharType="begin"/>
      </w:r>
      <w:r>
        <w:instrText xml:space="preserve"> REF _Ref459627637 </w:instrText>
      </w:r>
      <w:r w:rsidRPr="008C7B59">
        <w:fldChar w:fldCharType="separate"/>
      </w:r>
      <w:r w:rsidR="005252EC">
        <w:t xml:space="preserve">Table </w:t>
      </w:r>
      <w:r w:rsidR="005252EC">
        <w:rPr>
          <w:noProof/>
        </w:rPr>
        <w:t>6</w:t>
      </w:r>
      <w:r w:rsidR="005252EC">
        <w:t>.</w:t>
      </w:r>
      <w:r w:rsidR="005252EC">
        <w:rPr>
          <w:noProof/>
        </w:rPr>
        <w:t>10</w:t>
      </w:r>
      <w:r w:rsidRPr="008C7B59">
        <w:fldChar w:fldCharType="end"/>
      </w:r>
      <w:r>
        <w:t xml:space="preserve"> summarises Powerlink's proposal and our alternative estimate of required non-load driven capex.</w:t>
      </w:r>
    </w:p>
    <w:p w:rsidR="008C7B59" w:rsidRDefault="008C7B59" w:rsidP="008C7B59">
      <w:pPr>
        <w:pStyle w:val="Caption"/>
      </w:pPr>
      <w:bookmarkStart w:id="230" w:name="_Ref459627637"/>
      <w:proofErr w:type="gramStart"/>
      <w:r>
        <w:t xml:space="preserve">Table </w:t>
      </w:r>
      <w:fldSimple w:instr=" STYLEREF 1 \s ">
        <w:r w:rsidR="005252EC">
          <w:rPr>
            <w:noProof/>
          </w:rPr>
          <w:t>6</w:t>
        </w:r>
      </w:fldSimple>
      <w:r w:rsidR="00250D0F">
        <w:t>.</w:t>
      </w:r>
      <w:proofErr w:type="gramEnd"/>
      <w:r w:rsidR="005252EC">
        <w:fldChar w:fldCharType="begin"/>
      </w:r>
      <w:r w:rsidR="005252EC">
        <w:instrText xml:space="preserve"> SEQ Table \* ARABIC \s 1 </w:instrText>
      </w:r>
      <w:r w:rsidR="005252EC">
        <w:fldChar w:fldCharType="separate"/>
      </w:r>
      <w:r w:rsidR="005252EC">
        <w:rPr>
          <w:noProof/>
        </w:rPr>
        <w:t>10</w:t>
      </w:r>
      <w:r w:rsidR="005252EC">
        <w:rPr>
          <w:noProof/>
        </w:rPr>
        <w:fldChar w:fldCharType="end"/>
      </w:r>
      <w:bookmarkEnd w:id="230"/>
      <w:r>
        <w:tab/>
        <w:t>AER draft decision on non-load driven capex ($2016</w:t>
      </w:r>
      <w:r w:rsidR="00CB260C">
        <w:t>–</w:t>
      </w:r>
      <w:r>
        <w:t>17)</w:t>
      </w:r>
    </w:p>
    <w:tbl>
      <w:tblPr>
        <w:tblStyle w:val="AERtable-numbers"/>
        <w:tblW w:w="5000" w:type="pct"/>
        <w:tblLayout w:type="fixed"/>
        <w:tblLook w:val="04A0" w:firstRow="1" w:lastRow="0" w:firstColumn="1" w:lastColumn="0" w:noHBand="0" w:noVBand="1"/>
      </w:tblPr>
      <w:tblGrid>
        <w:gridCol w:w="1809"/>
        <w:gridCol w:w="842"/>
        <w:gridCol w:w="1209"/>
        <w:gridCol w:w="1209"/>
        <w:gridCol w:w="1208"/>
        <w:gridCol w:w="1208"/>
        <w:gridCol w:w="1208"/>
      </w:tblGrid>
      <w:tr w:rsidR="008C7B59" w:rsidRPr="00E54DCA" w:rsidTr="005D15EC">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040" w:type="pct"/>
          </w:tcPr>
          <w:p w:rsidR="008C7B59" w:rsidRPr="00355E98" w:rsidRDefault="008C7B59" w:rsidP="008C7B59"/>
        </w:tc>
        <w:tc>
          <w:tcPr>
            <w:tcW w:w="484" w:type="pct"/>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t>2017</w:t>
            </w:r>
            <w:r w:rsidR="00CB260C">
              <w:t>–</w:t>
            </w:r>
            <w:r>
              <w:t>18</w:t>
            </w:r>
          </w:p>
        </w:tc>
        <w:tc>
          <w:tcPr>
            <w:tcW w:w="695" w:type="pct"/>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t>2</w:t>
            </w:r>
            <w:r w:rsidRPr="008C7B59">
              <w:t>018</w:t>
            </w:r>
            <w:r w:rsidR="00CB260C">
              <w:t>–</w:t>
            </w:r>
            <w:r w:rsidRPr="008C7B59">
              <w:t>19</w:t>
            </w:r>
          </w:p>
        </w:tc>
        <w:tc>
          <w:tcPr>
            <w:tcW w:w="695" w:type="pct"/>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t>2019</w:t>
            </w:r>
            <w:r w:rsidR="00CB260C">
              <w:t>–</w:t>
            </w:r>
            <w:r>
              <w:t>20</w:t>
            </w:r>
          </w:p>
        </w:tc>
        <w:tc>
          <w:tcPr>
            <w:tcW w:w="695" w:type="pct"/>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t>202</w:t>
            </w:r>
            <w:r w:rsidRPr="008C7B59">
              <w:t>0</w:t>
            </w:r>
            <w:r w:rsidR="00CB260C">
              <w:t>–</w:t>
            </w:r>
            <w:r w:rsidRPr="008C7B59">
              <w:t>21</w:t>
            </w:r>
          </w:p>
        </w:tc>
        <w:tc>
          <w:tcPr>
            <w:tcW w:w="695" w:type="pct"/>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t>2021</w:t>
            </w:r>
            <w:r w:rsidR="00CB260C">
              <w:t>–</w:t>
            </w:r>
            <w:r>
              <w:t>22</w:t>
            </w:r>
          </w:p>
        </w:tc>
        <w:tc>
          <w:tcPr>
            <w:tcW w:w="695" w:type="pct"/>
          </w:tcPr>
          <w:p w:rsidR="008C7B59" w:rsidRPr="008C7B59" w:rsidRDefault="008C7B59" w:rsidP="008C7B59">
            <w:pPr>
              <w:cnfStyle w:val="100000000000" w:firstRow="1" w:lastRow="0" w:firstColumn="0" w:lastColumn="0" w:oddVBand="0" w:evenVBand="0" w:oddHBand="0" w:evenHBand="0" w:firstRowFirstColumn="0" w:firstRowLastColumn="0" w:lastRowFirstColumn="0" w:lastRowLastColumn="0"/>
            </w:pPr>
            <w:r>
              <w:t>Total</w:t>
            </w:r>
          </w:p>
        </w:tc>
      </w:tr>
      <w:tr w:rsidR="008C7B59" w:rsidRPr="00E54DCA" w:rsidTr="005D15EC">
        <w:trPr>
          <w:trHeight w:val="569"/>
        </w:trPr>
        <w:tc>
          <w:tcPr>
            <w:cnfStyle w:val="001000000000" w:firstRow="0" w:lastRow="0" w:firstColumn="1" w:lastColumn="0" w:oddVBand="0" w:evenVBand="0" w:oddHBand="0" w:evenHBand="0" w:firstRowFirstColumn="0" w:firstRowLastColumn="0" w:lastRowFirstColumn="0" w:lastRowLastColumn="0"/>
            <w:tcW w:w="1040" w:type="pct"/>
          </w:tcPr>
          <w:p w:rsidR="008C7B59" w:rsidRPr="008C7B59" w:rsidRDefault="008C7B59" w:rsidP="008C7B59">
            <w:r w:rsidRPr="008A72B4">
              <w:t>Powerlink's proposal</w:t>
            </w:r>
          </w:p>
        </w:tc>
        <w:tc>
          <w:tcPr>
            <w:tcW w:w="484"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 xml:space="preserve"> 177.3</w:t>
            </w:r>
            <w:r w:rsidRPr="008C7B59">
              <w:t xml:space="preserve"> </w:t>
            </w:r>
          </w:p>
        </w:tc>
        <w:tc>
          <w:tcPr>
            <w:tcW w:w="69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 xml:space="preserve"> 171.0</w:t>
            </w:r>
            <w:r w:rsidRPr="008C7B59">
              <w:t xml:space="preserve"> </w:t>
            </w:r>
          </w:p>
        </w:tc>
        <w:tc>
          <w:tcPr>
            <w:tcW w:w="69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 xml:space="preserve"> 163.6</w:t>
            </w:r>
            <w:r w:rsidRPr="008C7B59">
              <w:t xml:space="preserve"> </w:t>
            </w:r>
          </w:p>
        </w:tc>
        <w:tc>
          <w:tcPr>
            <w:tcW w:w="69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 xml:space="preserve"> 167.4</w:t>
            </w:r>
            <w:r w:rsidRPr="008C7B59">
              <w:t xml:space="preserve"> </w:t>
            </w:r>
          </w:p>
        </w:tc>
        <w:tc>
          <w:tcPr>
            <w:tcW w:w="69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 xml:space="preserve"> 163.8</w:t>
            </w:r>
            <w:r w:rsidRPr="008C7B59">
              <w:t xml:space="preserve"> </w:t>
            </w:r>
          </w:p>
        </w:tc>
        <w:tc>
          <w:tcPr>
            <w:tcW w:w="69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843.2</w:t>
            </w:r>
          </w:p>
        </w:tc>
      </w:tr>
      <w:tr w:rsidR="008C7B59" w:rsidRPr="00E54DCA" w:rsidTr="005D15EC">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040" w:type="pct"/>
          </w:tcPr>
          <w:p w:rsidR="008C7B59" w:rsidRPr="008C7B59" w:rsidRDefault="008C7B59" w:rsidP="008C7B59">
            <w:r w:rsidRPr="00D42C31">
              <w:t>AER draft decision</w:t>
            </w:r>
          </w:p>
        </w:tc>
        <w:tc>
          <w:tcPr>
            <w:tcW w:w="484"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135.9</w:t>
            </w:r>
          </w:p>
        </w:tc>
        <w:tc>
          <w:tcPr>
            <w:tcW w:w="69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133.</w:t>
            </w:r>
            <w:r w:rsidRPr="008C7B59">
              <w:t>5</w:t>
            </w:r>
          </w:p>
        </w:tc>
        <w:tc>
          <w:tcPr>
            <w:tcW w:w="69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12</w:t>
            </w:r>
            <w:r w:rsidRPr="008C7B59">
              <w:t>8.0</w:t>
            </w:r>
          </w:p>
        </w:tc>
        <w:tc>
          <w:tcPr>
            <w:tcW w:w="69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1</w:t>
            </w:r>
            <w:r w:rsidRPr="008C7B59">
              <w:t>32.5</w:t>
            </w:r>
          </w:p>
        </w:tc>
        <w:tc>
          <w:tcPr>
            <w:tcW w:w="69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12</w:t>
            </w:r>
            <w:r w:rsidRPr="008C7B59">
              <w:t>8.8</w:t>
            </w:r>
          </w:p>
        </w:tc>
        <w:tc>
          <w:tcPr>
            <w:tcW w:w="69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6</w:t>
            </w:r>
            <w:r w:rsidRPr="008C7B59">
              <w:t>58.7</w:t>
            </w:r>
          </w:p>
        </w:tc>
      </w:tr>
      <w:tr w:rsidR="008C7B59" w:rsidRPr="00E54DCA" w:rsidTr="005D15EC">
        <w:trPr>
          <w:trHeight w:val="569"/>
        </w:trPr>
        <w:tc>
          <w:tcPr>
            <w:cnfStyle w:val="001000000000" w:firstRow="0" w:lastRow="0" w:firstColumn="1" w:lastColumn="0" w:oddVBand="0" w:evenVBand="0" w:oddHBand="0" w:evenHBand="0" w:firstRowFirstColumn="0" w:firstRowLastColumn="0" w:lastRowFirstColumn="0" w:lastRowLastColumn="0"/>
            <w:tcW w:w="1040" w:type="pct"/>
          </w:tcPr>
          <w:p w:rsidR="008C7B59" w:rsidRPr="008C7B59" w:rsidRDefault="008C7B59" w:rsidP="008C7B59">
            <w:r w:rsidRPr="00355E98">
              <w:t>Total adjustment</w:t>
            </w:r>
          </w:p>
        </w:tc>
        <w:tc>
          <w:tcPr>
            <w:tcW w:w="484"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B5558D">
              <w:t>-41.4</w:t>
            </w:r>
          </w:p>
        </w:tc>
        <w:tc>
          <w:tcPr>
            <w:tcW w:w="69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rsidRPr="00064A0F">
              <w:t>-37.</w:t>
            </w:r>
            <w:r w:rsidRPr="008C7B59">
              <w:t>5</w:t>
            </w:r>
          </w:p>
        </w:tc>
        <w:tc>
          <w:tcPr>
            <w:tcW w:w="69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-3</w:t>
            </w:r>
            <w:r w:rsidRPr="008C7B59">
              <w:t>5.6</w:t>
            </w:r>
          </w:p>
        </w:tc>
        <w:tc>
          <w:tcPr>
            <w:tcW w:w="69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-3</w:t>
            </w:r>
            <w:r w:rsidRPr="008C7B59">
              <w:t>4.9</w:t>
            </w:r>
          </w:p>
        </w:tc>
        <w:tc>
          <w:tcPr>
            <w:tcW w:w="69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-3</w:t>
            </w:r>
            <w:r w:rsidRPr="008C7B59">
              <w:t>5.0</w:t>
            </w:r>
          </w:p>
        </w:tc>
        <w:tc>
          <w:tcPr>
            <w:tcW w:w="695" w:type="pct"/>
          </w:tcPr>
          <w:p w:rsidR="008C7B59" w:rsidRPr="008C7B59" w:rsidRDefault="008C7B59" w:rsidP="008C7B59">
            <w:pPr>
              <w:cnfStyle w:val="000000000000" w:firstRow="0" w:lastRow="0" w:firstColumn="0" w:lastColumn="0" w:oddVBand="0" w:evenVBand="0" w:oddHBand="0" w:evenHBand="0" w:firstRowFirstColumn="0" w:firstRowLastColumn="0" w:lastRowFirstColumn="0" w:lastRowLastColumn="0"/>
            </w:pPr>
            <w:r>
              <w:t>-1</w:t>
            </w:r>
            <w:r w:rsidRPr="008C7B59">
              <w:t>84.5</w:t>
            </w:r>
          </w:p>
        </w:tc>
      </w:tr>
      <w:tr w:rsidR="008C7B59" w:rsidRPr="00E54DCA" w:rsidTr="005D15EC">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040" w:type="pct"/>
          </w:tcPr>
          <w:p w:rsidR="008C7B59" w:rsidRPr="008C7B59" w:rsidRDefault="008C7B59" w:rsidP="008C7B59">
            <w:r w:rsidRPr="00355E98">
              <w:t>Total adjustment (%)</w:t>
            </w:r>
          </w:p>
        </w:tc>
        <w:tc>
          <w:tcPr>
            <w:tcW w:w="484"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-23.4%</w:t>
            </w:r>
          </w:p>
        </w:tc>
        <w:tc>
          <w:tcPr>
            <w:tcW w:w="69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-22.</w:t>
            </w:r>
            <w:r w:rsidRPr="008C7B59">
              <w:t>0%</w:t>
            </w:r>
          </w:p>
        </w:tc>
        <w:tc>
          <w:tcPr>
            <w:tcW w:w="69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-2</w:t>
            </w:r>
            <w:r w:rsidRPr="008C7B59">
              <w:t>1.8%</w:t>
            </w:r>
          </w:p>
        </w:tc>
        <w:tc>
          <w:tcPr>
            <w:tcW w:w="69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-2</w:t>
            </w:r>
            <w:r w:rsidRPr="008C7B59">
              <w:t>0.8%</w:t>
            </w:r>
          </w:p>
        </w:tc>
        <w:tc>
          <w:tcPr>
            <w:tcW w:w="69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-2</w:t>
            </w:r>
            <w:r w:rsidRPr="008C7B59">
              <w:t>1.4%</w:t>
            </w:r>
          </w:p>
        </w:tc>
        <w:tc>
          <w:tcPr>
            <w:tcW w:w="695" w:type="pct"/>
          </w:tcPr>
          <w:p w:rsidR="008C7B59" w:rsidRPr="008C7B59" w:rsidRDefault="008C7B59" w:rsidP="008C7B59">
            <w:pPr>
              <w:cnfStyle w:val="000000010000" w:firstRow="0" w:lastRow="0" w:firstColumn="0" w:lastColumn="0" w:oddVBand="0" w:evenVBand="0" w:oddHBand="0" w:evenHBand="1" w:firstRowFirstColumn="0" w:firstRowLastColumn="0" w:lastRowFirstColumn="0" w:lastRowLastColumn="0"/>
            </w:pPr>
            <w:r>
              <w:t>-2</w:t>
            </w:r>
            <w:r w:rsidRPr="008C7B59">
              <w:t>1.9%</w:t>
            </w:r>
          </w:p>
        </w:tc>
      </w:tr>
    </w:tbl>
    <w:p w:rsidR="008C7B59" w:rsidRDefault="008C7B59" w:rsidP="008C7B59">
      <w:pPr>
        <w:pStyle w:val="HeadingBoldBlue"/>
      </w:pPr>
      <w:r>
        <w:t>Network health indicators</w:t>
      </w:r>
    </w:p>
    <w:p w:rsidR="008C7B59" w:rsidRPr="00F91A18" w:rsidRDefault="008C7B59" w:rsidP="008C7B59">
      <w:r>
        <w:t>Powerlink's</w:t>
      </w:r>
      <w:r w:rsidRPr="00F91A18">
        <w:t xml:space="preserve"> proposed capex must be consistent with the amount of capex it considers will be required to maintain the quality, reliability and security of supply of prescribed transmission services.</w:t>
      </w:r>
      <w:r w:rsidRPr="00E52DE4">
        <w:rPr>
          <w:rStyle w:val="FootnoteReference"/>
        </w:rPr>
        <w:footnoteReference w:id="137"/>
      </w:r>
      <w:r w:rsidRPr="00E52DE4">
        <w:rPr>
          <w:rStyle w:val="FootnoteReference"/>
        </w:rPr>
        <w:t xml:space="preserve"> </w:t>
      </w:r>
      <w:r w:rsidRPr="00F91A18">
        <w:t>In considering this obligation we have had regard to network health indicators to gauge the likely health or condition of its network assets when considering the total forecast capex.</w:t>
      </w:r>
    </w:p>
    <w:p w:rsidR="008C7B59" w:rsidRDefault="008C7B59" w:rsidP="008C7B59">
      <w:r>
        <w:t xml:space="preserve">Powerlink </w:t>
      </w:r>
      <w:r w:rsidRPr="00F91A18">
        <w:t>submitted</w:t>
      </w:r>
      <w:r>
        <w:t xml:space="preserve"> that its </w:t>
      </w:r>
      <w:r w:rsidRPr="002C1ADF">
        <w:t>capital expenditure forecasts include prudent provision for maintaining the safety of the transmission</w:t>
      </w:r>
      <w:r>
        <w:t xml:space="preserve"> </w:t>
      </w:r>
      <w:r w:rsidRPr="002C1ADF">
        <w:t>system.</w:t>
      </w:r>
      <w:r>
        <w:rPr>
          <w:rStyle w:val="FootnoteReference"/>
        </w:rPr>
        <w:footnoteReference w:id="138"/>
      </w:r>
      <w:r>
        <w:t xml:space="preserve"> Powerlink also submitted that d</w:t>
      </w:r>
      <w:r w:rsidRPr="00C657E8">
        <w:t xml:space="preserve">epending upon the type of </w:t>
      </w:r>
      <w:proofErr w:type="gramStart"/>
      <w:r w:rsidRPr="00C657E8">
        <w:t>asset,</w:t>
      </w:r>
      <w:proofErr w:type="gramEnd"/>
      <w:r w:rsidRPr="00C657E8">
        <w:t xml:space="preserve"> a condition assessment and performance appraisal </w:t>
      </w:r>
      <w:r w:rsidRPr="00C657E8">
        <w:lastRenderedPageBreak/>
        <w:t>process will be</w:t>
      </w:r>
      <w:r>
        <w:t xml:space="preserve"> </w:t>
      </w:r>
      <w:r w:rsidRPr="00C657E8">
        <w:t>applied to develop an overall strategy for ongoing maintenance, operational refurbishment or asset</w:t>
      </w:r>
      <w:r>
        <w:t xml:space="preserve"> replacement</w:t>
      </w:r>
      <w:r w:rsidRPr="00C657E8">
        <w:t>.</w:t>
      </w:r>
      <w:r>
        <w:t xml:space="preserve"> Powerlink stated that t</w:t>
      </w:r>
      <w:r w:rsidRPr="00C657E8">
        <w:t>he condition assessment and performance appraisal process for network assets may involve site</w:t>
      </w:r>
      <w:r>
        <w:t xml:space="preserve"> </w:t>
      </w:r>
      <w:r w:rsidRPr="00C657E8">
        <w:t>inspections, analysis of maintenance records, operational performance, engineering data, technical</w:t>
      </w:r>
      <w:r>
        <w:t xml:space="preserve"> </w:t>
      </w:r>
      <w:r w:rsidRPr="00C657E8">
        <w:t>investigations, emerging issues associated with obsolescence and other relevant data to develop a</w:t>
      </w:r>
      <w:r>
        <w:t xml:space="preserve"> </w:t>
      </w:r>
      <w:r w:rsidRPr="00C657E8">
        <w:t>holistic view of the condition of the asset.</w:t>
      </w:r>
      <w:r>
        <w:rPr>
          <w:rStyle w:val="FootnoteReference"/>
        </w:rPr>
        <w:footnoteReference w:id="139"/>
      </w:r>
      <w:r>
        <w:t xml:space="preserve"> </w:t>
      </w:r>
    </w:p>
    <w:p w:rsidR="008C7B59" w:rsidRDefault="008C7B59" w:rsidP="008C7B59">
      <w:r>
        <w:t xml:space="preserve">Powerlink has also developed a quantitative asset risk management framework to aggregate the key risks for assets approaching the end of their technical </w:t>
      </w:r>
      <w:r w:rsidRPr="00A5257C">
        <w:t>or economic life. The key risks relate to a range of disparate consequences of failure,</w:t>
      </w:r>
      <w:r>
        <w:t xml:space="preserve"> </w:t>
      </w:r>
      <w:r w:rsidRPr="00A5257C">
        <w:t xml:space="preserve">including financial, safety, network and environmental impacts. </w:t>
      </w:r>
      <w:r>
        <w:t>Powerlink stated that p</w:t>
      </w:r>
      <w:r w:rsidRPr="00A5257C">
        <w:t>roviding a quantitative measure for the key</w:t>
      </w:r>
      <w:r>
        <w:t xml:space="preserve"> </w:t>
      </w:r>
      <w:r w:rsidRPr="00A5257C">
        <w:t xml:space="preserve">risks in a structured, consistent and transparent manner allows </w:t>
      </w:r>
      <w:r>
        <w:t>it</w:t>
      </w:r>
      <w:r w:rsidRPr="00A5257C">
        <w:t xml:space="preserve"> to make relative comparisons</w:t>
      </w:r>
      <w:r>
        <w:t xml:space="preserve"> </w:t>
      </w:r>
      <w:r w:rsidRPr="00A5257C">
        <w:t xml:space="preserve">between competing investment needs. </w:t>
      </w:r>
      <w:r>
        <w:t>Powerlink submitted that t</w:t>
      </w:r>
      <w:r w:rsidRPr="00A5257C">
        <w:t xml:space="preserve">he </w:t>
      </w:r>
      <w:r>
        <w:t>f</w:t>
      </w:r>
      <w:r w:rsidRPr="00A5257C">
        <w:t xml:space="preserve">ramework is not an economic decision-making framework of </w:t>
      </w:r>
      <w:proofErr w:type="gramStart"/>
      <w:r w:rsidRPr="00A5257C">
        <w:t>itself</w:t>
      </w:r>
      <w:proofErr w:type="gramEnd"/>
      <w:r>
        <w:t xml:space="preserve"> </w:t>
      </w:r>
      <w:r w:rsidRPr="00A5257C">
        <w:t>and is used along with other considerations and factors in the investment decision making process.</w:t>
      </w:r>
      <w:r>
        <w:rPr>
          <w:rStyle w:val="FootnoteReference"/>
        </w:rPr>
        <w:footnoteReference w:id="140"/>
      </w:r>
      <w:r>
        <w:t xml:space="preserve"> </w:t>
      </w:r>
    </w:p>
    <w:p w:rsidR="008C7B59" w:rsidRDefault="008C7B59" w:rsidP="008C7B59">
      <w:r>
        <w:t xml:space="preserve">Powerlink's asset risk management framework defines the risk cost of an asset as the </w:t>
      </w:r>
      <w:r w:rsidRPr="007C7867">
        <w:t>probability weighted cost of the consequence associated with the risk event</w:t>
      </w:r>
      <w:r>
        <w:t xml:space="preserve"> and is represented as the product of the likelihood of failure and consequence of failure.</w:t>
      </w:r>
      <w:r>
        <w:rPr>
          <w:rStyle w:val="FootnoteReference"/>
        </w:rPr>
        <w:footnoteReference w:id="141"/>
      </w:r>
      <w:r>
        <w:t xml:space="preserve"> The likelihood of failure </w:t>
      </w:r>
      <w:r w:rsidRPr="00B26F8C">
        <w:t>comprises two components – the probability of failure and the exposure factors.</w:t>
      </w:r>
      <w:r>
        <w:t xml:space="preserve"> Powerlink stated that t</w:t>
      </w:r>
      <w:r w:rsidRPr="00B26F8C">
        <w:t xml:space="preserve">he methodology used for deriving failure curves </w:t>
      </w:r>
      <w:r>
        <w:t xml:space="preserve">of assets </w:t>
      </w:r>
      <w:r w:rsidRPr="00B26F8C">
        <w:t>depend</w:t>
      </w:r>
      <w:r>
        <w:t>s</w:t>
      </w:r>
      <w:r w:rsidRPr="00B26F8C">
        <w:t xml:space="preserve"> on a number of factors</w:t>
      </w:r>
      <w:r>
        <w:t>:</w:t>
      </w:r>
      <w:r>
        <w:rPr>
          <w:rStyle w:val="FootnoteReference"/>
        </w:rPr>
        <w:footnoteReference w:id="142"/>
      </w:r>
    </w:p>
    <w:p w:rsidR="008C7B59" w:rsidRPr="00B26F8C" w:rsidRDefault="008C7B59" w:rsidP="008C7B59">
      <w:pPr>
        <w:pStyle w:val="AERbulletlistfirststyle"/>
      </w:pPr>
      <w:r>
        <w:t>w</w:t>
      </w:r>
      <w:r w:rsidRPr="00B26F8C">
        <w:t>here there is a large</w:t>
      </w:r>
      <w:r>
        <w:t xml:space="preserve"> </w:t>
      </w:r>
      <w:r w:rsidRPr="00B26F8C">
        <w:t xml:space="preserve">population of the component within </w:t>
      </w:r>
      <w:r>
        <w:t>Powerlink's</w:t>
      </w:r>
      <w:r w:rsidRPr="00B26F8C">
        <w:t xml:space="preserve"> fleet, and there are reliable historical failure records</w:t>
      </w:r>
      <w:r>
        <w:t>,</w:t>
      </w:r>
      <w:r w:rsidRPr="00B26F8C">
        <w:t xml:space="preserve"> failure</w:t>
      </w:r>
      <w:r>
        <w:t xml:space="preserve"> </w:t>
      </w:r>
      <w:r w:rsidRPr="00B26F8C">
        <w:t>curves can be derived from act</w:t>
      </w:r>
      <w:r>
        <w:t>ual recorded equipment failures; and</w:t>
      </w:r>
    </w:p>
    <w:p w:rsidR="008C7B59" w:rsidRDefault="008C7B59" w:rsidP="008C7B59">
      <w:pPr>
        <w:pStyle w:val="AERbulletlistfirststyle"/>
      </w:pPr>
      <w:proofErr w:type="gramStart"/>
      <w:r>
        <w:t>w</w:t>
      </w:r>
      <w:r w:rsidRPr="00B26F8C">
        <w:t>here</w:t>
      </w:r>
      <w:proofErr w:type="gramEnd"/>
      <w:r w:rsidRPr="00B26F8C">
        <w:t xml:space="preserve"> there are insufficient failure records to develop statistically valid failure models, data from external</w:t>
      </w:r>
      <w:r>
        <w:t xml:space="preserve"> </w:t>
      </w:r>
      <w:r w:rsidRPr="00B26F8C">
        <w:t xml:space="preserve">industry sources, such as research organisations or manufacturers, may be used. </w:t>
      </w:r>
    </w:p>
    <w:p w:rsidR="008C7B59" w:rsidRDefault="008C7B59" w:rsidP="008C7B59">
      <w:r>
        <w:t>Powerlink submitted that f</w:t>
      </w:r>
      <w:r w:rsidRPr="00B26F8C">
        <w:t>ailure models derived from historical failure rates are compared against published data to verify the</w:t>
      </w:r>
      <w:r>
        <w:t xml:space="preserve"> </w:t>
      </w:r>
      <w:r w:rsidRPr="00B26F8C">
        <w:t>reasonableness of the failure rates.</w:t>
      </w:r>
      <w:r>
        <w:rPr>
          <w:rStyle w:val="FootnoteReference"/>
        </w:rPr>
        <w:footnoteReference w:id="143"/>
      </w:r>
    </w:p>
    <w:p w:rsidR="008C7B59" w:rsidRDefault="008C7B59" w:rsidP="008C7B59">
      <w:r>
        <w:t>Powerlink stated that it</w:t>
      </w:r>
      <w:r w:rsidRPr="00B26F8C">
        <w:t xml:space="preserve"> bases the calculation of exposure factors from various sources of information, including internal</w:t>
      </w:r>
      <w:r>
        <w:t xml:space="preserve"> </w:t>
      </w:r>
      <w:r w:rsidRPr="00B26F8C">
        <w:t>records and/or publically available data and reports</w:t>
      </w:r>
      <w:r>
        <w:t xml:space="preserve"> such as</w:t>
      </w:r>
      <w:r w:rsidRPr="00B26F8C">
        <w:t xml:space="preserve"> historical substation attendance logs </w:t>
      </w:r>
      <w:r>
        <w:t>t</w:t>
      </w:r>
      <w:r w:rsidRPr="00B26F8C">
        <w:t>o determine the probability that field personnel may be present at substations during the year.</w:t>
      </w:r>
      <w:r>
        <w:t xml:space="preserve"> </w:t>
      </w:r>
      <w:r w:rsidRPr="00B26F8C">
        <w:t xml:space="preserve">Where suitable data is not </w:t>
      </w:r>
      <w:r w:rsidRPr="00B26F8C">
        <w:lastRenderedPageBreak/>
        <w:t xml:space="preserve">available, </w:t>
      </w:r>
      <w:r>
        <w:t xml:space="preserve">Powerlink submitted that </w:t>
      </w:r>
      <w:r w:rsidRPr="00B26F8C">
        <w:t>it may be necessary to estimate exposure factors using engineering</w:t>
      </w:r>
      <w:r>
        <w:t xml:space="preserve"> </w:t>
      </w:r>
      <w:r w:rsidRPr="00B26F8C">
        <w:t>professional judgement.</w:t>
      </w:r>
      <w:r>
        <w:rPr>
          <w:rStyle w:val="FootnoteReference"/>
        </w:rPr>
        <w:footnoteReference w:id="144"/>
      </w:r>
      <w:r>
        <w:t xml:space="preserve">  </w:t>
      </w:r>
    </w:p>
    <w:p w:rsidR="008C7B59" w:rsidRDefault="008C7B59" w:rsidP="008C7B59">
      <w:r>
        <w:t xml:space="preserve">Powerlink provided the following risk cost matrix replicated in </w:t>
      </w:r>
      <w:r w:rsidRPr="008C7B59">
        <w:fldChar w:fldCharType="begin"/>
      </w:r>
      <w:r>
        <w:instrText xml:space="preserve"> REF _Ref458506688 </w:instrText>
      </w:r>
      <w:r w:rsidRPr="008C7B59">
        <w:fldChar w:fldCharType="separate"/>
      </w:r>
      <w:r w:rsidR="005252EC">
        <w:t xml:space="preserve">Table </w:t>
      </w:r>
      <w:r w:rsidR="005252EC">
        <w:rPr>
          <w:noProof/>
        </w:rPr>
        <w:t>6</w:t>
      </w:r>
      <w:r w:rsidR="005252EC">
        <w:t>.</w:t>
      </w:r>
      <w:r w:rsidR="005252EC">
        <w:rPr>
          <w:noProof/>
        </w:rPr>
        <w:t>11</w:t>
      </w:r>
      <w:r w:rsidRPr="008C7B59">
        <w:fldChar w:fldCharType="end"/>
      </w:r>
      <w:r>
        <w:t>.</w:t>
      </w:r>
      <w:r>
        <w:rPr>
          <w:rStyle w:val="FootnoteReference"/>
        </w:rPr>
        <w:footnoteReference w:id="145"/>
      </w:r>
    </w:p>
    <w:p w:rsidR="008C7B59" w:rsidRPr="00B22689" w:rsidRDefault="008C7B59" w:rsidP="008C7B59">
      <w:pPr>
        <w:pStyle w:val="Caption"/>
      </w:pPr>
      <w:bookmarkStart w:id="231" w:name="_Ref458506688"/>
      <w:proofErr w:type="gramStart"/>
      <w:r>
        <w:t xml:space="preserve">Table </w:t>
      </w:r>
      <w:fldSimple w:instr=" STYLEREF 1 \s ">
        <w:r w:rsidR="005252EC">
          <w:rPr>
            <w:noProof/>
          </w:rPr>
          <w:t>6</w:t>
        </w:r>
      </w:fldSimple>
      <w:r w:rsidR="00250D0F">
        <w:t>.</w:t>
      </w:r>
      <w:proofErr w:type="gramEnd"/>
      <w:r w:rsidR="005252EC">
        <w:fldChar w:fldCharType="begin"/>
      </w:r>
      <w:r w:rsidR="005252EC">
        <w:instrText xml:space="preserve"> SEQ Table \* ARABIC \s 1 </w:instrText>
      </w:r>
      <w:r w:rsidR="005252EC">
        <w:fldChar w:fldCharType="separate"/>
      </w:r>
      <w:r w:rsidR="005252EC">
        <w:rPr>
          <w:noProof/>
        </w:rPr>
        <w:t>11</w:t>
      </w:r>
      <w:r w:rsidR="005252EC">
        <w:rPr>
          <w:noProof/>
        </w:rPr>
        <w:fldChar w:fldCharType="end"/>
      </w:r>
      <w:bookmarkEnd w:id="231"/>
      <w:r w:rsidRPr="00B22689">
        <w:tab/>
      </w:r>
      <w:r>
        <w:t xml:space="preserve">Powerlink's </w:t>
      </w:r>
      <w:r w:rsidRPr="00B22689">
        <w:t xml:space="preserve">risk </w:t>
      </w:r>
      <w:r>
        <w:t>levels and equivalent risk costs</w:t>
      </w:r>
    </w:p>
    <w:p w:rsidR="008C7B59" w:rsidRDefault="008C7B59" w:rsidP="008C7B59">
      <w:r w:rsidRPr="008C7B59">
        <w:rPr>
          <w:noProof/>
          <w:lang w:eastAsia="en-AU"/>
        </w:rPr>
        <w:drawing>
          <wp:inline distT="0" distB="0" distL="0" distR="0" wp14:anchorId="34CA3EA1" wp14:editId="4DD16D72">
            <wp:extent cx="3498850" cy="2353310"/>
            <wp:effectExtent l="0" t="0" r="635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8850" cy="2353310"/>
                    </a:xfrm>
                    <a:prstGeom prst="rect">
                      <a:avLst/>
                    </a:prstGeom>
                    <a:noFill/>
                    <a:ln>
                      <a:noFill/>
                    </a:ln>
                  </pic:spPr>
                </pic:pic>
              </a:graphicData>
            </a:graphic>
          </wp:inline>
        </w:drawing>
      </w:r>
    </w:p>
    <w:p w:rsidR="008C7B59" w:rsidRDefault="008C7B59" w:rsidP="008C7B59">
      <w:r>
        <w:t>Powerlink engaged AMCL to review its asset risk and project prioritisation framework.</w:t>
      </w:r>
      <w:r>
        <w:rPr>
          <w:rStyle w:val="FootnoteReference"/>
        </w:rPr>
        <w:footnoteReference w:id="146"/>
      </w:r>
      <w:r>
        <w:t xml:space="preserve"> AMCL's conclusions included the following:</w:t>
      </w:r>
    </w:p>
    <w:p w:rsidR="008C7B59" w:rsidRDefault="008C7B59" w:rsidP="008C7B59">
      <w:pPr>
        <w:pStyle w:val="AERbulletlistfirststyle"/>
      </w:pPr>
      <w:proofErr w:type="gramStart"/>
      <w:r>
        <w:t>t</w:t>
      </w:r>
      <w:r w:rsidRPr="00663980">
        <w:t>he</w:t>
      </w:r>
      <w:proofErr w:type="gramEnd"/>
      <w:r w:rsidRPr="00663980">
        <w:t xml:space="preserve"> Powerlink approach aligns with leading industry practice for electricity transmission</w:t>
      </w:r>
      <w:r>
        <w:t xml:space="preserve"> </w:t>
      </w:r>
      <w:r w:rsidRPr="00663980">
        <w:t>networks. The development of the risk assess</w:t>
      </w:r>
      <w:r>
        <w:t>ment process is based on sound a</w:t>
      </w:r>
      <w:r w:rsidRPr="00663980">
        <w:t>sset</w:t>
      </w:r>
      <w:r>
        <w:t xml:space="preserve"> m</w:t>
      </w:r>
      <w:r w:rsidRPr="00663980">
        <w:t>anagement</w:t>
      </w:r>
      <w:r>
        <w:t xml:space="preserve"> fundamentals</w:t>
      </w:r>
    </w:p>
    <w:p w:rsidR="008C7B59" w:rsidRDefault="008C7B59" w:rsidP="008C7B59">
      <w:pPr>
        <w:pStyle w:val="AERbulletlistfirststyle"/>
      </w:pPr>
      <w:r w:rsidRPr="00663980">
        <w:t>Powerlink has developed a risk assessment methodology with quantified risk score in</w:t>
      </w:r>
      <w:r>
        <w:t xml:space="preserve"> </w:t>
      </w:r>
      <w:r w:rsidRPr="00663980">
        <w:t>dollars that broadly reflects the real cost a</w:t>
      </w:r>
      <w:r>
        <w:t>nd likelihood of asset failures; and</w:t>
      </w:r>
    </w:p>
    <w:p w:rsidR="008C7B59" w:rsidRDefault="008C7B59" w:rsidP="008C7B59">
      <w:pPr>
        <w:pStyle w:val="AERbulletlistfirststyle"/>
      </w:pPr>
      <w:proofErr w:type="gramStart"/>
      <w:r>
        <w:t>f</w:t>
      </w:r>
      <w:r w:rsidRPr="00663980">
        <w:t>urther</w:t>
      </w:r>
      <w:proofErr w:type="gramEnd"/>
      <w:r w:rsidRPr="00663980">
        <w:t xml:space="preserve"> work is required to fully develop the process across all asset classes and embed</w:t>
      </w:r>
      <w:r>
        <w:t xml:space="preserve"> </w:t>
      </w:r>
      <w:r w:rsidRPr="00663980">
        <w:t>it into the organisation.</w:t>
      </w:r>
    </w:p>
    <w:p w:rsidR="008C7B59" w:rsidRDefault="008C7B59" w:rsidP="008C7B59">
      <w:r>
        <w:t>In its review, EMCa considered that g</w:t>
      </w:r>
      <w:r w:rsidRPr="00E97021">
        <w:t xml:space="preserve">iven the broad range of risk costs in </w:t>
      </w:r>
      <w:r>
        <w:t xml:space="preserve">Powerlink's </w:t>
      </w:r>
      <w:r w:rsidRPr="00E97021">
        <w:t xml:space="preserve">risk matrix </w:t>
      </w:r>
      <w:r>
        <w:t xml:space="preserve">(from $29 to $7,031 million) </w:t>
      </w:r>
      <w:r w:rsidRPr="00E97021">
        <w:t xml:space="preserve">it is likely that only a section of it is actually relevant to the management of key risks associated with assets approaching the end of their technical or economic life. </w:t>
      </w:r>
      <w:r w:rsidR="005648CD">
        <w:t xml:space="preserve">Based on </w:t>
      </w:r>
      <w:r>
        <w:t>EMCa</w:t>
      </w:r>
      <w:r w:rsidR="005648CD">
        <w:t>'s advice</w:t>
      </w:r>
      <w:r w:rsidR="005B4491">
        <w:t>, we are satisfied that</w:t>
      </w:r>
      <w:r w:rsidRPr="006B2CF1">
        <w:t xml:space="preserve"> Powerlink</w:t>
      </w:r>
      <w:r w:rsidR="005B4491">
        <w:t>'s</w:t>
      </w:r>
      <w:r w:rsidRPr="006B2CF1">
        <w:t xml:space="preserve"> approach for risk assessment of its reinvestment projects is adequate for selecting between identified options</w:t>
      </w:r>
      <w:r w:rsidR="005B4491">
        <w:t>. W</w:t>
      </w:r>
      <w:r w:rsidRPr="006B2CF1">
        <w:t xml:space="preserve">hilst </w:t>
      </w:r>
      <w:r w:rsidR="005B4491">
        <w:t>we have</w:t>
      </w:r>
      <w:r w:rsidRPr="006B2CF1">
        <w:t xml:space="preserve"> reservations about </w:t>
      </w:r>
      <w:r>
        <w:t>Powerlink's</w:t>
      </w:r>
      <w:r w:rsidRPr="006B2CF1">
        <w:t xml:space="preserve"> aggregation of risks to create its total risk cost, </w:t>
      </w:r>
      <w:r w:rsidR="005B4491">
        <w:t xml:space="preserve">we note </w:t>
      </w:r>
      <w:r>
        <w:t>EMCa</w:t>
      </w:r>
      <w:r w:rsidR="005B4491">
        <w:t>'s advice</w:t>
      </w:r>
      <w:r>
        <w:t xml:space="preserve"> that </w:t>
      </w:r>
      <w:r w:rsidRPr="006B2CF1">
        <w:t xml:space="preserve">this is not </w:t>
      </w:r>
      <w:r w:rsidRPr="006B2CF1">
        <w:lastRenderedPageBreak/>
        <w:t>a significant issue if the aggregated risk cost is only used to help with portfolio optimisation and (at a project level) to choose between options.</w:t>
      </w:r>
      <w:r>
        <w:rPr>
          <w:rStyle w:val="FootnoteReference"/>
        </w:rPr>
        <w:footnoteReference w:id="147"/>
      </w:r>
      <w:r w:rsidRPr="006B2CF1">
        <w:t xml:space="preserve"> </w:t>
      </w:r>
    </w:p>
    <w:p w:rsidR="008C7B59" w:rsidRPr="00180EE9" w:rsidRDefault="008C7B59" w:rsidP="008C7B59">
      <w:pPr>
        <w:pStyle w:val="HeadingBoldBlue"/>
        <w:rPr>
          <w:rStyle w:val="AERtextblue"/>
        </w:rPr>
      </w:pPr>
      <w:r w:rsidRPr="00180EE9">
        <w:rPr>
          <w:rStyle w:val="AERtextblue"/>
        </w:rPr>
        <w:t>Asset failure and system reliability performance</w:t>
      </w:r>
    </w:p>
    <w:p w:rsidR="008C7B59" w:rsidRPr="0093161B" w:rsidRDefault="008C7B59" w:rsidP="008C7B59">
      <w:r>
        <w:t xml:space="preserve">We have used economic benchmarking and category analysis RIN data provided by Powerlink to </w:t>
      </w:r>
      <w:r w:rsidRPr="00180EE9">
        <w:t>provide high level observations rega</w:t>
      </w:r>
      <w:r>
        <w:t>r</w:t>
      </w:r>
      <w:r w:rsidRPr="00180EE9">
        <w:t xml:space="preserve">ding overall network health and to identify trends in asset deterioration. </w:t>
      </w:r>
      <w:r w:rsidRPr="0093161B">
        <w:t>In circumstances where the historical trend exhibits a decrease (increase) in asset failures</w:t>
      </w:r>
      <w:r w:rsidR="00F25139">
        <w:t>,</w:t>
      </w:r>
      <w:r>
        <w:rPr>
          <w:rStyle w:val="FootnoteReference"/>
        </w:rPr>
        <w:footnoteReference w:id="148"/>
      </w:r>
      <w:r w:rsidRPr="0093161B">
        <w:t xml:space="preserve"> this may suggest that past expenditure may have been higher (lower) than necessary to achieve the capex objectives, respectively. </w:t>
      </w:r>
      <w:r w:rsidRPr="008C7B59">
        <w:fldChar w:fldCharType="begin"/>
      </w:r>
      <w:r>
        <w:instrText xml:space="preserve"> REF _Ref458507075 </w:instrText>
      </w:r>
      <w:r w:rsidRPr="008C7B59">
        <w:fldChar w:fldCharType="separate"/>
      </w:r>
      <w:r w:rsidR="005252EC">
        <w:t xml:space="preserve">Figure </w:t>
      </w:r>
      <w:r w:rsidR="005252EC">
        <w:rPr>
          <w:noProof/>
        </w:rPr>
        <w:t>6</w:t>
      </w:r>
      <w:r w:rsidR="005252EC">
        <w:t>.</w:t>
      </w:r>
      <w:r w:rsidR="005252EC">
        <w:rPr>
          <w:noProof/>
        </w:rPr>
        <w:t>11</w:t>
      </w:r>
      <w:r w:rsidRPr="008C7B59">
        <w:fldChar w:fldCharType="end"/>
      </w:r>
      <w:r>
        <w:t xml:space="preserve"> </w:t>
      </w:r>
      <w:r w:rsidRPr="0093161B">
        <w:t xml:space="preserve">shows our analysis of </w:t>
      </w:r>
      <w:r>
        <w:t xml:space="preserve">Powerlink's </w:t>
      </w:r>
      <w:r w:rsidRPr="0093161B">
        <w:t>asset failure performance.</w:t>
      </w:r>
    </w:p>
    <w:p w:rsidR="008C7B59" w:rsidRDefault="008C7B59" w:rsidP="008C7B59">
      <w:pPr>
        <w:pStyle w:val="Caption"/>
      </w:pPr>
      <w:bookmarkStart w:id="232" w:name="_Ref458507075"/>
      <w:proofErr w:type="gramStart"/>
      <w:r>
        <w:t xml:space="preserve">Figure </w:t>
      </w:r>
      <w:fldSimple w:instr=" STYLEREF 1 \s ">
        <w:r w:rsidR="005252EC">
          <w:rPr>
            <w:noProof/>
          </w:rPr>
          <w:t>6</w:t>
        </w:r>
      </w:fldSimple>
      <w:r w:rsidR="00D504BF">
        <w:t>.</w:t>
      </w:r>
      <w:proofErr w:type="gramEnd"/>
      <w:r w:rsidR="005252EC">
        <w:fldChar w:fldCharType="begin"/>
      </w:r>
      <w:r w:rsidR="005252EC">
        <w:instrText xml:space="preserve"> SEQ Figure \* ARABIC \s 1 </w:instrText>
      </w:r>
      <w:r w:rsidR="005252EC">
        <w:fldChar w:fldCharType="separate"/>
      </w:r>
      <w:r w:rsidR="005252EC">
        <w:rPr>
          <w:noProof/>
        </w:rPr>
        <w:t>11</w:t>
      </w:r>
      <w:r w:rsidR="005252EC">
        <w:rPr>
          <w:noProof/>
        </w:rPr>
        <w:fldChar w:fldCharType="end"/>
      </w:r>
      <w:bookmarkEnd w:id="232"/>
      <w:r>
        <w:tab/>
        <w:t>Powerlink's</w:t>
      </w:r>
      <w:r w:rsidRPr="0093161B">
        <w:t xml:space="preserve"> asset failures by asset type</w:t>
      </w:r>
    </w:p>
    <w:p w:rsidR="008C7B59" w:rsidRPr="00E97021" w:rsidRDefault="008C7B59" w:rsidP="008C7B59">
      <w:r w:rsidRPr="008C7B59">
        <w:rPr>
          <w:noProof/>
          <w:lang w:eastAsia="en-AU"/>
        </w:rPr>
        <w:drawing>
          <wp:inline distT="0" distB="0" distL="0" distR="0" wp14:anchorId="21B1A859" wp14:editId="37941A20">
            <wp:extent cx="5177291" cy="2735249"/>
            <wp:effectExtent l="0" t="0" r="44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7158" cy="2735179"/>
                    </a:xfrm>
                    <a:prstGeom prst="rect">
                      <a:avLst/>
                    </a:prstGeom>
                    <a:noFill/>
                    <a:ln>
                      <a:noFill/>
                    </a:ln>
                  </pic:spPr>
                </pic:pic>
              </a:graphicData>
            </a:graphic>
          </wp:inline>
        </w:drawing>
      </w:r>
    </w:p>
    <w:p w:rsidR="008C7B59" w:rsidRDefault="008C7B59" w:rsidP="008C7B59">
      <w:pPr>
        <w:pStyle w:val="AERtablesource"/>
      </w:pPr>
      <w:r w:rsidRPr="0093161B">
        <w:t>Source:</w:t>
      </w:r>
      <w:r w:rsidRPr="0093161B">
        <w:tab/>
      </w:r>
      <w:r>
        <w:t>Powerlink,</w:t>
      </w:r>
      <w:hyperlink r:id="rId26" w:history="1">
        <w:r w:rsidRPr="009A7A29">
          <w:t xml:space="preserve"> </w:t>
        </w:r>
        <w:r w:rsidRPr="009A7A29">
          <w:rPr>
            <w:rStyle w:val="AERtextitalic"/>
          </w:rPr>
          <w:t>2</w:t>
        </w:r>
        <w:r>
          <w:rPr>
            <w:rStyle w:val="AERtextitalic"/>
          </w:rPr>
          <w:t>006</w:t>
        </w:r>
        <w:r w:rsidR="00CB260C">
          <w:rPr>
            <w:rStyle w:val="AERtextitalic"/>
          </w:rPr>
          <w:t>–</w:t>
        </w:r>
        <w:r>
          <w:rPr>
            <w:rStyle w:val="AERtextitalic"/>
          </w:rPr>
          <w:t>13, 2013</w:t>
        </w:r>
        <w:r w:rsidR="00CB260C">
          <w:rPr>
            <w:rStyle w:val="AERtextitalic"/>
          </w:rPr>
          <w:t>–</w:t>
        </w:r>
        <w:r>
          <w:rPr>
            <w:rStyle w:val="AERtextitalic"/>
          </w:rPr>
          <w:t>14 and 2014</w:t>
        </w:r>
        <w:r w:rsidR="00CB260C">
          <w:rPr>
            <w:rStyle w:val="AERtextitalic"/>
          </w:rPr>
          <w:t>–</w:t>
        </w:r>
        <w:r>
          <w:rPr>
            <w:rStyle w:val="AERtextitalic"/>
          </w:rPr>
          <w:t>15 - Economic Benchmarking RIN -</w:t>
        </w:r>
        <w:r w:rsidRPr="009A7A29">
          <w:rPr>
            <w:rStyle w:val="AERtextitalic"/>
          </w:rPr>
          <w:t xml:space="preserve"> Templates</w:t>
        </w:r>
      </w:hyperlink>
      <w:r w:rsidRPr="009A7A29">
        <w:t>.</w:t>
      </w:r>
    </w:p>
    <w:p w:rsidR="008C7B59" w:rsidRPr="0013399B" w:rsidRDefault="008C7B59" w:rsidP="008C7B59">
      <w:r w:rsidRPr="0013399B">
        <w:t>In summary, a review of past</w:t>
      </w:r>
      <w:r>
        <w:t xml:space="preserve"> asset failure </w:t>
      </w:r>
      <w:r w:rsidRPr="0013399B">
        <w:t>performance indicates that:</w:t>
      </w:r>
    </w:p>
    <w:p w:rsidR="008C7B59" w:rsidRPr="0013399B" w:rsidRDefault="008C7B59" w:rsidP="008C7B59">
      <w:pPr>
        <w:pStyle w:val="AERbulletlistfirststyle"/>
      </w:pPr>
      <w:r w:rsidRPr="0013399B">
        <w:lastRenderedPageBreak/>
        <w:t>asset failures by major asset group have been relatively steady over time with transmission towers</w:t>
      </w:r>
      <w:r>
        <w:t>,</w:t>
      </w:r>
      <w:r w:rsidRPr="0013399B">
        <w:t xml:space="preserve"> support structures </w:t>
      </w:r>
      <w:r>
        <w:t xml:space="preserve">and cables </w:t>
      </w:r>
      <w:r w:rsidRPr="0013399B">
        <w:t>experiencing the lowest failures</w:t>
      </w:r>
      <w:r w:rsidR="00F25139">
        <w:t>;</w:t>
      </w:r>
    </w:p>
    <w:p w:rsidR="008C7B59" w:rsidRPr="0013399B" w:rsidRDefault="008C7B59" w:rsidP="008C7B59">
      <w:pPr>
        <w:pStyle w:val="AERbulletlistfirststyle"/>
      </w:pPr>
      <w:r>
        <w:t xml:space="preserve">for non-transmission assets, </w:t>
      </w:r>
      <w:r w:rsidRPr="0013399B">
        <w:t>the spread of failure rates between asset groups has reduced and are at their lowest levels over the period based on significant declines in 2014</w:t>
      </w:r>
      <w:r w:rsidR="00CB260C">
        <w:t>–</w:t>
      </w:r>
      <w:r w:rsidRPr="0013399B">
        <w:t>15</w:t>
      </w:r>
      <w:r>
        <w:t>; and</w:t>
      </w:r>
    </w:p>
    <w:p w:rsidR="008C7B59" w:rsidRPr="0013399B" w:rsidRDefault="008C7B59" w:rsidP="008C7B59">
      <w:pPr>
        <w:pStyle w:val="AERbulletlistfirststyle"/>
      </w:pPr>
      <w:proofErr w:type="gramStart"/>
      <w:r w:rsidRPr="0013399B">
        <w:t>substation</w:t>
      </w:r>
      <w:proofErr w:type="gramEnd"/>
      <w:r w:rsidRPr="0013399B">
        <w:t xml:space="preserve"> switch-bays exhibit the highest asset failures but ha</w:t>
      </w:r>
      <w:r>
        <w:t>ve</w:t>
      </w:r>
      <w:r w:rsidRPr="0013399B">
        <w:t xml:space="preserve"> experienced the largest decline in 2014</w:t>
      </w:r>
      <w:r w:rsidR="00CB260C">
        <w:t>–</w:t>
      </w:r>
      <w:r w:rsidRPr="0013399B">
        <w:t>15.</w:t>
      </w:r>
    </w:p>
    <w:p w:rsidR="008C7B59" w:rsidRDefault="008C7B59" w:rsidP="008C7B59">
      <w:r w:rsidRPr="0013399B">
        <w:t xml:space="preserve">These historical trends </w:t>
      </w:r>
      <w:r>
        <w:t xml:space="preserve">of asset failure performance </w:t>
      </w:r>
      <w:r w:rsidRPr="0013399B">
        <w:t xml:space="preserve">suggest that past expenditure has been sufficient to maintain the quality, reliability and security of supply of prescribed transmission services.  </w:t>
      </w:r>
    </w:p>
    <w:p w:rsidR="008C7B59" w:rsidRDefault="008C7B59" w:rsidP="008C7B59">
      <w:r>
        <w:t>Another asset health indicator we have considered is Pow</w:t>
      </w:r>
      <w:r w:rsidR="00B8359B">
        <w:t>erlink's asset outage rates</w:t>
      </w:r>
      <w:r>
        <w:t xml:space="preserve">. </w:t>
      </w:r>
      <w:r w:rsidRPr="008C7B59">
        <w:fldChar w:fldCharType="begin"/>
      </w:r>
      <w:r>
        <w:instrText xml:space="preserve"> REF _Ref458507093 </w:instrText>
      </w:r>
      <w:r w:rsidRPr="008C7B59">
        <w:fldChar w:fldCharType="separate"/>
      </w:r>
      <w:r w:rsidR="005252EC">
        <w:t xml:space="preserve">Figure </w:t>
      </w:r>
      <w:r w:rsidR="005252EC">
        <w:rPr>
          <w:noProof/>
        </w:rPr>
        <w:t>6</w:t>
      </w:r>
      <w:r w:rsidR="005252EC">
        <w:t>.</w:t>
      </w:r>
      <w:r w:rsidR="005252EC">
        <w:rPr>
          <w:noProof/>
        </w:rPr>
        <w:t>12</w:t>
      </w:r>
      <w:r w:rsidRPr="008C7B59">
        <w:fldChar w:fldCharType="end"/>
      </w:r>
      <w:r>
        <w:t xml:space="preserve"> shows </w:t>
      </w:r>
      <w:r w:rsidRPr="0093161B">
        <w:t xml:space="preserve">our analysis of </w:t>
      </w:r>
      <w:r>
        <w:t>Powerlink's</w:t>
      </w:r>
      <w:r w:rsidRPr="0093161B">
        <w:t xml:space="preserve"> asset </w:t>
      </w:r>
      <w:r>
        <w:t>outage</w:t>
      </w:r>
      <w:r w:rsidRPr="0093161B">
        <w:t xml:space="preserve"> performance.</w:t>
      </w:r>
    </w:p>
    <w:p w:rsidR="008C7B59" w:rsidRDefault="008C7B59" w:rsidP="008C7B59">
      <w:pPr>
        <w:pStyle w:val="Caption"/>
      </w:pPr>
      <w:bookmarkStart w:id="233" w:name="_Ref458507093"/>
      <w:proofErr w:type="gramStart"/>
      <w:r>
        <w:t xml:space="preserve">Figure </w:t>
      </w:r>
      <w:fldSimple w:instr=" STYLEREF 1 \s ">
        <w:r w:rsidR="005252EC">
          <w:rPr>
            <w:noProof/>
          </w:rPr>
          <w:t>6</w:t>
        </w:r>
      </w:fldSimple>
      <w:r w:rsidR="00D504BF">
        <w:t>.</w:t>
      </w:r>
      <w:proofErr w:type="gramEnd"/>
      <w:r w:rsidR="005252EC">
        <w:fldChar w:fldCharType="begin"/>
      </w:r>
      <w:r w:rsidR="005252EC">
        <w:instrText xml:space="preserve"> SEQ Figure \* ARABIC \s 1 </w:instrText>
      </w:r>
      <w:r w:rsidR="005252EC">
        <w:fldChar w:fldCharType="separate"/>
      </w:r>
      <w:r w:rsidR="005252EC">
        <w:rPr>
          <w:noProof/>
        </w:rPr>
        <w:t>12</w:t>
      </w:r>
      <w:r w:rsidR="005252EC">
        <w:rPr>
          <w:noProof/>
        </w:rPr>
        <w:fldChar w:fldCharType="end"/>
      </w:r>
      <w:bookmarkEnd w:id="233"/>
      <w:r>
        <w:tab/>
        <w:t>Powerlink's</w:t>
      </w:r>
      <w:r w:rsidRPr="0093161B">
        <w:t xml:space="preserve"> asset </w:t>
      </w:r>
      <w:r>
        <w:t>outage</w:t>
      </w:r>
      <w:r w:rsidRPr="0093161B">
        <w:t xml:space="preserve"> by asset type</w:t>
      </w:r>
    </w:p>
    <w:p w:rsidR="008C7B59" w:rsidRDefault="008C7B59" w:rsidP="008C7B59">
      <w:r w:rsidRPr="008C7B59">
        <w:rPr>
          <w:noProof/>
          <w:lang w:eastAsia="en-AU"/>
        </w:rPr>
        <w:drawing>
          <wp:inline distT="0" distB="0" distL="0" distR="0" wp14:anchorId="47BB1584" wp14:editId="6F354543">
            <wp:extent cx="5184250" cy="32241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84591" cy="3224391"/>
                    </a:xfrm>
                    <a:prstGeom prst="rect">
                      <a:avLst/>
                    </a:prstGeom>
                    <a:noFill/>
                    <a:ln>
                      <a:noFill/>
                    </a:ln>
                  </pic:spPr>
                </pic:pic>
              </a:graphicData>
            </a:graphic>
          </wp:inline>
        </w:drawing>
      </w:r>
    </w:p>
    <w:p w:rsidR="008C7B59" w:rsidRDefault="008C7B59" w:rsidP="008C7B59">
      <w:pPr>
        <w:pStyle w:val="AERtablesource"/>
      </w:pPr>
      <w:r w:rsidRPr="0093161B">
        <w:t>Source:</w:t>
      </w:r>
      <w:r w:rsidRPr="0093161B">
        <w:tab/>
      </w:r>
      <w:r>
        <w:t>Powerlink,</w:t>
      </w:r>
      <w:hyperlink r:id="rId28" w:history="1">
        <w:r w:rsidRPr="009A7A29">
          <w:t xml:space="preserve"> </w:t>
        </w:r>
        <w:r w:rsidRPr="009A7A29">
          <w:rPr>
            <w:rStyle w:val="AERtextitalic"/>
          </w:rPr>
          <w:t>2</w:t>
        </w:r>
        <w:r>
          <w:rPr>
            <w:rStyle w:val="AERtextitalic"/>
          </w:rPr>
          <w:t>008</w:t>
        </w:r>
        <w:r w:rsidR="00CB260C">
          <w:rPr>
            <w:rStyle w:val="AERtextitalic"/>
          </w:rPr>
          <w:t>–</w:t>
        </w:r>
        <w:r>
          <w:rPr>
            <w:rStyle w:val="AERtextitalic"/>
          </w:rPr>
          <w:t>13, 2013</w:t>
        </w:r>
        <w:r w:rsidR="00CB260C">
          <w:rPr>
            <w:rStyle w:val="AERtextitalic"/>
          </w:rPr>
          <w:t>–</w:t>
        </w:r>
        <w:r>
          <w:rPr>
            <w:rStyle w:val="AERtextitalic"/>
          </w:rPr>
          <w:t>14 and 2014</w:t>
        </w:r>
        <w:r w:rsidR="00CB260C">
          <w:rPr>
            <w:rStyle w:val="AERtextitalic"/>
          </w:rPr>
          <w:t>–</w:t>
        </w:r>
        <w:r>
          <w:rPr>
            <w:rStyle w:val="AERtextitalic"/>
          </w:rPr>
          <w:t>15 - Category Analysis RIN</w:t>
        </w:r>
        <w:r w:rsidRPr="009A7A29">
          <w:rPr>
            <w:rStyle w:val="AERtextitalic"/>
          </w:rPr>
          <w:t xml:space="preserve"> - Templates</w:t>
        </w:r>
      </w:hyperlink>
      <w:r w:rsidRPr="009A7A29">
        <w:t>.</w:t>
      </w:r>
    </w:p>
    <w:p w:rsidR="008C7B59" w:rsidRPr="0013399B" w:rsidRDefault="008C7B59" w:rsidP="008C7B59">
      <w:r>
        <w:t>Our</w:t>
      </w:r>
      <w:r w:rsidRPr="0013399B">
        <w:t xml:space="preserve"> review of past</w:t>
      </w:r>
      <w:r>
        <w:t xml:space="preserve"> asset outage </w:t>
      </w:r>
      <w:r w:rsidRPr="0013399B">
        <w:t>performance indicates that:</w:t>
      </w:r>
    </w:p>
    <w:p w:rsidR="008C7B59" w:rsidRPr="0013399B" w:rsidRDefault="008C7B59" w:rsidP="008C7B59">
      <w:pPr>
        <w:pStyle w:val="AERbulletlistfirststyle"/>
      </w:pPr>
      <w:r w:rsidRPr="0013399B">
        <w:t xml:space="preserve">asset </w:t>
      </w:r>
      <w:r>
        <w:t>outages</w:t>
      </w:r>
      <w:r w:rsidRPr="0013399B">
        <w:t xml:space="preserve"> by major asset group have been re</w:t>
      </w:r>
      <w:r>
        <w:t>asonably</w:t>
      </w:r>
      <w:r w:rsidRPr="0013399B">
        <w:t xml:space="preserve"> steady over time with </w:t>
      </w:r>
      <w:r>
        <w:t xml:space="preserve">reactive plant and lines </w:t>
      </w:r>
      <w:r w:rsidRPr="0013399B">
        <w:t xml:space="preserve">experiencing the </w:t>
      </w:r>
      <w:r>
        <w:t>highest outages; and</w:t>
      </w:r>
    </w:p>
    <w:p w:rsidR="008C7B59" w:rsidRPr="0013399B" w:rsidRDefault="008C7B59" w:rsidP="008C7B59">
      <w:pPr>
        <w:pStyle w:val="AERbulletlistfirststyle"/>
      </w:pPr>
      <w:proofErr w:type="gramStart"/>
      <w:r w:rsidRPr="0013399B">
        <w:t>the</w:t>
      </w:r>
      <w:proofErr w:type="gramEnd"/>
      <w:r w:rsidRPr="0013399B">
        <w:t xml:space="preserve"> </w:t>
      </w:r>
      <w:r>
        <w:t>dispersion</w:t>
      </w:r>
      <w:r w:rsidRPr="0013399B">
        <w:t xml:space="preserve"> of </w:t>
      </w:r>
      <w:r>
        <w:t>outages</w:t>
      </w:r>
      <w:r w:rsidRPr="0013399B">
        <w:t xml:space="preserve"> between asset groups has reduced</w:t>
      </w:r>
      <w:r>
        <w:t>.</w:t>
      </w:r>
    </w:p>
    <w:p w:rsidR="008C7B59" w:rsidRPr="002710E8" w:rsidRDefault="008C7B59" w:rsidP="008C7B59">
      <w:r>
        <w:t>Similar to asset failure rate analysis,</w:t>
      </w:r>
      <w:r w:rsidRPr="0013399B">
        <w:t xml:space="preserve"> historical </w:t>
      </w:r>
      <w:r>
        <w:t xml:space="preserve">asset outage </w:t>
      </w:r>
      <w:r w:rsidRPr="0013399B">
        <w:t>trends suggest that past expenditure has been sufficient to maintain the quality, reliability and security of supply of pre</w:t>
      </w:r>
      <w:r>
        <w:t xml:space="preserve">scribed transmission services. The overall performance and health of Powerlink's </w:t>
      </w:r>
      <w:r>
        <w:lastRenderedPageBreak/>
        <w:t xml:space="preserve">network is reinforced by our analysis of Powerlink's reliability performance shown in </w:t>
      </w:r>
      <w:fldSimple w:instr=" REF _Ref461186603 ">
        <w:r w:rsidR="005252EC">
          <w:t xml:space="preserve">Figure </w:t>
        </w:r>
        <w:r w:rsidR="005252EC">
          <w:rPr>
            <w:noProof/>
          </w:rPr>
          <w:t>6</w:t>
        </w:r>
        <w:r w:rsidR="005252EC">
          <w:t>.</w:t>
        </w:r>
        <w:r w:rsidR="005252EC">
          <w:rPr>
            <w:noProof/>
          </w:rPr>
          <w:t>8</w:t>
        </w:r>
      </w:fldSimple>
      <w:r w:rsidR="00ED00C0">
        <w:t xml:space="preserve"> above. </w:t>
      </w:r>
      <w:fldSimple w:instr=" REF _Ref461186603 ">
        <w:r w:rsidR="005252EC">
          <w:t xml:space="preserve">Figure </w:t>
        </w:r>
        <w:r w:rsidR="005252EC">
          <w:rPr>
            <w:noProof/>
          </w:rPr>
          <w:t>6</w:t>
        </w:r>
        <w:r w:rsidR="005252EC">
          <w:t>.</w:t>
        </w:r>
        <w:r w:rsidR="005252EC">
          <w:rPr>
            <w:noProof/>
          </w:rPr>
          <w:t>8</w:t>
        </w:r>
      </w:fldSimple>
      <w:r w:rsidR="00F758A5">
        <w:t xml:space="preserve"> </w:t>
      </w:r>
      <w:r w:rsidRPr="002710E8">
        <w:t>show</w:t>
      </w:r>
      <w:r w:rsidR="00ED00C0">
        <w:t>s</w:t>
      </w:r>
      <w:r w:rsidRPr="002710E8">
        <w:t xml:space="preserve"> that </w:t>
      </w:r>
      <w:r>
        <w:t>Powerlink's</w:t>
      </w:r>
      <w:r w:rsidRPr="002710E8">
        <w:t xml:space="preserve"> transmission system reliability has </w:t>
      </w:r>
      <w:r w:rsidR="008068CA">
        <w:t>improved</w:t>
      </w:r>
      <w:r w:rsidRPr="002710E8">
        <w:t xml:space="preserve"> during the 2006</w:t>
      </w:r>
      <w:r w:rsidR="00CB260C">
        <w:t>–</w:t>
      </w:r>
      <w:r w:rsidRPr="002710E8">
        <w:t xml:space="preserve">15 period. This result, together with our analysis of </w:t>
      </w:r>
      <w:r>
        <w:t>Powerlink's</w:t>
      </w:r>
      <w:r w:rsidRPr="002710E8">
        <w:t xml:space="preserve"> recent asset failure and outage performance, suggests that </w:t>
      </w:r>
      <w:r>
        <w:t>Powerlink's</w:t>
      </w:r>
      <w:r w:rsidRPr="002710E8">
        <w:t xml:space="preserve"> recent past expenditure has been sufficient to maintain the quality, reliability and security of supply of its prescribed transmission services.</w:t>
      </w:r>
    </w:p>
    <w:p w:rsidR="008C7B59" w:rsidRPr="008C7B59" w:rsidRDefault="008C7B59" w:rsidP="008C7B59">
      <w:pPr>
        <w:pStyle w:val="Heading8"/>
      </w:pPr>
      <w:bookmarkStart w:id="234" w:name="_Toc460321527"/>
      <w:bookmarkStart w:id="235" w:name="_Toc462752308"/>
      <w:r>
        <w:t>Forecast non-network capex</w:t>
      </w:r>
      <w:bookmarkEnd w:id="234"/>
      <w:bookmarkEnd w:id="235"/>
    </w:p>
    <w:p w:rsidR="008C7B59" w:rsidRDefault="008C7B59" w:rsidP="008C7B59">
      <w:r w:rsidRPr="00661610">
        <w:t xml:space="preserve">The non-network capex category for </w:t>
      </w:r>
      <w:r>
        <w:t>Powerlink</w:t>
      </w:r>
      <w:r w:rsidRPr="00661610">
        <w:t xml:space="preserve"> includes expenditure on information and communications technology (ICT), buildings and property, motor vehicles, and tools and equipment.</w:t>
      </w:r>
    </w:p>
    <w:p w:rsidR="008C7B59" w:rsidRPr="008C7B59" w:rsidRDefault="008C7B59" w:rsidP="008C7B59">
      <w:pPr>
        <w:pStyle w:val="Heading9"/>
      </w:pPr>
      <w:bookmarkStart w:id="236" w:name="_Toc460239254"/>
      <w:bookmarkStart w:id="237" w:name="_Toc460239322"/>
      <w:bookmarkStart w:id="238" w:name="_Toc460239575"/>
      <w:bookmarkStart w:id="239" w:name="_Toc460321528"/>
      <w:bookmarkStart w:id="240" w:name="_Toc460582388"/>
      <w:bookmarkStart w:id="241" w:name="_Toc462062168"/>
      <w:bookmarkStart w:id="242" w:name="_Toc462752309"/>
      <w:r>
        <w:t>Position</w:t>
      </w:r>
      <w:bookmarkEnd w:id="236"/>
      <w:bookmarkEnd w:id="237"/>
      <w:bookmarkEnd w:id="238"/>
      <w:bookmarkEnd w:id="239"/>
      <w:bookmarkEnd w:id="240"/>
      <w:bookmarkEnd w:id="241"/>
      <w:bookmarkEnd w:id="242"/>
    </w:p>
    <w:p w:rsidR="008C7B59" w:rsidRPr="00661610" w:rsidRDefault="008C7B59" w:rsidP="008C7B59">
      <w:r w:rsidRPr="00661610">
        <w:t>As part of our estimate of the tota</w:t>
      </w:r>
      <w:r>
        <w:t>l capex required for the 2017–22</w:t>
      </w:r>
      <w:r w:rsidRPr="00661610">
        <w:t xml:space="preserve"> regulatory control period, we accept that </w:t>
      </w:r>
      <w:r>
        <w:t>Powerlink's</w:t>
      </w:r>
      <w:r w:rsidRPr="00661610">
        <w:t xml:space="preserve"> forec</w:t>
      </w:r>
      <w:r>
        <w:t>ast for non-network capex of $96.8</w:t>
      </w:r>
      <w:r w:rsidRPr="00661610">
        <w:t xml:space="preserve"> million ($20</w:t>
      </w:r>
      <w:r>
        <w:t>16–</w:t>
      </w:r>
      <w:r w:rsidRPr="00661610">
        <w:t>17</w:t>
      </w:r>
      <w:r w:rsidR="00B8359B">
        <w:t>, excluding overheads</w:t>
      </w:r>
      <w:r w:rsidRPr="00661610">
        <w:t>) is a reasonable estimate of the efficient costs that a prudent operator would require for this capex category.  We have included it in our estimat</w:t>
      </w:r>
      <w:r>
        <w:t>e of total capex for the 2017–22</w:t>
      </w:r>
      <w:r w:rsidRPr="00661610">
        <w:t xml:space="preserve"> regulatory control </w:t>
      </w:r>
      <w:proofErr w:type="gramStart"/>
      <w:r w:rsidRPr="00661610">
        <w:t>period</w:t>
      </w:r>
      <w:proofErr w:type="gramEnd"/>
      <w:r w:rsidRPr="00661610">
        <w:t>.</w:t>
      </w:r>
    </w:p>
    <w:p w:rsidR="008C7B59" w:rsidRPr="005C117A" w:rsidRDefault="008C7B59" w:rsidP="008C7B59">
      <w:r>
        <w:t xml:space="preserve">Powerlink proposed $96.8 million ($2016–17) for non-network capex in the 2017–22 regulatory control </w:t>
      </w:r>
      <w:proofErr w:type="gramStart"/>
      <w:r>
        <w:t>period</w:t>
      </w:r>
      <w:proofErr w:type="gramEnd"/>
      <w:r>
        <w:t>, compared to $103.8 million in the previous five year period.</w:t>
      </w:r>
      <w:r>
        <w:rPr>
          <w:rStyle w:val="FootnoteReference"/>
        </w:rPr>
        <w:footnoteReference w:id="149"/>
      </w:r>
      <w:r>
        <w:t xml:space="preserve"> The majority of the forecast non-network capex ($56.1 million or 58 per cent) is ICT capex.</w:t>
      </w:r>
    </w:p>
    <w:p w:rsidR="008C7B59" w:rsidRDefault="008C7B59" w:rsidP="008C7B59">
      <w:r w:rsidRPr="008C7B59">
        <w:fldChar w:fldCharType="begin"/>
      </w:r>
      <w:r>
        <w:instrText xml:space="preserve"> REF _Ref458433640 </w:instrText>
      </w:r>
      <w:r w:rsidRPr="008C7B59">
        <w:fldChar w:fldCharType="separate"/>
      </w:r>
      <w:r w:rsidR="005252EC">
        <w:t xml:space="preserve">Figure </w:t>
      </w:r>
      <w:r w:rsidR="005252EC">
        <w:rPr>
          <w:noProof/>
        </w:rPr>
        <w:t>6</w:t>
      </w:r>
      <w:r w:rsidR="005252EC">
        <w:t>.</w:t>
      </w:r>
      <w:r w:rsidR="005252EC">
        <w:rPr>
          <w:noProof/>
        </w:rPr>
        <w:t>13</w:t>
      </w:r>
      <w:r w:rsidRPr="008C7B59">
        <w:fldChar w:fldCharType="end"/>
      </w:r>
      <w:r w:rsidRPr="00661610">
        <w:t xml:space="preserve"> shows </w:t>
      </w:r>
      <w:r>
        <w:t>Powerlink's</w:t>
      </w:r>
      <w:r w:rsidRPr="00661610">
        <w:t xml:space="preserve"> actual and expected non-networ</w:t>
      </w:r>
      <w:r>
        <w:t>k capex for the period from 2002 to 2017</w:t>
      </w:r>
      <w:r w:rsidRPr="00661610">
        <w:t>, an</w:t>
      </w:r>
      <w:r>
        <w:t>d forecast capex for the 2017–22</w:t>
      </w:r>
      <w:r w:rsidRPr="00661610">
        <w:t xml:space="preserve"> regulatory control period.</w:t>
      </w:r>
    </w:p>
    <w:p w:rsidR="008C7B59" w:rsidRDefault="008C7B59" w:rsidP="008C7B59">
      <w:pPr>
        <w:pStyle w:val="Caption"/>
      </w:pPr>
      <w:bookmarkStart w:id="243" w:name="_Ref458433640"/>
      <w:proofErr w:type="gramStart"/>
      <w:r>
        <w:lastRenderedPageBreak/>
        <w:t xml:space="preserve">Figure </w:t>
      </w:r>
      <w:fldSimple w:instr=" STYLEREF 1 \s ">
        <w:r w:rsidR="005252EC">
          <w:rPr>
            <w:noProof/>
          </w:rPr>
          <w:t>6</w:t>
        </w:r>
      </w:fldSimple>
      <w:r w:rsidR="00D504BF">
        <w:t>.</w:t>
      </w:r>
      <w:proofErr w:type="gramEnd"/>
      <w:r w:rsidR="005252EC">
        <w:fldChar w:fldCharType="begin"/>
      </w:r>
      <w:r w:rsidR="005252EC">
        <w:instrText xml:space="preserve"> SEQ Figure \* ARABIC \s 1 </w:instrText>
      </w:r>
      <w:r w:rsidR="005252EC">
        <w:fldChar w:fldCharType="separate"/>
      </w:r>
      <w:r w:rsidR="005252EC">
        <w:rPr>
          <w:noProof/>
        </w:rPr>
        <w:t>13</w:t>
      </w:r>
      <w:r w:rsidR="005252EC">
        <w:rPr>
          <w:noProof/>
        </w:rPr>
        <w:fldChar w:fldCharType="end"/>
      </w:r>
      <w:bookmarkEnd w:id="243"/>
      <w:r>
        <w:tab/>
        <w:t>Powerlink's</w:t>
      </w:r>
      <w:r w:rsidRPr="0054358E">
        <w:t xml:space="preserve"> non-network cap</w:t>
      </w:r>
      <w:r>
        <w:t>ex 2002 to 2022</w:t>
      </w:r>
      <w:r w:rsidRPr="0054358E">
        <w:t xml:space="preserve"> ($million, 20</w:t>
      </w:r>
      <w:r>
        <w:t>16</w:t>
      </w:r>
      <w:r w:rsidR="00CB260C">
        <w:t>–</w:t>
      </w:r>
      <w:r>
        <w:t>17</w:t>
      </w:r>
      <w:r w:rsidRPr="0054358E">
        <w:t>)</w:t>
      </w:r>
    </w:p>
    <w:p w:rsidR="008C7B59" w:rsidRDefault="008C7B59" w:rsidP="008C7B59">
      <w:r w:rsidRPr="008C7B59">
        <w:rPr>
          <w:noProof/>
          <w:lang w:eastAsia="en-AU"/>
        </w:rPr>
        <w:drawing>
          <wp:inline distT="0" distB="0" distL="0" distR="0" wp14:anchorId="1C905821" wp14:editId="6891B07E">
            <wp:extent cx="5167424" cy="289205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76166" cy="2896949"/>
                    </a:xfrm>
                    <a:prstGeom prst="rect">
                      <a:avLst/>
                    </a:prstGeom>
                    <a:noFill/>
                    <a:ln>
                      <a:noFill/>
                    </a:ln>
                  </pic:spPr>
                </pic:pic>
              </a:graphicData>
            </a:graphic>
          </wp:inline>
        </w:drawing>
      </w:r>
    </w:p>
    <w:p w:rsidR="008C7B59" w:rsidRDefault="008C7B59" w:rsidP="008C7B59">
      <w:pPr>
        <w:pStyle w:val="AERtablesource"/>
      </w:pPr>
      <w:r w:rsidRPr="0054358E">
        <w:t>Source:</w:t>
      </w:r>
      <w:r w:rsidRPr="0054358E">
        <w:tab/>
      </w:r>
      <w:r>
        <w:t>Powerlink</w:t>
      </w:r>
      <w:r w:rsidRPr="0054358E">
        <w:t xml:space="preserve">, </w:t>
      </w:r>
      <w:r w:rsidRPr="0054358E">
        <w:rPr>
          <w:rStyle w:val="AERtextitalic"/>
        </w:rPr>
        <w:t>Regulatory information notice</w:t>
      </w:r>
      <w:r w:rsidRPr="0054358E">
        <w:t xml:space="preserve">, template 2.6; </w:t>
      </w:r>
      <w:r>
        <w:t>Powerlink</w:t>
      </w:r>
      <w:r w:rsidRPr="0054358E">
        <w:t xml:space="preserve">, </w:t>
      </w:r>
      <w:r w:rsidRPr="0054358E">
        <w:rPr>
          <w:rStyle w:val="AERtextitalic"/>
        </w:rPr>
        <w:t>Category Analysis RIN 2014</w:t>
      </w:r>
      <w:r w:rsidR="00CB260C">
        <w:rPr>
          <w:rStyle w:val="AERtextitalic"/>
        </w:rPr>
        <w:t>–</w:t>
      </w:r>
      <w:r w:rsidRPr="0054358E">
        <w:rPr>
          <w:rStyle w:val="AERtextitalic"/>
        </w:rPr>
        <w:t>15</w:t>
      </w:r>
      <w:r w:rsidRPr="0054358E">
        <w:t xml:space="preserve">, template 2.6; </w:t>
      </w:r>
      <w:r>
        <w:t>Powerlink</w:t>
      </w:r>
      <w:r w:rsidRPr="0054358E">
        <w:t xml:space="preserve">, </w:t>
      </w:r>
      <w:r w:rsidRPr="0054358E">
        <w:rPr>
          <w:rStyle w:val="AERtextitalic"/>
        </w:rPr>
        <w:t>Category Analysis RIN 2013</w:t>
      </w:r>
      <w:r w:rsidR="00CB260C">
        <w:rPr>
          <w:rStyle w:val="AERtextitalic"/>
        </w:rPr>
        <w:t>–</w:t>
      </w:r>
      <w:r w:rsidRPr="0054358E">
        <w:rPr>
          <w:rStyle w:val="AERtextitalic"/>
        </w:rPr>
        <w:t>14</w:t>
      </w:r>
      <w:r>
        <w:t>, template 2.6; Powerlink</w:t>
      </w:r>
      <w:r w:rsidRPr="0054358E">
        <w:t xml:space="preserve">, </w:t>
      </w:r>
      <w:r w:rsidRPr="002649F0">
        <w:rPr>
          <w:rStyle w:val="AERtextitalic"/>
        </w:rPr>
        <w:t>Category Analysis RIN 2008</w:t>
      </w:r>
      <w:r w:rsidR="00CB260C">
        <w:rPr>
          <w:rStyle w:val="AERtextitalic"/>
        </w:rPr>
        <w:t>–</w:t>
      </w:r>
      <w:r w:rsidRPr="002649F0">
        <w:rPr>
          <w:rStyle w:val="AERtextitalic"/>
        </w:rPr>
        <w:t>2013</w:t>
      </w:r>
      <w:r>
        <w:t>, template 2.5; Powerlink</w:t>
      </w:r>
      <w:r w:rsidRPr="0054358E">
        <w:t xml:space="preserve">, </w:t>
      </w:r>
      <w:r w:rsidRPr="002649F0">
        <w:rPr>
          <w:rStyle w:val="AERtextitalic"/>
        </w:rPr>
        <w:t>2012</w:t>
      </w:r>
      <w:r w:rsidR="00CB260C">
        <w:rPr>
          <w:rStyle w:val="AERtextitalic"/>
        </w:rPr>
        <w:t>–</w:t>
      </w:r>
      <w:r w:rsidRPr="002649F0">
        <w:rPr>
          <w:rStyle w:val="AERtextitalic"/>
        </w:rPr>
        <w:t xml:space="preserve">2017 </w:t>
      </w:r>
      <w:r>
        <w:rPr>
          <w:rStyle w:val="AERtextitalic"/>
        </w:rPr>
        <w:t>regulatory proposal cost data</w:t>
      </w:r>
      <w:r w:rsidRPr="0054358E">
        <w:t xml:space="preserve">; </w:t>
      </w:r>
      <w:r>
        <w:t>Powerlink</w:t>
      </w:r>
      <w:r w:rsidRPr="0054358E">
        <w:t xml:space="preserve">, </w:t>
      </w:r>
      <w:r>
        <w:rPr>
          <w:rStyle w:val="AERtextitalic"/>
        </w:rPr>
        <w:t>2007</w:t>
      </w:r>
      <w:r w:rsidR="00CB260C">
        <w:rPr>
          <w:rStyle w:val="AERtextitalic"/>
        </w:rPr>
        <w:t>–</w:t>
      </w:r>
      <w:r>
        <w:rPr>
          <w:rStyle w:val="AERtextitalic"/>
        </w:rPr>
        <w:t>2012</w:t>
      </w:r>
      <w:r w:rsidRPr="002649F0">
        <w:rPr>
          <w:rStyle w:val="AERtextitalic"/>
        </w:rPr>
        <w:t xml:space="preserve"> </w:t>
      </w:r>
      <w:r>
        <w:rPr>
          <w:rStyle w:val="AERtextitalic"/>
        </w:rPr>
        <w:t>regulatory proposal cost information;</w:t>
      </w:r>
      <w:r w:rsidRPr="0054358E">
        <w:t xml:space="preserve"> AER analysis.</w:t>
      </w:r>
    </w:p>
    <w:p w:rsidR="008C7B59" w:rsidRPr="002649F0" w:rsidRDefault="008C7B59" w:rsidP="008C7B59">
      <w:r>
        <w:t>Powerlink's</w:t>
      </w:r>
      <w:r w:rsidRPr="002649F0">
        <w:t xml:space="preserve"> forecast n</w:t>
      </w:r>
      <w:r>
        <w:t>on-network capex for the 2017–22</w:t>
      </w:r>
      <w:r w:rsidRPr="002649F0">
        <w:t xml:space="preserve"> regulatory control p</w:t>
      </w:r>
      <w:r>
        <w:t>eriod is on average 7</w:t>
      </w:r>
      <w:r w:rsidRPr="002649F0">
        <w:t xml:space="preserve"> per cent lower than actual and expected annual capex in the 2012–17 regulatory control period.</w:t>
      </w:r>
    </w:p>
    <w:p w:rsidR="008C7B59" w:rsidRPr="002649F0" w:rsidRDefault="008C7B59" w:rsidP="008C7B59">
      <w:r w:rsidRPr="002649F0">
        <w:t xml:space="preserve">Our analysis of longer term trends in non-network capex suggests that </w:t>
      </w:r>
      <w:r>
        <w:t xml:space="preserve">Powerlink </w:t>
      </w:r>
      <w:r w:rsidRPr="002649F0">
        <w:t>has forecast capex for this category at historically low levels. N</w:t>
      </w:r>
      <w:r>
        <w:t>on-network capex for the 2017–22</w:t>
      </w:r>
      <w:r w:rsidRPr="002649F0">
        <w:t xml:space="preserve"> regulatory control </w:t>
      </w:r>
      <w:proofErr w:type="gramStart"/>
      <w:r w:rsidRPr="002649F0">
        <w:t>period</w:t>
      </w:r>
      <w:proofErr w:type="gramEnd"/>
      <w:r w:rsidRPr="002649F0">
        <w:t xml:space="preserve"> is forecast to be lower than the average expenditure in each of the preceding three regulatory control periods. </w:t>
      </w:r>
      <w:r>
        <w:t>Powerlink's</w:t>
      </w:r>
      <w:r w:rsidRPr="002649F0">
        <w:t xml:space="preserve"> forecast non-network capex continues the declining trend in expenditure in this category evident </w:t>
      </w:r>
      <w:r>
        <w:t>since the 2009</w:t>
      </w:r>
      <w:r w:rsidR="00CB260C">
        <w:t>–</w:t>
      </w:r>
      <w:r>
        <w:t>10 year</w:t>
      </w:r>
      <w:r w:rsidRPr="002649F0">
        <w:t xml:space="preserve">. In our view, this suggests that </w:t>
      </w:r>
      <w:r>
        <w:t xml:space="preserve">Powerlink's </w:t>
      </w:r>
      <w:r w:rsidRPr="002649F0">
        <w:t>forecast of non-network c</w:t>
      </w:r>
      <w:r>
        <w:t>apex requirements in the 2017–22</w:t>
      </w:r>
      <w:r w:rsidRPr="002649F0">
        <w:t xml:space="preserve"> regulatory control period is likely to be reasonable having regard to past expenditure.</w:t>
      </w:r>
      <w:r>
        <w:rPr>
          <w:rStyle w:val="FootnoteReference"/>
        </w:rPr>
        <w:footnoteReference w:id="150"/>
      </w:r>
      <w:r w:rsidRPr="002649F0">
        <w:t xml:space="preserve">   </w:t>
      </w:r>
    </w:p>
    <w:p w:rsidR="008C7B59" w:rsidRDefault="008C7B59" w:rsidP="008C7B59">
      <w:r w:rsidRPr="002649F0">
        <w:t>We have also assessed forecast expenditure in each category of non-network capex. Analysis at this level has been used to inform our view of whether forecast capex is reasonable relative to historical rates of expenditure in each category, and to identify trends in the different category forecasts which may warrant sp</w:t>
      </w:r>
      <w:r>
        <w:t xml:space="preserve">ecific investigation. </w:t>
      </w:r>
      <w:r w:rsidRPr="008C7B59">
        <w:fldChar w:fldCharType="begin"/>
      </w:r>
      <w:r>
        <w:instrText xml:space="preserve"> REF _Ref458433718 </w:instrText>
      </w:r>
      <w:r w:rsidRPr="008C7B59">
        <w:fldChar w:fldCharType="separate"/>
      </w:r>
      <w:r w:rsidR="005252EC">
        <w:t xml:space="preserve">Figure </w:t>
      </w:r>
      <w:r w:rsidR="005252EC">
        <w:rPr>
          <w:noProof/>
        </w:rPr>
        <w:t>6</w:t>
      </w:r>
      <w:r w:rsidR="005252EC">
        <w:t>.</w:t>
      </w:r>
      <w:r w:rsidR="005252EC">
        <w:rPr>
          <w:noProof/>
        </w:rPr>
        <w:t>14</w:t>
      </w:r>
      <w:r w:rsidRPr="008C7B59">
        <w:fldChar w:fldCharType="end"/>
      </w:r>
      <w:r>
        <w:t xml:space="preserve"> shows Powerlink's</w:t>
      </w:r>
      <w:r w:rsidRPr="002649F0">
        <w:t xml:space="preserve"> actual and forecast non-network capex by category for</w:t>
      </w:r>
      <w:r>
        <w:t xml:space="preserve"> the period from 2008</w:t>
      </w:r>
      <w:r w:rsidR="00CB260C">
        <w:t>–</w:t>
      </w:r>
      <w:r>
        <w:t>09 to 2021</w:t>
      </w:r>
      <w:r w:rsidR="00CB260C">
        <w:t>–</w:t>
      </w:r>
      <w:r>
        <w:t>22</w:t>
      </w:r>
      <w:r w:rsidRPr="002649F0">
        <w:t>.</w:t>
      </w:r>
    </w:p>
    <w:p w:rsidR="008C7B59" w:rsidRDefault="008C7B59" w:rsidP="008C7B59">
      <w:pPr>
        <w:pStyle w:val="Caption"/>
      </w:pPr>
      <w:bookmarkStart w:id="244" w:name="_Ref458433718"/>
      <w:proofErr w:type="gramStart"/>
      <w:r>
        <w:lastRenderedPageBreak/>
        <w:t xml:space="preserve">Figure </w:t>
      </w:r>
      <w:fldSimple w:instr=" STYLEREF 1 \s ">
        <w:r w:rsidR="005252EC">
          <w:rPr>
            <w:noProof/>
          </w:rPr>
          <w:t>6</w:t>
        </w:r>
      </w:fldSimple>
      <w:r w:rsidR="00D504BF">
        <w:t>.</w:t>
      </w:r>
      <w:proofErr w:type="gramEnd"/>
      <w:r w:rsidR="005252EC">
        <w:fldChar w:fldCharType="begin"/>
      </w:r>
      <w:r w:rsidR="005252EC">
        <w:instrText xml:space="preserve"> SEQ Figure \* ARABIC \s 1 </w:instrText>
      </w:r>
      <w:r w:rsidR="005252EC">
        <w:fldChar w:fldCharType="separate"/>
      </w:r>
      <w:r w:rsidR="005252EC">
        <w:rPr>
          <w:noProof/>
        </w:rPr>
        <w:t>14</w:t>
      </w:r>
      <w:r w:rsidR="005252EC">
        <w:rPr>
          <w:noProof/>
        </w:rPr>
        <w:fldChar w:fldCharType="end"/>
      </w:r>
      <w:bookmarkEnd w:id="244"/>
      <w:r>
        <w:tab/>
        <w:t>Powerlink's</w:t>
      </w:r>
      <w:r w:rsidRPr="0085460B">
        <w:t xml:space="preserve"> non-network capex by category ($million, 20</w:t>
      </w:r>
      <w:r>
        <w:t>16</w:t>
      </w:r>
      <w:r w:rsidR="00CB260C">
        <w:t>–</w:t>
      </w:r>
      <w:r w:rsidRPr="0085460B">
        <w:t>17)</w:t>
      </w:r>
    </w:p>
    <w:p w:rsidR="008C7B59" w:rsidRPr="0085460B" w:rsidRDefault="008C7B59" w:rsidP="008C7B59">
      <w:r w:rsidRPr="008C7B59">
        <w:rPr>
          <w:noProof/>
          <w:lang w:eastAsia="en-AU"/>
        </w:rPr>
        <w:drawing>
          <wp:inline distT="0" distB="0" distL="0" distR="0" wp14:anchorId="382CCF0E" wp14:editId="2A101A8A">
            <wp:extent cx="5144494" cy="2976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44362" cy="2976634"/>
                    </a:xfrm>
                    <a:prstGeom prst="rect">
                      <a:avLst/>
                    </a:prstGeom>
                    <a:noFill/>
                    <a:ln>
                      <a:noFill/>
                    </a:ln>
                  </pic:spPr>
                </pic:pic>
              </a:graphicData>
            </a:graphic>
          </wp:inline>
        </w:drawing>
      </w:r>
    </w:p>
    <w:p w:rsidR="008C7B59" w:rsidRDefault="008C7B59" w:rsidP="008C7B59">
      <w:pPr>
        <w:pStyle w:val="AERtablesource"/>
      </w:pPr>
      <w:r>
        <w:t>Source:</w:t>
      </w:r>
      <w:r>
        <w:tab/>
        <w:t>Powerlink</w:t>
      </w:r>
      <w:r w:rsidRPr="0054358E">
        <w:t xml:space="preserve">, </w:t>
      </w:r>
      <w:r w:rsidRPr="0054358E">
        <w:rPr>
          <w:rStyle w:val="AERtextitalic"/>
        </w:rPr>
        <w:t>Regulatory information notice</w:t>
      </w:r>
      <w:r w:rsidRPr="0054358E">
        <w:t xml:space="preserve">, template 2.6; </w:t>
      </w:r>
      <w:r>
        <w:t>Powerlink</w:t>
      </w:r>
      <w:r w:rsidRPr="0054358E">
        <w:t xml:space="preserve">, </w:t>
      </w:r>
      <w:r w:rsidRPr="0054358E">
        <w:rPr>
          <w:rStyle w:val="AERtextitalic"/>
        </w:rPr>
        <w:t>Category Analysis RIN 2014</w:t>
      </w:r>
      <w:r w:rsidR="00CB260C">
        <w:rPr>
          <w:rStyle w:val="AERtextitalic"/>
        </w:rPr>
        <w:t>–</w:t>
      </w:r>
      <w:r w:rsidRPr="0054358E">
        <w:rPr>
          <w:rStyle w:val="AERtextitalic"/>
        </w:rPr>
        <w:t>15</w:t>
      </w:r>
      <w:r w:rsidRPr="0054358E">
        <w:t xml:space="preserve">, template 2.6; </w:t>
      </w:r>
      <w:r>
        <w:t>Powerlink</w:t>
      </w:r>
      <w:r w:rsidRPr="0054358E">
        <w:t xml:space="preserve">, </w:t>
      </w:r>
      <w:r w:rsidRPr="0054358E">
        <w:rPr>
          <w:rStyle w:val="AERtextitalic"/>
        </w:rPr>
        <w:t>Category Analysis RIN 2013</w:t>
      </w:r>
      <w:r w:rsidR="00CB260C">
        <w:rPr>
          <w:rStyle w:val="AERtextitalic"/>
        </w:rPr>
        <w:t>–</w:t>
      </w:r>
      <w:r w:rsidRPr="0054358E">
        <w:rPr>
          <w:rStyle w:val="AERtextitalic"/>
        </w:rPr>
        <w:t>14</w:t>
      </w:r>
      <w:r>
        <w:t>, template 2.6; Powerlink</w:t>
      </w:r>
      <w:r w:rsidRPr="0054358E">
        <w:t xml:space="preserve">, </w:t>
      </w:r>
      <w:r w:rsidRPr="002649F0">
        <w:rPr>
          <w:rStyle w:val="AERtextitalic"/>
        </w:rPr>
        <w:t>Category Analysis RIN 2008</w:t>
      </w:r>
      <w:r w:rsidR="00CB260C">
        <w:rPr>
          <w:rStyle w:val="AERtextitalic"/>
        </w:rPr>
        <w:t>–</w:t>
      </w:r>
      <w:r w:rsidRPr="002649F0">
        <w:rPr>
          <w:rStyle w:val="AERtextitalic"/>
        </w:rPr>
        <w:t>2013</w:t>
      </w:r>
      <w:r>
        <w:t>, template 2.5; AER analysis.</w:t>
      </w:r>
    </w:p>
    <w:p w:rsidR="008C7B59" w:rsidRDefault="008C7B59" w:rsidP="008C7B59">
      <w:r>
        <w:t>Powerlink has forecast reductions in each category of non-network capex in the 2017</w:t>
      </w:r>
      <w:r>
        <w:softHyphen/>
        <w:t xml:space="preserve">–22 regulatory control period, ranging from a decline of 3 per cent for tools and equipment capex up to 16 per cent for motor vehicles capex. Forecast expenditure for each category </w:t>
      </w:r>
      <w:r w:rsidRPr="007F540B">
        <w:t xml:space="preserve">is </w:t>
      </w:r>
      <w:r>
        <w:t>relatively stable and at historically low levels in the 2017–22</w:t>
      </w:r>
      <w:r w:rsidRPr="007F540B">
        <w:t xml:space="preserve"> </w:t>
      </w:r>
      <w:r>
        <w:t>regulatory control period, with the exception of the buildings and property category which peaks in the 2019</w:t>
      </w:r>
      <w:r w:rsidR="00CB260C">
        <w:t>–</w:t>
      </w:r>
      <w:r>
        <w:t>20 and 2020</w:t>
      </w:r>
      <w:r w:rsidR="00CB260C">
        <w:t>–</w:t>
      </w:r>
      <w:r>
        <w:t xml:space="preserve">21 years. This profile of buildings and property capex explains the increase in total non-network capex for those years observed in </w:t>
      </w:r>
      <w:r w:rsidRPr="008C7B59">
        <w:fldChar w:fldCharType="begin"/>
      </w:r>
      <w:r>
        <w:instrText xml:space="preserve"> REF _Ref458433640 </w:instrText>
      </w:r>
      <w:r w:rsidRPr="008C7B59">
        <w:fldChar w:fldCharType="separate"/>
      </w:r>
      <w:r w:rsidR="005252EC">
        <w:t xml:space="preserve">Figure </w:t>
      </w:r>
      <w:r w:rsidR="005252EC">
        <w:rPr>
          <w:noProof/>
        </w:rPr>
        <w:t>6</w:t>
      </w:r>
      <w:r w:rsidR="005252EC">
        <w:t>.</w:t>
      </w:r>
      <w:r w:rsidR="005252EC">
        <w:rPr>
          <w:noProof/>
        </w:rPr>
        <w:t>13</w:t>
      </w:r>
      <w:r w:rsidRPr="008C7B59">
        <w:fldChar w:fldCharType="end"/>
      </w:r>
      <w:r>
        <w:t xml:space="preserve"> above.</w:t>
      </w:r>
    </w:p>
    <w:p w:rsidR="008C7B59" w:rsidRDefault="008C7B59" w:rsidP="008C7B59">
      <w:r>
        <w:t xml:space="preserve">Given the forecast decline in non-network capex in the 2017–22 regulatory control </w:t>
      </w:r>
      <w:proofErr w:type="gramStart"/>
      <w:r>
        <w:t>period</w:t>
      </w:r>
      <w:proofErr w:type="gramEnd"/>
      <w:r>
        <w:t>, we have considered</w:t>
      </w:r>
      <w:r w:rsidRPr="00AD6C9D">
        <w:t xml:space="preserve"> whether </w:t>
      </w:r>
      <w:r>
        <w:t>Powerlink's</w:t>
      </w:r>
      <w:r w:rsidRPr="00AD6C9D">
        <w:t xml:space="preserve"> forecast reduction in non-network capex reflects the substitution possibilities between opex and capex f</w:t>
      </w:r>
      <w:r>
        <w:t>or this category of expenditure.</w:t>
      </w:r>
      <w:r>
        <w:rPr>
          <w:rStyle w:val="FootnoteReference"/>
        </w:rPr>
        <w:footnoteReference w:id="151"/>
      </w:r>
      <w:r>
        <w:t xml:space="preserve"> For</w:t>
      </w:r>
      <w:r w:rsidRPr="00AD6C9D">
        <w:t xml:space="preserve"> example</w:t>
      </w:r>
      <w:r>
        <w:t>, to some extent it is possible to</w:t>
      </w:r>
      <w:r w:rsidRPr="00AD6C9D">
        <w:t xml:space="preserve"> </w:t>
      </w:r>
      <w:r>
        <w:t xml:space="preserve">substitute </w:t>
      </w:r>
      <w:r w:rsidRPr="00AD6C9D">
        <w:t xml:space="preserve">building or </w:t>
      </w:r>
      <w:r>
        <w:t xml:space="preserve">motor vehicle asset </w:t>
      </w:r>
      <w:r w:rsidRPr="00AD6C9D">
        <w:t>replacement</w:t>
      </w:r>
      <w:r>
        <w:t xml:space="preserve"> capex with increased opex for ongoing asset maintenance</w:t>
      </w:r>
      <w:r w:rsidRPr="00AD6C9D">
        <w:t>.</w:t>
      </w:r>
      <w:r>
        <w:t xml:space="preserve"> However, despite the forecast </w:t>
      </w:r>
      <w:r w:rsidRPr="00AD6C9D">
        <w:t>reductions</w:t>
      </w:r>
      <w:r>
        <w:t xml:space="preserve"> in non-network capex,</w:t>
      </w:r>
      <w:r w:rsidRPr="00AD6C9D">
        <w:t xml:space="preserve"> </w:t>
      </w:r>
      <w:r>
        <w:t>Powerlink's non-network opex</w:t>
      </w:r>
      <w:r w:rsidRPr="00AD6C9D">
        <w:t xml:space="preserve"> is also forecast to decreas</w:t>
      </w:r>
      <w:r>
        <w:t>e by approximately 6 per </w:t>
      </w:r>
      <w:r w:rsidRPr="00AD6C9D">
        <w:t>cent in</w:t>
      </w:r>
      <w:r>
        <w:t xml:space="preserve"> real terms compared to the 2012–17 regulatory control period. </w:t>
      </w:r>
      <w:r w:rsidRPr="00AD6C9D">
        <w:t xml:space="preserve">Taking this into account, we are satisfied that </w:t>
      </w:r>
      <w:r>
        <w:t>Powerlink's</w:t>
      </w:r>
      <w:r w:rsidRPr="00AD6C9D">
        <w:t xml:space="preserve"> forecast reduction in non-network capex does not simply reflect a reallocation of expenditure from capex to opex.</w:t>
      </w:r>
    </w:p>
    <w:p w:rsidR="008C7B59" w:rsidRDefault="008C7B59" w:rsidP="008C7B59">
      <w:r>
        <w:lastRenderedPageBreak/>
        <w:t>Our review of the different categories of non-network capex is set out in more detail below. In summary, w</w:t>
      </w:r>
      <w:r w:rsidRPr="00C27B9A">
        <w:t xml:space="preserve">e are satisfied that the reduction in forecast expenditure for </w:t>
      </w:r>
      <w:r>
        <w:t>each category</w:t>
      </w:r>
      <w:r w:rsidRPr="00C27B9A">
        <w:t xml:space="preserve"> of </w:t>
      </w:r>
      <w:r>
        <w:t>non-network capex</w:t>
      </w:r>
      <w:r w:rsidRPr="00C27B9A">
        <w:t xml:space="preserve"> reflect</w:t>
      </w:r>
      <w:r>
        <w:t>s</w:t>
      </w:r>
      <w:r w:rsidRPr="00C27B9A">
        <w:t xml:space="preserve"> the high level drivers of expenditure in these categories and </w:t>
      </w:r>
      <w:r>
        <w:t xml:space="preserve">is </w:t>
      </w:r>
      <w:r w:rsidRPr="00C27B9A">
        <w:t xml:space="preserve">therefore </w:t>
      </w:r>
      <w:r>
        <w:t xml:space="preserve">likely to </w:t>
      </w:r>
      <w:r w:rsidRPr="00C27B9A">
        <w:t>reasonably reflect efficient costs.</w:t>
      </w:r>
      <w:r>
        <w:t xml:space="preserve"> H</w:t>
      </w:r>
      <w:r w:rsidRPr="004047D3">
        <w:t xml:space="preserve">aving considered </w:t>
      </w:r>
      <w:r>
        <w:t>Powerlink's</w:t>
      </w:r>
      <w:r w:rsidRPr="004047D3">
        <w:t xml:space="preserve"> regulatory proposal and had reg</w:t>
      </w:r>
      <w:r>
        <w:t>ard to the capex factors,</w:t>
      </w:r>
      <w:r>
        <w:rPr>
          <w:rStyle w:val="FootnoteReference"/>
        </w:rPr>
        <w:footnoteReference w:id="152"/>
      </w:r>
      <w:r w:rsidRPr="004047D3">
        <w:t xml:space="preserve"> we are satisfied that total capex which reasonably reflects the capex criteria s</w:t>
      </w:r>
      <w:r>
        <w:t>hould include a forecast of $96.8 million for non-network capex</w:t>
      </w:r>
      <w:r w:rsidRPr="004047D3">
        <w:t xml:space="preserve"> </w:t>
      </w:r>
      <w:r>
        <w:t>(</w:t>
      </w:r>
      <w:r w:rsidRPr="004047D3">
        <w:t>excluding overheads</w:t>
      </w:r>
      <w:r>
        <w:t>)</w:t>
      </w:r>
      <w:r w:rsidRPr="004047D3">
        <w:t>. Our esti</w:t>
      </w:r>
      <w:r>
        <w:t>mate of total capex for the 2017–22</w:t>
      </w:r>
      <w:r w:rsidRPr="004047D3">
        <w:t xml:space="preserve"> regulatory control </w:t>
      </w:r>
      <w:proofErr w:type="gramStart"/>
      <w:r w:rsidRPr="004047D3">
        <w:t>period</w:t>
      </w:r>
      <w:proofErr w:type="gramEnd"/>
      <w:r w:rsidRPr="004047D3">
        <w:t xml:space="preserve"> reflects this conclusion.</w:t>
      </w:r>
    </w:p>
    <w:p w:rsidR="008C7B59" w:rsidRPr="008C7B59" w:rsidRDefault="008C7B59" w:rsidP="008C7B59">
      <w:pPr>
        <w:pStyle w:val="Heading9"/>
      </w:pPr>
      <w:bookmarkStart w:id="245" w:name="_Toc460239255"/>
      <w:bookmarkStart w:id="246" w:name="_Toc460239323"/>
      <w:bookmarkStart w:id="247" w:name="_Toc460239576"/>
      <w:bookmarkStart w:id="248" w:name="_Toc460321529"/>
      <w:bookmarkStart w:id="249" w:name="_Toc460582389"/>
      <w:bookmarkStart w:id="250" w:name="_Toc462062169"/>
      <w:bookmarkStart w:id="251" w:name="_Toc462752310"/>
      <w:r>
        <w:t>ICT capex</w:t>
      </w:r>
      <w:bookmarkEnd w:id="245"/>
      <w:bookmarkEnd w:id="246"/>
      <w:bookmarkEnd w:id="247"/>
      <w:bookmarkEnd w:id="248"/>
      <w:bookmarkEnd w:id="249"/>
      <w:bookmarkEnd w:id="250"/>
      <w:bookmarkEnd w:id="251"/>
    </w:p>
    <w:p w:rsidR="008C7B59" w:rsidRPr="009929F5" w:rsidRDefault="008C7B59" w:rsidP="008C7B59">
      <w:r w:rsidRPr="009929F5">
        <w:t xml:space="preserve">Powerlink </w:t>
      </w:r>
      <w:r>
        <w:t xml:space="preserve">has </w:t>
      </w:r>
      <w:r w:rsidRPr="009929F5">
        <w:t>forecast $</w:t>
      </w:r>
      <w:r>
        <w:t>56.1</w:t>
      </w:r>
      <w:r w:rsidRPr="009929F5">
        <w:t xml:space="preserve"> million</w:t>
      </w:r>
      <w:r>
        <w:t xml:space="preserve"> ($2016–17, excluding overheads)</w:t>
      </w:r>
      <w:r w:rsidRPr="009929F5">
        <w:t xml:space="preserve"> </w:t>
      </w:r>
      <w:r>
        <w:t xml:space="preserve">for </w:t>
      </w:r>
      <w:r w:rsidRPr="009929F5">
        <w:t xml:space="preserve">total information and communications technology (ICT) capex for the 2017–22 regulatory control period. </w:t>
      </w:r>
      <w:r w:rsidR="00B8359B">
        <w:t>This is</w:t>
      </w:r>
      <w:r>
        <w:t xml:space="preserve"> a decrease </w:t>
      </w:r>
      <w:r w:rsidRPr="009653B4">
        <w:t>of</w:t>
      </w:r>
      <w:r>
        <w:t xml:space="preserve"> 5 per cent from the $59.2 million spent in the current period. It is also a decrease of 32 per cent from the forecast for the current regulatory period (2012–2017) period where the </w:t>
      </w:r>
      <w:r w:rsidR="00B8359B">
        <w:t>allowance for IT was set at $83 </w:t>
      </w:r>
      <w:r>
        <w:t>million.</w:t>
      </w:r>
      <w:r>
        <w:rPr>
          <w:rStyle w:val="FootnoteReference"/>
        </w:rPr>
        <w:footnoteReference w:id="153"/>
      </w:r>
      <w:r>
        <w:t xml:space="preserve"> </w:t>
      </w:r>
    </w:p>
    <w:p w:rsidR="008C7B59" w:rsidRPr="00BF7092" w:rsidRDefault="008C7B59" w:rsidP="008C7B59">
      <w:r w:rsidRPr="009929F5">
        <w:t>Powerlink’s I</w:t>
      </w:r>
      <w:r w:rsidRPr="00BF7092">
        <w:t xml:space="preserve">CT capex in the current regulatory period (2012–17) was lower than expected due </w:t>
      </w:r>
      <w:r w:rsidR="00B8359B">
        <w:t>to internal business restructuring</w:t>
      </w:r>
      <w:r w:rsidRPr="00BF7092">
        <w:t xml:space="preserve"> and adjustments to resource levels to match demand for services. Powerlink deferred a number of ICT investment programs in the beginning of the period because of organisational changes and subsequently focused on </w:t>
      </w:r>
      <w:r w:rsidR="00B8359B">
        <w:t xml:space="preserve">the </w:t>
      </w:r>
      <w:r w:rsidRPr="00BF7092">
        <w:t xml:space="preserve">replacement and maintenance of existing ICT systems. Powerlink submitted that ICT capex in the remainder of the 2012–17 regulatory </w:t>
      </w:r>
      <w:proofErr w:type="gramStart"/>
      <w:r w:rsidRPr="00BF7092">
        <w:t>period</w:t>
      </w:r>
      <w:proofErr w:type="gramEnd"/>
      <w:r w:rsidRPr="00BF7092">
        <w:t xml:space="preserve"> and then in the 2017</w:t>
      </w:r>
      <w:r w:rsidR="00CB260C">
        <w:t>–</w:t>
      </w:r>
      <w:r w:rsidRPr="00BF7092">
        <w:t xml:space="preserve">22 regulatory period will be in line with its allowance for 2012–17 and its current proposal.  </w:t>
      </w:r>
    </w:p>
    <w:p w:rsidR="008C7B59" w:rsidRPr="00BF7092" w:rsidRDefault="008C7B59" w:rsidP="008C7B59">
      <w:r w:rsidRPr="00BF7092">
        <w:t>Powerlink submitted that forecasting of ICT requirements had been undertaken through a planning process that combined a top-down assessment of Powerlink’s ICT needs aligned to support the Powerlink Business Strategy, and bottom-up program planning that considered the overall state of Powerlink’s existing business ICT base and the investments required to achieve the business objectives. Powerlink’s ICT includes digital technology infrastructure and applications which support the operation of the business. Powerlink identified 11 programs which would be necessary for the achievement of Powerlink’s business objectives in the next regulatory control period.</w:t>
      </w:r>
      <w:r w:rsidRPr="00BF7092">
        <w:rPr>
          <w:rStyle w:val="FootnoteReference"/>
        </w:rPr>
        <w:footnoteReference w:id="154"/>
      </w:r>
      <w:r w:rsidRPr="00BF7092">
        <w:t xml:space="preserve"> </w:t>
      </w:r>
    </w:p>
    <w:p w:rsidR="008C7B59" w:rsidRDefault="00E9650D" w:rsidP="008C7B59">
      <w:r>
        <w:t>CCP</w:t>
      </w:r>
      <w:r w:rsidR="008C7B59" w:rsidRPr="00BF7092">
        <w:t xml:space="preserve"> </w:t>
      </w:r>
      <w:r>
        <w:t xml:space="preserve">members Hugh Grant and David Headberry </w:t>
      </w:r>
      <w:r w:rsidR="008C7B59" w:rsidRPr="00BF7092">
        <w:t xml:space="preserve">recommended that the AER undertake analysis of business cases for significant projects and programs relating to ICT capex. </w:t>
      </w:r>
      <w:r>
        <w:t>The CCP members' submission</w:t>
      </w:r>
      <w:r w:rsidR="008C7B59" w:rsidRPr="00BF7092">
        <w:t xml:space="preserve"> criticised Powerlink’s increased spending on ICT capex compared to the 2002–2007 regulatory period. The CCP </w:t>
      </w:r>
      <w:r>
        <w:t xml:space="preserve">members </w:t>
      </w:r>
      <w:r w:rsidR="008C7B59" w:rsidRPr="00BF7092">
        <w:t xml:space="preserve">submitted that Powerlink’s ICT capex is higher than other transmission networks and </w:t>
      </w:r>
      <w:r w:rsidR="008C7B59" w:rsidRPr="00BF7092">
        <w:lastRenderedPageBreak/>
        <w:t>without proper justification.</w:t>
      </w:r>
      <w:r w:rsidR="008C7B59" w:rsidRPr="00BF7092">
        <w:rPr>
          <w:rStyle w:val="FootnoteReference"/>
        </w:rPr>
        <w:footnoteReference w:id="155"/>
      </w:r>
      <w:r w:rsidR="00B8359B">
        <w:t xml:space="preserve"> The CCP </w:t>
      </w:r>
      <w:r>
        <w:t xml:space="preserve">members </w:t>
      </w:r>
      <w:r w:rsidR="00B8359B">
        <w:t>submitted</w:t>
      </w:r>
      <w:r w:rsidR="008C7B59" w:rsidRPr="00BF7092">
        <w:t xml:space="preserve"> that Powerlink had made requests for “once in a generation” funding for ICT in previous regulatory periods and has, since then, sought to maintain these artificially high levels set for this purpose. Powerlink explained that it had previously expressed that it foreshadowed a potential for ongoing higher levels of ICT capex and its need for ICT repex. </w:t>
      </w:r>
    </w:p>
    <w:p w:rsidR="008C7B59" w:rsidRPr="001A0B78" w:rsidRDefault="008C7B59" w:rsidP="008C7B59">
      <w:r>
        <w:t xml:space="preserve">We had regard to Powerlink’s actual and expected capex during the 2012–17 and preceding regulatory control periods in assessing its proposed ICT forecast. </w:t>
      </w:r>
      <w:r w:rsidRPr="00BF7092">
        <w:t xml:space="preserve">Powerlink’s proposed expenditure </w:t>
      </w:r>
      <w:r>
        <w:t xml:space="preserve">of an average $11.2 million/year </w:t>
      </w:r>
      <w:r w:rsidRPr="00BF7092">
        <w:t xml:space="preserve">is </w:t>
      </w:r>
      <w:r>
        <w:t xml:space="preserve">lower than spending in </w:t>
      </w:r>
      <w:r w:rsidRPr="00BF7092">
        <w:t>the last regulatory period</w:t>
      </w:r>
      <w:r>
        <w:t>. It is also than that of other transmission providers, with AusNet Services' ICT spending of $14.7 million/year and TransGrid's ICT spending of $20.8</w:t>
      </w:r>
      <w:r w:rsidR="00B8359B">
        <w:t xml:space="preserve"> million</w:t>
      </w:r>
      <w:r>
        <w:t>/year.</w:t>
      </w:r>
      <w:r>
        <w:rPr>
          <w:rStyle w:val="FootnoteReference"/>
        </w:rPr>
        <w:footnoteReference w:id="156"/>
      </w:r>
      <w:r w:rsidRPr="00BF7092">
        <w:t xml:space="preserve"> </w:t>
      </w:r>
      <w:r>
        <w:t>Given that Powerlink's ICT capex is decreasing and is lower than other transmission providers, we have not conducted a more detailed review of its ICT capex. We</w:t>
      </w:r>
      <w:r w:rsidRPr="00BF7092">
        <w:t xml:space="preserve"> are satisfied with the trend in ICT capex expenditure as being in line with capex drivers.</w:t>
      </w:r>
      <w:r w:rsidRPr="00BF7092">
        <w:rPr>
          <w:rStyle w:val="FootnoteReference"/>
        </w:rPr>
        <w:footnoteReference w:id="157"/>
      </w:r>
      <w:r w:rsidRPr="00BF7092">
        <w:t xml:space="preserve"> </w:t>
      </w:r>
    </w:p>
    <w:p w:rsidR="008C7B59" w:rsidRPr="00BF7092" w:rsidRDefault="008C7B59" w:rsidP="008C7B59">
      <w:r w:rsidRPr="00BF7092">
        <w:t xml:space="preserve">We accept Powerlink’s forecast for ICT capex. In our view, the forecast reflects the efficient costs of a prudent operator. We are satisfied that the decrease in non-network ICT capex reflects the underlying drivers of expenditure in this category.  </w:t>
      </w:r>
    </w:p>
    <w:p w:rsidR="008C7B59" w:rsidRPr="008C7B59" w:rsidRDefault="008C7B59" w:rsidP="008C7B59">
      <w:pPr>
        <w:pStyle w:val="Heading9"/>
      </w:pPr>
      <w:bookmarkStart w:id="252" w:name="_Toc460239256"/>
      <w:bookmarkStart w:id="253" w:name="_Toc460239324"/>
      <w:bookmarkStart w:id="254" w:name="_Toc460239577"/>
      <w:bookmarkStart w:id="255" w:name="_Toc460321530"/>
      <w:bookmarkStart w:id="256" w:name="_Toc460582390"/>
      <w:bookmarkStart w:id="257" w:name="_Toc462062170"/>
      <w:bookmarkStart w:id="258" w:name="_Toc462752311"/>
      <w:r>
        <w:t>Motor vehicles capex</w:t>
      </w:r>
      <w:bookmarkEnd w:id="252"/>
      <w:bookmarkEnd w:id="253"/>
      <w:bookmarkEnd w:id="254"/>
      <w:bookmarkEnd w:id="255"/>
      <w:bookmarkEnd w:id="256"/>
      <w:bookmarkEnd w:id="257"/>
      <w:bookmarkEnd w:id="258"/>
    </w:p>
    <w:p w:rsidR="008C7B59" w:rsidRDefault="008C7B59" w:rsidP="008C7B59">
      <w:r>
        <w:t xml:space="preserve">Powerlink forecast total motor vehicle capex for the 2017–22 regulatory control </w:t>
      </w:r>
      <w:proofErr w:type="gramStart"/>
      <w:r>
        <w:t>period</w:t>
      </w:r>
      <w:proofErr w:type="gramEnd"/>
      <w:r>
        <w:t xml:space="preserve"> of $12.3 million ($2016</w:t>
      </w:r>
      <w:r w:rsidR="00CB260C">
        <w:t>–</w:t>
      </w:r>
      <w:r>
        <w:t>17).</w:t>
      </w:r>
      <w:r>
        <w:rPr>
          <w:rStyle w:val="FootnoteReference"/>
        </w:rPr>
        <w:footnoteReference w:id="158"/>
      </w:r>
      <w:r>
        <w:t xml:space="preserve"> Powerlink's</w:t>
      </w:r>
      <w:r w:rsidRPr="00482662">
        <w:t xml:space="preserve"> motor vehicle fleet and specialised mobile plant support</w:t>
      </w:r>
      <w:r>
        <w:t>s</w:t>
      </w:r>
      <w:r w:rsidRPr="00482662">
        <w:t xml:space="preserve"> </w:t>
      </w:r>
      <w:r>
        <w:t>its</w:t>
      </w:r>
      <w:r w:rsidRPr="00482662">
        <w:t xml:space="preserve"> maintenance and</w:t>
      </w:r>
      <w:r>
        <w:t xml:space="preserve"> </w:t>
      </w:r>
      <w:r w:rsidRPr="00482662">
        <w:t>project activities.</w:t>
      </w:r>
      <w:r>
        <w:t xml:space="preserve"> Powerlink submitted that since 2010 its fleet has decreased from 453 units to 402 in 2015, and is forecast to be 324 at the commencement of 2017</w:t>
      </w:r>
      <w:r w:rsidR="00CB260C">
        <w:t>–</w:t>
      </w:r>
      <w:r>
        <w:t>18 and remain relatively static during the 2017</w:t>
      </w:r>
      <w:r w:rsidR="00CB260C">
        <w:t>–</w:t>
      </w:r>
      <w:r>
        <w:t xml:space="preserve">22 regulatory control </w:t>
      </w:r>
      <w:proofErr w:type="gramStart"/>
      <w:r>
        <w:t>period</w:t>
      </w:r>
      <w:proofErr w:type="gramEnd"/>
      <w:r>
        <w:t>. Powerlink expects to replace 274 motor vehicles and mobile plant assets during the 2017</w:t>
      </w:r>
      <w:r w:rsidR="00CB260C">
        <w:t>–</w:t>
      </w:r>
      <w:r>
        <w:t xml:space="preserve">22 regulatory control </w:t>
      </w:r>
      <w:proofErr w:type="gramStart"/>
      <w:r>
        <w:t>period</w:t>
      </w:r>
      <w:proofErr w:type="gramEnd"/>
      <w:r>
        <w:t>.</w:t>
      </w:r>
      <w:r>
        <w:rPr>
          <w:rStyle w:val="FootnoteReference"/>
        </w:rPr>
        <w:footnoteReference w:id="159"/>
      </w:r>
    </w:p>
    <w:p w:rsidR="008C7B59" w:rsidRDefault="008C7B59" w:rsidP="008C7B59">
      <w:r>
        <w:t>Powerlink submitted that its p</w:t>
      </w:r>
      <w:r w:rsidRPr="006B6230">
        <w:t xml:space="preserve">rocurement of new vehicles is undertaken in compliance with </w:t>
      </w:r>
      <w:r>
        <w:t>its</w:t>
      </w:r>
      <w:r w:rsidRPr="006B6230">
        <w:t xml:space="preserve"> procurement standard. </w:t>
      </w:r>
      <w:r>
        <w:t>Powerlink utilises its</w:t>
      </w:r>
      <w:r w:rsidRPr="006B6230">
        <w:t xml:space="preserve"> contracted fleet services provider to obtain three quotes for the required</w:t>
      </w:r>
      <w:r>
        <w:t xml:space="preserve"> </w:t>
      </w:r>
      <w:r w:rsidRPr="006B6230">
        <w:t>vehicle specification.</w:t>
      </w:r>
      <w:r>
        <w:t xml:space="preserve"> M</w:t>
      </w:r>
      <w:r w:rsidRPr="006B6230">
        <w:t xml:space="preserve">otor vehicles and mobile plant </w:t>
      </w:r>
      <w:r>
        <w:t xml:space="preserve">are replaced </w:t>
      </w:r>
      <w:r w:rsidRPr="006B6230">
        <w:t>at the end of their economic lives, which is</w:t>
      </w:r>
      <w:r>
        <w:t xml:space="preserve"> </w:t>
      </w:r>
      <w:r w:rsidRPr="006B6230">
        <w:t>determined by age and usage and varies by vehicle type.</w:t>
      </w:r>
      <w:r>
        <w:rPr>
          <w:rStyle w:val="FootnoteReference"/>
        </w:rPr>
        <w:footnoteReference w:id="160"/>
      </w:r>
    </w:p>
    <w:p w:rsidR="008C7B59" w:rsidRPr="006B6230" w:rsidRDefault="008C7B59" w:rsidP="008C7B59">
      <w:r>
        <w:lastRenderedPageBreak/>
        <w:t xml:space="preserve">We have </w:t>
      </w:r>
      <w:r w:rsidRPr="006B6230">
        <w:t xml:space="preserve">reviewed </w:t>
      </w:r>
      <w:r>
        <w:t>Powerlink's regulatory proposal</w:t>
      </w:r>
      <w:r w:rsidRPr="006B6230">
        <w:t xml:space="preserve"> in respect of its proposed </w:t>
      </w:r>
      <w:r>
        <w:t>motor vehicle capex for the 2017–</w:t>
      </w:r>
      <w:r w:rsidRPr="006B6230">
        <w:t xml:space="preserve">22 regulatory control period and consider that </w:t>
      </w:r>
      <w:r>
        <w:t>Powerlink's</w:t>
      </w:r>
      <w:r w:rsidRPr="006B6230">
        <w:t xml:space="preserve"> forecast fleet capex of $1</w:t>
      </w:r>
      <w:r>
        <w:t>2.3</w:t>
      </w:r>
      <w:r w:rsidRPr="006B6230">
        <w:t xml:space="preserve"> million ($20</w:t>
      </w:r>
      <w:r>
        <w:t>16</w:t>
      </w:r>
      <w:r w:rsidR="00CB260C">
        <w:t>–</w:t>
      </w:r>
      <w:r w:rsidRPr="006B6230">
        <w:t>17) reasonably reflects the efficient costs that a prudent operator would require to meet the capex criteria.</w:t>
      </w:r>
      <w:r w:rsidRPr="006B6230">
        <w:rPr>
          <w:rStyle w:val="AERsuperscript"/>
        </w:rPr>
        <w:footnoteReference w:id="161"/>
      </w:r>
      <w:r w:rsidRPr="006B6230">
        <w:t xml:space="preserve"> We have come to this conclusion on the basis that:</w:t>
      </w:r>
    </w:p>
    <w:p w:rsidR="008C7B59" w:rsidRDefault="008C7B59" w:rsidP="008C7B59">
      <w:pPr>
        <w:pStyle w:val="AERbulletlistfirststyle"/>
      </w:pPr>
      <w:r>
        <w:t>our trend analysis shows that Powerlink's proposed motor vehicle capex is approximately 16 per cent less than its actual and estimated motor vehicle capex for the 2012–17 regulatory control period and is low relative to historical levels of expenditure in this category;</w:t>
      </w:r>
      <w:r>
        <w:rPr>
          <w:rStyle w:val="FootnoteReference"/>
        </w:rPr>
        <w:footnoteReference w:id="162"/>
      </w:r>
      <w:r>
        <w:t xml:space="preserve"> </w:t>
      </w:r>
    </w:p>
    <w:p w:rsidR="008C7B59" w:rsidRDefault="008C7B59" w:rsidP="008C7B59">
      <w:pPr>
        <w:pStyle w:val="AERbulletlistfirststyle"/>
      </w:pPr>
      <w:r>
        <w:t>Powerlink's proposed motor vehicle capex reflects the</w:t>
      </w:r>
      <w:r w:rsidRPr="00083276">
        <w:t xml:space="preserve"> </w:t>
      </w:r>
      <w:r>
        <w:t xml:space="preserve">drivers of expenditure in this category, including </w:t>
      </w:r>
      <w:r w:rsidR="00814879">
        <w:t xml:space="preserve">the </w:t>
      </w:r>
      <w:r w:rsidRPr="00083276">
        <w:t xml:space="preserve">resourcing strategy </w:t>
      </w:r>
      <w:r>
        <w:t xml:space="preserve">required </w:t>
      </w:r>
      <w:r w:rsidRPr="00083276">
        <w:t xml:space="preserve">to deliver </w:t>
      </w:r>
      <w:r>
        <w:t>its reducing</w:t>
      </w:r>
      <w:r w:rsidRPr="00083276">
        <w:t xml:space="preserve"> network </w:t>
      </w:r>
      <w:r>
        <w:t xml:space="preserve">capex </w:t>
      </w:r>
      <w:r w:rsidRPr="00083276">
        <w:t>program</w:t>
      </w:r>
      <w:r>
        <w:t>; and</w:t>
      </w:r>
    </w:p>
    <w:p w:rsidR="008C7B59" w:rsidRDefault="008C7B59" w:rsidP="008C7B59">
      <w:pPr>
        <w:pStyle w:val="AERbulletlistfirststyle"/>
      </w:pPr>
      <w:r>
        <w:t>Powerlink's motor vehicle procurement practices, including utilising an external fleet services provider to obtain competitive quotes for</w:t>
      </w:r>
      <w:r w:rsidRPr="00EC1D2A">
        <w:t xml:space="preserve"> required vehicle specification</w:t>
      </w:r>
      <w:r>
        <w:t>s, is in line with good industry practice</w:t>
      </w:r>
      <w:r w:rsidRPr="00EC1D2A">
        <w:t>.</w:t>
      </w:r>
    </w:p>
    <w:p w:rsidR="008C7B59" w:rsidRPr="008C7B59" w:rsidRDefault="008C7B59" w:rsidP="008C7B59">
      <w:pPr>
        <w:pStyle w:val="Heading9"/>
      </w:pPr>
      <w:bookmarkStart w:id="259" w:name="_Toc460239257"/>
      <w:bookmarkStart w:id="260" w:name="_Toc460239325"/>
      <w:bookmarkStart w:id="261" w:name="_Toc460239578"/>
      <w:bookmarkStart w:id="262" w:name="_Toc460321531"/>
      <w:bookmarkStart w:id="263" w:name="_Toc460582391"/>
      <w:bookmarkStart w:id="264" w:name="_Toc462062171"/>
      <w:bookmarkStart w:id="265" w:name="_Toc462752312"/>
      <w:r>
        <w:t>Buildings and property capex</w:t>
      </w:r>
      <w:bookmarkEnd w:id="259"/>
      <w:bookmarkEnd w:id="260"/>
      <w:bookmarkEnd w:id="261"/>
      <w:bookmarkEnd w:id="262"/>
      <w:bookmarkEnd w:id="263"/>
      <w:bookmarkEnd w:id="264"/>
      <w:bookmarkEnd w:id="265"/>
    </w:p>
    <w:p w:rsidR="008C7B59" w:rsidRDefault="008C7B59" w:rsidP="008C7B59">
      <w:r>
        <w:t xml:space="preserve">Powerlink forecast buildings and property capex for the 2017–22 regulatory control </w:t>
      </w:r>
      <w:proofErr w:type="gramStart"/>
      <w:r>
        <w:t>period</w:t>
      </w:r>
      <w:proofErr w:type="gramEnd"/>
      <w:r>
        <w:t xml:space="preserve"> of $23.5 million ($2016</w:t>
      </w:r>
      <w:r w:rsidR="00CB260C">
        <w:t>–</w:t>
      </w:r>
      <w:r>
        <w:t>17).</w:t>
      </w:r>
      <w:r>
        <w:rPr>
          <w:rStyle w:val="FootnoteReference"/>
        </w:rPr>
        <w:footnoteReference w:id="163"/>
      </w:r>
      <w:r>
        <w:t xml:space="preserve"> This category of capex includes expenditure to replace building fabric and fittings, air conditioning, lifts and electrical plant at end of life, as well as replacing fire system and lighting components to maintain a safe working environment. Powerlink's</w:t>
      </w:r>
      <w:r w:rsidRPr="00482662">
        <w:t xml:space="preserve"> </w:t>
      </w:r>
      <w:r>
        <w:t>forecast buildings and property capex also takes into account the need for specific office fitout projects to renew building assets based on asset condition and forecast building requirements.</w:t>
      </w:r>
      <w:r>
        <w:rPr>
          <w:rStyle w:val="FootnoteReference"/>
        </w:rPr>
        <w:footnoteReference w:id="164"/>
      </w:r>
    </w:p>
    <w:p w:rsidR="008C7B59" w:rsidRDefault="008C7B59" w:rsidP="008C7B59">
      <w:r>
        <w:t>The peak in forecast buildings and property capex in the 2019</w:t>
      </w:r>
      <w:r w:rsidR="00CB260C">
        <w:t>–</w:t>
      </w:r>
      <w:r>
        <w:t>20 and 2020</w:t>
      </w:r>
      <w:r w:rsidR="00CB260C">
        <w:t>–</w:t>
      </w:r>
      <w:r>
        <w:t xml:space="preserve">21 years identified in </w:t>
      </w:r>
      <w:r w:rsidRPr="008C7B59">
        <w:fldChar w:fldCharType="begin"/>
      </w:r>
      <w:r>
        <w:instrText xml:space="preserve"> REF _Ref458433718 </w:instrText>
      </w:r>
      <w:r w:rsidRPr="008C7B59">
        <w:fldChar w:fldCharType="separate"/>
      </w:r>
      <w:r w:rsidR="005252EC">
        <w:t xml:space="preserve">Figure </w:t>
      </w:r>
      <w:r w:rsidR="005252EC">
        <w:rPr>
          <w:noProof/>
        </w:rPr>
        <w:t>6</w:t>
      </w:r>
      <w:r w:rsidR="005252EC">
        <w:t>.</w:t>
      </w:r>
      <w:r w:rsidR="005252EC">
        <w:rPr>
          <w:noProof/>
        </w:rPr>
        <w:t>14</w:t>
      </w:r>
      <w:r w:rsidRPr="008C7B59">
        <w:fldChar w:fldCharType="end"/>
      </w:r>
      <w:r>
        <w:t xml:space="preserve"> is driven by an office fitout replacement project. Powerlink submitted that the existing office fitout in three buildings at its Virginia head office has or soon will reach end of life. Powerlink's office redevelopment project is expected to promote efficient and flexible work practices, while supporting technological chang</w:t>
      </w:r>
      <w:r w:rsidR="00814879">
        <w:t>e</w:t>
      </w:r>
      <w:r>
        <w:t>, staff safety and culture.</w:t>
      </w:r>
      <w:r>
        <w:rPr>
          <w:rStyle w:val="FootnoteReference"/>
        </w:rPr>
        <w:footnoteReference w:id="165"/>
      </w:r>
      <w:r>
        <w:t xml:space="preserve"> </w:t>
      </w:r>
    </w:p>
    <w:p w:rsidR="008C7B59" w:rsidRPr="006B6230" w:rsidRDefault="008C7B59" w:rsidP="008C7B59">
      <w:r>
        <w:t xml:space="preserve">We have </w:t>
      </w:r>
      <w:r w:rsidRPr="006B6230">
        <w:t xml:space="preserve">reviewed </w:t>
      </w:r>
      <w:r>
        <w:t>Powerlink's regulatory proposal</w:t>
      </w:r>
      <w:r w:rsidRPr="006B6230">
        <w:t xml:space="preserve"> in respect of its </w:t>
      </w:r>
      <w:r>
        <w:t>buildings and property capex for the 2017–</w:t>
      </w:r>
      <w:r w:rsidRPr="006B6230">
        <w:t xml:space="preserve">22 regulatory control period and consider that </w:t>
      </w:r>
      <w:r>
        <w:t>Powerlink's</w:t>
      </w:r>
      <w:r w:rsidRPr="006B6230">
        <w:t xml:space="preserve"> forecast </w:t>
      </w:r>
      <w:r>
        <w:t>buildings and property capex of $23.5</w:t>
      </w:r>
      <w:r w:rsidRPr="006B6230">
        <w:t xml:space="preserve"> million ($20</w:t>
      </w:r>
      <w:r>
        <w:t>16</w:t>
      </w:r>
      <w:r w:rsidR="00CB260C">
        <w:t>–</w:t>
      </w:r>
      <w:r w:rsidRPr="006B6230">
        <w:t xml:space="preserve">17) reasonably reflects </w:t>
      </w:r>
      <w:r w:rsidRPr="006B6230">
        <w:lastRenderedPageBreak/>
        <w:t>the efficient costs that a prudent operator would require to meet the capex criteria.</w:t>
      </w:r>
      <w:r w:rsidRPr="006B6230">
        <w:rPr>
          <w:rStyle w:val="AERsuperscript"/>
        </w:rPr>
        <w:footnoteReference w:id="166"/>
      </w:r>
      <w:r w:rsidRPr="006B6230">
        <w:t xml:space="preserve"> We have come to this conclusion on the basis that:</w:t>
      </w:r>
    </w:p>
    <w:p w:rsidR="008C7B59" w:rsidRDefault="008C7B59" w:rsidP="008C7B59">
      <w:pPr>
        <w:pStyle w:val="AERbulletlistfirststyle"/>
      </w:pPr>
      <w:r>
        <w:t>our trend analysis shows that Powerlink's proposed buildings and property capex is approximately 5 per cent less in real terms than its actual and estimated buildings and property capex for the 2012–17 regulatory control period and is low relative to longer term historical levels of expenditure in this category;</w:t>
      </w:r>
      <w:r>
        <w:rPr>
          <w:rStyle w:val="FootnoteReference"/>
        </w:rPr>
        <w:footnoteReference w:id="167"/>
      </w:r>
      <w:r>
        <w:t xml:space="preserve"> and</w:t>
      </w:r>
    </w:p>
    <w:p w:rsidR="008C7B59" w:rsidRDefault="008C7B59" w:rsidP="008C7B59">
      <w:pPr>
        <w:pStyle w:val="AERbulletlistfirststyle"/>
      </w:pPr>
      <w:proofErr w:type="gramStart"/>
      <w:r>
        <w:t>the</w:t>
      </w:r>
      <w:proofErr w:type="gramEnd"/>
      <w:r>
        <w:t xml:space="preserve"> scope and timing of Powerlink's proposed office fitout redevelopment project appears reasonable given the age of the existing office fitouts and the prospect of future efficiencies in office design and workplace practices.</w:t>
      </w:r>
      <w:r>
        <w:rPr>
          <w:rStyle w:val="FootnoteReference"/>
        </w:rPr>
        <w:footnoteReference w:id="168"/>
      </w:r>
    </w:p>
    <w:p w:rsidR="008C7B59" w:rsidRPr="008C7B59" w:rsidRDefault="008C7B59" w:rsidP="008C7B59">
      <w:pPr>
        <w:pStyle w:val="Heading9"/>
      </w:pPr>
      <w:bookmarkStart w:id="266" w:name="_Toc460239258"/>
      <w:bookmarkStart w:id="267" w:name="_Toc460239326"/>
      <w:bookmarkStart w:id="268" w:name="_Toc460239579"/>
      <w:bookmarkStart w:id="269" w:name="_Toc460321532"/>
      <w:bookmarkStart w:id="270" w:name="_Toc460582392"/>
      <w:bookmarkStart w:id="271" w:name="_Toc462062172"/>
      <w:bookmarkStart w:id="272" w:name="_Toc462752313"/>
      <w:r>
        <w:t>Tools and equipment capex</w:t>
      </w:r>
      <w:bookmarkEnd w:id="266"/>
      <w:bookmarkEnd w:id="267"/>
      <w:bookmarkEnd w:id="268"/>
      <w:bookmarkEnd w:id="269"/>
      <w:bookmarkEnd w:id="270"/>
      <w:bookmarkEnd w:id="271"/>
      <w:bookmarkEnd w:id="272"/>
    </w:p>
    <w:p w:rsidR="008C7B59" w:rsidRDefault="008C7B59" w:rsidP="008C7B59">
      <w:r>
        <w:t xml:space="preserve">Powerlink forecast tools and equipment capex for the 2017–22 regulatory control </w:t>
      </w:r>
      <w:proofErr w:type="gramStart"/>
      <w:r>
        <w:t>period</w:t>
      </w:r>
      <w:proofErr w:type="gramEnd"/>
      <w:r>
        <w:t xml:space="preserve"> of $5.0 million ($2016</w:t>
      </w:r>
      <w:r w:rsidR="00CB260C">
        <w:t>–</w:t>
      </w:r>
      <w:r>
        <w:t>17).</w:t>
      </w:r>
      <w:r>
        <w:rPr>
          <w:rStyle w:val="FootnoteReference"/>
        </w:rPr>
        <w:footnoteReference w:id="169"/>
      </w:r>
      <w:r>
        <w:t xml:space="preserve"> Powerlink's</w:t>
      </w:r>
      <w:r w:rsidRPr="00482662">
        <w:t xml:space="preserve"> </w:t>
      </w:r>
      <w:r>
        <w:t>forecast tools and equipment capex is based on the average recurrent historical expenditure in this category</w:t>
      </w:r>
      <w:r w:rsidRPr="00482662">
        <w:t>.</w:t>
      </w:r>
      <w:r>
        <w:t xml:space="preserve"> Powerlink's tools and equipment capex includes expenditure on a diverse range of minor physical equipment required to operate the network in a safe and efficient manner, including digital test equipment, contour lasers and GPS units.</w:t>
      </w:r>
      <w:r>
        <w:rPr>
          <w:rStyle w:val="FootnoteReference"/>
        </w:rPr>
        <w:footnoteReference w:id="170"/>
      </w:r>
    </w:p>
    <w:p w:rsidR="008C7B59" w:rsidRPr="006B6230" w:rsidRDefault="008C7B59" w:rsidP="008C7B59">
      <w:r>
        <w:t xml:space="preserve">We have </w:t>
      </w:r>
      <w:r w:rsidRPr="006B6230">
        <w:t xml:space="preserve">reviewed </w:t>
      </w:r>
      <w:r>
        <w:t>Powerlink's regulatory proposal</w:t>
      </w:r>
      <w:r w:rsidRPr="006B6230">
        <w:t xml:space="preserve"> in respect of its </w:t>
      </w:r>
      <w:r>
        <w:t>tools and equipment capex for the 2017–</w:t>
      </w:r>
      <w:r w:rsidRPr="006B6230">
        <w:t xml:space="preserve">22 regulatory control period and consider that </w:t>
      </w:r>
      <w:r>
        <w:t>Powerlink's</w:t>
      </w:r>
      <w:r w:rsidRPr="006B6230">
        <w:t xml:space="preserve"> forecast </w:t>
      </w:r>
      <w:r>
        <w:t>tools and equipment capex of $5.0</w:t>
      </w:r>
      <w:r w:rsidRPr="006B6230">
        <w:t xml:space="preserve"> million ($20</w:t>
      </w:r>
      <w:r>
        <w:t>16</w:t>
      </w:r>
      <w:r w:rsidR="00CB260C">
        <w:t>–</w:t>
      </w:r>
      <w:r w:rsidRPr="006B6230">
        <w:t>17) reasonably reflects the efficient costs that a prudent operator would require to meet the capex criteria.</w:t>
      </w:r>
      <w:r w:rsidRPr="006B6230">
        <w:rPr>
          <w:rStyle w:val="AERsuperscript"/>
        </w:rPr>
        <w:footnoteReference w:id="171"/>
      </w:r>
      <w:r w:rsidRPr="006B6230">
        <w:t xml:space="preserve"> We have come to this conclusion on the basis that:</w:t>
      </w:r>
    </w:p>
    <w:p w:rsidR="008C7B59" w:rsidRDefault="008C7B59" w:rsidP="008C7B59">
      <w:pPr>
        <w:pStyle w:val="AERbulletlistfirststyle"/>
      </w:pPr>
      <w:r>
        <w:t>our trend analysis shows that Powerlink's proposed tools and equipment capex is approximately 3 per cent less in real terms than its actual and estimated tools and equipment capex for the 2012–17 regulatory control period and is low relative to longer term historical levels of expenditure in this category</w:t>
      </w:r>
      <w:r w:rsidR="00814879">
        <w:t>;</w:t>
      </w:r>
      <w:r w:rsidR="00814879">
        <w:rPr>
          <w:rStyle w:val="FootnoteReference"/>
        </w:rPr>
        <w:footnoteReference w:id="172"/>
      </w:r>
      <w:r w:rsidR="00814879">
        <w:t xml:space="preserve"> and</w:t>
      </w:r>
      <w:r>
        <w:t xml:space="preserve"> </w:t>
      </w:r>
    </w:p>
    <w:p w:rsidR="008C7B59" w:rsidRDefault="008C7B59" w:rsidP="008C7B59">
      <w:pPr>
        <w:pStyle w:val="AERbulletlistfirststyle"/>
      </w:pPr>
      <w:r>
        <w:t>Powerlink's forecasting methodology for this category of expenditure, based on actual recurrent historical capex, is appropriate for this category of capex which is typically stable over time.</w:t>
      </w:r>
    </w:p>
    <w:p w:rsidR="008C7B59" w:rsidRDefault="008C7B59">
      <w:pPr>
        <w:spacing w:line="240" w:lineRule="auto"/>
      </w:pPr>
      <w:r>
        <w:br w:type="page"/>
      </w:r>
    </w:p>
    <w:p w:rsidR="008C7B59" w:rsidRPr="008C7B59" w:rsidRDefault="008C7B59" w:rsidP="008C7B59">
      <w:pPr>
        <w:pStyle w:val="Heading7"/>
      </w:pPr>
      <w:bookmarkStart w:id="273" w:name="_Toc460321533"/>
      <w:bookmarkStart w:id="274" w:name="_Ref460427187"/>
      <w:bookmarkStart w:id="275" w:name="_Toc462752314"/>
      <w:r>
        <w:lastRenderedPageBreak/>
        <w:t>Demand</w:t>
      </w:r>
      <w:bookmarkEnd w:id="273"/>
      <w:bookmarkEnd w:id="274"/>
      <w:bookmarkEnd w:id="275"/>
    </w:p>
    <w:p w:rsidR="008C7B59" w:rsidRDefault="008C7B59" w:rsidP="008C7B59">
      <w:r>
        <w:t xml:space="preserve">Powerlink has produced a maximum demand forecast to help determine its forecast capex and opex. We have reviewed Powerlink's maximum demand forecast in order to determine whether or not the proposed capex and opex forecasts reasonably reflect a realistic expectation of demand. Accurate, or at least unbiased, demand forecasts are important inputs to ensuring efficient levels of investment in the network. </w:t>
      </w:r>
    </w:p>
    <w:p w:rsidR="008C7B59" w:rsidRDefault="008C7B59" w:rsidP="008C7B59">
      <w:r w:rsidRPr="005A742D">
        <w:t xml:space="preserve">This </w:t>
      </w:r>
      <w:r>
        <w:t xml:space="preserve">section </w:t>
      </w:r>
      <w:r w:rsidRPr="005A742D">
        <w:t xml:space="preserve">sets out </w:t>
      </w:r>
      <w:r>
        <w:t>our</w:t>
      </w:r>
      <w:r w:rsidRPr="005A742D">
        <w:t xml:space="preserve"> </w:t>
      </w:r>
      <w:r>
        <w:t>decision</w:t>
      </w:r>
      <w:r w:rsidRPr="005A742D">
        <w:t xml:space="preserve"> o</w:t>
      </w:r>
      <w:r>
        <w:t>n Powerlink's forecast network maximum demand for the 2017–22</w:t>
      </w:r>
      <w:r w:rsidRPr="005A742D">
        <w:t xml:space="preserve"> </w:t>
      </w:r>
      <w:r>
        <w:t xml:space="preserve">regulatory control </w:t>
      </w:r>
      <w:proofErr w:type="gramStart"/>
      <w:r w:rsidRPr="005A742D">
        <w:t>period</w:t>
      </w:r>
      <w:proofErr w:type="gramEnd"/>
      <w:r w:rsidRPr="005A742D">
        <w:t>.</w:t>
      </w:r>
      <w:r>
        <w:t xml:space="preserve"> System demand represents total demand in the Powerlink transmission network. System demand trends give a high level indication of the need for expenditure on the network to meet changes in demand. Forecasts of increasing system demand generally signal an increased network utilisation which may, once any spare capacity in the network is used up, lead to a requirement for augmentation capex or augex. Conversely forecasts of stagnant or falling system demand will generally signal falling network utilisation, a more limited requirement for augex, and the potential for the network to be rationalised in some locations. </w:t>
      </w:r>
    </w:p>
    <w:p w:rsidR="008C7B59" w:rsidRDefault="008C7B59" w:rsidP="008C7B59">
      <w:pPr>
        <w:numPr>
          <w:ilvl w:val="0"/>
          <w:numId w:val="24"/>
        </w:numPr>
      </w:pPr>
      <w:r>
        <w:t xml:space="preserve">In our consideration of Powerlink's demand forecast, we had regard to: </w:t>
      </w:r>
    </w:p>
    <w:p w:rsidR="008C7B59" w:rsidRDefault="008C7B59" w:rsidP="008C7B59">
      <w:pPr>
        <w:pStyle w:val="AERbulletlistfirststyle"/>
      </w:pPr>
      <w:r>
        <w:t xml:space="preserve">Powerlink's proposal; </w:t>
      </w:r>
    </w:p>
    <w:p w:rsidR="008C7B59" w:rsidRDefault="008C7B59" w:rsidP="008C7B59">
      <w:pPr>
        <w:pStyle w:val="AERbulletlistfirststyle"/>
      </w:pPr>
      <w:r>
        <w:t>independent maximum demand forecasts from AEMO;</w:t>
      </w:r>
      <w:r>
        <w:rPr>
          <w:rStyle w:val="FootnoteReference"/>
        </w:rPr>
        <w:footnoteReference w:id="173"/>
      </w:r>
      <w:r>
        <w:t xml:space="preserve"> and </w:t>
      </w:r>
    </w:p>
    <w:p w:rsidR="008C7B59" w:rsidRDefault="008C7B59" w:rsidP="008C7B59">
      <w:pPr>
        <w:pStyle w:val="AERbulletlistfirststyle"/>
      </w:pPr>
      <w:proofErr w:type="gramStart"/>
      <w:r>
        <w:t>stakeholder</w:t>
      </w:r>
      <w:proofErr w:type="gramEnd"/>
      <w:r>
        <w:t xml:space="preserve"> submissions in response to Powerlink's proposal.</w:t>
      </w:r>
      <w:r>
        <w:rPr>
          <w:rStyle w:val="FootnoteReference"/>
        </w:rPr>
        <w:footnoteReference w:id="174"/>
      </w:r>
    </w:p>
    <w:p w:rsidR="008C7B59" w:rsidRPr="008C7B59" w:rsidRDefault="008C7B59" w:rsidP="00C02438">
      <w:pPr>
        <w:pStyle w:val="Heading8"/>
        <w:numPr>
          <w:ilvl w:val="1"/>
          <w:numId w:val="30"/>
        </w:numPr>
      </w:pPr>
      <w:bookmarkStart w:id="276" w:name="_Toc460239246"/>
      <w:bookmarkStart w:id="277" w:name="_Toc460239314"/>
      <w:bookmarkStart w:id="278" w:name="_Toc460239567"/>
      <w:bookmarkStart w:id="279" w:name="_Toc460321534"/>
      <w:bookmarkStart w:id="280" w:name="_Toc462752315"/>
      <w:r>
        <w:t>AER draft decision</w:t>
      </w:r>
      <w:bookmarkEnd w:id="276"/>
      <w:bookmarkEnd w:id="277"/>
      <w:bookmarkEnd w:id="278"/>
      <w:bookmarkEnd w:id="279"/>
      <w:bookmarkEnd w:id="280"/>
      <w:r>
        <w:t xml:space="preserve"> </w:t>
      </w:r>
    </w:p>
    <w:p w:rsidR="008C7B59" w:rsidRDefault="008C7B59" w:rsidP="008C7B59">
      <w:r w:rsidRPr="00420BB9">
        <w:t xml:space="preserve">We are satisfied that Powerlink's demand forecast reasonably reflects a realistic expectation of demand </w:t>
      </w:r>
      <w:r>
        <w:t xml:space="preserve">over the 2017–22 regulatory control </w:t>
      </w:r>
      <w:proofErr w:type="gramStart"/>
      <w:r>
        <w:t>period</w:t>
      </w:r>
      <w:proofErr w:type="gramEnd"/>
      <w:r>
        <w:t xml:space="preserve">. In determining a realistic expectation of demand over the 2017–22 </w:t>
      </w:r>
      <w:proofErr w:type="gramStart"/>
      <w:r>
        <w:t>period</w:t>
      </w:r>
      <w:proofErr w:type="gramEnd"/>
      <w:r>
        <w:t xml:space="preserve">, we have had regard to the following factors: </w:t>
      </w:r>
    </w:p>
    <w:p w:rsidR="008C7B59" w:rsidRDefault="008C7B59" w:rsidP="008C7B59">
      <w:pPr>
        <w:pStyle w:val="AERbulletlistfirststyle"/>
      </w:pPr>
      <w:r>
        <w:t xml:space="preserve">Powerlink proposed almost zero growth in maximum demand (at 0.2 per cent per annum) across the 2017–22 </w:t>
      </w:r>
      <w:proofErr w:type="gramStart"/>
      <w:r>
        <w:t>period</w:t>
      </w:r>
      <w:proofErr w:type="gramEnd"/>
      <w:r>
        <w:t>. This is lower than the Australian Energy Market Operator's (AEMO) independent forecast of 1 per cent annual growth in maximum demand over the same period. This suggests that Powerlink's forecast is not overly ambitious or biased upwards, and therefore provides us with confidence in Powerlink's forecast being a realistic expectation of demand.</w:t>
      </w:r>
    </w:p>
    <w:p w:rsidR="008C7B59" w:rsidRDefault="008C7B59" w:rsidP="008C7B59">
      <w:pPr>
        <w:pStyle w:val="AERbulletlistfirststyle"/>
      </w:pPr>
      <w:r>
        <w:t xml:space="preserve">Powerlink's demand forecast is approximately 2000 MW higher than AEMO's forecast. However, Powerlink states that this is likely due to different estimates of maximum demand from large direct </w:t>
      </w:r>
      <w:proofErr w:type="gramStart"/>
      <w:r>
        <w:t>connect</w:t>
      </w:r>
      <w:proofErr w:type="gramEnd"/>
      <w:r>
        <w:t xml:space="preserve"> end users. We are satisfied that </w:t>
      </w:r>
      <w:r>
        <w:lastRenderedPageBreak/>
        <w:t>Powerlink's explanations show at least some of the differences between its demand figures and those of AEMO.</w:t>
      </w:r>
    </w:p>
    <w:p w:rsidR="008C7B59" w:rsidRDefault="008C7B59" w:rsidP="008C7B59">
      <w:pPr>
        <w:pStyle w:val="AERbulletlistfirststyle"/>
      </w:pPr>
      <w:r>
        <w:t xml:space="preserve">Powerlink's demand forecast shows a continuation of the recent actual demand trend. </w:t>
      </w:r>
    </w:p>
    <w:p w:rsidR="008C7B59" w:rsidRDefault="008C7B59" w:rsidP="008C7B59">
      <w:r>
        <w:t>We have also received a number of consumer submissions that note the trend of falling demand. We consider these below.</w:t>
      </w:r>
    </w:p>
    <w:p w:rsidR="008C7B59" w:rsidRDefault="008C7B59" w:rsidP="008C7B59">
      <w:r>
        <w:t xml:space="preserve">Powerlink's maximum demand forecast </w:t>
      </w:r>
      <w:r w:rsidRPr="00EF7A58">
        <w:t>does not have a significant direct impact on Powerlink’s capex proposal given the</w:t>
      </w:r>
      <w:r>
        <w:t xml:space="preserve"> very</w:t>
      </w:r>
      <w:r w:rsidRPr="00EF7A58">
        <w:t xml:space="preserve"> small amounts of</w:t>
      </w:r>
      <w:r>
        <w:t xml:space="preserve"> proposed</w:t>
      </w:r>
      <w:r w:rsidRPr="00EF7A58">
        <w:t xml:space="preserve"> </w:t>
      </w:r>
      <w:r>
        <w:t>augex</w:t>
      </w:r>
      <w:r w:rsidRPr="00EF7A58">
        <w:t>.</w:t>
      </w:r>
      <w:r>
        <w:t xml:space="preserve"> Because of this, our review of Powerlink's forecast maximum demand is relatively high-level.</w:t>
      </w:r>
    </w:p>
    <w:p w:rsidR="008C7B59" w:rsidRPr="008C7B59" w:rsidRDefault="008C7B59" w:rsidP="008C7B59">
      <w:pPr>
        <w:pStyle w:val="Heading8"/>
      </w:pPr>
      <w:bookmarkStart w:id="281" w:name="_Toc460239247"/>
      <w:bookmarkStart w:id="282" w:name="_Toc460239315"/>
      <w:bookmarkStart w:id="283" w:name="_Toc460239568"/>
      <w:bookmarkStart w:id="284" w:name="_Toc460321535"/>
      <w:bookmarkStart w:id="285" w:name="_Toc462752316"/>
      <w:r>
        <w:t>Powerlink's proposal</w:t>
      </w:r>
      <w:bookmarkEnd w:id="281"/>
      <w:bookmarkEnd w:id="282"/>
      <w:bookmarkEnd w:id="283"/>
      <w:bookmarkEnd w:id="284"/>
      <w:bookmarkEnd w:id="285"/>
    </w:p>
    <w:p w:rsidR="008C7B59" w:rsidRDefault="008C7B59" w:rsidP="008C7B59">
      <w:r>
        <w:t>Powerlink provided historical and forecast demand figures in their proposal and in the reset Regulatory Information Notice (RIN).</w:t>
      </w:r>
      <w:r>
        <w:rPr>
          <w:rStyle w:val="FootnoteReference"/>
        </w:rPr>
        <w:footnoteReference w:id="175"/>
      </w:r>
      <w:r>
        <w:t xml:space="preserve"> Powerlink proposed approximately 0.</w:t>
      </w:r>
      <w:r w:rsidR="00814879">
        <w:t>2 </w:t>
      </w:r>
      <w:r>
        <w:t xml:space="preserve">per cent annual growth in maximum demand across the 2017–22 </w:t>
      </w:r>
      <w:proofErr w:type="gramStart"/>
      <w:r>
        <w:t>period</w:t>
      </w:r>
      <w:proofErr w:type="gramEnd"/>
      <w:r>
        <w:t xml:space="preserve">. Powerlink forecasted demand to grow slightly over the first two years of the 2017–22 </w:t>
      </w:r>
      <w:proofErr w:type="gramStart"/>
      <w:r>
        <w:t>period</w:t>
      </w:r>
      <w:proofErr w:type="gramEnd"/>
      <w:r>
        <w:t xml:space="preserve">, and then flatten out over the remainder of 2017–22. </w:t>
      </w:r>
    </w:p>
    <w:p w:rsidR="008C7B59" w:rsidRDefault="008C7B59" w:rsidP="008C7B59">
      <w:r>
        <w:t xml:space="preserve">Powerlink submitted that its forecast of an initial demand growth reflects forecasts of positive growth in the Gross State Product (GSP) over the early years of the 2017–22 </w:t>
      </w:r>
      <w:proofErr w:type="gramStart"/>
      <w:r>
        <w:t>period</w:t>
      </w:r>
      <w:proofErr w:type="gramEnd"/>
      <w:r>
        <w:t>. The flattening of demand over the later years of this period reflects expectations of subdued economic growth and slowing growth in resource sector investment.</w:t>
      </w:r>
      <w:r>
        <w:rPr>
          <w:rStyle w:val="FootnoteReference"/>
        </w:rPr>
        <w:footnoteReference w:id="176"/>
      </w:r>
      <w:r>
        <w:t xml:space="preserve"> </w:t>
      </w:r>
    </w:p>
    <w:p w:rsidR="008C7B59" w:rsidRPr="001E23CF" w:rsidRDefault="008C7B59" w:rsidP="008C7B59">
      <w:r>
        <w:t>Powerlink submitted that its demand forecast reflects feedback received on its forecasting process at a Demand and Energy Forecasting Forum it held in March 2015. Powerlink submitted that its demand forecasting methodology reflects the impact of new and emerging technologies and trends such as solar PV, battery storage, energy efficiency initiatives and electric vehicles.</w:t>
      </w:r>
      <w:r>
        <w:rPr>
          <w:rStyle w:val="FootnoteReference"/>
        </w:rPr>
        <w:footnoteReference w:id="177"/>
      </w:r>
      <w:r>
        <w:t xml:space="preserve"> </w:t>
      </w:r>
    </w:p>
    <w:p w:rsidR="008C7B59" w:rsidRDefault="008C7B59" w:rsidP="008C7B59">
      <w:r>
        <w:t>Powerlink engaged the consultants, KPMG, to provide an opinion on its demand forecasting methodologies, processes and key inputs and assumptions. KPMG considered that Powerlink's demand forecasting model meets the AER's criteria for best practice forecasting. However, KPMG also identified several shortcomings of Powerlink's forecasting model such as insufficient data regarding the weather correction process, the forecasting model produced a relatively low R-squared for winter maximum demand and there is a lack of information on in-sample and out-of-sample forecast performance.</w:t>
      </w:r>
      <w:r>
        <w:rPr>
          <w:rStyle w:val="FootnoteReference"/>
        </w:rPr>
        <w:footnoteReference w:id="178"/>
      </w:r>
      <w:r>
        <w:t xml:space="preserve">  </w:t>
      </w:r>
    </w:p>
    <w:p w:rsidR="008C7B59" w:rsidRPr="008C7B59" w:rsidRDefault="008C7B59" w:rsidP="008C7B59">
      <w:pPr>
        <w:pStyle w:val="Heading8"/>
      </w:pPr>
      <w:bookmarkStart w:id="286" w:name="_Toc460239248"/>
      <w:bookmarkStart w:id="287" w:name="_Toc460239316"/>
      <w:bookmarkStart w:id="288" w:name="_Toc460239569"/>
      <w:bookmarkStart w:id="289" w:name="_Toc460321536"/>
      <w:bookmarkStart w:id="290" w:name="_Toc462752317"/>
      <w:r>
        <w:t>AER assessment of Powerlink's forecast</w:t>
      </w:r>
      <w:bookmarkEnd w:id="286"/>
      <w:bookmarkEnd w:id="287"/>
      <w:bookmarkEnd w:id="288"/>
      <w:bookmarkEnd w:id="289"/>
      <w:bookmarkEnd w:id="290"/>
      <w:r>
        <w:t xml:space="preserve"> </w:t>
      </w:r>
    </w:p>
    <w:p w:rsidR="008C7B59" w:rsidRDefault="008C7B59" w:rsidP="008C7B59">
      <w:r>
        <w:lastRenderedPageBreak/>
        <w:t xml:space="preserve">Our first step in examining Powerlink's forecast of </w:t>
      </w:r>
      <w:r w:rsidRPr="00C028EF">
        <w:t>maximum demand is to look at whether the forecast is consistent with, or explained by,</w:t>
      </w:r>
      <w:r>
        <w:t xml:space="preserve"> the long term underlying demand trend which occurred on the network historically</w:t>
      </w:r>
      <w:r w:rsidRPr="005479E3">
        <w:t>.</w:t>
      </w:r>
    </w:p>
    <w:p w:rsidR="008C7B59" w:rsidRDefault="008C7B59" w:rsidP="008C7B59">
      <w:r>
        <w:fldChar w:fldCharType="begin"/>
      </w:r>
      <w:r>
        <w:instrText xml:space="preserve"> REF _Ref460265292 \h </w:instrText>
      </w:r>
      <w:r>
        <w:fldChar w:fldCharType="separate"/>
      </w:r>
      <w:r w:rsidR="005252EC">
        <w:t xml:space="preserve">Figure </w:t>
      </w:r>
      <w:r w:rsidR="005252EC">
        <w:rPr>
          <w:noProof/>
        </w:rPr>
        <w:t>6</w:t>
      </w:r>
      <w:r w:rsidR="005252EC">
        <w:t>.</w:t>
      </w:r>
      <w:r w:rsidR="005252EC">
        <w:rPr>
          <w:noProof/>
        </w:rPr>
        <w:t>15</w:t>
      </w:r>
      <w:r>
        <w:fldChar w:fldCharType="end"/>
      </w:r>
      <w:r>
        <w:t xml:space="preserve"> shows that the path of actual weather adjusted maximum demand on Powerlink</w:t>
      </w:r>
      <w:r w:rsidR="00814879">
        <w:t>'s network</w:t>
      </w:r>
      <w:r>
        <w:t xml:space="preserve"> grew from 2004 to 2015 at 4.1 per cent per annum. </w:t>
      </w:r>
      <w:r w:rsidRPr="00FA0B75">
        <w:t>Powerlink’s forecast broadly shows a continuation of the recent actual demand trend</w:t>
      </w:r>
      <w:r>
        <w:t xml:space="preserve"> (with a slight uplift over the forthcoming regulatory period)</w:t>
      </w:r>
      <w:r w:rsidRPr="00FA0B75">
        <w:t>.</w:t>
      </w:r>
      <w:r w:rsidRPr="00FA0B75">
        <w:rPr>
          <w:rStyle w:val="FootnoteReference"/>
        </w:rPr>
        <w:footnoteReference w:id="179"/>
      </w:r>
      <w:r>
        <w:t xml:space="preserve"> </w:t>
      </w:r>
    </w:p>
    <w:p w:rsidR="008C7B59" w:rsidRPr="00D11D6B" w:rsidRDefault="008C7B59" w:rsidP="008C7B59">
      <w:pPr>
        <w:pStyle w:val="Caption"/>
      </w:pPr>
      <w:bookmarkStart w:id="291" w:name="_Ref460265292"/>
      <w:proofErr w:type="gramStart"/>
      <w:r>
        <w:t xml:space="preserve">Figure </w:t>
      </w:r>
      <w:fldSimple w:instr=" STYLEREF 1 \s ">
        <w:r w:rsidR="005252EC">
          <w:rPr>
            <w:noProof/>
          </w:rPr>
          <w:t>6</w:t>
        </w:r>
      </w:fldSimple>
      <w:r w:rsidR="00D504BF">
        <w:t>.</w:t>
      </w:r>
      <w:proofErr w:type="gramEnd"/>
      <w:r w:rsidR="005252EC">
        <w:fldChar w:fldCharType="begin"/>
      </w:r>
      <w:r w:rsidR="005252EC">
        <w:instrText xml:space="preserve"> SEQ Figure \* ARABIC \s 1 </w:instrText>
      </w:r>
      <w:r w:rsidR="005252EC">
        <w:fldChar w:fldCharType="separate"/>
      </w:r>
      <w:r w:rsidR="005252EC">
        <w:rPr>
          <w:noProof/>
        </w:rPr>
        <w:t>15</w:t>
      </w:r>
      <w:r w:rsidR="005252EC">
        <w:rPr>
          <w:noProof/>
        </w:rPr>
        <w:fldChar w:fldCharType="end"/>
      </w:r>
      <w:bookmarkEnd w:id="291"/>
      <w:r w:rsidRPr="00D11D6B">
        <w:tab/>
        <w:t>Comparison of peak demand forecasts of Powerlink and AEMO (MW, non-coincident, summated connection point forecasts)</w:t>
      </w:r>
    </w:p>
    <w:p w:rsidR="008C7B59" w:rsidRPr="005C1776" w:rsidRDefault="008C7B59" w:rsidP="008C7B59">
      <w:pPr>
        <w:rPr>
          <w:rStyle w:val="Strong"/>
        </w:rPr>
      </w:pPr>
      <w:r w:rsidRPr="008C7B59">
        <w:rPr>
          <w:noProof/>
          <w:lang w:eastAsia="en-AU"/>
        </w:rPr>
        <w:drawing>
          <wp:inline distT="0" distB="0" distL="0" distR="0" wp14:anchorId="46D6DA6D" wp14:editId="3B866D93">
            <wp:extent cx="5162550" cy="37236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2550" cy="3723641"/>
                    </a:xfrm>
                    <a:prstGeom prst="rect">
                      <a:avLst/>
                    </a:prstGeom>
                    <a:noFill/>
                  </pic:spPr>
                </pic:pic>
              </a:graphicData>
            </a:graphic>
          </wp:inline>
        </w:drawing>
      </w:r>
    </w:p>
    <w:p w:rsidR="008C7B59" w:rsidRPr="005C1776" w:rsidRDefault="008C7B59" w:rsidP="008C7B59">
      <w:pPr>
        <w:pStyle w:val="AERtablesource"/>
      </w:pPr>
      <w:r w:rsidRPr="005C1776">
        <w:t xml:space="preserve">Source: </w:t>
      </w:r>
      <w:r>
        <w:t xml:space="preserve">  </w:t>
      </w:r>
      <w:r w:rsidRPr="005C1776">
        <w:t xml:space="preserve">Powerlink, </w:t>
      </w:r>
      <w:r w:rsidRPr="00B34D14">
        <w:rPr>
          <w:rStyle w:val="AERtextitalic"/>
        </w:rPr>
        <w:t>Respon</w:t>
      </w:r>
      <w:r>
        <w:rPr>
          <w:rStyle w:val="AERtextitalic"/>
        </w:rPr>
        <w:t>se to AER information request #3</w:t>
      </w:r>
      <w:r w:rsidRPr="00B34D14">
        <w:rPr>
          <w:rStyle w:val="AERtextitalic"/>
        </w:rPr>
        <w:t>, PQ0093</w:t>
      </w:r>
      <w:r w:rsidRPr="005C1776">
        <w:t xml:space="preserve">, </w:t>
      </w:r>
      <w:r>
        <w:t>public,</w:t>
      </w:r>
      <w:r w:rsidRPr="005C1776">
        <w:t xml:space="preserve"> 29 February 2016, </w:t>
      </w:r>
      <w:r>
        <w:t xml:space="preserve">p. 5; </w:t>
      </w:r>
      <w:r w:rsidRPr="005C1776">
        <w:t xml:space="preserve"> </w:t>
      </w:r>
    </w:p>
    <w:p w:rsidR="008C7B59" w:rsidRPr="005C1776" w:rsidRDefault="008C7B59" w:rsidP="008C7B59">
      <w:pPr>
        <w:pStyle w:val="AERtablesource"/>
      </w:pPr>
      <w:r>
        <w:tab/>
      </w:r>
      <w:proofErr w:type="gramStart"/>
      <w:r w:rsidRPr="005C1776">
        <w:t xml:space="preserve">AEMO, </w:t>
      </w:r>
      <w:r w:rsidRPr="00B34D14">
        <w:rPr>
          <w:rStyle w:val="AERtextitalic"/>
        </w:rPr>
        <w:t>Dynamic interface for connection points in Queensland</w:t>
      </w:r>
      <w:r w:rsidRPr="005C1776">
        <w:t xml:space="preserve">, June 2015; </w:t>
      </w:r>
      <w:r>
        <w:t>AER analysis.</w:t>
      </w:r>
      <w:proofErr w:type="gramEnd"/>
      <w:r>
        <w:t xml:space="preserve"> </w:t>
      </w:r>
    </w:p>
    <w:p w:rsidR="008C7B59" w:rsidRDefault="008C7B59" w:rsidP="008C7B59">
      <w:r>
        <w:t>We compared Powerlink's forecast growth rates of maximum demand with AEMO's Connection Point Forecast</w:t>
      </w:r>
      <w:r w:rsidRPr="00FA37D9">
        <w:t xml:space="preserve"> </w:t>
      </w:r>
      <w:r>
        <w:t>for the Powerlink network, published in June 2015.</w:t>
      </w:r>
      <w:r>
        <w:rPr>
          <w:rStyle w:val="FootnoteReference"/>
        </w:rPr>
        <w:footnoteReference w:id="180"/>
      </w:r>
      <w:r>
        <w:t xml:space="preserve"> Powerlink forecasts growth of 0.2 per cent per annum over the 2017–22 period, which </w:t>
      </w:r>
      <w:r>
        <w:lastRenderedPageBreak/>
        <w:t xml:space="preserve">is lower than AEMO's forecast 1 per cent per annum growth rate over the same period. </w:t>
      </w:r>
      <w:r w:rsidRPr="005C1776" w:rsidDel="004B516E">
        <w:t xml:space="preserve">The fact that the growth rate of Powerlink’s demand forecast </w:t>
      </w:r>
      <w:r w:rsidR="00814879">
        <w:t xml:space="preserve">is lower than AEMO’s shows </w:t>
      </w:r>
      <w:r w:rsidRPr="005C1776" w:rsidDel="004B516E">
        <w:t>Powerlink’s forecast is not overly ambitious or biased upwards. This provides</w:t>
      </w:r>
      <w:r w:rsidDel="004B516E">
        <w:t xml:space="preserve"> us with some</w:t>
      </w:r>
      <w:r w:rsidRPr="005C1776" w:rsidDel="004B516E">
        <w:t xml:space="preserve"> confidence in Powerlink’s forecast being a realistic expectation of demand.</w:t>
      </w:r>
      <w:r>
        <w:t xml:space="preserve"> </w:t>
      </w:r>
    </w:p>
    <w:p w:rsidR="008C7B59" w:rsidRDefault="008C7B59" w:rsidP="008C7B59">
      <w:r>
        <w:t xml:space="preserve">While the growth trend for Powerlink's demand forecast is below AEMO's growth forecast for the 2017–22 </w:t>
      </w:r>
      <w:proofErr w:type="gramStart"/>
      <w:r>
        <w:t>period</w:t>
      </w:r>
      <w:proofErr w:type="gramEnd"/>
      <w:r>
        <w:t>, Powerlink's forecast is above AEMO's connection point forecast by approximately 2000 MW per annum over the 2017–22 period. We sought Powerlink's views on the reasons for this difference.</w:t>
      </w:r>
      <w:r>
        <w:rPr>
          <w:rStyle w:val="FootnoteReference"/>
        </w:rPr>
        <w:footnoteReference w:id="181"/>
      </w:r>
      <w:r>
        <w:t xml:space="preserve"> </w:t>
      </w:r>
      <w:r w:rsidRPr="00FA0B75">
        <w:t xml:space="preserve">Powerlink stated that this difference is driven by different treatments of large direct connect end users. In particular, Powerlink’s forecast includes loads at the NSW and Queensland interconnects (that AEMO does not include) and additional loads at the Boyne Smelters </w:t>
      </w:r>
      <w:r>
        <w:t xml:space="preserve">and </w:t>
      </w:r>
      <w:proofErr w:type="spellStart"/>
      <w:r>
        <w:t>Wotonga</w:t>
      </w:r>
      <w:proofErr w:type="spellEnd"/>
      <w:r>
        <w:t xml:space="preserve"> connection points. </w:t>
      </w:r>
      <w:r w:rsidRPr="00FA0B75">
        <w:t>The different treatments of large users result in Powerlink’s forecast appearing higher than AEMO’s</w:t>
      </w:r>
      <w:r>
        <w:t xml:space="preserve"> forecast</w:t>
      </w:r>
      <w:r w:rsidRPr="00FA0B75">
        <w:t>.</w:t>
      </w:r>
      <w:r w:rsidRPr="00FA0B75">
        <w:rPr>
          <w:rStyle w:val="FootnoteReference"/>
        </w:rPr>
        <w:footnoteReference w:id="182"/>
      </w:r>
      <w:r>
        <w:t xml:space="preserve"> </w:t>
      </w:r>
    </w:p>
    <w:p w:rsidR="008C7B59" w:rsidRDefault="008C7B59" w:rsidP="008C7B59">
      <w:r>
        <w:t xml:space="preserve">We are broadly satisfied that Powerlink's response adequately explains at least some of the differences between its demand figures and those of AEMO. Having said that, because the maximum demand forecast is not a significant driver of Powerlink's capex program for 2017–22, we have not assessed these claims in detail. In future periods, if maximum demand becomes a more significant capex driver, we will assess the forecast in more detail to determine whether these differences in load estimates between Powerlink and AEMO </w:t>
      </w:r>
      <w:r w:rsidR="00DC038A">
        <w:t>can be reconciled</w:t>
      </w:r>
      <w:r>
        <w:t>.</w:t>
      </w:r>
    </w:p>
    <w:p w:rsidR="008C7B59" w:rsidRDefault="008C7B59" w:rsidP="008C7B59">
      <w:r>
        <w:t xml:space="preserve">We have received four consumer submissions that note the trend of falling demand. CCP </w:t>
      </w:r>
      <w:r w:rsidR="00E9650D">
        <w:t xml:space="preserve">members Hugh Grant and David Headberry </w:t>
      </w:r>
      <w:r>
        <w:t>submitted that Powerlink's demand forecast has been significantly overstated.</w:t>
      </w:r>
      <w:r>
        <w:rPr>
          <w:rStyle w:val="FootnoteReference"/>
        </w:rPr>
        <w:footnoteReference w:id="183"/>
      </w:r>
      <w:r>
        <w:rPr>
          <w:rStyle w:val="FootnoteReference"/>
        </w:rPr>
        <w:t xml:space="preserve"> </w:t>
      </w:r>
      <w:r>
        <w:t xml:space="preserve"> The CCP </w:t>
      </w:r>
      <w:r w:rsidR="00E9650D">
        <w:t xml:space="preserve">members </w:t>
      </w:r>
      <w:r>
        <w:t xml:space="preserve">noted that studies into Powerlink's demand forecasting record by the Energy Users' Association of Australia (EUAA) and the Queensland Government Independent Review Panel on Network Costs showed that Powerlink has consistently over-forecasted demand over the 2006–12 </w:t>
      </w:r>
      <w:proofErr w:type="gramStart"/>
      <w:r>
        <w:t>period</w:t>
      </w:r>
      <w:proofErr w:type="gramEnd"/>
      <w:r>
        <w:t>.</w:t>
      </w:r>
      <w:r>
        <w:rPr>
          <w:rStyle w:val="FootnoteReference"/>
        </w:rPr>
        <w:footnoteReference w:id="184"/>
      </w:r>
      <w:r>
        <w:t xml:space="preserve"> As we discuss above, we are satisfied that Powerlink's forecast growth in maximum demand is likely </w:t>
      </w:r>
      <w:r w:rsidR="00814879">
        <w:t xml:space="preserve">to be </w:t>
      </w:r>
      <w:r>
        <w:t>realistic when compared to credible independent forecasts developed by AEMO.</w:t>
      </w:r>
    </w:p>
    <w:p w:rsidR="008C7B59" w:rsidRDefault="00E9650D" w:rsidP="00814879">
      <w:r>
        <w:t xml:space="preserve">CCP member </w:t>
      </w:r>
      <w:r w:rsidR="008C7B59">
        <w:t>Jo De Silva submitted that Powerlink’s customer and consumer percepti</w:t>
      </w:r>
      <w:r w:rsidR="008C7B59" w:rsidRPr="008948CC">
        <w:t>on research showed that stakeholders consider falling demand to be a response to higher prices.</w:t>
      </w:r>
      <w:r w:rsidR="008C7B59" w:rsidRPr="008948CC">
        <w:rPr>
          <w:rStyle w:val="FootnoteReference"/>
        </w:rPr>
        <w:footnoteReference w:id="185"/>
      </w:r>
      <w:r w:rsidR="008C7B59" w:rsidRPr="008442C8">
        <w:t xml:space="preserve"> </w:t>
      </w:r>
      <w:r w:rsidR="008C7B59">
        <w:t xml:space="preserve">Cotton Australia also noted that the significant drop in </w:t>
      </w:r>
      <w:r w:rsidR="00814879">
        <w:t xml:space="preserve">forecast </w:t>
      </w:r>
      <w:r w:rsidR="008C7B59">
        <w:t xml:space="preserve">capex compared to the current regulatory period is a reflection of the demand </w:t>
      </w:r>
      <w:r w:rsidR="008C7B59">
        <w:lastRenderedPageBreak/>
        <w:t>that will materialise.</w:t>
      </w:r>
      <w:r w:rsidR="008C7B59">
        <w:rPr>
          <w:rStyle w:val="FootnoteReference"/>
        </w:rPr>
        <w:footnoteReference w:id="186"/>
      </w:r>
      <w:r w:rsidR="008C7B59">
        <w:t xml:space="preserve"> As we have discussed, Powerlink has significantly reduced its forecast augex and Powerlink's maximum demand forecast is not a significant driver of capex for Powerlink's 2017–22 forecast. </w:t>
      </w:r>
      <w:r w:rsidR="008C7B59">
        <w:br w:type="page"/>
      </w:r>
    </w:p>
    <w:p w:rsidR="008C7B59" w:rsidRPr="008C7B59" w:rsidRDefault="008C7B59" w:rsidP="008C7B59">
      <w:pPr>
        <w:pStyle w:val="Heading7"/>
      </w:pPr>
      <w:bookmarkStart w:id="292" w:name="_Ref460313158"/>
      <w:bookmarkStart w:id="293" w:name="_Toc460321537"/>
      <w:bookmarkStart w:id="294" w:name="_Toc462752318"/>
      <w:r>
        <w:lastRenderedPageBreak/>
        <w:t>Contingent projects</w:t>
      </w:r>
      <w:bookmarkEnd w:id="292"/>
      <w:bookmarkEnd w:id="293"/>
      <w:bookmarkEnd w:id="294"/>
    </w:p>
    <w:p w:rsidR="008C7B59" w:rsidRDefault="008C7B59" w:rsidP="008C7B59">
      <w:r>
        <w:t xml:space="preserve">Powerlink proposed $590 million for seven contingent projects for the 2017–22 </w:t>
      </w:r>
      <w:proofErr w:type="gramStart"/>
      <w:r>
        <w:t>period</w:t>
      </w:r>
      <w:proofErr w:type="gramEnd"/>
      <w:r>
        <w:t xml:space="preserve">. </w:t>
      </w:r>
      <w:r w:rsidRPr="00012C8B">
        <w:t xml:space="preserve">Powerlink submitted that the proposed projects are for managing the risk of significant network investments which may be triggered by material changes in demand or new connections (including </w:t>
      </w:r>
      <w:r>
        <w:t>new coal mines and LNG production projects</w:t>
      </w:r>
      <w:r w:rsidRPr="00012C8B">
        <w:t>).</w:t>
      </w:r>
      <w:r w:rsidRPr="00012C8B">
        <w:rPr>
          <w:rStyle w:val="FootnoteReference"/>
        </w:rPr>
        <w:footnoteReference w:id="187"/>
      </w:r>
      <w:r w:rsidRPr="00012C8B">
        <w:t xml:space="preserve"> Powerlink </w:t>
      </w:r>
      <w:r>
        <w:t>submitt</w:t>
      </w:r>
      <w:r w:rsidRPr="00012C8B">
        <w:t>ed the proposed projects are probable or plausible to occur by 2022.</w:t>
      </w:r>
      <w:r w:rsidRPr="00012C8B">
        <w:rPr>
          <w:rStyle w:val="FootnoteReference"/>
        </w:rPr>
        <w:footnoteReference w:id="188"/>
      </w:r>
      <w:r w:rsidRPr="00012C8B">
        <w:t xml:space="preserve"> </w:t>
      </w:r>
    </w:p>
    <w:p w:rsidR="008C7B59" w:rsidRDefault="008C7B59" w:rsidP="008C7B59">
      <w:pPr>
        <w:numPr>
          <w:ilvl w:val="0"/>
          <w:numId w:val="23"/>
        </w:numPr>
      </w:pPr>
      <w:r>
        <w:t>The seven proposed contingent projects are:</w:t>
      </w:r>
      <w:r>
        <w:rPr>
          <w:rStyle w:val="FootnoteReference"/>
        </w:rPr>
        <w:footnoteReference w:id="189"/>
      </w:r>
    </w:p>
    <w:p w:rsidR="008C7B59" w:rsidRDefault="008C7B59" w:rsidP="008C7B59">
      <w:pPr>
        <w:pStyle w:val="AERbulletlistfirststyle"/>
      </w:pPr>
      <w:r>
        <w:t>North West Surat Basin Area ($147.2 million)</w:t>
      </w:r>
    </w:p>
    <w:p w:rsidR="008C7B59" w:rsidRDefault="008C7B59" w:rsidP="008C7B59">
      <w:pPr>
        <w:pStyle w:val="AERbulletlistfirststyle"/>
      </w:pPr>
      <w:r w:rsidRPr="00EF3317">
        <w:t>Central to North Queensland Reinforcement</w:t>
      </w:r>
      <w:r>
        <w:t xml:space="preserve"> ($55.1 million)</w:t>
      </w:r>
    </w:p>
    <w:p w:rsidR="008C7B59" w:rsidRDefault="008C7B59" w:rsidP="008C7B59">
      <w:pPr>
        <w:pStyle w:val="AERbulletlistfirststyle"/>
      </w:pPr>
      <w:r w:rsidRPr="00EF3317">
        <w:t>Southern Galilee Basin connection shared network works</w:t>
      </w:r>
      <w:r>
        <w:t xml:space="preserve"> ($116.9 million)</w:t>
      </w:r>
    </w:p>
    <w:p w:rsidR="008C7B59" w:rsidRDefault="008C7B59" w:rsidP="008C7B59">
      <w:pPr>
        <w:pStyle w:val="AERbulletlistfirststyle"/>
      </w:pPr>
      <w:r w:rsidRPr="00EF3317">
        <w:t>Northern Bowen Basin area</w:t>
      </w:r>
      <w:r>
        <w:t xml:space="preserve"> ($55.7 million)</w:t>
      </w:r>
    </w:p>
    <w:p w:rsidR="008C7B59" w:rsidRDefault="008C7B59" w:rsidP="008C7B59">
      <w:pPr>
        <w:pStyle w:val="AERbulletlistfirststyle"/>
      </w:pPr>
      <w:r w:rsidRPr="00EF3317">
        <w:t>Bowen Industrial Estate</w:t>
      </w:r>
      <w:r>
        <w:t xml:space="preserve"> ($42.9 million)</w:t>
      </w:r>
    </w:p>
    <w:p w:rsidR="008C7B59" w:rsidRDefault="008C7B59" w:rsidP="008C7B59">
      <w:pPr>
        <w:pStyle w:val="AERbulletlistfirststyle"/>
      </w:pPr>
      <w:r w:rsidRPr="00EF3317">
        <w:t>QNI upgrade (Queensland component)</w:t>
      </w:r>
      <w:r>
        <w:t xml:space="preserve"> ($66.7 million)</w:t>
      </w:r>
    </w:p>
    <w:p w:rsidR="008C7B59" w:rsidRDefault="008C7B59" w:rsidP="008C7B59">
      <w:pPr>
        <w:pStyle w:val="AERbulletlistfirststyle"/>
      </w:pPr>
      <w:r w:rsidRPr="00EF3317">
        <w:t>Gladstone area reinforcement</w:t>
      </w:r>
      <w:r>
        <w:t xml:space="preserve"> ($105.5 million).</w:t>
      </w:r>
    </w:p>
    <w:p w:rsidR="008C7B59" w:rsidRPr="00D54E06" w:rsidRDefault="008C7B59" w:rsidP="008C7B59">
      <w:r w:rsidRPr="00D54E06">
        <w:t>Generally, contingent projects are significant network augmentation projects that are reasonably required to be undertaken in order to achieve the capex objectives. However, unlike other proposed capex projects, the need for the project</w:t>
      </w:r>
      <w:r>
        <w:t xml:space="preserve"> within the regulatory period</w:t>
      </w:r>
      <w:r w:rsidRPr="00D54E06">
        <w:t xml:space="preserve"> and the associated costs are not sufficiently certain. Consequently, expenditure for such projects does not form a part of the total forecast capex that we approve in this determination. Such projects are linked to unique investment drivers (rather than general investment drivers such as expectations of load growth in a region) and are triggered by defined ‘trigger event</w:t>
      </w:r>
      <w:r>
        <w:t>s</w:t>
      </w:r>
      <w:r w:rsidRPr="00D54E06">
        <w:t>’. The occurrence of the trigger event must be probable during the relevant regulatory control period.</w:t>
      </w:r>
      <w:r w:rsidRPr="00D54E06">
        <w:rPr>
          <w:rStyle w:val="FootnoteReference"/>
        </w:rPr>
        <w:t xml:space="preserve"> </w:t>
      </w:r>
      <w:r>
        <w:rPr>
          <w:rStyle w:val="FootnoteReference"/>
        </w:rPr>
        <w:footnoteReference w:id="190"/>
      </w:r>
      <w:r>
        <w:t xml:space="preserve"> </w:t>
      </w:r>
      <w:r w:rsidRPr="00D54E06">
        <w:t xml:space="preserve">  </w:t>
      </w:r>
    </w:p>
    <w:p w:rsidR="008C7B59" w:rsidRPr="00D54E06" w:rsidRDefault="008C7B59" w:rsidP="008C7B59">
      <w:r w:rsidRPr="00D54E06">
        <w:t xml:space="preserve">If, during the regulatory control period, </w:t>
      </w:r>
      <w:r>
        <w:t>Powerlink</w:t>
      </w:r>
      <w:r w:rsidRPr="00D54E06">
        <w:t xml:space="preserve"> considers that the trigger event </w:t>
      </w:r>
      <w:r>
        <w:t xml:space="preserve">for an approved contingent project </w:t>
      </w:r>
      <w:r w:rsidRPr="00D54E06">
        <w:t>has occurred, then it may apply to us. At that time, we will assess whether the trigger event has occurred and the project meets the threshold. If satisfied of both, we would determine the efficient incremental revenue which is likely to be required in each remaining year of the regulatory control period as a result of the contingent project, and amend the revenue determination accordingly.</w:t>
      </w:r>
      <w:r>
        <w:rPr>
          <w:rStyle w:val="FootnoteReference"/>
        </w:rPr>
        <w:footnoteReference w:id="191"/>
      </w:r>
    </w:p>
    <w:p w:rsidR="008C7B59" w:rsidRPr="008C7B59" w:rsidRDefault="008C7B59" w:rsidP="00C02438">
      <w:pPr>
        <w:pStyle w:val="Heading8"/>
        <w:numPr>
          <w:ilvl w:val="1"/>
          <w:numId w:val="31"/>
        </w:numPr>
      </w:pPr>
      <w:bookmarkStart w:id="295" w:name="_Toc460239584"/>
      <w:bookmarkStart w:id="296" w:name="_Toc460321538"/>
      <w:bookmarkStart w:id="297" w:name="_Toc462752319"/>
      <w:r w:rsidRPr="002C60C8">
        <w:lastRenderedPageBreak/>
        <w:t>Assessment approach</w:t>
      </w:r>
      <w:bookmarkEnd w:id="295"/>
      <w:bookmarkEnd w:id="296"/>
      <w:bookmarkEnd w:id="297"/>
      <w:r w:rsidRPr="002C60C8">
        <w:t xml:space="preserve"> </w:t>
      </w:r>
    </w:p>
    <w:p w:rsidR="008C7B59" w:rsidRPr="00512191" w:rsidRDefault="008C7B59" w:rsidP="008C7B59">
      <w:r>
        <w:t>We</w:t>
      </w:r>
      <w:r w:rsidRPr="00512191">
        <w:t xml:space="preserve"> reviewed each of </w:t>
      </w:r>
      <w:r>
        <w:t>Powerlink's</w:t>
      </w:r>
      <w:r w:rsidRPr="00512191">
        <w:t xml:space="preserve"> proposed contingent projects </w:t>
      </w:r>
      <w:r>
        <w:t>against</w:t>
      </w:r>
      <w:r w:rsidRPr="00512191">
        <w:t xml:space="preserve"> the</w:t>
      </w:r>
      <w:r>
        <w:t xml:space="preserve"> assessment criteria in the</w:t>
      </w:r>
      <w:r w:rsidRPr="00512191">
        <w:t xml:space="preserve"> NER.</w:t>
      </w:r>
      <w:r>
        <w:rPr>
          <w:rStyle w:val="FootnoteReference"/>
        </w:rPr>
        <w:footnoteReference w:id="192"/>
      </w:r>
      <w:r w:rsidRPr="00512191">
        <w:t xml:space="preserve"> </w:t>
      </w:r>
      <w:r>
        <w:t>We</w:t>
      </w:r>
      <w:r w:rsidRPr="00512191">
        <w:t xml:space="preserve"> considered whether:</w:t>
      </w:r>
    </w:p>
    <w:p w:rsidR="008C7B59" w:rsidRPr="00512191" w:rsidRDefault="008C7B59" w:rsidP="008C7B59">
      <w:pPr>
        <w:pStyle w:val="AERbulletlistfirststyle"/>
      </w:pPr>
      <w:r w:rsidRPr="00512191">
        <w:t xml:space="preserve">the </w:t>
      </w:r>
      <w:r w:rsidRPr="00EA65FD">
        <w:t>proposed</w:t>
      </w:r>
      <w:r w:rsidRPr="00512191">
        <w:t xml:space="preserve"> contingent project is reasonably required to </w:t>
      </w:r>
      <w:r>
        <w:t xml:space="preserve">be undertaken in order to </w:t>
      </w:r>
      <w:r w:rsidRPr="00512191">
        <w:t>achieve any of the capex objectives</w:t>
      </w:r>
      <w:r>
        <w:t>;</w:t>
      </w:r>
      <w:r>
        <w:rPr>
          <w:rStyle w:val="FootnoteReference"/>
        </w:rPr>
        <w:footnoteReference w:id="193"/>
      </w:r>
    </w:p>
    <w:p w:rsidR="008C7B59" w:rsidRPr="00512191" w:rsidRDefault="008C7B59" w:rsidP="008C7B59">
      <w:pPr>
        <w:pStyle w:val="AERbulletlistfirststyle"/>
      </w:pPr>
      <w:r>
        <w:t>t</w:t>
      </w:r>
      <w:r w:rsidRPr="00512191">
        <w:t xml:space="preserve">he proposed contingent project </w:t>
      </w:r>
      <w:r w:rsidRPr="00EA65FD">
        <w:t>capital</w:t>
      </w:r>
      <w:r>
        <w:t xml:space="preserve"> </w:t>
      </w:r>
      <w:r w:rsidRPr="00512191">
        <w:t>expenditure is not otherwise provided for in the capex</w:t>
      </w:r>
      <w:r>
        <w:t xml:space="preserve"> </w:t>
      </w:r>
      <w:r w:rsidRPr="00512191">
        <w:t>proposal</w:t>
      </w:r>
      <w:r>
        <w:t>;</w:t>
      </w:r>
      <w:r>
        <w:rPr>
          <w:rStyle w:val="FootnoteReference"/>
        </w:rPr>
        <w:footnoteReference w:id="194"/>
      </w:r>
      <w:r w:rsidRPr="00512191">
        <w:t xml:space="preserve"> </w:t>
      </w:r>
    </w:p>
    <w:p w:rsidR="008C7B59" w:rsidRDefault="008C7B59" w:rsidP="008C7B59">
      <w:pPr>
        <w:pStyle w:val="AERbulletlistfirststyle"/>
      </w:pPr>
      <w:r w:rsidRPr="00512191">
        <w:t xml:space="preserve">the proposed contingent project </w:t>
      </w:r>
      <w:r w:rsidRPr="00EA65FD">
        <w:t>capital</w:t>
      </w:r>
      <w:r>
        <w:t xml:space="preserve"> expenditure </w:t>
      </w:r>
      <w:r w:rsidRPr="00512191">
        <w:t>reasonably reflects the capex criteria,</w:t>
      </w:r>
      <w:r>
        <w:t xml:space="preserve"> taking into account the capex factors;</w:t>
      </w:r>
      <w:r>
        <w:rPr>
          <w:rStyle w:val="FootnoteReference"/>
        </w:rPr>
        <w:footnoteReference w:id="195"/>
      </w:r>
      <w:r>
        <w:t xml:space="preserve"> </w:t>
      </w:r>
    </w:p>
    <w:p w:rsidR="008C7B59" w:rsidRDefault="008C7B59" w:rsidP="008C7B59">
      <w:pPr>
        <w:pStyle w:val="AERbulletlistfirststyle"/>
      </w:pPr>
      <w:r>
        <w:t xml:space="preserve">the proposed contingent </w:t>
      </w:r>
      <w:r w:rsidRPr="00EA65FD">
        <w:t>project</w:t>
      </w:r>
      <w:r>
        <w:t xml:space="preserve"> capital expenditure </w:t>
      </w:r>
      <w:r w:rsidRPr="00512191">
        <w:t>exceeds the defined</w:t>
      </w:r>
      <w:r>
        <w:t xml:space="preserve"> </w:t>
      </w:r>
      <w:r w:rsidRPr="00512191">
        <w:t>threshold</w:t>
      </w:r>
      <w:r>
        <w:t>;</w:t>
      </w:r>
      <w:r>
        <w:rPr>
          <w:rStyle w:val="FootnoteReference"/>
        </w:rPr>
        <w:footnoteReference w:id="196"/>
      </w:r>
      <w:r>
        <w:t xml:space="preserve"> and</w:t>
      </w:r>
    </w:p>
    <w:p w:rsidR="008C7B59" w:rsidRPr="00512191" w:rsidRDefault="008C7B59" w:rsidP="008C7B59">
      <w:pPr>
        <w:pStyle w:val="AERbulletlistfirststyle"/>
      </w:pPr>
      <w:proofErr w:type="gramStart"/>
      <w:r>
        <w:t>the</w:t>
      </w:r>
      <w:proofErr w:type="gramEnd"/>
      <w:r>
        <w:t xml:space="preserve"> trigger events in relation to the proposed contingent project are appropriate.</w:t>
      </w:r>
      <w:r>
        <w:rPr>
          <w:rStyle w:val="FootnoteReference"/>
        </w:rPr>
        <w:footnoteReference w:id="197"/>
      </w:r>
    </w:p>
    <w:p w:rsidR="008C7B59" w:rsidRPr="00DE3233" w:rsidRDefault="008C7B59" w:rsidP="008C7B59">
      <w:r w:rsidRPr="00DE3233">
        <w:t xml:space="preserve">Powerlink </w:t>
      </w:r>
      <w:r>
        <w:t xml:space="preserve">provided us with </w:t>
      </w:r>
      <w:r w:rsidRPr="00DE3233">
        <w:t>preliminary technical analysis for each</w:t>
      </w:r>
      <w:r>
        <w:t xml:space="preserve"> proposed</w:t>
      </w:r>
      <w:r w:rsidRPr="00DE3233">
        <w:t xml:space="preserve"> contingent project, including an assessment of existing network constraints and how these constraints may be affected by potential future demand and new connections scenarios</w:t>
      </w:r>
      <w:r>
        <w:t>, and preliminary costs</w:t>
      </w:r>
      <w:r w:rsidRPr="00DE3233">
        <w:t>.</w:t>
      </w:r>
      <w:r>
        <w:rPr>
          <w:rStyle w:val="FootnoteReference"/>
        </w:rPr>
        <w:footnoteReference w:id="198"/>
      </w:r>
      <w:r w:rsidR="00814879">
        <w:t xml:space="preserve"> This was</w:t>
      </w:r>
      <w:r w:rsidRPr="00DE3233">
        <w:t xml:space="preserve"> supported by advice from </w:t>
      </w:r>
      <w:r>
        <w:t xml:space="preserve">Powerlink's </w:t>
      </w:r>
      <w:r w:rsidRPr="00DE3233">
        <w:t>consultants</w:t>
      </w:r>
      <w:r>
        <w:t>,</w:t>
      </w:r>
      <w:r w:rsidRPr="00DE3233">
        <w:t xml:space="preserve"> Ernst and Young</w:t>
      </w:r>
      <w:r>
        <w:t>,</w:t>
      </w:r>
      <w:r w:rsidRPr="00DE3233">
        <w:t xml:space="preserve"> about the likelihood and plausibility of a number of major connections projects proceeding in the near future and the impact on maximum demand.</w:t>
      </w:r>
      <w:r>
        <w:rPr>
          <w:rStyle w:val="FootnoteReference"/>
        </w:rPr>
        <w:footnoteReference w:id="199"/>
      </w:r>
      <w:r w:rsidRPr="00DE3233">
        <w:t xml:space="preserve"> </w:t>
      </w:r>
      <w:r>
        <w:t xml:space="preserve">However, </w:t>
      </w:r>
      <w:r w:rsidRPr="00DE3233">
        <w:t xml:space="preserve">Powerlink </w:t>
      </w:r>
      <w:r>
        <w:t>stated that</w:t>
      </w:r>
      <w:r w:rsidRPr="00DE3233">
        <w:t xml:space="preserve"> “the precise timing, scope and scale of the trigger conditions are still uncertain” and </w:t>
      </w:r>
      <w:r>
        <w:t>for each project it will</w:t>
      </w:r>
      <w:r w:rsidRPr="00DE3233">
        <w:t xml:space="preserve"> conduct regulatory investment tests for transmission (RIT-T) including an assessment of alternative network and non-network options.</w:t>
      </w:r>
      <w:r w:rsidRPr="00DE3233">
        <w:rPr>
          <w:rStyle w:val="FootnoteReference"/>
        </w:rPr>
        <w:footnoteReference w:id="200"/>
      </w:r>
      <w:r w:rsidRPr="00DE3233">
        <w:t xml:space="preserve">    </w:t>
      </w:r>
    </w:p>
    <w:p w:rsidR="008C7B59" w:rsidRDefault="008C7B59" w:rsidP="008C7B59">
      <w:r>
        <w:t>We reviewed each project based on Powerlink's analysis, the Ernst and Young report and our own analysis. Given the uncertainty about the timing and requirements for each project, at this stage, it is not necessary to assess the costs and technical scope of each project in detail. Rather, we reviewed whether</w:t>
      </w:r>
      <w:r w:rsidRPr="00DE3233">
        <w:t xml:space="preserve"> each</w:t>
      </w:r>
      <w:r>
        <w:t xml:space="preserve"> contingent</w:t>
      </w:r>
      <w:r w:rsidRPr="00DE3233">
        <w:t xml:space="preserve"> project is reasonably likely to </w:t>
      </w:r>
      <w:r>
        <w:t>be required</w:t>
      </w:r>
      <w:r w:rsidRPr="00DE3233">
        <w:t xml:space="preserve"> in the</w:t>
      </w:r>
      <w:r>
        <w:t xml:space="preserve"> 2017–22</w:t>
      </w:r>
      <w:r w:rsidRPr="00DE3233">
        <w:t xml:space="preserve"> regulatory period</w:t>
      </w:r>
      <w:r>
        <w:t xml:space="preserve"> based on the materiality and plausibility of the trigger conditions. This gives us a high-level view of </w:t>
      </w:r>
      <w:r>
        <w:lastRenderedPageBreak/>
        <w:t xml:space="preserve">whether each project is </w:t>
      </w:r>
      <w:r w:rsidRPr="00512191">
        <w:t xml:space="preserve">reasonably required to </w:t>
      </w:r>
      <w:r>
        <w:t xml:space="preserve">be undertaken in the regulatory control period in order to </w:t>
      </w:r>
      <w:r w:rsidRPr="00512191">
        <w:t>achieve any of the capex objectives</w:t>
      </w:r>
      <w:r>
        <w:t xml:space="preserve"> and reflect the capex criteria.</w:t>
      </w:r>
    </w:p>
    <w:p w:rsidR="008C7B59" w:rsidRDefault="008C7B59" w:rsidP="008C7B59">
      <w:r>
        <w:t xml:space="preserve">We also considered whether </w:t>
      </w:r>
      <w:r w:rsidRPr="00512191">
        <w:t>the</w:t>
      </w:r>
      <w:r>
        <w:t xml:space="preserve"> proposed</w:t>
      </w:r>
      <w:r w:rsidRPr="00512191">
        <w:t xml:space="preserve"> trigger events</w:t>
      </w:r>
      <w:r>
        <w:t xml:space="preserve"> for each project</w:t>
      </w:r>
      <w:r w:rsidRPr="00512191">
        <w:t xml:space="preserve"> are </w:t>
      </w:r>
      <w:r w:rsidRPr="00EA65FD">
        <w:t>appropriate</w:t>
      </w:r>
      <w:r w:rsidRPr="00512191">
        <w:t>. This include</w:t>
      </w:r>
      <w:r>
        <w:t>s</w:t>
      </w:r>
      <w:r w:rsidRPr="00512191">
        <w:t xml:space="preserve"> </w:t>
      </w:r>
      <w:r>
        <w:t xml:space="preserve">having regard to the need for the trigger event: </w:t>
      </w:r>
    </w:p>
    <w:p w:rsidR="008C7B59" w:rsidRPr="00897BFC" w:rsidRDefault="008C7B59" w:rsidP="008C7B59">
      <w:pPr>
        <w:pStyle w:val="AERbulletlistfirststyle"/>
      </w:pPr>
      <w:r>
        <w:t xml:space="preserve">to be </w:t>
      </w:r>
      <w:r w:rsidRPr="00897BFC">
        <w:t xml:space="preserve">reasonably specific </w:t>
      </w:r>
      <w:r w:rsidRPr="00EA65FD">
        <w:t>a</w:t>
      </w:r>
      <w:r w:rsidRPr="00897BFC">
        <w:t>nd ca</w:t>
      </w:r>
      <w:r>
        <w:t>pable of objective verification;</w:t>
      </w:r>
      <w:r w:rsidRPr="00897BFC">
        <w:rPr>
          <w:rStyle w:val="FootnoteReference"/>
        </w:rPr>
        <w:footnoteReference w:id="201"/>
      </w:r>
      <w:r w:rsidRPr="00897BFC">
        <w:t xml:space="preserve"> </w:t>
      </w:r>
    </w:p>
    <w:p w:rsidR="008C7B59" w:rsidRPr="00897BFC" w:rsidRDefault="008C7B59" w:rsidP="008C7B59">
      <w:pPr>
        <w:pStyle w:val="AERbulletlistfirststyle"/>
      </w:pPr>
      <w:r>
        <w:t>to be a condition or event which, i</w:t>
      </w:r>
      <w:r w:rsidRPr="00897BFC">
        <w:t>f it occurs, makes the project reasonably necessary in order to achieve any of the capex objectives</w:t>
      </w:r>
      <w:r>
        <w:t>;</w:t>
      </w:r>
      <w:r w:rsidRPr="00897BFC">
        <w:rPr>
          <w:rStyle w:val="FootnoteReference"/>
        </w:rPr>
        <w:footnoteReference w:id="202"/>
      </w:r>
      <w:r w:rsidRPr="00897BFC">
        <w:t xml:space="preserve"> </w:t>
      </w:r>
    </w:p>
    <w:p w:rsidR="008C7B59" w:rsidRPr="00897BFC" w:rsidRDefault="008C7B59" w:rsidP="008C7B59">
      <w:pPr>
        <w:pStyle w:val="AERbulletlistfirststyle"/>
      </w:pPr>
      <w:r>
        <w:t xml:space="preserve">to be a condition or event that generates increased costs or categories of costs that relate to a specific location rather than a condition or event that </w:t>
      </w:r>
      <w:r w:rsidRPr="00EA65FD">
        <w:t>affects</w:t>
      </w:r>
      <w:r>
        <w:t xml:space="preserve"> the transmission network as a whole;</w:t>
      </w:r>
      <w:r w:rsidRPr="00897BFC">
        <w:rPr>
          <w:rStyle w:val="FootnoteReference"/>
        </w:rPr>
        <w:footnoteReference w:id="203"/>
      </w:r>
    </w:p>
    <w:p w:rsidR="008C7B59" w:rsidRPr="00897BFC" w:rsidRDefault="008C7B59" w:rsidP="008C7B59">
      <w:pPr>
        <w:pStyle w:val="AERbulletlistfirststyle"/>
      </w:pPr>
      <w:r w:rsidRPr="00512191">
        <w:t xml:space="preserve">is </w:t>
      </w:r>
      <w:r w:rsidRPr="00EA65FD">
        <w:t>described</w:t>
      </w:r>
      <w:r w:rsidRPr="00897BFC">
        <w:t xml:space="preserve"> in such terms that it is all that is required for the revenue determination to be amended</w:t>
      </w:r>
      <w:r>
        <w:t>;</w:t>
      </w:r>
      <w:r w:rsidRPr="00897BFC">
        <w:rPr>
          <w:rStyle w:val="FootnoteReference"/>
        </w:rPr>
        <w:footnoteReference w:id="204"/>
      </w:r>
      <w:r w:rsidRPr="00897BFC">
        <w:t xml:space="preserve"> </w:t>
      </w:r>
    </w:p>
    <w:p w:rsidR="008C7B59" w:rsidRPr="00897BFC" w:rsidRDefault="008C7B59" w:rsidP="008C7B59">
      <w:pPr>
        <w:pStyle w:val="AERbulletlistfirststyle"/>
      </w:pPr>
      <w:r>
        <w:t>is</w:t>
      </w:r>
      <w:r w:rsidRPr="00897BFC">
        <w:t xml:space="preserve"> probable during the </w:t>
      </w:r>
      <w:r>
        <w:t>2017–22</w:t>
      </w:r>
      <w:r w:rsidRPr="00897BFC">
        <w:t xml:space="preserve"> period but the inclusion of capex in relation to it (in the total forecast capex) is not appropriate because either it is not sufficiently certain that the event or condition will occur during the regulatory control period or if it may occur after that period or not at all; or (and assuming it meets the threshold) the costs associated with the event or condition are not sufficiently certain.</w:t>
      </w:r>
      <w:r w:rsidRPr="00897BFC">
        <w:rPr>
          <w:rStyle w:val="FootnoteReference"/>
        </w:rPr>
        <w:footnoteReference w:id="205"/>
      </w:r>
    </w:p>
    <w:p w:rsidR="008C7B59" w:rsidRPr="008C7B59" w:rsidRDefault="008C7B59" w:rsidP="008C7B59">
      <w:pPr>
        <w:pStyle w:val="Heading8"/>
      </w:pPr>
      <w:bookmarkStart w:id="298" w:name="_Toc460239585"/>
      <w:bookmarkStart w:id="299" w:name="_Toc460321539"/>
      <w:bookmarkStart w:id="300" w:name="_Toc462752320"/>
      <w:r w:rsidRPr="002C60C8">
        <w:t>Position</w:t>
      </w:r>
      <w:bookmarkEnd w:id="298"/>
      <w:bookmarkEnd w:id="299"/>
      <w:bookmarkEnd w:id="300"/>
    </w:p>
    <w:p w:rsidR="008C7B59" w:rsidRPr="008C7B59" w:rsidRDefault="008C7B59" w:rsidP="008C7B59">
      <w:pPr>
        <w:pStyle w:val="Heading9"/>
      </w:pPr>
      <w:bookmarkStart w:id="301" w:name="_Toc460239333"/>
      <w:bookmarkStart w:id="302" w:name="_Toc460239586"/>
      <w:bookmarkStart w:id="303" w:name="_Toc460321540"/>
      <w:bookmarkStart w:id="304" w:name="_Toc460582400"/>
      <w:bookmarkStart w:id="305" w:name="_Toc462062180"/>
      <w:bookmarkStart w:id="306" w:name="_Toc462752321"/>
      <w:r w:rsidRPr="00DF21D5">
        <w:t>Position on contingent projects</w:t>
      </w:r>
      <w:bookmarkEnd w:id="301"/>
      <w:bookmarkEnd w:id="302"/>
      <w:bookmarkEnd w:id="303"/>
      <w:bookmarkEnd w:id="304"/>
      <w:bookmarkEnd w:id="305"/>
      <w:bookmarkEnd w:id="306"/>
    </w:p>
    <w:p w:rsidR="008C7B59" w:rsidRDefault="008C7B59" w:rsidP="008C7B59">
      <w:r>
        <w:t xml:space="preserve">We consider that five of Powerlink's proposed contingent projects should be classified as contingent projects for the 2017–22 </w:t>
      </w:r>
      <w:proofErr w:type="gramStart"/>
      <w:r>
        <w:t>period</w:t>
      </w:r>
      <w:proofErr w:type="gramEnd"/>
      <w:r>
        <w:t>.</w:t>
      </w:r>
      <w:r w:rsidRPr="00507920">
        <w:t xml:space="preserve"> </w:t>
      </w:r>
      <w:r>
        <w:t>These five projects are:</w:t>
      </w:r>
    </w:p>
    <w:p w:rsidR="008C7B59" w:rsidRDefault="008C7B59" w:rsidP="008C7B59">
      <w:pPr>
        <w:pStyle w:val="AERbulletlistfirststyle"/>
      </w:pPr>
      <w:r w:rsidRPr="00EF3317">
        <w:t>Central to North Queensland Reinforcement</w:t>
      </w:r>
    </w:p>
    <w:p w:rsidR="008C7B59" w:rsidRDefault="008C7B59" w:rsidP="008C7B59">
      <w:pPr>
        <w:pStyle w:val="AERbulletlistfirststyle"/>
      </w:pPr>
      <w:r w:rsidRPr="00EF3317">
        <w:t>Northern Bowen Basin area</w:t>
      </w:r>
    </w:p>
    <w:p w:rsidR="008C7B59" w:rsidRDefault="008C7B59" w:rsidP="008C7B59">
      <w:pPr>
        <w:pStyle w:val="AERbulletlistfirststyle"/>
      </w:pPr>
      <w:r w:rsidRPr="00EF3317">
        <w:t>Bowen Industrial Estate</w:t>
      </w:r>
    </w:p>
    <w:p w:rsidR="008C7B59" w:rsidRDefault="008C7B59" w:rsidP="008C7B59">
      <w:pPr>
        <w:pStyle w:val="AERbulletlistfirststyle"/>
      </w:pPr>
      <w:r w:rsidRPr="00EF3317">
        <w:t>QNI upgrade (Queensland component)</w:t>
      </w:r>
    </w:p>
    <w:p w:rsidR="008C7B59" w:rsidRDefault="008C7B59" w:rsidP="008C7B59">
      <w:pPr>
        <w:pStyle w:val="AERbulletlistfirststyle"/>
      </w:pPr>
      <w:r>
        <w:t>Gladstone area reinforcement</w:t>
      </w:r>
    </w:p>
    <w:p w:rsidR="008C7B59" w:rsidRDefault="008C7B59" w:rsidP="008C7B59">
      <w:r>
        <w:t xml:space="preserve">These five projects may be </w:t>
      </w:r>
      <w:r w:rsidRPr="00512191">
        <w:t xml:space="preserve">reasonably required to </w:t>
      </w:r>
      <w:r>
        <w:t>be undertaken in order to meet or</w:t>
      </w:r>
      <w:r w:rsidRPr="00E42AA4">
        <w:t xml:space="preserve"> manage the expected demand </w:t>
      </w:r>
      <w:r>
        <w:t xml:space="preserve">for transmission services, and/or maintain reliability, over the 2017–22 regulatory period. This is because these projects will be triggered by identifiable connections projects which will add significant load to the transmission </w:t>
      </w:r>
      <w:r>
        <w:lastRenderedPageBreak/>
        <w:t xml:space="preserve">network (e.g. coal mines and LNG expansions), and the </w:t>
      </w:r>
      <w:r w:rsidRPr="00E42AA4">
        <w:t>likelihood that the</w:t>
      </w:r>
      <w:r>
        <w:t xml:space="preserve"> specific</w:t>
      </w:r>
      <w:r w:rsidRPr="00E42AA4">
        <w:t xml:space="preserve"> conn</w:t>
      </w:r>
      <w:r>
        <w:t>ection projects will proceed over the 2017–22 period</w:t>
      </w:r>
      <w:r w:rsidRPr="00E42AA4">
        <w:t xml:space="preserve"> is </w:t>
      </w:r>
      <w:r>
        <w:t xml:space="preserve">reasonable or plausible. </w:t>
      </w:r>
    </w:p>
    <w:p w:rsidR="008C7B59" w:rsidRDefault="008C7B59" w:rsidP="008C7B59">
      <w:r>
        <w:t xml:space="preserve">However, we consider that the North West Surat Basin Area and Southern Galilee Basin contingent projects are not reasonably required to be undertaken over the 2017–22 </w:t>
      </w:r>
      <w:proofErr w:type="gramStart"/>
      <w:r>
        <w:t>period</w:t>
      </w:r>
      <w:proofErr w:type="gramEnd"/>
      <w:r>
        <w:t xml:space="preserve">. These two projects are triggered by the establishment of major customer connections from new coal mines and LNG expansions. However, our analysis suggests that these major connections are very unlikely to occur over the 2017–22. This means it is not reasonably likely that Powerlink will need to upgrade the capacity of its network to satisfy additional load from these connections. On this basis, we </w:t>
      </w:r>
      <w:r w:rsidR="00814879">
        <w:t xml:space="preserve">do not accept </w:t>
      </w:r>
      <w:r>
        <w:t>these two projects as contingent projects.</w:t>
      </w:r>
    </w:p>
    <w:p w:rsidR="008C7B59" w:rsidRDefault="008C7B59" w:rsidP="008C7B59">
      <w:r>
        <w:t xml:space="preserve">Our review of the requirements for each proposed contingent project is set out in section </w:t>
      </w:r>
      <w:r>
        <w:fldChar w:fldCharType="begin"/>
      </w:r>
      <w:r>
        <w:instrText xml:space="preserve"> REF _Ref459300179 \r \h </w:instrText>
      </w:r>
      <w:r>
        <w:fldChar w:fldCharType="separate"/>
      </w:r>
      <w:r w:rsidR="005252EC">
        <w:t>D.3</w:t>
      </w:r>
      <w:r>
        <w:fldChar w:fldCharType="end"/>
      </w:r>
      <w:r>
        <w:t xml:space="preserve"> below.</w:t>
      </w:r>
    </w:p>
    <w:p w:rsidR="008C7B59" w:rsidRPr="008C7B59" w:rsidRDefault="008C7B59" w:rsidP="008C7B59">
      <w:pPr>
        <w:pStyle w:val="Heading9"/>
      </w:pPr>
      <w:bookmarkStart w:id="307" w:name="_Ref459805507"/>
      <w:bookmarkStart w:id="308" w:name="_Toc460239334"/>
      <w:bookmarkStart w:id="309" w:name="_Toc460239587"/>
      <w:bookmarkStart w:id="310" w:name="_Toc460321541"/>
      <w:bookmarkStart w:id="311" w:name="_Toc460582401"/>
      <w:bookmarkStart w:id="312" w:name="_Toc462062181"/>
      <w:bookmarkStart w:id="313" w:name="_Toc462752322"/>
      <w:r w:rsidRPr="00E42AA4">
        <w:t xml:space="preserve">Review of </w:t>
      </w:r>
      <w:r w:rsidRPr="008C7B59">
        <w:t>trigger events</w:t>
      </w:r>
      <w:bookmarkEnd w:id="307"/>
      <w:bookmarkEnd w:id="308"/>
      <w:bookmarkEnd w:id="309"/>
      <w:bookmarkEnd w:id="310"/>
      <w:bookmarkEnd w:id="311"/>
      <w:bookmarkEnd w:id="312"/>
      <w:bookmarkEnd w:id="313"/>
    </w:p>
    <w:p w:rsidR="008C7B59" w:rsidRDefault="008C7B59" w:rsidP="008C7B59">
      <w:r>
        <w:t>Powerlink's trigger events for each contingent project have three common elements:</w:t>
      </w:r>
    </w:p>
    <w:p w:rsidR="008C7B59" w:rsidRDefault="008C7B59" w:rsidP="008C7B59">
      <w:pPr>
        <w:pStyle w:val="AERbulletlistfirststyle"/>
      </w:pPr>
      <w:r>
        <w:t>the commitment of additional load that will require an upgrade of capacity</w:t>
      </w:r>
    </w:p>
    <w:p w:rsidR="008C7B59" w:rsidRPr="00116552" w:rsidRDefault="008C7B59" w:rsidP="008C7B59">
      <w:pPr>
        <w:pStyle w:val="AERbulletlistfirststyle"/>
      </w:pPr>
      <w:r>
        <w:t>t</w:t>
      </w:r>
      <w:r w:rsidRPr="00116552">
        <w:t>he successful completion of a RIT-T</w:t>
      </w:r>
    </w:p>
    <w:p w:rsidR="008C7B59" w:rsidRDefault="008C7B59" w:rsidP="008C7B59">
      <w:pPr>
        <w:pStyle w:val="AERbulletlistfirststyle"/>
      </w:pPr>
      <w:r w:rsidRPr="00116552">
        <w:t>Powerlink Board commitment to proceed with the project</w:t>
      </w:r>
      <w:r>
        <w:t>.</w:t>
      </w:r>
    </w:p>
    <w:p w:rsidR="008C7B59" w:rsidRDefault="008C7B59" w:rsidP="008C7B59">
      <w:r>
        <w:t>Broadly, t</w:t>
      </w:r>
      <w:r w:rsidRPr="00116552">
        <w:t>hese triggers are appropriate because</w:t>
      </w:r>
      <w:r>
        <w:t xml:space="preserve"> they </w:t>
      </w:r>
      <w:r w:rsidRPr="00116552">
        <w:t>are specific and verifiable</w:t>
      </w:r>
      <w:r>
        <w:t xml:space="preserve">. It is likely that the first element </w:t>
      </w:r>
      <w:proofErr w:type="gramStart"/>
      <w:r>
        <w:t>will  increase</w:t>
      </w:r>
      <w:proofErr w:type="gramEnd"/>
      <w:r>
        <w:t xml:space="preserve"> costs in a specific location due to additional load requiring capacity upgrades. The successful completion of a</w:t>
      </w:r>
      <w:r w:rsidRPr="00116552">
        <w:t xml:space="preserve"> RIT-T process </w:t>
      </w:r>
      <w:r>
        <w:t>may demonstrate that</w:t>
      </w:r>
      <w:r w:rsidRPr="00897BFC">
        <w:t xml:space="preserve"> </w:t>
      </w:r>
      <w:r>
        <w:t>a</w:t>
      </w:r>
      <w:r w:rsidRPr="00897BFC">
        <w:t xml:space="preserve"> project </w:t>
      </w:r>
      <w:r>
        <w:t xml:space="preserve">is </w:t>
      </w:r>
      <w:r w:rsidRPr="00897BFC">
        <w:t>reasonably necessary in order to achieve the capex objectives</w:t>
      </w:r>
      <w:r>
        <w:t xml:space="preserve"> and the capex criteria.</w:t>
      </w:r>
    </w:p>
    <w:p w:rsidR="008C7B59" w:rsidRPr="008C7B59" w:rsidRDefault="008C7B59" w:rsidP="00814879">
      <w:r>
        <w:t xml:space="preserve">We consider that </w:t>
      </w:r>
      <w:r w:rsidRPr="008C7B59">
        <w:t>Powerlink’s proposed trigger events are not sufficient. In particular, the occurrence of the trigger event should make the undertaking of the proposed contingent project reasonably necessary in order to achieve any of the capex objectives,</w:t>
      </w:r>
      <w:r w:rsidRPr="008C7B59">
        <w:rPr>
          <w:rStyle w:val="FootnoteReference"/>
        </w:rPr>
        <w:footnoteReference w:id="206"/>
      </w:r>
      <w:r w:rsidRPr="008C7B59">
        <w:t xml:space="preserve"> specifically to meet or manage expected demand for prescribed transmission services. We consider the following indicative trigger events are required in order to be satisfied that a project should be included as a contingent project:</w:t>
      </w:r>
    </w:p>
    <w:p w:rsidR="008C7B59" w:rsidRPr="009E2437" w:rsidRDefault="008C7B59" w:rsidP="008C7B59">
      <w:pPr>
        <w:pStyle w:val="ListNumber"/>
      </w:pPr>
      <w:r w:rsidRPr="00244454">
        <w:t>Specific detail about the amount and location of additional load required to trigger the contingent project</w:t>
      </w:r>
      <w:r w:rsidRPr="009E2437">
        <w:t>;</w:t>
      </w:r>
    </w:p>
    <w:p w:rsidR="008C7B59" w:rsidRPr="009E2437" w:rsidRDefault="008C7B59" w:rsidP="008C7B59">
      <w:pPr>
        <w:pStyle w:val="ListNumber"/>
      </w:pPr>
      <w:r w:rsidRPr="00244454">
        <w:t>Successful completion of the regulatory investment test for transmission (RIT-T) demonstrating positive net market benefits</w:t>
      </w:r>
      <w:r w:rsidRPr="009E2437">
        <w:t>;</w:t>
      </w:r>
    </w:p>
    <w:p w:rsidR="008C7B59" w:rsidRPr="009E2437" w:rsidRDefault="008C7B59" w:rsidP="008C7B59">
      <w:pPr>
        <w:pStyle w:val="ListNumber"/>
      </w:pPr>
      <w:r w:rsidRPr="00244454">
        <w:t>Determination by the AER under clause 5.16.6 of the NER that the proposed investment satisfies the regulatory investment test for transmission (compliance review)</w:t>
      </w:r>
      <w:r w:rsidRPr="009E2437">
        <w:t>; and</w:t>
      </w:r>
    </w:p>
    <w:p w:rsidR="008C7B59" w:rsidRPr="009E2437" w:rsidRDefault="008C7B59" w:rsidP="008C7B59">
      <w:pPr>
        <w:pStyle w:val="ListNumber"/>
      </w:pPr>
      <w:r>
        <w:lastRenderedPageBreak/>
        <w:t xml:space="preserve">Powerlink </w:t>
      </w:r>
      <w:r w:rsidRPr="009E2437">
        <w:t>Board commitment to proceed with the project prior to submitting an application to the AER seeking an amendment to the revenue determination pursuant to the NER.</w:t>
      </w:r>
    </w:p>
    <w:p w:rsidR="008C7B59" w:rsidRPr="008C7B59" w:rsidRDefault="008C7B59" w:rsidP="00814879">
      <w:r w:rsidRPr="00244454">
        <w:t>Broadly, the first and fourth triggers above are appropriate because they are specific and verifiable</w:t>
      </w:r>
      <w:r w:rsidRPr="008C7B59">
        <w:t xml:space="preserve">. Additionally the first trigger will increase costs in a specific location due to additional load requiring capacity upgrades. The successful completion of a RIT-T process is an important step to ensuring that the capex for a project will achieve the capex objectives and the capex criteria. However, the completion of a RIT-T will not automatically ensure that the cost and scope of the proposed contingent project will satisfy the capex objectives and capex criteria. Clause 5.16.6 of the NER provides an option for a TNSP to request the AER to make a determination as to whether the preferred project option within a RIT-T satisfies the regulatory investment test for transmission. This provides an independent assessment that the RIT-T is successfully completed, and gives us greater confidence that the resulting project will satisfy the capex objectives. </w:t>
      </w:r>
    </w:p>
    <w:p w:rsidR="008C7B59" w:rsidRDefault="008C7B59" w:rsidP="008C7B59">
      <w:r w:rsidRPr="00244454">
        <w:t>Powerlink’s contingent projects include some, but not all, of the four triggers required in order for us to be satisfied that a project should be included as a contingent project.</w:t>
      </w:r>
      <w:r w:rsidR="00F83EAC">
        <w:t xml:space="preserve"> </w:t>
      </w:r>
      <w:r>
        <w:t>Therefore, we are not satisfied that each trigger event for the contingent projects satisfies the criteria required for the trigger event to be considered appropriate.</w:t>
      </w:r>
      <w:r>
        <w:rPr>
          <w:rStyle w:val="FootnoteReference"/>
        </w:rPr>
        <w:footnoteReference w:id="207"/>
      </w:r>
      <w:r>
        <w:t xml:space="preserve"> This is for two reasons.</w:t>
      </w:r>
    </w:p>
    <w:p w:rsidR="008C7B59" w:rsidRPr="00F83EAC" w:rsidRDefault="008C7B59" w:rsidP="00F83EAC">
      <w:pPr>
        <w:pStyle w:val="HeadingBoldBlue"/>
      </w:pPr>
      <w:r w:rsidRPr="00F83EAC">
        <w:t>Successful completion of RIT-T</w:t>
      </w:r>
    </w:p>
    <w:p w:rsidR="008C7B59" w:rsidRDefault="008C7B59" w:rsidP="008C7B59">
      <w:r>
        <w:t>Firstly, as noted above, the successful completion of a RIT-T is an important step to ensure that the capex for a project will achieve the</w:t>
      </w:r>
      <w:r w:rsidRPr="00897BFC">
        <w:t xml:space="preserve"> capex objectives</w:t>
      </w:r>
      <w:r>
        <w:t xml:space="preserve"> and the capex criteria. However, the RIT-T involves some level of judgement and discretion as to the assessment of credible options and applying economic cost-benefit analysis. This means that its completion will not automatically ensure that the cost and scope of the proposed contingent project will satisfy the capex objectives and capex criteria.  </w:t>
      </w:r>
    </w:p>
    <w:p w:rsidR="008C7B59" w:rsidRDefault="008C7B59" w:rsidP="008C7B59">
      <w:r>
        <w:t xml:space="preserve">Clause 5.16.6 of the NER provides an option for a TNSP to request the AER to </w:t>
      </w:r>
      <w:r w:rsidRPr="005D5E1C">
        <w:t>make a determination as to whether the preferred</w:t>
      </w:r>
      <w:r>
        <w:t xml:space="preserve"> project</w:t>
      </w:r>
      <w:r w:rsidRPr="005D5E1C">
        <w:t xml:space="preserve"> option</w:t>
      </w:r>
      <w:r>
        <w:t xml:space="preserve"> within a RIT-T</w:t>
      </w:r>
      <w:r w:rsidRPr="005D5E1C">
        <w:t xml:space="preserve"> satisfies the regulatory investment test for transmission.</w:t>
      </w:r>
      <w:r>
        <w:t xml:space="preserve"> This provides an independent assessment that the RIT-T is successfully completed, and gives</w:t>
      </w:r>
      <w:r w:rsidRPr="0033299B">
        <w:t xml:space="preserve"> us greater confidence that the resulting project wi</w:t>
      </w:r>
      <w:r>
        <w:t>ll satisfy the capex objectives</w:t>
      </w:r>
      <w:r w:rsidRPr="0033299B">
        <w:t>.</w:t>
      </w:r>
      <w:r>
        <w:t xml:space="preserve"> Therefore, we consider that each </w:t>
      </w:r>
      <w:r w:rsidRPr="0033299B">
        <w:t>project should include</w:t>
      </w:r>
      <w:r>
        <w:t xml:space="preserve"> the following additional trigger:</w:t>
      </w:r>
    </w:p>
    <w:p w:rsidR="008C7B59" w:rsidRDefault="008C7B59" w:rsidP="008C7B59">
      <w:pPr>
        <w:pStyle w:val="AERquote"/>
      </w:pPr>
      <w:r w:rsidRPr="0033299B">
        <w:t xml:space="preserve"> “</w:t>
      </w:r>
      <w:proofErr w:type="gramStart"/>
      <w:r w:rsidRPr="0033299B">
        <w:t>a</w:t>
      </w:r>
      <w:proofErr w:type="gramEnd"/>
      <w:r w:rsidRPr="0033299B">
        <w:t xml:space="preserve"> determination by the AER (under Clause 5.16.6 of the National Electricity Rules) that the proposed investment satisfies the regulatory investment test for transmission”.</w:t>
      </w:r>
      <w:r>
        <w:t xml:space="preserve"> </w:t>
      </w:r>
    </w:p>
    <w:p w:rsidR="008C7B59" w:rsidRDefault="008C7B59" w:rsidP="008C7B59">
      <w:r>
        <w:t xml:space="preserve">Powerlink includes this requirement for an AER determination under Clause 5.16.6 of the NER for three of its contingent projects: the Central to North Queensland </w:t>
      </w:r>
      <w:r>
        <w:lastRenderedPageBreak/>
        <w:t>Reinforcement project, the QNI upgrade project (Queensland component), and the Central West to Gladstone Area Reinforcement project. We require that Powerlink modify the trigger events for the Northern Bowen Basin area project and the Bowen Industrial Estate project to include this trigger.</w:t>
      </w:r>
    </w:p>
    <w:p w:rsidR="008C7B59" w:rsidRPr="005D5E1C" w:rsidRDefault="008C7B59" w:rsidP="00F83EAC">
      <w:pPr>
        <w:pStyle w:val="HeadingBoldBlue"/>
      </w:pPr>
      <w:r>
        <w:t>Commitment of additional load</w:t>
      </w:r>
    </w:p>
    <w:p w:rsidR="008C7B59" w:rsidRDefault="008C7B59" w:rsidP="008C7B59">
      <w:r>
        <w:t>Second, each project includes a trigger event which specifies that the project will be triggered by the commitment of additional load onto the network (thereby adding constraints to the network). However, several of the contingent projects are</w:t>
      </w:r>
      <w:r w:rsidRPr="0033299B" w:rsidDel="004A658B">
        <w:t xml:space="preserve"> only broadly specified in terms of “additional load” </w:t>
      </w:r>
      <w:r>
        <w:t xml:space="preserve">rather than a specific amount of additional load. This means that this trigger is not specific and verifiable. </w:t>
      </w:r>
    </w:p>
    <w:p w:rsidR="008C7B59" w:rsidRDefault="008C7B59" w:rsidP="008C7B59">
      <w:r>
        <w:t>To be reasonably specific and variable, Powerlink should amend the triggers for the following projects to specify the amount and location of additional load required to trigger the project:</w:t>
      </w:r>
    </w:p>
    <w:p w:rsidR="008C7B59" w:rsidDel="004A658B" w:rsidRDefault="008C7B59" w:rsidP="008C7B59">
      <w:pPr>
        <w:pStyle w:val="AERbulletlistfirststyle"/>
      </w:pPr>
      <w:r w:rsidDel="004A658B">
        <w:t>Queensland/NSW Interconnector</w:t>
      </w:r>
    </w:p>
    <w:p w:rsidR="008C7B59" w:rsidDel="004A658B" w:rsidRDefault="008C7B59" w:rsidP="008C7B59">
      <w:pPr>
        <w:pStyle w:val="AERbulletlistfirststyle"/>
      </w:pPr>
      <w:r w:rsidRPr="0033299B" w:rsidDel="004A658B">
        <w:t>Central to North Queensland Reinforcement</w:t>
      </w:r>
    </w:p>
    <w:p w:rsidR="008C7B59" w:rsidRDefault="008C7B59" w:rsidP="008C7B59">
      <w:pPr>
        <w:pStyle w:val="AERbulletlistfirststyle"/>
      </w:pPr>
      <w:r w:rsidRPr="0033299B" w:rsidDel="004A658B">
        <w:t>Central West to Gladstone.</w:t>
      </w:r>
    </w:p>
    <w:p w:rsidR="008C7B59" w:rsidRDefault="008C7B59" w:rsidP="008C7B59">
      <w:r>
        <w:t xml:space="preserve">The proposed trigger events for each contingent project are set out in section </w:t>
      </w:r>
      <w:r>
        <w:fldChar w:fldCharType="begin"/>
      </w:r>
      <w:r>
        <w:instrText xml:space="preserve"> REF _Ref459300179 \r \h </w:instrText>
      </w:r>
      <w:r>
        <w:fldChar w:fldCharType="separate"/>
      </w:r>
      <w:r w:rsidR="005252EC">
        <w:t>D.3</w:t>
      </w:r>
      <w:r>
        <w:fldChar w:fldCharType="end"/>
      </w:r>
      <w:r>
        <w:t xml:space="preserve">. </w:t>
      </w:r>
    </w:p>
    <w:p w:rsidR="008C7B59" w:rsidRPr="008C7B59" w:rsidRDefault="008C7B59" w:rsidP="008C7B59">
      <w:pPr>
        <w:pStyle w:val="Heading9"/>
      </w:pPr>
      <w:bookmarkStart w:id="314" w:name="_Toc460239335"/>
      <w:bookmarkStart w:id="315" w:name="_Toc460239588"/>
      <w:bookmarkStart w:id="316" w:name="_Toc460321542"/>
      <w:bookmarkStart w:id="317" w:name="_Toc460582402"/>
      <w:bookmarkStart w:id="318" w:name="_Toc462062182"/>
      <w:bookmarkStart w:id="319" w:name="_Toc462752323"/>
      <w:r>
        <w:t>Capital contributions</w:t>
      </w:r>
      <w:bookmarkEnd w:id="314"/>
      <w:bookmarkEnd w:id="315"/>
      <w:bookmarkEnd w:id="316"/>
      <w:bookmarkEnd w:id="317"/>
      <w:bookmarkEnd w:id="318"/>
      <w:bookmarkEnd w:id="319"/>
    </w:p>
    <w:p w:rsidR="008C7B59" w:rsidRPr="00E84C5F" w:rsidRDefault="008C7B59" w:rsidP="008C7B59">
      <w:r w:rsidRPr="00E84C5F" w:rsidDel="0092653F">
        <w:t xml:space="preserve">Across all projects Powerlink has not provided any estimates or information about the associated customer contribution amounts for each project and the boundary between new connection assets and the existing shared network. </w:t>
      </w:r>
      <w:r w:rsidRPr="00E84C5F">
        <w:t>A capital contribution reflects a contribution from the customer (e.g. monetary or contributed asset) towards the cost of the new connection assets.  These contributions are subtracted from total gross capex and as such decrease the revenue that is recoverable from all consumers</w:t>
      </w:r>
      <w:r>
        <w:t>.</w:t>
      </w:r>
    </w:p>
    <w:p w:rsidR="008C7B59" w:rsidRPr="00CF44F2" w:rsidRDefault="008C7B59" w:rsidP="008C7B59">
      <w:r>
        <w:t xml:space="preserve">We asked Powerlink about its assumptions about capital contributions for its proposed contingent projects. </w:t>
      </w:r>
      <w:r w:rsidRPr="00CF44F2">
        <w:t>In response, Powerlink stated:</w:t>
      </w:r>
    </w:p>
    <w:p w:rsidR="008C7B59" w:rsidRDefault="008C7B59" w:rsidP="008C7B59">
      <w:pPr>
        <w:pStyle w:val="AERquote"/>
      </w:pPr>
      <w:r w:rsidRPr="00C61C00">
        <w:t xml:space="preserve">Powerlink’s proposed contingent projects relate only to transmission network investments that augment the capacity of the network for the benefit of all network users in the relevant areas. Consistent with the framework set out in the National Electricity </w:t>
      </w:r>
      <w:r w:rsidRPr="00CF44F2">
        <w:t>Rules</w:t>
      </w:r>
      <w:r w:rsidRPr="00C61C00">
        <w:t>, customers connecting to Powerlink’s transmission network pay shallow connection charges and separate charges for the use of the shared network. As a result there are no capital contributions from customers attributable to Powerlink’s proposed contingent projects.</w:t>
      </w:r>
      <w:r>
        <w:rPr>
          <w:rStyle w:val="FootnoteReference"/>
        </w:rPr>
        <w:footnoteReference w:id="208"/>
      </w:r>
    </w:p>
    <w:p w:rsidR="008C7B59" w:rsidRDefault="008C7B59" w:rsidP="008C7B59">
      <w:r>
        <w:t xml:space="preserve">The process for customers connecting to transmission networks is determined through Chapter 5 of the NER. This specifies that the terms and conditions of a connection </w:t>
      </w:r>
      <w:r>
        <w:lastRenderedPageBreak/>
        <w:t>(including any relevant capital contribution and other charges) will be negotiated and agreed to between the TNSP and the connecting customer.</w:t>
      </w:r>
      <w:r>
        <w:rPr>
          <w:rStyle w:val="FootnoteReference"/>
        </w:rPr>
        <w:footnoteReference w:id="209"/>
      </w:r>
      <w:r>
        <w:t xml:space="preserve"> These clauses do not specify precise terms for the level or amount of capital contributions, or how these costs will be allocated between different customers.</w:t>
      </w:r>
    </w:p>
    <w:p w:rsidR="008C7B59" w:rsidRPr="00CF44F2" w:rsidRDefault="008C7B59" w:rsidP="008C7B59">
      <w:r w:rsidRPr="00AB271F">
        <w:t>Powerlink appears to assume that all customers should pay for the costs of increased capacity because they will benefit from increased capacity in the network. However, the need for increased capacity for most of these contingent projects is triggered</w:t>
      </w:r>
      <w:r>
        <w:t xml:space="preserve"> by</w:t>
      </w:r>
      <w:r w:rsidRPr="00AB271F">
        <w:t xml:space="preserve"> increased demand from specific major customers (e.g. coal mines). The benefit</w:t>
      </w:r>
      <w:r>
        <w:t xml:space="preserve"> of additional capacity</w:t>
      </w:r>
      <w:r w:rsidRPr="00AB271F">
        <w:t xml:space="preserve"> </w:t>
      </w:r>
      <w:r>
        <w:t>for</w:t>
      </w:r>
      <w:r w:rsidRPr="00AB271F">
        <w:t xml:space="preserve"> </w:t>
      </w:r>
      <w:r>
        <w:t>each</w:t>
      </w:r>
      <w:r w:rsidRPr="00AB271F">
        <w:t xml:space="preserve"> customer </w:t>
      </w:r>
      <w:r>
        <w:t xml:space="preserve">should be weighed against the costs faced or incurred by each customer, and Powerlink has not demonstrated that the proposed costs will be shared efficiently among the new customer and existing customers.  </w:t>
      </w:r>
      <w:r w:rsidRPr="00CF44F2">
        <w:t xml:space="preserve"> </w:t>
      </w:r>
    </w:p>
    <w:p w:rsidR="008C7B59" w:rsidRDefault="008C7B59" w:rsidP="008C7B59">
      <w:r>
        <w:t>In addition, the c</w:t>
      </w:r>
      <w:r w:rsidRPr="008F3EDC" w:rsidDel="0092653F">
        <w:t xml:space="preserve">apital contributions amounts </w:t>
      </w:r>
      <w:r>
        <w:t>that Powerlink will require from some of these major connecting customers</w:t>
      </w:r>
      <w:r w:rsidRPr="008F3EDC" w:rsidDel="0092653F">
        <w:t xml:space="preserve"> </w:t>
      </w:r>
      <w:r>
        <w:t>may also be</w:t>
      </w:r>
      <w:r w:rsidRPr="008F3EDC" w:rsidDel="0092653F">
        <w:t xml:space="preserve"> significant if th</w:t>
      </w:r>
      <w:r>
        <w:t xml:space="preserve">ey reflect </w:t>
      </w:r>
      <w:r w:rsidRPr="008F3EDC" w:rsidDel="0092653F">
        <w:t xml:space="preserve">large single block loads (e.g. </w:t>
      </w:r>
      <w:r>
        <w:t xml:space="preserve">a </w:t>
      </w:r>
      <w:r w:rsidRPr="008F3EDC" w:rsidDel="0092653F">
        <w:t>new mine or port).</w:t>
      </w:r>
      <w:r>
        <w:t xml:space="preserve"> This may alter the decision (e.g. timing) for the connection customers to apply for the connection to the transmission network. </w:t>
      </w:r>
    </w:p>
    <w:p w:rsidR="008C7B59" w:rsidRPr="008F3EDC" w:rsidRDefault="008C7B59" w:rsidP="008C7B59">
      <w:r>
        <w:t>We encourage Powerlink to provide us with more information in its revised proposal about the capital contributions it can expect for each of its contingent projects. We will take this into account in our final decision.</w:t>
      </w:r>
    </w:p>
    <w:p w:rsidR="008C7B59" w:rsidRPr="008C7B59" w:rsidRDefault="008C7B59" w:rsidP="008C7B59">
      <w:pPr>
        <w:pStyle w:val="Heading9"/>
      </w:pPr>
      <w:bookmarkStart w:id="320" w:name="_Toc460321543"/>
      <w:bookmarkStart w:id="321" w:name="_Toc460582403"/>
      <w:bookmarkStart w:id="322" w:name="_Toc462062183"/>
      <w:bookmarkStart w:id="323" w:name="_Toc462752324"/>
      <w:r>
        <w:t>Additional</w:t>
      </w:r>
      <w:r w:rsidRPr="008C7B59">
        <w:t xml:space="preserve"> requirements</w:t>
      </w:r>
      <w:bookmarkEnd w:id="320"/>
      <w:bookmarkEnd w:id="321"/>
      <w:bookmarkEnd w:id="322"/>
      <w:bookmarkEnd w:id="323"/>
    </w:p>
    <w:p w:rsidR="008C7B59" w:rsidRDefault="008C7B59" w:rsidP="008C7B59">
      <w:pPr>
        <w:pStyle w:val="ListParagraph"/>
        <w:numPr>
          <w:ilvl w:val="0"/>
          <w:numId w:val="23"/>
        </w:numPr>
      </w:pPr>
      <w:r>
        <w:t>We find that all projects exceed the defined threshold in the NER ($30 million or 5 per cent of maximum allowable revenue) and are not otherwise provided for in the ex-ante capex forecasts. Therefore each project satisfies these requirements in the NER.</w:t>
      </w:r>
      <w:r>
        <w:rPr>
          <w:rStyle w:val="FootnoteReference"/>
        </w:rPr>
        <w:footnoteReference w:id="210"/>
      </w:r>
    </w:p>
    <w:p w:rsidR="008C7B59" w:rsidRPr="008C7B59" w:rsidRDefault="008C7B59" w:rsidP="008C7B59">
      <w:pPr>
        <w:pStyle w:val="Heading8"/>
      </w:pPr>
      <w:bookmarkStart w:id="324" w:name="_Ref459300179"/>
      <w:bookmarkStart w:id="325" w:name="_Toc460239589"/>
      <w:bookmarkStart w:id="326" w:name="_Toc460321544"/>
      <w:bookmarkStart w:id="327" w:name="_Toc462752325"/>
      <w:r>
        <w:t>Contingent project assessments</w:t>
      </w:r>
      <w:bookmarkEnd w:id="324"/>
      <w:bookmarkEnd w:id="325"/>
      <w:bookmarkEnd w:id="326"/>
      <w:bookmarkEnd w:id="327"/>
    </w:p>
    <w:p w:rsidR="008C7B59" w:rsidRPr="008C7B59" w:rsidRDefault="008C7B59" w:rsidP="008C7B59">
      <w:pPr>
        <w:pStyle w:val="Heading9"/>
      </w:pPr>
      <w:bookmarkStart w:id="328" w:name="_Ref458524418"/>
      <w:bookmarkStart w:id="329" w:name="_Toc460239337"/>
      <w:bookmarkStart w:id="330" w:name="_Toc460239590"/>
      <w:bookmarkStart w:id="331" w:name="_Toc460321545"/>
      <w:bookmarkStart w:id="332" w:name="_Toc460582405"/>
      <w:bookmarkStart w:id="333" w:name="_Toc462062185"/>
      <w:bookmarkStart w:id="334" w:name="_Toc462752326"/>
      <w:r w:rsidRPr="00320B8F">
        <w:t xml:space="preserve">North </w:t>
      </w:r>
      <w:r w:rsidRPr="008C7B59">
        <w:t>West Surat Basin Area</w:t>
      </w:r>
      <w:bookmarkEnd w:id="328"/>
      <w:bookmarkEnd w:id="329"/>
      <w:bookmarkEnd w:id="330"/>
      <w:bookmarkEnd w:id="331"/>
      <w:bookmarkEnd w:id="332"/>
      <w:bookmarkEnd w:id="333"/>
      <w:bookmarkEnd w:id="334"/>
      <w:r w:rsidRPr="008C7B59">
        <w:t xml:space="preserve"> </w:t>
      </w:r>
    </w:p>
    <w:p w:rsidR="008C7B59" w:rsidRDefault="008C7B59" w:rsidP="008C7B59">
      <w:r>
        <w:t>Powerlink submitted that t</w:t>
      </w:r>
      <w:r w:rsidRPr="003B1DFD">
        <w:t>he North West region of the Surat Basin in South West Queensland is an area where significant</w:t>
      </w:r>
      <w:r>
        <w:t xml:space="preserve"> </w:t>
      </w:r>
      <w:r w:rsidR="00F83EAC">
        <w:t>increases in</w:t>
      </w:r>
      <w:r w:rsidRPr="003B1DFD">
        <w:t xml:space="preserve"> demand and energy are plausible during the </w:t>
      </w:r>
      <w:r>
        <w:t>2017–22</w:t>
      </w:r>
      <w:r w:rsidRPr="003B1DFD">
        <w:t xml:space="preserve"> regulatory</w:t>
      </w:r>
      <w:r>
        <w:t xml:space="preserve"> control</w:t>
      </w:r>
      <w:r w:rsidRPr="003B1DFD">
        <w:t xml:space="preserve"> </w:t>
      </w:r>
      <w:proofErr w:type="gramStart"/>
      <w:r w:rsidRPr="003B1DFD">
        <w:t>period</w:t>
      </w:r>
      <w:proofErr w:type="gramEnd"/>
      <w:r w:rsidRPr="003B1DFD">
        <w:t>.</w:t>
      </w:r>
      <w:r>
        <w:t xml:space="preserve"> Powerlink submitted that if additional loads need to be connected to this area, it would be unable to meet the reliability of supply obligations.</w:t>
      </w:r>
      <w:r>
        <w:rPr>
          <w:rStyle w:val="FootnoteReference"/>
        </w:rPr>
        <w:footnoteReference w:id="211"/>
      </w:r>
      <w:r>
        <w:t xml:space="preserve"> </w:t>
      </w:r>
    </w:p>
    <w:p w:rsidR="008C7B59" w:rsidRDefault="008C7B59" w:rsidP="008C7B59">
      <w:r>
        <w:t xml:space="preserve">Powerlink proposed $147.2 million for this project to establish a double circuit 275kV transmission line </w:t>
      </w:r>
      <w:r w:rsidRPr="00A75DFC">
        <w:t>with one side</w:t>
      </w:r>
      <w:r>
        <w:t xml:space="preserve"> </w:t>
      </w:r>
      <w:r w:rsidRPr="00A75DFC">
        <w:t xml:space="preserve">strung between Western Downs and </w:t>
      </w:r>
      <w:proofErr w:type="spellStart"/>
      <w:r w:rsidRPr="00A75DFC">
        <w:t>Columboola</w:t>
      </w:r>
      <w:proofErr w:type="spellEnd"/>
      <w:r>
        <w:t xml:space="preserve"> </w:t>
      </w:r>
      <w:r w:rsidRPr="00A75DFC">
        <w:t xml:space="preserve">substations and </w:t>
      </w:r>
      <w:r>
        <w:t xml:space="preserve">one side strung </w:t>
      </w:r>
      <w:r w:rsidRPr="00A75DFC">
        <w:t xml:space="preserve">between </w:t>
      </w:r>
      <w:proofErr w:type="spellStart"/>
      <w:r w:rsidRPr="00A75DFC">
        <w:t>Columboola</w:t>
      </w:r>
      <w:proofErr w:type="spellEnd"/>
      <w:r w:rsidRPr="00A75DFC">
        <w:t xml:space="preserve"> and</w:t>
      </w:r>
      <w:r>
        <w:t xml:space="preserve"> </w:t>
      </w:r>
      <w:r w:rsidRPr="00A75DFC">
        <w:t>Wandoan South substations.</w:t>
      </w:r>
      <w:r>
        <w:rPr>
          <w:rStyle w:val="FootnoteReference"/>
        </w:rPr>
        <w:footnoteReference w:id="212"/>
      </w:r>
    </w:p>
    <w:p w:rsidR="008C7B59" w:rsidRDefault="008C7B59" w:rsidP="008C7B59">
      <w:r w:rsidRPr="003B1DFD">
        <w:lastRenderedPageBreak/>
        <w:t xml:space="preserve">Powerlink </w:t>
      </w:r>
      <w:r>
        <w:t>proposed the following trigger events for this proposed contingent project:</w:t>
      </w:r>
      <w:r w:rsidRPr="003B1DFD">
        <w:rPr>
          <w:rStyle w:val="FootnoteReference"/>
        </w:rPr>
        <w:t xml:space="preserve"> </w:t>
      </w:r>
      <w:r>
        <w:rPr>
          <w:rStyle w:val="FootnoteReference"/>
        </w:rPr>
        <w:footnoteReference w:id="213"/>
      </w:r>
    </w:p>
    <w:p w:rsidR="008C7B59" w:rsidRDefault="008C7B59" w:rsidP="008C7B59">
      <w:pPr>
        <w:pStyle w:val="AERbulletlistfirststyle"/>
      </w:pPr>
      <w:r w:rsidRPr="00C048D1">
        <w:t>Commitment of additional load in the North West Surat Basin area that results in forecast net</w:t>
      </w:r>
      <w:r>
        <w:t xml:space="preserve"> </w:t>
      </w:r>
      <w:r w:rsidRPr="00C048D1">
        <w:t xml:space="preserve">transfer on the transmission system that exceeds the thermal </w:t>
      </w:r>
      <w:r>
        <w:t xml:space="preserve">and/or voltage stability limits. </w:t>
      </w:r>
    </w:p>
    <w:p w:rsidR="008C7B59" w:rsidRDefault="008C7B59" w:rsidP="008C7B59">
      <w:pPr>
        <w:pStyle w:val="AERbulletlistfirststyle"/>
      </w:pPr>
      <w:r w:rsidRPr="00C048D1">
        <w:t>Successful completion of the Regulatory Investment Test for Transmission (RIT-T), including a</w:t>
      </w:r>
      <w:r>
        <w:t xml:space="preserve"> </w:t>
      </w:r>
      <w:r w:rsidRPr="00C048D1">
        <w:t>comprehensive assessment of credible options, that demonstrates a network investment by</w:t>
      </w:r>
      <w:r>
        <w:t xml:space="preserve"> </w:t>
      </w:r>
      <w:r w:rsidRPr="00C048D1">
        <w:t>Powerlink maximises the net market benefits while meeting Powerlink’s reliability of supply</w:t>
      </w:r>
      <w:r>
        <w:t xml:space="preserve"> </w:t>
      </w:r>
      <w:r w:rsidRPr="00C048D1">
        <w:t>obligations to the North West Surat Basin area</w:t>
      </w:r>
      <w:r>
        <w:t xml:space="preserve">. </w:t>
      </w:r>
    </w:p>
    <w:p w:rsidR="008C7B59" w:rsidRPr="003B1DFD" w:rsidRDefault="008C7B59" w:rsidP="008C7B59">
      <w:pPr>
        <w:pStyle w:val="AERbulletlistfirststyle"/>
      </w:pPr>
      <w:r w:rsidRPr="00C048D1">
        <w:t>Powerlink Board commitment to proceed with the project subject to the AER amending</w:t>
      </w:r>
      <w:r>
        <w:t xml:space="preserve"> </w:t>
      </w:r>
      <w:r w:rsidRPr="00C048D1">
        <w:t>Powerlink’s revenue determination pursuant to the Rules.</w:t>
      </w:r>
    </w:p>
    <w:p w:rsidR="008C7B59" w:rsidRPr="00B25E28" w:rsidRDefault="008C7B59" w:rsidP="00B25E28">
      <w:pPr>
        <w:pStyle w:val="HeadingBoldBlue"/>
      </w:pPr>
      <w:r w:rsidRPr="00B25E28">
        <w:t xml:space="preserve">AER considerations </w:t>
      </w:r>
    </w:p>
    <w:p w:rsidR="008C7B59" w:rsidRDefault="008C7B59" w:rsidP="008C7B59">
      <w:r w:rsidRPr="00B94E77">
        <w:t xml:space="preserve">We consider that the North West Surat Basin ($147 million) project is not reasonably required to be undertaken during the regulatory period and therefore it is not reasonable to assume that these projects would meet the capex criteria. </w:t>
      </w:r>
      <w:r>
        <w:t>On this basis, we do not consider that this project satisfies the requirements to be included as a contingent project.</w:t>
      </w:r>
    </w:p>
    <w:p w:rsidR="008C7B59" w:rsidRPr="004C781B" w:rsidRDefault="008C7B59" w:rsidP="008C7B59">
      <w:r>
        <w:t xml:space="preserve">Based </w:t>
      </w:r>
      <w:r w:rsidRPr="004C781B">
        <w:t>on the information provided by Powerlink</w:t>
      </w:r>
      <w:r>
        <w:t>,</w:t>
      </w:r>
      <w:r w:rsidRPr="004C781B">
        <w:t xml:space="preserve"> the contingent project </w:t>
      </w:r>
      <w:r>
        <w:t>required two connection projects to proceed and generate sufficient additional load to require an increase in capacity</w:t>
      </w:r>
      <w:r w:rsidRPr="004C781B">
        <w:t>.</w:t>
      </w:r>
      <w:r w:rsidRPr="004C781B">
        <w:rPr>
          <w:rStyle w:val="FootnoteReference"/>
        </w:rPr>
        <w:footnoteReference w:id="214"/>
      </w:r>
      <w:r w:rsidRPr="004C781B">
        <w:t xml:space="preserve"> The proposed </w:t>
      </w:r>
      <w:r>
        <w:t xml:space="preserve">connection </w:t>
      </w:r>
      <w:r w:rsidRPr="004C781B">
        <w:t>projects are:</w:t>
      </w:r>
    </w:p>
    <w:p w:rsidR="008C7B59" w:rsidRPr="004C781B" w:rsidRDefault="008C7B59" w:rsidP="008C7B59">
      <w:pPr>
        <w:pStyle w:val="AERbulletlistfirststyle"/>
      </w:pPr>
      <w:r>
        <w:t>Wandoan Coal Project – development of an open cut thermal coal mine and associated infrastructure near the town of Wandoan (forecast demand of 150 MW);</w:t>
      </w:r>
    </w:p>
    <w:p w:rsidR="008C7B59" w:rsidRPr="004C781B" w:rsidRDefault="008C7B59" w:rsidP="008C7B59">
      <w:pPr>
        <w:pStyle w:val="AERbulletlistfirststyle"/>
      </w:pPr>
      <w:r>
        <w:t>GLNG Field Expansion – extend</w:t>
      </w:r>
      <w:r w:rsidRPr="004C781B">
        <w:t>ing the approved GLNG Project’s gas fields</w:t>
      </w:r>
      <w:r>
        <w:t xml:space="preserve"> (f</w:t>
      </w:r>
      <w:r w:rsidRPr="004C781B">
        <w:t>orecast demand of up to 200 MW</w:t>
      </w:r>
      <w:r>
        <w:t>).</w:t>
      </w:r>
    </w:p>
    <w:p w:rsidR="008C7B59" w:rsidRDefault="008C7B59" w:rsidP="008C7B59">
      <w:r>
        <w:t xml:space="preserve">Both projects are identified by Ernst and Young as 'plausible' within the 2017–22 period. The GLNG field expansion is also identified in the </w:t>
      </w:r>
      <w:r w:rsidRPr="00976E85">
        <w:t xml:space="preserve">2015 and 2016 Powerlink </w:t>
      </w:r>
      <w:r>
        <w:t>Transmission Annual Planning Report,</w:t>
      </w:r>
      <w:r w:rsidRPr="00976E85">
        <w:t xml:space="preserve"> </w:t>
      </w:r>
      <w:r>
        <w:t>while</w:t>
      </w:r>
      <w:r w:rsidRPr="00976E85">
        <w:t xml:space="preserve"> the Wandoan Coal project is not identified. </w:t>
      </w:r>
      <w:r>
        <w:t xml:space="preserve">However, Ernst and Young state </w:t>
      </w:r>
      <w:r w:rsidRPr="00976E85">
        <w:t>that the</w:t>
      </w:r>
      <w:r>
        <w:t>:</w:t>
      </w:r>
    </w:p>
    <w:p w:rsidR="008C7B59" w:rsidRPr="00976E85" w:rsidRDefault="008C7B59" w:rsidP="008C7B59">
      <w:pPr>
        <w:pStyle w:val="AERquote"/>
      </w:pPr>
      <w:r w:rsidRPr="00976E85">
        <w:t>Wandoan Coal Project has not received final approvals from either federal or state governments. In 2013 the proponents, Xstrata, shelved the project and in early 2014 considered the project to be delayed indefinitely. The price of coal may need to return to higher levels for this thermal coal project to proceed during the review period</w:t>
      </w:r>
      <w:r>
        <w:t>.</w:t>
      </w:r>
      <w:r w:rsidRPr="00976E85">
        <w:rPr>
          <w:rStyle w:val="FootnoteReference"/>
        </w:rPr>
        <w:footnoteReference w:id="215"/>
      </w:r>
      <w:r>
        <w:t xml:space="preserve"> </w:t>
      </w:r>
    </w:p>
    <w:p w:rsidR="008C7B59" w:rsidRDefault="008C7B59" w:rsidP="008C7B59">
      <w:r>
        <w:t xml:space="preserve">While both projects may be plausible, it is clear that the </w:t>
      </w:r>
      <w:r w:rsidRPr="00976E85">
        <w:t>Wandoan Coal Project</w:t>
      </w:r>
      <w:r>
        <w:t xml:space="preserve"> is very unlikely to go ahead within the 2017–22 period given the lack of government approval and the indefinite delay in the project. This suggests that the likelihood that both the </w:t>
      </w:r>
      <w:r>
        <w:lastRenderedPageBreak/>
        <w:t xml:space="preserve">coal and LNG connection projects will proceed in the 2017–22 </w:t>
      </w:r>
      <w:proofErr w:type="gramStart"/>
      <w:r>
        <w:t>period</w:t>
      </w:r>
      <w:proofErr w:type="gramEnd"/>
      <w:r>
        <w:t xml:space="preserve"> is very low. Given this, it cannot be said that the </w:t>
      </w:r>
      <w:r w:rsidRPr="00B94E77">
        <w:t>North West Surat Basin</w:t>
      </w:r>
      <w:r>
        <w:t xml:space="preserve"> contingent project is reasonably likely as is required by the NER.</w:t>
      </w:r>
      <w:r>
        <w:rPr>
          <w:rStyle w:val="FootnoteReference"/>
        </w:rPr>
        <w:footnoteReference w:id="216"/>
      </w:r>
      <w:r>
        <w:t xml:space="preserve"> Therefore, we do not accept the North West Surat Basin project as a contingent project based on the low likelihood that the project triggers (the Wandoan Coal project and the GLNG Field Expansion) will occur during the 2017–22 period.  </w:t>
      </w:r>
    </w:p>
    <w:p w:rsidR="008C7B59" w:rsidRPr="008C7B59" w:rsidRDefault="008C7B59" w:rsidP="008C7B59">
      <w:pPr>
        <w:pStyle w:val="Heading9"/>
      </w:pPr>
      <w:bookmarkStart w:id="335" w:name="_Toc460239338"/>
      <w:bookmarkStart w:id="336" w:name="_Toc460239591"/>
      <w:bookmarkStart w:id="337" w:name="_Toc460321546"/>
      <w:bookmarkStart w:id="338" w:name="_Toc460582406"/>
      <w:bookmarkStart w:id="339" w:name="_Toc462062186"/>
      <w:bookmarkStart w:id="340" w:name="_Toc462752327"/>
      <w:r w:rsidRPr="00320B8F">
        <w:t xml:space="preserve">Central to North </w:t>
      </w:r>
      <w:r w:rsidRPr="008C7B59">
        <w:t>Queensland Reinforcement</w:t>
      </w:r>
      <w:bookmarkEnd w:id="335"/>
      <w:bookmarkEnd w:id="336"/>
      <w:bookmarkEnd w:id="337"/>
      <w:bookmarkEnd w:id="338"/>
      <w:bookmarkEnd w:id="339"/>
      <w:bookmarkEnd w:id="340"/>
      <w:r w:rsidRPr="008C7B59">
        <w:t xml:space="preserve"> </w:t>
      </w:r>
    </w:p>
    <w:p w:rsidR="008C7B59" w:rsidRDefault="008C7B59" w:rsidP="008C7B59">
      <w:r>
        <w:t>Powerlink submitted that</w:t>
      </w:r>
      <w:r w:rsidRPr="00A75DFC">
        <w:t xml:space="preserve"> </w:t>
      </w:r>
      <w:r>
        <w:t>t</w:t>
      </w:r>
      <w:r w:rsidRPr="00A75DFC">
        <w:t>he Central West and North Queensland zones are areas wh</w:t>
      </w:r>
      <w:r w:rsidR="00F83EAC">
        <w:t>ere significant increases in</w:t>
      </w:r>
      <w:r w:rsidRPr="00A75DFC">
        <w:t xml:space="preserve"> demand</w:t>
      </w:r>
      <w:r>
        <w:t xml:space="preserve"> </w:t>
      </w:r>
      <w:r w:rsidRPr="00A75DFC">
        <w:t xml:space="preserve">and energy are plausible during the </w:t>
      </w:r>
      <w:r>
        <w:t>2017–22</w:t>
      </w:r>
      <w:r w:rsidRPr="00A75DFC">
        <w:t xml:space="preserve"> regulatory </w:t>
      </w:r>
      <w:r>
        <w:t xml:space="preserve">control </w:t>
      </w:r>
      <w:proofErr w:type="gramStart"/>
      <w:r w:rsidRPr="00A75DFC">
        <w:t>period</w:t>
      </w:r>
      <w:proofErr w:type="gramEnd"/>
      <w:r w:rsidRPr="00A75DFC">
        <w:t>.</w:t>
      </w:r>
      <w:r>
        <w:rPr>
          <w:rStyle w:val="FootnoteReference"/>
        </w:rPr>
        <w:footnoteReference w:id="217"/>
      </w:r>
      <w:r>
        <w:t xml:space="preserve"> Powerlink submitted that if demand increases in northern Queensland, transmission congestion may occur. Powerlink estimates the additional load which will trigger network augmentation is approximately 340MW.</w:t>
      </w:r>
      <w:r>
        <w:rPr>
          <w:rStyle w:val="FootnoteReference"/>
        </w:rPr>
        <w:footnoteReference w:id="218"/>
      </w:r>
      <w:r>
        <w:t xml:space="preserve"> </w:t>
      </w:r>
    </w:p>
    <w:p w:rsidR="008C7B59" w:rsidRDefault="008C7B59" w:rsidP="008C7B59">
      <w:r>
        <w:t xml:space="preserve">Powerlink proposed $55.1 million to install a second side </w:t>
      </w:r>
      <w:r w:rsidRPr="00A75DFC">
        <w:t xml:space="preserve">circuit </w:t>
      </w:r>
      <w:r>
        <w:t>to an</w:t>
      </w:r>
      <w:r w:rsidRPr="00A75DFC">
        <w:t xml:space="preserve"> existing </w:t>
      </w:r>
      <w:r>
        <w:t xml:space="preserve">one-sided </w:t>
      </w:r>
      <w:r w:rsidRPr="00A75DFC">
        <w:t>double circuit</w:t>
      </w:r>
      <w:r>
        <w:t xml:space="preserve"> </w:t>
      </w:r>
      <w:r w:rsidRPr="00A75DFC">
        <w:t xml:space="preserve">line between Stanwell and </w:t>
      </w:r>
      <w:proofErr w:type="spellStart"/>
      <w:r w:rsidRPr="00A75DFC">
        <w:t>Broadsound</w:t>
      </w:r>
      <w:proofErr w:type="spellEnd"/>
      <w:r w:rsidRPr="00A75DFC">
        <w:t>.</w:t>
      </w:r>
      <w:r w:rsidRPr="00A75DFC">
        <w:rPr>
          <w:rStyle w:val="FootnoteReference"/>
        </w:rPr>
        <w:t xml:space="preserve"> </w:t>
      </w:r>
      <w:r>
        <w:rPr>
          <w:rStyle w:val="FootnoteReference"/>
        </w:rPr>
        <w:footnoteReference w:id="219"/>
      </w:r>
    </w:p>
    <w:p w:rsidR="008C7B59" w:rsidRDefault="008C7B59" w:rsidP="008C7B59">
      <w:r w:rsidRPr="003B1DFD">
        <w:t xml:space="preserve">Powerlink </w:t>
      </w:r>
      <w:r>
        <w:t>proposed the following trigger event for this proposed contingent project:</w:t>
      </w:r>
      <w:r w:rsidRPr="003B1DFD">
        <w:rPr>
          <w:rStyle w:val="FootnoteReference"/>
        </w:rPr>
        <w:t xml:space="preserve"> </w:t>
      </w:r>
      <w:r>
        <w:rPr>
          <w:rStyle w:val="FootnoteReference"/>
        </w:rPr>
        <w:footnoteReference w:id="220"/>
      </w:r>
    </w:p>
    <w:p w:rsidR="008C7B59" w:rsidRPr="00A75DFC" w:rsidRDefault="008C7B59" w:rsidP="008C7B59">
      <w:pPr>
        <w:pStyle w:val="AERbulletlistfirststyle"/>
      </w:pPr>
      <w:r w:rsidRPr="00A75DFC">
        <w:t>Commitment of additional load to be connected to the Central West and/or North Queensland</w:t>
      </w:r>
      <w:r>
        <w:t xml:space="preserve"> </w:t>
      </w:r>
      <w:r w:rsidRPr="00A75DFC">
        <w:t>zones that requires the dispatch of higher cost generation in northern Queensland to maintain</w:t>
      </w:r>
      <w:r>
        <w:t xml:space="preserve"> </w:t>
      </w:r>
      <w:r w:rsidRPr="00A75DFC">
        <w:t>power transfers within limits;</w:t>
      </w:r>
    </w:p>
    <w:p w:rsidR="008C7B59" w:rsidRPr="00A75DFC" w:rsidRDefault="008C7B59" w:rsidP="008C7B59">
      <w:pPr>
        <w:pStyle w:val="AERbulletlistfirststyle"/>
      </w:pPr>
      <w:r w:rsidRPr="00A75DFC">
        <w:t>Successful completion of the RIT-T, including a comprehensive assessment of credible options,</w:t>
      </w:r>
      <w:r>
        <w:t xml:space="preserve"> </w:t>
      </w:r>
      <w:r w:rsidRPr="00A75DFC">
        <w:t>that demonstrates a network investment by Powerlink maximises the net market benefits while</w:t>
      </w:r>
      <w:r>
        <w:t xml:space="preserve"> </w:t>
      </w:r>
      <w:r w:rsidRPr="00A75DFC">
        <w:t>meeting Powerlink’s reliability of supply obligations to North Queensland;</w:t>
      </w:r>
    </w:p>
    <w:p w:rsidR="008C7B59" w:rsidRPr="00A75DFC" w:rsidRDefault="008C7B59" w:rsidP="008C7B59">
      <w:pPr>
        <w:pStyle w:val="AERbulletlistfirststyle"/>
      </w:pPr>
      <w:r w:rsidRPr="00A75DFC">
        <w:t>Determination by the AER under clause 5.16.6 of the Rules that the proposed investment satisfies</w:t>
      </w:r>
      <w:r>
        <w:t xml:space="preserve"> </w:t>
      </w:r>
      <w:r w:rsidRPr="00A75DFC">
        <w:t>the RIT-T; and</w:t>
      </w:r>
    </w:p>
    <w:p w:rsidR="008C7B59" w:rsidRDefault="008C7B59" w:rsidP="008C7B59">
      <w:pPr>
        <w:pStyle w:val="AERbulletlistfirststyle"/>
      </w:pPr>
      <w:r w:rsidRPr="00A75DFC">
        <w:t>Powerlink Board commitment to proceed with the project subject to the AER amending</w:t>
      </w:r>
      <w:r>
        <w:t xml:space="preserve"> </w:t>
      </w:r>
      <w:r w:rsidRPr="00A75DFC">
        <w:t>Powerlink’s revenue determination pursuant to the Rules.</w:t>
      </w:r>
    </w:p>
    <w:p w:rsidR="008C7B59" w:rsidRPr="00B25E28" w:rsidRDefault="008C7B59" w:rsidP="00B25E28">
      <w:pPr>
        <w:pStyle w:val="HeadingBoldBlue"/>
      </w:pPr>
      <w:r w:rsidRPr="00B25E28">
        <w:t xml:space="preserve">AER considerations </w:t>
      </w:r>
    </w:p>
    <w:p w:rsidR="008C7B59" w:rsidRDefault="008C7B59" w:rsidP="008C7B59">
      <w:pPr>
        <w:pStyle w:val="ListParagraph"/>
        <w:numPr>
          <w:ilvl w:val="0"/>
          <w:numId w:val="24"/>
        </w:numPr>
      </w:pPr>
      <w:r w:rsidRPr="002C5432">
        <w:t xml:space="preserve">We consider that the Central to North Queensland Reinforcement </w:t>
      </w:r>
      <w:r w:rsidR="00F83EAC">
        <w:t>project ($55.1 </w:t>
      </w:r>
      <w:r>
        <w:t xml:space="preserve">million) </w:t>
      </w:r>
      <w:r w:rsidRPr="002C5432">
        <w:t>may be reasonably required to be undertaken in order to achieve the capital expenditure objectives. However, we consider that the trigger events should be amended in order for us to be satisfied that each trigger event is appropriate.</w:t>
      </w:r>
    </w:p>
    <w:p w:rsidR="008C7B59" w:rsidRDefault="008C7B59" w:rsidP="008C7B59">
      <w:pPr>
        <w:pStyle w:val="ListParagraph"/>
        <w:numPr>
          <w:ilvl w:val="0"/>
          <w:numId w:val="24"/>
        </w:numPr>
      </w:pPr>
      <w:r>
        <w:lastRenderedPageBreak/>
        <w:t xml:space="preserve">Powerlink stated that the demand for its transmission network services could exceed current capacity at the Central to North Queensland region once the following coal and rail projects are triggered: </w:t>
      </w:r>
      <w:r>
        <w:rPr>
          <w:rStyle w:val="FootnoteReference"/>
        </w:rPr>
        <w:footnoteReference w:id="221"/>
      </w:r>
    </w:p>
    <w:p w:rsidR="008C7B59" w:rsidRDefault="008C7B59" w:rsidP="008C7B59">
      <w:pPr>
        <w:pStyle w:val="AERbulletlistfirststyle"/>
      </w:pPr>
      <w:r>
        <w:t xml:space="preserve">The </w:t>
      </w:r>
      <w:r w:rsidRPr="00C70C3B">
        <w:t>Arr</w:t>
      </w:r>
      <w:r>
        <w:t>ow Energy LNG facility project (up to 80MW)</w:t>
      </w:r>
    </w:p>
    <w:p w:rsidR="008C7B59" w:rsidRDefault="008C7B59" w:rsidP="008C7B59">
      <w:pPr>
        <w:pStyle w:val="AERbulletlistfirststyle"/>
      </w:pPr>
      <w:r>
        <w:t xml:space="preserve">The </w:t>
      </w:r>
      <w:r w:rsidRPr="00C70C3B">
        <w:t>C</w:t>
      </w:r>
      <w:r>
        <w:t>armichael Coal and Rail project (up to 200MW)</w:t>
      </w:r>
      <w:r w:rsidRPr="00C70C3B">
        <w:t xml:space="preserve"> </w:t>
      </w:r>
    </w:p>
    <w:p w:rsidR="008C7B59" w:rsidRDefault="008C7B59" w:rsidP="008C7B59">
      <w:pPr>
        <w:pStyle w:val="AERbulletlistfirststyle"/>
      </w:pPr>
      <w:r>
        <w:t>The Alpha Coal project (up to 135MW)</w:t>
      </w:r>
      <w:r w:rsidRPr="00C70C3B">
        <w:t xml:space="preserve"> </w:t>
      </w:r>
    </w:p>
    <w:p w:rsidR="008C7B59" w:rsidRPr="00C70C3B" w:rsidRDefault="008C7B59" w:rsidP="008C7B59">
      <w:pPr>
        <w:pStyle w:val="AERbulletlistfirststyle"/>
      </w:pPr>
      <w:r>
        <w:t xml:space="preserve">The </w:t>
      </w:r>
      <w:r w:rsidRPr="00C70C3B">
        <w:t xml:space="preserve">Kevin's Corner Mine </w:t>
      </w:r>
      <w:r>
        <w:t>project (up to 250MW)</w:t>
      </w:r>
    </w:p>
    <w:p w:rsidR="008C7B59" w:rsidRPr="00C70C3B" w:rsidRDefault="008C7B59" w:rsidP="008C7B59">
      <w:pPr>
        <w:pStyle w:val="AERbulletlistfirststyle"/>
      </w:pPr>
      <w:r>
        <w:t>The China First Project (up to 150MW)</w:t>
      </w:r>
      <w:r w:rsidRPr="00C70C3B">
        <w:t>.</w:t>
      </w:r>
    </w:p>
    <w:p w:rsidR="008C7B59" w:rsidRPr="009E2437" w:rsidRDefault="008C7B59" w:rsidP="008C7B59">
      <w:r>
        <w:t xml:space="preserve">Based on information submitted by </w:t>
      </w:r>
      <w:r w:rsidRPr="009E2437">
        <w:t>Powerlink, including the Ernst and Young Report,</w:t>
      </w:r>
      <w:r w:rsidRPr="009E2437">
        <w:rPr>
          <w:rStyle w:val="FootnoteReference"/>
        </w:rPr>
        <w:footnoteReference w:id="222"/>
      </w:r>
      <w:r w:rsidRPr="009E2437">
        <w:t xml:space="preserve"> our analysis indicates that at least two of the rail and coal projects will need to occur for capacity constraint to occur on this section of Powerlink's network. While the probability of any individual project proceeding is not high, there are 10 possible combinations by which 2 of the above projects proceed. This increases the likelihood of the generation constraint occurring over the 2017–22 period. Given this, the Central to North Queensland Reinforcement project may be reasonably required to be undertaken in order to satisfy demand for transmission services and/or maintain network reliability by alleviating capacity constraints.</w:t>
      </w:r>
      <w:r w:rsidRPr="009E2437">
        <w:rPr>
          <w:rStyle w:val="FootnoteReference"/>
        </w:rPr>
        <w:footnoteReference w:id="223"/>
      </w:r>
    </w:p>
    <w:p w:rsidR="008C7B59" w:rsidRPr="00943867" w:rsidRDefault="008C7B59" w:rsidP="008C7B59">
      <w:r w:rsidRPr="00943867">
        <w:t>As set out</w:t>
      </w:r>
      <w:r w:rsidR="00F83EAC">
        <w:t xml:space="preserve"> in section </w:t>
      </w:r>
      <w:fldSimple w:instr=" REF _Ref459805507 \r ">
        <w:r w:rsidR="005252EC">
          <w:t>D.2.2</w:t>
        </w:r>
      </w:fldSimple>
      <w:r w:rsidRPr="00943867">
        <w:t xml:space="preserve">, we consider that </w:t>
      </w:r>
      <w:r>
        <w:t>t</w:t>
      </w:r>
      <w:r w:rsidRPr="00943867">
        <w:t>here are four trigger events required in order for us to be satisfied that a project should be included as a contingent project. For this specific contin</w:t>
      </w:r>
      <w:r w:rsidR="00F83EAC">
        <w:t>gent project, Powerlink included</w:t>
      </w:r>
      <w:r w:rsidRPr="00943867">
        <w:t xml:space="preserve"> three of these four required trig</w:t>
      </w:r>
      <w:r w:rsidR="00F83EAC">
        <w:t>gers. However, it did</w:t>
      </w:r>
      <w:r w:rsidRPr="00943867">
        <w:t xml:space="preserve"> not include</w:t>
      </w:r>
      <w:r>
        <w:t xml:space="preserve"> specific detail about the amount and location of additional load required to trigger the contingent project. </w:t>
      </w:r>
      <w:r w:rsidRPr="00943867">
        <w:t>Therefore, for us to be fully satisfied that this project should be a contingent project, Powerlink should amend</w:t>
      </w:r>
      <w:r>
        <w:t xml:space="preserve"> its trigger events to include: </w:t>
      </w:r>
    </w:p>
    <w:p w:rsidR="008C7B59" w:rsidRDefault="00F83EAC" w:rsidP="008C7B59">
      <w:pPr>
        <w:pStyle w:val="AERbulletlistfirststyle"/>
      </w:pPr>
      <w:proofErr w:type="gramStart"/>
      <w:r>
        <w:t>additional</w:t>
      </w:r>
      <w:proofErr w:type="gramEnd"/>
      <w:r>
        <w:t xml:space="preserve"> detail about</w:t>
      </w:r>
      <w:r w:rsidR="008C7B59">
        <w:t xml:space="preserve"> the 340MW</w:t>
      </w:r>
      <w:r>
        <w:t xml:space="preserve"> </w:t>
      </w:r>
      <w:r w:rsidR="008C7B59">
        <w:t xml:space="preserve">additional load required at the Central West and/or North Queensland zones to trigger the </w:t>
      </w:r>
      <w:r w:rsidR="008C7B59" w:rsidRPr="0033299B" w:rsidDel="004A658B">
        <w:t>Central to North Queensland Reinforcement</w:t>
      </w:r>
      <w:r w:rsidR="008C7B59">
        <w:t xml:space="preserve"> project. </w:t>
      </w:r>
    </w:p>
    <w:p w:rsidR="008C7B59" w:rsidRPr="009E2437" w:rsidRDefault="008C7B59" w:rsidP="00F83EAC">
      <w:r w:rsidRPr="002C31F2">
        <w:t>We require this additional information because it will ensure that the trigger event is:</w:t>
      </w:r>
    </w:p>
    <w:p w:rsidR="008C7B59" w:rsidRDefault="008C7B59" w:rsidP="008C7B59">
      <w:pPr>
        <w:pStyle w:val="AERbulletlistfirststyle"/>
      </w:pPr>
      <w:r w:rsidRPr="002C31F2">
        <w:t>reasonably specific and capable of objective verification</w:t>
      </w:r>
      <w:r>
        <w:t>;</w:t>
      </w:r>
      <w:r w:rsidRPr="004C6E10">
        <w:rPr>
          <w:rStyle w:val="FootnoteReference"/>
        </w:rPr>
        <w:t xml:space="preserve"> </w:t>
      </w:r>
      <w:r w:rsidRPr="004C6E10">
        <w:rPr>
          <w:rStyle w:val="FootnoteReference"/>
        </w:rPr>
        <w:footnoteReference w:id="224"/>
      </w:r>
      <w:r>
        <w:t xml:space="preserve"> and</w:t>
      </w:r>
    </w:p>
    <w:p w:rsidR="008C7B59" w:rsidRPr="002C31F2" w:rsidRDefault="008C7B59" w:rsidP="008C7B59">
      <w:pPr>
        <w:pStyle w:val="AERbulletlistfirststyle"/>
      </w:pPr>
      <w:proofErr w:type="gramStart"/>
      <w:r w:rsidRPr="002C31F2">
        <w:t>a</w:t>
      </w:r>
      <w:proofErr w:type="gramEnd"/>
      <w:r w:rsidRPr="002C31F2">
        <w:t xml:space="preserve"> condition or event that generates increased costs or categories of costs that relate to a specific location rather than a condition or event that affects the transmission network as a whole</w:t>
      </w:r>
      <w:r>
        <w:t>.</w:t>
      </w:r>
      <w:r w:rsidRPr="004C6E10">
        <w:rPr>
          <w:rStyle w:val="FootnoteReference"/>
        </w:rPr>
        <w:footnoteReference w:id="225"/>
      </w:r>
    </w:p>
    <w:p w:rsidR="008C7B59" w:rsidRPr="002E24CE" w:rsidRDefault="008C7B59" w:rsidP="008C7B59">
      <w:r>
        <w:lastRenderedPageBreak/>
        <w:t xml:space="preserve">As we state in section </w:t>
      </w:r>
      <w:r>
        <w:fldChar w:fldCharType="begin"/>
      </w:r>
      <w:r>
        <w:instrText xml:space="preserve"> REF _Ref459805507 \r \h </w:instrText>
      </w:r>
      <w:r>
        <w:fldChar w:fldCharType="separate"/>
      </w:r>
      <w:r w:rsidR="005252EC">
        <w:t>D.2.2</w:t>
      </w:r>
      <w:r>
        <w:fldChar w:fldCharType="end"/>
      </w:r>
      <w:r>
        <w:t>, this will give us greater confidence that the resulting project will satisfy the capex objectives and criteria. This will ensure that the trigger event is 'a condition or event which, if it occurs, makes the project reasonably necessary in order to achieve any of the capex objectives'.</w:t>
      </w:r>
      <w:r w:rsidRPr="00DC7425">
        <w:rPr>
          <w:rStyle w:val="FootnoteReference"/>
        </w:rPr>
        <w:t xml:space="preserve"> </w:t>
      </w:r>
      <w:r w:rsidRPr="00DC7425">
        <w:rPr>
          <w:rStyle w:val="FootnoteReference"/>
        </w:rPr>
        <w:footnoteReference w:id="226"/>
      </w:r>
      <w:r>
        <w:t xml:space="preserve"> </w:t>
      </w:r>
    </w:p>
    <w:p w:rsidR="008C7B59" w:rsidRPr="008C7B59" w:rsidRDefault="008C7B59" w:rsidP="008C7B59">
      <w:pPr>
        <w:pStyle w:val="Heading9"/>
      </w:pPr>
      <w:bookmarkStart w:id="341" w:name="_Toc460239339"/>
      <w:bookmarkStart w:id="342" w:name="_Toc460239592"/>
      <w:bookmarkStart w:id="343" w:name="_Toc460321547"/>
      <w:bookmarkStart w:id="344" w:name="_Toc460582407"/>
      <w:bookmarkStart w:id="345" w:name="_Toc462062187"/>
      <w:bookmarkStart w:id="346" w:name="_Toc462752328"/>
      <w:r w:rsidRPr="00320B8F">
        <w:t xml:space="preserve">Southern Galilee Basin </w:t>
      </w:r>
      <w:r w:rsidRPr="008C7B59">
        <w:t>connection shared network works</w:t>
      </w:r>
      <w:bookmarkEnd w:id="341"/>
      <w:bookmarkEnd w:id="342"/>
      <w:bookmarkEnd w:id="343"/>
      <w:bookmarkEnd w:id="344"/>
      <w:bookmarkEnd w:id="345"/>
      <w:bookmarkEnd w:id="346"/>
      <w:r w:rsidRPr="008C7B59">
        <w:t xml:space="preserve"> </w:t>
      </w:r>
    </w:p>
    <w:p w:rsidR="008C7B59" w:rsidRDefault="008C7B59" w:rsidP="008C7B59">
      <w:r>
        <w:t>Powerlink submitted that</w:t>
      </w:r>
      <w:r w:rsidRPr="00A75DFC">
        <w:t xml:space="preserve"> </w:t>
      </w:r>
      <w:r w:rsidR="00F83EAC">
        <w:t xml:space="preserve">the </w:t>
      </w:r>
      <w:r w:rsidRPr="00A75DFC">
        <w:t>southern area of the Galilee Basin</w:t>
      </w:r>
      <w:r>
        <w:t xml:space="preserve"> is emerging </w:t>
      </w:r>
      <w:r w:rsidRPr="00A75DFC">
        <w:t>with significant energy related proposals including multiple coal mines, underground coal gasification and</w:t>
      </w:r>
      <w:r>
        <w:t xml:space="preserve"> </w:t>
      </w:r>
      <w:r w:rsidRPr="00A75DFC">
        <w:t>oil and gas exploration.</w:t>
      </w:r>
      <w:r>
        <w:rPr>
          <w:rStyle w:val="FootnoteReference"/>
        </w:rPr>
        <w:footnoteReference w:id="227"/>
      </w:r>
      <w:r>
        <w:t xml:space="preserve"> In particular, Powerlink submitted that one or more of the following mining projects will drive the need for additional network assets:</w:t>
      </w:r>
    </w:p>
    <w:p w:rsidR="008C7B59" w:rsidRPr="006D497B" w:rsidRDefault="008C7B59" w:rsidP="008C7B59">
      <w:pPr>
        <w:pStyle w:val="AERbulletlistfirststyle"/>
      </w:pPr>
      <w:r w:rsidRPr="006D497B">
        <w:t>Alpha Coal Project (joint venture GVK and Hancock Prospecting Pty Ltd)</w:t>
      </w:r>
      <w:r>
        <w:t>;</w:t>
      </w:r>
    </w:p>
    <w:p w:rsidR="008C7B59" w:rsidRPr="006D497B" w:rsidRDefault="008C7B59" w:rsidP="008C7B59">
      <w:pPr>
        <w:pStyle w:val="AERbulletlistfirststyle"/>
      </w:pPr>
      <w:r w:rsidRPr="006D497B">
        <w:t>Kevin’s Corner Mine (joint venture GVK and Hancock Prospecting Pty Ltd)</w:t>
      </w:r>
      <w:r>
        <w:t>;</w:t>
      </w:r>
      <w:r w:rsidRPr="006D497B">
        <w:t xml:space="preserve"> and</w:t>
      </w:r>
    </w:p>
    <w:p w:rsidR="008C7B59" w:rsidRPr="00B50767" w:rsidRDefault="008C7B59" w:rsidP="008C7B59">
      <w:pPr>
        <w:pStyle w:val="AERbulletlistfirststyle"/>
      </w:pPr>
      <w:r w:rsidRPr="006D497B">
        <w:t>China First Project (Waratah Coal).</w:t>
      </w:r>
    </w:p>
    <w:p w:rsidR="008C7B59" w:rsidRDefault="008C7B59" w:rsidP="008C7B59">
      <w:r>
        <w:t xml:space="preserve">Powerlink proposed $116.9 million to establish a double circuit 275kV transmission line between </w:t>
      </w:r>
      <w:proofErr w:type="spellStart"/>
      <w:r>
        <w:t>Broadsound</w:t>
      </w:r>
      <w:proofErr w:type="spellEnd"/>
      <w:r>
        <w:t xml:space="preserve"> and </w:t>
      </w:r>
      <w:proofErr w:type="spellStart"/>
      <w:r>
        <w:t>Lilyvale</w:t>
      </w:r>
      <w:proofErr w:type="spellEnd"/>
      <w:r>
        <w:t xml:space="preserve"> substations.</w:t>
      </w:r>
      <w:r>
        <w:rPr>
          <w:rStyle w:val="FootnoteReference"/>
        </w:rPr>
        <w:footnoteReference w:id="228"/>
      </w:r>
    </w:p>
    <w:p w:rsidR="008C7B59" w:rsidRDefault="008C7B59" w:rsidP="008C7B59">
      <w:r w:rsidRPr="003B1DFD">
        <w:t xml:space="preserve">Powerlink </w:t>
      </w:r>
      <w:r>
        <w:t>proposed the following trigger event for this proposed contingent project:</w:t>
      </w:r>
      <w:r w:rsidRPr="003B1DFD">
        <w:rPr>
          <w:rStyle w:val="FootnoteReference"/>
        </w:rPr>
        <w:t xml:space="preserve"> </w:t>
      </w:r>
      <w:r>
        <w:rPr>
          <w:rStyle w:val="FootnoteReference"/>
        </w:rPr>
        <w:footnoteReference w:id="229"/>
      </w:r>
    </w:p>
    <w:p w:rsidR="008C7B59" w:rsidRPr="00B00DFF" w:rsidRDefault="008C7B59" w:rsidP="008C7B59">
      <w:pPr>
        <w:pStyle w:val="AERbulletlistfirststyle"/>
      </w:pPr>
      <w:r w:rsidRPr="00B00DFF">
        <w:t>Commitment of additional load in excess of 195 MW to be suppli</w:t>
      </w:r>
      <w:r>
        <w:t xml:space="preserve">ed from the </w:t>
      </w:r>
      <w:proofErr w:type="spellStart"/>
      <w:r>
        <w:t>Lilyvale</w:t>
      </w:r>
      <w:proofErr w:type="spellEnd"/>
      <w:r>
        <w:t xml:space="preserve"> </w:t>
      </w:r>
      <w:r w:rsidR="00F83EAC">
        <w:t>Substation;</w:t>
      </w:r>
    </w:p>
    <w:p w:rsidR="008C7B59" w:rsidRPr="00B00DFF" w:rsidRDefault="008C7B59" w:rsidP="008C7B59">
      <w:pPr>
        <w:pStyle w:val="AERbulletlistfirststyle"/>
      </w:pPr>
      <w:r w:rsidRPr="00B00DFF">
        <w:t>Successful completion of the RIT-T, including a comprehensive assessment of credible options,</w:t>
      </w:r>
      <w:r>
        <w:t xml:space="preserve"> </w:t>
      </w:r>
      <w:r w:rsidRPr="00B00DFF">
        <w:t>that demonstrates a network investment by Powerlink maximises the net market benefits while</w:t>
      </w:r>
      <w:r>
        <w:t xml:space="preserve"> </w:t>
      </w:r>
      <w:r w:rsidRPr="00B00DFF">
        <w:t>meeting reliability of supply obligations to North Queensland</w:t>
      </w:r>
      <w:r w:rsidR="00F83EAC">
        <w:t>; and</w:t>
      </w:r>
    </w:p>
    <w:p w:rsidR="008C7B59" w:rsidRDefault="008C7B59" w:rsidP="008C7B59">
      <w:pPr>
        <w:pStyle w:val="AERbulletlistfirststyle"/>
      </w:pPr>
      <w:r w:rsidRPr="00B00DFF">
        <w:t>Powerlink Board commitment to proceed with the project subject to the AER amending</w:t>
      </w:r>
      <w:r>
        <w:t xml:space="preserve"> </w:t>
      </w:r>
      <w:r w:rsidRPr="00B00DFF">
        <w:t>Powerlink’s revenue determination pursuant to the Rules.</w:t>
      </w:r>
    </w:p>
    <w:p w:rsidR="008C7B59" w:rsidRPr="00F83EAC" w:rsidRDefault="008C7B59" w:rsidP="00F83EAC">
      <w:pPr>
        <w:pStyle w:val="HeadingBoldBlue"/>
      </w:pPr>
      <w:r w:rsidRPr="00F83EAC">
        <w:t xml:space="preserve">AER considerations </w:t>
      </w:r>
    </w:p>
    <w:p w:rsidR="008C7B59" w:rsidRPr="00DB6B77" w:rsidRDefault="008C7B59" w:rsidP="008C7B59">
      <w:r w:rsidRPr="00DB6B77">
        <w:t xml:space="preserve">We consider that the </w:t>
      </w:r>
      <w:r w:rsidRPr="00320B8F">
        <w:t xml:space="preserve">Southern Galilee Basin </w:t>
      </w:r>
      <w:r>
        <w:t xml:space="preserve">($116.9 </w:t>
      </w:r>
      <w:r w:rsidRPr="00DB6B77">
        <w:t xml:space="preserve">million) project is not reasonably required to be undertaken during the regulatory period and therefore it is not reasonable to assume that these projects would meet the capex criteria. </w:t>
      </w:r>
      <w:r>
        <w:t>On this basis, we do not consider that this project satisfies the requirements to be included as a contingent project.</w:t>
      </w:r>
    </w:p>
    <w:p w:rsidR="008C7B59" w:rsidRPr="006D497B" w:rsidRDefault="008C7B59" w:rsidP="008C7B59">
      <w:r>
        <w:lastRenderedPageBreak/>
        <w:t xml:space="preserve">Powerlink stated that there is sufficient network capacity in the </w:t>
      </w:r>
      <w:r w:rsidRPr="00A75DFC">
        <w:t>southern area of the Galilee Basin</w:t>
      </w:r>
      <w:r>
        <w:t xml:space="preserve"> to meet the coincident peak loads (as forecast in the 2015 Transmission Annual Planning Report). However, its analysis showed</w:t>
      </w:r>
      <w:r w:rsidRPr="002C1952">
        <w:t xml:space="preserve"> </w:t>
      </w:r>
      <w:r w:rsidRPr="006D497B">
        <w:t>that an</w:t>
      </w:r>
      <w:r>
        <w:t xml:space="preserve"> additional load in excess of 14</w:t>
      </w:r>
      <w:r w:rsidRPr="006D497B">
        <w:t xml:space="preserve">5MW supplied from </w:t>
      </w:r>
      <w:proofErr w:type="spellStart"/>
      <w:r w:rsidRPr="006D497B">
        <w:t>Lilyvale</w:t>
      </w:r>
      <w:proofErr w:type="spellEnd"/>
      <w:r>
        <w:t xml:space="preserve"> </w:t>
      </w:r>
      <w:r w:rsidRPr="006D497B">
        <w:t xml:space="preserve">Substation </w:t>
      </w:r>
      <w:r>
        <w:t>will exceed the firm thermal capacity of this substation. Based on analysis by Ernst and Young, this additional load will be exceeded by either two or more of the following three</w:t>
      </w:r>
      <w:r w:rsidRPr="006D497B">
        <w:t xml:space="preserve"> major export coal mine proposals located in the southern area of the Galilee Basin</w:t>
      </w:r>
      <w:r>
        <w:t xml:space="preserve"> proceeding or Kevin's Corner Mine project proceeding:</w:t>
      </w:r>
      <w:r w:rsidRPr="006D497B">
        <w:t xml:space="preserve"> </w:t>
      </w:r>
    </w:p>
    <w:p w:rsidR="008C7B59" w:rsidRPr="006D497B" w:rsidRDefault="008C7B59" w:rsidP="008C7B59">
      <w:pPr>
        <w:pStyle w:val="AERbulletlistfirststyle"/>
      </w:pPr>
      <w:r w:rsidRPr="006D497B">
        <w:t>Alpha Coal Project (joint venture GVK and Hancock Prospecting Pty Ltd);</w:t>
      </w:r>
    </w:p>
    <w:p w:rsidR="008C7B59" w:rsidRPr="006D497B" w:rsidRDefault="008C7B59" w:rsidP="008C7B59">
      <w:pPr>
        <w:pStyle w:val="AERbulletlistfirststyle"/>
      </w:pPr>
      <w:r w:rsidRPr="006D497B">
        <w:t>Kevin’s Corner Mine (joint venture GVK and Hancock Prospecting Pty Ltd); and</w:t>
      </w:r>
    </w:p>
    <w:p w:rsidR="008C7B59" w:rsidRPr="00B50767" w:rsidRDefault="008C7B59" w:rsidP="008C7B59">
      <w:pPr>
        <w:pStyle w:val="AERbulletlistfirststyle"/>
      </w:pPr>
      <w:r w:rsidRPr="006D497B">
        <w:t>China First Project (Waratah Coal).</w:t>
      </w:r>
    </w:p>
    <w:p w:rsidR="008C7B59" w:rsidRDefault="008C7B59" w:rsidP="008C7B59">
      <w:r>
        <w:t xml:space="preserve">These three mines </w:t>
      </w:r>
      <w:r w:rsidRPr="006D497B">
        <w:t xml:space="preserve">secured </w:t>
      </w:r>
      <w:r>
        <w:t>Federal and State environmental approvals in 2012 and 2013, but have yet to be constructed.</w:t>
      </w:r>
      <w:r>
        <w:rPr>
          <w:rStyle w:val="FootnoteReference"/>
        </w:rPr>
        <w:footnoteReference w:id="230"/>
      </w:r>
      <w:r>
        <w:t xml:space="preserve"> However, these mines are subject to disputes about environmental concerns which are delaying the projects and reducing their financial viability.</w:t>
      </w:r>
      <w:r>
        <w:rPr>
          <w:rStyle w:val="FootnoteReference"/>
        </w:rPr>
        <w:footnoteReference w:id="231"/>
      </w:r>
      <w:r>
        <w:t xml:space="preserve"> Because of these delays, Ernst and Young advised that:</w:t>
      </w:r>
    </w:p>
    <w:p w:rsidR="008C7B59" w:rsidRDefault="008C7B59" w:rsidP="008C7B59">
      <w:pPr>
        <w:pStyle w:val="AERquote"/>
      </w:pPr>
      <w:r w:rsidRPr="006B50B7">
        <w:t>Construction may very well begin within the review period if they</w:t>
      </w:r>
      <w:r>
        <w:t xml:space="preserve"> </w:t>
      </w:r>
      <w:r w:rsidRPr="006B50B7">
        <w:t>proceed, although the timing of the projects, and the potential electrical loading on the Powerlink</w:t>
      </w:r>
      <w:r>
        <w:t xml:space="preserve"> </w:t>
      </w:r>
      <w:r w:rsidRPr="006B50B7">
        <w:t>network during the period of interest, is subject to significant uncertainty.</w:t>
      </w:r>
      <w:r>
        <w:rPr>
          <w:rStyle w:val="FootnoteReference"/>
        </w:rPr>
        <w:footnoteReference w:id="232"/>
      </w:r>
    </w:p>
    <w:p w:rsidR="008C7B59" w:rsidRDefault="008C7B59" w:rsidP="008C7B59">
      <w:r>
        <w:t>In relation to these delays, Powerlink stated:</w:t>
      </w:r>
    </w:p>
    <w:p w:rsidR="008C7B59" w:rsidRDefault="008C7B59" w:rsidP="008C7B59">
      <w:pPr>
        <w:pStyle w:val="AERquote"/>
      </w:pPr>
      <w:r w:rsidRPr="002C1952">
        <w:t xml:space="preserve">Powerlink is aware that some of the original environmental approvals for these projects have been the subject of appeals to the Queensland Land Court, the Queensland Supreme Court and the Queensland Court of Appeal. In the case of </w:t>
      </w:r>
      <w:proofErr w:type="spellStart"/>
      <w:r w:rsidRPr="002C1952">
        <w:t>GVKHancock</w:t>
      </w:r>
      <w:proofErr w:type="spellEnd"/>
      <w:r w:rsidRPr="002C1952">
        <w:t>, the project proponents have determined to contest the appeal.</w:t>
      </w:r>
      <w:r>
        <w:t xml:space="preserve"> </w:t>
      </w:r>
      <w:r w:rsidRPr="006B50B7">
        <w:t>Based on the statements made by the project proponents Powerlink does not consider there has been a material change in the likelihood of these projects proceeding, though naturally there may have been some slippage in timeframes as a result of the ongoing legal actions.</w:t>
      </w:r>
      <w:r>
        <w:rPr>
          <w:rStyle w:val="FootnoteReference"/>
        </w:rPr>
        <w:footnoteReference w:id="233"/>
      </w:r>
    </w:p>
    <w:p w:rsidR="008C7B59" w:rsidRDefault="008C7B59" w:rsidP="008C7B59">
      <w:r>
        <w:t>We consider that the financial and timing uncertainty generated by the environmental concerns driven by these mines, and the associated</w:t>
      </w:r>
      <w:r w:rsidR="00F83EAC">
        <w:t xml:space="preserve"> legal actions, mean that </w:t>
      </w:r>
      <w:r>
        <w:t xml:space="preserve">it is unlikely that these mining projects will proceed within the 2017–22 period. This suggests that the proposed </w:t>
      </w:r>
      <w:r w:rsidRPr="00320B8F">
        <w:t>Southern Galilee Basin</w:t>
      </w:r>
      <w:r>
        <w:t xml:space="preserve"> contingent project is not </w:t>
      </w:r>
      <w:r>
        <w:lastRenderedPageBreak/>
        <w:t>reasonably likely as is required by the NER.</w:t>
      </w:r>
      <w:r>
        <w:rPr>
          <w:rStyle w:val="FootnoteReference"/>
        </w:rPr>
        <w:footnoteReference w:id="234"/>
      </w:r>
      <w:r>
        <w:t xml:space="preserve"> Therefore, we do not accept the</w:t>
      </w:r>
      <w:r w:rsidRPr="00CC6C37">
        <w:t xml:space="preserve"> Southern Galilee Basin connection shared network works </w:t>
      </w:r>
      <w:r>
        <w:t xml:space="preserve">as a contingent project based on the low likelihood that the project triggers (related to the three coal mine projects) will occur during the 2017–22 period.  </w:t>
      </w:r>
    </w:p>
    <w:p w:rsidR="008C7B59" w:rsidRPr="008C7B59" w:rsidRDefault="008C7B59" w:rsidP="008C7B59">
      <w:pPr>
        <w:pStyle w:val="Heading9"/>
      </w:pPr>
      <w:bookmarkStart w:id="347" w:name="_Toc460239340"/>
      <w:bookmarkStart w:id="348" w:name="_Toc460239593"/>
      <w:bookmarkStart w:id="349" w:name="_Toc460321548"/>
      <w:bookmarkStart w:id="350" w:name="_Toc460582408"/>
      <w:bookmarkStart w:id="351" w:name="_Toc462062188"/>
      <w:bookmarkStart w:id="352" w:name="_Toc462752329"/>
      <w:r w:rsidRPr="00320B8F">
        <w:t>Northern Bowen Basin area</w:t>
      </w:r>
      <w:bookmarkEnd w:id="347"/>
      <w:bookmarkEnd w:id="348"/>
      <w:bookmarkEnd w:id="349"/>
      <w:bookmarkEnd w:id="350"/>
      <w:bookmarkEnd w:id="351"/>
      <w:bookmarkEnd w:id="352"/>
      <w:r w:rsidRPr="00320B8F">
        <w:t xml:space="preserve"> </w:t>
      </w:r>
    </w:p>
    <w:p w:rsidR="008C7B59" w:rsidRDefault="008C7B59" w:rsidP="008C7B59">
      <w:r>
        <w:t>Powerlink submitted that</w:t>
      </w:r>
      <w:r w:rsidRPr="00A75DFC">
        <w:t xml:space="preserve"> </w:t>
      </w:r>
      <w:r>
        <w:t>t</w:t>
      </w:r>
      <w:r w:rsidRPr="00B00DFF">
        <w:t>he existing load in the Northern Bowen Basin in the Moranbah area primarily relates to the mining</w:t>
      </w:r>
      <w:r>
        <w:t xml:space="preserve"> </w:t>
      </w:r>
      <w:r w:rsidRPr="00B00DFF">
        <w:t>and transportation of coal. With the establishment of LNG export facilities at Gladstone there is increased</w:t>
      </w:r>
      <w:r>
        <w:t xml:space="preserve"> </w:t>
      </w:r>
      <w:r w:rsidRPr="00B00DFF">
        <w:t>interest in further developing the coal seam gas reserves in the Northern Bowen Basin to supply the</w:t>
      </w:r>
      <w:r>
        <w:t xml:space="preserve"> </w:t>
      </w:r>
      <w:r w:rsidRPr="00B00DFF">
        <w:t>export market and/or sell domestically.</w:t>
      </w:r>
      <w:r w:rsidRPr="00B00DFF">
        <w:rPr>
          <w:rStyle w:val="FootnoteReference"/>
        </w:rPr>
        <w:t xml:space="preserve"> </w:t>
      </w:r>
      <w:r>
        <w:rPr>
          <w:rStyle w:val="FootnoteReference"/>
        </w:rPr>
        <w:footnoteReference w:id="235"/>
      </w:r>
    </w:p>
    <w:p w:rsidR="008C7B59" w:rsidRDefault="008C7B59" w:rsidP="008C7B59">
      <w:r>
        <w:t xml:space="preserve">Powerlink proposed $55.7 million to establish a </w:t>
      </w:r>
      <w:r w:rsidRPr="00B00DFF">
        <w:t>second transformer at Strathmore</w:t>
      </w:r>
      <w:r>
        <w:t xml:space="preserve"> </w:t>
      </w:r>
      <w:r w:rsidRPr="00B00DFF">
        <w:t>Substation, phase shifting transformers on the circuits between Moranbah and</w:t>
      </w:r>
      <w:r>
        <w:t xml:space="preserve"> </w:t>
      </w:r>
      <w:r w:rsidRPr="00B00DFF">
        <w:t>Collinsville substations</w:t>
      </w:r>
      <w:r>
        <w:t>,</w:t>
      </w:r>
      <w:r w:rsidRPr="00B00DFF">
        <w:t xml:space="preserve"> and additional line switching at Strathmore to establish a second Strathmore</w:t>
      </w:r>
      <w:r>
        <w:t xml:space="preserve"> </w:t>
      </w:r>
      <w:r w:rsidRPr="00B00DFF">
        <w:t>to Collinsville 132kV circuit.</w:t>
      </w:r>
      <w:r>
        <w:rPr>
          <w:rStyle w:val="FootnoteReference"/>
        </w:rPr>
        <w:footnoteReference w:id="236"/>
      </w:r>
    </w:p>
    <w:p w:rsidR="008C7B59" w:rsidRDefault="008C7B59" w:rsidP="008C7B59">
      <w:r w:rsidRPr="003B1DFD">
        <w:t xml:space="preserve">Powerlink </w:t>
      </w:r>
      <w:r>
        <w:t>proposed the following trigger events for this contingent project:</w:t>
      </w:r>
      <w:r w:rsidRPr="003B1DFD">
        <w:rPr>
          <w:rStyle w:val="FootnoteReference"/>
        </w:rPr>
        <w:t xml:space="preserve"> </w:t>
      </w:r>
      <w:r>
        <w:rPr>
          <w:rStyle w:val="FootnoteReference"/>
        </w:rPr>
        <w:footnoteReference w:id="237"/>
      </w:r>
    </w:p>
    <w:p w:rsidR="008C7B59" w:rsidRDefault="008C7B59" w:rsidP="008C7B59">
      <w:pPr>
        <w:pStyle w:val="AERbulletlistfirststyle"/>
      </w:pPr>
      <w:r w:rsidRPr="003C2F78">
        <w:t>Commitment of additional load in excess of 30MW to be supplied from the network between</w:t>
      </w:r>
      <w:r>
        <w:t xml:space="preserve"> </w:t>
      </w:r>
      <w:r w:rsidRPr="003C2F78">
        <w:t>Moranbah and Collinsville 132kV substations, including supply directly from either of these</w:t>
      </w:r>
      <w:r>
        <w:t xml:space="preserve"> s</w:t>
      </w:r>
      <w:r w:rsidR="00F83EAC">
        <w:t>ubstations;</w:t>
      </w:r>
      <w:r>
        <w:t xml:space="preserve"> </w:t>
      </w:r>
    </w:p>
    <w:p w:rsidR="008C7B59" w:rsidRDefault="008C7B59" w:rsidP="008C7B59">
      <w:pPr>
        <w:pStyle w:val="AERbulletlistfirststyle"/>
      </w:pPr>
      <w:r w:rsidRPr="003C2F78">
        <w:t>Successful completion of the RIT-T, including a comprehensive assessment of the credible</w:t>
      </w:r>
      <w:r>
        <w:t xml:space="preserve"> </w:t>
      </w:r>
      <w:r w:rsidRPr="003C2F78">
        <w:t>options, that demonstrates a network investment by Powerlink maximises the net market benefits</w:t>
      </w:r>
      <w:r>
        <w:t xml:space="preserve"> </w:t>
      </w:r>
      <w:r w:rsidRPr="003C2F78">
        <w:t>while meeting reliability of supply obligations to th</w:t>
      </w:r>
      <w:r>
        <w:t>e Nort</w:t>
      </w:r>
      <w:r w:rsidR="00F83EAC">
        <w:t>hern Bowen Basin area; and</w:t>
      </w:r>
    </w:p>
    <w:p w:rsidR="008C7B59" w:rsidRPr="003B1DFD" w:rsidRDefault="008C7B59" w:rsidP="008C7B59">
      <w:pPr>
        <w:pStyle w:val="AERbulletlistfirststyle"/>
      </w:pPr>
      <w:r w:rsidRPr="003C2F78">
        <w:t>Powerlink Board commitment to proceed with the project subject to the AER amending</w:t>
      </w:r>
      <w:r>
        <w:t xml:space="preserve"> </w:t>
      </w:r>
      <w:r w:rsidRPr="003C2F78">
        <w:t>Powerlink’s revenue determination pursuant to the Rules.</w:t>
      </w:r>
    </w:p>
    <w:p w:rsidR="008C7B59" w:rsidRPr="00F83EAC" w:rsidRDefault="008C7B59" w:rsidP="00F83EAC">
      <w:pPr>
        <w:pStyle w:val="HeadingBoldBlue"/>
      </w:pPr>
      <w:r w:rsidRPr="00F83EAC">
        <w:t xml:space="preserve">AER considerations </w:t>
      </w:r>
    </w:p>
    <w:p w:rsidR="008C7B59" w:rsidRDefault="008C7B59" w:rsidP="008C7B59">
      <w:pPr>
        <w:pStyle w:val="ListParagraph"/>
        <w:numPr>
          <w:ilvl w:val="0"/>
          <w:numId w:val="24"/>
        </w:numPr>
      </w:pPr>
      <w:r w:rsidRPr="002C5432">
        <w:t xml:space="preserve">We consider that the </w:t>
      </w:r>
      <w:r w:rsidRPr="000963A0">
        <w:t xml:space="preserve">Northern Bowen Basin area </w:t>
      </w:r>
      <w:r>
        <w:t xml:space="preserve">project ($55.7 million) </w:t>
      </w:r>
      <w:r w:rsidRPr="002C5432">
        <w:t>may be reasonably required to be undertaken in order to achieve the capital expenditure objectives. However, we consider that the trigger events should be amended in order for us to be satisfied that each trigger event is appropriate.</w:t>
      </w:r>
    </w:p>
    <w:p w:rsidR="008C7B59" w:rsidRDefault="008C7B59" w:rsidP="008C7B59">
      <w:pPr>
        <w:pStyle w:val="ListParagraph"/>
        <w:numPr>
          <w:ilvl w:val="0"/>
          <w:numId w:val="24"/>
        </w:numPr>
      </w:pPr>
      <w:r>
        <w:t>Powerlink stated that the demand for its transmission network services could exceed current capacity at the Northern Bowen Basin once additional load in excess of 30MW between Moranbah and Collinsville is triggered.</w:t>
      </w:r>
      <w:r>
        <w:rPr>
          <w:rStyle w:val="FootnoteReference"/>
        </w:rPr>
        <w:footnoteReference w:id="238"/>
      </w:r>
      <w:r>
        <w:t xml:space="preserve"> </w:t>
      </w:r>
      <w:r w:rsidRPr="00A00FB0">
        <w:t>Ernst and Young</w:t>
      </w:r>
      <w:r>
        <w:t xml:space="preserve"> identified a plausible connection that may trigger the need for this additional capacity — an </w:t>
      </w:r>
      <w:r>
        <w:lastRenderedPageBreak/>
        <w:t>expansion of coal seam gas operations by Arrow Energy.</w:t>
      </w:r>
      <w:r>
        <w:rPr>
          <w:rStyle w:val="FootnoteReference"/>
        </w:rPr>
        <w:footnoteReference w:id="239"/>
      </w:r>
      <w:r>
        <w:t xml:space="preserve"> This project was forecast in Powerlink's 2015 Transmission Annual Planning Report.</w:t>
      </w:r>
    </w:p>
    <w:p w:rsidR="008C7B59" w:rsidRDefault="008C7B59" w:rsidP="008C7B59">
      <w:r>
        <w:t>We have limited information to determine the likelihood of this coal expansion proceeding within the 2017–22 period. However, Arrow Energy's coal seam project received environmental approval from the Queensland and Federal Governments in 2014.</w:t>
      </w:r>
      <w:r w:rsidRPr="000E2F64">
        <w:rPr>
          <w:rStyle w:val="FootnoteReference"/>
        </w:rPr>
        <w:footnoteReference w:id="240"/>
      </w:r>
      <w:r>
        <w:t xml:space="preserve"> If the project proceeds, it will very likely trigger the need to upgrade network capacity. On this basis, we are satisfied that the </w:t>
      </w:r>
      <w:r w:rsidRPr="000E2F64">
        <w:t xml:space="preserve">Northern Bowen Basin </w:t>
      </w:r>
      <w:r>
        <w:t xml:space="preserve">project </w:t>
      </w:r>
      <w:r w:rsidRPr="000E2F64">
        <w:t>may be reasonably required to be undertaken in order to satisfy demand for transmission services and/or maintain network reliability by alleviating capacity constraints</w:t>
      </w:r>
      <w:r>
        <w:t>.</w:t>
      </w:r>
    </w:p>
    <w:p w:rsidR="008C7B59" w:rsidRDefault="008C7B59" w:rsidP="008C7B59">
      <w:r w:rsidRPr="00943867">
        <w:t>As se</w:t>
      </w:r>
      <w:r w:rsidR="00F83EAC">
        <w:t xml:space="preserve">t out in section </w:t>
      </w:r>
      <w:fldSimple w:instr=" REF _Ref459805507 \r ">
        <w:r w:rsidR="005252EC">
          <w:t>D.2.2</w:t>
        </w:r>
      </w:fldSimple>
      <w:r w:rsidRPr="00943867">
        <w:t>, we consider that there are four trigger events required in order for us to be satisfied that a project should be included as a contingent project. For this specific contin</w:t>
      </w:r>
      <w:r w:rsidR="00F83EAC">
        <w:t>gent project, Powerlink included</w:t>
      </w:r>
      <w:r w:rsidRPr="00943867">
        <w:t xml:space="preserve"> three of these four required</w:t>
      </w:r>
      <w:r w:rsidR="00F83EAC">
        <w:t xml:space="preserve"> triggers. However, it did</w:t>
      </w:r>
      <w:r w:rsidRPr="00943867">
        <w:t xml:space="preserve"> not include</w:t>
      </w:r>
      <w:r>
        <w:t xml:space="preserve"> a requirement for Powerlink to request the AER to make a determination as to whether the preferred project option within a RIT-T satisfies the regulatory investment test for transmission. </w:t>
      </w:r>
      <w:r w:rsidRPr="00943867">
        <w:t xml:space="preserve"> Therefore, for us to be fully satisfied that this project should be a contingent project, Powerlink should amend its trigger events to include</w:t>
      </w:r>
      <w:r>
        <w:t xml:space="preserve"> the following additional trigger</w:t>
      </w:r>
      <w:r w:rsidRPr="00943867">
        <w:t xml:space="preserve">: </w:t>
      </w:r>
    </w:p>
    <w:p w:rsidR="008C7B59" w:rsidRPr="00943867" w:rsidRDefault="008C7B59" w:rsidP="008C7B59">
      <w:pPr>
        <w:pStyle w:val="AERquote"/>
      </w:pPr>
      <w:r w:rsidRPr="00943867">
        <w:t>“</w:t>
      </w:r>
      <w:proofErr w:type="gramStart"/>
      <w:r w:rsidRPr="00943867">
        <w:t>a</w:t>
      </w:r>
      <w:proofErr w:type="gramEnd"/>
      <w:r w:rsidRPr="00943867">
        <w:t xml:space="preserve"> determination by the AER (under Clause 5.16.6 of the National Electricity Rules) that the proposed investment satisfies the regulatory investment test for transmission”. </w:t>
      </w:r>
    </w:p>
    <w:p w:rsidR="008C7B59" w:rsidRPr="00E23BBC" w:rsidRDefault="008C7B59" w:rsidP="008C7B59">
      <w:r w:rsidRPr="002C31F2">
        <w:t xml:space="preserve">We require this additional information because it will </w:t>
      </w:r>
      <w:r>
        <w:t xml:space="preserve">provide an independent assessment that the RIT-T is successfully completed, and gives us greater confidence that the resulting project will satisfy the capex objectives. </w:t>
      </w:r>
    </w:p>
    <w:p w:rsidR="008C7B59" w:rsidRPr="008C7B59" w:rsidRDefault="008C7B59" w:rsidP="008C7B59">
      <w:pPr>
        <w:pStyle w:val="Heading9"/>
      </w:pPr>
      <w:bookmarkStart w:id="353" w:name="_Toc460239341"/>
      <w:bookmarkStart w:id="354" w:name="_Toc460239594"/>
      <w:bookmarkStart w:id="355" w:name="_Toc460321549"/>
      <w:bookmarkStart w:id="356" w:name="_Toc460582409"/>
      <w:bookmarkStart w:id="357" w:name="_Toc462062189"/>
      <w:bookmarkStart w:id="358" w:name="_Toc462752330"/>
      <w:r w:rsidRPr="00320B8F">
        <w:t xml:space="preserve">Bowen </w:t>
      </w:r>
      <w:r w:rsidRPr="008C7B59">
        <w:t>Industrial Estate</w:t>
      </w:r>
      <w:bookmarkEnd w:id="353"/>
      <w:bookmarkEnd w:id="354"/>
      <w:bookmarkEnd w:id="355"/>
      <w:bookmarkEnd w:id="356"/>
      <w:bookmarkEnd w:id="357"/>
      <w:bookmarkEnd w:id="358"/>
      <w:r w:rsidRPr="008C7B59">
        <w:t xml:space="preserve"> </w:t>
      </w:r>
    </w:p>
    <w:p w:rsidR="008C7B59" w:rsidRDefault="008C7B59" w:rsidP="008C7B59">
      <w:r w:rsidRPr="001565F1">
        <w:t>Powerlink submitted that</w:t>
      </w:r>
      <w:r w:rsidRPr="00121050">
        <w:t xml:space="preserve"> </w:t>
      </w:r>
      <w:r>
        <w:t>the Abbot Point connection point, l</w:t>
      </w:r>
      <w:r w:rsidR="00F83EAC">
        <w:t>ocated approximately 20 </w:t>
      </w:r>
      <w:r w:rsidRPr="001565F1">
        <w:t>kilometres</w:t>
      </w:r>
      <w:r>
        <w:t xml:space="preserve"> </w:t>
      </w:r>
      <w:r w:rsidRPr="001565F1">
        <w:t>west of Bowen,</w:t>
      </w:r>
      <w:r w:rsidRPr="00121050">
        <w:t xml:space="preserve"> </w:t>
      </w:r>
      <w:r w:rsidRPr="001565F1">
        <w:t>forms a key part of the infrastructure that will be necessary to support the</w:t>
      </w:r>
      <w:r>
        <w:t xml:space="preserve"> </w:t>
      </w:r>
      <w:r w:rsidRPr="001565F1">
        <w:t>development of coal exports from the northern part of the Galilee Basin</w:t>
      </w:r>
      <w:r>
        <w:t xml:space="preserve">. </w:t>
      </w:r>
      <w:r w:rsidRPr="001565F1">
        <w:t>The Abbot Point area is supplied at 66kV</w:t>
      </w:r>
      <w:r w:rsidRPr="00121050">
        <w:t xml:space="preserve"> </w:t>
      </w:r>
      <w:r w:rsidRPr="001565F1">
        <w:t>from Powerlink’s Bowen North substation</w:t>
      </w:r>
      <w:r>
        <w:t>.</w:t>
      </w:r>
      <w:r w:rsidRPr="00121050">
        <w:rPr>
          <w:rStyle w:val="FootnoteReference"/>
        </w:rPr>
        <w:t xml:space="preserve"> </w:t>
      </w:r>
      <w:r w:rsidRPr="001565F1">
        <w:t>During outages</w:t>
      </w:r>
      <w:r>
        <w:t xml:space="preserve"> </w:t>
      </w:r>
      <w:r w:rsidRPr="001565F1">
        <w:t>of the single supply to Bowen North the load is supplied via the Ergon Energy 66kV network from</w:t>
      </w:r>
      <w:r>
        <w:t xml:space="preserve"> </w:t>
      </w:r>
      <w:r w:rsidRPr="001565F1">
        <w:t>Proserpine, some 60km to the south.</w:t>
      </w:r>
      <w:r w:rsidRPr="00121050">
        <w:rPr>
          <w:rStyle w:val="FootnoteReference"/>
        </w:rPr>
        <w:t xml:space="preserve"> </w:t>
      </w:r>
      <w:r>
        <w:rPr>
          <w:rStyle w:val="FootnoteReference"/>
        </w:rPr>
        <w:footnoteReference w:id="241"/>
      </w:r>
    </w:p>
    <w:p w:rsidR="008C7B59" w:rsidRDefault="008C7B59" w:rsidP="008C7B59">
      <w:r>
        <w:t>Powerlink proposed $42.9 million to undertake the following programs:</w:t>
      </w:r>
      <w:r w:rsidRPr="00121050">
        <w:rPr>
          <w:rStyle w:val="FootnoteReference"/>
        </w:rPr>
        <w:t xml:space="preserve"> </w:t>
      </w:r>
      <w:r>
        <w:rPr>
          <w:rStyle w:val="FootnoteReference"/>
        </w:rPr>
        <w:footnoteReference w:id="242"/>
      </w:r>
      <w:r w:rsidRPr="00121050">
        <w:t xml:space="preserve"> </w:t>
      </w:r>
      <w:r>
        <w:t xml:space="preserve"> </w:t>
      </w:r>
    </w:p>
    <w:p w:rsidR="008C7B59" w:rsidRPr="00121050" w:rsidRDefault="008C7B59" w:rsidP="008C7B59">
      <w:pPr>
        <w:pStyle w:val="AERbulletlistfirststyle"/>
      </w:pPr>
      <w:r>
        <w:t>i</w:t>
      </w:r>
      <w:r w:rsidRPr="00121050">
        <w:t>nstallation of a second 132/66kV transformer at Bowen North Substation</w:t>
      </w:r>
      <w:r>
        <w:t>;</w:t>
      </w:r>
    </w:p>
    <w:p w:rsidR="008C7B59" w:rsidRPr="00121050" w:rsidRDefault="008C7B59" w:rsidP="008C7B59">
      <w:pPr>
        <w:pStyle w:val="AERbulletlistfirststyle"/>
      </w:pPr>
      <w:r>
        <w:t>c</w:t>
      </w:r>
      <w:r w:rsidRPr="00121050">
        <w:t>onnection of the second Strathmo</w:t>
      </w:r>
      <w:r>
        <w:t>re to Bowen North 132kV circuit;</w:t>
      </w:r>
    </w:p>
    <w:p w:rsidR="008C7B59" w:rsidRPr="00121050" w:rsidRDefault="008C7B59" w:rsidP="008C7B59">
      <w:pPr>
        <w:pStyle w:val="AERbulletlistfirststyle"/>
      </w:pPr>
      <w:r>
        <w:lastRenderedPageBreak/>
        <w:t>e</w:t>
      </w:r>
      <w:r w:rsidRPr="00121050">
        <w:t>stablishment of a second 275/132kV transformer at Strathmore Substation;</w:t>
      </w:r>
      <w:r>
        <w:t xml:space="preserve"> and</w:t>
      </w:r>
    </w:p>
    <w:p w:rsidR="008C7B59" w:rsidRDefault="008C7B59" w:rsidP="008C7B59">
      <w:pPr>
        <w:pStyle w:val="AERbulletlistfirststyle"/>
      </w:pPr>
      <w:proofErr w:type="gramStart"/>
      <w:r>
        <w:t>s</w:t>
      </w:r>
      <w:r w:rsidRPr="00121050">
        <w:t>witching</w:t>
      </w:r>
      <w:proofErr w:type="gramEnd"/>
      <w:r w:rsidRPr="00121050">
        <w:t xml:space="preserve"> the Collinsville to Clare South 132kV circuit at Strathmore Substation to provide a</w:t>
      </w:r>
      <w:r>
        <w:t xml:space="preserve"> </w:t>
      </w:r>
      <w:r w:rsidRPr="00121050">
        <w:t>second Strathmore to</w:t>
      </w:r>
      <w:r>
        <w:t xml:space="preserve"> Collinsville 132kV circuit. </w:t>
      </w:r>
    </w:p>
    <w:p w:rsidR="008C7B59" w:rsidRDefault="008C7B59" w:rsidP="008C7B59">
      <w:r w:rsidRPr="003B1DFD">
        <w:t xml:space="preserve">Powerlink </w:t>
      </w:r>
      <w:r>
        <w:t>proposed the following trigger events for this proposed contingent project:</w:t>
      </w:r>
      <w:r w:rsidRPr="003B1DFD">
        <w:rPr>
          <w:rStyle w:val="FootnoteReference"/>
        </w:rPr>
        <w:t xml:space="preserve"> </w:t>
      </w:r>
      <w:r>
        <w:rPr>
          <w:rStyle w:val="FootnoteReference"/>
        </w:rPr>
        <w:footnoteReference w:id="243"/>
      </w:r>
    </w:p>
    <w:p w:rsidR="008C7B59" w:rsidRDefault="008C7B59" w:rsidP="008C7B59">
      <w:pPr>
        <w:pStyle w:val="AERbulletlistfirststyle"/>
      </w:pPr>
      <w:r w:rsidRPr="00E5369D">
        <w:t>Commitment of additional load in excess of 10MW to be supplied from Bowen North Substation</w:t>
      </w:r>
      <w:r>
        <w:t>;</w:t>
      </w:r>
      <w:r w:rsidRPr="00E5369D">
        <w:t xml:space="preserve"> </w:t>
      </w:r>
    </w:p>
    <w:p w:rsidR="008C7B59" w:rsidRDefault="008C7B59" w:rsidP="008C7B59">
      <w:pPr>
        <w:pStyle w:val="AERbulletlistfirststyle"/>
      </w:pPr>
      <w:r w:rsidRPr="00E5369D">
        <w:t>Successful completion of the RIT-T, including a comprehensive assessment of the credible</w:t>
      </w:r>
      <w:r>
        <w:t xml:space="preserve"> </w:t>
      </w:r>
      <w:r w:rsidRPr="00E5369D">
        <w:t>options, that demonstrates a network investment by Powerlink maximises the net market benefits</w:t>
      </w:r>
      <w:r>
        <w:t xml:space="preserve"> </w:t>
      </w:r>
      <w:r w:rsidRPr="00E5369D">
        <w:t>while meeting reliability of supply obligations to the Bowen area</w:t>
      </w:r>
      <w:r>
        <w:t>;</w:t>
      </w:r>
      <w:r w:rsidR="00B25E28">
        <w:t xml:space="preserve"> and</w:t>
      </w:r>
    </w:p>
    <w:p w:rsidR="008C7B59" w:rsidRDefault="008C7B59" w:rsidP="008C7B59">
      <w:pPr>
        <w:pStyle w:val="AERbulletlistfirststyle"/>
      </w:pPr>
      <w:r w:rsidRPr="009F41F2">
        <w:t>Powerlink Board commitment to proceed with the project subject to the AER amending</w:t>
      </w:r>
      <w:r>
        <w:t xml:space="preserve"> </w:t>
      </w:r>
      <w:r w:rsidRPr="009F41F2">
        <w:t>Powerlink’s revenue determination pursuant to the Rules.</w:t>
      </w:r>
    </w:p>
    <w:p w:rsidR="008C7B59" w:rsidRPr="00B25E28" w:rsidRDefault="008C7B59" w:rsidP="00B25E28">
      <w:pPr>
        <w:pStyle w:val="HeadingBoldBlue"/>
      </w:pPr>
      <w:r w:rsidRPr="00B25E28">
        <w:t xml:space="preserve">AER considerations </w:t>
      </w:r>
    </w:p>
    <w:p w:rsidR="008C7B59" w:rsidRDefault="008C7B59" w:rsidP="008C7B59">
      <w:pPr>
        <w:pStyle w:val="ListParagraph"/>
        <w:numPr>
          <w:ilvl w:val="0"/>
          <w:numId w:val="24"/>
        </w:numPr>
      </w:pPr>
      <w:r w:rsidRPr="002C5432">
        <w:t>We consider that the</w:t>
      </w:r>
      <w:r w:rsidRPr="00540610">
        <w:t xml:space="preserve"> Bowen Industrial Estate</w:t>
      </w:r>
      <w:r w:rsidRPr="000963A0">
        <w:t xml:space="preserve"> </w:t>
      </w:r>
      <w:r>
        <w:t xml:space="preserve">project ($42.9 million) </w:t>
      </w:r>
      <w:r w:rsidRPr="002C5432">
        <w:t>may be reasonably required to be undertaken in order to achieve the capital expenditure objectives. However, we consider that the trigger events should be amended in order for us to be satisfied that each trigger event is appropriate.</w:t>
      </w:r>
    </w:p>
    <w:p w:rsidR="008C7B59" w:rsidRPr="00D0312E" w:rsidRDefault="008C7B59" w:rsidP="008C7B59">
      <w:pPr>
        <w:pStyle w:val="ListParagraph"/>
        <w:numPr>
          <w:ilvl w:val="0"/>
          <w:numId w:val="24"/>
        </w:numPr>
      </w:pPr>
      <w:r>
        <w:t xml:space="preserve">Powerlink stated that the demand for its transmission network services could exceed current capacity </w:t>
      </w:r>
      <w:r w:rsidR="00B25E28">
        <w:t xml:space="preserve">for </w:t>
      </w:r>
      <w:r>
        <w:t>the Bowen Industrial Estate once additional load in excess of 10MW at the Bowen North Substation</w:t>
      </w:r>
      <w:r w:rsidRPr="00540610">
        <w:t xml:space="preserve"> </w:t>
      </w:r>
      <w:r>
        <w:t>is triggered.</w:t>
      </w:r>
      <w:r>
        <w:rPr>
          <w:rStyle w:val="FootnoteReference"/>
        </w:rPr>
        <w:footnoteReference w:id="244"/>
      </w:r>
      <w:r>
        <w:t xml:space="preserve"> </w:t>
      </w:r>
      <w:r w:rsidRPr="00D0312E">
        <w:t xml:space="preserve">Ernst and Young identified a plausible connection that may trigger the need for this additional capacity — an expansion of </w:t>
      </w:r>
      <w:r>
        <w:t>capacity at the Abbot Point coal port terminal.</w:t>
      </w:r>
      <w:r>
        <w:rPr>
          <w:rStyle w:val="FootnoteReference"/>
        </w:rPr>
        <w:footnoteReference w:id="245"/>
      </w:r>
      <w:r w:rsidRPr="00D0312E">
        <w:t xml:space="preserve"> This project was forecast in Powerlink's 2015 Transmission Annual Planning Report.</w:t>
      </w:r>
    </w:p>
    <w:p w:rsidR="008C7B59" w:rsidRDefault="008C7B59" w:rsidP="008C7B59">
      <w:r w:rsidRPr="00D0312E">
        <w:t xml:space="preserve">We have limited information to determine the likelihood of this coal expansion proceeding within the </w:t>
      </w:r>
      <w:r>
        <w:t>2017–22</w:t>
      </w:r>
      <w:r w:rsidRPr="00D0312E">
        <w:t xml:space="preserve"> period. However, </w:t>
      </w:r>
      <w:r>
        <w:t xml:space="preserve">the expansion of Abbot Point coal port </w:t>
      </w:r>
      <w:r w:rsidRPr="00D0312E">
        <w:t xml:space="preserve">received environmental approval </w:t>
      </w:r>
      <w:r>
        <w:t xml:space="preserve">(with conditions) </w:t>
      </w:r>
      <w:r w:rsidRPr="00D0312E">
        <w:t xml:space="preserve">from the Federal Government in </w:t>
      </w:r>
      <w:r>
        <w:t>December 2015</w:t>
      </w:r>
      <w:r w:rsidRPr="00D0312E">
        <w:t>.</w:t>
      </w:r>
      <w:r w:rsidRPr="00D0312E">
        <w:rPr>
          <w:rStyle w:val="FootnoteReference"/>
        </w:rPr>
        <w:footnoteReference w:id="246"/>
      </w:r>
      <w:r w:rsidRPr="00D0312E">
        <w:t xml:space="preserve"> If the project proceeds, it will very likely trigger the need to upgrade network capacity. On this basis, we are satisfied that the </w:t>
      </w:r>
      <w:r w:rsidRPr="009A2D8A">
        <w:t xml:space="preserve">Bowen Industrial Estate </w:t>
      </w:r>
      <w:r w:rsidRPr="00D0312E">
        <w:t>project may be reasonably required to be undertaken in order to satisfy demand for transmission services and/or maintain network reliability by alleviating capacity constraints.</w:t>
      </w:r>
    </w:p>
    <w:p w:rsidR="008C7B59" w:rsidRPr="00FC12A5" w:rsidRDefault="00B25E28" w:rsidP="008C7B59">
      <w:r>
        <w:t xml:space="preserve">As set out in section </w:t>
      </w:r>
      <w:fldSimple w:instr=" REF _Ref459805507 \r ">
        <w:r w:rsidR="005252EC">
          <w:t>D.2.2</w:t>
        </w:r>
      </w:fldSimple>
      <w:r w:rsidR="008C7B59" w:rsidRPr="00FC12A5">
        <w:t xml:space="preserve">, we consider that there are four trigger events required in order for us to be satisfied that a project should be included as a contingent project. </w:t>
      </w:r>
      <w:r w:rsidR="008C7B59" w:rsidRPr="00FC12A5">
        <w:lastRenderedPageBreak/>
        <w:t>For this specific contin</w:t>
      </w:r>
      <w:r>
        <w:t>gent project, Powerlink included</w:t>
      </w:r>
      <w:r w:rsidR="008C7B59" w:rsidRPr="00FC12A5">
        <w:t xml:space="preserve"> three of these four req</w:t>
      </w:r>
      <w:r>
        <w:t>uired triggers. However, it did</w:t>
      </w:r>
      <w:r w:rsidR="008C7B59" w:rsidRPr="00FC12A5">
        <w:t xml:space="preserve"> not include </w:t>
      </w:r>
      <w:r w:rsidR="008C7B59">
        <w:t>a requirement</w:t>
      </w:r>
      <w:r w:rsidR="008C7B59" w:rsidRPr="00FC12A5">
        <w:t xml:space="preserve"> for Powerlink to request the AER to make a determination as to whether the preferred project option within a RIT-T satisfies the regulatory investment test for transmission.  Therefore, for us to be fully satisfied that this project should be a contingent project, Powerlink should amend its trigger events to include the following additional trigger: </w:t>
      </w:r>
    </w:p>
    <w:p w:rsidR="008C7B59" w:rsidRPr="00FC12A5" w:rsidRDefault="008C7B59" w:rsidP="008C7B59">
      <w:pPr>
        <w:pStyle w:val="AERquote"/>
      </w:pPr>
      <w:r w:rsidRPr="00FC12A5">
        <w:t>“</w:t>
      </w:r>
      <w:proofErr w:type="gramStart"/>
      <w:r w:rsidRPr="00FC12A5">
        <w:t>a</w:t>
      </w:r>
      <w:proofErr w:type="gramEnd"/>
      <w:r w:rsidRPr="00FC12A5">
        <w:t xml:space="preserve"> determination by the AER (under Clause 5.16.6 of the National Electricity Rules) that the proposed investment satisfies the regulatory investment test for transmission”. </w:t>
      </w:r>
    </w:p>
    <w:p w:rsidR="008C7B59" w:rsidRDefault="008C7B59" w:rsidP="008C7B59">
      <w:r w:rsidRPr="00FC12A5">
        <w:t xml:space="preserve">We require this additional information because it will provide an independent assessment that the RIT-T is successfully completed, and gives us greater confidence that the resulting project will satisfy the capex objectives. </w:t>
      </w:r>
    </w:p>
    <w:p w:rsidR="008C7B59" w:rsidRPr="008C7B59" w:rsidRDefault="008C7B59" w:rsidP="008C7B59">
      <w:pPr>
        <w:pStyle w:val="Heading9"/>
      </w:pPr>
      <w:bookmarkStart w:id="359" w:name="_Toc460239342"/>
      <w:bookmarkStart w:id="360" w:name="_Toc460239595"/>
      <w:bookmarkStart w:id="361" w:name="_Toc460321550"/>
      <w:bookmarkStart w:id="362" w:name="_Toc460582410"/>
      <w:bookmarkStart w:id="363" w:name="_Toc462062190"/>
      <w:bookmarkStart w:id="364" w:name="_Toc462752331"/>
      <w:r w:rsidRPr="00320B8F">
        <w:t>QNI upgrade (</w:t>
      </w:r>
      <w:r w:rsidRPr="008C7B59">
        <w:t>Queensland component)</w:t>
      </w:r>
      <w:bookmarkEnd w:id="359"/>
      <w:bookmarkEnd w:id="360"/>
      <w:bookmarkEnd w:id="361"/>
      <w:bookmarkEnd w:id="362"/>
      <w:bookmarkEnd w:id="363"/>
      <w:bookmarkEnd w:id="364"/>
      <w:r w:rsidRPr="008C7B59">
        <w:t xml:space="preserve"> </w:t>
      </w:r>
    </w:p>
    <w:p w:rsidR="008C7B59" w:rsidRPr="009A2D8A" w:rsidRDefault="008C7B59" w:rsidP="008C7B59">
      <w:r w:rsidRPr="009A2D8A">
        <w:t xml:space="preserve">The existing Queensland to NSW Interconnector (QNI) comprises double circuit 330 and 275 kV transmission lines from Armidale (NSW) to </w:t>
      </w:r>
      <w:proofErr w:type="spellStart"/>
      <w:r w:rsidRPr="009A2D8A">
        <w:t>Tarong</w:t>
      </w:r>
      <w:proofErr w:type="spellEnd"/>
      <w:r w:rsidRPr="009A2D8A">
        <w:t xml:space="preserve"> (Qld). The transfer capacity of QNI is constrained on occasions in both directions, and the number of hours of constraint is increasing. Transfer capability across QNI is limited by a number of factors: voltage, transient stability and oscillatory stability. </w:t>
      </w:r>
    </w:p>
    <w:p w:rsidR="008C7B59" w:rsidRDefault="008C7B59" w:rsidP="008C7B59">
      <w:r>
        <w:t>Powerlink submitted that assessment into the market benefits of upgrading the QNI was made with TransGrid jointly in late 2012. The assessment resulted in a formal RIT-T consultation process that was finalised in December 2014. However, AEMO's assessment of the QNI upgrade under various scenarios showed that "doing nothing" results in a similar outcome to any options to upgrade. On this basis, Powerlink and TransGrid have decided to not undertake any upgrade of the QNI, but to continue monitoring market developments which may result in upgrades of the QNI.</w:t>
      </w:r>
      <w:r>
        <w:rPr>
          <w:rStyle w:val="FootnoteReference"/>
        </w:rPr>
        <w:footnoteReference w:id="247"/>
      </w:r>
      <w:r>
        <w:t xml:space="preserve"> Powerlink proposed $66.7 million for upgrading the QNI in case this project goes ahead.</w:t>
      </w:r>
      <w:r w:rsidRPr="00121050">
        <w:rPr>
          <w:rStyle w:val="FootnoteReference"/>
        </w:rPr>
        <w:t xml:space="preserve"> </w:t>
      </w:r>
      <w:r>
        <w:rPr>
          <w:rStyle w:val="FootnoteReference"/>
        </w:rPr>
        <w:footnoteReference w:id="248"/>
      </w:r>
      <w:r w:rsidRPr="00121050">
        <w:t xml:space="preserve"> </w:t>
      </w:r>
      <w:r>
        <w:t xml:space="preserve"> </w:t>
      </w:r>
    </w:p>
    <w:p w:rsidR="008C7B59" w:rsidRPr="00CE784A" w:rsidRDefault="008C7B59" w:rsidP="008C7B59">
      <w:pPr>
        <w:pStyle w:val="ListParagraph"/>
        <w:numPr>
          <w:ilvl w:val="0"/>
          <w:numId w:val="24"/>
        </w:numPr>
      </w:pPr>
      <w:r w:rsidRPr="00CE784A">
        <w:t>Powerlink proposed the following trigger events for this proposed contingent project:</w:t>
      </w:r>
      <w:r w:rsidRPr="00CE784A">
        <w:rPr>
          <w:rStyle w:val="FootnoteReference"/>
        </w:rPr>
        <w:t xml:space="preserve"> </w:t>
      </w:r>
      <w:r w:rsidRPr="00CE784A">
        <w:rPr>
          <w:rStyle w:val="FootnoteReference"/>
        </w:rPr>
        <w:footnoteReference w:id="249"/>
      </w:r>
    </w:p>
    <w:p w:rsidR="008C7B59" w:rsidRPr="00CE784A" w:rsidRDefault="008C7B59" w:rsidP="008C7B59">
      <w:pPr>
        <w:pStyle w:val="AERbulletlistfirststyle"/>
      </w:pPr>
      <w:r w:rsidRPr="00CE784A">
        <w:t>Successful completion of the RIT-T demonstrating a network investment by Powerlink maximises</w:t>
      </w:r>
      <w:r>
        <w:t xml:space="preserve"> </w:t>
      </w:r>
      <w:r w:rsidRPr="00CE784A">
        <w:t>the net market benefits from increasing the capacity of QNI either northward or southward or in</w:t>
      </w:r>
      <w:r>
        <w:t xml:space="preserve"> </w:t>
      </w:r>
      <w:r w:rsidRPr="00CE784A">
        <w:t>both directions</w:t>
      </w:r>
      <w:r>
        <w:t>;</w:t>
      </w:r>
    </w:p>
    <w:p w:rsidR="008C7B59" w:rsidRPr="00CE784A" w:rsidRDefault="008C7B59" w:rsidP="008C7B59">
      <w:pPr>
        <w:pStyle w:val="AERbulletlistfirststyle"/>
      </w:pPr>
      <w:r w:rsidRPr="00CE784A">
        <w:t>Determination by the AER under clause 5.16.6 of the Rules that the proposed investment satisfies the RIT-T</w:t>
      </w:r>
      <w:r>
        <w:t>;</w:t>
      </w:r>
      <w:r w:rsidR="00B25E28">
        <w:t xml:space="preserve"> and</w:t>
      </w:r>
    </w:p>
    <w:p w:rsidR="008C7B59" w:rsidRPr="00CE784A" w:rsidRDefault="008C7B59" w:rsidP="008C7B59">
      <w:pPr>
        <w:pStyle w:val="AERbulletlistfirststyle"/>
      </w:pPr>
      <w:r w:rsidRPr="00CE784A">
        <w:t>Powerlink Board commitment to proceed with the project subject to the AER amending Powerlink’s revenue determination pursuant to the Rules.</w:t>
      </w:r>
    </w:p>
    <w:p w:rsidR="008C7B59" w:rsidRPr="00B25E28" w:rsidRDefault="008C7B59" w:rsidP="00B25E28">
      <w:pPr>
        <w:pStyle w:val="HeadingBoldBlue"/>
      </w:pPr>
      <w:r w:rsidRPr="00B25E28">
        <w:t xml:space="preserve">AER considerations </w:t>
      </w:r>
    </w:p>
    <w:p w:rsidR="008C7B59" w:rsidRDefault="008C7B59" w:rsidP="008C7B59">
      <w:pPr>
        <w:pStyle w:val="ListParagraph"/>
        <w:numPr>
          <w:ilvl w:val="0"/>
          <w:numId w:val="24"/>
        </w:numPr>
      </w:pPr>
      <w:r w:rsidRPr="002C5432">
        <w:lastRenderedPageBreak/>
        <w:t>We consider that the</w:t>
      </w:r>
      <w:r w:rsidRPr="00540610">
        <w:t xml:space="preserve"> </w:t>
      </w:r>
      <w:r>
        <w:t>QNI upgrade (Queensland component)</w:t>
      </w:r>
      <w:r w:rsidRPr="000963A0">
        <w:t xml:space="preserve"> </w:t>
      </w:r>
      <w:r>
        <w:t xml:space="preserve">project ($66.7 million) </w:t>
      </w:r>
      <w:r w:rsidRPr="002C5432">
        <w:t>may be reasonably required to be undertaken in order to achieve the capital expenditure objectives. However, we consider that the trigger events should be amended in order for us to be satisfied that each trigger event is appropriate.</w:t>
      </w:r>
    </w:p>
    <w:p w:rsidR="008C7B59" w:rsidRDefault="008C7B59" w:rsidP="008C7B59">
      <w:pPr>
        <w:pStyle w:val="ListParagraph"/>
        <w:numPr>
          <w:ilvl w:val="0"/>
          <w:numId w:val="24"/>
        </w:numPr>
      </w:pPr>
      <w:r w:rsidRPr="009A2D8A">
        <w:t xml:space="preserve">While the project is </w:t>
      </w:r>
      <w:r>
        <w:t xml:space="preserve">not currently planned, </w:t>
      </w:r>
      <w:r w:rsidRPr="009A2D8A">
        <w:t xml:space="preserve">a material change in </w:t>
      </w:r>
      <w:r>
        <w:t xml:space="preserve">market conditions (e.g. </w:t>
      </w:r>
      <w:r w:rsidRPr="00B20755">
        <w:t>load and energy growth across the NEM</w:t>
      </w:r>
      <w:r>
        <w:t xml:space="preserve">, </w:t>
      </w:r>
      <w:r w:rsidRPr="00B20755">
        <w:t>future gas prices within Queensland</w:t>
      </w:r>
      <w:r>
        <w:t xml:space="preserve">, and </w:t>
      </w:r>
      <w:r w:rsidRPr="00B20755">
        <w:t>development of wind far</w:t>
      </w:r>
      <w:r>
        <w:t>ms within the northern NSW area)</w:t>
      </w:r>
      <w:r w:rsidRPr="009A2D8A">
        <w:t xml:space="preserve"> may justify one of the project scenarios</w:t>
      </w:r>
      <w:r>
        <w:t xml:space="preserve"> considered in the RIT-T</w:t>
      </w:r>
      <w:r w:rsidRPr="009A2D8A">
        <w:t>.</w:t>
      </w:r>
      <w:r>
        <w:t xml:space="preserve"> </w:t>
      </w:r>
      <w:r w:rsidRPr="009A2D8A">
        <w:t xml:space="preserve">This would then result in the project being reasonably </w:t>
      </w:r>
      <w:r>
        <w:t>required</w:t>
      </w:r>
      <w:r w:rsidRPr="009A2D8A">
        <w:t xml:space="preserve"> to satisfy demand for transmission services and/or maintain network reliability by alleviating capacity constraints.</w:t>
      </w:r>
    </w:p>
    <w:p w:rsidR="008C7B59" w:rsidRDefault="008C7B59" w:rsidP="008C7B59">
      <w:r w:rsidRPr="009A2D8A">
        <w:t>Powerlink has proposed a solution for this contingent project that is not one of th</w:t>
      </w:r>
      <w:r w:rsidR="00B25E28">
        <w:t>e options identified or assessed</w:t>
      </w:r>
      <w:r w:rsidRPr="009A2D8A">
        <w:t xml:space="preserve"> in the RIT-T process. Although this option falls within the range of costs of the identified options, it is not clear what the market benefits associated within this option are.  It is possible that this new option is superior in some aspects to the existing RIT-T option, but Powerlink has not provided any analysis </w:t>
      </w:r>
      <w:r>
        <w:t xml:space="preserve">to support this. On this basis, it is not clear that </w:t>
      </w:r>
      <w:r w:rsidRPr="009A2D8A">
        <w:t>the option proposed by Powerlink would meet the capex criteria.</w:t>
      </w:r>
      <w:r>
        <w:t xml:space="preserve"> We will consider this closely in the event that Powerlink applies to us to trigger this contingent project in the future.</w:t>
      </w:r>
    </w:p>
    <w:p w:rsidR="008C7B59" w:rsidRPr="00FC12A5" w:rsidRDefault="00B25E28" w:rsidP="008C7B59">
      <w:r>
        <w:t xml:space="preserve">As set out in section </w:t>
      </w:r>
      <w:fldSimple w:instr=" REF _Ref459805507 \r ">
        <w:r w:rsidR="005252EC">
          <w:t>D.2.2</w:t>
        </w:r>
      </w:fldSimple>
      <w:r w:rsidR="008C7B59" w:rsidRPr="00FC12A5">
        <w:t>, we consider that there are four trigger events required in order for us to be satisfied that a project should be included as a contingent project. For this specific contin</w:t>
      </w:r>
      <w:r>
        <w:t>gent project, Powerlink included</w:t>
      </w:r>
      <w:r w:rsidR="008C7B59" w:rsidRPr="00FC12A5">
        <w:t xml:space="preserve"> three of these four req</w:t>
      </w:r>
      <w:r>
        <w:t>uired triggers. However, it did</w:t>
      </w:r>
      <w:r w:rsidR="008C7B59" w:rsidRPr="00FC12A5">
        <w:t xml:space="preserve"> not include specific detail about the amount and location of additional load required to trigger the contingent project. Therefore, for us to be fully satisfied that this project should be a contingent project, Powerlink should amend its trigger events to include: </w:t>
      </w:r>
    </w:p>
    <w:p w:rsidR="008C7B59" w:rsidRDefault="008C7B59" w:rsidP="008C7B59">
      <w:pPr>
        <w:pStyle w:val="AERbulletlistfirststyle"/>
      </w:pPr>
      <w:proofErr w:type="gramStart"/>
      <w:r w:rsidRPr="00FC12A5">
        <w:t>additional</w:t>
      </w:r>
      <w:proofErr w:type="gramEnd"/>
      <w:r w:rsidRPr="00FC12A5">
        <w:t xml:space="preserve"> detail which specifies the amount and location of additional load required to trigger the </w:t>
      </w:r>
      <w:r>
        <w:t>QNI upgrade (Queensland component)</w:t>
      </w:r>
      <w:r w:rsidRPr="00FC12A5">
        <w:t xml:space="preserve"> project. </w:t>
      </w:r>
    </w:p>
    <w:p w:rsidR="008C7B59" w:rsidRPr="009E2437" w:rsidRDefault="008C7B59" w:rsidP="00B25E28">
      <w:r w:rsidRPr="00183807">
        <w:t xml:space="preserve">We require this </w:t>
      </w:r>
      <w:r w:rsidRPr="00B25E28">
        <w:t>additional</w:t>
      </w:r>
      <w:r w:rsidRPr="00183807">
        <w:t xml:space="preserve"> information because it will ensure that the trigger event is:</w:t>
      </w:r>
    </w:p>
    <w:p w:rsidR="008C7B59" w:rsidRPr="00183807" w:rsidRDefault="008C7B59" w:rsidP="008C7B59">
      <w:pPr>
        <w:pStyle w:val="AERbulletlistfirststyle"/>
      </w:pPr>
      <w:r w:rsidRPr="00183807">
        <w:t>reasonably specific and capable of objective verification;</w:t>
      </w:r>
      <w:r w:rsidRPr="00183807">
        <w:rPr>
          <w:rStyle w:val="FootnoteReference"/>
        </w:rPr>
        <w:t xml:space="preserve"> </w:t>
      </w:r>
      <w:r w:rsidRPr="00183807">
        <w:rPr>
          <w:rStyle w:val="FootnoteReference"/>
        </w:rPr>
        <w:footnoteReference w:id="250"/>
      </w:r>
      <w:r w:rsidRPr="00183807">
        <w:t xml:space="preserve"> and</w:t>
      </w:r>
    </w:p>
    <w:p w:rsidR="008C7B59" w:rsidRPr="00FC12A5" w:rsidRDefault="008C7B59" w:rsidP="008C7B59">
      <w:pPr>
        <w:pStyle w:val="AERbulletlistfirststyle"/>
      </w:pPr>
      <w:proofErr w:type="gramStart"/>
      <w:r w:rsidRPr="00183807">
        <w:t>a</w:t>
      </w:r>
      <w:proofErr w:type="gramEnd"/>
      <w:r w:rsidRPr="00183807">
        <w:t xml:space="preserve"> condition or event that generates increased costs or categories of costs that relate to a specific location rather than a condition or event that affects the transmission network as a whole.</w:t>
      </w:r>
      <w:r w:rsidRPr="00183807">
        <w:rPr>
          <w:rStyle w:val="FootnoteReference"/>
        </w:rPr>
        <w:t xml:space="preserve"> </w:t>
      </w:r>
      <w:r w:rsidRPr="00183807">
        <w:rPr>
          <w:rStyle w:val="FootnoteReference"/>
        </w:rPr>
        <w:footnoteReference w:id="251"/>
      </w:r>
    </w:p>
    <w:p w:rsidR="008C7B59" w:rsidRPr="00197B91" w:rsidRDefault="008C7B59" w:rsidP="008C7B59">
      <w:r w:rsidRPr="006B2A4C">
        <w:t xml:space="preserve"> The existing trigger as it is currently written is broadly defined as “plausible developments in the Queensland region that may impact the demand for services on QNI"</w:t>
      </w:r>
      <w:r w:rsidR="00B25E28">
        <w:t>,</w:t>
      </w:r>
      <w:r w:rsidRPr="006B2A4C">
        <w:rPr>
          <w:rStyle w:val="FootnoteReference"/>
        </w:rPr>
        <w:footnoteReference w:id="252"/>
      </w:r>
      <w:r w:rsidRPr="006B2A4C">
        <w:t xml:space="preserve"> which may make it difficult to assess unambiguously whether or not the proposed contingent project has been triggered. In contrast, specifying the precise amount of load required to trigger the contingent project will ensure that the trigger </w:t>
      </w:r>
      <w:r w:rsidRPr="006B2A4C">
        <w:lastRenderedPageBreak/>
        <w:t xml:space="preserve">event is unambiguous and objective. As we state in section </w:t>
      </w:r>
      <w:r w:rsidRPr="006B2A4C">
        <w:fldChar w:fldCharType="begin"/>
      </w:r>
      <w:r w:rsidRPr="006B2A4C">
        <w:instrText xml:space="preserve"> REF _Ref459805507 \r \h </w:instrText>
      </w:r>
      <w:r w:rsidRPr="006B2A4C">
        <w:fldChar w:fldCharType="separate"/>
      </w:r>
      <w:r w:rsidR="005252EC">
        <w:t>D.2.2</w:t>
      </w:r>
      <w:r w:rsidRPr="006B2A4C">
        <w:fldChar w:fldCharType="end"/>
      </w:r>
      <w:r w:rsidRPr="006B2A4C">
        <w:t>, this will give us greater confidence that the resulting project will satisfy the capex objectives and criteria. This will ensure that the trigger event is 'a condition or event which, if it occurs, makes the project reasonably necessary in order to achieve any of the capex objectives'.</w:t>
      </w:r>
      <w:r w:rsidRPr="006B2A4C">
        <w:rPr>
          <w:rStyle w:val="FootnoteReference"/>
        </w:rPr>
        <w:footnoteReference w:id="253"/>
      </w:r>
      <w:r w:rsidRPr="006B2A4C">
        <w:t xml:space="preserve"> </w:t>
      </w:r>
    </w:p>
    <w:p w:rsidR="008C7B59" w:rsidRPr="008C7B59" w:rsidRDefault="008C7B59" w:rsidP="008C7B59">
      <w:pPr>
        <w:pStyle w:val="Heading9"/>
      </w:pPr>
      <w:bookmarkStart w:id="365" w:name="_Ref458524425"/>
      <w:bookmarkStart w:id="366" w:name="_Toc460239343"/>
      <w:bookmarkStart w:id="367" w:name="_Toc460239596"/>
      <w:bookmarkStart w:id="368" w:name="_Toc460321551"/>
      <w:bookmarkStart w:id="369" w:name="_Toc460582411"/>
      <w:bookmarkStart w:id="370" w:name="_Toc462062191"/>
      <w:bookmarkStart w:id="371" w:name="_Toc462752332"/>
      <w:r>
        <w:t xml:space="preserve">Central West to </w:t>
      </w:r>
      <w:r w:rsidRPr="008C7B59">
        <w:t>Gladstone Area Reinforcement</w:t>
      </w:r>
      <w:bookmarkEnd w:id="365"/>
      <w:bookmarkEnd w:id="366"/>
      <w:bookmarkEnd w:id="367"/>
      <w:bookmarkEnd w:id="368"/>
      <w:bookmarkEnd w:id="369"/>
      <w:bookmarkEnd w:id="370"/>
      <w:bookmarkEnd w:id="371"/>
      <w:r w:rsidRPr="008C7B59">
        <w:t xml:space="preserve"> </w:t>
      </w:r>
    </w:p>
    <w:p w:rsidR="008C7B59" w:rsidRDefault="008C7B59" w:rsidP="008C7B59">
      <w:r>
        <w:t>Powerlink submitted that possible developments around the Central West and Gladstone zones of its network could affect the capacity loading around this region of its network.</w:t>
      </w:r>
      <w:r>
        <w:rPr>
          <w:rStyle w:val="FootnoteReference"/>
        </w:rPr>
        <w:footnoteReference w:id="254"/>
      </w:r>
      <w:r>
        <w:t xml:space="preserve"> Powerlink proposed $105.5 million to construct a </w:t>
      </w:r>
      <w:r w:rsidRPr="005D402D">
        <w:t xml:space="preserve">double circuit 275kV line between </w:t>
      </w:r>
      <w:proofErr w:type="spellStart"/>
      <w:r w:rsidRPr="005D402D">
        <w:t>Calvale</w:t>
      </w:r>
      <w:proofErr w:type="spellEnd"/>
      <w:r w:rsidRPr="005D402D">
        <w:t xml:space="preserve"> and </w:t>
      </w:r>
      <w:proofErr w:type="spellStart"/>
      <w:r w:rsidRPr="005D402D">
        <w:t>Larcom</w:t>
      </w:r>
      <w:proofErr w:type="spellEnd"/>
      <w:r>
        <w:t xml:space="preserve"> Creek substations. The proposed project will also include rebuilding </w:t>
      </w:r>
      <w:r w:rsidRPr="005D402D">
        <w:t xml:space="preserve">the single circuit low capacity 275kV line between </w:t>
      </w:r>
      <w:proofErr w:type="spellStart"/>
      <w:r w:rsidRPr="005D402D">
        <w:t>Larcom</w:t>
      </w:r>
      <w:proofErr w:type="spellEnd"/>
      <w:r w:rsidRPr="005D402D">
        <w:t xml:space="preserve"> Creek</w:t>
      </w:r>
      <w:r>
        <w:t xml:space="preserve"> </w:t>
      </w:r>
      <w:r w:rsidRPr="005D402D">
        <w:t>and Calliope River substations</w:t>
      </w:r>
      <w:r>
        <w:t>.</w:t>
      </w:r>
      <w:r w:rsidRPr="008371C9">
        <w:rPr>
          <w:rStyle w:val="FootnoteReference"/>
        </w:rPr>
        <w:t xml:space="preserve"> </w:t>
      </w:r>
      <w:r>
        <w:rPr>
          <w:rStyle w:val="FootnoteReference"/>
        </w:rPr>
        <w:footnoteReference w:id="255"/>
      </w:r>
    </w:p>
    <w:p w:rsidR="008C7B59" w:rsidRPr="00CE784A" w:rsidRDefault="008C7B59" w:rsidP="008C7B59">
      <w:pPr>
        <w:pStyle w:val="ListParagraph"/>
        <w:numPr>
          <w:ilvl w:val="0"/>
          <w:numId w:val="24"/>
        </w:numPr>
      </w:pPr>
      <w:r w:rsidRPr="00CE784A">
        <w:t>Powerlink proposed the following trigger events for this proposed contingent project:</w:t>
      </w:r>
      <w:r w:rsidRPr="00CE784A">
        <w:rPr>
          <w:rStyle w:val="FootnoteReference"/>
        </w:rPr>
        <w:t xml:space="preserve"> </w:t>
      </w:r>
      <w:r w:rsidRPr="00CE784A">
        <w:rPr>
          <w:rStyle w:val="FootnoteReference"/>
        </w:rPr>
        <w:footnoteReference w:id="256"/>
      </w:r>
    </w:p>
    <w:p w:rsidR="008C7B59" w:rsidRPr="008371C9" w:rsidRDefault="008C7B59" w:rsidP="008C7B59">
      <w:pPr>
        <w:pStyle w:val="AERbulletlistfirststyle"/>
      </w:pPr>
      <w:r w:rsidRPr="008371C9">
        <w:t>Successful completion of the RIT-T demonstrating a network investment by Powerlink maximises</w:t>
      </w:r>
      <w:r>
        <w:t xml:space="preserve"> </w:t>
      </w:r>
      <w:r w:rsidRPr="008371C9">
        <w:t>the net market benefits from increasing the capacity the 275kV network between the Central West</w:t>
      </w:r>
      <w:r>
        <w:t xml:space="preserve"> </w:t>
      </w:r>
      <w:r w:rsidRPr="008371C9">
        <w:t>and Gladstone zones</w:t>
      </w:r>
      <w:r w:rsidR="00B25E28">
        <w:t>;</w:t>
      </w:r>
    </w:p>
    <w:p w:rsidR="008C7B59" w:rsidRPr="008371C9" w:rsidRDefault="008C7B59" w:rsidP="008C7B59">
      <w:pPr>
        <w:pStyle w:val="AERbulletlistfirststyle"/>
      </w:pPr>
      <w:r w:rsidRPr="008371C9">
        <w:t>Determination by the AER under clause 5.16.6 of the Rules that the proposed investment satisfies</w:t>
      </w:r>
      <w:r>
        <w:t xml:space="preserve"> </w:t>
      </w:r>
      <w:r w:rsidRPr="008371C9">
        <w:t>the RIT-T</w:t>
      </w:r>
      <w:r w:rsidR="00B25E28">
        <w:t>; and</w:t>
      </w:r>
    </w:p>
    <w:p w:rsidR="008C7B59" w:rsidRDefault="008C7B59" w:rsidP="008C7B59">
      <w:pPr>
        <w:pStyle w:val="AERbulletlistfirststyle"/>
      </w:pPr>
      <w:r w:rsidRPr="008371C9">
        <w:t>Powerlink Board commitment to proceed with the project subject to the AER amending</w:t>
      </w:r>
      <w:r>
        <w:t xml:space="preserve"> </w:t>
      </w:r>
      <w:r w:rsidRPr="008371C9">
        <w:t>Powerlink’s revenue determination pursuant to the Rules.</w:t>
      </w:r>
    </w:p>
    <w:p w:rsidR="008C7B59" w:rsidRPr="00B25E28" w:rsidRDefault="008C7B59" w:rsidP="00B25E28">
      <w:pPr>
        <w:pStyle w:val="HeadingBoldBlue"/>
      </w:pPr>
      <w:r w:rsidRPr="00B25E28">
        <w:t xml:space="preserve">AER considerations </w:t>
      </w:r>
    </w:p>
    <w:p w:rsidR="008C7B59" w:rsidRDefault="008C7B59" w:rsidP="008C7B59">
      <w:pPr>
        <w:pStyle w:val="ListParagraph"/>
        <w:numPr>
          <w:ilvl w:val="0"/>
          <w:numId w:val="24"/>
        </w:numPr>
      </w:pPr>
      <w:r w:rsidRPr="002C5432">
        <w:t>We consider that the</w:t>
      </w:r>
      <w:r w:rsidRPr="00540610">
        <w:t xml:space="preserve"> </w:t>
      </w:r>
      <w:r>
        <w:t>Central West to Gladstone Area Reinforcement</w:t>
      </w:r>
      <w:r w:rsidRPr="000963A0">
        <w:t xml:space="preserve"> </w:t>
      </w:r>
      <w:r w:rsidR="00B25E28">
        <w:t>project ($105.5 </w:t>
      </w:r>
      <w:r>
        <w:t xml:space="preserve">million) </w:t>
      </w:r>
      <w:r w:rsidRPr="002C5432">
        <w:t>may be reasonably required to be undertaken in order to achieve the capital expenditure objectives. However, we consider that the trigger events should be amended in order for us to be satisfied that each trigger event is appropriate.</w:t>
      </w:r>
    </w:p>
    <w:p w:rsidR="008C7B59" w:rsidRDefault="008C7B59" w:rsidP="008C7B59">
      <w:pPr>
        <w:pStyle w:val="ListParagraph"/>
        <w:numPr>
          <w:ilvl w:val="0"/>
          <w:numId w:val="24"/>
        </w:numPr>
      </w:pPr>
      <w:r>
        <w:t xml:space="preserve">Powerlink stated that the demand for its transmission network services at the Central West to Gladstone Area could be impacted once developments in the Queensland region are triggered. Ernst and Young, and </w:t>
      </w:r>
      <w:r w:rsidRPr="00D0312E">
        <w:t>Powerlink's 2015 Tra</w:t>
      </w:r>
      <w:r>
        <w:t>nsmission Annual Planning Report, identified three LNG projects that may trigger additional load:</w:t>
      </w:r>
      <w:r w:rsidR="00B25E28">
        <w:rPr>
          <w:rStyle w:val="FootnoteReference"/>
        </w:rPr>
        <w:footnoteReference w:id="257"/>
      </w:r>
    </w:p>
    <w:p w:rsidR="008C7B59" w:rsidRDefault="008C7B59" w:rsidP="008C7B59">
      <w:pPr>
        <w:pStyle w:val="AERbulletlistfirststyle"/>
      </w:pPr>
      <w:r>
        <w:t>QCLNG liquefaction facilities</w:t>
      </w:r>
    </w:p>
    <w:p w:rsidR="008C7B59" w:rsidRDefault="008C7B59" w:rsidP="008C7B59">
      <w:pPr>
        <w:pStyle w:val="AERbulletlistfirststyle"/>
      </w:pPr>
      <w:r>
        <w:t>APLNG liquefaction facilities</w:t>
      </w:r>
    </w:p>
    <w:p w:rsidR="008C7B59" w:rsidRDefault="008C7B59" w:rsidP="008C7B59">
      <w:pPr>
        <w:pStyle w:val="AERbulletlistfirststyle"/>
      </w:pPr>
      <w:r>
        <w:t>GLNG liquefaction facilities</w:t>
      </w:r>
      <w:r w:rsidR="00B25E28">
        <w:t>.</w:t>
      </w:r>
    </w:p>
    <w:p w:rsidR="008C7B59" w:rsidRDefault="008C7B59" w:rsidP="008C7B59">
      <w:r w:rsidRPr="00A00FB0">
        <w:lastRenderedPageBreak/>
        <w:t>Based on information submitted by Powerlink including the Ernst and Young Report</w:t>
      </w:r>
      <w:r>
        <w:t>, these projects will only proceed if market conditions improve.</w:t>
      </w:r>
      <w:r w:rsidRPr="00A00FB0">
        <w:rPr>
          <w:rStyle w:val="FootnoteReference"/>
        </w:rPr>
        <w:footnoteReference w:id="258"/>
      </w:r>
      <w:r>
        <w:t xml:space="preserve"> However, </w:t>
      </w:r>
      <w:r w:rsidRPr="0038678B">
        <w:t xml:space="preserve">Powerlink </w:t>
      </w:r>
      <w:r>
        <w:t xml:space="preserve">has stated that it is in </w:t>
      </w:r>
      <w:r w:rsidRPr="0038678B">
        <w:t xml:space="preserve">discussions </w:t>
      </w:r>
      <w:r>
        <w:t>with a number of customers and potential customers</w:t>
      </w:r>
      <w:r w:rsidRPr="0038678B">
        <w:t xml:space="preserve"> for the supply </w:t>
      </w:r>
      <w:r>
        <w:t>of additional load and capacity.</w:t>
      </w:r>
      <w:r>
        <w:rPr>
          <w:rStyle w:val="FootnoteReference"/>
        </w:rPr>
        <w:footnoteReference w:id="259"/>
      </w:r>
      <w:r>
        <w:t xml:space="preserve">  On this basis, we are satisfied that this project will be </w:t>
      </w:r>
      <w:r w:rsidRPr="009A2D8A">
        <w:t xml:space="preserve">reasonably </w:t>
      </w:r>
      <w:r>
        <w:t>required</w:t>
      </w:r>
      <w:r w:rsidRPr="009A2D8A">
        <w:t xml:space="preserve"> to satisfy demand for transmission services and/or maintain network reliability by alleviating capacity constraints.</w:t>
      </w:r>
    </w:p>
    <w:p w:rsidR="008C7B59" w:rsidRPr="009A119F" w:rsidRDefault="00B25E28" w:rsidP="008C7B59">
      <w:r>
        <w:t xml:space="preserve">As set out in section </w:t>
      </w:r>
      <w:fldSimple w:instr=" REF _Ref459805507 \r ">
        <w:r w:rsidR="005252EC">
          <w:t>D.2.2</w:t>
        </w:r>
      </w:fldSimple>
      <w:r w:rsidR="008C7B59" w:rsidRPr="009A119F">
        <w:t>, we consider that there are four trigger events required in order for us to be satisfied that a project should be included as a contingent project. For this specific contin</w:t>
      </w:r>
      <w:r>
        <w:t>gent project, Powerlink included</w:t>
      </w:r>
      <w:r w:rsidR="008C7B59" w:rsidRPr="009A119F">
        <w:t xml:space="preserve"> three of these four req</w:t>
      </w:r>
      <w:r>
        <w:t>uired triggers. However, it did</w:t>
      </w:r>
      <w:r w:rsidR="008C7B59" w:rsidRPr="009A119F">
        <w:t xml:space="preserve"> not include specific detail about the amount and location of additional load required to trigger the contingent project. Therefore, for us to be fully satisfied that this project should be a contingent project, Powerlink should amend its trigger events to include: </w:t>
      </w:r>
    </w:p>
    <w:p w:rsidR="008C7B59" w:rsidRDefault="008C7B59" w:rsidP="008C7B59">
      <w:pPr>
        <w:pStyle w:val="AERbulletlistfirststyle"/>
      </w:pPr>
      <w:proofErr w:type="gramStart"/>
      <w:r w:rsidRPr="009A119F">
        <w:t>additional</w:t>
      </w:r>
      <w:proofErr w:type="gramEnd"/>
      <w:r w:rsidRPr="009A119F">
        <w:t xml:space="preserve"> detail which specifies the amount and location of additional load required to trigger the </w:t>
      </w:r>
      <w:r w:rsidRPr="009A119F" w:rsidDel="004A658B">
        <w:t xml:space="preserve">Central </w:t>
      </w:r>
      <w:r>
        <w:t xml:space="preserve">West to Gladstone Area Reinforcement </w:t>
      </w:r>
      <w:r w:rsidRPr="009A119F">
        <w:t xml:space="preserve">project. </w:t>
      </w:r>
    </w:p>
    <w:p w:rsidR="008C7B59" w:rsidRPr="008C7B59" w:rsidRDefault="008C7B59" w:rsidP="00B25E28">
      <w:r w:rsidRPr="00183807">
        <w:t xml:space="preserve">We </w:t>
      </w:r>
      <w:r w:rsidRPr="00B25E28">
        <w:t>require</w:t>
      </w:r>
      <w:r w:rsidRPr="00183807">
        <w:t xml:space="preserve"> this additional information because it will ensure that the trigger event is:</w:t>
      </w:r>
    </w:p>
    <w:p w:rsidR="008C7B59" w:rsidRPr="00E91F99" w:rsidRDefault="008C7B59" w:rsidP="008C7B59">
      <w:pPr>
        <w:pStyle w:val="AERbulletlistfirststyle"/>
      </w:pPr>
      <w:r w:rsidRPr="00183807">
        <w:t>reasonably specific and capable of objective verification;</w:t>
      </w:r>
      <w:r w:rsidRPr="00E91F99">
        <w:rPr>
          <w:rStyle w:val="FootnoteReference"/>
        </w:rPr>
        <w:t xml:space="preserve"> </w:t>
      </w:r>
      <w:r w:rsidRPr="00E91F99">
        <w:rPr>
          <w:rStyle w:val="FootnoteReference"/>
        </w:rPr>
        <w:footnoteReference w:id="260"/>
      </w:r>
      <w:r w:rsidRPr="00E91F99">
        <w:t xml:space="preserve"> and</w:t>
      </w:r>
    </w:p>
    <w:p w:rsidR="008C7B59" w:rsidRPr="00FC12A5" w:rsidRDefault="008C7B59" w:rsidP="008C7B59">
      <w:pPr>
        <w:pStyle w:val="AERbulletlistfirststyle"/>
      </w:pPr>
      <w:proofErr w:type="gramStart"/>
      <w:r w:rsidRPr="00183807">
        <w:t>a</w:t>
      </w:r>
      <w:proofErr w:type="gramEnd"/>
      <w:r w:rsidRPr="00183807">
        <w:t xml:space="preserve"> condition or event that generates increased costs or categories of costs that relate to a specific location rather than a condition or event that affects the transmission network as a whole.</w:t>
      </w:r>
      <w:r w:rsidRPr="00183807">
        <w:rPr>
          <w:rStyle w:val="FootnoteReference"/>
        </w:rPr>
        <w:t xml:space="preserve"> </w:t>
      </w:r>
      <w:r w:rsidRPr="00183807">
        <w:rPr>
          <w:rStyle w:val="FootnoteReference"/>
        </w:rPr>
        <w:footnoteReference w:id="261"/>
      </w:r>
    </w:p>
    <w:p w:rsidR="008C7B59" w:rsidRPr="008C7B59" w:rsidRDefault="008C7B59" w:rsidP="00B25E28">
      <w:r w:rsidRPr="009A119F">
        <w:t xml:space="preserve">The </w:t>
      </w:r>
      <w:r w:rsidRPr="00B25E28">
        <w:t>existing</w:t>
      </w:r>
      <w:r w:rsidRPr="009A119F">
        <w:t xml:space="preserve"> trigger as it is currently written is broadly defined as “plausible developments in the Queensland region"</w:t>
      </w:r>
      <w:r w:rsidRPr="008C7B59">
        <w:rPr>
          <w:rStyle w:val="FootnoteReference"/>
        </w:rPr>
        <w:footnoteReference w:id="262"/>
      </w:r>
      <w:r w:rsidRPr="008C7B59">
        <w:t xml:space="preserve">, which may make it difficult to assess unambiguously whether or not the proposed contingent project has been triggered. In contrast, specifying the precise amount of load required to trigger the contingent project will ensure that the trigger event is unambiguous and objective. As we state in section </w:t>
      </w:r>
      <w:r w:rsidRPr="008C7B59">
        <w:fldChar w:fldCharType="begin"/>
      </w:r>
      <w:r w:rsidRPr="008C7B59">
        <w:instrText xml:space="preserve"> REF _Ref459805507 \r \h </w:instrText>
      </w:r>
      <w:r w:rsidRPr="008C7B59">
        <w:fldChar w:fldCharType="separate"/>
      </w:r>
      <w:r w:rsidR="005252EC">
        <w:t>D.2.2</w:t>
      </w:r>
      <w:r w:rsidRPr="008C7B59">
        <w:fldChar w:fldCharType="end"/>
      </w:r>
      <w:r w:rsidRPr="008C7B59">
        <w:t>, this will give us greater confidence that the resulting project will satisfy the capex objectives and criteria. This will ensure that the trigger event is 'a condition or event which, if it occurs, makes the project reasonably necessary in order to achieve any of the capex objectives'.</w:t>
      </w:r>
      <w:r w:rsidRPr="008C7B59">
        <w:rPr>
          <w:rStyle w:val="FootnoteReference"/>
        </w:rPr>
        <w:footnoteReference w:id="263"/>
      </w:r>
      <w:r w:rsidRPr="008C7B59">
        <w:t xml:space="preserve"> </w:t>
      </w:r>
    </w:p>
    <w:p w:rsidR="008C7B59" w:rsidRDefault="008C7B59">
      <w:pPr>
        <w:spacing w:line="240" w:lineRule="auto"/>
      </w:pPr>
      <w:r>
        <w:br w:type="page"/>
      </w:r>
    </w:p>
    <w:p w:rsidR="008C7B59" w:rsidRPr="008C7B59" w:rsidRDefault="000D197A" w:rsidP="008C7B59">
      <w:pPr>
        <w:pStyle w:val="Heading7"/>
      </w:pPr>
      <w:bookmarkStart w:id="372" w:name="_Toc460321552"/>
      <w:bookmarkStart w:id="373" w:name="_Toc462752333"/>
      <w:r>
        <w:lastRenderedPageBreak/>
        <w:t>Ex post review</w:t>
      </w:r>
      <w:r w:rsidR="008C7B59">
        <w:t xml:space="preserve"> - 2014–15 capex</w:t>
      </w:r>
      <w:bookmarkEnd w:id="372"/>
      <w:bookmarkEnd w:id="373"/>
    </w:p>
    <w:p w:rsidR="008C7B59" w:rsidRPr="007B6DFA" w:rsidRDefault="008C7B59" w:rsidP="008C7B59">
      <w:r>
        <w:t xml:space="preserve">We </w:t>
      </w:r>
      <w:r w:rsidRPr="007B6DFA">
        <w:t xml:space="preserve">are required to provide a statement on whether </w:t>
      </w:r>
      <w:r>
        <w:t>roll forward of the regulatory asset base from the previous period</w:t>
      </w:r>
      <w:r w:rsidRPr="007B6DFA">
        <w:t xml:space="preserve"> </w:t>
      </w:r>
      <w:r>
        <w:t>contributes to the achievement of the capital expenditure incentive objective.</w:t>
      </w:r>
      <w:r w:rsidRPr="007B6DFA">
        <w:rPr>
          <w:rStyle w:val="FootnoteReference"/>
        </w:rPr>
        <w:footnoteReference w:id="264"/>
      </w:r>
      <w:r w:rsidRPr="007B6DFA">
        <w:t xml:space="preserve"> The capital expenditure </w:t>
      </w:r>
      <w:r w:rsidR="009E29B8">
        <w:t xml:space="preserve">incentive </w:t>
      </w:r>
      <w:r w:rsidRPr="007B6DFA">
        <w:t xml:space="preserve">objective </w:t>
      </w:r>
      <w:r w:rsidR="009E29B8">
        <w:t>is to ensure</w:t>
      </w:r>
      <w:r w:rsidR="009E29B8" w:rsidRPr="007B6DFA">
        <w:t xml:space="preserve"> </w:t>
      </w:r>
      <w:r w:rsidRPr="007B6DFA">
        <w:t xml:space="preserve">requires </w:t>
      </w:r>
      <w:r>
        <w:t xml:space="preserve">that where the regulatory asset base is subject to adjustment in accordance with the NER, </w:t>
      </w:r>
      <w:r w:rsidRPr="007B6DFA">
        <w:t xml:space="preserve">only expenditure </w:t>
      </w:r>
      <w:r w:rsidR="009E29B8">
        <w:t xml:space="preserve">that reasonably reflects the capex criteria </w:t>
      </w:r>
      <w:r w:rsidRPr="007B6DFA">
        <w:t xml:space="preserve">is included in </w:t>
      </w:r>
      <w:r w:rsidR="009E29B8">
        <w:t xml:space="preserve">any increase in value of </w:t>
      </w:r>
      <w:r w:rsidRPr="007B6DFA">
        <w:t>the regulatory asset base.</w:t>
      </w:r>
      <w:r>
        <w:rPr>
          <w:rStyle w:val="FootnoteReference"/>
        </w:rPr>
        <w:footnoteReference w:id="265"/>
      </w:r>
      <w:r w:rsidRPr="007B6DFA">
        <w:t xml:space="preserve"> </w:t>
      </w:r>
    </w:p>
    <w:p w:rsidR="008C7B59" w:rsidRDefault="008C7B59" w:rsidP="008C7B59">
      <w:r>
        <w:t>The NER requires that the last two years of the previous regulatory control period (for the purposes of this decision, the 2012</w:t>
      </w:r>
      <w:r w:rsidRPr="00D40755">
        <w:t>–</w:t>
      </w:r>
      <w:r>
        <w:t>17 regulatory control period) are excluded from the ex-post assessment of past capex.</w:t>
      </w:r>
      <w:r>
        <w:rPr>
          <w:rStyle w:val="FootnoteReference"/>
        </w:rPr>
        <w:footnoteReference w:id="266"/>
      </w:r>
      <w:r>
        <w:t xml:space="preserve"> Further, the NER prescribes that the review period does not include the regulatory year in which the first Capital Expenditure Incentive Guideline was published (2013</w:t>
      </w:r>
      <w:r w:rsidRPr="00D40755">
        <w:t>–</w:t>
      </w:r>
      <w:r>
        <w:t xml:space="preserve">14) or any regulatory year that </w:t>
      </w:r>
      <w:proofErr w:type="gramStart"/>
      <w:r>
        <w:t>precedes</w:t>
      </w:r>
      <w:proofErr w:type="gramEnd"/>
      <w:r>
        <w:t xml:space="preserve"> that regulatory year.</w:t>
      </w:r>
      <w:r>
        <w:rPr>
          <w:rStyle w:val="FootnoteReference"/>
        </w:rPr>
        <w:footnoteReference w:id="267"/>
      </w:r>
      <w:r>
        <w:t xml:space="preserve"> Accordingly, our</w:t>
      </w:r>
      <w:r w:rsidRPr="00823EC6">
        <w:t xml:space="preserve"> </w:t>
      </w:r>
      <w:r>
        <w:t>ex-post assessment only applies to the 2014</w:t>
      </w:r>
      <w:r w:rsidRPr="00D40755">
        <w:t>–</w:t>
      </w:r>
      <w:r>
        <w:t>15 regulatory year</w:t>
      </w:r>
      <w:r w:rsidRPr="00823EC6">
        <w:t>.</w:t>
      </w:r>
    </w:p>
    <w:p w:rsidR="008C7B59" w:rsidRDefault="008C7B59" w:rsidP="008C7B59">
      <w:r>
        <w:t>We may exclude capex from being rolled into the RAB in three circumstances:</w:t>
      </w:r>
      <w:r>
        <w:rPr>
          <w:rStyle w:val="FootnoteReference"/>
        </w:rPr>
        <w:footnoteReference w:id="268"/>
      </w:r>
    </w:p>
    <w:p w:rsidR="008C7B59" w:rsidRPr="00315617" w:rsidRDefault="008C7B59" w:rsidP="00C02438">
      <w:pPr>
        <w:pStyle w:val="ListNumber"/>
        <w:numPr>
          <w:ilvl w:val="0"/>
          <w:numId w:val="28"/>
        </w:numPr>
      </w:pPr>
      <w:r>
        <w:t>W</w:t>
      </w:r>
      <w:r w:rsidRPr="00315617">
        <w:t>here the TNSP has spent more than its capex allowance;</w:t>
      </w:r>
    </w:p>
    <w:p w:rsidR="008C7B59" w:rsidRPr="00315617" w:rsidRDefault="008C7B59" w:rsidP="008C7B59">
      <w:pPr>
        <w:pStyle w:val="ListNumber"/>
      </w:pPr>
      <w:r>
        <w:t>W</w:t>
      </w:r>
      <w:r w:rsidRPr="00315617">
        <w:t>here the TNSP has incurred capex that represents a margin paid by the TNSP, where the margin refers to arrangements that do not reflect arm's length terms; and</w:t>
      </w:r>
    </w:p>
    <w:p w:rsidR="008C7B59" w:rsidRPr="00315617" w:rsidRDefault="008C7B59" w:rsidP="008C7B59">
      <w:pPr>
        <w:pStyle w:val="ListNumber"/>
      </w:pPr>
      <w:r>
        <w:t>W</w:t>
      </w:r>
      <w:r w:rsidRPr="00315617">
        <w:t>here the TNSP capex includes expenditure that should have been classified as opex as part of a TNSP’s capitalisation policy.</w:t>
      </w:r>
    </w:p>
    <w:p w:rsidR="008C7B59" w:rsidRPr="008C7B59" w:rsidRDefault="008C7B59" w:rsidP="00C02438">
      <w:pPr>
        <w:pStyle w:val="Heading8"/>
        <w:numPr>
          <w:ilvl w:val="1"/>
          <w:numId w:val="32"/>
        </w:numPr>
      </w:pPr>
      <w:bookmarkStart w:id="374" w:name="_Toc460321553"/>
      <w:bookmarkStart w:id="375" w:name="_Toc462752334"/>
      <w:r>
        <w:t>Position</w:t>
      </w:r>
      <w:bookmarkEnd w:id="374"/>
      <w:bookmarkEnd w:id="375"/>
    </w:p>
    <w:p w:rsidR="008C7B59" w:rsidRDefault="008C7B59" w:rsidP="008C7B59">
      <w:r>
        <w:t>We are satisfied that Powerlink's capital expenditure in the 2014</w:t>
      </w:r>
      <w:r w:rsidRPr="00D40755">
        <w:t>–</w:t>
      </w:r>
      <w:r>
        <w:t xml:space="preserve">15 regulatory </w:t>
      </w:r>
      <w:proofErr w:type="gramStart"/>
      <w:r>
        <w:t>year</w:t>
      </w:r>
      <w:proofErr w:type="gramEnd"/>
      <w:r>
        <w:t xml:space="preserve"> should be rolled into the RAB.</w:t>
      </w:r>
    </w:p>
    <w:p w:rsidR="008C7B59" w:rsidRPr="008C7B59" w:rsidRDefault="008C7B59" w:rsidP="008C7B59">
      <w:pPr>
        <w:pStyle w:val="Heading8"/>
      </w:pPr>
      <w:bookmarkStart w:id="376" w:name="_Toc460321554"/>
      <w:bookmarkStart w:id="377" w:name="_Toc462752335"/>
      <w:r>
        <w:t>AER approach</w:t>
      </w:r>
      <w:bookmarkEnd w:id="376"/>
      <w:bookmarkEnd w:id="377"/>
    </w:p>
    <w:p w:rsidR="008C7B59" w:rsidRDefault="008C7B59" w:rsidP="008C7B59">
      <w:r>
        <w:t>We have conducted our</w:t>
      </w:r>
      <w:r w:rsidR="00B25E28">
        <w:t xml:space="preserve"> assessment of</w:t>
      </w:r>
      <w:r>
        <w:t xml:space="preserve"> past capex consistent with the approach set out in our Capital Expenditure Incentive Guideline (the Guideline). In our Guideline we outlined a two stage process for undertaking an ex-post assessment of capital expenditure:</w:t>
      </w:r>
      <w:r>
        <w:rPr>
          <w:rStyle w:val="FootnoteReference"/>
        </w:rPr>
        <w:footnoteReference w:id="269"/>
      </w:r>
    </w:p>
    <w:p w:rsidR="008C7B59" w:rsidRDefault="008C7B59" w:rsidP="008C7B59">
      <w:pPr>
        <w:pStyle w:val="AERbulletlistfirststyle"/>
      </w:pPr>
      <w:r>
        <w:t xml:space="preserve">Stage one - initial consideration of </w:t>
      </w:r>
      <w:r w:rsidR="008117F9">
        <w:t xml:space="preserve">actual </w:t>
      </w:r>
      <w:r>
        <w:t>capex performance;</w:t>
      </w:r>
    </w:p>
    <w:p w:rsidR="008C7B59" w:rsidRDefault="008C7B59" w:rsidP="008C7B59">
      <w:pPr>
        <w:pStyle w:val="AERbulletlistfirststyle"/>
      </w:pPr>
      <w:r>
        <w:lastRenderedPageBreak/>
        <w:t xml:space="preserve">Stage two - detailed assessment of </w:t>
      </w:r>
      <w:r w:rsidR="008117F9">
        <w:t>drivers of capex</w:t>
      </w:r>
      <w:r>
        <w:t xml:space="preserve"> and management </w:t>
      </w:r>
      <w:r w:rsidR="008117F9">
        <w:t xml:space="preserve">and </w:t>
      </w:r>
      <w:r>
        <w:t xml:space="preserve">planning </w:t>
      </w:r>
      <w:r w:rsidR="008117F9">
        <w:t>tools and practices</w:t>
      </w:r>
      <w:r>
        <w:t>.</w:t>
      </w:r>
    </w:p>
    <w:p w:rsidR="008C7B59" w:rsidRPr="00797A6C" w:rsidRDefault="008C7B59" w:rsidP="00B25E28">
      <w:pPr>
        <w:pStyle w:val="AERbulletlistfirststyle"/>
        <w:numPr>
          <w:ilvl w:val="0"/>
          <w:numId w:val="0"/>
        </w:numPr>
      </w:pPr>
      <w:r>
        <w:t xml:space="preserve">The first stage considers whether the TNSP has overspent against its allowance </w:t>
      </w:r>
      <w:r w:rsidRPr="00315617">
        <w:t xml:space="preserve">and past capex performance. </w:t>
      </w:r>
      <w:r>
        <w:t>In accordance with our Guideline</w:t>
      </w:r>
      <w:r w:rsidR="00B25E28">
        <w:t>,</w:t>
      </w:r>
      <w:r>
        <w:t xml:space="preserve"> we would only proceed to a more detailed </w:t>
      </w:r>
      <w:r w:rsidR="00B25E28">
        <w:t>assessment (stage two)</w:t>
      </w:r>
      <w:r w:rsidRPr="00797A6C">
        <w:t xml:space="preserve"> if a TNSP had overspent against its allowance, </w:t>
      </w:r>
      <w:proofErr w:type="gramStart"/>
      <w:r w:rsidR="008117F9">
        <w:t>the overspend</w:t>
      </w:r>
      <w:proofErr w:type="gramEnd"/>
      <w:r w:rsidR="008117F9">
        <w:t xml:space="preserve"> was significant</w:t>
      </w:r>
      <w:r w:rsidR="00B25E28">
        <w:t>,</w:t>
      </w:r>
      <w:r w:rsidR="008117F9">
        <w:t xml:space="preserve"> </w:t>
      </w:r>
      <w:r w:rsidRPr="00797A6C">
        <w:t xml:space="preserve">and </w:t>
      </w:r>
      <w:r w:rsidR="00B25E28">
        <w:t>its capex performance in</w:t>
      </w:r>
      <w:r w:rsidRPr="00797A6C">
        <w:t xml:space="preserve"> the period of our ex-post assessment suggests that levels of capex may not be efficient or do not compare favourably to other TNSPs. </w:t>
      </w:r>
    </w:p>
    <w:p w:rsidR="008C7B59" w:rsidRPr="008C7B59" w:rsidRDefault="008C7B59" w:rsidP="008C7B59">
      <w:pPr>
        <w:pStyle w:val="Heading8"/>
      </w:pPr>
      <w:bookmarkStart w:id="378" w:name="_Toc460321555"/>
      <w:bookmarkStart w:id="379" w:name="_Toc462752336"/>
      <w:r>
        <w:t>AER assessment</w:t>
      </w:r>
      <w:bookmarkEnd w:id="378"/>
      <w:bookmarkEnd w:id="379"/>
    </w:p>
    <w:p w:rsidR="008C7B59" w:rsidRDefault="008C7B59" w:rsidP="00B25E28">
      <w:r>
        <w:t xml:space="preserve">We have reviewed </w:t>
      </w:r>
      <w:r w:rsidRPr="00797A6C">
        <w:t xml:space="preserve">Powerlink's capex performance for the 2014–15 regulatory </w:t>
      </w:r>
      <w:proofErr w:type="gramStart"/>
      <w:r w:rsidRPr="00797A6C">
        <w:t>year</w:t>
      </w:r>
      <w:proofErr w:type="gramEnd"/>
      <w:r w:rsidRPr="00797A6C">
        <w:t>. This assessment has considered Powerlink's</w:t>
      </w:r>
      <w:r w:rsidR="000D197A">
        <w:t xml:space="preserve"> </w:t>
      </w:r>
      <w:r>
        <w:t>out-turn capex relative to the regulatory allowance given the incentive properties of the</w:t>
      </w:r>
      <w:r w:rsidR="000D197A">
        <w:t xml:space="preserve"> </w:t>
      </w:r>
      <w:r>
        <w:t>regulatory regime for a TNSP to minimise costs.</w:t>
      </w:r>
    </w:p>
    <w:p w:rsidR="008C7B59" w:rsidRPr="00797A6C" w:rsidRDefault="008C7B59" w:rsidP="008C7B59">
      <w:r w:rsidRPr="00797A6C">
        <w:t xml:space="preserve">Powerlink </w:t>
      </w:r>
      <w:r w:rsidR="00960B13">
        <w:t>incurred capex below its forecast</w:t>
      </w:r>
      <w:r w:rsidRPr="00797A6C">
        <w:t xml:space="preserve"> regulatory allowance in the 2014–15 regulatory </w:t>
      </w:r>
      <w:proofErr w:type="gramStart"/>
      <w:r w:rsidRPr="00797A6C">
        <w:t>year</w:t>
      </w:r>
      <w:proofErr w:type="gramEnd"/>
      <w:r w:rsidR="00960B13">
        <w:t>. Therefore, the overspending</w:t>
      </w:r>
      <w:bookmarkStart w:id="380" w:name="_GoBack"/>
      <w:bookmarkEnd w:id="380"/>
      <w:r w:rsidR="00960B13" w:rsidRPr="00960B13">
        <w:t xml:space="preserve"> </w:t>
      </w:r>
      <w:r w:rsidR="00960B13">
        <w:t>requirement for an</w:t>
      </w:r>
      <w:r w:rsidR="00960B13" w:rsidRPr="004B1B8E">
        <w:t xml:space="preserve"> efficiency review</w:t>
      </w:r>
      <w:r w:rsidR="00960B13">
        <w:t xml:space="preserve"> of past capex</w:t>
      </w:r>
      <w:r w:rsidR="00960B13" w:rsidRPr="004B1B8E">
        <w:t xml:space="preserve"> is not </w:t>
      </w:r>
      <w:r w:rsidR="00960B13">
        <w:t>satisfied</w:t>
      </w:r>
      <w:r w:rsidR="00960B13" w:rsidRPr="004B1B8E">
        <w:t>.</w:t>
      </w:r>
      <w:r w:rsidR="00960B13">
        <w:rPr>
          <w:rStyle w:val="FootnoteReference"/>
        </w:rPr>
        <w:footnoteReference w:id="270"/>
      </w:r>
      <w:r w:rsidR="00960B13" w:rsidRPr="004B1B8E">
        <w:t xml:space="preserve"> </w:t>
      </w:r>
      <w:r w:rsidR="00960B13">
        <w:t>A</w:t>
      </w:r>
      <w:r w:rsidR="00960B13" w:rsidRPr="004B1B8E">
        <w:t xml:space="preserve">ccordingly, </w:t>
      </w:r>
      <w:r w:rsidRPr="00797A6C">
        <w:t xml:space="preserve">this supports the view that this expenditure is consistent with the capital expenditure </w:t>
      </w:r>
      <w:r>
        <w:t xml:space="preserve">incentive </w:t>
      </w:r>
      <w:r w:rsidRPr="00797A6C">
        <w:t xml:space="preserve">objective. </w:t>
      </w:r>
    </w:p>
    <w:p w:rsidR="008C7B59" w:rsidRDefault="008C7B59" w:rsidP="008C7B59">
      <w:r>
        <w:t>We have also had regard to some measures of input cost efficiency as published in our latest annual benchmarking report.</w:t>
      </w:r>
      <w:r>
        <w:rPr>
          <w:rStyle w:val="FootnoteReference"/>
        </w:rPr>
        <w:footnoteReference w:id="271"/>
      </w:r>
      <w:r>
        <w:t xml:space="preserve"> </w:t>
      </w:r>
      <w:r w:rsidRPr="003D2A86">
        <w:t>We recognise that there is no perfect benchmarking model, and as noted by Powerlink we have been cautious in our initial application of these techniques for assessing the efficiency of expenditure in recent transmission determinations.</w:t>
      </w:r>
      <w:r>
        <w:rPr>
          <w:rStyle w:val="FootnoteReference"/>
        </w:rPr>
        <w:footnoteReference w:id="272"/>
      </w:r>
      <w:r w:rsidRPr="00CE1FA6">
        <w:t xml:space="preserve"> </w:t>
      </w:r>
      <w:r>
        <w:t>However, we consider that our benchmarking models are the most robust measures of economic efficiency available and we can use this measure to draw conclusions regarding a TNSP's efficiency over time.</w:t>
      </w:r>
    </w:p>
    <w:p w:rsidR="008C7B59" w:rsidRPr="008C7B59" w:rsidRDefault="008C7B59" w:rsidP="008C7B59">
      <w:r>
        <w:t>Under the NER, we are able to exclude capex only where a TNSP has overspent its allowance. Powerlink considerably underspent its allowance for 2014–15. However, this does not necessarily mean that the expenditure was prudent and efficient. Powerlink submitted that significant reductions in forecast demand growth led it to cancel or defer large amounts of load driven capex and also to change its planned replacement program.</w:t>
      </w:r>
      <w:r w:rsidRPr="00797A6C">
        <w:rPr>
          <w:rStyle w:val="FootnoteReference"/>
        </w:rPr>
        <w:footnoteReference w:id="273"/>
      </w:r>
      <w:r w:rsidRPr="00797A6C">
        <w:t xml:space="preserve"> In 2014</w:t>
      </w:r>
      <w:r>
        <w:t>–</w:t>
      </w:r>
      <w:r w:rsidRPr="00797A6C">
        <w:t>15, Powerlink spent less than $5 million on load driven capex and spent $100 million less on non-load driven capex than in 2012</w:t>
      </w:r>
      <w:r>
        <w:t>–</w:t>
      </w:r>
      <w:r w:rsidRPr="00797A6C">
        <w:t>13. Therefore, it is clear that Powerlink considered its changing operating environment over the 2012</w:t>
      </w:r>
      <w:r>
        <w:t>–</w:t>
      </w:r>
      <w:r w:rsidRPr="00797A6C">
        <w:t xml:space="preserve">17 regulatory control </w:t>
      </w:r>
      <w:proofErr w:type="gramStart"/>
      <w:r w:rsidRPr="00797A6C">
        <w:t>period</w:t>
      </w:r>
      <w:proofErr w:type="gramEnd"/>
      <w:r w:rsidRPr="00797A6C">
        <w:t>, consistent with a prudent and efficient service provider. This indicates that Powerlink is improving its processes and expenditure practices.</w:t>
      </w:r>
      <w:r>
        <w:t xml:space="preserve"> On this basis, we consider that the capex for 2014–15 reasonably reflects the capital expenditure incentive criteria.</w:t>
      </w:r>
    </w:p>
    <w:sectPr w:rsidR="008C7B59" w:rsidRPr="008C7B59" w:rsidSect="00CF42AA">
      <w:headerReference w:type="default" r:id="rId32"/>
      <w:footerReference w:type="even" r:id="rId33"/>
      <w:footerReference w:type="default" r:id="rId34"/>
      <w:footerReference w:type="first" r:id="rId35"/>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200" w:rsidRPr="00290C63" w:rsidRDefault="00C54200" w:rsidP="00290C63">
      <w:r>
        <w:separator/>
      </w:r>
    </w:p>
    <w:p w:rsidR="00C54200" w:rsidRDefault="00C54200"/>
  </w:endnote>
  <w:endnote w:type="continuationSeparator" w:id="0">
    <w:p w:rsidR="00C54200" w:rsidRPr="00290C63" w:rsidRDefault="00C54200" w:rsidP="00290C63">
      <w:r>
        <w:continuationSeparator/>
      </w:r>
    </w:p>
    <w:p w:rsidR="00C54200" w:rsidRDefault="00C542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388892"/>
      <w:docPartObj>
        <w:docPartGallery w:val="Page Numbers (Bottom of Page)"/>
        <w:docPartUnique/>
      </w:docPartObj>
    </w:sdtPr>
    <w:sdtEndPr/>
    <w:sdtContent>
      <w:p w:rsidR="005252EC" w:rsidRPr="005252EC" w:rsidRDefault="005252EC" w:rsidP="005252EC">
        <w:pPr>
          <w:pStyle w:val="Footer"/>
        </w:pPr>
        <w:r w:rsidRPr="005252EC">
          <w:fldChar w:fldCharType="begin"/>
        </w:r>
        <w:r w:rsidRPr="005252EC">
          <w:instrText xml:space="preserve"> PAGE   \* MERGEFORMAT </w:instrText>
        </w:r>
        <w:r w:rsidRPr="005252EC">
          <w:fldChar w:fldCharType="separate"/>
        </w:r>
        <w:r w:rsidR="00C15AA5">
          <w:rPr>
            <w:noProof/>
          </w:rPr>
          <w:t>6-2</w:t>
        </w:r>
        <w:r w:rsidRPr="005252EC">
          <w:fldChar w:fldCharType="end"/>
        </w:r>
        <w:r w:rsidRPr="005252EC">
          <w:t xml:space="preserve">      Attachment </w:t>
        </w:r>
        <w:r>
          <w:t>6</w:t>
        </w:r>
        <w:r w:rsidRPr="005252EC">
          <w:t xml:space="preserve"> – </w:t>
        </w:r>
        <w:r>
          <w:t>Capital expenditure</w:t>
        </w:r>
        <w:r w:rsidRPr="005252EC">
          <w:t xml:space="preserve"> | Powerlink transmission draft determination 2017–22</w:t>
        </w:r>
      </w:p>
    </w:sdtContent>
  </w:sdt>
  <w:p w:rsidR="00C54200" w:rsidRPr="001C6DFD" w:rsidRDefault="00C54200" w:rsidP="001C6D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200" w:rsidRPr="001C6DFD" w:rsidRDefault="00C54200" w:rsidP="001C6D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800838"/>
      <w:docPartObj>
        <w:docPartGallery w:val="Page Numbers (Bottom of Page)"/>
        <w:docPartUnique/>
      </w:docPartObj>
    </w:sdtPr>
    <w:sdtEndPr/>
    <w:sdtContent>
      <w:p w:rsidR="005252EC" w:rsidRPr="005252EC" w:rsidRDefault="005252EC" w:rsidP="005252EC">
        <w:pPr>
          <w:pStyle w:val="Footer"/>
        </w:pPr>
        <w:r w:rsidRPr="005252EC">
          <w:fldChar w:fldCharType="begin"/>
        </w:r>
        <w:r w:rsidRPr="005252EC">
          <w:instrText xml:space="preserve"> PAGE   \* MERGEFORMAT </w:instrText>
        </w:r>
        <w:r w:rsidRPr="005252EC">
          <w:fldChar w:fldCharType="separate"/>
        </w:r>
        <w:r w:rsidR="00C15AA5">
          <w:rPr>
            <w:noProof/>
          </w:rPr>
          <w:t>6-96</w:t>
        </w:r>
        <w:r w:rsidRPr="005252EC">
          <w:fldChar w:fldCharType="end"/>
        </w:r>
        <w:r w:rsidRPr="005252EC">
          <w:t xml:space="preserve">      Attachment 6 – Capital expenditure | Powerlink transmission draft determination 2017–22</w:t>
        </w:r>
      </w:p>
    </w:sdtContent>
  </w:sdt>
  <w:p w:rsidR="00C54200" w:rsidRPr="001C6DFD" w:rsidRDefault="00C54200" w:rsidP="001C6DF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200" w:rsidRPr="001C6DFD" w:rsidRDefault="00C54200" w:rsidP="001C6D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200" w:rsidRPr="00290C63" w:rsidRDefault="00C54200" w:rsidP="00290C63">
      <w:r>
        <w:separator/>
      </w:r>
    </w:p>
    <w:p w:rsidR="00C54200" w:rsidRDefault="00C54200"/>
  </w:footnote>
  <w:footnote w:type="continuationSeparator" w:id="0">
    <w:p w:rsidR="00C54200" w:rsidRPr="00290C63" w:rsidRDefault="00C54200" w:rsidP="00290C63">
      <w:r>
        <w:continuationSeparator/>
      </w:r>
    </w:p>
    <w:p w:rsidR="00C54200" w:rsidRDefault="00C54200"/>
  </w:footnote>
  <w:footnote w:id="1">
    <w:p w:rsidR="00C54200" w:rsidRDefault="00C54200" w:rsidP="008C7B59">
      <w:pPr>
        <w:pStyle w:val="FootnoteText"/>
      </w:pPr>
      <w:r>
        <w:rPr>
          <w:rStyle w:val="FootnoteReference"/>
        </w:rPr>
        <w:footnoteRef/>
      </w:r>
      <w:r>
        <w:t xml:space="preserve"> </w:t>
      </w:r>
      <w:r>
        <w:tab/>
        <w:t xml:space="preserve">NER, cl. </w:t>
      </w:r>
      <w:proofErr w:type="gramStart"/>
      <w:r>
        <w:t>6A.5.4(</w:t>
      </w:r>
      <w:proofErr w:type="gramEnd"/>
      <w:r>
        <w:t>a).</w:t>
      </w:r>
    </w:p>
  </w:footnote>
  <w:footnote w:id="2">
    <w:p w:rsidR="00C54200" w:rsidRDefault="00C54200">
      <w:pPr>
        <w:pStyle w:val="FootnoteText"/>
      </w:pPr>
      <w:r>
        <w:rPr>
          <w:rStyle w:val="FootnoteReference"/>
        </w:rPr>
        <w:footnoteRef/>
      </w:r>
      <w:r>
        <w:t xml:space="preserve"> </w:t>
      </w:r>
      <w:r>
        <w:tab/>
        <w:t xml:space="preserve">NER, cl </w:t>
      </w:r>
      <w:proofErr w:type="gramStart"/>
      <w:r>
        <w:t>6A.14.1(</w:t>
      </w:r>
      <w:proofErr w:type="gramEnd"/>
      <w:r>
        <w:t>2)(ii).</w:t>
      </w:r>
    </w:p>
  </w:footnote>
  <w:footnote w:id="3">
    <w:p w:rsidR="00C54200" w:rsidRDefault="00C54200" w:rsidP="00F730AA">
      <w:pPr>
        <w:pStyle w:val="FootnoteText"/>
      </w:pPr>
      <w:r>
        <w:rPr>
          <w:rStyle w:val="FootnoteReference"/>
        </w:rPr>
        <w:footnoteRef/>
      </w:r>
      <w:r>
        <w:t xml:space="preserve"> </w:t>
      </w:r>
      <w:r>
        <w:tab/>
        <w:t>CCP (Hugh Grant and David Headberry)</w:t>
      </w:r>
      <w:r w:rsidRPr="00E90326">
        <w:t xml:space="preserve">, </w:t>
      </w:r>
      <w:r w:rsidRPr="00C54200">
        <w:rPr>
          <w:rStyle w:val="Emphasis"/>
        </w:rPr>
        <w:t>Submission to the AER, Powerlink Queensland 2018–22 reven</w:t>
      </w:r>
      <w:r>
        <w:rPr>
          <w:rStyle w:val="Emphasis"/>
        </w:rPr>
        <w:t>u</w:t>
      </w:r>
      <w:r w:rsidRPr="00C54200">
        <w:rPr>
          <w:rStyle w:val="Emphasis"/>
        </w:rPr>
        <w:t>e proposal</w:t>
      </w:r>
      <w:r w:rsidRPr="00E90326">
        <w:t xml:space="preserve">, </w:t>
      </w:r>
      <w:r>
        <w:t>20 </w:t>
      </w:r>
      <w:r w:rsidRPr="00E90326">
        <w:t>June 2016</w:t>
      </w:r>
      <w:r>
        <w:t xml:space="preserve">, p. 4. </w:t>
      </w:r>
    </w:p>
  </w:footnote>
  <w:footnote w:id="4">
    <w:p w:rsidR="00C54200" w:rsidRDefault="00C54200" w:rsidP="004C4AD4">
      <w:pPr>
        <w:pStyle w:val="FootnoteText"/>
      </w:pPr>
      <w:r>
        <w:rPr>
          <w:rStyle w:val="FootnoteReference"/>
        </w:rPr>
        <w:footnoteRef/>
      </w:r>
      <w:r>
        <w:t xml:space="preserve"> </w:t>
      </w:r>
      <w:r>
        <w:tab/>
        <w:t xml:space="preserve">Cotton Australia, </w:t>
      </w:r>
      <w:r w:rsidRPr="001A524E">
        <w:rPr>
          <w:i/>
        </w:rPr>
        <w:t>Submission on Powerlink Regulatory Proposal 2017-22</w:t>
      </w:r>
      <w:r>
        <w:t xml:space="preserve">, May 2016, p. 3. </w:t>
      </w:r>
    </w:p>
  </w:footnote>
  <w:footnote w:id="5">
    <w:p w:rsidR="00C54200" w:rsidRDefault="00C54200" w:rsidP="003916FE">
      <w:pPr>
        <w:pStyle w:val="FootnoteText"/>
      </w:pPr>
      <w:r>
        <w:rPr>
          <w:rStyle w:val="FootnoteReference"/>
        </w:rPr>
        <w:footnoteRef/>
      </w:r>
      <w:r>
        <w:t xml:space="preserve"> </w:t>
      </w:r>
      <w:r>
        <w:tab/>
        <w:t xml:space="preserve">Queensland Resources Council, </w:t>
      </w:r>
      <w:r w:rsidRPr="001A524E">
        <w:rPr>
          <w:i/>
        </w:rPr>
        <w:t>Submission on Powerlink Regulatory Proposal 2017–22</w:t>
      </w:r>
      <w:r>
        <w:t xml:space="preserve">, April 2016, p. 2. </w:t>
      </w:r>
    </w:p>
  </w:footnote>
  <w:footnote w:id="6">
    <w:p w:rsidR="00C54200" w:rsidRDefault="00C54200" w:rsidP="008C7B59">
      <w:pPr>
        <w:pStyle w:val="FootnoteText"/>
      </w:pPr>
      <w:r>
        <w:rPr>
          <w:rStyle w:val="FootnoteReference"/>
        </w:rPr>
        <w:footnoteRef/>
      </w:r>
      <w:r>
        <w:t xml:space="preserve"> </w:t>
      </w:r>
      <w:r>
        <w:tab/>
        <w:t>CCP (</w:t>
      </w:r>
      <w:r w:rsidRPr="00C03F83">
        <w:t xml:space="preserve">Jo De Silva), </w:t>
      </w:r>
      <w:r w:rsidRPr="001A524E">
        <w:rPr>
          <w:i/>
        </w:rPr>
        <w:t>Submission to the Australian Energy Regulator on Powerlink’s Regulatory Proposal 2017–19</w:t>
      </w:r>
      <w:r w:rsidRPr="00C03F83">
        <w:t xml:space="preserve">, </w:t>
      </w:r>
      <w:r>
        <w:t>28 </w:t>
      </w:r>
      <w:r w:rsidRPr="00C03F83">
        <w:t>April 2016</w:t>
      </w:r>
      <w:r>
        <w:t>, p. ii.</w:t>
      </w:r>
    </w:p>
  </w:footnote>
  <w:footnote w:id="7">
    <w:p w:rsidR="00C54200" w:rsidRDefault="00C54200" w:rsidP="008C7B59">
      <w:pPr>
        <w:pStyle w:val="FootnoteText"/>
      </w:pPr>
      <w:r>
        <w:rPr>
          <w:rStyle w:val="FootnoteReference"/>
        </w:rPr>
        <w:footnoteRef/>
      </w:r>
      <w:r>
        <w:t xml:space="preserve"> </w:t>
      </w:r>
      <w:r>
        <w:tab/>
        <w:t xml:space="preserve">Professor Simon Bartlett </w:t>
      </w:r>
      <w:proofErr w:type="gramStart"/>
      <w:r>
        <w:t>AM</w:t>
      </w:r>
      <w:proofErr w:type="gramEnd"/>
      <w:r>
        <w:t xml:space="preserve">, </w:t>
      </w:r>
      <w:r w:rsidRPr="00C54200">
        <w:rPr>
          <w:rStyle w:val="Emphasis"/>
        </w:rPr>
        <w:t>Submission on Powerlink Queensland’s Revenue Application 2017-22</w:t>
      </w:r>
      <w:r>
        <w:t>, 28 April 2016, p.7.</w:t>
      </w:r>
    </w:p>
  </w:footnote>
  <w:footnote w:id="8">
    <w:p w:rsidR="00C54200" w:rsidRDefault="00C54200" w:rsidP="008C7B59">
      <w:pPr>
        <w:pStyle w:val="FootnoteText"/>
      </w:pPr>
      <w:r>
        <w:rPr>
          <w:rStyle w:val="FootnoteReference"/>
        </w:rPr>
        <w:footnoteRef/>
      </w:r>
      <w:r>
        <w:t xml:space="preserve"> </w:t>
      </w:r>
      <w:r>
        <w:tab/>
      </w:r>
      <w:r w:rsidRPr="0084441D">
        <w:t xml:space="preserve">AER, </w:t>
      </w:r>
      <w:r w:rsidRPr="00A81D13">
        <w:rPr>
          <w:rStyle w:val="AERtextitalic"/>
        </w:rPr>
        <w:t>Expenditure Forecast Electricity Transmission Guideline</w:t>
      </w:r>
      <w:r w:rsidRPr="0084441D">
        <w:t>, Nove</w:t>
      </w:r>
      <w:r>
        <w:t xml:space="preserve">mber 2013, p. 9; see also </w:t>
      </w:r>
      <w:r w:rsidRPr="001B43AE">
        <w:t>AEMC</w:t>
      </w:r>
      <w:r>
        <w:t>,</w:t>
      </w:r>
      <w:r w:rsidRPr="001B43AE">
        <w:t xml:space="preserve"> </w:t>
      </w:r>
      <w:r w:rsidRPr="00A81D13">
        <w:rPr>
          <w:rStyle w:val="AERtextitalic"/>
        </w:rPr>
        <w:t>Final rule determination: National electricity amendment (Economic regulation of network service providers) Rule 2012</w:t>
      </w:r>
      <w:r w:rsidRPr="00A81D13">
        <w:t>,</w:t>
      </w:r>
      <w:r>
        <w:t xml:space="preserve"> 29 </w:t>
      </w:r>
      <w:r w:rsidRPr="001B43AE">
        <w:t>November 2012</w:t>
      </w:r>
      <w:r w:rsidRPr="0084441D">
        <w:t>, pp. 111 and 112.</w:t>
      </w:r>
    </w:p>
  </w:footnote>
  <w:footnote w:id="9">
    <w:p w:rsidR="00C54200" w:rsidRDefault="00C54200" w:rsidP="008C7B59">
      <w:pPr>
        <w:pStyle w:val="FootnoteText"/>
      </w:pPr>
      <w:r>
        <w:rPr>
          <w:rStyle w:val="FootnoteReference"/>
        </w:rPr>
        <w:footnoteRef/>
      </w:r>
      <w:r>
        <w:t xml:space="preserve"> </w:t>
      </w:r>
      <w:r>
        <w:tab/>
      </w:r>
      <w:proofErr w:type="gramStart"/>
      <w:r w:rsidRPr="0084441D">
        <w:t>NER, cl. 6A.6.7(c).</w:t>
      </w:r>
      <w:proofErr w:type="gramEnd"/>
    </w:p>
  </w:footnote>
  <w:footnote w:id="10">
    <w:p w:rsidR="00C54200" w:rsidRDefault="00C54200" w:rsidP="008C7B59">
      <w:pPr>
        <w:pStyle w:val="FootnoteText"/>
      </w:pPr>
      <w:r>
        <w:rPr>
          <w:rStyle w:val="FootnoteReference"/>
        </w:rPr>
        <w:footnoteRef/>
      </w:r>
      <w:r>
        <w:t xml:space="preserve"> </w:t>
      </w:r>
      <w:r>
        <w:tab/>
        <w:t xml:space="preserve">NER, cl. </w:t>
      </w:r>
      <w:proofErr w:type="gramStart"/>
      <w:r>
        <w:t>6A.6.7(</w:t>
      </w:r>
      <w:proofErr w:type="gramEnd"/>
      <w:r>
        <w:t>a).</w:t>
      </w:r>
    </w:p>
  </w:footnote>
  <w:footnote w:id="11">
    <w:p w:rsidR="00C54200" w:rsidRDefault="00C54200" w:rsidP="008C7B59">
      <w:pPr>
        <w:pStyle w:val="FootnoteText"/>
      </w:pPr>
      <w:r>
        <w:rPr>
          <w:rStyle w:val="FootnoteReference"/>
        </w:rPr>
        <w:footnoteRef/>
      </w:r>
      <w:r>
        <w:t xml:space="preserve"> </w:t>
      </w:r>
      <w:r>
        <w:tab/>
        <w:t xml:space="preserve">NER, cl. </w:t>
      </w:r>
      <w:proofErr w:type="gramStart"/>
      <w:r>
        <w:t>6A.14.1(</w:t>
      </w:r>
      <w:proofErr w:type="gramEnd"/>
      <w:r>
        <w:t>2)(ii).</w:t>
      </w:r>
    </w:p>
  </w:footnote>
  <w:footnote w:id="12">
    <w:p w:rsidR="00C54200" w:rsidRDefault="00C54200" w:rsidP="008C7B59">
      <w:pPr>
        <w:pStyle w:val="FootnoteText"/>
      </w:pPr>
      <w:r>
        <w:rPr>
          <w:rStyle w:val="FootnoteReference"/>
        </w:rPr>
        <w:footnoteRef/>
      </w:r>
      <w:r>
        <w:t xml:space="preserve"> </w:t>
      </w:r>
      <w:r>
        <w:tab/>
      </w:r>
      <w:r w:rsidRPr="00600055">
        <w:t xml:space="preserve">AEMC, </w:t>
      </w:r>
      <w:r w:rsidRPr="00E17C25">
        <w:rPr>
          <w:rStyle w:val="AERtextitalic"/>
        </w:rPr>
        <w:t>Final Rule Determination: National Electricity Amendment (Economic Regulation of Network Service Providers) Rule 2012</w:t>
      </w:r>
      <w:r w:rsidRPr="00600055">
        <w:t>, 29 November 2012, p. 113 (AEMC Economic Regulation Final Rule Determination).</w:t>
      </w:r>
    </w:p>
  </w:footnote>
  <w:footnote w:id="13">
    <w:p w:rsidR="00C54200" w:rsidRDefault="00C54200" w:rsidP="008C7B59">
      <w:pPr>
        <w:pStyle w:val="FootnoteText"/>
      </w:pPr>
      <w:r>
        <w:rPr>
          <w:rStyle w:val="FootnoteReference"/>
        </w:rPr>
        <w:footnoteRef/>
      </w:r>
      <w:r>
        <w:t xml:space="preserve"> </w:t>
      </w:r>
      <w:r>
        <w:tab/>
      </w:r>
      <w:r w:rsidRPr="00600055">
        <w:t xml:space="preserve">AEMC, </w:t>
      </w:r>
      <w:r w:rsidRPr="00B913B2">
        <w:rPr>
          <w:rStyle w:val="AERtextitalic"/>
        </w:rPr>
        <w:t>Final rule determination: National electricity amendment (Economic regulation of network service providers) Rule 2012</w:t>
      </w:r>
      <w:r w:rsidRPr="00B913B2">
        <w:t>, 29 November 2012, p. vii.</w:t>
      </w:r>
    </w:p>
  </w:footnote>
  <w:footnote w:id="14">
    <w:p w:rsidR="00C54200" w:rsidRDefault="00C54200" w:rsidP="008C7B59">
      <w:pPr>
        <w:pStyle w:val="FootnoteText"/>
      </w:pPr>
      <w:r>
        <w:rPr>
          <w:rStyle w:val="FootnoteReference"/>
        </w:rPr>
        <w:footnoteRef/>
      </w:r>
      <w:r>
        <w:t xml:space="preserve"> </w:t>
      </w:r>
      <w:r>
        <w:tab/>
        <w:t xml:space="preserve">NER, cl. </w:t>
      </w:r>
      <w:proofErr w:type="gramStart"/>
      <w:r>
        <w:t>6A.6.7(</w:t>
      </w:r>
      <w:proofErr w:type="gramEnd"/>
      <w:r>
        <w:t>e).</w:t>
      </w:r>
    </w:p>
  </w:footnote>
  <w:footnote w:id="15">
    <w:p w:rsidR="00C54200" w:rsidRDefault="00C54200" w:rsidP="008C7B59">
      <w:pPr>
        <w:pStyle w:val="FootnoteText"/>
      </w:pPr>
      <w:r>
        <w:rPr>
          <w:rStyle w:val="FootnoteReference"/>
        </w:rPr>
        <w:footnoteRef/>
      </w:r>
      <w:r>
        <w:t xml:space="preserve"> </w:t>
      </w:r>
      <w:r>
        <w:tab/>
      </w:r>
      <w:r w:rsidRPr="00600055">
        <w:t xml:space="preserve">AEMC, </w:t>
      </w:r>
      <w:r w:rsidRPr="00B913B2">
        <w:rPr>
          <w:rStyle w:val="AERtextitalic"/>
        </w:rPr>
        <w:t>Final rule determination: National electricity amendment (Economic regulation of network service providers) Rule 2012</w:t>
      </w:r>
      <w:r w:rsidRPr="00B913B2">
        <w:t>, 29 November 2012</w:t>
      </w:r>
      <w:r w:rsidRPr="00600055">
        <w:t>, p. 115.</w:t>
      </w:r>
    </w:p>
  </w:footnote>
  <w:footnote w:id="16">
    <w:p w:rsidR="00C54200" w:rsidRDefault="00C54200" w:rsidP="008C7B59">
      <w:pPr>
        <w:pStyle w:val="FootnoteText"/>
      </w:pPr>
      <w:r>
        <w:rPr>
          <w:rStyle w:val="FootnoteReference"/>
        </w:rPr>
        <w:footnoteRef/>
      </w:r>
      <w:r>
        <w:t xml:space="preserve"> </w:t>
      </w:r>
      <w:r>
        <w:tab/>
      </w:r>
      <w:proofErr w:type="gramStart"/>
      <w:r>
        <w:t>NEL, ss. 7A and 16(2).</w:t>
      </w:r>
      <w:proofErr w:type="gramEnd"/>
    </w:p>
  </w:footnote>
  <w:footnote w:id="17">
    <w:p w:rsidR="00C54200" w:rsidRDefault="00C54200" w:rsidP="008C7B59">
      <w:pPr>
        <w:pStyle w:val="FootnoteText"/>
      </w:pPr>
      <w:r>
        <w:rPr>
          <w:rStyle w:val="FootnoteReference"/>
        </w:rPr>
        <w:footnoteRef/>
      </w:r>
      <w:r>
        <w:t xml:space="preserve"> </w:t>
      </w:r>
      <w:r>
        <w:tab/>
      </w:r>
      <w:proofErr w:type="gramStart"/>
      <w:r>
        <w:t>NEL, s. 7A.</w:t>
      </w:r>
      <w:proofErr w:type="gramEnd"/>
    </w:p>
  </w:footnote>
  <w:footnote w:id="18">
    <w:p w:rsidR="00C54200" w:rsidRDefault="00C54200" w:rsidP="008C7B59">
      <w:pPr>
        <w:pStyle w:val="FootnoteText"/>
      </w:pPr>
      <w:r>
        <w:rPr>
          <w:rStyle w:val="FootnoteReference"/>
        </w:rPr>
        <w:footnoteRef/>
      </w:r>
      <w:r>
        <w:t xml:space="preserve"> </w:t>
      </w:r>
      <w:r>
        <w:tab/>
      </w:r>
      <w:r w:rsidRPr="00D94CE4">
        <w:t>AER</w:t>
      </w:r>
      <w:r>
        <w:t>,</w:t>
      </w:r>
      <w:r w:rsidRPr="00D94CE4">
        <w:t xml:space="preserve"> </w:t>
      </w:r>
      <w:r w:rsidRPr="000013A2">
        <w:rPr>
          <w:rStyle w:val="AERtextitalic"/>
        </w:rPr>
        <w:t>Better regulation: Expenditure forecast assessment guidel</w:t>
      </w:r>
      <w:r>
        <w:rPr>
          <w:rStyle w:val="AERtextitalic"/>
        </w:rPr>
        <w:t>ine for electricity transmission</w:t>
      </w:r>
      <w:r w:rsidRPr="000013A2">
        <w:t>, November 2013.</w:t>
      </w:r>
    </w:p>
  </w:footnote>
  <w:footnote w:id="19">
    <w:p w:rsidR="00C54200" w:rsidRDefault="00C54200" w:rsidP="008C7B59">
      <w:pPr>
        <w:pStyle w:val="FootnoteText"/>
      </w:pPr>
      <w:r>
        <w:rPr>
          <w:rStyle w:val="FootnoteReference"/>
        </w:rPr>
        <w:footnoteRef/>
      </w:r>
      <w:r>
        <w:t xml:space="preserve"> </w:t>
      </w:r>
      <w:r>
        <w:tab/>
        <w:t xml:space="preserve">AER, </w:t>
      </w:r>
      <w:r w:rsidRPr="00C54200">
        <w:rPr>
          <w:rStyle w:val="Emphasis"/>
        </w:rPr>
        <w:t>Final Framework and Approach for Powerlink for the regulatory control period commencing 2017</w:t>
      </w:r>
      <w:r>
        <w:t xml:space="preserve">, June 2015, p. 33.   </w:t>
      </w:r>
    </w:p>
  </w:footnote>
  <w:footnote w:id="20">
    <w:p w:rsidR="00C54200" w:rsidRDefault="00C54200" w:rsidP="008C7B59">
      <w:pPr>
        <w:pStyle w:val="FootnoteText"/>
      </w:pPr>
      <w:r>
        <w:rPr>
          <w:rStyle w:val="FootnoteReference"/>
        </w:rPr>
        <w:footnoteRef/>
      </w:r>
      <w:r>
        <w:t xml:space="preserve"> </w:t>
      </w:r>
      <w:r>
        <w:tab/>
        <w:t xml:space="preserve">AER, </w:t>
      </w:r>
      <w:r w:rsidRPr="00C54200">
        <w:rPr>
          <w:rStyle w:val="Emphasis"/>
        </w:rPr>
        <w:t>Final Framework and Approach for Powerlink for the regulatory control period commencing 2017</w:t>
      </w:r>
      <w:r>
        <w:t>, June 2015, p. 35.</w:t>
      </w:r>
    </w:p>
  </w:footnote>
  <w:footnote w:id="21">
    <w:p w:rsidR="00C54200" w:rsidRDefault="00C54200" w:rsidP="008C7B59">
      <w:pPr>
        <w:pStyle w:val="FootnoteText"/>
      </w:pPr>
      <w:r>
        <w:rPr>
          <w:rStyle w:val="FootnoteReference"/>
        </w:rPr>
        <w:footnoteRef/>
      </w:r>
      <w:r>
        <w:t xml:space="preserve"> </w:t>
      </w:r>
      <w:r>
        <w:tab/>
      </w:r>
      <w:proofErr w:type="gramStart"/>
      <w:r>
        <w:t>NER, cl. 6A.10.1(c).</w:t>
      </w:r>
      <w:proofErr w:type="gramEnd"/>
      <w:r>
        <w:t xml:space="preserve"> </w:t>
      </w:r>
    </w:p>
  </w:footnote>
  <w:footnote w:id="22">
    <w:p w:rsidR="00C54200" w:rsidRDefault="00C54200" w:rsidP="008C7B59">
      <w:pPr>
        <w:pStyle w:val="FootnoteText"/>
      </w:pPr>
      <w:r>
        <w:rPr>
          <w:rStyle w:val="FootnoteReference"/>
        </w:rPr>
        <w:footnoteRef/>
      </w:r>
      <w:r>
        <w:t xml:space="preserve"> </w:t>
      </w:r>
      <w:r>
        <w:tab/>
      </w:r>
      <w:r w:rsidRPr="002B6535">
        <w:t>AER</w:t>
      </w:r>
      <w:r>
        <w:t xml:space="preserve">, </w:t>
      </w:r>
      <w:r w:rsidRPr="000B1BB8">
        <w:rPr>
          <w:rStyle w:val="AERtextitalic"/>
        </w:rPr>
        <w:t>Better regulation: Expenditure forecast assessment guideline for electricity transmission</w:t>
      </w:r>
      <w:r w:rsidRPr="00617804">
        <w:t>, November 2013,</w:t>
      </w:r>
      <w:r w:rsidRPr="002B6535">
        <w:t xml:space="preserve"> p.</w:t>
      </w:r>
      <w:r>
        <w:t> </w:t>
      </w:r>
      <w:r w:rsidRPr="002B6535">
        <w:t>25</w:t>
      </w:r>
      <w:r>
        <w:t>.</w:t>
      </w:r>
    </w:p>
  </w:footnote>
  <w:footnote w:id="23">
    <w:p w:rsidR="00C54200" w:rsidRDefault="00C54200" w:rsidP="008C7B59">
      <w:pPr>
        <w:pStyle w:val="FootnoteText"/>
      </w:pPr>
      <w:r>
        <w:rPr>
          <w:rStyle w:val="FootnoteReference"/>
        </w:rPr>
        <w:footnoteRef/>
      </w:r>
      <w:r>
        <w:t xml:space="preserve"> </w:t>
      </w:r>
      <w:r>
        <w:tab/>
      </w:r>
      <w:r w:rsidRPr="00734660">
        <w:t xml:space="preserve">AER, </w:t>
      </w:r>
      <w:r w:rsidRPr="00734660">
        <w:rPr>
          <w:rStyle w:val="AERtextitalic"/>
        </w:rPr>
        <w:t>Better regulation: Explanatory statement: Expenditure forecast assessment guideline</w:t>
      </w:r>
      <w:r w:rsidRPr="00734660">
        <w:t>, November 2013, p. 7</w:t>
      </w:r>
      <w:r w:rsidRPr="00D94CE4">
        <w:t xml:space="preserve">; </w:t>
      </w:r>
      <w:r>
        <w:t xml:space="preserve">and </w:t>
      </w:r>
      <w:r w:rsidRPr="0080305C">
        <w:t xml:space="preserve">AEMC, </w:t>
      </w:r>
      <w:r w:rsidRPr="0080305C">
        <w:rPr>
          <w:rStyle w:val="AERtextitalic"/>
        </w:rPr>
        <w:t>Final rule determination: National electricity amendment (Economic regulation of network service providers) Rule 2012</w:t>
      </w:r>
      <w:r w:rsidRPr="0080305C">
        <w:t>, 29 November 2012, pp. 111 and 112.</w:t>
      </w:r>
    </w:p>
  </w:footnote>
  <w:footnote w:id="24">
    <w:p w:rsidR="00C54200" w:rsidRDefault="00C54200" w:rsidP="008C7B59">
      <w:pPr>
        <w:pStyle w:val="FootnoteText"/>
      </w:pPr>
      <w:r>
        <w:rPr>
          <w:rStyle w:val="FootnoteReference"/>
        </w:rPr>
        <w:footnoteRef/>
      </w:r>
      <w:r>
        <w:t xml:space="preserve"> </w:t>
      </w:r>
      <w:r>
        <w:tab/>
      </w:r>
      <w:r w:rsidRPr="00CD0473">
        <w:t xml:space="preserve">AEMC, </w:t>
      </w:r>
      <w:r w:rsidRPr="00880E07">
        <w:rPr>
          <w:rStyle w:val="AERtextitalic"/>
        </w:rPr>
        <w:t>Final Rule Determination: National Electricity Amendment (Economic Regulation of Network Service Providers) Rule 2012</w:t>
      </w:r>
      <w:r w:rsidRPr="00CD0473">
        <w:t>, 29 November 2012, p. vii</w:t>
      </w:r>
      <w:r>
        <w:t>.</w:t>
      </w:r>
    </w:p>
  </w:footnote>
  <w:footnote w:id="25">
    <w:p w:rsidR="00C54200" w:rsidRDefault="00C54200" w:rsidP="008C7B59">
      <w:pPr>
        <w:pStyle w:val="FootnoteText"/>
      </w:pPr>
      <w:r>
        <w:rPr>
          <w:rStyle w:val="FootnoteReference"/>
        </w:rPr>
        <w:footnoteRef/>
      </w:r>
      <w:r>
        <w:t xml:space="preserve"> </w:t>
      </w:r>
      <w:r>
        <w:tab/>
      </w:r>
      <w:r w:rsidRPr="002B6535">
        <w:t>AER</w:t>
      </w:r>
      <w:r>
        <w:t xml:space="preserve">, </w:t>
      </w:r>
      <w:r w:rsidRPr="000B1BB8">
        <w:rPr>
          <w:rStyle w:val="AERtextitalic"/>
        </w:rPr>
        <w:t>Better regulation: Expenditure forecast assessment guideline for electricity transmission</w:t>
      </w:r>
      <w:r w:rsidRPr="00617804">
        <w:t>, November 2013</w:t>
      </w:r>
      <w:r>
        <w:t>, p. </w:t>
      </w:r>
      <w:r w:rsidRPr="00467B23">
        <w:t>12.</w:t>
      </w:r>
    </w:p>
  </w:footnote>
  <w:footnote w:id="26">
    <w:p w:rsidR="00C54200" w:rsidRDefault="00C54200" w:rsidP="008C7B59">
      <w:pPr>
        <w:pStyle w:val="FootnoteText"/>
      </w:pPr>
      <w:r>
        <w:rPr>
          <w:rStyle w:val="FootnoteReference"/>
        </w:rPr>
        <w:footnoteRef/>
      </w:r>
      <w:r>
        <w:t xml:space="preserve"> </w:t>
      </w:r>
      <w:r>
        <w:tab/>
      </w:r>
      <w:r w:rsidRPr="00467B23">
        <w:t>AER</w:t>
      </w:r>
      <w:r>
        <w:t>,</w:t>
      </w:r>
      <w:r w:rsidRPr="00467B23">
        <w:t xml:space="preserve"> </w:t>
      </w:r>
      <w:r w:rsidRPr="000B1BB8">
        <w:rPr>
          <w:rStyle w:val="AERtextitalic"/>
        </w:rPr>
        <w:t>Better regulation: Expenditure forecast assessment guideline for electricity transmission</w:t>
      </w:r>
      <w:r w:rsidRPr="00617804">
        <w:t>, November 2013</w:t>
      </w:r>
      <w:r w:rsidRPr="00467B23">
        <w:t>, pp. 8 and 9.</w:t>
      </w:r>
      <w:r>
        <w:t xml:space="preserve"> </w:t>
      </w:r>
      <w:r w:rsidRPr="00CD0473">
        <w:t xml:space="preserve">The Tribunal has previously endorsed this approach: see : Application by Ergon Energy Corporation Limited (Non-system property capital expenditure) (No 4) [2010] </w:t>
      </w:r>
      <w:proofErr w:type="spellStart"/>
      <w:r w:rsidRPr="00CD0473">
        <w:t>ACompT</w:t>
      </w:r>
      <w:proofErr w:type="spellEnd"/>
      <w:r w:rsidRPr="00CD0473">
        <w:t xml:space="preserve"> 12; Application by </w:t>
      </w:r>
      <w:proofErr w:type="spellStart"/>
      <w:r w:rsidRPr="00CD0473">
        <w:t>EnergyAustralia</w:t>
      </w:r>
      <w:proofErr w:type="spellEnd"/>
      <w:r w:rsidRPr="00CD0473">
        <w:t xml:space="preserve"> and Others [2009] </w:t>
      </w:r>
      <w:proofErr w:type="spellStart"/>
      <w:r w:rsidRPr="00CD0473">
        <w:t>ACompT</w:t>
      </w:r>
      <w:proofErr w:type="spellEnd"/>
      <w:r w:rsidRPr="00CD0473">
        <w:t xml:space="preserve"> 8; Application by Ergon Energy Corporation Limited (Labour Cost Escalators) (No 3) [2010] </w:t>
      </w:r>
      <w:proofErr w:type="spellStart"/>
      <w:r w:rsidRPr="00CD0473">
        <w:t>ACompT</w:t>
      </w:r>
      <w:proofErr w:type="spellEnd"/>
      <w:r w:rsidRPr="00CD0473">
        <w:t xml:space="preserve"> 11; Application by DBNGP (WA) Transmission Pty Ltd (No 3) [2012] </w:t>
      </w:r>
      <w:proofErr w:type="spellStart"/>
      <w:r w:rsidRPr="00CD0473">
        <w:t>ACompT</w:t>
      </w:r>
      <w:proofErr w:type="spellEnd"/>
      <w:r w:rsidRPr="00CD0473">
        <w:t xml:space="preserve"> 14; Application by United Energy Distribution Pty Limited [2012] </w:t>
      </w:r>
      <w:proofErr w:type="spellStart"/>
      <w:r w:rsidRPr="00CD0473">
        <w:t>ACompT</w:t>
      </w:r>
      <w:proofErr w:type="spellEnd"/>
      <w:r w:rsidRPr="00CD0473">
        <w:t xml:space="preserve"> 1; Re: Application by ElectraNet Pty Limited (No 3) [2008] </w:t>
      </w:r>
      <w:proofErr w:type="spellStart"/>
      <w:r w:rsidRPr="00CD0473">
        <w:t>ACompT</w:t>
      </w:r>
      <w:proofErr w:type="spellEnd"/>
      <w:r w:rsidRPr="00CD0473">
        <w:t xml:space="preserve"> 3 ; Application by DBNGP (WA) Transmission Pty Ltd [2012] </w:t>
      </w:r>
      <w:proofErr w:type="spellStart"/>
      <w:r w:rsidRPr="00CD0473">
        <w:t>ACompT</w:t>
      </w:r>
      <w:proofErr w:type="spellEnd"/>
      <w:r w:rsidRPr="00CD0473">
        <w:t xml:space="preserve"> 6.</w:t>
      </w:r>
    </w:p>
  </w:footnote>
  <w:footnote w:id="27">
    <w:p w:rsidR="00C54200" w:rsidRDefault="00C54200" w:rsidP="008C7B59">
      <w:pPr>
        <w:pStyle w:val="FootnoteText"/>
      </w:pPr>
      <w:r>
        <w:rPr>
          <w:rStyle w:val="FootnoteReference"/>
        </w:rPr>
        <w:footnoteRef/>
      </w:r>
      <w:r>
        <w:t xml:space="preserve"> </w:t>
      </w:r>
      <w:r>
        <w:tab/>
      </w:r>
      <w:r w:rsidRPr="002B6535">
        <w:t>AER</w:t>
      </w:r>
      <w:r>
        <w:t xml:space="preserve">, </w:t>
      </w:r>
      <w:r w:rsidRPr="000B1BB8">
        <w:rPr>
          <w:rStyle w:val="AERtextitalic"/>
        </w:rPr>
        <w:t>Better regulation: Expenditure forecast assessment guideline for electricity transmission</w:t>
      </w:r>
      <w:r w:rsidRPr="00617804">
        <w:t>, November 2013</w:t>
      </w:r>
      <w:r>
        <w:t>, p. </w:t>
      </w:r>
      <w:r w:rsidRPr="00467B23">
        <w:t>9.</w:t>
      </w:r>
    </w:p>
  </w:footnote>
  <w:footnote w:id="28">
    <w:p w:rsidR="00C54200" w:rsidRDefault="00C54200" w:rsidP="008C7B59">
      <w:pPr>
        <w:pStyle w:val="FootnoteText"/>
      </w:pPr>
      <w:r>
        <w:rPr>
          <w:rStyle w:val="FootnoteReference"/>
        </w:rPr>
        <w:footnoteRef/>
      </w:r>
      <w:r>
        <w:t xml:space="preserve"> </w:t>
      </w:r>
      <w:r>
        <w:tab/>
      </w:r>
      <w:r w:rsidRPr="00BF5B4A">
        <w:t xml:space="preserve">AEMC, </w:t>
      </w:r>
      <w:r w:rsidRPr="00BF5B4A">
        <w:rPr>
          <w:rStyle w:val="AERtextitalic"/>
        </w:rPr>
        <w:t>Final rule determination: National electricity amendment (Economic regulation of network service providers) Rule 2012</w:t>
      </w:r>
      <w:r w:rsidRPr="00BF5B4A">
        <w:t>, 29 November 2012, p. 112.</w:t>
      </w:r>
    </w:p>
  </w:footnote>
  <w:footnote w:id="29">
    <w:p w:rsidR="00C54200" w:rsidRDefault="00C54200" w:rsidP="008C7B59">
      <w:pPr>
        <w:pStyle w:val="FootnoteText"/>
      </w:pPr>
      <w:r>
        <w:rPr>
          <w:rStyle w:val="FootnoteReference"/>
        </w:rPr>
        <w:footnoteRef/>
      </w:r>
      <w:r>
        <w:t xml:space="preserve"> </w:t>
      </w:r>
      <w:r>
        <w:tab/>
      </w:r>
      <w:proofErr w:type="gramStart"/>
      <w:r>
        <w:t>NER, r. 6A.</w:t>
      </w:r>
      <w:proofErr w:type="gramEnd"/>
      <w:r w:rsidDel="00124290">
        <w:t xml:space="preserve"> </w:t>
      </w:r>
      <w:r>
        <w:t>7.3</w:t>
      </w:r>
    </w:p>
  </w:footnote>
  <w:footnote w:id="30">
    <w:p w:rsidR="00C54200" w:rsidRDefault="00C54200" w:rsidP="008C7B59">
      <w:pPr>
        <w:pStyle w:val="FootnoteText"/>
      </w:pPr>
      <w:r>
        <w:rPr>
          <w:rStyle w:val="FootnoteReference"/>
        </w:rPr>
        <w:footnoteRef/>
      </w:r>
      <w:r>
        <w:t xml:space="preserve"> </w:t>
      </w:r>
      <w:r>
        <w:tab/>
        <w:t xml:space="preserve">AEMC, </w:t>
      </w:r>
      <w:r w:rsidRPr="00E17C25">
        <w:rPr>
          <w:rStyle w:val="AERtextitalic"/>
        </w:rPr>
        <w:t>Final Position Paper - National Electricity Amendment (Economic Regulation of Network Service Providers) Rule 2012</w:t>
      </w:r>
      <w:r>
        <w:t>, 15 November 2012, p. v.</w:t>
      </w:r>
    </w:p>
  </w:footnote>
  <w:footnote w:id="31">
    <w:p w:rsidR="00C54200" w:rsidRDefault="00C54200" w:rsidP="008C7B59">
      <w:pPr>
        <w:pStyle w:val="FootnoteText"/>
      </w:pPr>
      <w:r>
        <w:rPr>
          <w:rStyle w:val="FootnoteReference"/>
        </w:rPr>
        <w:footnoteRef/>
      </w:r>
      <w:r>
        <w:t xml:space="preserve"> </w:t>
      </w:r>
      <w:r>
        <w:tab/>
      </w:r>
      <w:r w:rsidRPr="00493022">
        <w:t>NER cl. 6A</w:t>
      </w:r>
      <w:r>
        <w:t>.</w:t>
      </w:r>
      <w:r w:rsidRPr="00493022">
        <w:t>14.2.</w:t>
      </w:r>
      <w:r>
        <w:t>(b)</w:t>
      </w:r>
    </w:p>
  </w:footnote>
  <w:footnote w:id="32">
    <w:p w:rsidR="00C54200" w:rsidRDefault="00C54200" w:rsidP="008C7B59">
      <w:pPr>
        <w:pStyle w:val="FootnoteText"/>
      </w:pPr>
      <w:r>
        <w:rPr>
          <w:rStyle w:val="FootnoteReference"/>
        </w:rPr>
        <w:footnoteRef/>
      </w:r>
      <w:r>
        <w:t xml:space="preserve"> </w:t>
      </w:r>
      <w:r>
        <w:tab/>
        <w:t xml:space="preserve">The NER requires that this statement will not apply to the regulatory year in which the Expenditure Incentive Guideline was published. As the Guideline was published in December 2013, our statement and assessment of whether any expenditure should be excluded from the RAB only covers the 2014-15 regulatory </w:t>
      </w:r>
      <w:proofErr w:type="gramStart"/>
      <w:r>
        <w:t>year</w:t>
      </w:r>
      <w:proofErr w:type="gramEnd"/>
      <w:r>
        <w:t>.</w:t>
      </w:r>
    </w:p>
  </w:footnote>
  <w:footnote w:id="33">
    <w:p w:rsidR="00C54200" w:rsidRDefault="00C54200" w:rsidP="008C7B59">
      <w:pPr>
        <w:pStyle w:val="FootnoteText"/>
      </w:pPr>
      <w:r>
        <w:rPr>
          <w:rStyle w:val="FootnoteReference"/>
        </w:rPr>
        <w:footnoteRef/>
      </w:r>
      <w:r>
        <w:t xml:space="preserve"> </w:t>
      </w:r>
      <w:r>
        <w:tab/>
        <w:t>NER cl. S6A.2.2A</w:t>
      </w:r>
    </w:p>
  </w:footnote>
  <w:footnote w:id="34">
    <w:p w:rsidR="00C54200" w:rsidRPr="00E17C25" w:rsidRDefault="00C54200" w:rsidP="008C7B59">
      <w:pPr>
        <w:pStyle w:val="FootnoteText"/>
        <w:rPr>
          <w:i/>
        </w:rPr>
      </w:pPr>
      <w:r>
        <w:rPr>
          <w:rStyle w:val="FootnoteReference"/>
        </w:rPr>
        <w:footnoteRef/>
      </w:r>
      <w:r>
        <w:t xml:space="preserve"> </w:t>
      </w:r>
      <w:r>
        <w:tab/>
        <w:t xml:space="preserve">AER, </w:t>
      </w:r>
      <w:r w:rsidRPr="00983BF9">
        <w:rPr>
          <w:rStyle w:val="AERtextitalic"/>
        </w:rPr>
        <w:t>Capital E</w:t>
      </w:r>
      <w:r>
        <w:rPr>
          <w:rStyle w:val="AERtextitalic"/>
        </w:rPr>
        <w:t xml:space="preserve">xpenditure Incentive Guideline </w:t>
      </w:r>
      <w:r w:rsidRPr="00983BF9">
        <w:rPr>
          <w:rStyle w:val="AERtextitalic"/>
        </w:rPr>
        <w:t>for Electricity Network Service Providers</w:t>
      </w:r>
      <w:r>
        <w:t>, November 2013.</w:t>
      </w:r>
    </w:p>
  </w:footnote>
  <w:footnote w:id="35">
    <w:p w:rsidR="00C54200" w:rsidRDefault="00C54200" w:rsidP="008C7B59">
      <w:pPr>
        <w:pStyle w:val="FootnoteText"/>
      </w:pPr>
      <w:r>
        <w:rPr>
          <w:rStyle w:val="FootnoteReference"/>
        </w:rPr>
        <w:footnoteRef/>
      </w:r>
      <w:r>
        <w:t xml:space="preserve"> </w:t>
      </w:r>
      <w:r>
        <w:tab/>
      </w:r>
      <w:proofErr w:type="gramStart"/>
      <w:r w:rsidRPr="00F96387">
        <w:t xml:space="preserve">AER, </w:t>
      </w:r>
      <w:r w:rsidRPr="00983BF9">
        <w:rPr>
          <w:rStyle w:val="AERtextitalic"/>
        </w:rPr>
        <w:t>Capital E</w:t>
      </w:r>
      <w:r>
        <w:rPr>
          <w:rStyle w:val="AERtextitalic"/>
        </w:rPr>
        <w:t xml:space="preserve">xpenditure Incentive Guideline </w:t>
      </w:r>
      <w:r w:rsidRPr="00983BF9">
        <w:rPr>
          <w:rStyle w:val="AERtextitalic"/>
        </w:rPr>
        <w:t>for Electricity Network Service Providers</w:t>
      </w:r>
      <w:r>
        <w:t>, November 2013, pp.19-22.</w:t>
      </w:r>
      <w:proofErr w:type="gramEnd"/>
    </w:p>
  </w:footnote>
  <w:footnote w:id="36">
    <w:p w:rsidR="00C54200" w:rsidRDefault="00C54200" w:rsidP="00F8768D">
      <w:pPr>
        <w:pStyle w:val="FootnoteText"/>
      </w:pPr>
      <w:r>
        <w:rPr>
          <w:rStyle w:val="FootnoteReference"/>
        </w:rPr>
        <w:footnoteRef/>
      </w:r>
      <w:r>
        <w:t xml:space="preserve"> </w:t>
      </w:r>
      <w:r>
        <w:tab/>
      </w:r>
      <w:proofErr w:type="gramStart"/>
      <w:r>
        <w:t>NER, cl. S6A.2.2A(c).</w:t>
      </w:r>
      <w:proofErr w:type="gramEnd"/>
    </w:p>
  </w:footnote>
  <w:footnote w:id="37">
    <w:p w:rsidR="00C54200" w:rsidRDefault="00C54200" w:rsidP="008C7B59">
      <w:pPr>
        <w:pStyle w:val="FootnoteText"/>
      </w:pPr>
      <w:r>
        <w:rPr>
          <w:rStyle w:val="FootnoteReference"/>
        </w:rPr>
        <w:footnoteRef/>
      </w:r>
      <w:r>
        <w:t xml:space="preserve"> </w:t>
      </w:r>
      <w:r>
        <w:tab/>
      </w:r>
      <w:proofErr w:type="gramStart"/>
      <w:r w:rsidRPr="00D51030">
        <w:t xml:space="preserve">NER, </w:t>
      </w:r>
      <w:proofErr w:type="spellStart"/>
      <w:r w:rsidRPr="00D51030">
        <w:t>cll</w:t>
      </w:r>
      <w:proofErr w:type="spellEnd"/>
      <w:r w:rsidRPr="00D51030">
        <w:t>.</w:t>
      </w:r>
      <w:proofErr w:type="gramEnd"/>
      <w:r w:rsidRPr="00D51030">
        <w:t xml:space="preserve"> </w:t>
      </w:r>
      <w:proofErr w:type="gramStart"/>
      <w:r w:rsidRPr="00D51030">
        <w:t>S6A.1.1(</w:t>
      </w:r>
      <w:proofErr w:type="gramEnd"/>
      <w:r w:rsidRPr="00D51030">
        <w:t>2), (4) and (5).</w:t>
      </w:r>
    </w:p>
  </w:footnote>
  <w:footnote w:id="38">
    <w:p w:rsidR="00C54200" w:rsidRDefault="00C54200" w:rsidP="008C7B59">
      <w:pPr>
        <w:pStyle w:val="FootnoteText"/>
      </w:pPr>
      <w:r>
        <w:rPr>
          <w:rStyle w:val="FootnoteReference"/>
        </w:rPr>
        <w:footnoteRef/>
      </w:r>
      <w:r>
        <w:t xml:space="preserve"> </w:t>
      </w:r>
      <w:r>
        <w:tab/>
      </w:r>
      <w:proofErr w:type="gramStart"/>
      <w:r>
        <w:t xml:space="preserve">Powerlink, </w:t>
      </w:r>
      <w:r>
        <w:rPr>
          <w:rStyle w:val="AERtextitalic"/>
        </w:rPr>
        <w:t>Revenue proposal 2017–22</w:t>
      </w:r>
      <w:r>
        <w:t>, January</w:t>
      </w:r>
      <w:r w:rsidRPr="00640174">
        <w:t xml:space="preserve"> 201</w:t>
      </w:r>
      <w:r>
        <w:t>6, pp. 47-51.</w:t>
      </w:r>
      <w:proofErr w:type="gramEnd"/>
    </w:p>
  </w:footnote>
  <w:footnote w:id="39">
    <w:p w:rsidR="00C54200" w:rsidRDefault="00C54200" w:rsidP="008C7B59">
      <w:pPr>
        <w:pStyle w:val="FootnoteText"/>
      </w:pPr>
      <w:r>
        <w:rPr>
          <w:rStyle w:val="FootnoteReference"/>
        </w:rPr>
        <w:footnoteRef/>
      </w:r>
      <w:r>
        <w:t xml:space="preserve"> </w:t>
      </w:r>
      <w:r>
        <w:tab/>
      </w:r>
      <w:proofErr w:type="gramStart"/>
      <w:r>
        <w:t>NER, cl. 6A.10.1B.</w:t>
      </w:r>
      <w:proofErr w:type="gramEnd"/>
      <w:r>
        <w:t xml:space="preserve"> </w:t>
      </w:r>
    </w:p>
  </w:footnote>
  <w:footnote w:id="40">
    <w:p w:rsidR="00C54200" w:rsidRDefault="00C54200" w:rsidP="008C7B59">
      <w:pPr>
        <w:pStyle w:val="FootnoteText"/>
      </w:pPr>
      <w:r>
        <w:rPr>
          <w:rStyle w:val="FootnoteReference"/>
        </w:rPr>
        <w:footnoteRef/>
      </w:r>
      <w:r>
        <w:t xml:space="preserve"> </w:t>
      </w:r>
      <w:r>
        <w:tab/>
      </w:r>
      <w:proofErr w:type="gramStart"/>
      <w:r>
        <w:t>NER, cl. 6A.10.1.</w:t>
      </w:r>
      <w:proofErr w:type="gramEnd"/>
      <w:r>
        <w:t xml:space="preserve"> </w:t>
      </w:r>
    </w:p>
  </w:footnote>
  <w:footnote w:id="41">
    <w:p w:rsidR="00C54200" w:rsidRDefault="00C54200" w:rsidP="008C7B59">
      <w:pPr>
        <w:pStyle w:val="FootnoteText"/>
      </w:pPr>
      <w:r>
        <w:rPr>
          <w:rStyle w:val="FootnoteReference"/>
        </w:rPr>
        <w:footnoteRef/>
      </w:r>
      <w:r>
        <w:t xml:space="preserve"> </w:t>
      </w:r>
      <w:r>
        <w:tab/>
      </w:r>
      <w:proofErr w:type="gramStart"/>
      <w:r w:rsidRPr="002C1ADF">
        <w:t xml:space="preserve">Powerlink, </w:t>
      </w:r>
      <w:r w:rsidRPr="00BB76A9">
        <w:rPr>
          <w:rStyle w:val="AERtextitalic"/>
        </w:rPr>
        <w:t>Regulatory proposal</w:t>
      </w:r>
      <w:r w:rsidRPr="002C1ADF">
        <w:t xml:space="preserve">, January 2016, p. </w:t>
      </w:r>
      <w:r>
        <w:t>45</w:t>
      </w:r>
      <w:r w:rsidRPr="002C1ADF">
        <w:t>.</w:t>
      </w:r>
      <w:proofErr w:type="gramEnd"/>
    </w:p>
  </w:footnote>
  <w:footnote w:id="42">
    <w:p w:rsidR="00C54200" w:rsidRDefault="00C54200" w:rsidP="008C7B59">
      <w:pPr>
        <w:pStyle w:val="FootnoteText"/>
      </w:pPr>
      <w:r>
        <w:rPr>
          <w:rStyle w:val="FootnoteReference"/>
        </w:rPr>
        <w:footnoteRef/>
      </w:r>
      <w:r>
        <w:t xml:space="preserve"> </w:t>
      </w:r>
      <w:r>
        <w:tab/>
      </w:r>
      <w:proofErr w:type="gramStart"/>
      <w:r w:rsidRPr="002C1ADF">
        <w:t xml:space="preserve">Powerlink, </w:t>
      </w:r>
      <w:r w:rsidRPr="00BB76A9">
        <w:rPr>
          <w:rStyle w:val="AERtextitalic"/>
        </w:rPr>
        <w:t>Regulatory proposal</w:t>
      </w:r>
      <w:r w:rsidRPr="002C1ADF">
        <w:t xml:space="preserve">, January 2016, p. </w:t>
      </w:r>
      <w:r>
        <w:t>45</w:t>
      </w:r>
      <w:r w:rsidRPr="002C1ADF">
        <w:t>.</w:t>
      </w:r>
      <w:proofErr w:type="gramEnd"/>
    </w:p>
  </w:footnote>
  <w:footnote w:id="43">
    <w:p w:rsidR="00C54200" w:rsidRDefault="00C54200" w:rsidP="008C7B59">
      <w:pPr>
        <w:pStyle w:val="FootnoteText"/>
      </w:pPr>
      <w:r>
        <w:rPr>
          <w:rStyle w:val="FootnoteReference"/>
        </w:rPr>
        <w:footnoteRef/>
      </w:r>
      <w:r>
        <w:t xml:space="preserve"> </w:t>
      </w:r>
      <w:r>
        <w:tab/>
      </w:r>
      <w:proofErr w:type="gramStart"/>
      <w:r w:rsidRPr="002C1ADF">
        <w:t xml:space="preserve">Powerlink, </w:t>
      </w:r>
      <w:r w:rsidRPr="00BB76A9">
        <w:rPr>
          <w:rStyle w:val="AERtextitalic"/>
        </w:rPr>
        <w:t>Regulatory proposal</w:t>
      </w:r>
      <w:r w:rsidRPr="002C1ADF">
        <w:t xml:space="preserve">, January 2016, p. </w:t>
      </w:r>
      <w:r>
        <w:t>45</w:t>
      </w:r>
      <w:r w:rsidRPr="002C1ADF">
        <w:t>.</w:t>
      </w:r>
      <w:proofErr w:type="gramEnd"/>
    </w:p>
  </w:footnote>
  <w:footnote w:id="44">
    <w:p w:rsidR="00C54200" w:rsidRDefault="00C54200" w:rsidP="008C7B59">
      <w:pPr>
        <w:pStyle w:val="FootnoteText"/>
      </w:pPr>
      <w:r>
        <w:rPr>
          <w:rStyle w:val="FootnoteReference"/>
        </w:rPr>
        <w:footnoteRef/>
      </w:r>
      <w:r>
        <w:t xml:space="preserve"> </w:t>
      </w:r>
      <w:r>
        <w:tab/>
      </w:r>
      <w:proofErr w:type="gramStart"/>
      <w:r w:rsidRPr="002C1ADF">
        <w:t xml:space="preserve">Powerlink, </w:t>
      </w:r>
      <w:r w:rsidRPr="00BB76A9">
        <w:rPr>
          <w:rStyle w:val="AERtextitalic"/>
        </w:rPr>
        <w:t>Regulatory proposal</w:t>
      </w:r>
      <w:r w:rsidRPr="002C1ADF">
        <w:t xml:space="preserve">, January 2016, p. </w:t>
      </w:r>
      <w:r>
        <w:t>46</w:t>
      </w:r>
      <w:r w:rsidRPr="002C1ADF">
        <w:t>.</w:t>
      </w:r>
      <w:proofErr w:type="gramEnd"/>
    </w:p>
  </w:footnote>
  <w:footnote w:id="45">
    <w:p w:rsidR="00C54200" w:rsidRDefault="00C54200" w:rsidP="008C7B59">
      <w:pPr>
        <w:pStyle w:val="FootnoteText"/>
      </w:pPr>
      <w:r>
        <w:rPr>
          <w:rStyle w:val="FootnoteReference"/>
        </w:rPr>
        <w:footnoteRef/>
      </w:r>
      <w:r>
        <w:t xml:space="preserve"> </w:t>
      </w:r>
      <w:r>
        <w:tab/>
      </w:r>
      <w:proofErr w:type="gramStart"/>
      <w:r w:rsidRPr="002C1ADF">
        <w:t xml:space="preserve">Powerlink, </w:t>
      </w:r>
      <w:r w:rsidRPr="00BB76A9">
        <w:rPr>
          <w:rStyle w:val="AERtextitalic"/>
        </w:rPr>
        <w:t>Regulatory proposal</w:t>
      </w:r>
      <w:r w:rsidRPr="002C1ADF">
        <w:t xml:space="preserve">, January 2016, p. </w:t>
      </w:r>
      <w:r>
        <w:t>47</w:t>
      </w:r>
      <w:r w:rsidRPr="002C1ADF">
        <w:t>.</w:t>
      </w:r>
      <w:proofErr w:type="gramEnd"/>
    </w:p>
  </w:footnote>
  <w:footnote w:id="46">
    <w:p w:rsidR="00C54200" w:rsidRDefault="00C54200" w:rsidP="008C7B59">
      <w:pPr>
        <w:pStyle w:val="FootnoteText"/>
      </w:pPr>
      <w:r>
        <w:rPr>
          <w:rStyle w:val="FootnoteReference"/>
        </w:rPr>
        <w:footnoteRef/>
      </w:r>
      <w:r>
        <w:t xml:space="preserve"> </w:t>
      </w:r>
      <w:r>
        <w:tab/>
      </w:r>
      <w:proofErr w:type="gramStart"/>
      <w:r w:rsidRPr="002C1ADF">
        <w:t xml:space="preserve">Powerlink, </w:t>
      </w:r>
      <w:r w:rsidRPr="00BB76A9">
        <w:rPr>
          <w:rStyle w:val="AERtextitalic"/>
        </w:rPr>
        <w:t>Regulatory proposal</w:t>
      </w:r>
      <w:r w:rsidRPr="002C1ADF">
        <w:t xml:space="preserve">, January 2016, p. </w:t>
      </w:r>
      <w:r>
        <w:t>47</w:t>
      </w:r>
      <w:r w:rsidRPr="002C1ADF">
        <w:t>.</w:t>
      </w:r>
      <w:proofErr w:type="gramEnd"/>
    </w:p>
  </w:footnote>
  <w:footnote w:id="47">
    <w:p w:rsidR="00C54200" w:rsidRDefault="00C54200">
      <w:pPr>
        <w:pStyle w:val="FootnoteText"/>
      </w:pPr>
      <w:r>
        <w:rPr>
          <w:rStyle w:val="FootnoteReference"/>
        </w:rPr>
        <w:footnoteRef/>
      </w:r>
      <w:r>
        <w:t xml:space="preserve"> </w:t>
      </w:r>
      <w:r>
        <w:tab/>
        <w:t xml:space="preserve">NER, cl </w:t>
      </w:r>
      <w:proofErr w:type="gramStart"/>
      <w:r>
        <w:t>6A.6.7(</w:t>
      </w:r>
      <w:proofErr w:type="gramEnd"/>
      <w:r>
        <w:t>e)(4).</w:t>
      </w:r>
    </w:p>
  </w:footnote>
  <w:footnote w:id="48">
    <w:p w:rsidR="00C54200" w:rsidRDefault="00C54200" w:rsidP="008C7B59">
      <w:pPr>
        <w:pStyle w:val="FootnoteText"/>
      </w:pPr>
      <w:r>
        <w:rPr>
          <w:rStyle w:val="FootnoteReference"/>
        </w:rPr>
        <w:footnoteRef/>
      </w:r>
      <w:r>
        <w:t xml:space="preserve"> </w:t>
      </w:r>
      <w:r>
        <w:tab/>
      </w:r>
      <w:proofErr w:type="gramStart"/>
      <w:r w:rsidRPr="002C1ADF">
        <w:t xml:space="preserve">Powerlink, </w:t>
      </w:r>
      <w:r w:rsidRPr="00BB76A9">
        <w:rPr>
          <w:rStyle w:val="AERtextitalic"/>
        </w:rPr>
        <w:t>Regulatory proposal</w:t>
      </w:r>
      <w:r w:rsidRPr="002C1ADF">
        <w:t>, January 2016, p.</w:t>
      </w:r>
      <w:r>
        <w:t xml:space="preserve"> 33.</w:t>
      </w:r>
      <w:proofErr w:type="gramEnd"/>
      <w:r>
        <w:t xml:space="preserve"> </w:t>
      </w:r>
    </w:p>
  </w:footnote>
  <w:footnote w:id="49">
    <w:p w:rsidR="00C54200" w:rsidRDefault="00C54200" w:rsidP="008C7B59">
      <w:pPr>
        <w:pStyle w:val="FootnoteText"/>
      </w:pPr>
      <w:r>
        <w:rPr>
          <w:rStyle w:val="FootnoteReference"/>
        </w:rPr>
        <w:footnoteRef/>
      </w:r>
      <w:r>
        <w:t xml:space="preserve"> </w:t>
      </w:r>
      <w:r>
        <w:tab/>
        <w:t xml:space="preserve">Powerlink, </w:t>
      </w:r>
      <w:r w:rsidRPr="00640174">
        <w:rPr>
          <w:rStyle w:val="AERtextitalic"/>
        </w:rPr>
        <w:t>Re</w:t>
      </w:r>
      <w:r>
        <w:rPr>
          <w:rStyle w:val="AERtextitalic"/>
        </w:rPr>
        <w:t>venue</w:t>
      </w:r>
      <w:r w:rsidRPr="00640174">
        <w:rPr>
          <w:rStyle w:val="AERtextitalic"/>
        </w:rPr>
        <w:t xml:space="preserve"> proposal 201</w:t>
      </w:r>
      <w:r>
        <w:rPr>
          <w:rStyle w:val="AERtextitalic"/>
        </w:rPr>
        <w:t>7</w:t>
      </w:r>
      <w:r w:rsidRPr="00640174">
        <w:rPr>
          <w:rStyle w:val="AERtextitalic"/>
        </w:rPr>
        <w:t>–2</w:t>
      </w:r>
      <w:r>
        <w:rPr>
          <w:rStyle w:val="AERtextitalic"/>
        </w:rPr>
        <w:t>2</w:t>
      </w:r>
      <w:r>
        <w:t xml:space="preserve">, January 2016, p. </w:t>
      </w:r>
      <w:proofErr w:type="gramStart"/>
      <w:r>
        <w:t>iv</w:t>
      </w:r>
      <w:proofErr w:type="gramEnd"/>
      <w:r>
        <w:t>.</w:t>
      </w:r>
    </w:p>
  </w:footnote>
  <w:footnote w:id="50">
    <w:p w:rsidR="00C54200" w:rsidRDefault="00C54200" w:rsidP="008C7B59">
      <w:pPr>
        <w:pStyle w:val="FootnoteText"/>
      </w:pPr>
      <w:r>
        <w:rPr>
          <w:rStyle w:val="FootnoteReference"/>
        </w:rPr>
        <w:footnoteRef/>
      </w:r>
      <w:r>
        <w:t xml:space="preserve"> </w:t>
      </w:r>
      <w:r>
        <w:tab/>
        <w:t xml:space="preserve">Powerlink, </w:t>
      </w:r>
      <w:r w:rsidRPr="00781018">
        <w:rPr>
          <w:i/>
        </w:rPr>
        <w:t xml:space="preserve">Revenue Proposal </w:t>
      </w:r>
      <w:r>
        <w:rPr>
          <w:i/>
        </w:rPr>
        <w:t>2017-22</w:t>
      </w:r>
      <w:r>
        <w:t>, January 2016, p.57.</w:t>
      </w:r>
    </w:p>
  </w:footnote>
  <w:footnote w:id="51">
    <w:p w:rsidR="00C54200" w:rsidRDefault="00C54200" w:rsidP="008C7B59">
      <w:pPr>
        <w:pStyle w:val="FootnoteText"/>
      </w:pPr>
      <w:r>
        <w:rPr>
          <w:rStyle w:val="FootnoteReference"/>
        </w:rPr>
        <w:footnoteRef/>
      </w:r>
      <w:r>
        <w:t xml:space="preserve"> </w:t>
      </w:r>
      <w:r>
        <w:tab/>
        <w:t xml:space="preserve">Queensland Resources Council, </w:t>
      </w:r>
      <w:r w:rsidRPr="00C978A9">
        <w:rPr>
          <w:rStyle w:val="AERtextitalic"/>
        </w:rPr>
        <w:t>Submission on Powerlink Regulatory Proposal 2017–22</w:t>
      </w:r>
      <w:r>
        <w:t xml:space="preserve">, April 2016, p. 2. </w:t>
      </w:r>
    </w:p>
  </w:footnote>
  <w:footnote w:id="52">
    <w:p w:rsidR="00C54200" w:rsidRDefault="00C54200" w:rsidP="008C7B59">
      <w:pPr>
        <w:pStyle w:val="FootnoteText"/>
      </w:pPr>
      <w:r>
        <w:rPr>
          <w:rStyle w:val="FootnoteReference"/>
        </w:rPr>
        <w:footnoteRef/>
      </w:r>
      <w:r>
        <w:t xml:space="preserve"> </w:t>
      </w:r>
      <w:r>
        <w:tab/>
        <w:t xml:space="preserve">Queensland Resources Council, </w:t>
      </w:r>
      <w:r w:rsidRPr="001A524E">
        <w:rPr>
          <w:i/>
        </w:rPr>
        <w:t>Submission on Powerlink Regulatory Proposal 2017–22</w:t>
      </w:r>
      <w:r>
        <w:t xml:space="preserve">, April 2016, p. 2. </w:t>
      </w:r>
    </w:p>
  </w:footnote>
  <w:footnote w:id="53">
    <w:p w:rsidR="00C54200" w:rsidRDefault="00C54200" w:rsidP="008C7B59">
      <w:pPr>
        <w:pStyle w:val="FootnoteText"/>
      </w:pPr>
      <w:r>
        <w:rPr>
          <w:rStyle w:val="FootnoteReference"/>
        </w:rPr>
        <w:footnoteRef/>
      </w:r>
      <w:r>
        <w:t xml:space="preserve"> </w:t>
      </w:r>
      <w:r>
        <w:tab/>
        <w:t xml:space="preserve">Cotton Australia, </w:t>
      </w:r>
      <w:r w:rsidRPr="00C54200">
        <w:rPr>
          <w:rStyle w:val="Emphasis"/>
        </w:rPr>
        <w:t>Submission on Powerlink Regulatory Proposal 2017-22</w:t>
      </w:r>
      <w:r>
        <w:t xml:space="preserve">, May 2016, p.3. </w:t>
      </w:r>
    </w:p>
  </w:footnote>
  <w:footnote w:id="54">
    <w:p w:rsidR="00C54200" w:rsidRDefault="00C54200" w:rsidP="008C7B59">
      <w:pPr>
        <w:pStyle w:val="FootnoteText"/>
      </w:pPr>
      <w:r>
        <w:rPr>
          <w:rStyle w:val="FootnoteReference"/>
        </w:rPr>
        <w:footnoteRef/>
      </w:r>
      <w:r>
        <w:t xml:space="preserve"> </w:t>
      </w:r>
      <w:r>
        <w:tab/>
        <w:t xml:space="preserve">Cotton Australia, </w:t>
      </w:r>
      <w:r w:rsidRPr="001A524E">
        <w:rPr>
          <w:i/>
        </w:rPr>
        <w:t>Submission on Powerlink Regulatory Proposal 2017-22</w:t>
      </w:r>
      <w:r>
        <w:t xml:space="preserve">, May 2016, p.3. </w:t>
      </w:r>
    </w:p>
  </w:footnote>
  <w:footnote w:id="55">
    <w:p w:rsidR="00C54200" w:rsidRDefault="00C54200" w:rsidP="008C7B59">
      <w:pPr>
        <w:pStyle w:val="FootnoteText"/>
      </w:pPr>
      <w:r>
        <w:rPr>
          <w:rStyle w:val="FootnoteReference"/>
        </w:rPr>
        <w:footnoteRef/>
      </w:r>
      <w:r>
        <w:t xml:space="preserve"> </w:t>
      </w:r>
      <w:r>
        <w:tab/>
        <w:t xml:space="preserve">Cotton Australia, </w:t>
      </w:r>
      <w:r w:rsidRPr="001A524E">
        <w:rPr>
          <w:i/>
        </w:rPr>
        <w:t>Submission on Powerlink Regulatory Proposal 2017-22</w:t>
      </w:r>
      <w:r>
        <w:t xml:space="preserve">, May 2016, p.3. </w:t>
      </w:r>
    </w:p>
  </w:footnote>
  <w:footnote w:id="56">
    <w:p w:rsidR="00C54200" w:rsidRDefault="00C54200" w:rsidP="008C7B59">
      <w:pPr>
        <w:pStyle w:val="FootnoteText"/>
      </w:pPr>
      <w:r>
        <w:rPr>
          <w:rStyle w:val="FootnoteReference"/>
        </w:rPr>
        <w:footnoteRef/>
      </w:r>
      <w:r w:rsidRPr="00972028">
        <w:t xml:space="preserve"> </w:t>
      </w:r>
      <w:r>
        <w:tab/>
      </w:r>
      <w:r w:rsidRPr="00C54200">
        <w:t xml:space="preserve">CCP (Hugh Grant and David Headberry), </w:t>
      </w:r>
      <w:r w:rsidRPr="00C54200">
        <w:rPr>
          <w:rStyle w:val="Emphasis"/>
        </w:rPr>
        <w:t>Submission to the AER, Powerlink Queensland 2018–22 revenue proposal</w:t>
      </w:r>
      <w:r w:rsidRPr="00C54200">
        <w:t>, 20 June 2016</w:t>
      </w:r>
      <w:r>
        <w:t xml:space="preserve">, p.5. </w:t>
      </w:r>
    </w:p>
  </w:footnote>
  <w:footnote w:id="57">
    <w:p w:rsidR="00C54200" w:rsidRDefault="00C54200" w:rsidP="008C7B59">
      <w:pPr>
        <w:pStyle w:val="FootnoteText"/>
      </w:pPr>
      <w:r>
        <w:rPr>
          <w:rStyle w:val="FootnoteReference"/>
        </w:rPr>
        <w:footnoteRef/>
      </w:r>
      <w:r>
        <w:t xml:space="preserve"> </w:t>
      </w:r>
      <w:r>
        <w:tab/>
      </w:r>
      <w:r w:rsidRPr="00C54200">
        <w:t xml:space="preserve">CCP (Hugh Grant and David Headberry), </w:t>
      </w:r>
      <w:r w:rsidRPr="00C54200">
        <w:rPr>
          <w:rStyle w:val="Emphasis"/>
        </w:rPr>
        <w:t>Submission to the AER, Powerlink Queensland 2018–22 revenue proposal</w:t>
      </w:r>
      <w:r w:rsidRPr="00C54200">
        <w:t>, 20 June 2016</w:t>
      </w:r>
      <w:r>
        <w:t>, p. 21.</w:t>
      </w:r>
    </w:p>
  </w:footnote>
  <w:footnote w:id="58">
    <w:p w:rsidR="00C54200" w:rsidRDefault="00C54200" w:rsidP="008C7B59">
      <w:pPr>
        <w:pStyle w:val="FootnoteText"/>
      </w:pPr>
      <w:r>
        <w:rPr>
          <w:rStyle w:val="FootnoteReference"/>
        </w:rPr>
        <w:footnoteRef/>
      </w:r>
      <w:r>
        <w:t xml:space="preserve"> </w:t>
      </w:r>
      <w:r>
        <w:tab/>
      </w:r>
      <w:r w:rsidRPr="00C54200">
        <w:t xml:space="preserve">CCP (Hugh Grant and David Headberry), </w:t>
      </w:r>
      <w:r w:rsidRPr="00C54200">
        <w:rPr>
          <w:rStyle w:val="Emphasis"/>
        </w:rPr>
        <w:t>Submission to the AER, Powerlink Queensland 2018–22 revenue proposal</w:t>
      </w:r>
      <w:r w:rsidRPr="00C54200">
        <w:t>, 20 June 2016</w:t>
      </w:r>
      <w:r>
        <w:t xml:space="preserve">, p. 82. </w:t>
      </w:r>
    </w:p>
  </w:footnote>
  <w:footnote w:id="59">
    <w:p w:rsidR="00C54200" w:rsidRDefault="00C54200" w:rsidP="008C7B59">
      <w:pPr>
        <w:pStyle w:val="FootnoteText"/>
      </w:pPr>
      <w:r>
        <w:rPr>
          <w:rStyle w:val="FootnoteReference"/>
        </w:rPr>
        <w:footnoteRef/>
      </w:r>
      <w:r>
        <w:t xml:space="preserve"> </w:t>
      </w:r>
      <w:r>
        <w:tab/>
      </w:r>
      <w:r w:rsidRPr="00C54200">
        <w:t xml:space="preserve">CCP (Hugh Grant and David Headberry), </w:t>
      </w:r>
      <w:r w:rsidRPr="00C54200">
        <w:rPr>
          <w:rStyle w:val="Emphasis"/>
        </w:rPr>
        <w:t>Submission to the AER, Powerlink Queensland 2018–22 revenue proposal</w:t>
      </w:r>
      <w:r w:rsidRPr="00C54200">
        <w:t>, 20 June 2016</w:t>
      </w:r>
      <w:r>
        <w:t xml:space="preserve">, p. 57. </w:t>
      </w:r>
    </w:p>
  </w:footnote>
  <w:footnote w:id="60">
    <w:p w:rsidR="00C54200" w:rsidRDefault="00C54200" w:rsidP="008C7B59">
      <w:pPr>
        <w:pStyle w:val="FootnoteText"/>
      </w:pPr>
      <w:r>
        <w:rPr>
          <w:rStyle w:val="FootnoteReference"/>
        </w:rPr>
        <w:footnoteRef/>
      </w:r>
      <w:r>
        <w:t xml:space="preserve"> </w:t>
      </w:r>
      <w:r>
        <w:tab/>
        <w:t xml:space="preserve">Professor Simon Bartlett </w:t>
      </w:r>
      <w:proofErr w:type="gramStart"/>
      <w:r>
        <w:t>AM</w:t>
      </w:r>
      <w:proofErr w:type="gramEnd"/>
      <w:r>
        <w:t xml:space="preserve">, </w:t>
      </w:r>
      <w:r w:rsidRPr="001A524E">
        <w:rPr>
          <w:i/>
        </w:rPr>
        <w:t>Submission on Powerlink Queensland’s Revenue Application 2017-22</w:t>
      </w:r>
      <w:r>
        <w:t xml:space="preserve">, 28 April 2016, p.7. </w:t>
      </w:r>
    </w:p>
  </w:footnote>
  <w:footnote w:id="61">
    <w:p w:rsidR="00C54200" w:rsidRDefault="00C54200" w:rsidP="008C7B59">
      <w:pPr>
        <w:pStyle w:val="FootnoteText"/>
      </w:pPr>
      <w:r w:rsidRPr="00827169">
        <w:rPr>
          <w:rStyle w:val="FootnoteReference"/>
        </w:rPr>
        <w:footnoteRef/>
      </w:r>
      <w:r>
        <w:t xml:space="preserve"> </w:t>
      </w:r>
      <w:r>
        <w:tab/>
      </w:r>
      <w:proofErr w:type="gramStart"/>
      <w:r>
        <w:t xml:space="preserve">NER, </w:t>
      </w:r>
      <w:proofErr w:type="spellStart"/>
      <w:r>
        <w:t>cll</w:t>
      </w:r>
      <w:proofErr w:type="spellEnd"/>
      <w:r>
        <w:t>.</w:t>
      </w:r>
      <w:proofErr w:type="gramEnd"/>
      <w:r>
        <w:t xml:space="preserve"> 6.5.7</w:t>
      </w:r>
      <w:proofErr w:type="gramStart"/>
      <w:r>
        <w:t>(c)</w:t>
      </w:r>
      <w:proofErr w:type="gramEnd"/>
      <w:r>
        <w:t>, (d) and (e).</w:t>
      </w:r>
    </w:p>
  </w:footnote>
  <w:footnote w:id="62">
    <w:p w:rsidR="00C54200" w:rsidRDefault="00C54200" w:rsidP="008C7B59">
      <w:pPr>
        <w:pStyle w:val="FootnoteText"/>
      </w:pPr>
      <w:r>
        <w:rPr>
          <w:rStyle w:val="FootnoteReference"/>
        </w:rPr>
        <w:footnoteRef/>
      </w:r>
      <w:r>
        <w:t xml:space="preserve"> </w:t>
      </w:r>
      <w:r>
        <w:tab/>
        <w:t xml:space="preserve">Powerlink, </w:t>
      </w:r>
      <w:r w:rsidRPr="00477F79">
        <w:t>Revenue Proposal 2017-22</w:t>
      </w:r>
      <w:r>
        <w:t xml:space="preserve">, January 2016, p.15. </w:t>
      </w:r>
    </w:p>
  </w:footnote>
  <w:footnote w:id="63">
    <w:p w:rsidR="00C54200" w:rsidRDefault="00C54200" w:rsidP="008C7B59">
      <w:pPr>
        <w:pStyle w:val="FootnoteText"/>
      </w:pPr>
      <w:r>
        <w:rPr>
          <w:rStyle w:val="FootnoteReference"/>
        </w:rPr>
        <w:footnoteRef/>
      </w:r>
      <w:r>
        <w:t xml:space="preserve"> </w:t>
      </w:r>
      <w:r>
        <w:tab/>
      </w:r>
      <w:r w:rsidRPr="00D94CE4">
        <w:t>AER</w:t>
      </w:r>
      <w:r>
        <w:t>,</w:t>
      </w:r>
      <w:r w:rsidRPr="00D94CE4">
        <w:t xml:space="preserve"> </w:t>
      </w:r>
      <w:r w:rsidRPr="000B1BB8">
        <w:rPr>
          <w:rStyle w:val="AERtextitalic"/>
        </w:rPr>
        <w:t>Better regulation: Expenditure forecast assessment guideline for electricity transmission</w:t>
      </w:r>
      <w:r w:rsidRPr="00617804">
        <w:t>, November 2013</w:t>
      </w:r>
      <w:r>
        <w:t>,</w:t>
      </w:r>
      <w:r w:rsidRPr="00EB724C" w:rsidDel="00073F99">
        <w:t xml:space="preserve"> </w:t>
      </w:r>
      <w:r w:rsidRPr="00EB724C">
        <w:t>p.</w:t>
      </w:r>
      <w:r>
        <w:t>10.</w:t>
      </w:r>
    </w:p>
  </w:footnote>
  <w:footnote w:id="64">
    <w:p w:rsidR="00C54200" w:rsidRDefault="00C54200" w:rsidP="008C7B59">
      <w:pPr>
        <w:pStyle w:val="FootnoteText"/>
      </w:pPr>
      <w:r>
        <w:rPr>
          <w:rStyle w:val="FootnoteReference"/>
        </w:rPr>
        <w:footnoteRef/>
      </w:r>
      <w:r>
        <w:t xml:space="preserve"> </w:t>
      </w:r>
      <w:r>
        <w:tab/>
        <w:t xml:space="preserve">NER, cl. </w:t>
      </w:r>
      <w:proofErr w:type="gramStart"/>
      <w:r>
        <w:t>6A.6.7(</w:t>
      </w:r>
      <w:proofErr w:type="gramEnd"/>
      <w:r>
        <w:t>e)(4).</w:t>
      </w:r>
    </w:p>
  </w:footnote>
  <w:footnote w:id="65">
    <w:p w:rsidR="00C54200" w:rsidRDefault="00C54200" w:rsidP="008C7B59">
      <w:pPr>
        <w:pStyle w:val="FootnoteText"/>
      </w:pPr>
      <w:r>
        <w:rPr>
          <w:rStyle w:val="FootnoteReference"/>
        </w:rPr>
        <w:footnoteRef/>
      </w:r>
      <w:r>
        <w:t xml:space="preserve"> </w:t>
      </w:r>
      <w:r>
        <w:tab/>
        <w:t xml:space="preserve">AER, </w:t>
      </w:r>
      <w:r w:rsidRPr="00A7334E">
        <w:rPr>
          <w:rStyle w:val="AERtextitalic"/>
        </w:rPr>
        <w:t>Explanatory Statement: Expenditure Forecasting Assessment Guidelines</w:t>
      </w:r>
      <w:r>
        <w:t>, November 2013.</w:t>
      </w:r>
    </w:p>
  </w:footnote>
  <w:footnote w:id="66">
    <w:p w:rsidR="00C54200" w:rsidRDefault="00C54200" w:rsidP="008C7B59">
      <w:pPr>
        <w:pStyle w:val="FootnoteText"/>
      </w:pPr>
      <w:r>
        <w:rPr>
          <w:rStyle w:val="FootnoteReference"/>
        </w:rPr>
        <w:footnoteRef/>
      </w:r>
      <w:r>
        <w:t xml:space="preserve"> </w:t>
      </w:r>
      <w:r>
        <w:tab/>
        <w:t xml:space="preserve">NER, cl. </w:t>
      </w:r>
      <w:r w:rsidRPr="00FA1EB8">
        <w:t>6</w:t>
      </w:r>
      <w:r>
        <w:t>A.6.7</w:t>
      </w:r>
      <w:r w:rsidRPr="00FA1EB8">
        <w:t xml:space="preserve">(c) </w:t>
      </w:r>
    </w:p>
  </w:footnote>
  <w:footnote w:id="67">
    <w:p w:rsidR="00C54200" w:rsidRDefault="00C54200" w:rsidP="008C7B59">
      <w:pPr>
        <w:pStyle w:val="FootnoteText"/>
      </w:pPr>
      <w:r>
        <w:rPr>
          <w:rStyle w:val="FootnoteReference"/>
        </w:rPr>
        <w:footnoteRef/>
      </w:r>
      <w:r>
        <w:t xml:space="preserve"> </w:t>
      </w:r>
      <w:r>
        <w:tab/>
        <w:t xml:space="preserve">AEMC, </w:t>
      </w:r>
      <w:r w:rsidRPr="00A7334E">
        <w:rPr>
          <w:rStyle w:val="AERtextitalic"/>
        </w:rPr>
        <w:t>National Electricity Amendment (Economic Regulation of Network Service Providers) Rule 2012</w:t>
      </w:r>
      <w:r>
        <w:t>, November 2012, p. 25.</w:t>
      </w:r>
    </w:p>
  </w:footnote>
  <w:footnote w:id="68">
    <w:p w:rsidR="00C54200" w:rsidRDefault="00C54200" w:rsidP="008C7B59">
      <w:pPr>
        <w:pStyle w:val="FootnoteText"/>
      </w:pPr>
      <w:r>
        <w:rPr>
          <w:rStyle w:val="FootnoteReference"/>
        </w:rPr>
        <w:footnoteRef/>
      </w:r>
      <w:r>
        <w:t xml:space="preserve"> </w:t>
      </w:r>
      <w:r>
        <w:tab/>
        <w:t xml:space="preserve">See AEMC, </w:t>
      </w:r>
      <w:r w:rsidRPr="00A7334E">
        <w:rPr>
          <w:rStyle w:val="AERtextitalic"/>
        </w:rPr>
        <w:t>National Electricity Amendment (Economic Regulation of Network Service Providers) Rule 2012</w:t>
      </w:r>
      <w:r>
        <w:t xml:space="preserve">, November 2012, p.113. Exogenous factors could include geographic factors, customer factors, network factors and jurisdictional factors. </w:t>
      </w:r>
    </w:p>
  </w:footnote>
  <w:footnote w:id="69">
    <w:p w:rsidR="00C54200" w:rsidRDefault="00C54200" w:rsidP="008C7B59">
      <w:pPr>
        <w:pStyle w:val="FootnoteText"/>
      </w:pPr>
      <w:r>
        <w:rPr>
          <w:rStyle w:val="FootnoteReference"/>
        </w:rPr>
        <w:footnoteRef/>
      </w:r>
      <w:r>
        <w:t xml:space="preserve"> </w:t>
      </w:r>
      <w:r>
        <w:tab/>
        <w:t xml:space="preserve">AER, </w:t>
      </w:r>
      <w:r w:rsidRPr="00A7334E">
        <w:rPr>
          <w:rStyle w:val="AERtextitalic"/>
        </w:rPr>
        <w:t>Annual Benchmarking Report</w:t>
      </w:r>
      <w:r>
        <w:t>, 2014.</w:t>
      </w:r>
    </w:p>
  </w:footnote>
  <w:footnote w:id="70">
    <w:p w:rsidR="00C54200" w:rsidRDefault="00C54200" w:rsidP="008C7B59">
      <w:pPr>
        <w:pStyle w:val="FootnoteText"/>
      </w:pPr>
      <w:r>
        <w:rPr>
          <w:rStyle w:val="FootnoteReference"/>
        </w:rPr>
        <w:footnoteRef/>
      </w:r>
      <w:r>
        <w:t xml:space="preserve"> </w:t>
      </w:r>
      <w:r>
        <w:tab/>
        <w:t xml:space="preserve">NER, cl. </w:t>
      </w:r>
      <w:proofErr w:type="gramStart"/>
      <w:r>
        <w:t>6A.6.7(</w:t>
      </w:r>
      <w:proofErr w:type="gramEnd"/>
      <w:r>
        <w:t>e</w:t>
      </w:r>
      <w:r w:rsidRPr="00DE72A1">
        <w:t>)</w:t>
      </w:r>
      <w:r>
        <w:t>(5).</w:t>
      </w:r>
    </w:p>
  </w:footnote>
  <w:footnote w:id="71">
    <w:p w:rsidR="00C54200" w:rsidRDefault="00C54200" w:rsidP="008C7B59">
      <w:pPr>
        <w:pStyle w:val="FootnoteText"/>
      </w:pPr>
      <w:r>
        <w:rPr>
          <w:rStyle w:val="FootnoteReference"/>
        </w:rPr>
        <w:footnoteRef/>
      </w:r>
      <w:r>
        <w:t xml:space="preserve"> </w:t>
      </w:r>
      <w:r>
        <w:tab/>
        <w:t xml:space="preserve">NER, cl. </w:t>
      </w:r>
      <w:proofErr w:type="gramStart"/>
      <w:r>
        <w:t>6A.6.7(</w:t>
      </w:r>
      <w:proofErr w:type="gramEnd"/>
      <w:r>
        <w:t>a)(3).</w:t>
      </w:r>
    </w:p>
  </w:footnote>
  <w:footnote w:id="72">
    <w:p w:rsidR="00C54200" w:rsidRDefault="00C54200" w:rsidP="008C7B59">
      <w:pPr>
        <w:pStyle w:val="FootnoteText"/>
      </w:pPr>
      <w:r>
        <w:rPr>
          <w:rStyle w:val="FootnoteReference"/>
        </w:rPr>
        <w:footnoteRef/>
      </w:r>
      <w:r>
        <w:t xml:space="preserve"> </w:t>
      </w:r>
      <w:r>
        <w:tab/>
        <w:t xml:space="preserve">AER, </w:t>
      </w:r>
      <w:r w:rsidRPr="009751EB">
        <w:rPr>
          <w:rStyle w:val="AERtextitalic"/>
        </w:rPr>
        <w:t>Expenditure Forecasting Assessment Guideline</w:t>
      </w:r>
      <w:r>
        <w:t>, December 2013.</w:t>
      </w:r>
    </w:p>
  </w:footnote>
  <w:footnote w:id="73">
    <w:p w:rsidR="00C54200" w:rsidRDefault="00C54200" w:rsidP="008C7B59">
      <w:pPr>
        <w:pStyle w:val="FootnoteText"/>
      </w:pPr>
      <w:r>
        <w:rPr>
          <w:rStyle w:val="FootnoteReference"/>
        </w:rPr>
        <w:footnoteRef/>
      </w:r>
      <w:r>
        <w:t xml:space="preserve"> </w:t>
      </w:r>
      <w:r>
        <w:tab/>
      </w:r>
      <w:r w:rsidRPr="0056036D">
        <w:t xml:space="preserve">Powerlink, </w:t>
      </w:r>
      <w:r w:rsidRPr="0056036D">
        <w:rPr>
          <w:rStyle w:val="AERtextitalic"/>
        </w:rPr>
        <w:t xml:space="preserve">Revenue Proposal 2018-22, </w:t>
      </w:r>
      <w:r w:rsidRPr="0056036D">
        <w:t>January 2016, p.44</w:t>
      </w:r>
      <w:r>
        <w:t>.</w:t>
      </w:r>
    </w:p>
  </w:footnote>
  <w:footnote w:id="74">
    <w:p w:rsidR="00C54200" w:rsidRDefault="00C54200" w:rsidP="008C7B59">
      <w:pPr>
        <w:pStyle w:val="FootnoteText"/>
      </w:pPr>
      <w:r>
        <w:rPr>
          <w:rStyle w:val="FootnoteReference"/>
        </w:rPr>
        <w:footnoteRef/>
      </w:r>
      <w:r>
        <w:t xml:space="preserve"> </w:t>
      </w:r>
      <w:r>
        <w:tab/>
        <w:t xml:space="preserve">Powerlink, </w:t>
      </w:r>
      <w:r w:rsidRPr="007B2947">
        <w:rPr>
          <w:rStyle w:val="AERtextitalic"/>
        </w:rPr>
        <w:t>Revenue Proposal 2018-22</w:t>
      </w:r>
      <w:r>
        <w:t>, January 2016, p.77.</w:t>
      </w:r>
    </w:p>
  </w:footnote>
  <w:footnote w:id="75">
    <w:p w:rsidR="00C54200" w:rsidRDefault="00C54200" w:rsidP="008C7B59">
      <w:pPr>
        <w:pStyle w:val="FootnoteText"/>
      </w:pPr>
      <w:r>
        <w:rPr>
          <w:rStyle w:val="FootnoteReference"/>
        </w:rPr>
        <w:footnoteRef/>
      </w:r>
      <w:r>
        <w:t xml:space="preserve"> </w:t>
      </w:r>
      <w:r>
        <w:tab/>
        <w:t>NER, cl. 6.5.7(e</w:t>
      </w:r>
      <w:proofErr w:type="gramStart"/>
      <w:r>
        <w:t>)(</w:t>
      </w:r>
      <w:proofErr w:type="gramEnd"/>
      <w:r>
        <w:t>5).</w:t>
      </w:r>
    </w:p>
  </w:footnote>
  <w:footnote w:id="76">
    <w:p w:rsidR="00C54200" w:rsidRDefault="00C54200" w:rsidP="008C7B59">
      <w:pPr>
        <w:pStyle w:val="FootnoteText"/>
      </w:pPr>
      <w:r>
        <w:rPr>
          <w:rStyle w:val="FootnoteReference"/>
        </w:rPr>
        <w:footnoteRef/>
      </w:r>
      <w:r>
        <w:t xml:space="preserve"> </w:t>
      </w:r>
      <w:r>
        <w:tab/>
      </w:r>
      <w:proofErr w:type="gramStart"/>
      <w:r>
        <w:t xml:space="preserve">Powerlink, </w:t>
      </w:r>
      <w:r>
        <w:rPr>
          <w:rStyle w:val="AERtextitalic"/>
        </w:rPr>
        <w:t>Revenue proposal 2017–22</w:t>
      </w:r>
      <w:r>
        <w:t>, January</w:t>
      </w:r>
      <w:r w:rsidRPr="00640174">
        <w:t xml:space="preserve"> 201</w:t>
      </w:r>
      <w:r>
        <w:t>6, pp. 42-43.</w:t>
      </w:r>
      <w:proofErr w:type="gramEnd"/>
    </w:p>
  </w:footnote>
  <w:footnote w:id="77">
    <w:p w:rsidR="00C54200" w:rsidRDefault="00C54200" w:rsidP="008C7B59">
      <w:pPr>
        <w:pStyle w:val="FootnoteText"/>
      </w:pPr>
      <w:r>
        <w:rPr>
          <w:rStyle w:val="FootnoteReference"/>
        </w:rPr>
        <w:footnoteRef/>
      </w:r>
      <w:r>
        <w:t xml:space="preserve"> </w:t>
      </w:r>
      <w:r>
        <w:tab/>
        <w:t xml:space="preserve">NER, cl. </w:t>
      </w:r>
      <w:proofErr w:type="gramStart"/>
      <w:r>
        <w:t>6A.6.7(</w:t>
      </w:r>
      <w:proofErr w:type="gramEnd"/>
      <w:r>
        <w:t>e)(5).</w:t>
      </w:r>
    </w:p>
  </w:footnote>
  <w:footnote w:id="78">
    <w:p w:rsidR="00C54200" w:rsidRDefault="00C54200" w:rsidP="008C7B59">
      <w:pPr>
        <w:pStyle w:val="FootnoteText"/>
      </w:pPr>
      <w:r>
        <w:rPr>
          <w:rStyle w:val="FootnoteReference"/>
        </w:rPr>
        <w:footnoteRef/>
      </w:r>
      <w:r>
        <w:t xml:space="preserve"> </w:t>
      </w:r>
      <w:r>
        <w:tab/>
      </w:r>
      <w:proofErr w:type="gramStart"/>
      <w:r>
        <w:t xml:space="preserve">Powerlink, </w:t>
      </w:r>
      <w:r>
        <w:rPr>
          <w:rStyle w:val="AERtextitalic"/>
        </w:rPr>
        <w:t>Revenue proposal 2017–22</w:t>
      </w:r>
      <w:r>
        <w:t>, January</w:t>
      </w:r>
      <w:r w:rsidRPr="00640174">
        <w:t xml:space="preserve"> 201</w:t>
      </w:r>
      <w:r>
        <w:t>6, p. 52.</w:t>
      </w:r>
      <w:proofErr w:type="gramEnd"/>
    </w:p>
  </w:footnote>
  <w:footnote w:id="79">
    <w:p w:rsidR="00C54200" w:rsidRDefault="00C54200" w:rsidP="008C7B59">
      <w:pPr>
        <w:pStyle w:val="FootnoteText"/>
      </w:pPr>
      <w:r>
        <w:rPr>
          <w:rStyle w:val="FootnoteReference"/>
        </w:rPr>
        <w:footnoteRef/>
      </w:r>
      <w:r>
        <w:t xml:space="preserve"> </w:t>
      </w:r>
      <w:r>
        <w:tab/>
        <w:t xml:space="preserve">Powerlink, </w:t>
      </w:r>
      <w:r>
        <w:rPr>
          <w:rStyle w:val="AERtextitalic"/>
        </w:rPr>
        <w:t>Response to AER information request #004 follow up question, 20 June 2016, p. 1</w:t>
      </w:r>
      <w:r w:rsidRPr="008765EA">
        <w:t>.</w:t>
      </w:r>
    </w:p>
  </w:footnote>
  <w:footnote w:id="80">
    <w:p w:rsidR="00C54200" w:rsidRDefault="00C54200" w:rsidP="008C7B59">
      <w:pPr>
        <w:pStyle w:val="FootnoteText"/>
      </w:pPr>
      <w:r>
        <w:rPr>
          <w:rStyle w:val="FootnoteReference"/>
        </w:rPr>
        <w:footnoteRef/>
      </w:r>
      <w:r>
        <w:t xml:space="preserve"> </w:t>
      </w:r>
      <w:r>
        <w:tab/>
        <w:t xml:space="preserve">Powerlink, </w:t>
      </w:r>
      <w:r w:rsidRPr="009C30EE">
        <w:rPr>
          <w:rStyle w:val="AERtextitalic"/>
        </w:rPr>
        <w:t xml:space="preserve">Regulatory proposal, </w:t>
      </w:r>
      <w:r>
        <w:rPr>
          <w:rStyle w:val="AERtextitalic"/>
        </w:rPr>
        <w:t>Appendix 5.01 – Powerlink Queensland Operating and Capital Expenditure Criteria and Factors</w:t>
      </w:r>
      <w:r w:rsidRPr="009C30EE">
        <w:t xml:space="preserve">, </w:t>
      </w:r>
      <w:r>
        <w:t>December 2015, p. 10.</w:t>
      </w:r>
    </w:p>
  </w:footnote>
  <w:footnote w:id="81">
    <w:p w:rsidR="00C54200" w:rsidRDefault="00C54200" w:rsidP="008C7B59">
      <w:pPr>
        <w:pStyle w:val="FootnoteText"/>
      </w:pPr>
      <w:r>
        <w:rPr>
          <w:rStyle w:val="FootnoteReference"/>
        </w:rPr>
        <w:footnoteRef/>
      </w:r>
      <w:r>
        <w:t xml:space="preserve"> </w:t>
      </w:r>
      <w:r>
        <w:tab/>
        <w:t>Powerlink</w:t>
      </w:r>
      <w:r w:rsidRPr="008765EA">
        <w:t xml:space="preserve">, </w:t>
      </w:r>
      <w:r w:rsidRPr="0099359B">
        <w:rPr>
          <w:rStyle w:val="AERtextitalic"/>
        </w:rPr>
        <w:t>PQ0131 - AER/EMCa Site Visit Action Items 1</w:t>
      </w:r>
      <w:r w:rsidRPr="0099359B">
        <w:t>, 30 May</w:t>
      </w:r>
      <w:r w:rsidRPr="008765EA">
        <w:t xml:space="preserve"> 2016.</w:t>
      </w:r>
    </w:p>
  </w:footnote>
  <w:footnote w:id="82">
    <w:p w:rsidR="00C54200" w:rsidRDefault="00C54200" w:rsidP="008C7B59">
      <w:pPr>
        <w:pStyle w:val="FootnoteText"/>
      </w:pPr>
      <w:r>
        <w:rPr>
          <w:rStyle w:val="FootnoteReference"/>
        </w:rPr>
        <w:footnoteRef/>
      </w:r>
      <w:r>
        <w:t xml:space="preserve"> </w:t>
      </w:r>
      <w:r>
        <w:tab/>
        <w:t>The repex m</w:t>
      </w:r>
      <w:r w:rsidRPr="00140DA0">
        <w:t>odel is a predictive modelling tool that forecasts qua</w:t>
      </w:r>
      <w:r>
        <w:t xml:space="preserve">ntities of assets </w:t>
      </w:r>
      <w:r w:rsidRPr="00140DA0">
        <w:t>to be</w:t>
      </w:r>
      <w:r>
        <w:t xml:space="preserve"> </w:t>
      </w:r>
      <w:r w:rsidRPr="00140DA0">
        <w:t>replaced over time based on a mean replacement life and a profile of the quantities of assets and the years</w:t>
      </w:r>
      <w:r>
        <w:t xml:space="preserve"> </w:t>
      </w:r>
      <w:r w:rsidRPr="00140DA0">
        <w:t>they were installed.</w:t>
      </w:r>
      <w:r>
        <w:t xml:space="preserve"> </w:t>
      </w:r>
      <w:r w:rsidRPr="00140DA0">
        <w:t xml:space="preserve">The forecast is based on a probability distribution for each </w:t>
      </w:r>
      <w:r>
        <w:t xml:space="preserve">asset </w:t>
      </w:r>
      <w:r w:rsidRPr="00140DA0">
        <w:t>t</w:t>
      </w:r>
      <w:r>
        <w:t xml:space="preserve">ype that describes </w:t>
      </w:r>
      <w:r w:rsidRPr="00140DA0">
        <w:t>w</w:t>
      </w:r>
      <w:r>
        <w:t>hen those assets are likely</w:t>
      </w:r>
      <w:r w:rsidRPr="00140DA0">
        <w:t xml:space="preserve"> t</w:t>
      </w:r>
      <w:r>
        <w:t>o be replaced</w:t>
      </w:r>
      <w:r w:rsidRPr="00140DA0">
        <w:t>.</w:t>
      </w:r>
      <w:r>
        <w:t xml:space="preserve"> Powerlink is the first transmission network service provider to use the repex model to forecast capex in this way.</w:t>
      </w:r>
    </w:p>
  </w:footnote>
  <w:footnote w:id="83">
    <w:p w:rsidR="00C54200" w:rsidRDefault="00C54200" w:rsidP="008C7B59">
      <w:pPr>
        <w:pStyle w:val="FootnoteText"/>
      </w:pPr>
      <w:r>
        <w:rPr>
          <w:rStyle w:val="FootnoteReference"/>
        </w:rPr>
        <w:footnoteRef/>
      </w:r>
      <w:r>
        <w:t xml:space="preserve"> </w:t>
      </w:r>
      <w:r>
        <w:tab/>
        <w:t xml:space="preserve">Powerlink, </w:t>
      </w:r>
      <w:r w:rsidRPr="00167F38">
        <w:rPr>
          <w:rStyle w:val="AERtextitalic"/>
        </w:rPr>
        <w:t>Appendix 5.05 - Non-load driven network capital expenditure forecasting methodology</w:t>
      </w:r>
      <w:r>
        <w:t>, January 2016, p. 26.</w:t>
      </w:r>
    </w:p>
  </w:footnote>
  <w:footnote w:id="84">
    <w:p w:rsidR="00C54200" w:rsidRDefault="00C54200" w:rsidP="008C7B59">
      <w:pPr>
        <w:pStyle w:val="FootnoteText"/>
      </w:pPr>
      <w:r>
        <w:rPr>
          <w:rStyle w:val="FootnoteReference"/>
        </w:rPr>
        <w:footnoteRef/>
      </w:r>
      <w:r>
        <w:t xml:space="preserve"> </w:t>
      </w:r>
      <w:r>
        <w:tab/>
      </w:r>
      <w:proofErr w:type="gramStart"/>
      <w:r>
        <w:t xml:space="preserve">Powerlink, </w:t>
      </w:r>
      <w:r w:rsidRPr="00167F38">
        <w:rPr>
          <w:rStyle w:val="AERtextitalic"/>
        </w:rPr>
        <w:t>Revenue proposal</w:t>
      </w:r>
      <w:r>
        <w:t>, January 2016, p. 54.</w:t>
      </w:r>
      <w:proofErr w:type="gramEnd"/>
    </w:p>
  </w:footnote>
  <w:footnote w:id="85">
    <w:p w:rsidR="00C54200" w:rsidRDefault="00C54200" w:rsidP="008C7B59">
      <w:pPr>
        <w:pStyle w:val="FootnoteText"/>
      </w:pPr>
      <w:r>
        <w:rPr>
          <w:rStyle w:val="FootnoteReference"/>
        </w:rPr>
        <w:footnoteRef/>
      </w:r>
      <w:r>
        <w:t xml:space="preserve"> </w:t>
      </w:r>
      <w:r>
        <w:tab/>
      </w:r>
      <w:r w:rsidRPr="009B3E64">
        <w:t xml:space="preserve">Powerlink, </w:t>
      </w:r>
      <w:r w:rsidRPr="009B3E64">
        <w:rPr>
          <w:rStyle w:val="AERtextitalic"/>
        </w:rPr>
        <w:t>Appendix 5.05 - Non-load driven network capital expenditure forecasting methodology</w:t>
      </w:r>
      <w:r>
        <w:t xml:space="preserve">, January 2016, p. </w:t>
      </w:r>
      <w:proofErr w:type="spellStart"/>
      <w:r>
        <w:t>i</w:t>
      </w:r>
      <w:proofErr w:type="spellEnd"/>
      <w:r w:rsidRPr="009B3E64">
        <w:t>.</w:t>
      </w:r>
    </w:p>
  </w:footnote>
  <w:footnote w:id="86">
    <w:p w:rsidR="00C54200" w:rsidRDefault="00C54200" w:rsidP="008C7B59">
      <w:pPr>
        <w:pStyle w:val="FootnoteText"/>
      </w:pPr>
      <w:r>
        <w:rPr>
          <w:rStyle w:val="FootnoteReference"/>
        </w:rPr>
        <w:footnoteRef/>
      </w:r>
      <w:r>
        <w:t xml:space="preserve"> </w:t>
      </w:r>
      <w:r>
        <w:tab/>
      </w:r>
      <w:proofErr w:type="gramStart"/>
      <w:r>
        <w:t xml:space="preserve">Powerlink, </w:t>
      </w:r>
      <w:r w:rsidRPr="00946C75">
        <w:rPr>
          <w:rStyle w:val="AERtextitalic"/>
        </w:rPr>
        <w:t>Revenue proposal</w:t>
      </w:r>
      <w:r>
        <w:t>, January 2016, pp. 53-54.</w:t>
      </w:r>
      <w:proofErr w:type="gramEnd"/>
    </w:p>
  </w:footnote>
  <w:footnote w:id="87">
    <w:p w:rsidR="00C54200" w:rsidRDefault="00C54200" w:rsidP="008C7B59">
      <w:pPr>
        <w:pStyle w:val="FootnoteText"/>
      </w:pPr>
      <w:r>
        <w:rPr>
          <w:rStyle w:val="FootnoteReference"/>
        </w:rPr>
        <w:footnoteRef/>
      </w:r>
      <w:r>
        <w:t xml:space="preserve"> </w:t>
      </w:r>
      <w:r>
        <w:tab/>
      </w:r>
      <w:r w:rsidR="00E9650D">
        <w:t>CCP (Jo De Silva and David Headberry)</w:t>
      </w:r>
      <w:r>
        <w:t xml:space="preserve">, </w:t>
      </w:r>
      <w:r w:rsidR="00E9650D" w:rsidRPr="00E9650D">
        <w:rPr>
          <w:rStyle w:val="Emphasis"/>
        </w:rPr>
        <w:t xml:space="preserve">CCP4 Sub-Panel </w:t>
      </w:r>
      <w:r w:rsidRPr="00E9650D">
        <w:rPr>
          <w:rStyle w:val="Emphasis"/>
        </w:rPr>
        <w:t>Submission</w:t>
      </w:r>
      <w:r w:rsidR="00E9650D" w:rsidRPr="00E9650D">
        <w:rPr>
          <w:rStyle w:val="Emphasis"/>
        </w:rPr>
        <w:t>, Draft</w:t>
      </w:r>
      <w:r w:rsidR="00E9650D">
        <w:rPr>
          <w:rStyle w:val="AERtextitalic"/>
        </w:rPr>
        <w:t xml:space="preserve"> Powerlink framework and approach (F&amp;A)</w:t>
      </w:r>
      <w:r>
        <w:t>, 3 April 2015, p. 4.</w:t>
      </w:r>
    </w:p>
  </w:footnote>
  <w:footnote w:id="88">
    <w:p w:rsidR="00C54200" w:rsidRDefault="00C54200" w:rsidP="008C7B59">
      <w:pPr>
        <w:pStyle w:val="FootnoteText"/>
      </w:pPr>
      <w:r>
        <w:rPr>
          <w:rStyle w:val="FootnoteReference"/>
        </w:rPr>
        <w:footnoteRef/>
      </w:r>
      <w:r>
        <w:t xml:space="preserve"> </w:t>
      </w:r>
      <w:r>
        <w:tab/>
        <w:t xml:space="preserve">AER, </w:t>
      </w:r>
      <w:r w:rsidRPr="00AB4CDC">
        <w:rPr>
          <w:rStyle w:val="AERtextitalic"/>
        </w:rPr>
        <w:t>Final Framework and Approach for Powerlink</w:t>
      </w:r>
      <w:r>
        <w:t>, June 2015, p. 35.</w:t>
      </w:r>
    </w:p>
  </w:footnote>
  <w:footnote w:id="89">
    <w:p w:rsidR="00C54200" w:rsidRDefault="00C54200" w:rsidP="008C7B59">
      <w:pPr>
        <w:pStyle w:val="FootnoteText"/>
      </w:pPr>
      <w:r>
        <w:rPr>
          <w:rStyle w:val="FootnoteReference"/>
        </w:rPr>
        <w:footnoteRef/>
      </w:r>
      <w:r>
        <w:t xml:space="preserve"> </w:t>
      </w:r>
      <w:r>
        <w:tab/>
      </w:r>
      <w:r w:rsidR="00E9650D" w:rsidRPr="00E9650D">
        <w:t xml:space="preserve">CCP (Hugh Grant and David Headberry), </w:t>
      </w:r>
      <w:r w:rsidR="00E9650D" w:rsidRPr="00E9650D">
        <w:rPr>
          <w:rStyle w:val="Emphasis"/>
        </w:rPr>
        <w:t>Submission to the AER, Powerlink Queensland 2018–22 revenue proposal</w:t>
      </w:r>
      <w:r w:rsidR="00E9650D" w:rsidRPr="00E9650D">
        <w:t>, 20 June 2016</w:t>
      </w:r>
      <w:r w:rsidR="00E9650D">
        <w:t>, pp. 49–</w:t>
      </w:r>
      <w:r>
        <w:t>50.</w:t>
      </w:r>
    </w:p>
  </w:footnote>
  <w:footnote w:id="90">
    <w:p w:rsidR="00C54200" w:rsidRDefault="00C54200" w:rsidP="008C7B59">
      <w:pPr>
        <w:pStyle w:val="FootnoteText"/>
      </w:pPr>
      <w:r>
        <w:rPr>
          <w:rStyle w:val="FootnoteReference"/>
        </w:rPr>
        <w:footnoteRef/>
      </w:r>
      <w:r>
        <w:t xml:space="preserve"> </w:t>
      </w:r>
      <w:r>
        <w:tab/>
      </w:r>
      <w:r w:rsidRPr="00317DCA">
        <w:t xml:space="preserve">AER, </w:t>
      </w:r>
      <w:r w:rsidRPr="00167F38">
        <w:rPr>
          <w:rStyle w:val="AERtextitalic"/>
        </w:rPr>
        <w:t>Better regulation: Expenditure forecast assessment guideline for electricity transmission</w:t>
      </w:r>
      <w:r w:rsidRPr="00317DCA">
        <w:t>, November 2013.</w:t>
      </w:r>
    </w:p>
  </w:footnote>
  <w:footnote w:id="91">
    <w:p w:rsidR="00C54200" w:rsidRDefault="00C54200" w:rsidP="008C7B59">
      <w:pPr>
        <w:pStyle w:val="FootnoteText"/>
      </w:pPr>
      <w:r>
        <w:rPr>
          <w:rStyle w:val="FootnoteReference"/>
        </w:rPr>
        <w:footnoteRef/>
      </w:r>
      <w:r>
        <w:t xml:space="preserve"> </w:t>
      </w:r>
      <w:r>
        <w:tab/>
        <w:t xml:space="preserve">EMCa, </w:t>
      </w:r>
      <w:r w:rsidRPr="00167F38">
        <w:rPr>
          <w:rStyle w:val="AERtextitalic"/>
        </w:rPr>
        <w:t>Review of forecast non-load driven capital expenditure</w:t>
      </w:r>
      <w:r>
        <w:t>, July 2016.</w:t>
      </w:r>
    </w:p>
  </w:footnote>
  <w:footnote w:id="92">
    <w:p w:rsidR="00C54200" w:rsidRDefault="00C54200" w:rsidP="005D15EC">
      <w:pPr>
        <w:pStyle w:val="FootnoteText"/>
      </w:pPr>
      <w:r>
        <w:rPr>
          <w:rStyle w:val="FootnoteReference"/>
        </w:rPr>
        <w:footnoteRef/>
      </w:r>
      <w:r>
        <w:t xml:space="preserve"> </w:t>
      </w:r>
      <w:r>
        <w:tab/>
      </w:r>
      <w:proofErr w:type="gramStart"/>
      <w:r>
        <w:t xml:space="preserve">EMCa, </w:t>
      </w:r>
      <w:r w:rsidRPr="00167F38">
        <w:rPr>
          <w:rStyle w:val="AERtextitalic"/>
        </w:rPr>
        <w:t>Review of forecast non-load driven capital expenditure</w:t>
      </w:r>
      <w:r>
        <w:t>, July 2016,</w:t>
      </w:r>
      <w:r w:rsidRPr="00E65295">
        <w:t xml:space="preserve"> </w:t>
      </w:r>
      <w:r>
        <w:t>p. 35.</w:t>
      </w:r>
      <w:proofErr w:type="gramEnd"/>
    </w:p>
  </w:footnote>
  <w:footnote w:id="93">
    <w:p w:rsidR="00C54200" w:rsidRDefault="00C54200">
      <w:pPr>
        <w:pStyle w:val="FootnoteText"/>
      </w:pPr>
      <w:r>
        <w:rPr>
          <w:rStyle w:val="FootnoteReference"/>
        </w:rPr>
        <w:footnoteRef/>
      </w:r>
      <w:r>
        <w:t xml:space="preserve"> </w:t>
      </w:r>
      <w:r>
        <w:tab/>
      </w:r>
      <w:proofErr w:type="gramStart"/>
      <w:r>
        <w:t xml:space="preserve">EMCa, </w:t>
      </w:r>
      <w:r w:rsidRPr="00167F38">
        <w:rPr>
          <w:rStyle w:val="AERtextitalic"/>
        </w:rPr>
        <w:t>Review of forecast non-load driven capital expenditure</w:t>
      </w:r>
      <w:r>
        <w:t>, July 2016,</w:t>
      </w:r>
      <w:r w:rsidRPr="00E65295">
        <w:t xml:space="preserve"> </w:t>
      </w:r>
      <w:r>
        <w:t>pp. 28-29.</w:t>
      </w:r>
      <w:proofErr w:type="gramEnd"/>
    </w:p>
  </w:footnote>
  <w:footnote w:id="94">
    <w:p w:rsidR="00C54200" w:rsidRDefault="00C54200">
      <w:pPr>
        <w:pStyle w:val="FootnoteText"/>
      </w:pPr>
      <w:r>
        <w:rPr>
          <w:rStyle w:val="FootnoteReference"/>
        </w:rPr>
        <w:footnoteRef/>
      </w:r>
      <w:r>
        <w:t xml:space="preserve"> </w:t>
      </w:r>
      <w:r>
        <w:tab/>
      </w:r>
      <w:proofErr w:type="gramStart"/>
      <w:r>
        <w:t xml:space="preserve">EMCa, </w:t>
      </w:r>
      <w:r w:rsidRPr="00167F38">
        <w:rPr>
          <w:rStyle w:val="AERtextitalic"/>
        </w:rPr>
        <w:t>Review of forecast non-load driven capital expenditure</w:t>
      </w:r>
      <w:r>
        <w:t>, July 2016,</w:t>
      </w:r>
      <w:r w:rsidRPr="00E65295">
        <w:t xml:space="preserve"> </w:t>
      </w:r>
      <w:r>
        <w:t>p. 32.</w:t>
      </w:r>
      <w:proofErr w:type="gramEnd"/>
    </w:p>
  </w:footnote>
  <w:footnote w:id="95">
    <w:p w:rsidR="00C54200" w:rsidRDefault="00C54200">
      <w:pPr>
        <w:pStyle w:val="FootnoteText"/>
      </w:pPr>
      <w:r>
        <w:rPr>
          <w:rStyle w:val="FootnoteReference"/>
        </w:rPr>
        <w:footnoteRef/>
      </w:r>
      <w:r>
        <w:t xml:space="preserve"> </w:t>
      </w:r>
      <w:r>
        <w:tab/>
      </w:r>
      <w:proofErr w:type="gramStart"/>
      <w:r>
        <w:t xml:space="preserve">EMCa, </w:t>
      </w:r>
      <w:r w:rsidRPr="00167F38">
        <w:rPr>
          <w:rStyle w:val="AERtextitalic"/>
        </w:rPr>
        <w:t>Review of forecast non-load driven capital expenditure</w:t>
      </w:r>
      <w:r>
        <w:t>, July 2016,</w:t>
      </w:r>
      <w:r w:rsidRPr="00E65295">
        <w:t xml:space="preserve"> </w:t>
      </w:r>
      <w:r>
        <w:t>pp. 31-32.</w:t>
      </w:r>
      <w:proofErr w:type="gramEnd"/>
    </w:p>
  </w:footnote>
  <w:footnote w:id="96">
    <w:p w:rsidR="00C54200" w:rsidRDefault="00C54200" w:rsidP="008C7B59">
      <w:pPr>
        <w:pStyle w:val="FootnoteText"/>
      </w:pPr>
      <w:r>
        <w:rPr>
          <w:rStyle w:val="FootnoteReference"/>
        </w:rPr>
        <w:footnoteRef/>
      </w:r>
      <w:r>
        <w:t xml:space="preserve"> </w:t>
      </w:r>
      <w:r>
        <w:tab/>
      </w:r>
      <w:proofErr w:type="gramStart"/>
      <w:r>
        <w:t xml:space="preserve">EMCa, </w:t>
      </w:r>
      <w:r w:rsidRPr="00946C75">
        <w:rPr>
          <w:rStyle w:val="AERtextitalic"/>
        </w:rPr>
        <w:t>Review of forecast non-load driven capital expenditure</w:t>
      </w:r>
      <w:r>
        <w:t>, July 2016, p. 38.</w:t>
      </w:r>
      <w:proofErr w:type="gramEnd"/>
    </w:p>
  </w:footnote>
  <w:footnote w:id="97">
    <w:p w:rsidR="00C54200" w:rsidRDefault="00C54200">
      <w:pPr>
        <w:pStyle w:val="FootnoteText"/>
      </w:pPr>
      <w:r>
        <w:rPr>
          <w:rStyle w:val="FootnoteReference"/>
        </w:rPr>
        <w:footnoteRef/>
      </w:r>
      <w:r>
        <w:t xml:space="preserve"> </w:t>
      </w:r>
      <w:r>
        <w:tab/>
      </w:r>
      <w:proofErr w:type="gramStart"/>
      <w:r>
        <w:t xml:space="preserve">EMCa, </w:t>
      </w:r>
      <w:r w:rsidRPr="00167F38">
        <w:rPr>
          <w:rStyle w:val="AERtextitalic"/>
        </w:rPr>
        <w:t>Review of forecast non-load driven capital expenditure</w:t>
      </w:r>
      <w:r>
        <w:t>, July 2016,</w:t>
      </w:r>
      <w:r w:rsidRPr="00E65295">
        <w:t xml:space="preserve"> </w:t>
      </w:r>
      <w:r>
        <w:t>p. 29.</w:t>
      </w:r>
      <w:proofErr w:type="gramEnd"/>
    </w:p>
  </w:footnote>
  <w:footnote w:id="98">
    <w:p w:rsidR="00C54200" w:rsidRDefault="00C54200">
      <w:pPr>
        <w:pStyle w:val="FootnoteText"/>
      </w:pPr>
      <w:r>
        <w:rPr>
          <w:rStyle w:val="FootnoteReference"/>
        </w:rPr>
        <w:footnoteRef/>
      </w:r>
      <w:r>
        <w:t xml:space="preserve"> </w:t>
      </w:r>
      <w:r>
        <w:tab/>
      </w:r>
      <w:proofErr w:type="gramStart"/>
      <w:r>
        <w:t xml:space="preserve">EMCa, </w:t>
      </w:r>
      <w:r w:rsidRPr="00167F38">
        <w:rPr>
          <w:rStyle w:val="AERtextitalic"/>
        </w:rPr>
        <w:t>Review of forecast non-load driven capital expenditure</w:t>
      </w:r>
      <w:r>
        <w:t>, July 2016,</w:t>
      </w:r>
      <w:r w:rsidRPr="00E65295">
        <w:t xml:space="preserve"> </w:t>
      </w:r>
      <w:r>
        <w:t>p. 39.</w:t>
      </w:r>
      <w:proofErr w:type="gramEnd"/>
    </w:p>
  </w:footnote>
  <w:footnote w:id="99">
    <w:p w:rsidR="00C54200" w:rsidRDefault="00C54200">
      <w:pPr>
        <w:pStyle w:val="FootnoteText"/>
      </w:pPr>
      <w:r>
        <w:rPr>
          <w:rStyle w:val="FootnoteReference"/>
        </w:rPr>
        <w:footnoteRef/>
      </w:r>
      <w:r>
        <w:t xml:space="preserve"> </w:t>
      </w:r>
      <w:r>
        <w:tab/>
      </w:r>
      <w:proofErr w:type="gramStart"/>
      <w:r>
        <w:t xml:space="preserve">EMCa, </w:t>
      </w:r>
      <w:r w:rsidRPr="00167F38">
        <w:rPr>
          <w:rStyle w:val="AERtextitalic"/>
        </w:rPr>
        <w:t>Review of forecast non-load driven capital expenditure</w:t>
      </w:r>
      <w:r>
        <w:t>, July 2016,</w:t>
      </w:r>
      <w:r w:rsidRPr="00E65295">
        <w:t xml:space="preserve"> </w:t>
      </w:r>
      <w:r>
        <w:t>p. 39.</w:t>
      </w:r>
      <w:proofErr w:type="gramEnd"/>
    </w:p>
  </w:footnote>
  <w:footnote w:id="100">
    <w:p w:rsidR="00C54200" w:rsidRDefault="00C54200">
      <w:pPr>
        <w:pStyle w:val="FootnoteText"/>
      </w:pPr>
      <w:r>
        <w:rPr>
          <w:rStyle w:val="FootnoteReference"/>
        </w:rPr>
        <w:footnoteRef/>
      </w:r>
      <w:r>
        <w:t xml:space="preserve"> </w:t>
      </w:r>
      <w:r>
        <w:tab/>
      </w:r>
      <w:proofErr w:type="gramStart"/>
      <w:r>
        <w:t xml:space="preserve">EMCa, </w:t>
      </w:r>
      <w:r w:rsidRPr="00167F38">
        <w:rPr>
          <w:rStyle w:val="AERtextitalic"/>
        </w:rPr>
        <w:t>Review of forecast non-load driven capital expenditure</w:t>
      </w:r>
      <w:r>
        <w:t>, July 2016,</w:t>
      </w:r>
      <w:r w:rsidRPr="00E65295">
        <w:t xml:space="preserve"> </w:t>
      </w:r>
      <w:r>
        <w:t>p. 39.</w:t>
      </w:r>
      <w:proofErr w:type="gramEnd"/>
    </w:p>
  </w:footnote>
  <w:footnote w:id="101">
    <w:p w:rsidR="00C54200" w:rsidRDefault="00C54200" w:rsidP="008C7B59">
      <w:pPr>
        <w:pStyle w:val="FootnoteText"/>
      </w:pPr>
      <w:r>
        <w:rPr>
          <w:rStyle w:val="FootnoteReference"/>
        </w:rPr>
        <w:footnoteRef/>
      </w:r>
      <w:r>
        <w:t xml:space="preserve"> </w:t>
      </w:r>
      <w:r>
        <w:tab/>
      </w:r>
      <w:proofErr w:type="gramStart"/>
      <w:r>
        <w:t xml:space="preserve">AER, </w:t>
      </w:r>
      <w:r w:rsidRPr="00167F38">
        <w:rPr>
          <w:rStyle w:val="AERtextitalic"/>
        </w:rPr>
        <w:t>Electricity network service providers - replacement model handbook</w:t>
      </w:r>
      <w:r>
        <w:t>, December 2011, pp. 6-9.</w:t>
      </w:r>
      <w:proofErr w:type="gramEnd"/>
    </w:p>
  </w:footnote>
  <w:footnote w:id="102">
    <w:p w:rsidR="00C54200" w:rsidRDefault="00C54200" w:rsidP="008C7B59">
      <w:pPr>
        <w:pStyle w:val="FootnoteText"/>
      </w:pPr>
      <w:r>
        <w:rPr>
          <w:rStyle w:val="FootnoteReference"/>
        </w:rPr>
        <w:footnoteRef/>
      </w:r>
      <w:r>
        <w:t xml:space="preserve"> </w:t>
      </w:r>
      <w:r>
        <w:tab/>
      </w:r>
      <w:proofErr w:type="gramStart"/>
      <w:r>
        <w:t xml:space="preserve">Powerlink, </w:t>
      </w:r>
      <w:r w:rsidRPr="00167F38">
        <w:rPr>
          <w:rStyle w:val="AERtextitalic"/>
        </w:rPr>
        <w:t>Appendix 5.04 Nuttall Consulting Forecasting Methodology Review</w:t>
      </w:r>
      <w:r>
        <w:t>, 9 November 2015, pp. 4 and 9.</w:t>
      </w:r>
      <w:proofErr w:type="gramEnd"/>
      <w:r>
        <w:t xml:space="preserve">  </w:t>
      </w:r>
    </w:p>
  </w:footnote>
  <w:footnote w:id="103">
    <w:p w:rsidR="00C54200" w:rsidRDefault="00C54200" w:rsidP="008C7B59">
      <w:pPr>
        <w:pStyle w:val="FootnoteText"/>
      </w:pPr>
      <w:r>
        <w:rPr>
          <w:rStyle w:val="FootnoteReference"/>
        </w:rPr>
        <w:footnoteRef/>
      </w:r>
      <w:r>
        <w:t xml:space="preserve"> </w:t>
      </w:r>
      <w:r>
        <w:tab/>
        <w:t xml:space="preserve">EMCa, </w:t>
      </w:r>
      <w:r w:rsidRPr="00946C75">
        <w:rPr>
          <w:rStyle w:val="AERtextitalic"/>
        </w:rPr>
        <w:t>Review of forecast non-load driven capital expenditure</w:t>
      </w:r>
      <w:r>
        <w:rPr>
          <w:rStyle w:val="AERtextitalic"/>
        </w:rPr>
        <w:t xml:space="preserve"> - addendum report</w:t>
      </w:r>
      <w:r>
        <w:t>, August 2016.</w:t>
      </w:r>
    </w:p>
  </w:footnote>
  <w:footnote w:id="104">
    <w:p w:rsidR="00C54200" w:rsidRDefault="00C54200" w:rsidP="008C7B59">
      <w:pPr>
        <w:pStyle w:val="FootnoteText"/>
      </w:pPr>
      <w:r>
        <w:rPr>
          <w:rStyle w:val="FootnoteReference"/>
        </w:rPr>
        <w:footnoteRef/>
      </w:r>
      <w:r>
        <w:t xml:space="preserve"> </w:t>
      </w:r>
      <w:r>
        <w:tab/>
      </w:r>
      <w:proofErr w:type="gramStart"/>
      <w:r>
        <w:t xml:space="preserve">EMCa, </w:t>
      </w:r>
      <w:r w:rsidRPr="00946C75">
        <w:rPr>
          <w:rStyle w:val="AERtextitalic"/>
        </w:rPr>
        <w:t>Review of forecast non-load driven capital expenditure</w:t>
      </w:r>
      <w:r>
        <w:rPr>
          <w:rStyle w:val="AERtextitalic"/>
        </w:rPr>
        <w:t xml:space="preserve"> - addendum report</w:t>
      </w:r>
      <w:r>
        <w:t>, August 2016, pp. 7-13.</w:t>
      </w:r>
      <w:proofErr w:type="gramEnd"/>
    </w:p>
  </w:footnote>
  <w:footnote w:id="105">
    <w:p w:rsidR="00C54200" w:rsidRDefault="00C54200" w:rsidP="008C7B59">
      <w:pPr>
        <w:pStyle w:val="FootnoteText"/>
      </w:pPr>
      <w:r>
        <w:rPr>
          <w:rStyle w:val="FootnoteReference"/>
        </w:rPr>
        <w:footnoteRef/>
      </w:r>
      <w:r>
        <w:t xml:space="preserve"> </w:t>
      </w:r>
      <w:r>
        <w:tab/>
      </w:r>
      <w:proofErr w:type="gramStart"/>
      <w:r>
        <w:t xml:space="preserve">EMCa, </w:t>
      </w:r>
      <w:r w:rsidRPr="00946C75">
        <w:rPr>
          <w:rStyle w:val="AERtextitalic"/>
        </w:rPr>
        <w:t>Review of forecast non-load driven capital expenditure</w:t>
      </w:r>
      <w:r>
        <w:rPr>
          <w:rStyle w:val="AERtextitalic"/>
        </w:rPr>
        <w:t xml:space="preserve"> - addendum report</w:t>
      </w:r>
      <w:r>
        <w:t>, August 2016, pp. 18-25.</w:t>
      </w:r>
      <w:proofErr w:type="gramEnd"/>
    </w:p>
  </w:footnote>
  <w:footnote w:id="106">
    <w:p w:rsidR="00C54200" w:rsidRDefault="00C54200" w:rsidP="008C7B59">
      <w:pPr>
        <w:pStyle w:val="FootnoteText"/>
      </w:pPr>
      <w:r>
        <w:rPr>
          <w:rStyle w:val="FootnoteReference"/>
        </w:rPr>
        <w:footnoteRef/>
      </w:r>
      <w:r>
        <w:t xml:space="preserve"> </w:t>
      </w:r>
      <w:r>
        <w:tab/>
      </w:r>
      <w:proofErr w:type="gramStart"/>
      <w:r>
        <w:t xml:space="preserve">EMCa, </w:t>
      </w:r>
      <w:r w:rsidRPr="00946C75">
        <w:rPr>
          <w:rStyle w:val="AERtextitalic"/>
        </w:rPr>
        <w:t>Review of forecast non-load driven capital expenditure</w:t>
      </w:r>
      <w:r>
        <w:rPr>
          <w:rStyle w:val="AERtextitalic"/>
        </w:rPr>
        <w:t xml:space="preserve"> - addendum report</w:t>
      </w:r>
      <w:r>
        <w:t>, August 2016, pp. 26-32.</w:t>
      </w:r>
      <w:proofErr w:type="gramEnd"/>
    </w:p>
  </w:footnote>
  <w:footnote w:id="107">
    <w:p w:rsidR="00C54200" w:rsidRDefault="00C54200" w:rsidP="008C7B59">
      <w:pPr>
        <w:pStyle w:val="FootnoteText"/>
      </w:pPr>
      <w:r>
        <w:rPr>
          <w:rStyle w:val="FootnoteReference"/>
        </w:rPr>
        <w:footnoteRef/>
      </w:r>
      <w:r>
        <w:t xml:space="preserve"> </w:t>
      </w:r>
      <w:r>
        <w:tab/>
      </w:r>
      <w:proofErr w:type="gramStart"/>
      <w:r>
        <w:t>NER, cl. 6A.6.7(c).</w:t>
      </w:r>
      <w:proofErr w:type="gramEnd"/>
    </w:p>
  </w:footnote>
  <w:footnote w:id="108">
    <w:p w:rsidR="00C54200" w:rsidRDefault="00C54200" w:rsidP="008C7B59">
      <w:pPr>
        <w:pStyle w:val="FootnoteText"/>
      </w:pPr>
      <w:r>
        <w:rPr>
          <w:rStyle w:val="FootnoteReference"/>
        </w:rPr>
        <w:footnoteRef/>
      </w:r>
      <w:r>
        <w:t xml:space="preserve"> </w:t>
      </w:r>
      <w:r>
        <w:tab/>
        <w:t xml:space="preserve">EMCa, </w:t>
      </w:r>
      <w:r w:rsidRPr="00946C75">
        <w:rPr>
          <w:rStyle w:val="AERtextitalic"/>
        </w:rPr>
        <w:t>Review of forecast non-load driven capital expenditure</w:t>
      </w:r>
      <w:r>
        <w:t xml:space="preserve">, July 2016, pp. 20-21; and Powerlink, </w:t>
      </w:r>
      <w:r w:rsidRPr="00E00748">
        <w:rPr>
          <w:rStyle w:val="AERtextitalic"/>
        </w:rPr>
        <w:t>Response to AER information request #017 - part 2</w:t>
      </w:r>
      <w:r>
        <w:t xml:space="preserve">, 9 August 2016, pp. 3-7. </w:t>
      </w:r>
    </w:p>
  </w:footnote>
  <w:footnote w:id="109">
    <w:p w:rsidR="00C54200" w:rsidRDefault="00C54200" w:rsidP="008C7B59">
      <w:pPr>
        <w:pStyle w:val="FootnoteText"/>
      </w:pPr>
      <w:r>
        <w:rPr>
          <w:rStyle w:val="FootnoteReference"/>
        </w:rPr>
        <w:footnoteRef/>
      </w:r>
      <w:r>
        <w:t xml:space="preserve"> </w:t>
      </w:r>
      <w:r>
        <w:tab/>
      </w:r>
      <w:proofErr w:type="gramStart"/>
      <w:r>
        <w:t xml:space="preserve">Powerlink, </w:t>
      </w:r>
      <w:r w:rsidRPr="00363951">
        <w:rPr>
          <w:rStyle w:val="AERtextitalic"/>
        </w:rPr>
        <w:t>Revenue proposal</w:t>
      </w:r>
      <w:r>
        <w:t>, January 2016, p. 25.</w:t>
      </w:r>
      <w:proofErr w:type="gramEnd"/>
    </w:p>
  </w:footnote>
  <w:footnote w:id="110">
    <w:p w:rsidR="00C54200" w:rsidRDefault="00C54200" w:rsidP="00C93282">
      <w:pPr>
        <w:pStyle w:val="FootnoteText"/>
      </w:pPr>
      <w:r>
        <w:rPr>
          <w:rStyle w:val="FootnoteReference"/>
        </w:rPr>
        <w:footnoteRef/>
      </w:r>
      <w:r>
        <w:t xml:space="preserve"> </w:t>
      </w:r>
      <w:r>
        <w:tab/>
      </w:r>
      <w:proofErr w:type="gramStart"/>
      <w:r>
        <w:t xml:space="preserve">EMCa, </w:t>
      </w:r>
      <w:r w:rsidRPr="00946C75">
        <w:rPr>
          <w:rStyle w:val="AERtextitalic"/>
        </w:rPr>
        <w:t>Review of forecast non-load driven capital expenditure</w:t>
      </w:r>
      <w:r>
        <w:rPr>
          <w:rStyle w:val="AERtextitalic"/>
        </w:rPr>
        <w:t xml:space="preserve"> - addendum report</w:t>
      </w:r>
      <w:r>
        <w:t>, August 2016, p. 34.</w:t>
      </w:r>
      <w:proofErr w:type="gramEnd"/>
    </w:p>
  </w:footnote>
  <w:footnote w:id="111">
    <w:p w:rsidR="00C54200" w:rsidRDefault="00C54200" w:rsidP="008C7B59">
      <w:pPr>
        <w:pStyle w:val="FootnoteText"/>
      </w:pPr>
      <w:r>
        <w:rPr>
          <w:rStyle w:val="FootnoteReference"/>
        </w:rPr>
        <w:footnoteRef/>
      </w:r>
      <w:r>
        <w:t xml:space="preserve"> </w:t>
      </w:r>
      <w:r>
        <w:tab/>
      </w:r>
      <w:proofErr w:type="gramStart"/>
      <w:r>
        <w:t xml:space="preserve">Powerlink, </w:t>
      </w:r>
      <w:r w:rsidRPr="00363951">
        <w:rPr>
          <w:rStyle w:val="AERtextitalic"/>
        </w:rPr>
        <w:t>Revenue proposal</w:t>
      </w:r>
      <w:r>
        <w:t>, January 2016, p. 56.</w:t>
      </w:r>
      <w:proofErr w:type="gramEnd"/>
    </w:p>
  </w:footnote>
  <w:footnote w:id="112">
    <w:p w:rsidR="00C54200" w:rsidRDefault="00C54200" w:rsidP="008C7B59">
      <w:pPr>
        <w:pStyle w:val="FootnoteText"/>
      </w:pPr>
      <w:r>
        <w:rPr>
          <w:rStyle w:val="FootnoteReference"/>
        </w:rPr>
        <w:footnoteRef/>
      </w:r>
      <w:r>
        <w:t xml:space="preserve"> </w:t>
      </w:r>
      <w:r>
        <w:tab/>
      </w:r>
      <w:proofErr w:type="gramStart"/>
      <w:r>
        <w:t xml:space="preserve">EMCa, </w:t>
      </w:r>
      <w:r w:rsidRPr="00946C75">
        <w:rPr>
          <w:rStyle w:val="AERtextitalic"/>
        </w:rPr>
        <w:t>Review of forecast non-load driven capital expenditure</w:t>
      </w:r>
      <w:r>
        <w:rPr>
          <w:rStyle w:val="AERtextitalic"/>
        </w:rPr>
        <w:t xml:space="preserve"> - addendum report</w:t>
      </w:r>
      <w:r>
        <w:t>, August 2016, p. 37.</w:t>
      </w:r>
      <w:proofErr w:type="gramEnd"/>
    </w:p>
  </w:footnote>
  <w:footnote w:id="113">
    <w:p w:rsidR="00C54200" w:rsidRDefault="00C54200">
      <w:pPr>
        <w:pStyle w:val="FootnoteText"/>
      </w:pPr>
      <w:r>
        <w:rPr>
          <w:rStyle w:val="FootnoteReference"/>
        </w:rPr>
        <w:footnoteRef/>
      </w:r>
      <w:r>
        <w:t xml:space="preserve"> </w:t>
      </w:r>
      <w:r>
        <w:tab/>
        <w:t>The standard deviation is a measure that quantifies the amount of variation in a data set.</w:t>
      </w:r>
    </w:p>
  </w:footnote>
  <w:footnote w:id="114">
    <w:p w:rsidR="00C54200" w:rsidRDefault="00C54200" w:rsidP="008C7B59">
      <w:pPr>
        <w:pStyle w:val="FootnoteText"/>
      </w:pPr>
      <w:r>
        <w:rPr>
          <w:rStyle w:val="FootnoteReference"/>
        </w:rPr>
        <w:footnoteRef/>
      </w:r>
      <w:r>
        <w:t xml:space="preserve"> </w:t>
      </w:r>
      <w:r>
        <w:tab/>
      </w:r>
      <w:proofErr w:type="gramStart"/>
      <w:r>
        <w:t xml:space="preserve">EMCa, </w:t>
      </w:r>
      <w:r w:rsidRPr="00946C75">
        <w:rPr>
          <w:rStyle w:val="AERtextitalic"/>
        </w:rPr>
        <w:t>Review of forecast non-load driven capital expenditure</w:t>
      </w:r>
      <w:r>
        <w:rPr>
          <w:rStyle w:val="AERtextitalic"/>
        </w:rPr>
        <w:t xml:space="preserve"> - addendum report</w:t>
      </w:r>
      <w:r>
        <w:t>, August 2016, p. 37.</w:t>
      </w:r>
      <w:proofErr w:type="gramEnd"/>
    </w:p>
  </w:footnote>
  <w:footnote w:id="115">
    <w:p w:rsidR="00C54200" w:rsidRDefault="00C54200">
      <w:pPr>
        <w:pStyle w:val="FootnoteText"/>
      </w:pPr>
      <w:r>
        <w:rPr>
          <w:rStyle w:val="FootnoteReference"/>
        </w:rPr>
        <w:footnoteRef/>
      </w:r>
      <w:r>
        <w:t xml:space="preserve"> </w:t>
      </w:r>
      <w:r>
        <w:tab/>
      </w:r>
      <w:proofErr w:type="gramStart"/>
      <w:r>
        <w:t xml:space="preserve">EMCa, </w:t>
      </w:r>
      <w:r w:rsidRPr="00946C75">
        <w:rPr>
          <w:rStyle w:val="AERtextitalic"/>
        </w:rPr>
        <w:t>Review of forecast non-load driven capital expenditure</w:t>
      </w:r>
      <w:r>
        <w:rPr>
          <w:rStyle w:val="AERtextitalic"/>
        </w:rPr>
        <w:t xml:space="preserve"> - addendum report</w:t>
      </w:r>
      <w:r>
        <w:t>, August 2016, p. 13.</w:t>
      </w:r>
      <w:proofErr w:type="gramEnd"/>
    </w:p>
  </w:footnote>
  <w:footnote w:id="116">
    <w:p w:rsidR="00C54200" w:rsidRDefault="00C54200" w:rsidP="008C7B59">
      <w:pPr>
        <w:pStyle w:val="FootnoteText"/>
      </w:pPr>
      <w:r>
        <w:rPr>
          <w:rStyle w:val="FootnoteReference"/>
        </w:rPr>
        <w:footnoteRef/>
      </w:r>
      <w:r>
        <w:t xml:space="preserve"> </w:t>
      </w:r>
      <w:r>
        <w:tab/>
        <w:t xml:space="preserve">CCP (Hugh Grant and David Headberry), </w:t>
      </w:r>
      <w:r w:rsidRPr="00946C75">
        <w:rPr>
          <w:rStyle w:val="AERtextitalic"/>
        </w:rPr>
        <w:t xml:space="preserve">Submission </w:t>
      </w:r>
      <w:r>
        <w:rPr>
          <w:rStyle w:val="AERtextitalic"/>
        </w:rPr>
        <w:t xml:space="preserve">to the AER, </w:t>
      </w:r>
      <w:r w:rsidRPr="00946C75">
        <w:rPr>
          <w:rStyle w:val="AERtextitalic"/>
        </w:rPr>
        <w:t>Powerlin</w:t>
      </w:r>
      <w:r>
        <w:rPr>
          <w:rStyle w:val="AERtextitalic"/>
        </w:rPr>
        <w:t>k Queensland 2018–22 revenue proposal</w:t>
      </w:r>
      <w:r>
        <w:t>, 20 June 2016, pp. 55–56.</w:t>
      </w:r>
    </w:p>
  </w:footnote>
  <w:footnote w:id="117">
    <w:p w:rsidR="00C54200" w:rsidRDefault="00C54200" w:rsidP="008C7B59">
      <w:pPr>
        <w:pStyle w:val="FootnoteText"/>
      </w:pPr>
      <w:r>
        <w:rPr>
          <w:rStyle w:val="FootnoteReference"/>
        </w:rPr>
        <w:footnoteRef/>
      </w:r>
      <w:r>
        <w:t xml:space="preserve"> </w:t>
      </w:r>
      <w:r>
        <w:tab/>
      </w:r>
      <w:proofErr w:type="gramStart"/>
      <w:r>
        <w:t>AER analysis of category analysis RIN data.</w:t>
      </w:r>
      <w:proofErr w:type="gramEnd"/>
    </w:p>
  </w:footnote>
  <w:footnote w:id="118">
    <w:p w:rsidR="00C54200" w:rsidRDefault="00C54200" w:rsidP="008C7B59">
      <w:pPr>
        <w:pStyle w:val="FootnoteText"/>
      </w:pPr>
      <w:r>
        <w:rPr>
          <w:rStyle w:val="FootnoteReference"/>
        </w:rPr>
        <w:footnoteRef/>
      </w:r>
      <w:r>
        <w:t xml:space="preserve"> </w:t>
      </w:r>
      <w:r>
        <w:tab/>
      </w:r>
      <w:proofErr w:type="gramStart"/>
      <w:r>
        <w:t xml:space="preserve">Powerlink, </w:t>
      </w:r>
      <w:r w:rsidRPr="002D44B5">
        <w:rPr>
          <w:rStyle w:val="AERtextitalic"/>
        </w:rPr>
        <w:t>Capex model</w:t>
      </w:r>
      <w:r>
        <w:t>, 'Project Driver' tab, January 2016.</w:t>
      </w:r>
      <w:proofErr w:type="gramEnd"/>
      <w:r>
        <w:t xml:space="preserve"> </w:t>
      </w:r>
    </w:p>
  </w:footnote>
  <w:footnote w:id="119">
    <w:p w:rsidR="00C54200" w:rsidRDefault="00C54200" w:rsidP="008C7B59">
      <w:pPr>
        <w:pStyle w:val="FootnoteText"/>
      </w:pPr>
      <w:r>
        <w:rPr>
          <w:rStyle w:val="FootnoteReference"/>
        </w:rPr>
        <w:footnoteRef/>
      </w:r>
      <w:r>
        <w:t xml:space="preserve"> </w:t>
      </w:r>
      <w:r>
        <w:tab/>
      </w:r>
      <w:r w:rsidRPr="009B3E64">
        <w:t xml:space="preserve">Powerlink, </w:t>
      </w:r>
      <w:r w:rsidRPr="009B3E64">
        <w:rPr>
          <w:rStyle w:val="AERtextitalic"/>
        </w:rPr>
        <w:t>Appendix 5.05 - Non-load driven network capital expenditure forecasting methodology</w:t>
      </w:r>
      <w:r>
        <w:t xml:space="preserve">, January 2016, p. </w:t>
      </w:r>
      <w:proofErr w:type="spellStart"/>
      <w:r>
        <w:t>i</w:t>
      </w:r>
      <w:proofErr w:type="spellEnd"/>
      <w:r w:rsidRPr="009B3E64">
        <w:t>.</w:t>
      </w:r>
    </w:p>
  </w:footnote>
  <w:footnote w:id="120">
    <w:p w:rsidR="00C54200" w:rsidRDefault="00C54200" w:rsidP="008C7B59">
      <w:pPr>
        <w:pStyle w:val="FootnoteText"/>
      </w:pPr>
      <w:r>
        <w:rPr>
          <w:rStyle w:val="FootnoteReference"/>
        </w:rPr>
        <w:footnoteRef/>
      </w:r>
      <w:r>
        <w:t xml:space="preserve"> </w:t>
      </w:r>
      <w:r>
        <w:tab/>
      </w:r>
      <w:proofErr w:type="gramStart"/>
      <w:r>
        <w:t xml:space="preserve">EMCa, </w:t>
      </w:r>
      <w:r w:rsidRPr="00946C75">
        <w:rPr>
          <w:rStyle w:val="AERtextitalic"/>
        </w:rPr>
        <w:t>Review of forecast non-load driven capital expenditure</w:t>
      </w:r>
      <w:r>
        <w:t>, July 2016, pp. 52-54.</w:t>
      </w:r>
      <w:proofErr w:type="gramEnd"/>
    </w:p>
  </w:footnote>
  <w:footnote w:id="121">
    <w:p w:rsidR="00C54200" w:rsidRDefault="00C54200" w:rsidP="008C7B59">
      <w:pPr>
        <w:pStyle w:val="FootnoteText"/>
      </w:pPr>
      <w:r>
        <w:rPr>
          <w:rStyle w:val="FootnoteReference"/>
        </w:rPr>
        <w:footnoteRef/>
      </w:r>
      <w:r>
        <w:t xml:space="preserve"> </w:t>
      </w:r>
      <w:r>
        <w:tab/>
        <w:t xml:space="preserve">Powerlink, </w:t>
      </w:r>
      <w:r w:rsidRPr="00363951">
        <w:rPr>
          <w:rStyle w:val="AERtextitalic"/>
        </w:rPr>
        <w:t>Revenue proposal</w:t>
      </w:r>
      <w:r>
        <w:t xml:space="preserve">, January 2016, p. 54; and Powerlink, </w:t>
      </w:r>
      <w:r w:rsidRPr="002D44B5">
        <w:rPr>
          <w:rStyle w:val="AERtextitalic"/>
        </w:rPr>
        <w:t>Project Approval for Network Capital Projects Procedure</w:t>
      </w:r>
      <w:r>
        <w:t>, 16 November 2016, p. 7.</w:t>
      </w:r>
    </w:p>
  </w:footnote>
  <w:footnote w:id="122">
    <w:p w:rsidR="00C54200" w:rsidRDefault="00C54200" w:rsidP="008C7B59">
      <w:pPr>
        <w:pStyle w:val="FootnoteText"/>
      </w:pPr>
      <w:r>
        <w:rPr>
          <w:rStyle w:val="FootnoteReference"/>
        </w:rPr>
        <w:footnoteRef/>
      </w:r>
      <w:r>
        <w:t xml:space="preserve"> </w:t>
      </w:r>
      <w:r>
        <w:tab/>
        <w:t>Risk assessment provided for the Dysart transformer replacement project.</w:t>
      </w:r>
    </w:p>
  </w:footnote>
  <w:footnote w:id="123">
    <w:p w:rsidR="00C54200" w:rsidRDefault="00C54200" w:rsidP="008C7B59">
      <w:pPr>
        <w:pStyle w:val="FootnoteText"/>
      </w:pPr>
      <w:r>
        <w:rPr>
          <w:rStyle w:val="FootnoteReference"/>
        </w:rPr>
        <w:footnoteRef/>
      </w:r>
      <w:r>
        <w:t xml:space="preserve"> </w:t>
      </w:r>
      <w:r>
        <w:tab/>
      </w:r>
      <w:proofErr w:type="gramStart"/>
      <w:r>
        <w:t xml:space="preserve">EMCa, </w:t>
      </w:r>
      <w:r w:rsidRPr="00946C75">
        <w:rPr>
          <w:rStyle w:val="AERtextitalic"/>
        </w:rPr>
        <w:t>Review of forecast non-load driven capital expenditure</w:t>
      </w:r>
      <w:r>
        <w:t>, July 2016, pp. 52-54.</w:t>
      </w:r>
      <w:proofErr w:type="gramEnd"/>
    </w:p>
  </w:footnote>
  <w:footnote w:id="124">
    <w:p w:rsidR="00C54200" w:rsidRDefault="00C54200" w:rsidP="008C7B59">
      <w:pPr>
        <w:pStyle w:val="FootnoteText"/>
      </w:pPr>
      <w:r>
        <w:rPr>
          <w:rStyle w:val="FootnoteReference"/>
        </w:rPr>
        <w:footnoteRef/>
      </w:r>
      <w:r>
        <w:t xml:space="preserve"> </w:t>
      </w:r>
      <w:r>
        <w:tab/>
      </w:r>
      <w:proofErr w:type="gramStart"/>
      <w:r>
        <w:t xml:space="preserve">EMCa, </w:t>
      </w:r>
      <w:r w:rsidRPr="00946C75">
        <w:rPr>
          <w:rStyle w:val="AERtextitalic"/>
        </w:rPr>
        <w:t>Review of forecast non-load driven capital expenditure</w:t>
      </w:r>
      <w:r>
        <w:rPr>
          <w:rStyle w:val="AERtextitalic"/>
        </w:rPr>
        <w:t xml:space="preserve"> - addendum report</w:t>
      </w:r>
      <w:r>
        <w:t>, August 2016, pp. 14-17.</w:t>
      </w:r>
      <w:proofErr w:type="gramEnd"/>
    </w:p>
  </w:footnote>
  <w:footnote w:id="125">
    <w:p w:rsidR="00C54200" w:rsidRDefault="00C54200" w:rsidP="008C7B59">
      <w:pPr>
        <w:pStyle w:val="FootnoteText"/>
      </w:pPr>
      <w:r>
        <w:rPr>
          <w:rStyle w:val="FootnoteReference"/>
        </w:rPr>
        <w:footnoteRef/>
      </w:r>
      <w:r>
        <w:t xml:space="preserve"> </w:t>
      </w:r>
      <w:r>
        <w:tab/>
      </w:r>
      <w:proofErr w:type="gramStart"/>
      <w:r>
        <w:t xml:space="preserve">EMCa, </w:t>
      </w:r>
      <w:r w:rsidRPr="00946C75">
        <w:rPr>
          <w:rStyle w:val="AERtextitalic"/>
        </w:rPr>
        <w:t>Review of forecast non-load driven capital expenditure</w:t>
      </w:r>
      <w:r>
        <w:rPr>
          <w:rStyle w:val="AERtextitalic"/>
        </w:rPr>
        <w:t xml:space="preserve"> - addendum report</w:t>
      </w:r>
      <w:r>
        <w:t>, August 2016, p. 17.</w:t>
      </w:r>
      <w:proofErr w:type="gramEnd"/>
    </w:p>
  </w:footnote>
  <w:footnote w:id="126">
    <w:p w:rsidR="00C54200" w:rsidRDefault="00C54200">
      <w:pPr>
        <w:pStyle w:val="FootnoteText"/>
      </w:pPr>
      <w:r>
        <w:rPr>
          <w:rStyle w:val="FootnoteReference"/>
        </w:rPr>
        <w:footnoteRef/>
      </w:r>
      <w:r>
        <w:t xml:space="preserve"> </w:t>
      </w:r>
      <w:r>
        <w:tab/>
      </w:r>
      <w:proofErr w:type="gramStart"/>
      <w:r>
        <w:t xml:space="preserve">EMCa, </w:t>
      </w:r>
      <w:r w:rsidRPr="00946C75">
        <w:rPr>
          <w:rStyle w:val="AERtextitalic"/>
        </w:rPr>
        <w:t>Review of forecast non-load driven capital expenditure</w:t>
      </w:r>
      <w:r>
        <w:rPr>
          <w:rStyle w:val="AERtextitalic"/>
        </w:rPr>
        <w:t xml:space="preserve"> - addendum report</w:t>
      </w:r>
      <w:r>
        <w:t>, August 2016, p. 17.</w:t>
      </w:r>
      <w:proofErr w:type="gramEnd"/>
    </w:p>
  </w:footnote>
  <w:footnote w:id="127">
    <w:p w:rsidR="00C54200" w:rsidRDefault="00C54200" w:rsidP="008C7B59">
      <w:pPr>
        <w:pStyle w:val="FootnoteText"/>
      </w:pPr>
      <w:r>
        <w:rPr>
          <w:rStyle w:val="FootnoteReference"/>
        </w:rPr>
        <w:footnoteRef/>
      </w:r>
      <w:r>
        <w:t xml:space="preserve"> </w:t>
      </w:r>
      <w:r>
        <w:tab/>
      </w:r>
      <w:proofErr w:type="gramStart"/>
      <w:r w:rsidRPr="0091308C">
        <w:t>NER, cl. 6A.6.7(c).</w:t>
      </w:r>
      <w:proofErr w:type="gramEnd"/>
    </w:p>
  </w:footnote>
  <w:footnote w:id="128">
    <w:p w:rsidR="00C54200" w:rsidRDefault="00C54200" w:rsidP="008C7B59">
      <w:pPr>
        <w:pStyle w:val="FootnoteText"/>
      </w:pPr>
      <w:r>
        <w:rPr>
          <w:rStyle w:val="FootnoteReference"/>
        </w:rPr>
        <w:footnoteRef/>
      </w:r>
      <w:r>
        <w:t xml:space="preserve"> </w:t>
      </w:r>
      <w:r>
        <w:tab/>
      </w:r>
      <w:proofErr w:type="gramStart"/>
      <w:r>
        <w:t xml:space="preserve">Powerlink, </w:t>
      </w:r>
      <w:r w:rsidRPr="00363951">
        <w:rPr>
          <w:rStyle w:val="AERtextitalic"/>
        </w:rPr>
        <w:t>Revenue proposal</w:t>
      </w:r>
      <w:r>
        <w:t>, January 2016, pp. 44 and 53.</w:t>
      </w:r>
      <w:proofErr w:type="gramEnd"/>
    </w:p>
  </w:footnote>
  <w:footnote w:id="129">
    <w:p w:rsidR="00C54200" w:rsidRDefault="00C54200" w:rsidP="008C7B59">
      <w:pPr>
        <w:pStyle w:val="FootnoteText"/>
      </w:pPr>
      <w:r>
        <w:rPr>
          <w:rStyle w:val="FootnoteReference"/>
        </w:rPr>
        <w:footnoteRef/>
      </w:r>
      <w:r>
        <w:t xml:space="preserve"> </w:t>
      </w:r>
      <w:r>
        <w:tab/>
        <w:t xml:space="preserve">NER, cl. </w:t>
      </w:r>
      <w:proofErr w:type="gramStart"/>
      <w:r>
        <w:t>6A.6.7(</w:t>
      </w:r>
      <w:proofErr w:type="gramEnd"/>
      <w:r>
        <w:t>e)(5).</w:t>
      </w:r>
    </w:p>
  </w:footnote>
  <w:footnote w:id="130">
    <w:p w:rsidR="00C54200" w:rsidRDefault="00C54200" w:rsidP="008C7B59">
      <w:pPr>
        <w:pStyle w:val="FootnoteText"/>
      </w:pPr>
      <w:r>
        <w:rPr>
          <w:rStyle w:val="FootnoteReference"/>
        </w:rPr>
        <w:footnoteRef/>
      </w:r>
      <w:r>
        <w:t xml:space="preserve"> </w:t>
      </w:r>
      <w:r>
        <w:tab/>
      </w:r>
      <w:proofErr w:type="gramStart"/>
      <w:r>
        <w:t>NER, cl. 6A.6.7(c).</w:t>
      </w:r>
      <w:proofErr w:type="gramEnd"/>
    </w:p>
  </w:footnote>
  <w:footnote w:id="131">
    <w:p w:rsidR="00C54200" w:rsidRDefault="00C54200" w:rsidP="008C7B59">
      <w:pPr>
        <w:pStyle w:val="FootnoteText"/>
      </w:pPr>
      <w:r>
        <w:rPr>
          <w:rStyle w:val="FootnoteReference"/>
        </w:rPr>
        <w:footnoteRef/>
      </w:r>
      <w:r>
        <w:t xml:space="preserve"> </w:t>
      </w:r>
      <w:r>
        <w:tab/>
      </w:r>
      <w:proofErr w:type="gramStart"/>
      <w:r>
        <w:t xml:space="preserve">Powerlink, </w:t>
      </w:r>
      <w:r w:rsidRPr="00363951">
        <w:rPr>
          <w:rStyle w:val="AERtextitalic"/>
        </w:rPr>
        <w:t>Revenue proposal</w:t>
      </w:r>
      <w:r>
        <w:t>, January 2016, pp. 44 and 53.</w:t>
      </w:r>
      <w:proofErr w:type="gramEnd"/>
    </w:p>
  </w:footnote>
  <w:footnote w:id="132">
    <w:p w:rsidR="00C54200" w:rsidRDefault="00C54200" w:rsidP="008C7B59">
      <w:pPr>
        <w:pStyle w:val="FootnoteText"/>
      </w:pPr>
      <w:r>
        <w:rPr>
          <w:rStyle w:val="FootnoteReference"/>
        </w:rPr>
        <w:footnoteRef/>
      </w:r>
      <w:r>
        <w:t xml:space="preserve"> </w:t>
      </w:r>
      <w:r>
        <w:tab/>
        <w:t xml:space="preserve">NER, cl. </w:t>
      </w:r>
      <w:proofErr w:type="gramStart"/>
      <w:r>
        <w:t>6A.6.7(</w:t>
      </w:r>
      <w:proofErr w:type="gramEnd"/>
      <w:r>
        <w:t>e)(5).</w:t>
      </w:r>
    </w:p>
  </w:footnote>
  <w:footnote w:id="133">
    <w:p w:rsidR="00C54200" w:rsidRDefault="00C54200" w:rsidP="008C7B59">
      <w:pPr>
        <w:pStyle w:val="FootnoteText"/>
      </w:pPr>
      <w:r>
        <w:rPr>
          <w:rStyle w:val="FootnoteReference"/>
        </w:rPr>
        <w:footnoteRef/>
      </w:r>
      <w:r>
        <w:t xml:space="preserve"> </w:t>
      </w:r>
      <w:r>
        <w:tab/>
        <w:t xml:space="preserve">Powerlink, </w:t>
      </w:r>
      <w:r w:rsidRPr="007E6632">
        <w:rPr>
          <w:rStyle w:val="AERtextitalic"/>
        </w:rPr>
        <w:t>CP.02553 Wide Area Netwo</w:t>
      </w:r>
      <w:r>
        <w:rPr>
          <w:rStyle w:val="AERtextitalic"/>
        </w:rPr>
        <w:t>r</w:t>
      </w:r>
      <w:r w:rsidRPr="007E6632">
        <w:rPr>
          <w:rStyle w:val="AERtextitalic"/>
        </w:rPr>
        <w:t>k Deployment Stage 2</w:t>
      </w:r>
      <w:r>
        <w:t>, 31 August 2015, p. 3.</w:t>
      </w:r>
    </w:p>
  </w:footnote>
  <w:footnote w:id="134">
    <w:p w:rsidR="00C54200" w:rsidRDefault="00C54200" w:rsidP="008C7B59">
      <w:pPr>
        <w:pStyle w:val="FootnoteText"/>
      </w:pPr>
      <w:r>
        <w:rPr>
          <w:rStyle w:val="FootnoteReference"/>
        </w:rPr>
        <w:footnoteRef/>
      </w:r>
      <w:r>
        <w:t xml:space="preserve"> </w:t>
      </w:r>
      <w:r>
        <w:tab/>
        <w:t xml:space="preserve">Powerlink, </w:t>
      </w:r>
      <w:r w:rsidRPr="007E6632">
        <w:rPr>
          <w:rStyle w:val="AERtextitalic"/>
        </w:rPr>
        <w:t>CP.02553 Wide Area Netwo</w:t>
      </w:r>
      <w:r>
        <w:rPr>
          <w:rStyle w:val="AERtextitalic"/>
        </w:rPr>
        <w:t>r</w:t>
      </w:r>
      <w:r w:rsidRPr="007E6632">
        <w:rPr>
          <w:rStyle w:val="AERtextitalic"/>
        </w:rPr>
        <w:t>k Deployment Stage 2</w:t>
      </w:r>
      <w:r>
        <w:t>, 31 August 2015.</w:t>
      </w:r>
    </w:p>
  </w:footnote>
  <w:footnote w:id="135">
    <w:p w:rsidR="00C54200" w:rsidRDefault="00C54200" w:rsidP="008C7B59">
      <w:pPr>
        <w:pStyle w:val="FootnoteText"/>
      </w:pPr>
      <w:r>
        <w:rPr>
          <w:rStyle w:val="FootnoteReference"/>
        </w:rPr>
        <w:footnoteRef/>
      </w:r>
      <w:r>
        <w:t xml:space="preserve"> </w:t>
      </w:r>
      <w:r>
        <w:tab/>
      </w:r>
      <w:proofErr w:type="gramStart"/>
      <w:r>
        <w:t>NER, cl. 6A.6.7(c).</w:t>
      </w:r>
      <w:proofErr w:type="gramEnd"/>
    </w:p>
  </w:footnote>
  <w:footnote w:id="136">
    <w:p w:rsidR="00C54200" w:rsidRDefault="00C54200" w:rsidP="008C7B59">
      <w:pPr>
        <w:pStyle w:val="FootnoteText"/>
      </w:pPr>
      <w:r>
        <w:rPr>
          <w:rStyle w:val="FootnoteReference"/>
        </w:rPr>
        <w:footnoteRef/>
      </w:r>
      <w:r>
        <w:t xml:space="preserve"> </w:t>
      </w:r>
      <w:r>
        <w:tab/>
        <w:t xml:space="preserve">Powerlink, </w:t>
      </w:r>
      <w:r w:rsidRPr="007E6632">
        <w:rPr>
          <w:rStyle w:val="AERtextitalic"/>
        </w:rPr>
        <w:t>CP.02553 Wide Area Netwo</w:t>
      </w:r>
      <w:r>
        <w:rPr>
          <w:rStyle w:val="AERtextitalic"/>
        </w:rPr>
        <w:t>r</w:t>
      </w:r>
      <w:r w:rsidRPr="007E6632">
        <w:rPr>
          <w:rStyle w:val="AERtextitalic"/>
        </w:rPr>
        <w:t>k Deployment Stage 2</w:t>
      </w:r>
      <w:r>
        <w:t>, 31 August 2015, p. 6.</w:t>
      </w:r>
    </w:p>
  </w:footnote>
  <w:footnote w:id="137">
    <w:p w:rsidR="00C54200" w:rsidRDefault="00C54200" w:rsidP="008C7B59">
      <w:pPr>
        <w:pStyle w:val="FootnoteText"/>
      </w:pPr>
      <w:r>
        <w:rPr>
          <w:rStyle w:val="FootnoteReference"/>
        </w:rPr>
        <w:footnoteRef/>
      </w:r>
      <w:r>
        <w:t xml:space="preserve"> </w:t>
      </w:r>
      <w:r>
        <w:tab/>
        <w:t xml:space="preserve">NER, cl. </w:t>
      </w:r>
      <w:proofErr w:type="gramStart"/>
      <w:r>
        <w:t>6A.6.7(</w:t>
      </w:r>
      <w:proofErr w:type="gramEnd"/>
      <w:r>
        <w:t>3).</w:t>
      </w:r>
    </w:p>
  </w:footnote>
  <w:footnote w:id="138">
    <w:p w:rsidR="00C54200" w:rsidRDefault="00C54200" w:rsidP="008C7B59">
      <w:pPr>
        <w:pStyle w:val="FootnoteText"/>
      </w:pPr>
      <w:r>
        <w:rPr>
          <w:rStyle w:val="FootnoteReference"/>
        </w:rPr>
        <w:footnoteRef/>
      </w:r>
      <w:r>
        <w:t xml:space="preserve"> </w:t>
      </w:r>
      <w:r>
        <w:tab/>
      </w:r>
      <w:proofErr w:type="gramStart"/>
      <w:r w:rsidRPr="002C1ADF">
        <w:t xml:space="preserve">Powerlink, </w:t>
      </w:r>
      <w:r w:rsidRPr="00BB76A9">
        <w:rPr>
          <w:rStyle w:val="AERtextitalic"/>
        </w:rPr>
        <w:t>Regulatory proposal</w:t>
      </w:r>
      <w:r w:rsidRPr="002C1ADF">
        <w:t>, January 2016, p. 4</w:t>
      </w:r>
      <w:r>
        <w:t>3</w:t>
      </w:r>
      <w:r w:rsidRPr="002C1ADF">
        <w:t>.</w:t>
      </w:r>
      <w:proofErr w:type="gramEnd"/>
    </w:p>
  </w:footnote>
  <w:footnote w:id="139">
    <w:p w:rsidR="00C54200" w:rsidRDefault="00C54200" w:rsidP="008C7B59">
      <w:pPr>
        <w:pStyle w:val="FootnoteText"/>
      </w:pPr>
      <w:r>
        <w:rPr>
          <w:rStyle w:val="FootnoteReference"/>
        </w:rPr>
        <w:footnoteRef/>
      </w:r>
      <w:r>
        <w:t xml:space="preserve"> </w:t>
      </w:r>
      <w:r>
        <w:tab/>
      </w:r>
      <w:r w:rsidRPr="009C30EE">
        <w:t>Powerlink</w:t>
      </w:r>
      <w:r w:rsidRPr="009C30EE">
        <w:rPr>
          <w:rStyle w:val="AERtextitalic"/>
        </w:rPr>
        <w:t>, Regulatory proposal, 2018-22 Powerlink Queensland Revenue Proposal, Appendix 5.10: Powerlink Queensland Asset Management Plan (Volume 2 - Asset Investment Outlook)</w:t>
      </w:r>
      <w:r w:rsidRPr="009C30EE">
        <w:t xml:space="preserve">, January 2016, p. </w:t>
      </w:r>
      <w:r>
        <w:t>37</w:t>
      </w:r>
      <w:r w:rsidRPr="009C30EE">
        <w:t>.</w:t>
      </w:r>
    </w:p>
  </w:footnote>
  <w:footnote w:id="140">
    <w:p w:rsidR="00C54200" w:rsidRDefault="00C54200" w:rsidP="008C7B59">
      <w:pPr>
        <w:pStyle w:val="FootnoteText"/>
      </w:pPr>
      <w:r>
        <w:rPr>
          <w:rStyle w:val="FootnoteReference"/>
        </w:rPr>
        <w:footnoteRef/>
      </w:r>
      <w:r>
        <w:t xml:space="preserve"> </w:t>
      </w:r>
      <w:r>
        <w:tab/>
      </w:r>
      <w:proofErr w:type="gramStart"/>
      <w:r w:rsidRPr="009C30EE">
        <w:t>Powerlink</w:t>
      </w:r>
      <w:r w:rsidRPr="009C30EE">
        <w:rPr>
          <w:rStyle w:val="AERtextitalic"/>
        </w:rPr>
        <w:t xml:space="preserve">, Regulatory proposal, </w:t>
      </w:r>
      <w:r>
        <w:rPr>
          <w:rStyle w:val="AERtextitalic"/>
        </w:rPr>
        <w:t>Powerlink Queensland Asset Risk Management - Framework</w:t>
      </w:r>
      <w:r w:rsidRPr="009C30EE">
        <w:t>, January 2016, p.</w:t>
      </w:r>
      <w:r>
        <w:t> 12</w:t>
      </w:r>
      <w:r w:rsidRPr="009C30EE">
        <w:t>.</w:t>
      </w:r>
      <w:proofErr w:type="gramEnd"/>
    </w:p>
  </w:footnote>
  <w:footnote w:id="141">
    <w:p w:rsidR="00C54200" w:rsidRDefault="00C54200" w:rsidP="008C7B59">
      <w:pPr>
        <w:pStyle w:val="FootnoteText"/>
      </w:pPr>
      <w:r>
        <w:rPr>
          <w:rStyle w:val="FootnoteReference"/>
        </w:rPr>
        <w:footnoteRef/>
      </w:r>
      <w:r>
        <w:t xml:space="preserve"> </w:t>
      </w:r>
      <w:r>
        <w:tab/>
      </w:r>
      <w:proofErr w:type="gramStart"/>
      <w:r w:rsidRPr="009C30EE">
        <w:t>Powerlink</w:t>
      </w:r>
      <w:r w:rsidRPr="009C30EE">
        <w:rPr>
          <w:rStyle w:val="AERtextitalic"/>
        </w:rPr>
        <w:t xml:space="preserve">, Regulatory proposal, </w:t>
      </w:r>
      <w:r>
        <w:rPr>
          <w:rStyle w:val="AERtextitalic"/>
        </w:rPr>
        <w:t>Powerlink Queensland Asset Risk Management - Framework</w:t>
      </w:r>
      <w:r w:rsidRPr="009C30EE">
        <w:t xml:space="preserve">, January 2016, p. </w:t>
      </w:r>
      <w:r>
        <w:t>6</w:t>
      </w:r>
      <w:r w:rsidRPr="007C7867">
        <w:t>.</w:t>
      </w:r>
      <w:proofErr w:type="gramEnd"/>
    </w:p>
  </w:footnote>
  <w:footnote w:id="142">
    <w:p w:rsidR="00C54200" w:rsidRDefault="00C54200" w:rsidP="008C7B59">
      <w:pPr>
        <w:pStyle w:val="FootnoteText"/>
      </w:pPr>
      <w:r>
        <w:rPr>
          <w:rStyle w:val="FootnoteReference"/>
        </w:rPr>
        <w:footnoteRef/>
      </w:r>
      <w:r>
        <w:t xml:space="preserve"> </w:t>
      </w:r>
      <w:r>
        <w:tab/>
      </w:r>
      <w:proofErr w:type="gramStart"/>
      <w:r w:rsidRPr="009C30EE">
        <w:t>Powerlink</w:t>
      </w:r>
      <w:r w:rsidRPr="009C30EE">
        <w:rPr>
          <w:rStyle w:val="AERtextitalic"/>
        </w:rPr>
        <w:t xml:space="preserve">, Regulatory proposal, </w:t>
      </w:r>
      <w:r>
        <w:rPr>
          <w:rStyle w:val="AERtextitalic"/>
        </w:rPr>
        <w:t>Powerlink Queensland Asset Risk Management - Framework</w:t>
      </w:r>
      <w:r w:rsidRPr="009C30EE">
        <w:t xml:space="preserve">, January 2016, p. </w:t>
      </w:r>
      <w:r>
        <w:t>8</w:t>
      </w:r>
      <w:r w:rsidRPr="007C7867">
        <w:t>.</w:t>
      </w:r>
      <w:proofErr w:type="gramEnd"/>
    </w:p>
  </w:footnote>
  <w:footnote w:id="143">
    <w:p w:rsidR="00C54200" w:rsidRDefault="00C54200" w:rsidP="008C7B59">
      <w:pPr>
        <w:pStyle w:val="FootnoteText"/>
      </w:pPr>
      <w:r>
        <w:rPr>
          <w:rStyle w:val="FootnoteReference"/>
        </w:rPr>
        <w:footnoteRef/>
      </w:r>
      <w:r>
        <w:t xml:space="preserve"> </w:t>
      </w:r>
      <w:r>
        <w:tab/>
      </w:r>
      <w:proofErr w:type="gramStart"/>
      <w:r w:rsidRPr="009C30EE">
        <w:t>Powerlink</w:t>
      </w:r>
      <w:r w:rsidRPr="009C30EE">
        <w:rPr>
          <w:rStyle w:val="AERtextitalic"/>
        </w:rPr>
        <w:t xml:space="preserve">, Regulatory proposal, </w:t>
      </w:r>
      <w:r>
        <w:rPr>
          <w:rStyle w:val="AERtextitalic"/>
        </w:rPr>
        <w:t>Powerlink Queensland Asset Risk Management - Framework</w:t>
      </w:r>
      <w:r w:rsidRPr="009C30EE">
        <w:t xml:space="preserve">, January 2016, p. </w:t>
      </w:r>
      <w:r>
        <w:t>8</w:t>
      </w:r>
      <w:r w:rsidRPr="009C30EE">
        <w:t>.</w:t>
      </w:r>
      <w:proofErr w:type="gramEnd"/>
    </w:p>
  </w:footnote>
  <w:footnote w:id="144">
    <w:p w:rsidR="00C54200" w:rsidRDefault="00C54200" w:rsidP="008C7B59">
      <w:pPr>
        <w:pStyle w:val="FootnoteText"/>
      </w:pPr>
      <w:r>
        <w:rPr>
          <w:rStyle w:val="FootnoteReference"/>
        </w:rPr>
        <w:footnoteRef/>
      </w:r>
      <w:r>
        <w:t xml:space="preserve"> </w:t>
      </w:r>
      <w:r>
        <w:tab/>
      </w:r>
      <w:proofErr w:type="gramStart"/>
      <w:r w:rsidRPr="009C30EE">
        <w:t>Powerlink</w:t>
      </w:r>
      <w:r w:rsidRPr="009C30EE">
        <w:rPr>
          <w:rStyle w:val="AERtextitalic"/>
        </w:rPr>
        <w:t xml:space="preserve">, Regulatory proposal, </w:t>
      </w:r>
      <w:r>
        <w:rPr>
          <w:rStyle w:val="AERtextitalic"/>
        </w:rPr>
        <w:t>Powerlink Queensland Asset Risk Management - Framework</w:t>
      </w:r>
      <w:r w:rsidRPr="009C30EE">
        <w:t xml:space="preserve">, January 2016, p. </w:t>
      </w:r>
      <w:r>
        <w:t>8</w:t>
      </w:r>
      <w:r w:rsidRPr="009C30EE">
        <w:t>.</w:t>
      </w:r>
      <w:proofErr w:type="gramEnd"/>
    </w:p>
  </w:footnote>
  <w:footnote w:id="145">
    <w:p w:rsidR="00C54200" w:rsidRDefault="00C54200" w:rsidP="008C7B59">
      <w:pPr>
        <w:pStyle w:val="FootnoteText"/>
      </w:pPr>
      <w:r>
        <w:rPr>
          <w:rStyle w:val="FootnoteReference"/>
        </w:rPr>
        <w:footnoteRef/>
      </w:r>
      <w:r>
        <w:t xml:space="preserve"> </w:t>
      </w:r>
      <w:r>
        <w:tab/>
      </w:r>
      <w:proofErr w:type="gramStart"/>
      <w:r w:rsidRPr="009C30EE">
        <w:t>Powerlink</w:t>
      </w:r>
      <w:r w:rsidRPr="009C30EE">
        <w:rPr>
          <w:rStyle w:val="AERtextitalic"/>
        </w:rPr>
        <w:t xml:space="preserve">, Regulatory proposal, </w:t>
      </w:r>
      <w:r>
        <w:rPr>
          <w:rStyle w:val="AERtextitalic"/>
        </w:rPr>
        <w:t>Powerlink Queensland Asset Risk Management - Framework</w:t>
      </w:r>
      <w:r w:rsidRPr="009C30EE">
        <w:t xml:space="preserve">, January 2016, p. </w:t>
      </w:r>
      <w:r>
        <w:t>11</w:t>
      </w:r>
      <w:r w:rsidRPr="009C30EE">
        <w:t>.</w:t>
      </w:r>
      <w:proofErr w:type="gramEnd"/>
    </w:p>
  </w:footnote>
  <w:footnote w:id="146">
    <w:p w:rsidR="00C54200" w:rsidRDefault="00C54200" w:rsidP="008C7B59">
      <w:pPr>
        <w:pStyle w:val="FootnoteText"/>
      </w:pPr>
      <w:r>
        <w:rPr>
          <w:rStyle w:val="FootnoteReference"/>
        </w:rPr>
        <w:footnoteRef/>
      </w:r>
      <w:r>
        <w:t xml:space="preserve"> </w:t>
      </w:r>
      <w:r>
        <w:tab/>
      </w:r>
      <w:proofErr w:type="gramStart"/>
      <w:r w:rsidRPr="009C30EE">
        <w:t>Powerlink</w:t>
      </w:r>
      <w:r w:rsidRPr="009C30EE">
        <w:rPr>
          <w:rStyle w:val="AERtextitalic"/>
        </w:rPr>
        <w:t xml:space="preserve">, Regulatory proposal, </w:t>
      </w:r>
      <w:r>
        <w:rPr>
          <w:rStyle w:val="AERtextitalic"/>
        </w:rPr>
        <w:t>Appendix 5.08 - AMCL Review of Powerlink's Risk and Prioritisation Approach</w:t>
      </w:r>
      <w:r w:rsidRPr="009C30EE">
        <w:t xml:space="preserve">, </w:t>
      </w:r>
      <w:r>
        <w:t>December 2015</w:t>
      </w:r>
      <w:r w:rsidRPr="009C30EE">
        <w:t>.</w:t>
      </w:r>
      <w:proofErr w:type="gramEnd"/>
    </w:p>
  </w:footnote>
  <w:footnote w:id="147">
    <w:p w:rsidR="00C54200" w:rsidRPr="00180EE9" w:rsidRDefault="00C54200" w:rsidP="008C7B59">
      <w:pPr>
        <w:pStyle w:val="FootnoteText"/>
        <w:rPr>
          <w:rStyle w:val="AERbody"/>
        </w:rPr>
      </w:pPr>
      <w:r>
        <w:rPr>
          <w:rStyle w:val="FootnoteReference"/>
        </w:rPr>
        <w:footnoteRef/>
      </w:r>
      <w:r>
        <w:t xml:space="preserve"> </w:t>
      </w:r>
      <w:r>
        <w:tab/>
        <w:t xml:space="preserve">EMCa, </w:t>
      </w:r>
      <w:r>
        <w:rPr>
          <w:rStyle w:val="AERtextitalic"/>
        </w:rPr>
        <w:t xml:space="preserve">Review of forecast non-load driven capital expenditure in Powerlink's Regulatory Proposal - Report to Australian Energy Regulator from Energy Market Consulting associates, </w:t>
      </w:r>
      <w:r>
        <w:t>July, 2016.</w:t>
      </w:r>
    </w:p>
  </w:footnote>
  <w:footnote w:id="148">
    <w:p w:rsidR="00C54200" w:rsidRPr="00C15DA2" w:rsidRDefault="00C54200" w:rsidP="008C7B59">
      <w:pPr>
        <w:pStyle w:val="FootnoteText"/>
      </w:pPr>
      <w:r>
        <w:rPr>
          <w:rStyle w:val="FootnoteReference"/>
        </w:rPr>
        <w:footnoteRef/>
      </w:r>
      <w:r>
        <w:t xml:space="preserve"> </w:t>
      </w:r>
      <w:r>
        <w:tab/>
      </w:r>
      <w:r w:rsidRPr="00C15DA2">
        <w:t>In our Explanatory Statement for Category Analysis RINs released in March 2014, we adopted the following definition for asset failure:</w:t>
      </w:r>
    </w:p>
    <w:p w:rsidR="00C54200" w:rsidRPr="00C15DA2" w:rsidRDefault="00C54200" w:rsidP="008C7B59">
      <w:pPr>
        <w:pStyle w:val="FootnoteText"/>
      </w:pPr>
      <w:r w:rsidRPr="00C15DA2">
        <w:tab/>
        <w:t>The failure of an asset to perform its intended function safely and in compliance with jurisdictional regulations, not as a result of external impacts such as:</w:t>
      </w:r>
    </w:p>
    <w:p w:rsidR="00C54200" w:rsidRPr="00C15DA2" w:rsidRDefault="00C54200" w:rsidP="008C7B59">
      <w:pPr>
        <w:pStyle w:val="FootnoteText"/>
      </w:pPr>
      <w:r w:rsidRPr="00C15DA2">
        <w:tab/>
        <w:t xml:space="preserve">• extreme or atypical weather events; or </w:t>
      </w:r>
    </w:p>
    <w:p w:rsidR="00C54200" w:rsidRPr="00C15DA2" w:rsidRDefault="00C54200" w:rsidP="008C7B59">
      <w:pPr>
        <w:pStyle w:val="FootnoteText"/>
      </w:pPr>
      <w:r w:rsidRPr="00C15DA2">
        <w:tab/>
        <w:t xml:space="preserve">• third party interference, such as traffic accidents and vandalism; or </w:t>
      </w:r>
    </w:p>
    <w:p w:rsidR="00C54200" w:rsidRPr="00C15DA2" w:rsidRDefault="00C54200" w:rsidP="008C7B59">
      <w:pPr>
        <w:pStyle w:val="FootnoteText"/>
      </w:pPr>
      <w:r w:rsidRPr="00C15DA2">
        <w:tab/>
        <w:t xml:space="preserve">• wildlife interference, but only where the wildlife interference directly, clearly and unambiguously influenced asset performance; or </w:t>
      </w:r>
    </w:p>
    <w:p w:rsidR="00C54200" w:rsidRPr="00C15DA2" w:rsidRDefault="00C54200" w:rsidP="008C7B59">
      <w:pPr>
        <w:pStyle w:val="FootnoteText"/>
      </w:pPr>
      <w:r w:rsidRPr="00C15DA2">
        <w:tab/>
        <w:t xml:space="preserve">• </w:t>
      </w:r>
      <w:proofErr w:type="gramStart"/>
      <w:r w:rsidRPr="00C15DA2">
        <w:t>vegetation</w:t>
      </w:r>
      <w:proofErr w:type="gramEnd"/>
      <w:r w:rsidRPr="00C15DA2">
        <w:t xml:space="preserve"> interference, but only where the vegetation interference directly, clearly and unambiguously influenced asset performance. </w:t>
      </w:r>
    </w:p>
    <w:p w:rsidR="00C54200" w:rsidRDefault="00C54200" w:rsidP="008C7B59">
      <w:pPr>
        <w:pStyle w:val="FootnoteText"/>
      </w:pPr>
      <w:r w:rsidRPr="00C15DA2">
        <w:tab/>
      </w:r>
      <w:proofErr w:type="gramStart"/>
      <w:r w:rsidRPr="00C15DA2">
        <w:t>Excludes planned interruptions.</w:t>
      </w:r>
      <w:proofErr w:type="gramEnd"/>
    </w:p>
  </w:footnote>
  <w:footnote w:id="149">
    <w:p w:rsidR="00C54200" w:rsidRDefault="00C54200" w:rsidP="008C7B59">
      <w:pPr>
        <w:pStyle w:val="FootnoteText"/>
      </w:pPr>
      <w:r>
        <w:rPr>
          <w:rStyle w:val="FootnoteReference"/>
        </w:rPr>
        <w:footnoteRef/>
      </w:r>
      <w:r>
        <w:t xml:space="preserve"> </w:t>
      </w:r>
      <w:r>
        <w:tab/>
        <w:t>Powerlink</w:t>
      </w:r>
      <w:r w:rsidRPr="00014134">
        <w:t xml:space="preserve">, </w:t>
      </w:r>
      <w:r w:rsidRPr="00014134">
        <w:rPr>
          <w:rStyle w:val="AERtextitalic"/>
        </w:rPr>
        <w:t>Regulatory information notice</w:t>
      </w:r>
      <w:r>
        <w:t>, template 2.6; Powerlink</w:t>
      </w:r>
      <w:r w:rsidRPr="00014134">
        <w:t xml:space="preserve">, </w:t>
      </w:r>
      <w:r w:rsidRPr="00014134">
        <w:rPr>
          <w:rStyle w:val="AERtextitalic"/>
        </w:rPr>
        <w:t>Category Analysis RIN 2014–15</w:t>
      </w:r>
      <w:r>
        <w:t>, template 2.6; Powerlink</w:t>
      </w:r>
      <w:r w:rsidRPr="00014134">
        <w:t xml:space="preserve">, </w:t>
      </w:r>
      <w:r w:rsidRPr="00014134">
        <w:rPr>
          <w:rStyle w:val="AERtextitalic"/>
        </w:rPr>
        <w:t>Category Analysis RIN 2013–14</w:t>
      </w:r>
      <w:r>
        <w:t>, template 2.6; Powerlink</w:t>
      </w:r>
      <w:r w:rsidRPr="00014134">
        <w:t xml:space="preserve">, </w:t>
      </w:r>
      <w:r w:rsidRPr="00014134">
        <w:rPr>
          <w:rStyle w:val="AERtextitalic"/>
        </w:rPr>
        <w:t>Category Analysis RIN 2008–13</w:t>
      </w:r>
      <w:r w:rsidRPr="00014134">
        <w:t xml:space="preserve">, template 2.6; </w:t>
      </w:r>
      <w:r>
        <w:t xml:space="preserve">AER analysis. </w:t>
      </w:r>
      <w:proofErr w:type="gramStart"/>
      <w:r>
        <w:t>Excludes overheads.</w:t>
      </w:r>
      <w:proofErr w:type="gramEnd"/>
    </w:p>
  </w:footnote>
  <w:footnote w:id="150">
    <w:p w:rsidR="00C54200" w:rsidRDefault="00C54200" w:rsidP="008C7B59">
      <w:pPr>
        <w:pStyle w:val="FootnoteText"/>
      </w:pPr>
      <w:r>
        <w:rPr>
          <w:rStyle w:val="FootnoteReference"/>
        </w:rPr>
        <w:footnoteRef/>
      </w:r>
      <w:r>
        <w:t xml:space="preserve"> </w:t>
      </w:r>
      <w:r>
        <w:tab/>
        <w:t xml:space="preserve">NER, cl. </w:t>
      </w:r>
      <w:proofErr w:type="gramStart"/>
      <w:r>
        <w:t>6A.6.7(</w:t>
      </w:r>
      <w:proofErr w:type="gramEnd"/>
      <w:r>
        <w:t>e)(5).</w:t>
      </w:r>
    </w:p>
  </w:footnote>
  <w:footnote w:id="151">
    <w:p w:rsidR="00C54200" w:rsidRDefault="00C54200" w:rsidP="008C7B59">
      <w:pPr>
        <w:pStyle w:val="FootnoteText"/>
      </w:pPr>
      <w:r>
        <w:rPr>
          <w:rStyle w:val="FootnoteReference"/>
        </w:rPr>
        <w:footnoteRef/>
      </w:r>
      <w:r>
        <w:t xml:space="preserve"> </w:t>
      </w:r>
      <w:r>
        <w:tab/>
        <w:t xml:space="preserve">NER, cl. </w:t>
      </w:r>
      <w:proofErr w:type="gramStart"/>
      <w:r>
        <w:t>6A.6.7(</w:t>
      </w:r>
      <w:proofErr w:type="gramEnd"/>
      <w:r>
        <w:t>e)(7).</w:t>
      </w:r>
    </w:p>
  </w:footnote>
  <w:footnote w:id="152">
    <w:p w:rsidR="00C54200" w:rsidRDefault="00C54200" w:rsidP="008C7B59">
      <w:pPr>
        <w:pStyle w:val="FootnoteText"/>
      </w:pPr>
      <w:r>
        <w:rPr>
          <w:rStyle w:val="FootnoteReference"/>
        </w:rPr>
        <w:footnoteRef/>
      </w:r>
      <w:r>
        <w:t xml:space="preserve"> </w:t>
      </w:r>
      <w:r>
        <w:tab/>
      </w:r>
      <w:proofErr w:type="gramStart"/>
      <w:r>
        <w:t xml:space="preserve">Most relevantly, NER, </w:t>
      </w:r>
      <w:proofErr w:type="spellStart"/>
      <w:r>
        <w:t>cll</w:t>
      </w:r>
      <w:proofErr w:type="spellEnd"/>
      <w:r>
        <w:t>.</w:t>
      </w:r>
      <w:proofErr w:type="gramEnd"/>
      <w:r>
        <w:t xml:space="preserve"> </w:t>
      </w:r>
      <w:proofErr w:type="gramStart"/>
      <w:r>
        <w:t>6A.6.7(</w:t>
      </w:r>
      <w:proofErr w:type="gramEnd"/>
      <w:r>
        <w:t>e)(5) and 6A.6.7(e)(7).</w:t>
      </w:r>
    </w:p>
  </w:footnote>
  <w:footnote w:id="153">
    <w:p w:rsidR="00C54200" w:rsidRPr="004C1015" w:rsidRDefault="00C54200" w:rsidP="00814879">
      <w:pPr>
        <w:pStyle w:val="FootnoteText"/>
      </w:pPr>
      <w:r w:rsidRPr="006F4C17">
        <w:rPr>
          <w:rStyle w:val="FootnoteReference"/>
        </w:rPr>
        <w:footnoteRef/>
      </w:r>
      <w:r w:rsidRPr="004C1015">
        <w:t xml:space="preserve"> </w:t>
      </w:r>
      <w:r>
        <w:tab/>
      </w:r>
      <w:r w:rsidRPr="00814879">
        <w:t>Powerlink</w:t>
      </w:r>
      <w:r w:rsidRPr="004C1015">
        <w:t xml:space="preserve">, </w:t>
      </w:r>
      <w:r w:rsidRPr="004C1015">
        <w:rPr>
          <w:i/>
        </w:rPr>
        <w:t>2018–22 Revenue Proposal</w:t>
      </w:r>
      <w:r w:rsidRPr="004C1015">
        <w:t xml:space="preserve">, January 2016, p. 25. </w:t>
      </w:r>
    </w:p>
  </w:footnote>
  <w:footnote w:id="154">
    <w:p w:rsidR="00C54200" w:rsidRPr="004C1015" w:rsidRDefault="00C54200" w:rsidP="00814879">
      <w:pPr>
        <w:pStyle w:val="FootnoteText"/>
      </w:pPr>
      <w:r w:rsidRPr="004C1015">
        <w:rPr>
          <w:rStyle w:val="FootnoteReference"/>
          <w:sz w:val="18"/>
          <w:szCs w:val="18"/>
        </w:rPr>
        <w:footnoteRef/>
      </w:r>
      <w:r w:rsidRPr="004C1015">
        <w:t xml:space="preserve"> </w:t>
      </w:r>
      <w:r>
        <w:tab/>
      </w:r>
      <w:proofErr w:type="gramStart"/>
      <w:r w:rsidRPr="004C1015">
        <w:t xml:space="preserve">Powerlink, </w:t>
      </w:r>
      <w:r w:rsidRPr="004C1015">
        <w:rPr>
          <w:i/>
        </w:rPr>
        <w:t>Non-network Plan</w:t>
      </w:r>
      <w:r w:rsidRPr="004C1015">
        <w:t xml:space="preserve">, January </w:t>
      </w:r>
      <w:r>
        <w:t>2016</w:t>
      </w:r>
      <w:r w:rsidRPr="004C1015">
        <w:t>, p.17.</w:t>
      </w:r>
      <w:proofErr w:type="gramEnd"/>
    </w:p>
  </w:footnote>
  <w:footnote w:id="155">
    <w:p w:rsidR="00C54200" w:rsidRPr="004C1015" w:rsidRDefault="00C54200" w:rsidP="008C7B59">
      <w:pPr>
        <w:pStyle w:val="FootnoteText"/>
      </w:pPr>
      <w:r w:rsidRPr="00A64DF8">
        <w:rPr>
          <w:rStyle w:val="FootnoteReference"/>
        </w:rPr>
        <w:footnoteRef/>
      </w:r>
      <w:r w:rsidRPr="004C1015">
        <w:t xml:space="preserve"> </w:t>
      </w:r>
      <w:r>
        <w:tab/>
      </w:r>
      <w:r w:rsidR="00E9650D" w:rsidRPr="00E9650D">
        <w:t xml:space="preserve">CCP (Hugh Grant and David Headberry), </w:t>
      </w:r>
      <w:r w:rsidR="00E9650D" w:rsidRPr="00E9650D">
        <w:rPr>
          <w:rStyle w:val="Emphasis"/>
        </w:rPr>
        <w:t>Submission to the AER, Powerlink Queensland 2018–22 revenue proposal</w:t>
      </w:r>
      <w:r w:rsidR="00E9650D" w:rsidRPr="00E9650D">
        <w:t>, 20 June 2016</w:t>
      </w:r>
      <w:r w:rsidRPr="004C1015">
        <w:t>, p.</w:t>
      </w:r>
      <w:r w:rsidR="00E9650D">
        <w:t> </w:t>
      </w:r>
      <w:r w:rsidRPr="004C1015">
        <w:t xml:space="preserve">5. </w:t>
      </w:r>
    </w:p>
  </w:footnote>
  <w:footnote w:id="156">
    <w:p w:rsidR="00C54200" w:rsidRDefault="00C54200" w:rsidP="008C7B59">
      <w:pPr>
        <w:pStyle w:val="FootnoteText"/>
      </w:pPr>
      <w:r>
        <w:rPr>
          <w:rStyle w:val="FootnoteReference"/>
        </w:rPr>
        <w:footnoteRef/>
      </w:r>
      <w:r>
        <w:t xml:space="preserve"> </w:t>
      </w:r>
      <w:r>
        <w:tab/>
        <w:t>AER, Draft decision: AusNet Services transmission determination 2017–22: Attachment 6 - Capital Expenditure, July 2016, p. 6-70. AER, Final decision TransGrid transmission determination 2014–18: Attachment 6 - Capital Expenditure, April 2015, p. 6-71.</w:t>
      </w:r>
    </w:p>
  </w:footnote>
  <w:footnote w:id="157">
    <w:p w:rsidR="00C54200" w:rsidRDefault="00C54200" w:rsidP="008C7B59">
      <w:pPr>
        <w:pStyle w:val="FootnoteText"/>
      </w:pPr>
      <w:r w:rsidRPr="00A64DF8">
        <w:rPr>
          <w:rStyle w:val="FootnoteReference"/>
        </w:rPr>
        <w:footnoteRef/>
      </w:r>
      <w:r w:rsidRPr="004C1015">
        <w:t xml:space="preserve"> </w:t>
      </w:r>
      <w:r>
        <w:tab/>
      </w:r>
      <w:r w:rsidRPr="00A64DF8">
        <w:t>Powerlink</w:t>
      </w:r>
      <w:r w:rsidRPr="004C1015">
        <w:t xml:space="preserve">, </w:t>
      </w:r>
      <w:r w:rsidRPr="00A64DF8">
        <w:rPr>
          <w:rStyle w:val="AERtextitalic"/>
        </w:rPr>
        <w:t>Response to issues raised at AER public forum by Mr Hugh Grant</w:t>
      </w:r>
      <w:r w:rsidRPr="004C1015">
        <w:t>, 28 April 2016, pp.3-5.</w:t>
      </w:r>
      <w:r>
        <w:t xml:space="preserve">  </w:t>
      </w:r>
    </w:p>
  </w:footnote>
  <w:footnote w:id="158">
    <w:p w:rsidR="00C54200" w:rsidRDefault="00C54200" w:rsidP="008C7B59">
      <w:pPr>
        <w:pStyle w:val="FootnoteText"/>
      </w:pPr>
      <w:r>
        <w:rPr>
          <w:rStyle w:val="FootnoteReference"/>
        </w:rPr>
        <w:footnoteRef/>
      </w:r>
      <w:r>
        <w:t xml:space="preserve"> </w:t>
      </w:r>
      <w:r>
        <w:tab/>
      </w:r>
      <w:proofErr w:type="gramStart"/>
      <w:r>
        <w:t xml:space="preserve">Powerlink, </w:t>
      </w:r>
      <w:r w:rsidRPr="0059134E">
        <w:rPr>
          <w:rStyle w:val="AERtextitalic"/>
        </w:rPr>
        <w:t>RIN response, template 2.6</w:t>
      </w:r>
      <w:r>
        <w:t>.</w:t>
      </w:r>
      <w:proofErr w:type="gramEnd"/>
      <w:r>
        <w:t xml:space="preserve"> </w:t>
      </w:r>
      <w:proofErr w:type="gramStart"/>
      <w:r>
        <w:t>Excludes overheads.</w:t>
      </w:r>
      <w:proofErr w:type="gramEnd"/>
    </w:p>
  </w:footnote>
  <w:footnote w:id="159">
    <w:p w:rsidR="00C54200" w:rsidRDefault="00C54200" w:rsidP="008C7B59">
      <w:pPr>
        <w:pStyle w:val="FootnoteText"/>
      </w:pPr>
      <w:r>
        <w:rPr>
          <w:rStyle w:val="FootnoteReference"/>
        </w:rPr>
        <w:footnoteRef/>
      </w:r>
      <w:r>
        <w:t xml:space="preserve"> </w:t>
      </w:r>
      <w:r>
        <w:tab/>
        <w:t xml:space="preserve">Powerlink, </w:t>
      </w:r>
      <w:r>
        <w:rPr>
          <w:rStyle w:val="AERtextitalic"/>
        </w:rPr>
        <w:t xml:space="preserve">2018-22 </w:t>
      </w:r>
      <w:r w:rsidRPr="00E45A9A">
        <w:rPr>
          <w:rStyle w:val="AERtextitalic"/>
        </w:rPr>
        <w:t>Revenue Proposal Supporting</w:t>
      </w:r>
      <w:r>
        <w:rPr>
          <w:rStyle w:val="AERtextitalic"/>
        </w:rPr>
        <w:t xml:space="preserve"> Document: </w:t>
      </w:r>
      <w:r w:rsidRPr="00E45A9A">
        <w:rPr>
          <w:rStyle w:val="AERtextitalic"/>
        </w:rPr>
        <w:t>Non-</w:t>
      </w:r>
      <w:r>
        <w:rPr>
          <w:rStyle w:val="AERtextitalic"/>
        </w:rPr>
        <w:t>N</w:t>
      </w:r>
      <w:r w:rsidRPr="00E45A9A">
        <w:rPr>
          <w:rStyle w:val="AERtextitalic"/>
        </w:rPr>
        <w:t>etwork Plan</w:t>
      </w:r>
      <w:r>
        <w:t>, January 2016, p. 49.</w:t>
      </w:r>
    </w:p>
  </w:footnote>
  <w:footnote w:id="160">
    <w:p w:rsidR="00C54200" w:rsidRDefault="00C54200" w:rsidP="008C7B59">
      <w:pPr>
        <w:pStyle w:val="FootnoteText"/>
      </w:pPr>
      <w:r>
        <w:rPr>
          <w:rStyle w:val="FootnoteReference"/>
        </w:rPr>
        <w:footnoteRef/>
      </w:r>
      <w:r>
        <w:t xml:space="preserve"> </w:t>
      </w:r>
      <w:r>
        <w:tab/>
      </w:r>
      <w:r w:rsidRPr="006B6230">
        <w:t xml:space="preserve">Powerlink, </w:t>
      </w:r>
      <w:r w:rsidRPr="00EC1D2A">
        <w:rPr>
          <w:rStyle w:val="AERtextitalic"/>
        </w:rPr>
        <w:t>Regulatory proposal,</w:t>
      </w:r>
      <w:r w:rsidRPr="006B6230">
        <w:t xml:space="preserve"> </w:t>
      </w:r>
      <w:proofErr w:type="gramStart"/>
      <w:r w:rsidRPr="006B6230">
        <w:rPr>
          <w:rStyle w:val="AERtextitalic"/>
        </w:rPr>
        <w:t>2018-22 Powerlink Queensland Revenue Proposal Supporting Document</w:t>
      </w:r>
      <w:proofErr w:type="gramEnd"/>
      <w:r w:rsidRPr="006B6230">
        <w:rPr>
          <w:rStyle w:val="AERtextitalic"/>
        </w:rPr>
        <w:t>: Powerlink Queensland Non-Network Plan</w:t>
      </w:r>
      <w:r w:rsidRPr="006B6230">
        <w:t>, January 2016, p. 49.</w:t>
      </w:r>
    </w:p>
  </w:footnote>
  <w:footnote w:id="161">
    <w:p w:rsidR="00C54200" w:rsidRDefault="00C54200" w:rsidP="008C7B59">
      <w:pPr>
        <w:pStyle w:val="FootnoteText"/>
      </w:pPr>
      <w:r>
        <w:rPr>
          <w:rStyle w:val="FootnoteReference"/>
        </w:rPr>
        <w:footnoteRef/>
      </w:r>
      <w:r>
        <w:t xml:space="preserve"> </w:t>
      </w:r>
      <w:r>
        <w:tab/>
      </w:r>
      <w:proofErr w:type="gramStart"/>
      <w:r>
        <w:t>NER, cl. 6A.6.7(c).</w:t>
      </w:r>
      <w:proofErr w:type="gramEnd"/>
    </w:p>
  </w:footnote>
  <w:footnote w:id="162">
    <w:p w:rsidR="00C54200" w:rsidRDefault="00C54200" w:rsidP="008C7B59">
      <w:pPr>
        <w:pStyle w:val="FootnoteText"/>
      </w:pPr>
      <w:r>
        <w:rPr>
          <w:rStyle w:val="FootnoteReference"/>
        </w:rPr>
        <w:footnoteRef/>
      </w:r>
      <w:r>
        <w:t xml:space="preserve"> </w:t>
      </w:r>
      <w:r>
        <w:tab/>
      </w:r>
      <w:r w:rsidRPr="00614320">
        <w:t xml:space="preserve">Powerlink, </w:t>
      </w:r>
      <w:r w:rsidRPr="00614320">
        <w:rPr>
          <w:rStyle w:val="AERtextitalic"/>
        </w:rPr>
        <w:t>Regulatory information notice</w:t>
      </w:r>
      <w:r w:rsidRPr="00614320">
        <w:t xml:space="preserve">, template 2.6; Powerlink, </w:t>
      </w:r>
      <w:r w:rsidRPr="00614320">
        <w:rPr>
          <w:rStyle w:val="AERtextitalic"/>
        </w:rPr>
        <w:t>Category Analysis RIN 2014-15</w:t>
      </w:r>
      <w:r w:rsidRPr="00614320">
        <w:t xml:space="preserve">, template 2.6; Powerlink, </w:t>
      </w:r>
      <w:r w:rsidRPr="00614320">
        <w:rPr>
          <w:rStyle w:val="AERtextitalic"/>
        </w:rPr>
        <w:t>Category Analysis RIN 2013-14</w:t>
      </w:r>
      <w:r w:rsidRPr="00614320">
        <w:t xml:space="preserve">, template 2.6; Powerlink, </w:t>
      </w:r>
      <w:r w:rsidRPr="00614320">
        <w:rPr>
          <w:rStyle w:val="AERtextitalic"/>
        </w:rPr>
        <w:t>Category Analysis RIN 2008-2013</w:t>
      </w:r>
      <w:r>
        <w:t>, template </w:t>
      </w:r>
      <w:r w:rsidRPr="00614320">
        <w:t>2.5; AER analysis.</w:t>
      </w:r>
    </w:p>
  </w:footnote>
  <w:footnote w:id="163">
    <w:p w:rsidR="00C54200" w:rsidRDefault="00C54200" w:rsidP="008C7B59">
      <w:pPr>
        <w:pStyle w:val="FootnoteText"/>
      </w:pPr>
      <w:r>
        <w:rPr>
          <w:rStyle w:val="FootnoteReference"/>
        </w:rPr>
        <w:footnoteRef/>
      </w:r>
      <w:r>
        <w:t xml:space="preserve"> </w:t>
      </w:r>
      <w:r>
        <w:tab/>
      </w:r>
      <w:proofErr w:type="gramStart"/>
      <w:r>
        <w:t xml:space="preserve">Powerlink, </w:t>
      </w:r>
      <w:r w:rsidRPr="0059134E">
        <w:rPr>
          <w:rStyle w:val="AERtextitalic"/>
        </w:rPr>
        <w:t>RIN response, template 2.6</w:t>
      </w:r>
      <w:r>
        <w:t>.</w:t>
      </w:r>
      <w:proofErr w:type="gramEnd"/>
      <w:r>
        <w:t xml:space="preserve"> </w:t>
      </w:r>
      <w:proofErr w:type="gramStart"/>
      <w:r>
        <w:t>Excludes overheads.</w:t>
      </w:r>
      <w:proofErr w:type="gramEnd"/>
    </w:p>
  </w:footnote>
  <w:footnote w:id="164">
    <w:p w:rsidR="00C54200" w:rsidRDefault="00C54200" w:rsidP="008C7B59">
      <w:pPr>
        <w:pStyle w:val="FootnoteText"/>
      </w:pPr>
      <w:r>
        <w:rPr>
          <w:rStyle w:val="FootnoteReference"/>
        </w:rPr>
        <w:footnoteRef/>
      </w:r>
      <w:r>
        <w:t xml:space="preserve"> </w:t>
      </w:r>
      <w:r>
        <w:tab/>
        <w:t xml:space="preserve">Powerlink, </w:t>
      </w:r>
      <w:r w:rsidRPr="008B5EFB">
        <w:rPr>
          <w:rStyle w:val="AERtextitalic"/>
        </w:rPr>
        <w:t>Revenue proposal</w:t>
      </w:r>
      <w:r>
        <w:t xml:space="preserve">, January 2016, p. 47; and Powerlink, </w:t>
      </w:r>
      <w:r w:rsidRPr="00E45A9A">
        <w:rPr>
          <w:rStyle w:val="AERtextitalic"/>
        </w:rPr>
        <w:t>Revenue Proposal Supporting</w:t>
      </w:r>
      <w:r>
        <w:rPr>
          <w:rStyle w:val="AERtextitalic"/>
        </w:rPr>
        <w:t xml:space="preserve"> Document: </w:t>
      </w:r>
      <w:r w:rsidRPr="00E45A9A">
        <w:rPr>
          <w:rStyle w:val="AERtextitalic"/>
        </w:rPr>
        <w:t>Non-</w:t>
      </w:r>
      <w:r>
        <w:rPr>
          <w:rStyle w:val="AERtextitalic"/>
        </w:rPr>
        <w:t>N</w:t>
      </w:r>
      <w:r w:rsidRPr="00E45A9A">
        <w:rPr>
          <w:rStyle w:val="AERtextitalic"/>
        </w:rPr>
        <w:t>etwork Plan</w:t>
      </w:r>
      <w:r>
        <w:t>, January 2016, p. 47.</w:t>
      </w:r>
    </w:p>
  </w:footnote>
  <w:footnote w:id="165">
    <w:p w:rsidR="00C54200" w:rsidRDefault="00C54200" w:rsidP="008C7B59">
      <w:pPr>
        <w:pStyle w:val="FootnoteText"/>
      </w:pPr>
      <w:r>
        <w:rPr>
          <w:rStyle w:val="FootnoteReference"/>
        </w:rPr>
        <w:footnoteRef/>
      </w:r>
      <w:r>
        <w:t xml:space="preserve"> </w:t>
      </w:r>
      <w:r>
        <w:tab/>
        <w:t xml:space="preserve">Powerlink, </w:t>
      </w:r>
      <w:r w:rsidRPr="00E45A9A">
        <w:rPr>
          <w:rStyle w:val="AERtextitalic"/>
        </w:rPr>
        <w:t>Revenue Proposal Supporting</w:t>
      </w:r>
      <w:r>
        <w:rPr>
          <w:rStyle w:val="AERtextitalic"/>
        </w:rPr>
        <w:t xml:space="preserve"> Document: </w:t>
      </w:r>
      <w:r w:rsidRPr="00E45A9A">
        <w:rPr>
          <w:rStyle w:val="AERtextitalic"/>
        </w:rPr>
        <w:t>Non-</w:t>
      </w:r>
      <w:r>
        <w:rPr>
          <w:rStyle w:val="AERtextitalic"/>
        </w:rPr>
        <w:t>N</w:t>
      </w:r>
      <w:r w:rsidRPr="00E45A9A">
        <w:rPr>
          <w:rStyle w:val="AERtextitalic"/>
        </w:rPr>
        <w:t>etwork Plan</w:t>
      </w:r>
      <w:r>
        <w:t>, January 2016, p. 48.</w:t>
      </w:r>
    </w:p>
  </w:footnote>
  <w:footnote w:id="166">
    <w:p w:rsidR="00C54200" w:rsidRDefault="00C54200" w:rsidP="008C7B59">
      <w:pPr>
        <w:pStyle w:val="FootnoteText"/>
      </w:pPr>
      <w:r>
        <w:rPr>
          <w:rStyle w:val="FootnoteReference"/>
        </w:rPr>
        <w:footnoteRef/>
      </w:r>
      <w:r>
        <w:t xml:space="preserve"> </w:t>
      </w:r>
      <w:r>
        <w:tab/>
      </w:r>
      <w:proofErr w:type="gramStart"/>
      <w:r>
        <w:t>NER, cl. 6A.6.7(c).</w:t>
      </w:r>
      <w:proofErr w:type="gramEnd"/>
    </w:p>
  </w:footnote>
  <w:footnote w:id="167">
    <w:p w:rsidR="00C54200" w:rsidRDefault="00C54200" w:rsidP="008C7B59">
      <w:pPr>
        <w:pStyle w:val="FootnoteText"/>
      </w:pPr>
      <w:r>
        <w:rPr>
          <w:rStyle w:val="FootnoteReference"/>
        </w:rPr>
        <w:footnoteRef/>
      </w:r>
      <w:r>
        <w:t xml:space="preserve"> </w:t>
      </w:r>
      <w:r>
        <w:tab/>
      </w:r>
      <w:r w:rsidRPr="00614320">
        <w:t xml:space="preserve">Powerlink, </w:t>
      </w:r>
      <w:r w:rsidRPr="00614320">
        <w:rPr>
          <w:rStyle w:val="AERtextitalic"/>
        </w:rPr>
        <w:t>Regulatory information notice</w:t>
      </w:r>
      <w:r w:rsidRPr="00614320">
        <w:t xml:space="preserve">, template 2.6; Powerlink, </w:t>
      </w:r>
      <w:r w:rsidRPr="00614320">
        <w:rPr>
          <w:rStyle w:val="AERtextitalic"/>
        </w:rPr>
        <w:t>Category Analysis RIN 2014-15</w:t>
      </w:r>
      <w:r w:rsidRPr="00614320">
        <w:t xml:space="preserve">, template 2.6; Powerlink, </w:t>
      </w:r>
      <w:r w:rsidRPr="00614320">
        <w:rPr>
          <w:rStyle w:val="AERtextitalic"/>
        </w:rPr>
        <w:t>Category Analysis RIN 2013-14</w:t>
      </w:r>
      <w:r w:rsidRPr="00614320">
        <w:t xml:space="preserve">, template 2.6; Powerlink, </w:t>
      </w:r>
      <w:r w:rsidRPr="00614320">
        <w:rPr>
          <w:rStyle w:val="AERtextitalic"/>
        </w:rPr>
        <w:t>Category Analysis RIN 2008-2013</w:t>
      </w:r>
      <w:r w:rsidRPr="00614320">
        <w:t>, template 2.5; AER analysis.</w:t>
      </w:r>
    </w:p>
  </w:footnote>
  <w:footnote w:id="168">
    <w:p w:rsidR="00C54200" w:rsidRDefault="00C54200" w:rsidP="008C7B59">
      <w:pPr>
        <w:pStyle w:val="FootnoteText"/>
      </w:pPr>
      <w:r>
        <w:rPr>
          <w:rStyle w:val="FootnoteReference"/>
        </w:rPr>
        <w:footnoteRef/>
      </w:r>
      <w:r>
        <w:t xml:space="preserve"> </w:t>
      </w:r>
      <w:r>
        <w:tab/>
        <w:t xml:space="preserve">Powerlink, </w:t>
      </w:r>
      <w:r w:rsidRPr="00E45A9A">
        <w:rPr>
          <w:rStyle w:val="AERtextitalic"/>
        </w:rPr>
        <w:t>Revenue Proposal Supporting</w:t>
      </w:r>
      <w:r>
        <w:rPr>
          <w:rStyle w:val="AERtextitalic"/>
        </w:rPr>
        <w:t xml:space="preserve"> Document: </w:t>
      </w:r>
      <w:r w:rsidRPr="00E45A9A">
        <w:rPr>
          <w:rStyle w:val="AERtextitalic"/>
        </w:rPr>
        <w:t>Non-</w:t>
      </w:r>
      <w:r>
        <w:rPr>
          <w:rStyle w:val="AERtextitalic"/>
        </w:rPr>
        <w:t>N</w:t>
      </w:r>
      <w:r w:rsidRPr="00E45A9A">
        <w:rPr>
          <w:rStyle w:val="AERtextitalic"/>
        </w:rPr>
        <w:t>etwork Plan</w:t>
      </w:r>
      <w:r>
        <w:t>, January 2016, p. 47.</w:t>
      </w:r>
    </w:p>
  </w:footnote>
  <w:footnote w:id="169">
    <w:p w:rsidR="00C54200" w:rsidRDefault="00C54200" w:rsidP="008C7B59">
      <w:pPr>
        <w:pStyle w:val="FootnoteText"/>
      </w:pPr>
      <w:r>
        <w:rPr>
          <w:rStyle w:val="FootnoteReference"/>
        </w:rPr>
        <w:footnoteRef/>
      </w:r>
      <w:r>
        <w:t xml:space="preserve"> </w:t>
      </w:r>
      <w:r>
        <w:tab/>
      </w:r>
      <w:proofErr w:type="gramStart"/>
      <w:r>
        <w:t xml:space="preserve">Powerlink, </w:t>
      </w:r>
      <w:r w:rsidRPr="0059134E">
        <w:rPr>
          <w:rStyle w:val="AERtextitalic"/>
        </w:rPr>
        <w:t>RIN response, template 2.6</w:t>
      </w:r>
      <w:r>
        <w:t>.</w:t>
      </w:r>
      <w:proofErr w:type="gramEnd"/>
      <w:r>
        <w:t xml:space="preserve"> </w:t>
      </w:r>
      <w:proofErr w:type="gramStart"/>
      <w:r>
        <w:t>Excludes overheads.</w:t>
      </w:r>
      <w:proofErr w:type="gramEnd"/>
    </w:p>
  </w:footnote>
  <w:footnote w:id="170">
    <w:p w:rsidR="00C54200" w:rsidRDefault="00C54200" w:rsidP="008C7B59">
      <w:pPr>
        <w:pStyle w:val="FootnoteText"/>
      </w:pPr>
      <w:r>
        <w:rPr>
          <w:rStyle w:val="FootnoteReference"/>
        </w:rPr>
        <w:footnoteRef/>
      </w:r>
      <w:r>
        <w:t xml:space="preserve"> </w:t>
      </w:r>
      <w:r>
        <w:tab/>
        <w:t xml:space="preserve">Powerlink, </w:t>
      </w:r>
      <w:r>
        <w:rPr>
          <w:rStyle w:val="AERtextitalic"/>
        </w:rPr>
        <w:t xml:space="preserve">2018-22 </w:t>
      </w:r>
      <w:r w:rsidRPr="00E45A9A">
        <w:rPr>
          <w:rStyle w:val="AERtextitalic"/>
        </w:rPr>
        <w:t>Revenue Proposal Supporting</w:t>
      </w:r>
      <w:r>
        <w:rPr>
          <w:rStyle w:val="AERtextitalic"/>
        </w:rPr>
        <w:t xml:space="preserve"> Document: </w:t>
      </w:r>
      <w:r w:rsidRPr="00E45A9A">
        <w:rPr>
          <w:rStyle w:val="AERtextitalic"/>
        </w:rPr>
        <w:t>Non-</w:t>
      </w:r>
      <w:r>
        <w:rPr>
          <w:rStyle w:val="AERtextitalic"/>
        </w:rPr>
        <w:t>N</w:t>
      </w:r>
      <w:r w:rsidRPr="00E45A9A">
        <w:rPr>
          <w:rStyle w:val="AERtextitalic"/>
        </w:rPr>
        <w:t>etwork Plan</w:t>
      </w:r>
      <w:r>
        <w:t>, January 2016, p. 49.</w:t>
      </w:r>
    </w:p>
  </w:footnote>
  <w:footnote w:id="171">
    <w:p w:rsidR="00C54200" w:rsidRDefault="00C54200" w:rsidP="008C7B59">
      <w:pPr>
        <w:pStyle w:val="FootnoteText"/>
      </w:pPr>
      <w:r>
        <w:rPr>
          <w:rStyle w:val="FootnoteReference"/>
        </w:rPr>
        <w:footnoteRef/>
      </w:r>
      <w:r>
        <w:t xml:space="preserve"> </w:t>
      </w:r>
      <w:r>
        <w:tab/>
      </w:r>
      <w:proofErr w:type="gramStart"/>
      <w:r>
        <w:t>NER, cl. 6A.6.7(c).</w:t>
      </w:r>
      <w:proofErr w:type="gramEnd"/>
    </w:p>
  </w:footnote>
  <w:footnote w:id="172">
    <w:p w:rsidR="00C54200" w:rsidRDefault="00C54200" w:rsidP="00814879">
      <w:pPr>
        <w:pStyle w:val="FootnoteText"/>
      </w:pPr>
      <w:r>
        <w:rPr>
          <w:rStyle w:val="FootnoteReference"/>
        </w:rPr>
        <w:footnoteRef/>
      </w:r>
      <w:r>
        <w:t xml:space="preserve"> </w:t>
      </w:r>
      <w:r>
        <w:tab/>
      </w:r>
      <w:r w:rsidRPr="00614320">
        <w:t xml:space="preserve">Powerlink, </w:t>
      </w:r>
      <w:r w:rsidRPr="00614320">
        <w:rPr>
          <w:rStyle w:val="AERtextitalic"/>
        </w:rPr>
        <w:t>Regulatory information notice</w:t>
      </w:r>
      <w:r w:rsidRPr="00614320">
        <w:t xml:space="preserve">, template 2.6; Powerlink, </w:t>
      </w:r>
      <w:r w:rsidRPr="00614320">
        <w:rPr>
          <w:rStyle w:val="AERtextitalic"/>
        </w:rPr>
        <w:t>Category Analysis RIN 2014-15</w:t>
      </w:r>
      <w:r w:rsidRPr="00614320">
        <w:t xml:space="preserve">, template 2.6; Powerlink, </w:t>
      </w:r>
      <w:r w:rsidRPr="00614320">
        <w:rPr>
          <w:rStyle w:val="AERtextitalic"/>
        </w:rPr>
        <w:t>Category Analysis RIN 2013-14</w:t>
      </w:r>
      <w:r w:rsidRPr="00614320">
        <w:t xml:space="preserve">, template 2.6; Powerlink, </w:t>
      </w:r>
      <w:r w:rsidRPr="00614320">
        <w:rPr>
          <w:rStyle w:val="AERtextitalic"/>
        </w:rPr>
        <w:t>Category Analysis RIN 2008-2013</w:t>
      </w:r>
      <w:r w:rsidRPr="00614320">
        <w:t>, template 2.5; AER analysis.</w:t>
      </w:r>
    </w:p>
  </w:footnote>
  <w:footnote w:id="173">
    <w:p w:rsidR="00C54200" w:rsidRDefault="00C54200" w:rsidP="008C7B59">
      <w:pPr>
        <w:pStyle w:val="FootnoteText"/>
      </w:pPr>
      <w:r>
        <w:rPr>
          <w:rStyle w:val="FootnoteReference"/>
        </w:rPr>
        <w:footnoteRef/>
      </w:r>
      <w:r>
        <w:t xml:space="preserve"> </w:t>
      </w:r>
      <w:r>
        <w:tab/>
      </w:r>
      <w:proofErr w:type="gramStart"/>
      <w:r>
        <w:t xml:space="preserve">AEMO, </w:t>
      </w:r>
      <w:r w:rsidRPr="00963997">
        <w:rPr>
          <w:rStyle w:val="AERtextitalic"/>
        </w:rPr>
        <w:t>Transmission Connection Point Forecasting Report –for Queensland</w:t>
      </w:r>
      <w:r>
        <w:t>, June 2015.</w:t>
      </w:r>
      <w:proofErr w:type="gramEnd"/>
      <w:r>
        <w:t xml:space="preserve"> </w:t>
      </w:r>
    </w:p>
  </w:footnote>
  <w:footnote w:id="174">
    <w:p w:rsidR="00C54200" w:rsidRDefault="00C54200" w:rsidP="008C7B59">
      <w:pPr>
        <w:pStyle w:val="FootnoteText"/>
      </w:pPr>
      <w:r>
        <w:rPr>
          <w:rStyle w:val="FootnoteReference"/>
        </w:rPr>
        <w:footnoteRef/>
      </w:r>
      <w:r>
        <w:t xml:space="preserve"> </w:t>
      </w:r>
      <w:r>
        <w:tab/>
        <w:t xml:space="preserve">See AER, </w:t>
      </w:r>
      <w:hyperlink r:id="rId1" w:history="1">
        <w:r w:rsidRPr="00F75795">
          <w:rPr>
            <w:rStyle w:val="Hyperlink"/>
            <w:sz w:val="16"/>
          </w:rPr>
          <w:t>http://www.aer.gov.au/networks-pipelines/determinations-access-arrangements/powerlink-determination-2017-2022/proposal</w:t>
        </w:r>
      </w:hyperlink>
      <w:r>
        <w:rPr>
          <w:rStyle w:val="Hyperlink"/>
        </w:rPr>
        <w:t>.</w:t>
      </w:r>
      <w:r>
        <w:t xml:space="preserve"> </w:t>
      </w:r>
    </w:p>
  </w:footnote>
  <w:footnote w:id="175">
    <w:p w:rsidR="00C54200" w:rsidRDefault="00C54200" w:rsidP="008C7B59">
      <w:pPr>
        <w:pStyle w:val="FootnoteText"/>
      </w:pPr>
      <w:r>
        <w:rPr>
          <w:rStyle w:val="FootnoteReference"/>
        </w:rPr>
        <w:footnoteRef/>
      </w:r>
      <w:r>
        <w:t xml:space="preserve"> </w:t>
      </w:r>
      <w:r>
        <w:tab/>
      </w:r>
      <w:proofErr w:type="gramStart"/>
      <w:r>
        <w:t xml:space="preserve">Powerlink, Reset RINs; Powerlink, </w:t>
      </w:r>
      <w:r w:rsidRPr="006B3A53">
        <w:rPr>
          <w:rStyle w:val="AERtextitalic"/>
        </w:rPr>
        <w:t>Regulatory Proposal 2017–22</w:t>
      </w:r>
      <w:r>
        <w:t xml:space="preserve">, January 2016, </w:t>
      </w:r>
      <w:proofErr w:type="spellStart"/>
      <w:r>
        <w:t>p.III</w:t>
      </w:r>
      <w:proofErr w:type="spellEnd"/>
      <w:r>
        <w:t>.</w:t>
      </w:r>
      <w:proofErr w:type="gramEnd"/>
      <w:r>
        <w:t xml:space="preserve"> </w:t>
      </w:r>
    </w:p>
  </w:footnote>
  <w:footnote w:id="176">
    <w:p w:rsidR="00C54200" w:rsidRDefault="00C54200" w:rsidP="008C7B59">
      <w:pPr>
        <w:pStyle w:val="FootnoteText"/>
      </w:pPr>
      <w:r>
        <w:rPr>
          <w:rStyle w:val="FootnoteReference"/>
        </w:rPr>
        <w:footnoteRef/>
      </w:r>
      <w:r>
        <w:t xml:space="preserve"> </w:t>
      </w:r>
      <w:r>
        <w:tab/>
        <w:t xml:space="preserve">Powerlink, </w:t>
      </w:r>
      <w:r w:rsidRPr="006B3A53">
        <w:rPr>
          <w:rStyle w:val="AERtextitalic"/>
        </w:rPr>
        <w:t>Regulatory Proposal 2017–22</w:t>
      </w:r>
      <w:r>
        <w:t>, January 2016, p. 6.</w:t>
      </w:r>
    </w:p>
  </w:footnote>
  <w:footnote w:id="177">
    <w:p w:rsidR="00C54200" w:rsidRDefault="00C54200" w:rsidP="008C7B59">
      <w:pPr>
        <w:pStyle w:val="FootnoteText"/>
      </w:pPr>
      <w:r>
        <w:rPr>
          <w:rStyle w:val="FootnoteReference"/>
        </w:rPr>
        <w:footnoteRef/>
      </w:r>
      <w:r>
        <w:t xml:space="preserve"> </w:t>
      </w:r>
      <w:r>
        <w:tab/>
        <w:t xml:space="preserve">Powerlink, </w:t>
      </w:r>
      <w:r w:rsidRPr="006B3A53">
        <w:rPr>
          <w:rStyle w:val="AERtextitalic"/>
        </w:rPr>
        <w:t>Regulatory Proposal 2017–22</w:t>
      </w:r>
      <w:r>
        <w:t xml:space="preserve">, January 2016, p. 48. </w:t>
      </w:r>
    </w:p>
  </w:footnote>
  <w:footnote w:id="178">
    <w:p w:rsidR="00C54200" w:rsidRDefault="00C54200" w:rsidP="008C7B59">
      <w:pPr>
        <w:pStyle w:val="FootnoteText"/>
      </w:pPr>
      <w:r>
        <w:rPr>
          <w:rStyle w:val="FootnoteReference"/>
        </w:rPr>
        <w:footnoteRef/>
      </w:r>
      <w:r>
        <w:t xml:space="preserve"> </w:t>
      </w:r>
      <w:r>
        <w:tab/>
        <w:t xml:space="preserve">Powerlink, </w:t>
      </w:r>
      <w:r w:rsidRPr="006B3A53">
        <w:rPr>
          <w:rStyle w:val="AERtextitalic"/>
        </w:rPr>
        <w:t>Regulatory Proposal 2017–22</w:t>
      </w:r>
      <w:r>
        <w:t xml:space="preserve">, January 2016, p. 48. </w:t>
      </w:r>
    </w:p>
  </w:footnote>
  <w:footnote w:id="179">
    <w:p w:rsidR="00C54200" w:rsidRDefault="00C54200" w:rsidP="008C7B59">
      <w:pPr>
        <w:pStyle w:val="FootnoteText"/>
      </w:pPr>
      <w:r>
        <w:rPr>
          <w:rStyle w:val="FootnoteReference"/>
        </w:rPr>
        <w:footnoteRef/>
      </w:r>
      <w:r>
        <w:t xml:space="preserve"> </w:t>
      </w:r>
      <w:r>
        <w:tab/>
        <w:t>I</w:t>
      </w:r>
      <w:r w:rsidRPr="008A1C24">
        <w:t>t is more accurate to compare forecast demand with weather adjusted historical demand (because this better reflects the underlying trend in demand over time)</w:t>
      </w:r>
      <w:r>
        <w:t xml:space="preserve">. However, </w:t>
      </w:r>
      <w:r w:rsidRPr="008A1C24">
        <w:t xml:space="preserve">Powerlink has not reported weather corrected demand </w:t>
      </w:r>
      <w:r>
        <w:t>in its RINs. Given the relative insignificance of Powerlink’s demand forecast on capex, and the low forecast growth rate, we consider that seeking historical weather corrected data from Powerlink (which may be onerous) was not necessary.</w:t>
      </w:r>
    </w:p>
  </w:footnote>
  <w:footnote w:id="180">
    <w:p w:rsidR="00C54200" w:rsidRDefault="00C54200" w:rsidP="008C7B59">
      <w:pPr>
        <w:pStyle w:val="FootnoteText"/>
      </w:pPr>
      <w:r>
        <w:rPr>
          <w:rStyle w:val="FootnoteReference"/>
        </w:rPr>
        <w:footnoteRef/>
      </w:r>
      <w:r>
        <w:t xml:space="preserve"> </w:t>
      </w:r>
      <w:r>
        <w:tab/>
      </w:r>
      <w:proofErr w:type="gramStart"/>
      <w:r>
        <w:t xml:space="preserve">AEMO, </w:t>
      </w:r>
      <w:r w:rsidRPr="00963997">
        <w:rPr>
          <w:rStyle w:val="AERtextitalic"/>
        </w:rPr>
        <w:t>Transmission Connection Point Forecasting Report –for Queensland</w:t>
      </w:r>
      <w:r>
        <w:t>, June 2015.</w:t>
      </w:r>
      <w:proofErr w:type="gramEnd"/>
    </w:p>
  </w:footnote>
  <w:footnote w:id="181">
    <w:p w:rsidR="00C54200" w:rsidRDefault="00C54200" w:rsidP="008C7B59">
      <w:pPr>
        <w:pStyle w:val="FootnoteText"/>
      </w:pPr>
      <w:r>
        <w:rPr>
          <w:rStyle w:val="FootnoteReference"/>
        </w:rPr>
        <w:footnoteRef/>
      </w:r>
      <w:r>
        <w:t xml:space="preserve"> </w:t>
      </w:r>
      <w:r>
        <w:tab/>
        <w:t xml:space="preserve">AER, </w:t>
      </w:r>
      <w:r w:rsidRPr="00B34D14">
        <w:rPr>
          <w:rStyle w:val="AERtextitalic"/>
        </w:rPr>
        <w:t>Information Request to Powerlink, IR#001</w:t>
      </w:r>
      <w:r>
        <w:t xml:space="preserve">, 23 February 2016. </w:t>
      </w:r>
    </w:p>
  </w:footnote>
  <w:footnote w:id="182">
    <w:p w:rsidR="00C54200" w:rsidRDefault="00C54200" w:rsidP="008C7B59">
      <w:pPr>
        <w:pStyle w:val="FootnoteText"/>
      </w:pPr>
      <w:r>
        <w:rPr>
          <w:rStyle w:val="FootnoteReference"/>
        </w:rPr>
        <w:footnoteRef/>
      </w:r>
      <w:r>
        <w:t xml:space="preserve"> </w:t>
      </w:r>
      <w:r>
        <w:tab/>
        <w:t xml:space="preserve">Powerlink, </w:t>
      </w:r>
      <w:r w:rsidRPr="00FA0B75">
        <w:rPr>
          <w:rStyle w:val="AERtextitalic"/>
        </w:rPr>
        <w:t>Response to AER information request</w:t>
      </w:r>
      <w:r>
        <w:t xml:space="preserve">, 29 February 2016, pp. 3-4. </w:t>
      </w:r>
    </w:p>
  </w:footnote>
  <w:footnote w:id="183">
    <w:p w:rsidR="00C54200" w:rsidRDefault="00C54200" w:rsidP="008C7B59">
      <w:pPr>
        <w:pStyle w:val="FootnoteText"/>
      </w:pPr>
      <w:r>
        <w:rPr>
          <w:rStyle w:val="FootnoteReference"/>
        </w:rPr>
        <w:footnoteRef/>
      </w:r>
      <w:r>
        <w:t xml:space="preserve"> </w:t>
      </w:r>
      <w:r>
        <w:tab/>
      </w:r>
      <w:r w:rsidR="00E9650D" w:rsidRPr="00E9650D">
        <w:t xml:space="preserve">CCP (Hugh Grant and David Headberry), </w:t>
      </w:r>
      <w:r w:rsidR="00E9650D" w:rsidRPr="00E9650D">
        <w:rPr>
          <w:rStyle w:val="Emphasis"/>
        </w:rPr>
        <w:t>Submission to the AER, Powerlink Queensland 2018–22 revenue proposal</w:t>
      </w:r>
      <w:r w:rsidR="00E9650D" w:rsidRPr="00E9650D">
        <w:t>, 20 June 2016</w:t>
      </w:r>
      <w:r>
        <w:t xml:space="preserve">, p. 22. </w:t>
      </w:r>
    </w:p>
  </w:footnote>
  <w:footnote w:id="184">
    <w:p w:rsidR="00C54200" w:rsidRDefault="00C54200" w:rsidP="008C7B59">
      <w:pPr>
        <w:pStyle w:val="FootnoteText"/>
      </w:pPr>
      <w:r>
        <w:rPr>
          <w:rStyle w:val="FootnoteReference"/>
        </w:rPr>
        <w:footnoteRef/>
      </w:r>
      <w:r>
        <w:t xml:space="preserve"> </w:t>
      </w:r>
      <w:r>
        <w:tab/>
      </w:r>
      <w:r w:rsidR="00E9650D" w:rsidRPr="00E9650D">
        <w:t xml:space="preserve">CCP (Hugh Grant and David Headberry), </w:t>
      </w:r>
      <w:r w:rsidR="00E9650D" w:rsidRPr="00E9650D">
        <w:rPr>
          <w:rStyle w:val="Emphasis"/>
        </w:rPr>
        <w:t>Submission to the AER, Powerlink Queensland 2018–22 revenue proposal</w:t>
      </w:r>
      <w:r w:rsidR="00E9650D" w:rsidRPr="00E9650D">
        <w:t>, 20 June 2016</w:t>
      </w:r>
      <w:r>
        <w:t xml:space="preserve">, p. 26. </w:t>
      </w:r>
    </w:p>
  </w:footnote>
  <w:footnote w:id="185">
    <w:p w:rsidR="00C54200" w:rsidRDefault="00C54200" w:rsidP="008C7B59">
      <w:pPr>
        <w:pStyle w:val="FootnoteText"/>
      </w:pPr>
      <w:r>
        <w:rPr>
          <w:rStyle w:val="FootnoteReference"/>
        </w:rPr>
        <w:footnoteRef/>
      </w:r>
      <w:r>
        <w:t xml:space="preserve"> </w:t>
      </w:r>
      <w:r>
        <w:tab/>
      </w:r>
      <w:r w:rsidR="00E9650D">
        <w:t>CCP (</w:t>
      </w:r>
      <w:r w:rsidRPr="00C03F83">
        <w:t>Jo De Silva</w:t>
      </w:r>
      <w:r w:rsidR="00E9650D">
        <w:t>)</w:t>
      </w:r>
      <w:r w:rsidRPr="00C03F83">
        <w:t xml:space="preserve">, </w:t>
      </w:r>
      <w:r w:rsidRPr="008948CC">
        <w:rPr>
          <w:rStyle w:val="AERtextitalic"/>
        </w:rPr>
        <w:t xml:space="preserve">Submission to the </w:t>
      </w:r>
      <w:r>
        <w:rPr>
          <w:rStyle w:val="AERtextitalic"/>
        </w:rPr>
        <w:t xml:space="preserve">Australian Energy Regulator on Powerlink's </w:t>
      </w:r>
      <w:r w:rsidRPr="008948CC">
        <w:rPr>
          <w:rStyle w:val="AERtextitalic"/>
        </w:rPr>
        <w:t>Regulatory Proposal 2017–19</w:t>
      </w:r>
      <w:r w:rsidRPr="00C03F83">
        <w:t>, April 2016</w:t>
      </w:r>
      <w:r>
        <w:t>, p. 7.</w:t>
      </w:r>
    </w:p>
  </w:footnote>
  <w:footnote w:id="186">
    <w:p w:rsidR="00C54200" w:rsidRDefault="00C54200" w:rsidP="008C7B59">
      <w:pPr>
        <w:pStyle w:val="FootnoteText"/>
      </w:pPr>
      <w:r>
        <w:rPr>
          <w:rStyle w:val="FootnoteReference"/>
        </w:rPr>
        <w:footnoteRef/>
      </w:r>
      <w:r>
        <w:t xml:space="preserve"> </w:t>
      </w:r>
      <w:r>
        <w:tab/>
        <w:t xml:space="preserve">Cotton Australia, </w:t>
      </w:r>
      <w:r w:rsidRPr="008948CC">
        <w:rPr>
          <w:rStyle w:val="AERtextitalic"/>
        </w:rPr>
        <w:t>Submission on Powerlink Regulatory Proposal 2017-22</w:t>
      </w:r>
      <w:r>
        <w:t xml:space="preserve">, May 2016, p. 3. </w:t>
      </w:r>
    </w:p>
  </w:footnote>
  <w:footnote w:id="187">
    <w:p w:rsidR="00C54200" w:rsidRDefault="00C54200" w:rsidP="008C7B59">
      <w:pPr>
        <w:pStyle w:val="FootnoteText"/>
      </w:pPr>
      <w:r>
        <w:rPr>
          <w:rStyle w:val="FootnoteReference"/>
        </w:rPr>
        <w:footnoteRef/>
      </w:r>
      <w:r>
        <w:t xml:space="preserve"> </w:t>
      </w:r>
      <w:r>
        <w:tab/>
        <w:t xml:space="preserve">Powerlink, </w:t>
      </w:r>
      <w:r w:rsidRPr="00781018">
        <w:rPr>
          <w:i/>
        </w:rPr>
        <w:t xml:space="preserve">Revenue Proposal </w:t>
      </w:r>
      <w:r>
        <w:rPr>
          <w:i/>
        </w:rPr>
        <w:t>2017-22</w:t>
      </w:r>
      <w:r>
        <w:t>, January 2016, p. 57.</w:t>
      </w:r>
    </w:p>
  </w:footnote>
  <w:footnote w:id="188">
    <w:p w:rsidR="00C54200" w:rsidRDefault="00C54200" w:rsidP="008C7B59">
      <w:pPr>
        <w:pStyle w:val="FootnoteText"/>
      </w:pPr>
      <w:r>
        <w:rPr>
          <w:rStyle w:val="FootnoteReference"/>
        </w:rPr>
        <w:footnoteRef/>
      </w:r>
      <w:r>
        <w:t xml:space="preserve"> </w:t>
      </w:r>
      <w:r>
        <w:tab/>
        <w:t xml:space="preserve">Powerlink, </w:t>
      </w:r>
      <w:r w:rsidRPr="00781018">
        <w:rPr>
          <w:i/>
        </w:rPr>
        <w:t xml:space="preserve">Revenue Proposal </w:t>
      </w:r>
      <w:r>
        <w:rPr>
          <w:i/>
        </w:rPr>
        <w:t>2017-22</w:t>
      </w:r>
      <w:r>
        <w:t>, January 2016, p. 57.</w:t>
      </w:r>
    </w:p>
  </w:footnote>
  <w:footnote w:id="189">
    <w:p w:rsidR="00C54200" w:rsidRDefault="00C54200" w:rsidP="008C7B59">
      <w:pPr>
        <w:pStyle w:val="FootnoteText"/>
      </w:pPr>
      <w:r>
        <w:rPr>
          <w:rStyle w:val="FootnoteReference"/>
        </w:rPr>
        <w:footnoteRef/>
      </w:r>
      <w:r>
        <w:t xml:space="preserve"> </w:t>
      </w:r>
      <w:r>
        <w:tab/>
      </w:r>
      <w:r w:rsidRPr="00433129">
        <w:t xml:space="preserve">Powerlink, </w:t>
      </w:r>
      <w:r w:rsidRPr="00AE49EE">
        <w:rPr>
          <w:rStyle w:val="AERtextitalic"/>
        </w:rPr>
        <w:t xml:space="preserve">Revenue Proposal </w:t>
      </w:r>
      <w:r>
        <w:rPr>
          <w:rStyle w:val="AERtextitalic"/>
        </w:rPr>
        <w:t>2017-22</w:t>
      </w:r>
      <w:r w:rsidRPr="00433129">
        <w:t>, January 2016, p</w:t>
      </w:r>
      <w:r>
        <w:t xml:space="preserve">p. 56–57; 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5.12, Contingent Project and Triggers Ernst and Young</w:t>
      </w:r>
      <w:r>
        <w:t xml:space="preserve">, January 2016.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w:t>
      </w:r>
    </w:p>
  </w:footnote>
  <w:footnote w:id="190">
    <w:p w:rsidR="00C54200" w:rsidRDefault="00C54200" w:rsidP="008C7B59">
      <w:pPr>
        <w:pStyle w:val="FootnoteText"/>
      </w:pPr>
      <w:r>
        <w:rPr>
          <w:rStyle w:val="FootnoteReference"/>
        </w:rPr>
        <w:footnoteRef/>
      </w:r>
      <w:r>
        <w:t xml:space="preserve"> </w:t>
      </w:r>
      <w:r>
        <w:tab/>
        <w:t>NER, cl. 6A.8.1(c</w:t>
      </w:r>
      <w:proofErr w:type="gramStart"/>
      <w:r>
        <w:t>)(</w:t>
      </w:r>
      <w:proofErr w:type="gramEnd"/>
      <w:r>
        <w:t>5).</w:t>
      </w:r>
    </w:p>
  </w:footnote>
  <w:footnote w:id="191">
    <w:p w:rsidR="00C54200" w:rsidRDefault="00C54200" w:rsidP="008C7B59">
      <w:pPr>
        <w:pStyle w:val="FootnoteText"/>
      </w:pPr>
      <w:r>
        <w:rPr>
          <w:rStyle w:val="FootnoteReference"/>
        </w:rPr>
        <w:footnoteRef/>
      </w:r>
      <w:r>
        <w:t xml:space="preserve"> </w:t>
      </w:r>
      <w:r>
        <w:tab/>
      </w:r>
      <w:proofErr w:type="gramStart"/>
      <w:r>
        <w:t>NER, cl. 6A.8.2.</w:t>
      </w:r>
      <w:proofErr w:type="gramEnd"/>
    </w:p>
  </w:footnote>
  <w:footnote w:id="192">
    <w:p w:rsidR="00C54200" w:rsidRDefault="00C54200" w:rsidP="008C7B59">
      <w:pPr>
        <w:pStyle w:val="FootnoteText"/>
      </w:pPr>
      <w:r>
        <w:rPr>
          <w:rStyle w:val="FootnoteReference"/>
        </w:rPr>
        <w:footnoteRef/>
      </w:r>
      <w:r>
        <w:t xml:space="preserve"> </w:t>
      </w:r>
      <w:r>
        <w:tab/>
      </w:r>
      <w:proofErr w:type="gramStart"/>
      <w:r>
        <w:t>NER, cl.</w:t>
      </w:r>
      <w:r w:rsidRPr="00361B4E">
        <w:t xml:space="preserve"> 6A.8.1.</w:t>
      </w:r>
      <w:proofErr w:type="gramEnd"/>
    </w:p>
  </w:footnote>
  <w:footnote w:id="193">
    <w:p w:rsidR="00C54200" w:rsidRDefault="00C54200" w:rsidP="008C7B59">
      <w:pPr>
        <w:pStyle w:val="FootnoteText"/>
      </w:pPr>
      <w:r>
        <w:rPr>
          <w:rStyle w:val="FootnoteReference"/>
        </w:rPr>
        <w:footnoteRef/>
      </w:r>
      <w:r>
        <w:t xml:space="preserve"> </w:t>
      </w:r>
      <w:r>
        <w:tab/>
        <w:t>NER, cl.</w:t>
      </w:r>
      <w:r w:rsidRPr="00361B4E">
        <w:t xml:space="preserve"> </w:t>
      </w:r>
      <w:proofErr w:type="gramStart"/>
      <w:r w:rsidRPr="00361B4E">
        <w:t>6A.8.1(</w:t>
      </w:r>
      <w:proofErr w:type="gramEnd"/>
      <w:r w:rsidRPr="00361B4E">
        <w:t>b)(1).</w:t>
      </w:r>
    </w:p>
  </w:footnote>
  <w:footnote w:id="194">
    <w:p w:rsidR="00C54200" w:rsidRDefault="00C54200" w:rsidP="008C7B59">
      <w:pPr>
        <w:pStyle w:val="FootnoteText"/>
      </w:pPr>
      <w:r>
        <w:rPr>
          <w:rStyle w:val="FootnoteReference"/>
        </w:rPr>
        <w:footnoteRef/>
      </w:r>
      <w:r>
        <w:t xml:space="preserve"> </w:t>
      </w:r>
      <w:r>
        <w:tab/>
        <w:t>NER, cl.</w:t>
      </w:r>
      <w:r w:rsidRPr="00361B4E">
        <w:t xml:space="preserve"> </w:t>
      </w:r>
      <w:proofErr w:type="gramStart"/>
      <w:r w:rsidRPr="00361B4E">
        <w:t>6A.8.1(</w:t>
      </w:r>
      <w:proofErr w:type="gramEnd"/>
      <w:r w:rsidRPr="00361B4E">
        <w:t>b)(2)(</w:t>
      </w:r>
      <w:proofErr w:type="spellStart"/>
      <w:r w:rsidRPr="00361B4E">
        <w:t>i</w:t>
      </w:r>
      <w:proofErr w:type="spellEnd"/>
      <w:r w:rsidRPr="00361B4E">
        <w:t>).</w:t>
      </w:r>
      <w:r>
        <w:t xml:space="preserve"> Relevantly, a</w:t>
      </w:r>
      <w:r w:rsidRPr="00512191">
        <w:t xml:space="preserve"> TNSP must include forecast capex in its revenue proposal </w:t>
      </w:r>
      <w:r>
        <w:t xml:space="preserve">which it considers is required in order </w:t>
      </w:r>
      <w:r w:rsidRPr="00512191">
        <w:t xml:space="preserve">to meet </w:t>
      </w:r>
      <w:r>
        <w:t xml:space="preserve">or manage </w:t>
      </w:r>
      <w:r w:rsidRPr="00512191">
        <w:t>expected</w:t>
      </w:r>
      <w:r>
        <w:t xml:space="preserve"> </w:t>
      </w:r>
      <w:r w:rsidRPr="00512191">
        <w:t>demand</w:t>
      </w:r>
      <w:r>
        <w:t xml:space="preserve"> for prescribed transmission services over the regulatory control period (see </w:t>
      </w:r>
      <w:r w:rsidRPr="00361B4E">
        <w:t>NER, cl</w:t>
      </w:r>
      <w:r>
        <w:t>.</w:t>
      </w:r>
      <w:r w:rsidRPr="00361B4E">
        <w:t xml:space="preserve"> 6A.6.7(a)(1)</w:t>
      </w:r>
      <w:r>
        <w:t xml:space="preserve">). </w:t>
      </w:r>
    </w:p>
  </w:footnote>
  <w:footnote w:id="195">
    <w:p w:rsidR="00C54200" w:rsidRDefault="00C54200" w:rsidP="008C7B59">
      <w:pPr>
        <w:pStyle w:val="FootnoteText"/>
      </w:pPr>
      <w:r>
        <w:rPr>
          <w:rStyle w:val="FootnoteReference"/>
        </w:rPr>
        <w:footnoteRef/>
      </w:r>
      <w:r>
        <w:t xml:space="preserve"> </w:t>
      </w:r>
      <w:r>
        <w:tab/>
      </w:r>
      <w:r w:rsidRPr="00361B4E">
        <w:t>NER, cl</w:t>
      </w:r>
      <w:r>
        <w:t>.</w:t>
      </w:r>
      <w:r w:rsidRPr="00361B4E">
        <w:t xml:space="preserve"> </w:t>
      </w:r>
      <w:proofErr w:type="gramStart"/>
      <w:r w:rsidRPr="00361B4E">
        <w:t>6A.8.1(</w:t>
      </w:r>
      <w:proofErr w:type="gramEnd"/>
      <w:r w:rsidRPr="00361B4E">
        <w:t>b)(2)(ii).</w:t>
      </w:r>
    </w:p>
  </w:footnote>
  <w:footnote w:id="196">
    <w:p w:rsidR="00C54200" w:rsidRDefault="00C54200" w:rsidP="008C7B59">
      <w:pPr>
        <w:pStyle w:val="FootnoteText"/>
      </w:pPr>
      <w:r>
        <w:rPr>
          <w:rStyle w:val="FootnoteReference"/>
        </w:rPr>
        <w:footnoteRef/>
      </w:r>
      <w:r>
        <w:t xml:space="preserve"> </w:t>
      </w:r>
      <w:r>
        <w:tab/>
      </w:r>
      <w:r w:rsidRPr="00361B4E">
        <w:t>NER, cl</w:t>
      </w:r>
      <w:r>
        <w:t>.</w:t>
      </w:r>
      <w:r w:rsidRPr="00361B4E">
        <w:t xml:space="preserve"> </w:t>
      </w:r>
      <w:proofErr w:type="gramStart"/>
      <w:r w:rsidRPr="00361B4E">
        <w:t>6A.8.1(</w:t>
      </w:r>
      <w:proofErr w:type="gramEnd"/>
      <w:r w:rsidRPr="00361B4E">
        <w:t>b)(2)(iii).</w:t>
      </w:r>
    </w:p>
  </w:footnote>
  <w:footnote w:id="197">
    <w:p w:rsidR="00C54200" w:rsidRDefault="00C54200" w:rsidP="008C7B59">
      <w:pPr>
        <w:pStyle w:val="FootnoteText"/>
      </w:pPr>
      <w:r>
        <w:rPr>
          <w:rStyle w:val="FootnoteReference"/>
        </w:rPr>
        <w:footnoteRef/>
      </w:r>
      <w:r>
        <w:t xml:space="preserve"> </w:t>
      </w:r>
      <w:r>
        <w:tab/>
        <w:t xml:space="preserve">NER, cl. </w:t>
      </w:r>
      <w:proofErr w:type="gramStart"/>
      <w:r>
        <w:t>6A.8.1(</w:t>
      </w:r>
      <w:proofErr w:type="gramEnd"/>
      <w:r>
        <w:t>b)(4).</w:t>
      </w:r>
    </w:p>
  </w:footnote>
  <w:footnote w:id="198">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Powerlink, </w:t>
      </w:r>
      <w:r w:rsidRPr="0096575A">
        <w:rPr>
          <w:rStyle w:val="AERtextitalic"/>
        </w:rPr>
        <w:t>Response to AER information request 005</w:t>
      </w:r>
      <w:r>
        <w:t xml:space="preserve">, 7 June 2016; Powerlink, </w:t>
      </w:r>
      <w:r w:rsidRPr="0096575A">
        <w:rPr>
          <w:rStyle w:val="AERtextitalic"/>
        </w:rPr>
        <w:t>Response to AER information request 017</w:t>
      </w:r>
      <w:r>
        <w:t xml:space="preserve">, 8 and 9 August 2016.  </w:t>
      </w:r>
    </w:p>
  </w:footnote>
  <w:footnote w:id="199">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5.12, Contingent Project and Triggers Ernst and Young</w:t>
      </w:r>
      <w:r>
        <w:t>, January 2016.</w:t>
      </w:r>
    </w:p>
  </w:footnote>
  <w:footnote w:id="200">
    <w:p w:rsidR="00C54200" w:rsidRDefault="00C54200" w:rsidP="008C7B59">
      <w:pPr>
        <w:pStyle w:val="FootnoteText"/>
      </w:pPr>
      <w:r>
        <w:rPr>
          <w:rStyle w:val="FootnoteReference"/>
        </w:rPr>
        <w:footnoteRef/>
      </w:r>
      <w:r>
        <w:t xml:space="preserve"> </w:t>
      </w:r>
      <w:r>
        <w:tab/>
        <w:t xml:space="preserve">Powerlink, </w:t>
      </w:r>
      <w:r w:rsidRPr="0096575A">
        <w:rPr>
          <w:rStyle w:val="AERtextitalic"/>
        </w:rPr>
        <w:t>Response to AER information request 005</w:t>
      </w:r>
      <w:r>
        <w:t xml:space="preserve">, 7 June 2016, p. 3. </w:t>
      </w:r>
    </w:p>
  </w:footnote>
  <w:footnote w:id="201">
    <w:p w:rsidR="00C54200" w:rsidRDefault="00C54200" w:rsidP="008C7B59">
      <w:pPr>
        <w:pStyle w:val="FootnoteText"/>
      </w:pPr>
      <w:r>
        <w:rPr>
          <w:rStyle w:val="FootnoteReference"/>
        </w:rPr>
        <w:footnoteRef/>
      </w:r>
      <w:r>
        <w:t xml:space="preserve"> </w:t>
      </w:r>
      <w:r>
        <w:tab/>
      </w:r>
      <w:r w:rsidRPr="00361B4E">
        <w:t>NER, cl</w:t>
      </w:r>
      <w:r>
        <w:t>.</w:t>
      </w:r>
      <w:r w:rsidRPr="00361B4E">
        <w:t xml:space="preserve"> 6A.8.1(c</w:t>
      </w:r>
      <w:proofErr w:type="gramStart"/>
      <w:r w:rsidRPr="00361B4E">
        <w:t>)(</w:t>
      </w:r>
      <w:proofErr w:type="gramEnd"/>
      <w:r w:rsidRPr="00361B4E">
        <w:t>1).</w:t>
      </w:r>
    </w:p>
  </w:footnote>
  <w:footnote w:id="202">
    <w:p w:rsidR="00C54200" w:rsidRDefault="00C54200" w:rsidP="008C7B59">
      <w:pPr>
        <w:pStyle w:val="FootnoteText"/>
      </w:pPr>
      <w:r>
        <w:rPr>
          <w:rStyle w:val="FootnoteReference"/>
        </w:rPr>
        <w:footnoteRef/>
      </w:r>
      <w:r>
        <w:t xml:space="preserve"> </w:t>
      </w:r>
      <w:r>
        <w:tab/>
      </w:r>
      <w:r w:rsidRPr="00361B4E">
        <w:t>NER, cl</w:t>
      </w:r>
      <w:r>
        <w:t>.</w:t>
      </w:r>
      <w:r w:rsidRPr="00361B4E">
        <w:t xml:space="preserve"> 6A.8.1(c</w:t>
      </w:r>
      <w:proofErr w:type="gramStart"/>
      <w:r w:rsidRPr="00361B4E">
        <w:t>)(</w:t>
      </w:r>
      <w:proofErr w:type="gramEnd"/>
      <w:r w:rsidRPr="00361B4E">
        <w:t>2).</w:t>
      </w:r>
    </w:p>
  </w:footnote>
  <w:footnote w:id="203">
    <w:p w:rsidR="00C54200" w:rsidRDefault="00C54200" w:rsidP="008C7B59">
      <w:pPr>
        <w:pStyle w:val="FootnoteText"/>
      </w:pPr>
      <w:r>
        <w:rPr>
          <w:rStyle w:val="FootnoteReference"/>
        </w:rPr>
        <w:footnoteRef/>
      </w:r>
      <w:r>
        <w:t xml:space="preserve"> </w:t>
      </w:r>
      <w:r>
        <w:tab/>
        <w:t>NER, cl. 6A.8.1(c</w:t>
      </w:r>
      <w:proofErr w:type="gramStart"/>
      <w:r>
        <w:t>)(</w:t>
      </w:r>
      <w:proofErr w:type="gramEnd"/>
      <w:r>
        <w:t>3).</w:t>
      </w:r>
    </w:p>
  </w:footnote>
  <w:footnote w:id="204">
    <w:p w:rsidR="00C54200" w:rsidRDefault="00C54200" w:rsidP="008C7B59">
      <w:pPr>
        <w:pStyle w:val="FootnoteText"/>
      </w:pPr>
      <w:r>
        <w:rPr>
          <w:rStyle w:val="FootnoteReference"/>
        </w:rPr>
        <w:footnoteRef/>
      </w:r>
      <w:r>
        <w:t xml:space="preserve"> </w:t>
      </w:r>
      <w:r>
        <w:tab/>
      </w:r>
      <w:r w:rsidRPr="00361B4E">
        <w:t>NER, cl</w:t>
      </w:r>
      <w:r>
        <w:t>.</w:t>
      </w:r>
      <w:r w:rsidRPr="00361B4E">
        <w:t xml:space="preserve"> 6A.8.1(c</w:t>
      </w:r>
      <w:proofErr w:type="gramStart"/>
      <w:r w:rsidRPr="00361B4E">
        <w:t>)(</w:t>
      </w:r>
      <w:proofErr w:type="gramEnd"/>
      <w:r w:rsidRPr="00361B4E">
        <w:t>4).</w:t>
      </w:r>
    </w:p>
  </w:footnote>
  <w:footnote w:id="205">
    <w:p w:rsidR="00C54200" w:rsidRDefault="00C54200" w:rsidP="008C7B59">
      <w:pPr>
        <w:pStyle w:val="FootnoteText"/>
      </w:pPr>
      <w:r>
        <w:rPr>
          <w:rStyle w:val="FootnoteReference"/>
        </w:rPr>
        <w:footnoteRef/>
      </w:r>
      <w:r>
        <w:t xml:space="preserve"> </w:t>
      </w:r>
      <w:r>
        <w:tab/>
      </w:r>
      <w:r w:rsidRPr="00361B4E">
        <w:t>NER, cl</w:t>
      </w:r>
      <w:r>
        <w:t>.</w:t>
      </w:r>
      <w:r w:rsidRPr="00361B4E">
        <w:t xml:space="preserve"> 6A.8.1(c</w:t>
      </w:r>
      <w:proofErr w:type="gramStart"/>
      <w:r w:rsidRPr="00361B4E">
        <w:t>)(</w:t>
      </w:r>
      <w:proofErr w:type="gramEnd"/>
      <w:r w:rsidRPr="00361B4E">
        <w:t>5).</w:t>
      </w:r>
    </w:p>
  </w:footnote>
  <w:footnote w:id="206">
    <w:p w:rsidR="00C54200" w:rsidRDefault="00C54200" w:rsidP="008C7B59">
      <w:pPr>
        <w:pStyle w:val="FootnoteText"/>
      </w:pPr>
      <w:r>
        <w:rPr>
          <w:rStyle w:val="FootnoteReference"/>
        </w:rPr>
        <w:footnoteRef/>
      </w:r>
      <w:r>
        <w:t xml:space="preserve"> </w:t>
      </w:r>
      <w:r>
        <w:tab/>
        <w:t>NER, cl. 6A.8.1(c</w:t>
      </w:r>
      <w:proofErr w:type="gramStart"/>
      <w:r>
        <w:t>)(</w:t>
      </w:r>
      <w:proofErr w:type="gramEnd"/>
      <w:r>
        <w:t xml:space="preserve">2). </w:t>
      </w:r>
    </w:p>
  </w:footnote>
  <w:footnote w:id="207">
    <w:p w:rsidR="00C54200" w:rsidRDefault="00C54200" w:rsidP="008C7B59">
      <w:pPr>
        <w:pStyle w:val="FootnoteText"/>
      </w:pPr>
      <w:r>
        <w:rPr>
          <w:rStyle w:val="FootnoteReference"/>
        </w:rPr>
        <w:footnoteRef/>
      </w:r>
      <w:r>
        <w:t xml:space="preserve"> </w:t>
      </w:r>
      <w:r>
        <w:tab/>
      </w:r>
      <w:proofErr w:type="gramStart"/>
      <w:r>
        <w:t xml:space="preserve">NER, </w:t>
      </w:r>
      <w:r w:rsidRPr="00361B4E">
        <w:t>cl</w:t>
      </w:r>
      <w:r>
        <w:t>.</w:t>
      </w:r>
      <w:r w:rsidRPr="00361B4E">
        <w:t xml:space="preserve"> 6A.8.1(c)</w:t>
      </w:r>
      <w:r>
        <w:t>.</w:t>
      </w:r>
      <w:proofErr w:type="gramEnd"/>
      <w:r>
        <w:t xml:space="preserve"> </w:t>
      </w:r>
    </w:p>
  </w:footnote>
  <w:footnote w:id="208">
    <w:p w:rsidR="00C54200" w:rsidRDefault="00C54200" w:rsidP="008C7B59">
      <w:pPr>
        <w:pStyle w:val="FootnoteText"/>
      </w:pPr>
      <w:r>
        <w:rPr>
          <w:rStyle w:val="FootnoteReference"/>
        </w:rPr>
        <w:footnoteRef/>
      </w:r>
      <w:r>
        <w:t xml:space="preserve"> </w:t>
      </w:r>
      <w:r>
        <w:tab/>
        <w:t xml:space="preserve">Powerlink, </w:t>
      </w:r>
      <w:r w:rsidRPr="000E0A26">
        <w:rPr>
          <w:rStyle w:val="AERtextitalic"/>
        </w:rPr>
        <w:t>Response to Information Request 017</w:t>
      </w:r>
      <w:r>
        <w:t>, 8 August 2016, pp. 1-2</w:t>
      </w:r>
    </w:p>
  </w:footnote>
  <w:footnote w:id="209">
    <w:p w:rsidR="00C54200" w:rsidRDefault="00C54200" w:rsidP="008C7B59">
      <w:pPr>
        <w:pStyle w:val="FootnoteText"/>
      </w:pPr>
      <w:r>
        <w:rPr>
          <w:rStyle w:val="FootnoteReference"/>
        </w:rPr>
        <w:footnoteRef/>
      </w:r>
      <w:r>
        <w:t xml:space="preserve"> </w:t>
      </w:r>
      <w:r>
        <w:tab/>
        <w:t xml:space="preserve">See </w:t>
      </w:r>
      <w:r w:rsidRPr="00361B4E">
        <w:t>NER, cl</w:t>
      </w:r>
      <w:r>
        <w:t>.</w:t>
      </w:r>
      <w:r w:rsidRPr="00361B4E">
        <w:t xml:space="preserve"> </w:t>
      </w:r>
      <w:r>
        <w:t>6</w:t>
      </w:r>
      <w:proofErr w:type="gramStart"/>
      <w:r>
        <w:t>,3,6</w:t>
      </w:r>
      <w:proofErr w:type="gramEnd"/>
      <w:r w:rsidRPr="00361B4E">
        <w:t>(</w:t>
      </w:r>
      <w:r>
        <w:t>b</w:t>
      </w:r>
      <w:r w:rsidRPr="00361B4E">
        <w:t>)</w:t>
      </w:r>
      <w:r>
        <w:t xml:space="preserve"> and Schedule 5.6</w:t>
      </w:r>
      <w:r w:rsidRPr="00361B4E">
        <w:t>.</w:t>
      </w:r>
    </w:p>
  </w:footnote>
  <w:footnote w:id="210">
    <w:p w:rsidR="00C54200" w:rsidRDefault="00C54200" w:rsidP="008C7B59">
      <w:pPr>
        <w:pStyle w:val="FootnoteText"/>
      </w:pPr>
      <w:r>
        <w:rPr>
          <w:rStyle w:val="FootnoteReference"/>
        </w:rPr>
        <w:footnoteRef/>
      </w:r>
      <w:r>
        <w:t xml:space="preserve"> </w:t>
      </w:r>
      <w:r>
        <w:tab/>
        <w:t xml:space="preserve">NER, cl. </w:t>
      </w:r>
      <w:proofErr w:type="gramStart"/>
      <w:r>
        <w:t>6A.8.1(</w:t>
      </w:r>
      <w:proofErr w:type="gramEnd"/>
      <w:r>
        <w:t xml:space="preserve">b)(2)(iii). </w:t>
      </w:r>
    </w:p>
  </w:footnote>
  <w:footnote w:id="211">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p.3.  </w:t>
      </w:r>
    </w:p>
  </w:footnote>
  <w:footnote w:id="212">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p.3.  </w:t>
      </w:r>
    </w:p>
  </w:footnote>
  <w:footnote w:id="213">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p.4.  </w:t>
      </w:r>
    </w:p>
  </w:footnote>
  <w:footnote w:id="214">
    <w:p w:rsidR="00C54200" w:rsidRPr="00B71353" w:rsidRDefault="00C54200" w:rsidP="008C7B59">
      <w:pPr>
        <w:pStyle w:val="FootnoteText"/>
      </w:pPr>
      <w:r>
        <w:rPr>
          <w:rStyle w:val="FootnoteReference"/>
        </w:rPr>
        <w:footnoteRef/>
      </w:r>
      <w:r>
        <w:t xml:space="preserve"> </w:t>
      </w:r>
      <w:r>
        <w:tab/>
      </w:r>
      <w:proofErr w:type="gramStart"/>
      <w:r>
        <w:t xml:space="preserve">Powerlink, </w:t>
      </w:r>
      <w:r w:rsidRPr="00F83EAC">
        <w:rPr>
          <w:rStyle w:val="AERtextitalic"/>
        </w:rPr>
        <w:t>RR18-22 PQ0133 North West Surat Basin Area Contingent Project.pdf</w:t>
      </w:r>
      <w:r>
        <w:t>.</w:t>
      </w:r>
      <w:proofErr w:type="gramEnd"/>
    </w:p>
  </w:footnote>
  <w:footnote w:id="215">
    <w:p w:rsidR="00C54200" w:rsidRPr="00935D1A" w:rsidRDefault="00C54200" w:rsidP="008C7B59">
      <w:pPr>
        <w:pStyle w:val="FootnoteText"/>
      </w:pPr>
      <w:r>
        <w:rPr>
          <w:rStyle w:val="FootnoteReference"/>
        </w:rPr>
        <w:footnoteRef/>
      </w:r>
      <w:r>
        <w:t xml:space="preserve"> </w:t>
      </w:r>
      <w:r>
        <w:tab/>
      </w:r>
      <w:proofErr w:type="gramStart"/>
      <w:r>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5.12, Contingent Project and Triggers Ernst and Young</w:t>
      </w:r>
      <w:r>
        <w:t>, p17.</w:t>
      </w:r>
      <w:proofErr w:type="gramEnd"/>
    </w:p>
  </w:footnote>
  <w:footnote w:id="216">
    <w:p w:rsidR="00C54200" w:rsidRDefault="00C54200" w:rsidP="008C7B59">
      <w:pPr>
        <w:pStyle w:val="FootnoteText"/>
      </w:pPr>
      <w:r>
        <w:rPr>
          <w:rStyle w:val="FootnoteReference"/>
        </w:rPr>
        <w:footnoteRef/>
      </w:r>
      <w:r>
        <w:t xml:space="preserve"> </w:t>
      </w:r>
      <w:r>
        <w:tab/>
        <w:t xml:space="preserve">NER, cl. </w:t>
      </w:r>
      <w:proofErr w:type="gramStart"/>
      <w:r>
        <w:t>6A.8.1(</w:t>
      </w:r>
      <w:proofErr w:type="gramEnd"/>
      <w:r>
        <w:t xml:space="preserve">b). </w:t>
      </w:r>
    </w:p>
  </w:footnote>
  <w:footnote w:id="217">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p.6.  </w:t>
      </w:r>
    </w:p>
  </w:footnote>
  <w:footnote w:id="218">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p.6.  </w:t>
      </w:r>
    </w:p>
  </w:footnote>
  <w:footnote w:id="219">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p.6.  </w:t>
      </w:r>
    </w:p>
  </w:footnote>
  <w:footnote w:id="220">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p.7.  </w:t>
      </w:r>
    </w:p>
  </w:footnote>
  <w:footnote w:id="221">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p.7.  </w:t>
      </w:r>
    </w:p>
  </w:footnote>
  <w:footnote w:id="222">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2</w:t>
      </w:r>
      <w:r w:rsidRPr="00AE49EE">
        <w:rPr>
          <w:rStyle w:val="AERtextitalic"/>
        </w:rPr>
        <w:t xml:space="preserve">, </w:t>
      </w:r>
      <w:r>
        <w:rPr>
          <w:rStyle w:val="AERtextitalic"/>
        </w:rPr>
        <w:t xml:space="preserve">Contingent Project Scenarios and Triggers Ernst and Young, January 2016. </w:t>
      </w:r>
    </w:p>
  </w:footnote>
  <w:footnote w:id="223">
    <w:p w:rsidR="00C54200" w:rsidRDefault="00C54200" w:rsidP="008C7B59">
      <w:pPr>
        <w:pStyle w:val="FootnoteText"/>
      </w:pPr>
      <w:r>
        <w:rPr>
          <w:rStyle w:val="FootnoteReference"/>
        </w:rPr>
        <w:footnoteRef/>
      </w:r>
      <w:r>
        <w:t xml:space="preserve"> </w:t>
      </w:r>
      <w:r>
        <w:tab/>
        <w:t xml:space="preserve">NER, cl. </w:t>
      </w:r>
      <w:proofErr w:type="gramStart"/>
      <w:r>
        <w:t>6A.8.1(</w:t>
      </w:r>
      <w:proofErr w:type="gramEnd"/>
      <w:r>
        <w:t xml:space="preserve">b)(1). </w:t>
      </w:r>
    </w:p>
  </w:footnote>
  <w:footnote w:id="224">
    <w:p w:rsidR="00C54200" w:rsidRDefault="00C54200" w:rsidP="008C7B59">
      <w:pPr>
        <w:pStyle w:val="FootnoteText"/>
      </w:pPr>
      <w:r>
        <w:rPr>
          <w:rStyle w:val="FootnoteReference"/>
        </w:rPr>
        <w:footnoteRef/>
      </w:r>
      <w:r>
        <w:t xml:space="preserve"> </w:t>
      </w:r>
      <w:r>
        <w:tab/>
        <w:t>NER, cl. 6A.8.1(c)(1)</w:t>
      </w:r>
    </w:p>
  </w:footnote>
  <w:footnote w:id="225">
    <w:p w:rsidR="00C54200" w:rsidRDefault="00C54200" w:rsidP="008C7B59">
      <w:pPr>
        <w:pStyle w:val="FootnoteText"/>
      </w:pPr>
      <w:r>
        <w:rPr>
          <w:rStyle w:val="FootnoteReference"/>
        </w:rPr>
        <w:footnoteRef/>
      </w:r>
      <w:r>
        <w:t xml:space="preserve"> </w:t>
      </w:r>
      <w:r>
        <w:tab/>
        <w:t>NER, cl. 6A.8.1(c)(3)</w:t>
      </w:r>
    </w:p>
  </w:footnote>
  <w:footnote w:id="226">
    <w:p w:rsidR="00C54200" w:rsidRDefault="00C54200" w:rsidP="008C7B59">
      <w:pPr>
        <w:pStyle w:val="FootnoteText"/>
      </w:pPr>
      <w:r>
        <w:rPr>
          <w:rStyle w:val="FootnoteReference"/>
        </w:rPr>
        <w:footnoteRef/>
      </w:r>
      <w:r>
        <w:t xml:space="preserve"> </w:t>
      </w:r>
      <w:r>
        <w:tab/>
        <w:t>NER, cl. 6A.8.1(c</w:t>
      </w:r>
      <w:proofErr w:type="gramStart"/>
      <w:r>
        <w:t>)(</w:t>
      </w:r>
      <w:proofErr w:type="gramEnd"/>
      <w:r>
        <w:t>2).</w:t>
      </w:r>
    </w:p>
  </w:footnote>
  <w:footnote w:id="227">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p.9.  </w:t>
      </w:r>
    </w:p>
  </w:footnote>
  <w:footnote w:id="228">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p.10.  </w:t>
      </w:r>
    </w:p>
  </w:footnote>
  <w:footnote w:id="229">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p.10.  </w:t>
      </w:r>
    </w:p>
  </w:footnote>
  <w:footnote w:id="230">
    <w:p w:rsidR="00C54200" w:rsidRDefault="00C54200" w:rsidP="008C7B59">
      <w:pPr>
        <w:pStyle w:val="FootnoteText"/>
      </w:pPr>
      <w:r>
        <w:rPr>
          <w:rStyle w:val="FootnoteReference"/>
        </w:rPr>
        <w:footnoteRef/>
      </w:r>
      <w:r>
        <w:t xml:space="preserve"> </w:t>
      </w:r>
      <w:r>
        <w:tab/>
        <w:t xml:space="preserve">Queensland Government, Department of State Development, </w:t>
      </w:r>
      <w:r w:rsidRPr="002C1952">
        <w:t>Galilee Coal Project (Northern Export Facility)</w:t>
      </w:r>
      <w:r>
        <w:t xml:space="preserve">, available at </w:t>
      </w:r>
      <w:hyperlink r:id="rId2" w:history="1">
        <w:r w:rsidRPr="00606463">
          <w:rPr>
            <w:rStyle w:val="Hyperlink"/>
            <w:sz w:val="16"/>
          </w:rPr>
          <w:t>http://www.statedevelopment.qld.gov.au/assessments-and-approvals/galilee-coal-project.html</w:t>
        </w:r>
      </w:hyperlink>
      <w:r>
        <w:t xml:space="preserve">; </w:t>
      </w:r>
      <w:r w:rsidRPr="002C1952">
        <w:t xml:space="preserve">Queensland Government, Department of State Development, </w:t>
      </w:r>
      <w:r>
        <w:t>Alpha Coal Project</w:t>
      </w:r>
      <w:r w:rsidRPr="002C1952">
        <w:t>, available at</w:t>
      </w:r>
      <w:r>
        <w:t xml:space="preserve"> </w:t>
      </w:r>
      <w:hyperlink r:id="rId3" w:history="1">
        <w:r w:rsidRPr="00606463">
          <w:rPr>
            <w:rStyle w:val="Hyperlink"/>
            <w:sz w:val="16"/>
          </w:rPr>
          <w:t>http://www.statedevelopment.qld.gov.au/assessments-and-approvals/alpha-coal-project.html</w:t>
        </w:r>
      </w:hyperlink>
      <w:r>
        <w:t xml:space="preserve">; </w:t>
      </w:r>
      <w:r w:rsidRPr="002C1952">
        <w:t xml:space="preserve">Queensland Government, Department of State Development, </w:t>
      </w:r>
      <w:r>
        <w:t>Kevin's Corner Project</w:t>
      </w:r>
      <w:r w:rsidRPr="002C1952">
        <w:t>, available at</w:t>
      </w:r>
      <w:r>
        <w:t xml:space="preserve"> </w:t>
      </w:r>
      <w:hyperlink r:id="rId4" w:history="1">
        <w:r w:rsidRPr="00506D93">
          <w:rPr>
            <w:rStyle w:val="Hyperlink"/>
            <w:sz w:val="16"/>
          </w:rPr>
          <w:t>http://www.statedevelopment.qld.gov.au/assessments-and-approvals/kevin-s-corner-project.html</w:t>
        </w:r>
      </w:hyperlink>
      <w:r>
        <w:t>.</w:t>
      </w:r>
    </w:p>
  </w:footnote>
  <w:footnote w:id="231">
    <w:p w:rsidR="00C54200" w:rsidRDefault="00C54200" w:rsidP="008C7B59">
      <w:pPr>
        <w:pStyle w:val="FootnoteText"/>
      </w:pPr>
      <w:r>
        <w:rPr>
          <w:rStyle w:val="FootnoteReference"/>
        </w:rPr>
        <w:footnoteRef/>
      </w:r>
      <w:r>
        <w:t xml:space="preserve"> </w:t>
      </w:r>
      <w:r>
        <w:tab/>
      </w:r>
      <w:r w:rsidRPr="002C1952">
        <w:t>Powerlink</w:t>
      </w:r>
      <w:r>
        <w:t xml:space="preserve">, </w:t>
      </w:r>
      <w:r w:rsidRPr="000E0A26">
        <w:rPr>
          <w:rStyle w:val="AERtextitalic"/>
        </w:rPr>
        <w:t>Appendix 5.12 - Contingent Project Scenarios and Triggers Ernst &amp; Young</w:t>
      </w:r>
      <w:r>
        <w:t>,</w:t>
      </w:r>
      <w:r w:rsidRPr="002C1952">
        <w:t xml:space="preserve"> January 2016, p</w:t>
      </w:r>
      <w:r>
        <w:t>. 6.</w:t>
      </w:r>
    </w:p>
  </w:footnote>
  <w:footnote w:id="232">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5.12, Contingent Project and Triggers Ernst and Young</w:t>
      </w:r>
      <w:r>
        <w:t>,</w:t>
      </w:r>
      <w:r w:rsidRPr="002C1952">
        <w:t xml:space="preserve"> p</w:t>
      </w:r>
      <w:r>
        <w:t>. 14.</w:t>
      </w:r>
    </w:p>
  </w:footnote>
  <w:footnote w:id="233">
    <w:p w:rsidR="00C54200" w:rsidRDefault="00C54200" w:rsidP="008C7B59">
      <w:pPr>
        <w:pStyle w:val="FootnoteText"/>
      </w:pPr>
      <w:r>
        <w:rPr>
          <w:rStyle w:val="FootnoteReference"/>
        </w:rPr>
        <w:footnoteRef/>
      </w:r>
      <w:r>
        <w:t xml:space="preserve"> </w:t>
      </w:r>
      <w:r>
        <w:tab/>
        <w:t xml:space="preserve">Powerlink, </w:t>
      </w:r>
      <w:r w:rsidRPr="000B07FB">
        <w:rPr>
          <w:rStyle w:val="AERtextitalic"/>
        </w:rPr>
        <w:t>Response to Information Request 017, 9 August 2016</w:t>
      </w:r>
      <w:r>
        <w:t>, pp. 1-2.</w:t>
      </w:r>
    </w:p>
  </w:footnote>
  <w:footnote w:id="234">
    <w:p w:rsidR="00C54200" w:rsidRDefault="00C54200" w:rsidP="008C7B59">
      <w:pPr>
        <w:pStyle w:val="FootnoteText"/>
      </w:pPr>
      <w:r>
        <w:rPr>
          <w:rStyle w:val="FootnoteReference"/>
        </w:rPr>
        <w:footnoteRef/>
      </w:r>
      <w:r>
        <w:t xml:space="preserve"> </w:t>
      </w:r>
      <w:r>
        <w:tab/>
        <w:t xml:space="preserve">NER, cl. </w:t>
      </w:r>
      <w:proofErr w:type="gramStart"/>
      <w:r>
        <w:t>6A.8.1(</w:t>
      </w:r>
      <w:proofErr w:type="gramEnd"/>
      <w:r>
        <w:t xml:space="preserve">b). </w:t>
      </w:r>
    </w:p>
  </w:footnote>
  <w:footnote w:id="235">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p.12.  </w:t>
      </w:r>
    </w:p>
  </w:footnote>
  <w:footnote w:id="236">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p.14.  </w:t>
      </w:r>
    </w:p>
  </w:footnote>
  <w:footnote w:id="237">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p.13.  </w:t>
      </w:r>
    </w:p>
  </w:footnote>
  <w:footnote w:id="238">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p.13.  </w:t>
      </w:r>
    </w:p>
  </w:footnote>
  <w:footnote w:id="239">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2</w:t>
      </w:r>
      <w:r w:rsidRPr="00AE49EE">
        <w:rPr>
          <w:rStyle w:val="AERtextitalic"/>
        </w:rPr>
        <w:t xml:space="preserve">, </w:t>
      </w:r>
      <w:r>
        <w:rPr>
          <w:rStyle w:val="AERtextitalic"/>
        </w:rPr>
        <w:t>Ernst and Young, Contingent Project Scenarios and Triggers</w:t>
      </w:r>
      <w:r>
        <w:t xml:space="preserve">, January 2016, p.13.  </w:t>
      </w:r>
    </w:p>
  </w:footnote>
  <w:footnote w:id="240">
    <w:p w:rsidR="00C54200" w:rsidRDefault="00C54200" w:rsidP="008C7B59">
      <w:pPr>
        <w:pStyle w:val="FootnoteText"/>
      </w:pPr>
      <w:r>
        <w:rPr>
          <w:rStyle w:val="FootnoteReference"/>
        </w:rPr>
        <w:footnoteRef/>
      </w:r>
      <w:r>
        <w:t xml:space="preserve"> </w:t>
      </w:r>
      <w:r>
        <w:tab/>
        <w:t xml:space="preserve">See </w:t>
      </w:r>
      <w:hyperlink r:id="rId5" w:history="1">
        <w:r w:rsidRPr="00630BBE">
          <w:rPr>
            <w:rStyle w:val="Hyperlink"/>
            <w:sz w:val="16"/>
          </w:rPr>
          <w:t>https://www.arrowenergy.com.au/projects/project-assessment-eis/bowen-gas-project-eis</w:t>
        </w:r>
      </w:hyperlink>
      <w:r>
        <w:t>; accessed 16 August 2016.</w:t>
      </w:r>
    </w:p>
  </w:footnote>
  <w:footnote w:id="241">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p.15.  </w:t>
      </w:r>
    </w:p>
  </w:footnote>
  <w:footnote w:id="242">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p.15.  </w:t>
      </w:r>
    </w:p>
  </w:footnote>
  <w:footnote w:id="243">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p.19.  </w:t>
      </w:r>
    </w:p>
  </w:footnote>
  <w:footnote w:id="244">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p.15.  </w:t>
      </w:r>
    </w:p>
  </w:footnote>
  <w:footnote w:id="245">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2</w:t>
      </w:r>
      <w:r w:rsidRPr="00AE49EE">
        <w:rPr>
          <w:rStyle w:val="AERtextitalic"/>
        </w:rPr>
        <w:t xml:space="preserve">, </w:t>
      </w:r>
      <w:r>
        <w:rPr>
          <w:rStyle w:val="AERtextitalic"/>
        </w:rPr>
        <w:t>Ernst and Young, Contingent Project Scenarios and Triggers</w:t>
      </w:r>
      <w:r>
        <w:t xml:space="preserve">, January 2016, p.13.  </w:t>
      </w:r>
    </w:p>
  </w:footnote>
  <w:footnote w:id="246">
    <w:p w:rsidR="00C54200" w:rsidRDefault="00C54200" w:rsidP="008C7B59">
      <w:pPr>
        <w:pStyle w:val="FootnoteText"/>
      </w:pPr>
      <w:r>
        <w:rPr>
          <w:rStyle w:val="FootnoteReference"/>
        </w:rPr>
        <w:footnoteRef/>
      </w:r>
      <w:r>
        <w:t xml:space="preserve"> </w:t>
      </w:r>
      <w:r>
        <w:tab/>
        <w:t xml:space="preserve">See </w:t>
      </w:r>
      <w:hyperlink r:id="rId6" w:history="1">
        <w:r w:rsidRPr="00630BBE">
          <w:rPr>
            <w:rStyle w:val="Hyperlink"/>
            <w:sz w:val="16"/>
          </w:rPr>
          <w:t>http://epbcnotices.environment.gov.au/_entity/annotation/2f828db4-2fa8-e511-9621-005056ba00a7/a71d58ad-4cba-48b6-8dab-f3091fc31cd5?t=1450740730681</w:t>
        </w:r>
      </w:hyperlink>
      <w:r>
        <w:t>; accessed 16 August 2016.</w:t>
      </w:r>
    </w:p>
  </w:footnote>
  <w:footnote w:id="247">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p.17.  </w:t>
      </w:r>
    </w:p>
  </w:footnote>
  <w:footnote w:id="248">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p.17.  </w:t>
      </w:r>
    </w:p>
  </w:footnote>
  <w:footnote w:id="249">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p.19.  </w:t>
      </w:r>
    </w:p>
  </w:footnote>
  <w:footnote w:id="250">
    <w:p w:rsidR="00C54200" w:rsidRDefault="00C54200" w:rsidP="008C7B59">
      <w:pPr>
        <w:pStyle w:val="FootnoteText"/>
      </w:pPr>
      <w:r>
        <w:rPr>
          <w:rStyle w:val="FootnoteReference"/>
        </w:rPr>
        <w:footnoteRef/>
      </w:r>
      <w:r>
        <w:t xml:space="preserve"> </w:t>
      </w:r>
      <w:r>
        <w:tab/>
        <w:t>NER, cl. 6A.8.1(c)(1)</w:t>
      </w:r>
    </w:p>
  </w:footnote>
  <w:footnote w:id="251">
    <w:p w:rsidR="00C54200" w:rsidRDefault="00C54200" w:rsidP="008C7B59">
      <w:pPr>
        <w:pStyle w:val="FootnoteText"/>
      </w:pPr>
      <w:r>
        <w:rPr>
          <w:rStyle w:val="FootnoteReference"/>
        </w:rPr>
        <w:footnoteRef/>
      </w:r>
      <w:r>
        <w:t xml:space="preserve"> </w:t>
      </w:r>
      <w:r>
        <w:tab/>
        <w:t>NER, cl. 6A.8.1(c)(3)</w:t>
      </w:r>
    </w:p>
  </w:footnote>
  <w:footnote w:id="252">
    <w:p w:rsidR="00C54200" w:rsidRDefault="00C54200" w:rsidP="008C7B59">
      <w:pPr>
        <w:pStyle w:val="FootnoteText"/>
      </w:pPr>
      <w:r>
        <w:rPr>
          <w:rStyle w:val="FootnoteReference"/>
        </w:rPr>
        <w:footnoteRef/>
      </w:r>
      <w:r>
        <w:t xml:space="preserve"> </w:t>
      </w:r>
      <w:r>
        <w:tab/>
      </w:r>
      <w:r w:rsidRPr="008F3990">
        <w:t xml:space="preserve">Powerlink, </w:t>
      </w:r>
      <w:r w:rsidRPr="008F3990">
        <w:rPr>
          <w:rStyle w:val="AERtextitalic"/>
        </w:rPr>
        <w:t>Revenue Proposal 2017-22</w:t>
      </w:r>
      <w:r w:rsidRPr="008F3990">
        <w:t xml:space="preserve">, </w:t>
      </w:r>
      <w:r w:rsidRPr="008F3990">
        <w:rPr>
          <w:rStyle w:val="AERtextitalic"/>
        </w:rPr>
        <w:t>Appendix 5.13, Contingent Projects</w:t>
      </w:r>
      <w:r w:rsidRPr="008F3990">
        <w:t>, January 2016, p.</w:t>
      </w:r>
      <w:r>
        <w:t>19</w:t>
      </w:r>
      <w:r w:rsidRPr="008F3990">
        <w:t xml:space="preserve">.  </w:t>
      </w:r>
    </w:p>
  </w:footnote>
  <w:footnote w:id="253">
    <w:p w:rsidR="00C54200" w:rsidRDefault="00C54200" w:rsidP="008C7B59">
      <w:pPr>
        <w:pStyle w:val="FootnoteText"/>
      </w:pPr>
      <w:r>
        <w:rPr>
          <w:rStyle w:val="FootnoteReference"/>
        </w:rPr>
        <w:footnoteRef/>
      </w:r>
      <w:r>
        <w:t xml:space="preserve"> </w:t>
      </w:r>
      <w:r>
        <w:tab/>
        <w:t>NER, cl. 6A.8.1(c</w:t>
      </w:r>
      <w:proofErr w:type="gramStart"/>
      <w:r>
        <w:t>)(</w:t>
      </w:r>
      <w:proofErr w:type="gramEnd"/>
      <w:r>
        <w:t>2).</w:t>
      </w:r>
    </w:p>
  </w:footnote>
  <w:footnote w:id="254">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 21.  </w:t>
      </w:r>
    </w:p>
  </w:footnote>
  <w:footnote w:id="255">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 21.  </w:t>
      </w:r>
    </w:p>
  </w:footnote>
  <w:footnote w:id="256">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3</w:t>
      </w:r>
      <w:r w:rsidRPr="00AE49EE">
        <w:rPr>
          <w:rStyle w:val="AERtextitalic"/>
        </w:rPr>
        <w:t xml:space="preserve">, </w:t>
      </w:r>
      <w:r>
        <w:rPr>
          <w:rStyle w:val="AERtextitalic"/>
        </w:rPr>
        <w:t>Contingent Projects</w:t>
      </w:r>
      <w:r>
        <w:t xml:space="preserve">, January 2016, p. 22.  </w:t>
      </w:r>
    </w:p>
  </w:footnote>
  <w:footnote w:id="257">
    <w:p w:rsidR="00C54200" w:rsidRDefault="00C54200" w:rsidP="00B25E28">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2</w:t>
      </w:r>
      <w:r w:rsidRPr="00AE49EE">
        <w:rPr>
          <w:rStyle w:val="AERtextitalic"/>
        </w:rPr>
        <w:t xml:space="preserve">, </w:t>
      </w:r>
      <w:r>
        <w:rPr>
          <w:rStyle w:val="AERtextitalic"/>
        </w:rPr>
        <w:t xml:space="preserve">Ernst and Young, Contingent Project Scenarios and Triggers, January 2016, </w:t>
      </w:r>
      <w:r w:rsidRPr="000B07FB">
        <w:rPr>
          <w:rStyle w:val="AERtextsize8"/>
        </w:rPr>
        <w:t>p.</w:t>
      </w:r>
      <w:r>
        <w:rPr>
          <w:rStyle w:val="AERtextsize8"/>
        </w:rPr>
        <w:t xml:space="preserve"> </w:t>
      </w:r>
      <w:r w:rsidRPr="000B07FB">
        <w:rPr>
          <w:rStyle w:val="AERtextsize8"/>
        </w:rPr>
        <w:t>15</w:t>
      </w:r>
      <w:r>
        <w:rPr>
          <w:rStyle w:val="AERtextitalic"/>
        </w:rPr>
        <w:t>.</w:t>
      </w:r>
    </w:p>
  </w:footnote>
  <w:footnote w:id="258">
    <w:p w:rsidR="00C54200" w:rsidRDefault="00C54200" w:rsidP="008C7B59">
      <w:pPr>
        <w:pStyle w:val="FootnoteText"/>
      </w:pPr>
      <w:r>
        <w:rPr>
          <w:rStyle w:val="FootnoteReference"/>
        </w:rPr>
        <w:footnoteRef/>
      </w:r>
      <w:r>
        <w:t xml:space="preserve"> </w:t>
      </w:r>
      <w:r>
        <w:tab/>
        <w:t xml:space="preserve">Powerlink, </w:t>
      </w:r>
      <w:r w:rsidRPr="00AE49EE">
        <w:rPr>
          <w:rStyle w:val="AERtextitalic"/>
        </w:rPr>
        <w:t xml:space="preserve">Revenue Proposal </w:t>
      </w:r>
      <w:r>
        <w:rPr>
          <w:rStyle w:val="AERtextitalic"/>
        </w:rPr>
        <w:t>2017-22</w:t>
      </w:r>
      <w:r w:rsidRPr="00AE49EE">
        <w:t xml:space="preserve">, </w:t>
      </w:r>
      <w:r w:rsidRPr="00AE49EE">
        <w:rPr>
          <w:rStyle w:val="AERtextitalic"/>
        </w:rPr>
        <w:t>Appendix 5.1</w:t>
      </w:r>
      <w:r>
        <w:rPr>
          <w:rStyle w:val="AERtextitalic"/>
        </w:rPr>
        <w:t>2</w:t>
      </w:r>
      <w:r w:rsidRPr="00AE49EE">
        <w:rPr>
          <w:rStyle w:val="AERtextitalic"/>
        </w:rPr>
        <w:t xml:space="preserve">, </w:t>
      </w:r>
      <w:r>
        <w:rPr>
          <w:rStyle w:val="AERtextitalic"/>
        </w:rPr>
        <w:t xml:space="preserve">Contingent Project Scenarios and Triggers Ernst and Young, January 2016, </w:t>
      </w:r>
      <w:r w:rsidRPr="000B07FB">
        <w:rPr>
          <w:rStyle w:val="AERtextsize8"/>
        </w:rPr>
        <w:t>p.16</w:t>
      </w:r>
      <w:r>
        <w:rPr>
          <w:rStyle w:val="AERtextitalic"/>
        </w:rPr>
        <w:t xml:space="preserve">. </w:t>
      </w:r>
    </w:p>
  </w:footnote>
  <w:footnote w:id="259">
    <w:p w:rsidR="00C54200" w:rsidRDefault="00C54200" w:rsidP="008C7B59">
      <w:pPr>
        <w:pStyle w:val="FootnoteText"/>
      </w:pPr>
      <w:r>
        <w:rPr>
          <w:rStyle w:val="FootnoteReference"/>
        </w:rPr>
        <w:footnoteRef/>
      </w:r>
      <w:r>
        <w:t xml:space="preserve"> </w:t>
      </w:r>
      <w:r>
        <w:tab/>
        <w:t xml:space="preserve">Powerlink, </w:t>
      </w:r>
      <w:r w:rsidRPr="000B07FB">
        <w:rPr>
          <w:rStyle w:val="AERtextitalic"/>
        </w:rPr>
        <w:t>Response to information request 005</w:t>
      </w:r>
      <w:r>
        <w:t>, 8 June 2016.</w:t>
      </w:r>
    </w:p>
  </w:footnote>
  <w:footnote w:id="260">
    <w:p w:rsidR="00C54200" w:rsidRDefault="00C54200" w:rsidP="008C7B59">
      <w:pPr>
        <w:pStyle w:val="FootnoteText"/>
      </w:pPr>
      <w:r>
        <w:rPr>
          <w:rStyle w:val="FootnoteReference"/>
        </w:rPr>
        <w:footnoteRef/>
      </w:r>
      <w:r>
        <w:t xml:space="preserve"> </w:t>
      </w:r>
      <w:r>
        <w:tab/>
        <w:t>NER, cl. 6A.8.1(c)(1)</w:t>
      </w:r>
    </w:p>
  </w:footnote>
  <w:footnote w:id="261">
    <w:p w:rsidR="00C54200" w:rsidRDefault="00C54200" w:rsidP="008C7B59">
      <w:pPr>
        <w:pStyle w:val="FootnoteText"/>
      </w:pPr>
      <w:r>
        <w:rPr>
          <w:rStyle w:val="FootnoteReference"/>
        </w:rPr>
        <w:footnoteRef/>
      </w:r>
      <w:r>
        <w:t xml:space="preserve"> </w:t>
      </w:r>
      <w:r>
        <w:tab/>
        <w:t>NER, cl. 6A.8.1(c)(3)</w:t>
      </w:r>
    </w:p>
  </w:footnote>
  <w:footnote w:id="262">
    <w:p w:rsidR="00C54200" w:rsidRDefault="00C54200" w:rsidP="008C7B59">
      <w:pPr>
        <w:pStyle w:val="FootnoteText"/>
      </w:pPr>
      <w:r>
        <w:rPr>
          <w:rStyle w:val="FootnoteReference"/>
        </w:rPr>
        <w:footnoteRef/>
      </w:r>
      <w:r>
        <w:t xml:space="preserve"> </w:t>
      </w:r>
      <w:r>
        <w:tab/>
      </w:r>
      <w:r w:rsidRPr="008F3990">
        <w:t xml:space="preserve">Powerlink, </w:t>
      </w:r>
      <w:r w:rsidRPr="008F3990">
        <w:rPr>
          <w:rStyle w:val="AERtextitalic"/>
        </w:rPr>
        <w:t>Revenue Proposal 2017-22</w:t>
      </w:r>
      <w:r w:rsidRPr="008F3990">
        <w:t xml:space="preserve">, </w:t>
      </w:r>
      <w:r w:rsidRPr="008F3990">
        <w:rPr>
          <w:rStyle w:val="AERtextitalic"/>
        </w:rPr>
        <w:t>Appendix 5.13, Contingent Projects</w:t>
      </w:r>
      <w:r w:rsidRPr="008F3990">
        <w:t>, January 2016, p.</w:t>
      </w:r>
      <w:r>
        <w:t xml:space="preserve"> 22</w:t>
      </w:r>
      <w:r w:rsidRPr="008F3990">
        <w:t xml:space="preserve">.  </w:t>
      </w:r>
    </w:p>
  </w:footnote>
  <w:footnote w:id="263">
    <w:p w:rsidR="00C54200" w:rsidRDefault="00C54200" w:rsidP="008C7B59">
      <w:pPr>
        <w:pStyle w:val="FootnoteText"/>
      </w:pPr>
      <w:r>
        <w:rPr>
          <w:rStyle w:val="FootnoteReference"/>
        </w:rPr>
        <w:footnoteRef/>
      </w:r>
      <w:r>
        <w:t xml:space="preserve"> </w:t>
      </w:r>
      <w:r>
        <w:tab/>
        <w:t>NER, cl. 6A.8.1(c</w:t>
      </w:r>
      <w:proofErr w:type="gramStart"/>
      <w:r>
        <w:t>)(</w:t>
      </w:r>
      <w:proofErr w:type="gramEnd"/>
      <w:r>
        <w:t>2).</w:t>
      </w:r>
    </w:p>
  </w:footnote>
  <w:footnote w:id="264">
    <w:p w:rsidR="00C54200" w:rsidRDefault="00C54200" w:rsidP="008C7B59">
      <w:pPr>
        <w:pStyle w:val="FootnoteText"/>
      </w:pPr>
      <w:r>
        <w:rPr>
          <w:rStyle w:val="FootnoteReference"/>
        </w:rPr>
        <w:footnoteRef/>
      </w:r>
      <w:r>
        <w:t xml:space="preserve"> </w:t>
      </w:r>
      <w:r>
        <w:tab/>
      </w:r>
      <w:r w:rsidRPr="00493022">
        <w:t>NER</w:t>
      </w:r>
      <w:r>
        <w:t>,</w:t>
      </w:r>
      <w:r w:rsidRPr="00493022">
        <w:t xml:space="preserve"> cl. </w:t>
      </w:r>
      <w:proofErr w:type="gramStart"/>
      <w:r w:rsidRPr="00493022">
        <w:t>6A</w:t>
      </w:r>
      <w:r>
        <w:t>.</w:t>
      </w:r>
      <w:r w:rsidRPr="00493022">
        <w:t>14.2</w:t>
      </w:r>
      <w:r>
        <w:t>(</w:t>
      </w:r>
      <w:proofErr w:type="gramEnd"/>
      <w:r>
        <w:t>b).</w:t>
      </w:r>
    </w:p>
  </w:footnote>
  <w:footnote w:id="265">
    <w:p w:rsidR="00C54200" w:rsidRDefault="00C54200" w:rsidP="008C7B59">
      <w:pPr>
        <w:pStyle w:val="FootnoteText"/>
      </w:pPr>
      <w:r>
        <w:rPr>
          <w:rStyle w:val="FootnoteReference"/>
        </w:rPr>
        <w:footnoteRef/>
      </w:r>
      <w:r>
        <w:t xml:space="preserve"> </w:t>
      </w:r>
      <w:r>
        <w:tab/>
        <w:t xml:space="preserve">NER, cl. </w:t>
      </w:r>
      <w:proofErr w:type="gramStart"/>
      <w:r>
        <w:t>6A.5A(</w:t>
      </w:r>
      <w:proofErr w:type="gramEnd"/>
      <w:r>
        <w:t>a).</w:t>
      </w:r>
    </w:p>
  </w:footnote>
  <w:footnote w:id="266">
    <w:p w:rsidR="00C54200" w:rsidRDefault="00C54200" w:rsidP="008C7B59">
      <w:pPr>
        <w:pStyle w:val="FootnoteText"/>
      </w:pPr>
      <w:r>
        <w:rPr>
          <w:rStyle w:val="FootnoteReference"/>
        </w:rPr>
        <w:footnoteRef/>
      </w:r>
      <w:r>
        <w:t xml:space="preserve"> </w:t>
      </w:r>
      <w:r>
        <w:tab/>
        <w:t xml:space="preserve">NER, cl. </w:t>
      </w:r>
      <w:proofErr w:type="gramStart"/>
      <w:r w:rsidRPr="00916F9E">
        <w:t>S6A.2.2A(</w:t>
      </w:r>
      <w:proofErr w:type="gramEnd"/>
      <w:r w:rsidRPr="00916F9E">
        <w:t>a</w:t>
      </w:r>
      <w:r>
        <w:t>).</w:t>
      </w:r>
    </w:p>
  </w:footnote>
  <w:footnote w:id="267">
    <w:p w:rsidR="00C54200" w:rsidRDefault="00C54200" w:rsidP="008C7B59">
      <w:pPr>
        <w:pStyle w:val="FootnoteText"/>
      </w:pPr>
      <w:r>
        <w:rPr>
          <w:rStyle w:val="FootnoteReference"/>
        </w:rPr>
        <w:footnoteRef/>
      </w:r>
      <w:r>
        <w:t xml:space="preserve"> </w:t>
      </w:r>
      <w:r>
        <w:tab/>
      </w:r>
      <w:proofErr w:type="gramStart"/>
      <w:r>
        <w:t xml:space="preserve">NER, cl. </w:t>
      </w:r>
      <w:r w:rsidRPr="00916F9E">
        <w:t>11.59.4(a)</w:t>
      </w:r>
      <w:r>
        <w:t>.</w:t>
      </w:r>
      <w:proofErr w:type="gramEnd"/>
    </w:p>
  </w:footnote>
  <w:footnote w:id="268">
    <w:p w:rsidR="00C54200" w:rsidRDefault="00C54200" w:rsidP="008C7B59">
      <w:pPr>
        <w:pStyle w:val="FootnoteText"/>
      </w:pPr>
      <w:r>
        <w:rPr>
          <w:rStyle w:val="FootnoteReference"/>
        </w:rPr>
        <w:footnoteRef/>
      </w:r>
      <w:r>
        <w:t xml:space="preserve"> </w:t>
      </w:r>
      <w:r>
        <w:tab/>
      </w:r>
      <w:proofErr w:type="gramStart"/>
      <w:r>
        <w:t>NER, cl. S6A.2.2A.</w:t>
      </w:r>
      <w:proofErr w:type="gramEnd"/>
    </w:p>
  </w:footnote>
  <w:footnote w:id="269">
    <w:p w:rsidR="00C54200" w:rsidRDefault="00C54200" w:rsidP="008C7B59">
      <w:pPr>
        <w:pStyle w:val="FootnoteText"/>
      </w:pPr>
      <w:r>
        <w:rPr>
          <w:rStyle w:val="FootnoteReference"/>
        </w:rPr>
        <w:footnoteRef/>
      </w:r>
      <w:r>
        <w:t xml:space="preserve"> </w:t>
      </w:r>
      <w:r>
        <w:tab/>
        <w:t xml:space="preserve">AER, </w:t>
      </w:r>
      <w:r w:rsidRPr="00E17C25">
        <w:rPr>
          <w:rStyle w:val="AERtextitalic"/>
        </w:rPr>
        <w:t>Capital Expenditure Incentive Guideline</w:t>
      </w:r>
      <w:r>
        <w:t>, November 2013, pp. 19-22.</w:t>
      </w:r>
    </w:p>
  </w:footnote>
  <w:footnote w:id="270">
    <w:p w:rsidR="00C54200" w:rsidRDefault="00C54200" w:rsidP="00960B13">
      <w:pPr>
        <w:pStyle w:val="FootnoteText"/>
      </w:pPr>
      <w:r>
        <w:rPr>
          <w:rStyle w:val="FootnoteReference"/>
        </w:rPr>
        <w:footnoteRef/>
      </w:r>
      <w:r>
        <w:t xml:space="preserve"> </w:t>
      </w:r>
      <w:r>
        <w:tab/>
      </w:r>
      <w:proofErr w:type="gramStart"/>
      <w:r>
        <w:t>NER, cl. S6.2.2A(c).</w:t>
      </w:r>
      <w:proofErr w:type="gramEnd"/>
    </w:p>
  </w:footnote>
  <w:footnote w:id="271">
    <w:p w:rsidR="00C54200" w:rsidRDefault="00C54200" w:rsidP="008C7B59">
      <w:pPr>
        <w:pStyle w:val="FootnoteText"/>
      </w:pPr>
      <w:r>
        <w:rPr>
          <w:rStyle w:val="FootnoteReference"/>
        </w:rPr>
        <w:footnoteRef/>
      </w:r>
      <w:r>
        <w:t xml:space="preserve"> </w:t>
      </w:r>
      <w:r>
        <w:tab/>
        <w:t xml:space="preserve">AER, </w:t>
      </w:r>
      <w:r w:rsidRPr="00CE1FA6">
        <w:rPr>
          <w:rStyle w:val="AERtextitalic"/>
        </w:rPr>
        <w:t>Annual benchmarking report: Electricity transmission network service providers</w:t>
      </w:r>
      <w:r w:rsidRPr="00CE1FA6">
        <w:t>, November 2015</w:t>
      </w:r>
      <w:r>
        <w:t>.</w:t>
      </w:r>
    </w:p>
  </w:footnote>
  <w:footnote w:id="272">
    <w:p w:rsidR="00C54200" w:rsidRDefault="00C54200" w:rsidP="008C7B59">
      <w:pPr>
        <w:pStyle w:val="FootnoteText"/>
      </w:pPr>
      <w:r>
        <w:rPr>
          <w:rStyle w:val="FootnoteReference"/>
        </w:rPr>
        <w:footnoteRef/>
      </w:r>
      <w:r>
        <w:t xml:space="preserve"> </w:t>
      </w:r>
      <w:r>
        <w:tab/>
        <w:t xml:space="preserve">Powerlink, </w:t>
      </w:r>
      <w:r w:rsidRPr="00B25E28">
        <w:rPr>
          <w:rStyle w:val="AERtextitalic"/>
        </w:rPr>
        <w:t>Revenue Proposal 2017-22</w:t>
      </w:r>
      <w:r>
        <w:t>, January 2016, p. 28.</w:t>
      </w:r>
      <w:r w:rsidRPr="003C1F4D">
        <w:rPr>
          <w:rStyle w:val="AERtexthighlight"/>
        </w:rPr>
        <w:t xml:space="preserve"> </w:t>
      </w:r>
    </w:p>
  </w:footnote>
  <w:footnote w:id="273">
    <w:p w:rsidR="00C54200" w:rsidRDefault="00C54200" w:rsidP="008C7B59">
      <w:pPr>
        <w:pStyle w:val="FootnoteText"/>
      </w:pPr>
      <w:r>
        <w:rPr>
          <w:rStyle w:val="FootnoteReference"/>
        </w:rPr>
        <w:footnoteRef/>
      </w:r>
      <w:r>
        <w:t xml:space="preserve"> </w:t>
      </w:r>
      <w:r>
        <w:tab/>
        <w:t xml:space="preserve">Powerlink, </w:t>
      </w:r>
      <w:r w:rsidRPr="00B25E28">
        <w:rPr>
          <w:rStyle w:val="AERtextitalic"/>
        </w:rPr>
        <w:t>Revenue Proposal 2017-22</w:t>
      </w:r>
      <w:r>
        <w:t>, January 2016, p. 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200" w:rsidRDefault="00C542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A1BC593A"/>
    <w:lvl w:ilvl="0">
      <w:start w:val="1"/>
      <w:numFmt w:val="decimal"/>
      <w:pStyle w:val="ListNumber"/>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39CEEB5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1">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3">
    <w:nsid w:val="5ECE4384"/>
    <w:multiLevelType w:val="multilevel"/>
    <w:tmpl w:val="8E8ABC66"/>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004"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6E942E2"/>
    <w:multiLevelType w:val="multilevel"/>
    <w:tmpl w:val="26A042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6">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7"/>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5"/>
  </w:num>
  <w:num w:numId="13">
    <w:abstractNumId w:val="17"/>
  </w:num>
  <w:num w:numId="14">
    <w:abstractNumId w:val="10"/>
  </w:num>
  <w:num w:numId="15">
    <w:abstractNumId w:val="12"/>
  </w:num>
  <w:num w:numId="16">
    <w:abstractNumId w:val="18"/>
  </w:num>
  <w:num w:numId="17">
    <w:abstractNumId w:val="9"/>
  </w:num>
  <w:num w:numId="18">
    <w:abstractNumId w:val="14"/>
  </w:num>
  <w:num w:numId="19">
    <w:abstractNumId w:val="19"/>
  </w:num>
  <w:num w:numId="20">
    <w:abstractNumId w:val="26"/>
  </w:num>
  <w:num w:numId="21">
    <w:abstractNumId w:val="22"/>
  </w:num>
  <w:num w:numId="22">
    <w:abstractNumId w:val="20"/>
  </w:num>
  <w:num w:numId="23">
    <w:abstractNumId w:val="15"/>
  </w:num>
  <w:num w:numId="24">
    <w:abstractNumId w:val="21"/>
  </w:num>
  <w:num w:numId="25">
    <w:abstractNumId w:val="23"/>
  </w:num>
  <w:num w:numId="26">
    <w:abstractNumId w:val="16"/>
  </w:num>
  <w:num w:numId="27">
    <w:abstractNumId w:val="13"/>
  </w:num>
  <w:num w:numId="28">
    <w:abstractNumId w:val="8"/>
    <w:lvlOverride w:ilvl="0">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HE8F70huGfYkCawyZ87AHd4uhyxFbA65eS0T/Aj5qp0=" w:saltValue="7ENzS6Q5j2DsldaZfPeyjQ==" w:algorithmName="SHA-256"/>
  <w:defaultTabStop w:val="340"/>
  <w:characterSpacingControl w:val="doNotCompress"/>
  <w:hdrShapeDefaults>
    <o:shapedefaults v:ext="edit" spidmax="2539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mleco\aer - draft decision powerlink transmission determination - attachment 6 - capital expenditure - september 2016 - new ve (AER2016-000375).docx"/>
  </w:docVars>
  <w:rsids>
    <w:rsidRoot w:val="00961A4A"/>
    <w:rsid w:val="000051DC"/>
    <w:rsid w:val="0000658F"/>
    <w:rsid w:val="000126EA"/>
    <w:rsid w:val="0001507B"/>
    <w:rsid w:val="00020016"/>
    <w:rsid w:val="00021202"/>
    <w:rsid w:val="00021C2B"/>
    <w:rsid w:val="0002498B"/>
    <w:rsid w:val="0002517F"/>
    <w:rsid w:val="00025816"/>
    <w:rsid w:val="00026187"/>
    <w:rsid w:val="000266FC"/>
    <w:rsid w:val="000273B3"/>
    <w:rsid w:val="00027C4C"/>
    <w:rsid w:val="00027E2D"/>
    <w:rsid w:val="000341C1"/>
    <w:rsid w:val="0003578C"/>
    <w:rsid w:val="000361C7"/>
    <w:rsid w:val="00044DA3"/>
    <w:rsid w:val="000474DF"/>
    <w:rsid w:val="00055A67"/>
    <w:rsid w:val="00063247"/>
    <w:rsid w:val="0006624E"/>
    <w:rsid w:val="000709F9"/>
    <w:rsid w:val="00070F9F"/>
    <w:rsid w:val="00070FA5"/>
    <w:rsid w:val="0007137B"/>
    <w:rsid w:val="00073B74"/>
    <w:rsid w:val="0007453A"/>
    <w:rsid w:val="00076416"/>
    <w:rsid w:val="000805A8"/>
    <w:rsid w:val="0008190B"/>
    <w:rsid w:val="000836D9"/>
    <w:rsid w:val="00085663"/>
    <w:rsid w:val="00085EBF"/>
    <w:rsid w:val="00087E13"/>
    <w:rsid w:val="00091B15"/>
    <w:rsid w:val="00095186"/>
    <w:rsid w:val="000A0E71"/>
    <w:rsid w:val="000A1C0C"/>
    <w:rsid w:val="000A3020"/>
    <w:rsid w:val="000A4840"/>
    <w:rsid w:val="000A62C1"/>
    <w:rsid w:val="000A6A79"/>
    <w:rsid w:val="000A6C7B"/>
    <w:rsid w:val="000B0A7B"/>
    <w:rsid w:val="000B1173"/>
    <w:rsid w:val="000B5827"/>
    <w:rsid w:val="000B7037"/>
    <w:rsid w:val="000C02D1"/>
    <w:rsid w:val="000C0C63"/>
    <w:rsid w:val="000C2B40"/>
    <w:rsid w:val="000C5255"/>
    <w:rsid w:val="000C5ACF"/>
    <w:rsid w:val="000C766F"/>
    <w:rsid w:val="000D07A7"/>
    <w:rsid w:val="000D122C"/>
    <w:rsid w:val="000D197A"/>
    <w:rsid w:val="000D75B0"/>
    <w:rsid w:val="000E1819"/>
    <w:rsid w:val="000E4821"/>
    <w:rsid w:val="000E4AA9"/>
    <w:rsid w:val="000E6C72"/>
    <w:rsid w:val="000E7075"/>
    <w:rsid w:val="000E7F39"/>
    <w:rsid w:val="000F5929"/>
    <w:rsid w:val="00100EA2"/>
    <w:rsid w:val="00101AA1"/>
    <w:rsid w:val="00102338"/>
    <w:rsid w:val="00104566"/>
    <w:rsid w:val="00104FF6"/>
    <w:rsid w:val="00107AAB"/>
    <w:rsid w:val="001114AA"/>
    <w:rsid w:val="00113AAC"/>
    <w:rsid w:val="00114A77"/>
    <w:rsid w:val="00115743"/>
    <w:rsid w:val="00116EB2"/>
    <w:rsid w:val="0012132C"/>
    <w:rsid w:val="00124290"/>
    <w:rsid w:val="00124609"/>
    <w:rsid w:val="00126A4C"/>
    <w:rsid w:val="001270E3"/>
    <w:rsid w:val="00132D43"/>
    <w:rsid w:val="00133366"/>
    <w:rsid w:val="00133F47"/>
    <w:rsid w:val="00134029"/>
    <w:rsid w:val="00142C2D"/>
    <w:rsid w:val="00144C96"/>
    <w:rsid w:val="00144D27"/>
    <w:rsid w:val="0014573B"/>
    <w:rsid w:val="001463A3"/>
    <w:rsid w:val="0015073A"/>
    <w:rsid w:val="001573E4"/>
    <w:rsid w:val="00160756"/>
    <w:rsid w:val="00161DC8"/>
    <w:rsid w:val="00166760"/>
    <w:rsid w:val="00167FDE"/>
    <w:rsid w:val="0017232E"/>
    <w:rsid w:val="00174102"/>
    <w:rsid w:val="001754EE"/>
    <w:rsid w:val="00180157"/>
    <w:rsid w:val="001809BC"/>
    <w:rsid w:val="00180E97"/>
    <w:rsid w:val="001820B4"/>
    <w:rsid w:val="00184351"/>
    <w:rsid w:val="00184AC8"/>
    <w:rsid w:val="00185BA5"/>
    <w:rsid w:val="00185CB9"/>
    <w:rsid w:val="00185DBE"/>
    <w:rsid w:val="00186ADC"/>
    <w:rsid w:val="00186F77"/>
    <w:rsid w:val="001877A4"/>
    <w:rsid w:val="001926A4"/>
    <w:rsid w:val="00192AD5"/>
    <w:rsid w:val="00194597"/>
    <w:rsid w:val="00194E00"/>
    <w:rsid w:val="0019633E"/>
    <w:rsid w:val="0019745E"/>
    <w:rsid w:val="00197B16"/>
    <w:rsid w:val="001A530D"/>
    <w:rsid w:val="001A5FB3"/>
    <w:rsid w:val="001A7155"/>
    <w:rsid w:val="001B45A0"/>
    <w:rsid w:val="001B680E"/>
    <w:rsid w:val="001C6DFD"/>
    <w:rsid w:val="001D055E"/>
    <w:rsid w:val="001D1D7E"/>
    <w:rsid w:val="001E1B3F"/>
    <w:rsid w:val="001E7161"/>
    <w:rsid w:val="001F05A4"/>
    <w:rsid w:val="001F0613"/>
    <w:rsid w:val="001F3D4A"/>
    <w:rsid w:val="001F492E"/>
    <w:rsid w:val="001F64EF"/>
    <w:rsid w:val="001F6DA3"/>
    <w:rsid w:val="002010BC"/>
    <w:rsid w:val="002016E7"/>
    <w:rsid w:val="00202E03"/>
    <w:rsid w:val="002033B9"/>
    <w:rsid w:val="002043D0"/>
    <w:rsid w:val="0020492C"/>
    <w:rsid w:val="00204EC9"/>
    <w:rsid w:val="00206505"/>
    <w:rsid w:val="0020743F"/>
    <w:rsid w:val="00210AAA"/>
    <w:rsid w:val="002157D7"/>
    <w:rsid w:val="00216C93"/>
    <w:rsid w:val="002222CE"/>
    <w:rsid w:val="00223051"/>
    <w:rsid w:val="00224DB9"/>
    <w:rsid w:val="0022569A"/>
    <w:rsid w:val="0023005C"/>
    <w:rsid w:val="00231012"/>
    <w:rsid w:val="0023181C"/>
    <w:rsid w:val="00233775"/>
    <w:rsid w:val="0023414B"/>
    <w:rsid w:val="00243635"/>
    <w:rsid w:val="00245735"/>
    <w:rsid w:val="00247079"/>
    <w:rsid w:val="00250D0F"/>
    <w:rsid w:val="00251745"/>
    <w:rsid w:val="002552BA"/>
    <w:rsid w:val="00260016"/>
    <w:rsid w:val="00263AC0"/>
    <w:rsid w:val="00264264"/>
    <w:rsid w:val="00266070"/>
    <w:rsid w:val="0026689B"/>
    <w:rsid w:val="0026772D"/>
    <w:rsid w:val="002730B2"/>
    <w:rsid w:val="00274C7E"/>
    <w:rsid w:val="002777CF"/>
    <w:rsid w:val="002810F2"/>
    <w:rsid w:val="00286874"/>
    <w:rsid w:val="00290C63"/>
    <w:rsid w:val="00291A99"/>
    <w:rsid w:val="00292405"/>
    <w:rsid w:val="00293B6D"/>
    <w:rsid w:val="00294B08"/>
    <w:rsid w:val="0029518C"/>
    <w:rsid w:val="002963DD"/>
    <w:rsid w:val="00296B65"/>
    <w:rsid w:val="002A7DEF"/>
    <w:rsid w:val="002B0696"/>
    <w:rsid w:val="002C0222"/>
    <w:rsid w:val="002C1499"/>
    <w:rsid w:val="002C233C"/>
    <w:rsid w:val="002C517B"/>
    <w:rsid w:val="002D2507"/>
    <w:rsid w:val="002D3509"/>
    <w:rsid w:val="002D5457"/>
    <w:rsid w:val="002D72E8"/>
    <w:rsid w:val="002D79AD"/>
    <w:rsid w:val="002E268F"/>
    <w:rsid w:val="002E78DD"/>
    <w:rsid w:val="002E7B22"/>
    <w:rsid w:val="002F12EC"/>
    <w:rsid w:val="002F7986"/>
    <w:rsid w:val="00301B40"/>
    <w:rsid w:val="00301C82"/>
    <w:rsid w:val="003029EE"/>
    <w:rsid w:val="00304D38"/>
    <w:rsid w:val="00305CC8"/>
    <w:rsid w:val="00307F6D"/>
    <w:rsid w:val="00314D83"/>
    <w:rsid w:val="0031571F"/>
    <w:rsid w:val="003177A2"/>
    <w:rsid w:val="00317E02"/>
    <w:rsid w:val="003271B5"/>
    <w:rsid w:val="00327A1E"/>
    <w:rsid w:val="00327E28"/>
    <w:rsid w:val="00331264"/>
    <w:rsid w:val="00334C8D"/>
    <w:rsid w:val="003378BD"/>
    <w:rsid w:val="0034035D"/>
    <w:rsid w:val="003424EA"/>
    <w:rsid w:val="00342C2F"/>
    <w:rsid w:val="003436EB"/>
    <w:rsid w:val="00343A18"/>
    <w:rsid w:val="00345744"/>
    <w:rsid w:val="003518B3"/>
    <w:rsid w:val="00353E79"/>
    <w:rsid w:val="003571EA"/>
    <w:rsid w:val="00364EA0"/>
    <w:rsid w:val="00366981"/>
    <w:rsid w:val="00370678"/>
    <w:rsid w:val="0037214E"/>
    <w:rsid w:val="00372C85"/>
    <w:rsid w:val="00373845"/>
    <w:rsid w:val="003744E3"/>
    <w:rsid w:val="00375F71"/>
    <w:rsid w:val="00376219"/>
    <w:rsid w:val="0037663E"/>
    <w:rsid w:val="0037699E"/>
    <w:rsid w:val="00377A29"/>
    <w:rsid w:val="00377C69"/>
    <w:rsid w:val="0038415D"/>
    <w:rsid w:val="0038461C"/>
    <w:rsid w:val="003846F1"/>
    <w:rsid w:val="00390E6A"/>
    <w:rsid w:val="003916FE"/>
    <w:rsid w:val="00393ABE"/>
    <w:rsid w:val="00395DB6"/>
    <w:rsid w:val="0039710B"/>
    <w:rsid w:val="00397398"/>
    <w:rsid w:val="003A371A"/>
    <w:rsid w:val="003A59CD"/>
    <w:rsid w:val="003A6B00"/>
    <w:rsid w:val="003B30B2"/>
    <w:rsid w:val="003B484F"/>
    <w:rsid w:val="003B504B"/>
    <w:rsid w:val="003B5179"/>
    <w:rsid w:val="003B685C"/>
    <w:rsid w:val="003B7FBA"/>
    <w:rsid w:val="003C6537"/>
    <w:rsid w:val="003C6A13"/>
    <w:rsid w:val="003C73B5"/>
    <w:rsid w:val="003C764A"/>
    <w:rsid w:val="003C78BA"/>
    <w:rsid w:val="003D41F1"/>
    <w:rsid w:val="003D42AB"/>
    <w:rsid w:val="003D5B94"/>
    <w:rsid w:val="003E0D3A"/>
    <w:rsid w:val="003E2DF9"/>
    <w:rsid w:val="003E3AAB"/>
    <w:rsid w:val="003E4D62"/>
    <w:rsid w:val="003E7FE9"/>
    <w:rsid w:val="003F07D4"/>
    <w:rsid w:val="003F174D"/>
    <w:rsid w:val="003F2329"/>
    <w:rsid w:val="003F4E55"/>
    <w:rsid w:val="00400FD2"/>
    <w:rsid w:val="00403711"/>
    <w:rsid w:val="00404C52"/>
    <w:rsid w:val="004072E9"/>
    <w:rsid w:val="004156D5"/>
    <w:rsid w:val="00415BA9"/>
    <w:rsid w:val="00415F31"/>
    <w:rsid w:val="0041691D"/>
    <w:rsid w:val="0042000C"/>
    <w:rsid w:val="0042090E"/>
    <w:rsid w:val="00421F27"/>
    <w:rsid w:val="004238D8"/>
    <w:rsid w:val="00423A77"/>
    <w:rsid w:val="004324F4"/>
    <w:rsid w:val="00434544"/>
    <w:rsid w:val="00440607"/>
    <w:rsid w:val="00445D43"/>
    <w:rsid w:val="00446CD2"/>
    <w:rsid w:val="00447EF5"/>
    <w:rsid w:val="004542BD"/>
    <w:rsid w:val="0045777E"/>
    <w:rsid w:val="00465258"/>
    <w:rsid w:val="00476221"/>
    <w:rsid w:val="004766F5"/>
    <w:rsid w:val="00480B4B"/>
    <w:rsid w:val="004838D8"/>
    <w:rsid w:val="00485DC4"/>
    <w:rsid w:val="004872B0"/>
    <w:rsid w:val="00494D04"/>
    <w:rsid w:val="004A1A65"/>
    <w:rsid w:val="004A40BA"/>
    <w:rsid w:val="004A43D1"/>
    <w:rsid w:val="004A492B"/>
    <w:rsid w:val="004B4412"/>
    <w:rsid w:val="004C15D8"/>
    <w:rsid w:val="004C348C"/>
    <w:rsid w:val="004C462E"/>
    <w:rsid w:val="004C4AD4"/>
    <w:rsid w:val="004C6CA3"/>
    <w:rsid w:val="004C6F0C"/>
    <w:rsid w:val="004C7F5E"/>
    <w:rsid w:val="004D343C"/>
    <w:rsid w:val="004D372A"/>
    <w:rsid w:val="004D40D3"/>
    <w:rsid w:val="004D55BA"/>
    <w:rsid w:val="004D720C"/>
    <w:rsid w:val="004E0FA7"/>
    <w:rsid w:val="004E22EC"/>
    <w:rsid w:val="004F0BFA"/>
    <w:rsid w:val="004F4D69"/>
    <w:rsid w:val="004F6883"/>
    <w:rsid w:val="004F6A0E"/>
    <w:rsid w:val="004F6BB3"/>
    <w:rsid w:val="005009CD"/>
    <w:rsid w:val="00504E5F"/>
    <w:rsid w:val="00511256"/>
    <w:rsid w:val="00512044"/>
    <w:rsid w:val="0051337E"/>
    <w:rsid w:val="00513FA7"/>
    <w:rsid w:val="0051768F"/>
    <w:rsid w:val="00522DC2"/>
    <w:rsid w:val="005252EC"/>
    <w:rsid w:val="00530128"/>
    <w:rsid w:val="00532467"/>
    <w:rsid w:val="005332A9"/>
    <w:rsid w:val="00533E44"/>
    <w:rsid w:val="0053603C"/>
    <w:rsid w:val="00537871"/>
    <w:rsid w:val="00542FE9"/>
    <w:rsid w:val="00544598"/>
    <w:rsid w:val="00544C8D"/>
    <w:rsid w:val="00544DFD"/>
    <w:rsid w:val="00547FA9"/>
    <w:rsid w:val="00556B1E"/>
    <w:rsid w:val="005648CD"/>
    <w:rsid w:val="00564A4D"/>
    <w:rsid w:val="0056598C"/>
    <w:rsid w:val="00566E0B"/>
    <w:rsid w:val="00567BA5"/>
    <w:rsid w:val="00571B35"/>
    <w:rsid w:val="00571B43"/>
    <w:rsid w:val="00571D57"/>
    <w:rsid w:val="00573A3B"/>
    <w:rsid w:val="00577716"/>
    <w:rsid w:val="00577A09"/>
    <w:rsid w:val="005829C2"/>
    <w:rsid w:val="00584D8F"/>
    <w:rsid w:val="00587A18"/>
    <w:rsid w:val="005A0BEC"/>
    <w:rsid w:val="005A404D"/>
    <w:rsid w:val="005A6961"/>
    <w:rsid w:val="005B1E3C"/>
    <w:rsid w:val="005B4491"/>
    <w:rsid w:val="005B6518"/>
    <w:rsid w:val="005B704A"/>
    <w:rsid w:val="005B72D7"/>
    <w:rsid w:val="005C045F"/>
    <w:rsid w:val="005C16FE"/>
    <w:rsid w:val="005C1FAB"/>
    <w:rsid w:val="005C21A4"/>
    <w:rsid w:val="005C26CC"/>
    <w:rsid w:val="005D15EC"/>
    <w:rsid w:val="005D3D88"/>
    <w:rsid w:val="005D48C4"/>
    <w:rsid w:val="005D6208"/>
    <w:rsid w:val="005D6366"/>
    <w:rsid w:val="005D7BA2"/>
    <w:rsid w:val="005E36C2"/>
    <w:rsid w:val="005E4AF4"/>
    <w:rsid w:val="005F387E"/>
    <w:rsid w:val="00601E0B"/>
    <w:rsid w:val="0060258B"/>
    <w:rsid w:val="00610EF9"/>
    <w:rsid w:val="00612F4F"/>
    <w:rsid w:val="00614EA0"/>
    <w:rsid w:val="00615C6B"/>
    <w:rsid w:val="00616E18"/>
    <w:rsid w:val="00617D4C"/>
    <w:rsid w:val="00621DCE"/>
    <w:rsid w:val="00621FC5"/>
    <w:rsid w:val="006249FF"/>
    <w:rsid w:val="00624F2C"/>
    <w:rsid w:val="00626A11"/>
    <w:rsid w:val="006273B2"/>
    <w:rsid w:val="00632D6D"/>
    <w:rsid w:val="00636569"/>
    <w:rsid w:val="00636EF9"/>
    <w:rsid w:val="00642C3E"/>
    <w:rsid w:val="00644A01"/>
    <w:rsid w:val="00651E2D"/>
    <w:rsid w:val="00652324"/>
    <w:rsid w:val="006577FB"/>
    <w:rsid w:val="0066104A"/>
    <w:rsid w:val="00663066"/>
    <w:rsid w:val="00663DAD"/>
    <w:rsid w:val="00664206"/>
    <w:rsid w:val="006649E7"/>
    <w:rsid w:val="00666634"/>
    <w:rsid w:val="00671692"/>
    <w:rsid w:val="00675E20"/>
    <w:rsid w:val="00676679"/>
    <w:rsid w:val="00683C89"/>
    <w:rsid w:val="00691B53"/>
    <w:rsid w:val="00697D0B"/>
    <w:rsid w:val="006A12BA"/>
    <w:rsid w:val="006A4739"/>
    <w:rsid w:val="006A66A1"/>
    <w:rsid w:val="006B032D"/>
    <w:rsid w:val="006B2395"/>
    <w:rsid w:val="006B40AC"/>
    <w:rsid w:val="006B4CF9"/>
    <w:rsid w:val="006B6AAA"/>
    <w:rsid w:val="006B797C"/>
    <w:rsid w:val="006B7AC8"/>
    <w:rsid w:val="006C1736"/>
    <w:rsid w:val="006C329B"/>
    <w:rsid w:val="006C6303"/>
    <w:rsid w:val="006D0683"/>
    <w:rsid w:val="006D550F"/>
    <w:rsid w:val="006D6146"/>
    <w:rsid w:val="006D7F7E"/>
    <w:rsid w:val="006E0CFF"/>
    <w:rsid w:val="006E333B"/>
    <w:rsid w:val="006F0D92"/>
    <w:rsid w:val="006F267D"/>
    <w:rsid w:val="006F392C"/>
    <w:rsid w:val="006F4C17"/>
    <w:rsid w:val="0070011E"/>
    <w:rsid w:val="00701CAB"/>
    <w:rsid w:val="007023BB"/>
    <w:rsid w:val="00704DD7"/>
    <w:rsid w:val="00705782"/>
    <w:rsid w:val="00707563"/>
    <w:rsid w:val="00715F61"/>
    <w:rsid w:val="00722132"/>
    <w:rsid w:val="007228F7"/>
    <w:rsid w:val="0072348C"/>
    <w:rsid w:val="00724A37"/>
    <w:rsid w:val="007303C3"/>
    <w:rsid w:val="00731188"/>
    <w:rsid w:val="007320CD"/>
    <w:rsid w:val="007356CC"/>
    <w:rsid w:val="007368E6"/>
    <w:rsid w:val="007375DF"/>
    <w:rsid w:val="007429BE"/>
    <w:rsid w:val="00743223"/>
    <w:rsid w:val="00743349"/>
    <w:rsid w:val="0074403A"/>
    <w:rsid w:val="00744B06"/>
    <w:rsid w:val="0074600E"/>
    <w:rsid w:val="00746E01"/>
    <w:rsid w:val="00751DCD"/>
    <w:rsid w:val="00753586"/>
    <w:rsid w:val="00755084"/>
    <w:rsid w:val="00757364"/>
    <w:rsid w:val="00757BDF"/>
    <w:rsid w:val="007609D0"/>
    <w:rsid w:val="00761454"/>
    <w:rsid w:val="0076193D"/>
    <w:rsid w:val="00763E5D"/>
    <w:rsid w:val="00767740"/>
    <w:rsid w:val="00767B5E"/>
    <w:rsid w:val="00775460"/>
    <w:rsid w:val="00777EE6"/>
    <w:rsid w:val="00782EEA"/>
    <w:rsid w:val="007909B4"/>
    <w:rsid w:val="00790E86"/>
    <w:rsid w:val="007949D7"/>
    <w:rsid w:val="007A0143"/>
    <w:rsid w:val="007A34C2"/>
    <w:rsid w:val="007A396C"/>
    <w:rsid w:val="007A4B02"/>
    <w:rsid w:val="007B0BE3"/>
    <w:rsid w:val="007B1816"/>
    <w:rsid w:val="007B186E"/>
    <w:rsid w:val="007B25DC"/>
    <w:rsid w:val="007B2C72"/>
    <w:rsid w:val="007B3789"/>
    <w:rsid w:val="007B4065"/>
    <w:rsid w:val="007B651F"/>
    <w:rsid w:val="007B7BB5"/>
    <w:rsid w:val="007C1C53"/>
    <w:rsid w:val="007C284C"/>
    <w:rsid w:val="007C3024"/>
    <w:rsid w:val="007C4B82"/>
    <w:rsid w:val="007C74BB"/>
    <w:rsid w:val="007C7F64"/>
    <w:rsid w:val="007D0A95"/>
    <w:rsid w:val="007D0EB5"/>
    <w:rsid w:val="007D456E"/>
    <w:rsid w:val="007D5837"/>
    <w:rsid w:val="007E4904"/>
    <w:rsid w:val="007E4CB5"/>
    <w:rsid w:val="007E4DAE"/>
    <w:rsid w:val="007E5D52"/>
    <w:rsid w:val="007F066B"/>
    <w:rsid w:val="007F3D41"/>
    <w:rsid w:val="007F4EAB"/>
    <w:rsid w:val="007F5B16"/>
    <w:rsid w:val="007F7C9D"/>
    <w:rsid w:val="008033C4"/>
    <w:rsid w:val="00806731"/>
    <w:rsid w:val="008068CA"/>
    <w:rsid w:val="00806C88"/>
    <w:rsid w:val="0081034E"/>
    <w:rsid w:val="00810806"/>
    <w:rsid w:val="008117F9"/>
    <w:rsid w:val="00812A67"/>
    <w:rsid w:val="00814879"/>
    <w:rsid w:val="00814D31"/>
    <w:rsid w:val="00815882"/>
    <w:rsid w:val="00820454"/>
    <w:rsid w:val="008212C0"/>
    <w:rsid w:val="008229B6"/>
    <w:rsid w:val="00822AC7"/>
    <w:rsid w:val="00822E86"/>
    <w:rsid w:val="00830F8F"/>
    <w:rsid w:val="008344F6"/>
    <w:rsid w:val="0083510F"/>
    <w:rsid w:val="00837BF3"/>
    <w:rsid w:val="008415DE"/>
    <w:rsid w:val="008420DE"/>
    <w:rsid w:val="0084378F"/>
    <w:rsid w:val="00845865"/>
    <w:rsid w:val="0084799B"/>
    <w:rsid w:val="00850C90"/>
    <w:rsid w:val="00851209"/>
    <w:rsid w:val="0085171F"/>
    <w:rsid w:val="008658A1"/>
    <w:rsid w:val="0086716A"/>
    <w:rsid w:val="00870613"/>
    <w:rsid w:val="0087380F"/>
    <w:rsid w:val="00875C9D"/>
    <w:rsid w:val="0087648F"/>
    <w:rsid w:val="00876612"/>
    <w:rsid w:val="00882BB1"/>
    <w:rsid w:val="008837AC"/>
    <w:rsid w:val="008909DC"/>
    <w:rsid w:val="00894255"/>
    <w:rsid w:val="008945AD"/>
    <w:rsid w:val="008A0645"/>
    <w:rsid w:val="008A1C02"/>
    <w:rsid w:val="008A370D"/>
    <w:rsid w:val="008A587D"/>
    <w:rsid w:val="008B16B0"/>
    <w:rsid w:val="008B1BD5"/>
    <w:rsid w:val="008B20B3"/>
    <w:rsid w:val="008B35CD"/>
    <w:rsid w:val="008B4093"/>
    <w:rsid w:val="008B5FCC"/>
    <w:rsid w:val="008B7F36"/>
    <w:rsid w:val="008C357F"/>
    <w:rsid w:val="008C5486"/>
    <w:rsid w:val="008C7B59"/>
    <w:rsid w:val="008D1661"/>
    <w:rsid w:val="008D27E0"/>
    <w:rsid w:val="008D5F90"/>
    <w:rsid w:val="008D6800"/>
    <w:rsid w:val="008D72F1"/>
    <w:rsid w:val="008D7D9E"/>
    <w:rsid w:val="008E4089"/>
    <w:rsid w:val="008E5AFF"/>
    <w:rsid w:val="008E7031"/>
    <w:rsid w:val="008E77DE"/>
    <w:rsid w:val="008E7AD6"/>
    <w:rsid w:val="008F040C"/>
    <w:rsid w:val="008F07A3"/>
    <w:rsid w:val="008F3322"/>
    <w:rsid w:val="008F3519"/>
    <w:rsid w:val="008F3A0D"/>
    <w:rsid w:val="009001B6"/>
    <w:rsid w:val="00900E1B"/>
    <w:rsid w:val="0090131F"/>
    <w:rsid w:val="00907683"/>
    <w:rsid w:val="009132B7"/>
    <w:rsid w:val="00916A2C"/>
    <w:rsid w:val="009233EE"/>
    <w:rsid w:val="00930B1A"/>
    <w:rsid w:val="00932612"/>
    <w:rsid w:val="009327DC"/>
    <w:rsid w:val="009338D9"/>
    <w:rsid w:val="009339BD"/>
    <w:rsid w:val="00934851"/>
    <w:rsid w:val="009356CF"/>
    <w:rsid w:val="00941D6D"/>
    <w:rsid w:val="00945E53"/>
    <w:rsid w:val="009460AA"/>
    <w:rsid w:val="00951978"/>
    <w:rsid w:val="00960B13"/>
    <w:rsid w:val="00961A4A"/>
    <w:rsid w:val="009661DE"/>
    <w:rsid w:val="00972028"/>
    <w:rsid w:val="00972C7C"/>
    <w:rsid w:val="009776F4"/>
    <w:rsid w:val="00982DA2"/>
    <w:rsid w:val="009833F8"/>
    <w:rsid w:val="00983C25"/>
    <w:rsid w:val="0098466D"/>
    <w:rsid w:val="009856B7"/>
    <w:rsid w:val="009859D6"/>
    <w:rsid w:val="00985C86"/>
    <w:rsid w:val="00994E5B"/>
    <w:rsid w:val="009A189A"/>
    <w:rsid w:val="009A51BD"/>
    <w:rsid w:val="009A5FC3"/>
    <w:rsid w:val="009B6F84"/>
    <w:rsid w:val="009B74B0"/>
    <w:rsid w:val="009C0152"/>
    <w:rsid w:val="009C1A74"/>
    <w:rsid w:val="009C3D42"/>
    <w:rsid w:val="009C491E"/>
    <w:rsid w:val="009D0DF1"/>
    <w:rsid w:val="009D22D6"/>
    <w:rsid w:val="009D2C84"/>
    <w:rsid w:val="009D3906"/>
    <w:rsid w:val="009D6B46"/>
    <w:rsid w:val="009E29B8"/>
    <w:rsid w:val="009E35B6"/>
    <w:rsid w:val="009E59C1"/>
    <w:rsid w:val="009E5ABC"/>
    <w:rsid w:val="009F3BBA"/>
    <w:rsid w:val="009F43B4"/>
    <w:rsid w:val="009F4940"/>
    <w:rsid w:val="009F5BA1"/>
    <w:rsid w:val="00A007C7"/>
    <w:rsid w:val="00A02A88"/>
    <w:rsid w:val="00A04012"/>
    <w:rsid w:val="00A046FA"/>
    <w:rsid w:val="00A0562E"/>
    <w:rsid w:val="00A0726D"/>
    <w:rsid w:val="00A073AE"/>
    <w:rsid w:val="00A12204"/>
    <w:rsid w:val="00A12750"/>
    <w:rsid w:val="00A13CB0"/>
    <w:rsid w:val="00A1561F"/>
    <w:rsid w:val="00A16544"/>
    <w:rsid w:val="00A25056"/>
    <w:rsid w:val="00A30BF5"/>
    <w:rsid w:val="00A31BE6"/>
    <w:rsid w:val="00A32FBB"/>
    <w:rsid w:val="00A40068"/>
    <w:rsid w:val="00A40BE9"/>
    <w:rsid w:val="00A428EE"/>
    <w:rsid w:val="00A443C2"/>
    <w:rsid w:val="00A4478A"/>
    <w:rsid w:val="00A44852"/>
    <w:rsid w:val="00A50502"/>
    <w:rsid w:val="00A510C0"/>
    <w:rsid w:val="00A52AFF"/>
    <w:rsid w:val="00A53409"/>
    <w:rsid w:val="00A53796"/>
    <w:rsid w:val="00A53848"/>
    <w:rsid w:val="00A56945"/>
    <w:rsid w:val="00A56A6E"/>
    <w:rsid w:val="00A57D04"/>
    <w:rsid w:val="00A609B2"/>
    <w:rsid w:val="00A60A26"/>
    <w:rsid w:val="00A61598"/>
    <w:rsid w:val="00A61777"/>
    <w:rsid w:val="00A63646"/>
    <w:rsid w:val="00A63914"/>
    <w:rsid w:val="00A84A99"/>
    <w:rsid w:val="00A84F46"/>
    <w:rsid w:val="00A86AEA"/>
    <w:rsid w:val="00A871F4"/>
    <w:rsid w:val="00A9431A"/>
    <w:rsid w:val="00A95988"/>
    <w:rsid w:val="00A959DF"/>
    <w:rsid w:val="00A97A1B"/>
    <w:rsid w:val="00AA2927"/>
    <w:rsid w:val="00AB2CB8"/>
    <w:rsid w:val="00AB4617"/>
    <w:rsid w:val="00AC1B2C"/>
    <w:rsid w:val="00AC3264"/>
    <w:rsid w:val="00AC46AD"/>
    <w:rsid w:val="00AC4D2D"/>
    <w:rsid w:val="00AC58EC"/>
    <w:rsid w:val="00AC7282"/>
    <w:rsid w:val="00AC7961"/>
    <w:rsid w:val="00AD314E"/>
    <w:rsid w:val="00AD5FCD"/>
    <w:rsid w:val="00AD6B48"/>
    <w:rsid w:val="00AD7A3A"/>
    <w:rsid w:val="00AE1BF1"/>
    <w:rsid w:val="00AE23AB"/>
    <w:rsid w:val="00AE58FB"/>
    <w:rsid w:val="00AE5AF0"/>
    <w:rsid w:val="00AE663D"/>
    <w:rsid w:val="00AE73B3"/>
    <w:rsid w:val="00AF07E7"/>
    <w:rsid w:val="00AF0DD2"/>
    <w:rsid w:val="00AF31E1"/>
    <w:rsid w:val="00AF3BBA"/>
    <w:rsid w:val="00AF4231"/>
    <w:rsid w:val="00B00B0E"/>
    <w:rsid w:val="00B00B26"/>
    <w:rsid w:val="00B02385"/>
    <w:rsid w:val="00B02F9D"/>
    <w:rsid w:val="00B05766"/>
    <w:rsid w:val="00B13048"/>
    <w:rsid w:val="00B13883"/>
    <w:rsid w:val="00B1716D"/>
    <w:rsid w:val="00B17A1D"/>
    <w:rsid w:val="00B207A0"/>
    <w:rsid w:val="00B21C21"/>
    <w:rsid w:val="00B22F54"/>
    <w:rsid w:val="00B24A7E"/>
    <w:rsid w:val="00B25C0C"/>
    <w:rsid w:val="00B25E28"/>
    <w:rsid w:val="00B26509"/>
    <w:rsid w:val="00B267FA"/>
    <w:rsid w:val="00B304B5"/>
    <w:rsid w:val="00B308A9"/>
    <w:rsid w:val="00B31047"/>
    <w:rsid w:val="00B316A3"/>
    <w:rsid w:val="00B33148"/>
    <w:rsid w:val="00B35CDF"/>
    <w:rsid w:val="00B405A1"/>
    <w:rsid w:val="00B4438A"/>
    <w:rsid w:val="00B44DB8"/>
    <w:rsid w:val="00B45AA2"/>
    <w:rsid w:val="00B479CA"/>
    <w:rsid w:val="00B5084F"/>
    <w:rsid w:val="00B514DD"/>
    <w:rsid w:val="00B52AF0"/>
    <w:rsid w:val="00B53873"/>
    <w:rsid w:val="00B53D5F"/>
    <w:rsid w:val="00B54051"/>
    <w:rsid w:val="00B561BD"/>
    <w:rsid w:val="00B56E03"/>
    <w:rsid w:val="00B57283"/>
    <w:rsid w:val="00B62765"/>
    <w:rsid w:val="00B65DF5"/>
    <w:rsid w:val="00B7679F"/>
    <w:rsid w:val="00B77159"/>
    <w:rsid w:val="00B8080B"/>
    <w:rsid w:val="00B82223"/>
    <w:rsid w:val="00B8359B"/>
    <w:rsid w:val="00B87BA5"/>
    <w:rsid w:val="00B87C39"/>
    <w:rsid w:val="00B93891"/>
    <w:rsid w:val="00B9562D"/>
    <w:rsid w:val="00BA21DA"/>
    <w:rsid w:val="00BA2B60"/>
    <w:rsid w:val="00BA3C93"/>
    <w:rsid w:val="00BA4665"/>
    <w:rsid w:val="00BA7FD7"/>
    <w:rsid w:val="00BB1681"/>
    <w:rsid w:val="00BB2FB2"/>
    <w:rsid w:val="00BB3304"/>
    <w:rsid w:val="00BB4654"/>
    <w:rsid w:val="00BB6551"/>
    <w:rsid w:val="00BC4A10"/>
    <w:rsid w:val="00BD30F4"/>
    <w:rsid w:val="00BD3446"/>
    <w:rsid w:val="00BD59CF"/>
    <w:rsid w:val="00BE1312"/>
    <w:rsid w:val="00BE1F1B"/>
    <w:rsid w:val="00BE3F89"/>
    <w:rsid w:val="00BE47B5"/>
    <w:rsid w:val="00BE5FCE"/>
    <w:rsid w:val="00BF2423"/>
    <w:rsid w:val="00C0079E"/>
    <w:rsid w:val="00C02438"/>
    <w:rsid w:val="00C0379A"/>
    <w:rsid w:val="00C0572A"/>
    <w:rsid w:val="00C13EBD"/>
    <w:rsid w:val="00C15AA5"/>
    <w:rsid w:val="00C1631B"/>
    <w:rsid w:val="00C170F0"/>
    <w:rsid w:val="00C17853"/>
    <w:rsid w:val="00C25962"/>
    <w:rsid w:val="00C25A83"/>
    <w:rsid w:val="00C25AE9"/>
    <w:rsid w:val="00C25FA6"/>
    <w:rsid w:val="00C3099D"/>
    <w:rsid w:val="00C33011"/>
    <w:rsid w:val="00C33AF9"/>
    <w:rsid w:val="00C362C1"/>
    <w:rsid w:val="00C41950"/>
    <w:rsid w:val="00C42C3B"/>
    <w:rsid w:val="00C51672"/>
    <w:rsid w:val="00C538A9"/>
    <w:rsid w:val="00C53B5A"/>
    <w:rsid w:val="00C53E41"/>
    <w:rsid w:val="00C54200"/>
    <w:rsid w:val="00C54909"/>
    <w:rsid w:val="00C54AF3"/>
    <w:rsid w:val="00C54F5A"/>
    <w:rsid w:val="00C55407"/>
    <w:rsid w:val="00C569B4"/>
    <w:rsid w:val="00C57DDE"/>
    <w:rsid w:val="00C61468"/>
    <w:rsid w:val="00C61A97"/>
    <w:rsid w:val="00C61E44"/>
    <w:rsid w:val="00C64FF3"/>
    <w:rsid w:val="00C662AD"/>
    <w:rsid w:val="00C67A92"/>
    <w:rsid w:val="00C70E05"/>
    <w:rsid w:val="00C71280"/>
    <w:rsid w:val="00C712A4"/>
    <w:rsid w:val="00C717BF"/>
    <w:rsid w:val="00C76178"/>
    <w:rsid w:val="00C84560"/>
    <w:rsid w:val="00C86679"/>
    <w:rsid w:val="00C8792F"/>
    <w:rsid w:val="00C90472"/>
    <w:rsid w:val="00C91D6E"/>
    <w:rsid w:val="00C93282"/>
    <w:rsid w:val="00C97D0D"/>
    <w:rsid w:val="00CA489E"/>
    <w:rsid w:val="00CB0279"/>
    <w:rsid w:val="00CB260C"/>
    <w:rsid w:val="00CB4CC1"/>
    <w:rsid w:val="00CB666B"/>
    <w:rsid w:val="00CB734B"/>
    <w:rsid w:val="00CC41B6"/>
    <w:rsid w:val="00CC6771"/>
    <w:rsid w:val="00CC7ADA"/>
    <w:rsid w:val="00CC7F1D"/>
    <w:rsid w:val="00CD0A88"/>
    <w:rsid w:val="00CD125D"/>
    <w:rsid w:val="00CD283C"/>
    <w:rsid w:val="00CD3641"/>
    <w:rsid w:val="00CD66EA"/>
    <w:rsid w:val="00CD7432"/>
    <w:rsid w:val="00CE0FA5"/>
    <w:rsid w:val="00CE2A23"/>
    <w:rsid w:val="00CE31C8"/>
    <w:rsid w:val="00CE484B"/>
    <w:rsid w:val="00CE7CBA"/>
    <w:rsid w:val="00CF0DEE"/>
    <w:rsid w:val="00CF42AA"/>
    <w:rsid w:val="00CF538C"/>
    <w:rsid w:val="00CF5EAA"/>
    <w:rsid w:val="00CF6AE3"/>
    <w:rsid w:val="00CF77BB"/>
    <w:rsid w:val="00D006AE"/>
    <w:rsid w:val="00D00905"/>
    <w:rsid w:val="00D010C1"/>
    <w:rsid w:val="00D01CF0"/>
    <w:rsid w:val="00D0442A"/>
    <w:rsid w:val="00D06E8A"/>
    <w:rsid w:val="00D12A7B"/>
    <w:rsid w:val="00D12ADB"/>
    <w:rsid w:val="00D15E63"/>
    <w:rsid w:val="00D25A39"/>
    <w:rsid w:val="00D27CFA"/>
    <w:rsid w:val="00D310FA"/>
    <w:rsid w:val="00D325C6"/>
    <w:rsid w:val="00D354DC"/>
    <w:rsid w:val="00D37213"/>
    <w:rsid w:val="00D504BF"/>
    <w:rsid w:val="00D5502C"/>
    <w:rsid w:val="00D5607F"/>
    <w:rsid w:val="00D61388"/>
    <w:rsid w:val="00D61A54"/>
    <w:rsid w:val="00D62108"/>
    <w:rsid w:val="00D64AA4"/>
    <w:rsid w:val="00D64DEA"/>
    <w:rsid w:val="00D64F84"/>
    <w:rsid w:val="00D663CD"/>
    <w:rsid w:val="00D6726A"/>
    <w:rsid w:val="00D7001B"/>
    <w:rsid w:val="00D7160D"/>
    <w:rsid w:val="00D7168E"/>
    <w:rsid w:val="00D71E57"/>
    <w:rsid w:val="00D72D27"/>
    <w:rsid w:val="00D76BFD"/>
    <w:rsid w:val="00D7786B"/>
    <w:rsid w:val="00D80893"/>
    <w:rsid w:val="00D82519"/>
    <w:rsid w:val="00D84854"/>
    <w:rsid w:val="00D8570C"/>
    <w:rsid w:val="00D924AE"/>
    <w:rsid w:val="00D92CF1"/>
    <w:rsid w:val="00D92D38"/>
    <w:rsid w:val="00D950F5"/>
    <w:rsid w:val="00D97379"/>
    <w:rsid w:val="00DA4752"/>
    <w:rsid w:val="00DA4C09"/>
    <w:rsid w:val="00DA61F3"/>
    <w:rsid w:val="00DA7CB3"/>
    <w:rsid w:val="00DA7D97"/>
    <w:rsid w:val="00DB0D00"/>
    <w:rsid w:val="00DB0F93"/>
    <w:rsid w:val="00DB1A67"/>
    <w:rsid w:val="00DB3721"/>
    <w:rsid w:val="00DB5074"/>
    <w:rsid w:val="00DC0281"/>
    <w:rsid w:val="00DC038A"/>
    <w:rsid w:val="00DC1930"/>
    <w:rsid w:val="00DC1C76"/>
    <w:rsid w:val="00DC4DBF"/>
    <w:rsid w:val="00DC4E19"/>
    <w:rsid w:val="00DC65FE"/>
    <w:rsid w:val="00DC7981"/>
    <w:rsid w:val="00DD4C07"/>
    <w:rsid w:val="00DD577D"/>
    <w:rsid w:val="00DD5ADC"/>
    <w:rsid w:val="00DE1093"/>
    <w:rsid w:val="00DE1E8B"/>
    <w:rsid w:val="00DE4EFA"/>
    <w:rsid w:val="00DE5520"/>
    <w:rsid w:val="00DE563D"/>
    <w:rsid w:val="00DE7AB5"/>
    <w:rsid w:val="00DF0152"/>
    <w:rsid w:val="00DF1958"/>
    <w:rsid w:val="00E04818"/>
    <w:rsid w:val="00E06442"/>
    <w:rsid w:val="00E06952"/>
    <w:rsid w:val="00E11E61"/>
    <w:rsid w:val="00E1421E"/>
    <w:rsid w:val="00E157B2"/>
    <w:rsid w:val="00E16055"/>
    <w:rsid w:val="00E2332D"/>
    <w:rsid w:val="00E23993"/>
    <w:rsid w:val="00E2574F"/>
    <w:rsid w:val="00E25951"/>
    <w:rsid w:val="00E25B8C"/>
    <w:rsid w:val="00E31CF6"/>
    <w:rsid w:val="00E34A4A"/>
    <w:rsid w:val="00E35AFC"/>
    <w:rsid w:val="00E41D39"/>
    <w:rsid w:val="00E4446C"/>
    <w:rsid w:val="00E50A02"/>
    <w:rsid w:val="00E54106"/>
    <w:rsid w:val="00E54697"/>
    <w:rsid w:val="00E54B8E"/>
    <w:rsid w:val="00E57A08"/>
    <w:rsid w:val="00E63631"/>
    <w:rsid w:val="00E64C2A"/>
    <w:rsid w:val="00E65295"/>
    <w:rsid w:val="00E65C85"/>
    <w:rsid w:val="00E66199"/>
    <w:rsid w:val="00E70526"/>
    <w:rsid w:val="00E754B4"/>
    <w:rsid w:val="00E755EC"/>
    <w:rsid w:val="00E7624D"/>
    <w:rsid w:val="00E76E25"/>
    <w:rsid w:val="00E81724"/>
    <w:rsid w:val="00E819A4"/>
    <w:rsid w:val="00E833FA"/>
    <w:rsid w:val="00E84B74"/>
    <w:rsid w:val="00E87066"/>
    <w:rsid w:val="00E9650D"/>
    <w:rsid w:val="00E966BF"/>
    <w:rsid w:val="00EA0C04"/>
    <w:rsid w:val="00EA3D42"/>
    <w:rsid w:val="00EA6B1B"/>
    <w:rsid w:val="00EB1CBD"/>
    <w:rsid w:val="00EB3A34"/>
    <w:rsid w:val="00EB3C3F"/>
    <w:rsid w:val="00EC04F1"/>
    <w:rsid w:val="00EC22C9"/>
    <w:rsid w:val="00EC237F"/>
    <w:rsid w:val="00EC573A"/>
    <w:rsid w:val="00EC6F81"/>
    <w:rsid w:val="00ED00C0"/>
    <w:rsid w:val="00ED35C8"/>
    <w:rsid w:val="00ED3968"/>
    <w:rsid w:val="00ED7323"/>
    <w:rsid w:val="00EE28F3"/>
    <w:rsid w:val="00EE3593"/>
    <w:rsid w:val="00EE50D1"/>
    <w:rsid w:val="00EE7614"/>
    <w:rsid w:val="00EF5110"/>
    <w:rsid w:val="00EF5890"/>
    <w:rsid w:val="00EF76BA"/>
    <w:rsid w:val="00F0231A"/>
    <w:rsid w:val="00F03463"/>
    <w:rsid w:val="00F036B7"/>
    <w:rsid w:val="00F0700F"/>
    <w:rsid w:val="00F0775A"/>
    <w:rsid w:val="00F07F1F"/>
    <w:rsid w:val="00F10411"/>
    <w:rsid w:val="00F10A9A"/>
    <w:rsid w:val="00F11B2D"/>
    <w:rsid w:val="00F121C2"/>
    <w:rsid w:val="00F1485B"/>
    <w:rsid w:val="00F15882"/>
    <w:rsid w:val="00F170C7"/>
    <w:rsid w:val="00F171E0"/>
    <w:rsid w:val="00F17D1D"/>
    <w:rsid w:val="00F20BD3"/>
    <w:rsid w:val="00F25139"/>
    <w:rsid w:val="00F322E9"/>
    <w:rsid w:val="00F3231B"/>
    <w:rsid w:val="00F33808"/>
    <w:rsid w:val="00F373A5"/>
    <w:rsid w:val="00F37864"/>
    <w:rsid w:val="00F404F9"/>
    <w:rsid w:val="00F44B0A"/>
    <w:rsid w:val="00F47559"/>
    <w:rsid w:val="00F50B30"/>
    <w:rsid w:val="00F51F5F"/>
    <w:rsid w:val="00F52D75"/>
    <w:rsid w:val="00F53B21"/>
    <w:rsid w:val="00F55582"/>
    <w:rsid w:val="00F569F5"/>
    <w:rsid w:val="00F57647"/>
    <w:rsid w:val="00F62A14"/>
    <w:rsid w:val="00F644AB"/>
    <w:rsid w:val="00F64C7B"/>
    <w:rsid w:val="00F676DD"/>
    <w:rsid w:val="00F67AB6"/>
    <w:rsid w:val="00F70028"/>
    <w:rsid w:val="00F70434"/>
    <w:rsid w:val="00F730AA"/>
    <w:rsid w:val="00F73A92"/>
    <w:rsid w:val="00F758A5"/>
    <w:rsid w:val="00F75A26"/>
    <w:rsid w:val="00F76706"/>
    <w:rsid w:val="00F77D6D"/>
    <w:rsid w:val="00F80206"/>
    <w:rsid w:val="00F80BF8"/>
    <w:rsid w:val="00F83034"/>
    <w:rsid w:val="00F8384B"/>
    <w:rsid w:val="00F83EAC"/>
    <w:rsid w:val="00F83FAD"/>
    <w:rsid w:val="00F844C6"/>
    <w:rsid w:val="00F8768D"/>
    <w:rsid w:val="00F92FA6"/>
    <w:rsid w:val="00F9353B"/>
    <w:rsid w:val="00F937F1"/>
    <w:rsid w:val="00F952A0"/>
    <w:rsid w:val="00FA3028"/>
    <w:rsid w:val="00FA31B1"/>
    <w:rsid w:val="00FA3320"/>
    <w:rsid w:val="00FA3733"/>
    <w:rsid w:val="00FA3C7F"/>
    <w:rsid w:val="00FA6246"/>
    <w:rsid w:val="00FB24ED"/>
    <w:rsid w:val="00FB2BEF"/>
    <w:rsid w:val="00FB3304"/>
    <w:rsid w:val="00FB5005"/>
    <w:rsid w:val="00FB60FE"/>
    <w:rsid w:val="00FB74E2"/>
    <w:rsid w:val="00FB778B"/>
    <w:rsid w:val="00FC4A1B"/>
    <w:rsid w:val="00FC4E64"/>
    <w:rsid w:val="00FD0AD9"/>
    <w:rsid w:val="00FD5614"/>
    <w:rsid w:val="00FD5E78"/>
    <w:rsid w:val="00FE0BE1"/>
    <w:rsid w:val="00FE11BB"/>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39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semiHidden/>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semiHidden/>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23670">
      <w:bodyDiv w:val="1"/>
      <w:marLeft w:val="0"/>
      <w:marRight w:val="0"/>
      <w:marTop w:val="0"/>
      <w:marBottom w:val="0"/>
      <w:divBdr>
        <w:top w:val="none" w:sz="0" w:space="0" w:color="auto"/>
        <w:left w:val="none" w:sz="0" w:space="0" w:color="auto"/>
        <w:bottom w:val="none" w:sz="0" w:space="0" w:color="auto"/>
        <w:right w:val="none" w:sz="0" w:space="0" w:color="auto"/>
      </w:divBdr>
    </w:div>
    <w:div w:id="456605257">
      <w:bodyDiv w:val="1"/>
      <w:marLeft w:val="0"/>
      <w:marRight w:val="0"/>
      <w:marTop w:val="0"/>
      <w:marBottom w:val="0"/>
      <w:divBdr>
        <w:top w:val="none" w:sz="0" w:space="0" w:color="auto"/>
        <w:left w:val="none" w:sz="0" w:space="0" w:color="auto"/>
        <w:bottom w:val="none" w:sz="0" w:space="0" w:color="auto"/>
        <w:right w:val="none" w:sz="0" w:space="0" w:color="auto"/>
      </w:divBdr>
    </w:div>
    <w:div w:id="488448612">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834535643">
      <w:bodyDiv w:val="1"/>
      <w:marLeft w:val="0"/>
      <w:marRight w:val="0"/>
      <w:marTop w:val="0"/>
      <w:marBottom w:val="0"/>
      <w:divBdr>
        <w:top w:val="none" w:sz="0" w:space="0" w:color="auto"/>
        <w:left w:val="none" w:sz="0" w:space="0" w:color="auto"/>
        <w:bottom w:val="none" w:sz="0" w:space="0" w:color="auto"/>
        <w:right w:val="none" w:sz="0" w:space="0" w:color="auto"/>
      </w:divBdr>
    </w:div>
    <w:div w:id="98324126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335452243">
      <w:bodyDiv w:val="1"/>
      <w:marLeft w:val="0"/>
      <w:marRight w:val="0"/>
      <w:marTop w:val="0"/>
      <w:marBottom w:val="0"/>
      <w:divBdr>
        <w:top w:val="none" w:sz="0" w:space="0" w:color="auto"/>
        <w:left w:val="none" w:sz="0" w:space="0" w:color="auto"/>
        <w:bottom w:val="none" w:sz="0" w:space="0" w:color="auto"/>
        <w:right w:val="none" w:sz="0" w:space="0" w:color="auto"/>
      </w:divBdr>
    </w:div>
    <w:div w:id="1556434375">
      <w:bodyDiv w:val="1"/>
      <w:marLeft w:val="0"/>
      <w:marRight w:val="0"/>
      <w:marTop w:val="0"/>
      <w:marBottom w:val="0"/>
      <w:divBdr>
        <w:top w:val="none" w:sz="0" w:space="0" w:color="auto"/>
        <w:left w:val="none" w:sz="0" w:space="0" w:color="auto"/>
        <w:bottom w:val="none" w:sz="0" w:space="0" w:color="auto"/>
        <w:right w:val="none" w:sz="0" w:space="0" w:color="auto"/>
      </w:divBdr>
      <w:divsChild>
        <w:div w:id="311065865">
          <w:marLeft w:val="0"/>
          <w:marRight w:val="0"/>
          <w:marTop w:val="0"/>
          <w:marBottom w:val="0"/>
          <w:divBdr>
            <w:top w:val="none" w:sz="0" w:space="0" w:color="auto"/>
            <w:left w:val="none" w:sz="0" w:space="0" w:color="auto"/>
            <w:bottom w:val="none" w:sz="0" w:space="0" w:color="auto"/>
            <w:right w:val="none" w:sz="0" w:space="0" w:color="auto"/>
          </w:divBdr>
          <w:divsChild>
            <w:div w:id="1326982220">
              <w:marLeft w:val="-225"/>
              <w:marRight w:val="-225"/>
              <w:marTop w:val="0"/>
              <w:marBottom w:val="0"/>
              <w:divBdr>
                <w:top w:val="none" w:sz="0" w:space="0" w:color="auto"/>
                <w:left w:val="none" w:sz="0" w:space="0" w:color="auto"/>
                <w:bottom w:val="none" w:sz="0" w:space="0" w:color="auto"/>
                <w:right w:val="none" w:sz="0" w:space="0" w:color="auto"/>
              </w:divBdr>
              <w:divsChild>
                <w:div w:id="872302042">
                  <w:marLeft w:val="0"/>
                  <w:marRight w:val="0"/>
                  <w:marTop w:val="0"/>
                  <w:marBottom w:val="0"/>
                  <w:divBdr>
                    <w:top w:val="none" w:sz="0" w:space="0" w:color="auto"/>
                    <w:left w:val="none" w:sz="0" w:space="0" w:color="auto"/>
                    <w:bottom w:val="none" w:sz="0" w:space="0" w:color="auto"/>
                    <w:right w:val="none" w:sz="0" w:space="0" w:color="auto"/>
                  </w:divBdr>
                  <w:divsChild>
                    <w:div w:id="1475027741">
                      <w:marLeft w:val="0"/>
                      <w:marRight w:val="0"/>
                      <w:marTop w:val="0"/>
                      <w:marBottom w:val="0"/>
                      <w:divBdr>
                        <w:top w:val="none" w:sz="0" w:space="0" w:color="auto"/>
                        <w:left w:val="none" w:sz="0" w:space="0" w:color="auto"/>
                        <w:bottom w:val="none" w:sz="0" w:space="0" w:color="auto"/>
                        <w:right w:val="none" w:sz="0" w:space="0" w:color="auto"/>
                      </w:divBdr>
                      <w:divsChild>
                        <w:div w:id="758866483">
                          <w:marLeft w:val="0"/>
                          <w:marRight w:val="0"/>
                          <w:marTop w:val="0"/>
                          <w:marBottom w:val="0"/>
                          <w:divBdr>
                            <w:top w:val="none" w:sz="0" w:space="0" w:color="auto"/>
                            <w:left w:val="none" w:sz="0" w:space="0" w:color="auto"/>
                            <w:bottom w:val="none" w:sz="0" w:space="0" w:color="auto"/>
                            <w:right w:val="none" w:sz="0" w:space="0" w:color="auto"/>
                          </w:divBdr>
                          <w:divsChild>
                            <w:div w:id="1801874084">
                              <w:marLeft w:val="0"/>
                              <w:marRight w:val="0"/>
                              <w:marTop w:val="0"/>
                              <w:marBottom w:val="0"/>
                              <w:divBdr>
                                <w:top w:val="none" w:sz="0" w:space="0" w:color="auto"/>
                                <w:left w:val="none" w:sz="0" w:space="0" w:color="auto"/>
                                <w:bottom w:val="none" w:sz="0" w:space="0" w:color="auto"/>
                                <w:right w:val="none" w:sz="0" w:space="0" w:color="auto"/>
                              </w:divBdr>
                              <w:divsChild>
                                <w:div w:id="21247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40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hyperlink" Target="http://www.aer.gov.au/system/files/Copy%20of%20D15%20113122%20%20AusNet%20Services%20%28T%29%20-%202014-15%20-%20Category%20Analysis%20-%20TEMPLATES%20-%20Public_0.xlsm" TargetMode="External"/><Relationship Id="rId3" Type="http://schemas.openxmlformats.org/officeDocument/2006/relationships/styles" Target="styles.xml"/><Relationship Id="rId21" Type="http://schemas.openxmlformats.org/officeDocument/2006/relationships/hyperlink" Target="http://www.aer.gov.au/system/files/AER%20Transmission%20network%20service%20providers%20partial%20performance%20indicators%202010%20-%202014.xlsx"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ERInquiry@aer.gov.au" TargetMode="External"/><Relationship Id="rId24" Type="http://schemas.openxmlformats.org/officeDocument/2006/relationships/image" Target="media/image13.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hyperlink" Target="http://www.aer.gov.au/system/files/Copy%20of%20D15%20113122%20%20AusNet%20Services%20%28T%29%20-%202014-15%20-%20Category%20Analysis%20-%20TEMPLATES%20-%20Public_0.xlsm"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7.emf"/><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www.statedevelopment.qld.gov.au/assessments-and-approvals/alpha-coal-project.html" TargetMode="External"/><Relationship Id="rId2" Type="http://schemas.openxmlformats.org/officeDocument/2006/relationships/hyperlink" Target="http://www.statedevelopment.qld.gov.au/assessments-and-approvals/galilee-coal-project.html" TargetMode="External"/><Relationship Id="rId1" Type="http://schemas.openxmlformats.org/officeDocument/2006/relationships/hyperlink" Target="http://www.aer.gov.au/networks-pipelines/determinations-access-arrangements/powerlink-determination-2017-2022/proposal" TargetMode="External"/><Relationship Id="rId6" Type="http://schemas.openxmlformats.org/officeDocument/2006/relationships/hyperlink" Target="http://epbcnotices.environment.gov.au/_entity/annotation/2f828db4-2fa8-e511-9621-005056ba00a7/a71d58ad-4cba-48b6-8dab-f3091fc31cd5?t=1450740730681" TargetMode="External"/><Relationship Id="rId5" Type="http://schemas.openxmlformats.org/officeDocument/2006/relationships/hyperlink" Target="https://www.arrowenergy.com.au/projects/project-assessment-eis/bowen-gas-project-eis" TargetMode="External"/><Relationship Id="rId4" Type="http://schemas.openxmlformats.org/officeDocument/2006/relationships/hyperlink" Target="http://www.statedevelopment.qld.gov.au/assessments-and-approvals/kevin-s-corner-project.html"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2E005005.dotm</Template>
  <TotalTime>0</TotalTime>
  <Pages>97</Pages>
  <Words>30743</Words>
  <Characters>175237</Characters>
  <Application>Microsoft Office Word</Application>
  <DocSecurity>0</DocSecurity>
  <Lines>1460</Lines>
  <Paragraphs>411</Paragraphs>
  <ScaleCrop>false</ScaleCrop>
  <HeadingPairs>
    <vt:vector size="2" baseType="variant">
      <vt:variant>
        <vt:lpstr>Title</vt:lpstr>
      </vt:variant>
      <vt:variant>
        <vt:i4>1</vt:i4>
      </vt:variant>
    </vt:vector>
  </HeadingPairs>
  <TitlesOfParts>
    <vt:vector size="1" baseType="lpstr">
      <vt:lpstr>AER draft decision - Powerlink - Attachment 6 - Capital expenditure</vt:lpstr>
    </vt:vector>
  </TitlesOfParts>
  <LinksUpToDate>false</LinksUpToDate>
  <CharactersWithSpaces>205569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AER draft decision - Powerlink - Attachment 6 - Capital expenditure</dc:title>
  <dc:creator/>
  <cp:lastModifiedBy/>
  <cp:revision>1</cp:revision>
  <dcterms:created xsi:type="dcterms:W3CDTF">2016-09-27T23:30:00Z</dcterms:created>
  <dcterms:modified xsi:type="dcterms:W3CDTF">2016-09-28T05:27:00Z</dcterms:modified>
</cp:coreProperties>
</file>