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19D81A7C" wp14:editId="127CD799">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A67C62C" wp14:editId="5A2A6BA9">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EC15B7" w:rsidRDefault="00EC15B7" w:rsidP="008F07A3">
          <w:pPr>
            <w:pStyle w:val="ReportSubtitle"/>
          </w:pPr>
          <w:r>
            <w:t>AusNet Services</w:t>
          </w:r>
          <w:r w:rsidR="00A51022">
            <w:t xml:space="preserve"> </w:t>
          </w:r>
        </w:p>
        <w:p w:rsidR="00A51022" w:rsidRDefault="00EC15B7" w:rsidP="008F07A3">
          <w:pPr>
            <w:pStyle w:val="ReportSubtitle"/>
          </w:pPr>
          <w:r>
            <w:t>G</w:t>
          </w:r>
          <w:r w:rsidR="00A51022">
            <w:t>as access arrangement</w:t>
          </w:r>
        </w:p>
        <w:p w:rsidR="000A6C7B" w:rsidRDefault="00DA4752" w:rsidP="008F07A3">
          <w:pPr>
            <w:pStyle w:val="ReportSubtitle"/>
          </w:pPr>
          <w:r>
            <w:t xml:space="preserve"> 201</w:t>
          </w:r>
          <w:r w:rsidR="002C3D05">
            <w:t>8 to 20</w:t>
          </w:r>
          <w:r w:rsidR="008C2BCE">
            <w:t>22</w:t>
          </w:r>
        </w:p>
        <w:p w:rsidR="008F07A3" w:rsidRPr="000A6C7B" w:rsidRDefault="008F07A3" w:rsidP="008F07A3">
          <w:pPr>
            <w:pStyle w:val="ReportSubtitle"/>
          </w:pPr>
        </w:p>
        <w:p w:rsidR="000A6C7B" w:rsidRDefault="00F66400" w:rsidP="008F07A3">
          <w:pPr>
            <w:pStyle w:val="ReportSubtitle"/>
          </w:pPr>
          <w:r>
            <w:t>Overview</w:t>
          </w:r>
        </w:p>
        <w:p w:rsidR="000A6C7B" w:rsidRPr="00327A1E" w:rsidRDefault="00424CE2" w:rsidP="00327A1E">
          <w:pPr>
            <w:pStyle w:val="ReportDate"/>
          </w:pPr>
          <w:r>
            <w:t>Ju</w:t>
          </w:r>
          <w:r w:rsidR="0087710A">
            <w:t>ly</w:t>
          </w:r>
          <w:r>
            <w:t xml:space="preserve"> </w:t>
          </w:r>
          <w:r w:rsidR="002C3D05">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487E22">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647820">
        <w:tab/>
        <w:t>1300 585 165</w:t>
      </w:r>
      <w:r>
        <w:b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467918" w:rsidRPr="00AB66ED" w:rsidRDefault="00467918" w:rsidP="00467918">
      <w:pPr>
        <w:pStyle w:val="UnnumberedHeading"/>
      </w:pPr>
      <w:bookmarkStart w:id="1" w:name="_Toc432083534"/>
      <w:bookmarkStart w:id="2" w:name="_Toc433787709"/>
      <w:bookmarkStart w:id="3" w:name="_Toc462823940"/>
      <w:bookmarkStart w:id="4" w:name="_Toc481053028"/>
      <w:bookmarkStart w:id="5" w:name="_Toc481056431"/>
      <w:bookmarkStart w:id="6" w:name="_Toc404153950"/>
      <w:bookmarkStart w:id="7" w:name="_Toc404437593"/>
      <w:bookmarkStart w:id="8" w:name="_Toc487017899"/>
      <w:r w:rsidRPr="00AB66ED">
        <w:lastRenderedPageBreak/>
        <w:t>Invitation for submissions</w:t>
      </w:r>
      <w:bookmarkEnd w:id="1"/>
      <w:bookmarkEnd w:id="2"/>
      <w:bookmarkEnd w:id="3"/>
      <w:bookmarkEnd w:id="4"/>
      <w:bookmarkEnd w:id="5"/>
      <w:bookmarkEnd w:id="8"/>
    </w:p>
    <w:p w:rsidR="00467918" w:rsidRPr="00AB66ED" w:rsidRDefault="00070355" w:rsidP="0001670D">
      <w:r>
        <w:t xml:space="preserve">This is our draft decision on AusNet's access arrangement for the period 1 </w:t>
      </w:r>
      <w:r w:rsidR="000A6895">
        <w:t>January</w:t>
      </w:r>
      <w:r>
        <w:t xml:space="preserve"> 2018 to 31 December 2022. AusNet will submit a revised proposal in response to this draft decision by </w:t>
      </w:r>
      <w:r w:rsidR="0001670D">
        <w:t>14 August 2017</w:t>
      </w:r>
      <w:r>
        <w:t xml:space="preserve">. </w:t>
      </w:r>
      <w:r w:rsidR="00467918">
        <w:t>I</w:t>
      </w:r>
      <w:r w:rsidR="00467918" w:rsidRPr="00AB66ED">
        <w:t xml:space="preserve">nterested parties are invited to make submissions on </w:t>
      </w:r>
      <w:r>
        <w:t xml:space="preserve">both </w:t>
      </w:r>
      <w:r w:rsidR="00467918" w:rsidRPr="00AB66ED">
        <w:t xml:space="preserve">our draft decision </w:t>
      </w:r>
      <w:r>
        <w:t xml:space="preserve">and AusNet's revised proposal </w:t>
      </w:r>
      <w:r w:rsidR="0001670D" w:rsidRPr="0001670D">
        <w:t>by 15 September 2017</w:t>
      </w:r>
      <w:r w:rsidR="00467918" w:rsidRPr="0001670D">
        <w:t>.</w:t>
      </w:r>
      <w:r w:rsidR="00467918" w:rsidRPr="00AB66ED">
        <w:t xml:space="preserve"> </w:t>
      </w:r>
    </w:p>
    <w:p w:rsidR="00467918" w:rsidRPr="00AB66ED" w:rsidRDefault="00467918" w:rsidP="00467918">
      <w:r w:rsidRPr="00AB66ED">
        <w:t xml:space="preserve">We will consider and respond to </w:t>
      </w:r>
      <w:r>
        <w:t xml:space="preserve">all </w:t>
      </w:r>
      <w:r w:rsidRPr="00AB66ED">
        <w:t>submissions</w:t>
      </w:r>
      <w:r>
        <w:t xml:space="preserve"> received by that date</w:t>
      </w:r>
      <w:r w:rsidRPr="00AB66ED">
        <w:t xml:space="preserve"> in our final decision.</w:t>
      </w:r>
    </w:p>
    <w:p w:rsidR="00467918" w:rsidRPr="00AB66ED" w:rsidRDefault="00467918" w:rsidP="00467918">
      <w:r w:rsidRPr="00AB66ED">
        <w:t>Submissions on our draft decision should be sent to: VicGAAR2018-22@aer.gov.au.</w:t>
      </w:r>
    </w:p>
    <w:p w:rsidR="00467918" w:rsidRPr="00AB66ED" w:rsidRDefault="00467918" w:rsidP="00467918">
      <w:r w:rsidRPr="00AB66ED">
        <w:t>Alternatively, submissions can be sent to:</w:t>
      </w:r>
    </w:p>
    <w:p w:rsidR="00467918" w:rsidRPr="00AB66ED" w:rsidRDefault="00467918" w:rsidP="00467918">
      <w:r w:rsidRPr="00AB66ED">
        <w:t xml:space="preserve">Mr </w:t>
      </w:r>
      <w:r>
        <w:t>Chris Pattas</w:t>
      </w:r>
      <w:r w:rsidRPr="00AB66ED">
        <w:br/>
        <w:t>General Manager</w:t>
      </w:r>
      <w:r w:rsidRPr="00AB66ED">
        <w:br/>
        <w:t>Australian Energy Regulator</w:t>
      </w:r>
      <w:r w:rsidRPr="00AB66ED">
        <w:br/>
        <w:t>GPO Box 520</w:t>
      </w:r>
      <w:r w:rsidRPr="00AB66ED">
        <w:br/>
        <w:t>Melbourne VIC 3001</w:t>
      </w:r>
    </w:p>
    <w:p w:rsidR="00467918" w:rsidRDefault="00467918" w:rsidP="00467918">
      <w:r>
        <w:t>S</w:t>
      </w:r>
      <w:r w:rsidRPr="00D52944">
        <w:t xml:space="preserve">ubmissions </w:t>
      </w:r>
      <w:r>
        <w:t>should be</w:t>
      </w:r>
      <w:r w:rsidRPr="00D52944">
        <w:t xml:space="preserve"> in Microsoft Word or another text readable document format.</w:t>
      </w:r>
    </w:p>
    <w:p w:rsidR="00467918" w:rsidRPr="00AB66ED" w:rsidRDefault="00467918" w:rsidP="00467918">
      <w:r w:rsidRPr="00AB66ED">
        <w:t>We prefer that all submissions be publicly available to facilitate an informed and transparent consultative process. Submissions will be treated as public documents unless otherwise requested. Parties wishing to submit confidential information should:</w:t>
      </w:r>
    </w:p>
    <w:p w:rsidR="00467918" w:rsidRPr="00AB66ED" w:rsidRDefault="00467918" w:rsidP="00467918">
      <w:pPr>
        <w:pStyle w:val="ListBullet"/>
      </w:pPr>
      <w:r w:rsidRPr="00AB66ED">
        <w:t>clearly identify the information that is the subject of the confidentiality claim</w:t>
      </w:r>
    </w:p>
    <w:p w:rsidR="00467918" w:rsidRPr="00AB66ED" w:rsidRDefault="00467918" w:rsidP="00467918">
      <w:pPr>
        <w:pStyle w:val="ListBullet"/>
      </w:pPr>
      <w:proofErr w:type="gramStart"/>
      <w:r w:rsidRPr="00AB66ED">
        <w:t>provide</w:t>
      </w:r>
      <w:proofErr w:type="gramEnd"/>
      <w:r w:rsidRPr="00AB66ED">
        <w:t xml:space="preserve"> a non-confidential version of the submission in a form suitable for publication.</w:t>
      </w:r>
    </w:p>
    <w:p w:rsidR="00467918" w:rsidRDefault="00467918" w:rsidP="00467918">
      <w:r w:rsidRPr="00AB66ED">
        <w:t xml:space="preserve">All non-confidential submissions will be placed on our website. For further information regarding our use and disclosure of information provided to us, see the </w:t>
      </w:r>
      <w:r w:rsidRPr="00AB66ED">
        <w:rPr>
          <w:rStyle w:val="AERtextitalic"/>
        </w:rPr>
        <w:t>ACCC/AER Information Policy</w:t>
      </w:r>
      <w:r w:rsidRPr="00AB66ED">
        <w:t xml:space="preserve"> (</w:t>
      </w:r>
      <w:r>
        <w:t>June 2014</w:t>
      </w:r>
      <w:r w:rsidRPr="00AB66ED">
        <w:t>), which is available on our website.</w:t>
      </w:r>
      <w:r>
        <w:rPr>
          <w:rStyle w:val="FootnoteReference"/>
        </w:rPr>
        <w:footnoteReference w:id="1"/>
      </w:r>
    </w:p>
    <w:p w:rsidR="00761454" w:rsidRDefault="00761454" w:rsidP="00761454">
      <w:pPr>
        <w:pStyle w:val="UnnumberedHeading"/>
        <w:numPr>
          <w:ilvl w:val="0"/>
          <w:numId w:val="23"/>
        </w:numPr>
      </w:pPr>
      <w:bookmarkStart w:id="9" w:name="_Toc487017900"/>
      <w:r>
        <w:t>Note</w:t>
      </w:r>
      <w:bookmarkEnd w:id="6"/>
      <w:bookmarkEnd w:id="7"/>
      <w:bookmarkEnd w:id="9"/>
    </w:p>
    <w:p w:rsidR="00A51022" w:rsidRDefault="00A51022" w:rsidP="00A51022">
      <w:pPr>
        <w:numPr>
          <w:ilvl w:val="0"/>
          <w:numId w:val="23"/>
        </w:numPr>
      </w:pPr>
      <w:r>
        <w:t xml:space="preserve">This </w:t>
      </w:r>
      <w:r w:rsidR="00303EFB">
        <w:t>overview</w:t>
      </w:r>
      <w:r>
        <w:t xml:space="preserve"> forms part of the AER's draft decision on the access arrangement for </w:t>
      </w:r>
      <w:r w:rsidR="00A67EBD">
        <w:t xml:space="preserve">AusNet </w:t>
      </w:r>
      <w:r>
        <w:t>for 2018</w:t>
      </w:r>
      <w:r>
        <w:noBreakHyphen/>
        <w:t>22. It should be read with all other parts of the draft decision.</w:t>
      </w:r>
    </w:p>
    <w:p w:rsidR="00A51022" w:rsidRDefault="00A51022" w:rsidP="00A51022">
      <w:pPr>
        <w:numPr>
          <w:ilvl w:val="0"/>
          <w:numId w:val="23"/>
        </w:numPr>
      </w:pPr>
      <w:r>
        <w:t>The draft decision includes the following documents:</w:t>
      </w:r>
    </w:p>
    <w:p w:rsidR="00A51022" w:rsidRDefault="00A51022" w:rsidP="00A51022">
      <w:pPr>
        <w:numPr>
          <w:ilvl w:val="0"/>
          <w:numId w:val="23"/>
        </w:numPr>
      </w:pPr>
      <w:r>
        <w:t>Overview</w:t>
      </w:r>
    </w:p>
    <w:p w:rsidR="00A51022" w:rsidRDefault="00A51022" w:rsidP="00A51022">
      <w:r>
        <w:t>Attachment 1 - Services covered by the access arrangement</w:t>
      </w:r>
    </w:p>
    <w:p w:rsidR="00A51022" w:rsidRDefault="00A51022" w:rsidP="00A51022">
      <w:r>
        <w:t>Attachment 2 - Capital base</w:t>
      </w:r>
    </w:p>
    <w:p w:rsidR="00A51022" w:rsidRDefault="00A51022" w:rsidP="00A51022">
      <w:r>
        <w:t>Attachment 3 - Rate of return</w:t>
      </w:r>
    </w:p>
    <w:p w:rsidR="00A51022" w:rsidRDefault="00A51022" w:rsidP="00A51022">
      <w:r>
        <w:t>Attachment 4 - Value of imputation credits</w:t>
      </w:r>
    </w:p>
    <w:p w:rsidR="00A51022" w:rsidRDefault="00A51022" w:rsidP="00A51022">
      <w:r>
        <w:t>Attachment 5 - Regulatory depreciation</w:t>
      </w:r>
    </w:p>
    <w:p w:rsidR="00A51022" w:rsidRDefault="00A51022" w:rsidP="00A51022">
      <w:r>
        <w:t xml:space="preserve">Attachment 6 - Capital expenditure </w:t>
      </w:r>
    </w:p>
    <w:p w:rsidR="00A51022" w:rsidRDefault="00A51022" w:rsidP="00A51022">
      <w:r>
        <w:t>Attachment 7 - Operating expenditure</w:t>
      </w:r>
    </w:p>
    <w:p w:rsidR="00A51022" w:rsidRDefault="00A51022" w:rsidP="00A51022">
      <w:r>
        <w:t>Attachment 8 - Corporate income tax</w:t>
      </w:r>
    </w:p>
    <w:p w:rsidR="00A51022" w:rsidRDefault="00A51022" w:rsidP="00A51022">
      <w:r>
        <w:t>Attachment 9 - Efficiency carryover mechanism</w:t>
      </w:r>
    </w:p>
    <w:p w:rsidR="00A51022" w:rsidRDefault="00A51022" w:rsidP="00A51022">
      <w:r>
        <w:t>Attachment 10 - Reference tariff setting</w:t>
      </w:r>
    </w:p>
    <w:p w:rsidR="00A51022" w:rsidRDefault="00A51022" w:rsidP="00A51022">
      <w:r>
        <w:t>Attachment 11 - Reference tariff variation mechanism</w:t>
      </w:r>
    </w:p>
    <w:p w:rsidR="00A51022" w:rsidRDefault="00A51022" w:rsidP="00A51022">
      <w:r>
        <w:t>Attachment 12 - Non-tariff components</w:t>
      </w:r>
    </w:p>
    <w:p w:rsidR="00A51022" w:rsidRDefault="00A51022" w:rsidP="00A51022">
      <w:r>
        <w:t>Attachment 13 - Demand</w:t>
      </w:r>
    </w:p>
    <w:p w:rsidR="00A51022" w:rsidRDefault="00A51022" w:rsidP="00A51022">
      <w:r>
        <w:t>Attachment 14 - Other incentive schemes</w:t>
      </w:r>
    </w:p>
    <w:p w:rsidR="00CE2A23" w:rsidRPr="00CE2A23" w:rsidRDefault="00CE2A23" w:rsidP="00CE2A23">
      <w:bookmarkStart w:id="10" w:name="_Toc404354899"/>
      <w:bookmarkStart w:id="11" w:name="_Toc404353070"/>
      <w:bookmarkStart w:id="12" w:name="_Toc404684201"/>
      <w:bookmarkStart w:id="13" w:name="_Toc404700923"/>
    </w:p>
    <w:bookmarkEnd w:id="10"/>
    <w:bookmarkEnd w:id="11"/>
    <w:bookmarkEnd w:id="12"/>
    <w:bookmarkEnd w:id="13"/>
    <w:p w:rsidR="00CE2A23" w:rsidRPr="008F07A3" w:rsidRDefault="00CE2A23" w:rsidP="00CE2A23">
      <w:pPr>
        <w:numPr>
          <w:ilvl w:val="0"/>
          <w:numId w:val="24"/>
        </w:numPr>
        <w:sectPr w:rsidR="00CE2A23" w:rsidRPr="008F07A3" w:rsidSect="00F66400">
          <w:footerReference w:type="even" r:id="rId13"/>
          <w:footerReference w:type="default" r:id="rId14"/>
          <w:footerReference w:type="first" r:id="rId15"/>
          <w:pgSz w:w="11906" w:h="16838" w:code="9"/>
          <w:pgMar w:top="1440" w:right="1700" w:bottom="1582" w:left="1729" w:header="720" w:footer="0" w:gutter="0"/>
          <w:pgNumType w:start="0"/>
          <w:cols w:space="720"/>
          <w:docGrid w:linePitch="326"/>
        </w:sectPr>
      </w:pPr>
    </w:p>
    <w:p w:rsidR="00CE2A23" w:rsidRPr="00A72B34" w:rsidRDefault="00CE2A23" w:rsidP="00CE2A23">
      <w:pPr>
        <w:pStyle w:val="UnnumberedHeading"/>
        <w:numPr>
          <w:ilvl w:val="0"/>
          <w:numId w:val="23"/>
        </w:numPr>
      </w:pPr>
      <w:bookmarkStart w:id="14" w:name="_Toc403144133"/>
      <w:bookmarkStart w:id="15" w:name="_Toc487017901"/>
      <w:bookmarkStart w:id="16" w:name="_GoBack"/>
      <w:bookmarkEnd w:id="16"/>
      <w:r>
        <w:t>Contents</w:t>
      </w:r>
      <w:bookmarkEnd w:id="14"/>
      <w:bookmarkEnd w:id="15"/>
    </w:p>
    <w:p w:rsidR="00CE2A23" w:rsidRDefault="00CE2A23" w:rsidP="00CE2A23"/>
    <w:sdt>
      <w:sdtPr>
        <w:id w:val="1269200322"/>
        <w:docPartObj>
          <w:docPartGallery w:val="Table of Contents"/>
          <w:docPartUnique/>
        </w:docPartObj>
      </w:sdtPr>
      <w:sdtEndPr/>
      <w:sdtContent>
        <w:p w:rsidR="005E6AEC"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7017899" w:history="1">
            <w:r w:rsidR="005E6AEC" w:rsidRPr="00283441">
              <w:rPr>
                <w:rStyle w:val="Hyperlink"/>
              </w:rPr>
              <w:t>Invitation for submissions</w:t>
            </w:r>
            <w:r w:rsidR="005E6AEC">
              <w:rPr>
                <w:webHidden/>
              </w:rPr>
              <w:tab/>
            </w:r>
            <w:r w:rsidR="005E6AEC">
              <w:rPr>
                <w:webHidden/>
              </w:rPr>
              <w:fldChar w:fldCharType="begin"/>
            </w:r>
            <w:r w:rsidR="005E6AEC">
              <w:rPr>
                <w:webHidden/>
              </w:rPr>
              <w:instrText xml:space="preserve"> PAGEREF _Toc487017899 \h </w:instrText>
            </w:r>
            <w:r w:rsidR="005E6AEC">
              <w:rPr>
                <w:webHidden/>
              </w:rPr>
            </w:r>
            <w:r w:rsidR="005E6AEC">
              <w:rPr>
                <w:webHidden/>
              </w:rPr>
              <w:fldChar w:fldCharType="separate"/>
            </w:r>
            <w:r w:rsidR="00EE5745">
              <w:rPr>
                <w:webHidden/>
              </w:rPr>
              <w:t>2</w:t>
            </w:r>
            <w:r w:rsidR="005E6AEC">
              <w:rPr>
                <w:webHidden/>
              </w:rPr>
              <w:fldChar w:fldCharType="end"/>
            </w:r>
          </w:hyperlink>
        </w:p>
        <w:p w:rsidR="005E6AEC" w:rsidRDefault="005E6AEC">
          <w:pPr>
            <w:pStyle w:val="TOC1"/>
            <w:rPr>
              <w:rFonts w:asciiTheme="minorHAnsi" w:eastAsiaTheme="minorEastAsia" w:hAnsiTheme="minorHAnsi"/>
              <w:b w:val="0"/>
              <w:color w:val="auto"/>
              <w:sz w:val="22"/>
              <w:lang w:val="en-AU" w:eastAsia="en-AU"/>
            </w:rPr>
          </w:pPr>
          <w:hyperlink w:anchor="_Toc487017900" w:history="1">
            <w:r w:rsidRPr="00283441">
              <w:rPr>
                <w:rStyle w:val="Hyperlink"/>
              </w:rPr>
              <w:t>Note</w:t>
            </w:r>
            <w:r>
              <w:rPr>
                <w:webHidden/>
              </w:rPr>
              <w:tab/>
            </w:r>
            <w:r>
              <w:rPr>
                <w:webHidden/>
              </w:rPr>
              <w:fldChar w:fldCharType="begin"/>
            </w:r>
            <w:r>
              <w:rPr>
                <w:webHidden/>
              </w:rPr>
              <w:instrText xml:space="preserve"> PAGEREF _Toc487017900 \h </w:instrText>
            </w:r>
            <w:r>
              <w:rPr>
                <w:webHidden/>
              </w:rPr>
            </w:r>
            <w:r>
              <w:rPr>
                <w:webHidden/>
              </w:rPr>
              <w:fldChar w:fldCharType="separate"/>
            </w:r>
            <w:r w:rsidR="00EE5745">
              <w:rPr>
                <w:webHidden/>
              </w:rPr>
              <w:t>3</w:t>
            </w:r>
            <w:r>
              <w:rPr>
                <w:webHidden/>
              </w:rPr>
              <w:fldChar w:fldCharType="end"/>
            </w:r>
          </w:hyperlink>
        </w:p>
        <w:p w:rsidR="005E6AEC" w:rsidRDefault="005E6AEC">
          <w:pPr>
            <w:pStyle w:val="TOC1"/>
            <w:rPr>
              <w:rFonts w:asciiTheme="minorHAnsi" w:eastAsiaTheme="minorEastAsia" w:hAnsiTheme="minorHAnsi"/>
              <w:b w:val="0"/>
              <w:color w:val="auto"/>
              <w:sz w:val="22"/>
              <w:lang w:val="en-AU" w:eastAsia="en-AU"/>
            </w:rPr>
          </w:pPr>
          <w:hyperlink w:anchor="_Toc487017901" w:history="1">
            <w:r w:rsidRPr="00283441">
              <w:rPr>
                <w:rStyle w:val="Hyperlink"/>
              </w:rPr>
              <w:t>Contents</w:t>
            </w:r>
            <w:r>
              <w:rPr>
                <w:webHidden/>
              </w:rPr>
              <w:tab/>
            </w:r>
            <w:r>
              <w:rPr>
                <w:webHidden/>
              </w:rPr>
              <w:fldChar w:fldCharType="begin"/>
            </w:r>
            <w:r>
              <w:rPr>
                <w:webHidden/>
              </w:rPr>
              <w:instrText xml:space="preserve"> PAGEREF _Toc487017901 \h </w:instrText>
            </w:r>
            <w:r>
              <w:rPr>
                <w:webHidden/>
              </w:rPr>
            </w:r>
            <w:r>
              <w:rPr>
                <w:webHidden/>
              </w:rPr>
              <w:fldChar w:fldCharType="separate"/>
            </w:r>
            <w:r w:rsidR="00EE5745">
              <w:rPr>
                <w:webHidden/>
              </w:rPr>
              <w:t>4</w:t>
            </w:r>
            <w:r>
              <w:rPr>
                <w:webHidden/>
              </w:rPr>
              <w:fldChar w:fldCharType="end"/>
            </w:r>
          </w:hyperlink>
        </w:p>
        <w:p w:rsidR="005E6AEC" w:rsidRDefault="005E6AEC">
          <w:pPr>
            <w:pStyle w:val="TOC1"/>
            <w:rPr>
              <w:rFonts w:asciiTheme="minorHAnsi" w:eastAsiaTheme="minorEastAsia" w:hAnsiTheme="minorHAnsi"/>
              <w:b w:val="0"/>
              <w:color w:val="auto"/>
              <w:sz w:val="22"/>
              <w:lang w:val="en-AU" w:eastAsia="en-AU"/>
            </w:rPr>
          </w:pPr>
          <w:hyperlink w:anchor="_Toc487017902" w:history="1">
            <w:r w:rsidRPr="00283441">
              <w:rPr>
                <w:rStyle w:val="Hyperlink"/>
              </w:rPr>
              <w:t>Shortened forms</w:t>
            </w:r>
            <w:r>
              <w:rPr>
                <w:webHidden/>
              </w:rPr>
              <w:tab/>
            </w:r>
            <w:r>
              <w:rPr>
                <w:webHidden/>
              </w:rPr>
              <w:fldChar w:fldCharType="begin"/>
            </w:r>
            <w:r>
              <w:rPr>
                <w:webHidden/>
              </w:rPr>
              <w:instrText xml:space="preserve"> PAGEREF _Toc487017902 \h </w:instrText>
            </w:r>
            <w:r>
              <w:rPr>
                <w:webHidden/>
              </w:rPr>
            </w:r>
            <w:r>
              <w:rPr>
                <w:webHidden/>
              </w:rPr>
              <w:fldChar w:fldCharType="separate"/>
            </w:r>
            <w:r w:rsidR="00EE5745">
              <w:rPr>
                <w:webHidden/>
              </w:rPr>
              <w:t>6</w:t>
            </w:r>
            <w:r>
              <w:rPr>
                <w:webHidden/>
              </w:rPr>
              <w:fldChar w:fldCharType="end"/>
            </w:r>
          </w:hyperlink>
        </w:p>
        <w:p w:rsidR="005E6AEC" w:rsidRDefault="005E6AEC">
          <w:pPr>
            <w:pStyle w:val="TOC1"/>
            <w:rPr>
              <w:rFonts w:asciiTheme="minorHAnsi" w:eastAsiaTheme="minorEastAsia" w:hAnsiTheme="minorHAnsi"/>
              <w:b w:val="0"/>
              <w:color w:val="auto"/>
              <w:sz w:val="22"/>
              <w:lang w:val="en-AU" w:eastAsia="en-AU"/>
            </w:rPr>
          </w:pPr>
          <w:hyperlink w:anchor="_Toc487017903" w:history="1">
            <w:r w:rsidRPr="00283441">
              <w:rPr>
                <w:rStyle w:val="Hyperlink"/>
              </w:rPr>
              <w:t>1</w:t>
            </w:r>
            <w:r>
              <w:rPr>
                <w:rFonts w:asciiTheme="minorHAnsi" w:eastAsiaTheme="minorEastAsia" w:hAnsiTheme="minorHAnsi"/>
                <w:b w:val="0"/>
                <w:color w:val="auto"/>
                <w:sz w:val="22"/>
                <w:lang w:val="en-AU" w:eastAsia="en-AU"/>
              </w:rPr>
              <w:tab/>
            </w:r>
            <w:r w:rsidRPr="00283441">
              <w:rPr>
                <w:rStyle w:val="Hyperlink"/>
              </w:rPr>
              <w:t>Introduction</w:t>
            </w:r>
            <w:r>
              <w:rPr>
                <w:webHidden/>
              </w:rPr>
              <w:tab/>
            </w:r>
            <w:r>
              <w:rPr>
                <w:webHidden/>
              </w:rPr>
              <w:fldChar w:fldCharType="begin"/>
            </w:r>
            <w:r>
              <w:rPr>
                <w:webHidden/>
              </w:rPr>
              <w:instrText xml:space="preserve"> PAGEREF _Toc487017903 \h </w:instrText>
            </w:r>
            <w:r>
              <w:rPr>
                <w:webHidden/>
              </w:rPr>
            </w:r>
            <w:r>
              <w:rPr>
                <w:webHidden/>
              </w:rPr>
              <w:fldChar w:fldCharType="separate"/>
            </w:r>
            <w:r w:rsidR="00EE5745">
              <w:rPr>
                <w:webHidden/>
              </w:rPr>
              <w:t>7</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04" w:history="1">
            <w:r w:rsidRPr="00283441">
              <w:rPr>
                <w:rStyle w:val="Hyperlink"/>
              </w:rPr>
              <w:t>1.1</w:t>
            </w:r>
            <w:r>
              <w:rPr>
                <w:rFonts w:asciiTheme="minorHAnsi" w:eastAsiaTheme="minorEastAsia" w:hAnsiTheme="minorHAnsi"/>
                <w:b w:val="0"/>
                <w:color w:val="auto"/>
                <w:sz w:val="22"/>
                <w:lang w:eastAsia="en-AU"/>
              </w:rPr>
              <w:tab/>
            </w:r>
            <w:r w:rsidRPr="00283441">
              <w:rPr>
                <w:rStyle w:val="Hyperlink"/>
              </w:rPr>
              <w:t>Structure of this overview</w:t>
            </w:r>
            <w:r>
              <w:rPr>
                <w:webHidden/>
              </w:rPr>
              <w:tab/>
            </w:r>
            <w:r>
              <w:rPr>
                <w:webHidden/>
              </w:rPr>
              <w:fldChar w:fldCharType="begin"/>
            </w:r>
            <w:r>
              <w:rPr>
                <w:webHidden/>
              </w:rPr>
              <w:instrText xml:space="preserve"> PAGEREF _Toc487017904 \h </w:instrText>
            </w:r>
            <w:r>
              <w:rPr>
                <w:webHidden/>
              </w:rPr>
            </w:r>
            <w:r>
              <w:rPr>
                <w:webHidden/>
              </w:rPr>
              <w:fldChar w:fldCharType="separate"/>
            </w:r>
            <w:r w:rsidR="00EE5745">
              <w:rPr>
                <w:webHidden/>
              </w:rPr>
              <w:t>8</w:t>
            </w:r>
            <w:r>
              <w:rPr>
                <w:webHidden/>
              </w:rPr>
              <w:fldChar w:fldCharType="end"/>
            </w:r>
          </w:hyperlink>
        </w:p>
        <w:p w:rsidR="005E6AEC" w:rsidRDefault="005E6AEC">
          <w:pPr>
            <w:pStyle w:val="TOC1"/>
            <w:rPr>
              <w:rFonts w:asciiTheme="minorHAnsi" w:eastAsiaTheme="minorEastAsia" w:hAnsiTheme="minorHAnsi"/>
              <w:b w:val="0"/>
              <w:color w:val="auto"/>
              <w:sz w:val="22"/>
              <w:lang w:val="en-AU" w:eastAsia="en-AU"/>
            </w:rPr>
          </w:pPr>
          <w:hyperlink w:anchor="_Toc487017905" w:history="1">
            <w:r w:rsidRPr="00283441">
              <w:rPr>
                <w:rStyle w:val="Hyperlink"/>
              </w:rPr>
              <w:t>2</w:t>
            </w:r>
            <w:r>
              <w:rPr>
                <w:rFonts w:asciiTheme="minorHAnsi" w:eastAsiaTheme="minorEastAsia" w:hAnsiTheme="minorHAnsi"/>
                <w:b w:val="0"/>
                <w:color w:val="auto"/>
                <w:sz w:val="22"/>
                <w:lang w:val="en-AU" w:eastAsia="en-AU"/>
              </w:rPr>
              <w:tab/>
            </w:r>
            <w:r w:rsidRPr="00283441">
              <w:rPr>
                <w:rStyle w:val="Hyperlink"/>
              </w:rPr>
              <w:t>Draft decision</w:t>
            </w:r>
            <w:r>
              <w:rPr>
                <w:webHidden/>
              </w:rPr>
              <w:tab/>
            </w:r>
            <w:r>
              <w:rPr>
                <w:webHidden/>
              </w:rPr>
              <w:fldChar w:fldCharType="begin"/>
            </w:r>
            <w:r>
              <w:rPr>
                <w:webHidden/>
              </w:rPr>
              <w:instrText xml:space="preserve"> PAGEREF _Toc487017905 \h </w:instrText>
            </w:r>
            <w:r>
              <w:rPr>
                <w:webHidden/>
              </w:rPr>
            </w:r>
            <w:r>
              <w:rPr>
                <w:webHidden/>
              </w:rPr>
              <w:fldChar w:fldCharType="separate"/>
            </w:r>
            <w:r w:rsidR="00EE5745">
              <w:rPr>
                <w:webHidden/>
              </w:rPr>
              <w:t>9</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06" w:history="1">
            <w:r w:rsidRPr="00283441">
              <w:rPr>
                <w:rStyle w:val="Hyperlink"/>
              </w:rPr>
              <w:t>2.1</w:t>
            </w:r>
            <w:r>
              <w:rPr>
                <w:rFonts w:asciiTheme="minorHAnsi" w:eastAsiaTheme="minorEastAsia" w:hAnsiTheme="minorHAnsi"/>
                <w:b w:val="0"/>
                <w:color w:val="auto"/>
                <w:sz w:val="22"/>
                <w:lang w:eastAsia="en-AU"/>
              </w:rPr>
              <w:tab/>
            </w:r>
            <w:r w:rsidRPr="00283441">
              <w:rPr>
                <w:rStyle w:val="Hyperlink"/>
              </w:rPr>
              <w:t>What is driving proposed revenue?</w:t>
            </w:r>
            <w:r>
              <w:rPr>
                <w:webHidden/>
              </w:rPr>
              <w:tab/>
            </w:r>
            <w:r>
              <w:rPr>
                <w:webHidden/>
              </w:rPr>
              <w:fldChar w:fldCharType="begin"/>
            </w:r>
            <w:r>
              <w:rPr>
                <w:webHidden/>
              </w:rPr>
              <w:instrText xml:space="preserve"> PAGEREF _Toc487017906 \h </w:instrText>
            </w:r>
            <w:r>
              <w:rPr>
                <w:webHidden/>
              </w:rPr>
            </w:r>
            <w:r>
              <w:rPr>
                <w:webHidden/>
              </w:rPr>
              <w:fldChar w:fldCharType="separate"/>
            </w:r>
            <w:r w:rsidR="00EE5745">
              <w:rPr>
                <w:webHidden/>
              </w:rPr>
              <w:t>9</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07" w:history="1">
            <w:r w:rsidRPr="00283441">
              <w:rPr>
                <w:rStyle w:val="Hyperlink"/>
              </w:rPr>
              <w:t>2.2</w:t>
            </w:r>
            <w:r>
              <w:rPr>
                <w:rFonts w:asciiTheme="minorHAnsi" w:eastAsiaTheme="minorEastAsia" w:hAnsiTheme="minorHAnsi"/>
                <w:b w:val="0"/>
                <w:color w:val="auto"/>
                <w:sz w:val="22"/>
                <w:lang w:eastAsia="en-AU"/>
              </w:rPr>
              <w:tab/>
            </w:r>
            <w:r w:rsidRPr="00283441">
              <w:rPr>
                <w:rStyle w:val="Hyperlink"/>
              </w:rPr>
              <w:t>Key differences between our draft decision and AusNet's proposal</w:t>
            </w:r>
            <w:r>
              <w:rPr>
                <w:webHidden/>
              </w:rPr>
              <w:tab/>
            </w:r>
            <w:r>
              <w:rPr>
                <w:webHidden/>
              </w:rPr>
              <w:fldChar w:fldCharType="begin"/>
            </w:r>
            <w:r>
              <w:rPr>
                <w:webHidden/>
              </w:rPr>
              <w:instrText xml:space="preserve"> PAGEREF _Toc487017907 \h </w:instrText>
            </w:r>
            <w:r>
              <w:rPr>
                <w:webHidden/>
              </w:rPr>
            </w:r>
            <w:r>
              <w:rPr>
                <w:webHidden/>
              </w:rPr>
              <w:fldChar w:fldCharType="separate"/>
            </w:r>
            <w:r w:rsidR="00EE5745">
              <w:rPr>
                <w:webHidden/>
              </w:rPr>
              <w:t>11</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08" w:history="1">
            <w:r w:rsidRPr="00283441">
              <w:rPr>
                <w:rStyle w:val="Hyperlink"/>
              </w:rPr>
              <w:t>2.3</w:t>
            </w:r>
            <w:r>
              <w:rPr>
                <w:rFonts w:asciiTheme="minorHAnsi" w:eastAsiaTheme="minorEastAsia" w:hAnsiTheme="minorHAnsi"/>
                <w:b w:val="0"/>
                <w:color w:val="auto"/>
                <w:sz w:val="22"/>
                <w:lang w:eastAsia="en-AU"/>
              </w:rPr>
              <w:tab/>
            </w:r>
            <w:r w:rsidRPr="00283441">
              <w:rPr>
                <w:rStyle w:val="Hyperlink"/>
              </w:rPr>
              <w:t>Impact of our draft decision on gas bills</w:t>
            </w:r>
            <w:r>
              <w:rPr>
                <w:webHidden/>
              </w:rPr>
              <w:tab/>
            </w:r>
            <w:r>
              <w:rPr>
                <w:webHidden/>
              </w:rPr>
              <w:fldChar w:fldCharType="begin"/>
            </w:r>
            <w:r>
              <w:rPr>
                <w:webHidden/>
              </w:rPr>
              <w:instrText xml:space="preserve"> PAGEREF _Toc487017908 \h </w:instrText>
            </w:r>
            <w:r>
              <w:rPr>
                <w:webHidden/>
              </w:rPr>
            </w:r>
            <w:r>
              <w:rPr>
                <w:webHidden/>
              </w:rPr>
              <w:fldChar w:fldCharType="separate"/>
            </w:r>
            <w:r w:rsidR="00EE5745">
              <w:rPr>
                <w:webHidden/>
              </w:rPr>
              <w:t>12</w:t>
            </w:r>
            <w:r>
              <w:rPr>
                <w:webHidden/>
              </w:rPr>
              <w:fldChar w:fldCharType="end"/>
            </w:r>
          </w:hyperlink>
        </w:p>
        <w:p w:rsidR="005E6AEC" w:rsidRDefault="005E6AEC">
          <w:pPr>
            <w:pStyle w:val="TOC1"/>
            <w:rPr>
              <w:rFonts w:asciiTheme="minorHAnsi" w:eastAsiaTheme="minorEastAsia" w:hAnsiTheme="minorHAnsi"/>
              <w:b w:val="0"/>
              <w:color w:val="auto"/>
              <w:sz w:val="22"/>
              <w:lang w:val="en-AU" w:eastAsia="en-AU"/>
            </w:rPr>
          </w:pPr>
          <w:hyperlink w:anchor="_Toc487017909" w:history="1">
            <w:r w:rsidRPr="00283441">
              <w:rPr>
                <w:rStyle w:val="Hyperlink"/>
              </w:rPr>
              <w:t>3</w:t>
            </w:r>
            <w:r>
              <w:rPr>
                <w:rFonts w:asciiTheme="minorHAnsi" w:eastAsiaTheme="minorEastAsia" w:hAnsiTheme="minorHAnsi"/>
                <w:b w:val="0"/>
                <w:color w:val="auto"/>
                <w:sz w:val="22"/>
                <w:lang w:val="en-AU" w:eastAsia="en-AU"/>
              </w:rPr>
              <w:tab/>
            </w:r>
            <w:r w:rsidRPr="00283441">
              <w:rPr>
                <w:rStyle w:val="Hyperlink"/>
              </w:rPr>
              <w:t>Reference services and tariffs</w:t>
            </w:r>
            <w:r>
              <w:rPr>
                <w:webHidden/>
              </w:rPr>
              <w:tab/>
            </w:r>
            <w:r>
              <w:rPr>
                <w:webHidden/>
              </w:rPr>
              <w:fldChar w:fldCharType="begin"/>
            </w:r>
            <w:r>
              <w:rPr>
                <w:webHidden/>
              </w:rPr>
              <w:instrText xml:space="preserve"> PAGEREF _Toc487017909 \h </w:instrText>
            </w:r>
            <w:r>
              <w:rPr>
                <w:webHidden/>
              </w:rPr>
            </w:r>
            <w:r>
              <w:rPr>
                <w:webHidden/>
              </w:rPr>
              <w:fldChar w:fldCharType="separate"/>
            </w:r>
            <w:r w:rsidR="00EE5745">
              <w:rPr>
                <w:webHidden/>
              </w:rPr>
              <w:t>16</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10" w:history="1">
            <w:r w:rsidRPr="00283441">
              <w:rPr>
                <w:rStyle w:val="Hyperlink"/>
              </w:rPr>
              <w:t>3.1</w:t>
            </w:r>
            <w:r>
              <w:rPr>
                <w:rFonts w:asciiTheme="minorHAnsi" w:eastAsiaTheme="minorEastAsia" w:hAnsiTheme="minorHAnsi"/>
                <w:b w:val="0"/>
                <w:color w:val="auto"/>
                <w:sz w:val="22"/>
                <w:lang w:eastAsia="en-AU"/>
              </w:rPr>
              <w:tab/>
            </w:r>
            <w:r w:rsidRPr="00283441">
              <w:rPr>
                <w:rStyle w:val="Hyperlink"/>
              </w:rPr>
              <w:t>Services covered by the access arrangement</w:t>
            </w:r>
            <w:r>
              <w:rPr>
                <w:webHidden/>
              </w:rPr>
              <w:tab/>
            </w:r>
            <w:r>
              <w:rPr>
                <w:webHidden/>
              </w:rPr>
              <w:fldChar w:fldCharType="begin"/>
            </w:r>
            <w:r>
              <w:rPr>
                <w:webHidden/>
              </w:rPr>
              <w:instrText xml:space="preserve"> PAGEREF _Toc487017910 \h </w:instrText>
            </w:r>
            <w:r>
              <w:rPr>
                <w:webHidden/>
              </w:rPr>
            </w:r>
            <w:r>
              <w:rPr>
                <w:webHidden/>
              </w:rPr>
              <w:fldChar w:fldCharType="separate"/>
            </w:r>
            <w:r w:rsidR="00EE5745">
              <w:rPr>
                <w:webHidden/>
              </w:rPr>
              <w:t>16</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11" w:history="1">
            <w:r w:rsidRPr="00283441">
              <w:rPr>
                <w:rStyle w:val="Hyperlink"/>
              </w:rPr>
              <w:t>3.2</w:t>
            </w:r>
            <w:r>
              <w:rPr>
                <w:rFonts w:asciiTheme="minorHAnsi" w:eastAsiaTheme="minorEastAsia" w:hAnsiTheme="minorHAnsi"/>
                <w:b w:val="0"/>
                <w:color w:val="auto"/>
                <w:sz w:val="22"/>
                <w:lang w:eastAsia="en-AU"/>
              </w:rPr>
              <w:tab/>
            </w:r>
            <w:r w:rsidRPr="00283441">
              <w:rPr>
                <w:rStyle w:val="Hyperlink"/>
              </w:rPr>
              <w:t>Reference tariff setting and the reference tariff variation mechanism</w:t>
            </w:r>
            <w:r>
              <w:rPr>
                <w:webHidden/>
              </w:rPr>
              <w:tab/>
            </w:r>
            <w:r>
              <w:rPr>
                <w:webHidden/>
              </w:rPr>
              <w:fldChar w:fldCharType="begin"/>
            </w:r>
            <w:r>
              <w:rPr>
                <w:webHidden/>
              </w:rPr>
              <w:instrText xml:space="preserve"> PAGEREF _Toc487017911 \h </w:instrText>
            </w:r>
            <w:r>
              <w:rPr>
                <w:webHidden/>
              </w:rPr>
            </w:r>
            <w:r>
              <w:rPr>
                <w:webHidden/>
              </w:rPr>
              <w:fldChar w:fldCharType="separate"/>
            </w:r>
            <w:r w:rsidR="00EE5745">
              <w:rPr>
                <w:webHidden/>
              </w:rPr>
              <w:t>16</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12" w:history="1">
            <w:r w:rsidRPr="00283441">
              <w:rPr>
                <w:rStyle w:val="Hyperlink"/>
              </w:rPr>
              <w:t>3.3</w:t>
            </w:r>
            <w:r>
              <w:rPr>
                <w:rFonts w:asciiTheme="minorHAnsi" w:eastAsiaTheme="minorEastAsia" w:hAnsiTheme="minorHAnsi"/>
                <w:b w:val="0"/>
                <w:color w:val="auto"/>
                <w:sz w:val="22"/>
                <w:lang w:eastAsia="en-AU"/>
              </w:rPr>
              <w:tab/>
            </w:r>
            <w:r w:rsidRPr="00283441">
              <w:rPr>
                <w:rStyle w:val="Hyperlink"/>
              </w:rPr>
              <w:t>Forecast demand</w:t>
            </w:r>
            <w:r>
              <w:rPr>
                <w:webHidden/>
              </w:rPr>
              <w:tab/>
            </w:r>
            <w:r>
              <w:rPr>
                <w:webHidden/>
              </w:rPr>
              <w:fldChar w:fldCharType="begin"/>
            </w:r>
            <w:r>
              <w:rPr>
                <w:webHidden/>
              </w:rPr>
              <w:instrText xml:space="preserve"> PAGEREF _Toc487017912 \h </w:instrText>
            </w:r>
            <w:r>
              <w:rPr>
                <w:webHidden/>
              </w:rPr>
            </w:r>
            <w:r>
              <w:rPr>
                <w:webHidden/>
              </w:rPr>
              <w:fldChar w:fldCharType="separate"/>
            </w:r>
            <w:r w:rsidR="00EE5745">
              <w:rPr>
                <w:webHidden/>
              </w:rPr>
              <w:t>17</w:t>
            </w:r>
            <w:r>
              <w:rPr>
                <w:webHidden/>
              </w:rPr>
              <w:fldChar w:fldCharType="end"/>
            </w:r>
          </w:hyperlink>
        </w:p>
        <w:p w:rsidR="005E6AEC" w:rsidRDefault="005E6AEC">
          <w:pPr>
            <w:pStyle w:val="TOC1"/>
            <w:rPr>
              <w:rFonts w:asciiTheme="minorHAnsi" w:eastAsiaTheme="minorEastAsia" w:hAnsiTheme="minorHAnsi"/>
              <w:b w:val="0"/>
              <w:color w:val="auto"/>
              <w:sz w:val="22"/>
              <w:lang w:val="en-AU" w:eastAsia="en-AU"/>
            </w:rPr>
          </w:pPr>
          <w:hyperlink w:anchor="_Toc487017913" w:history="1">
            <w:r w:rsidRPr="00283441">
              <w:rPr>
                <w:rStyle w:val="Hyperlink"/>
              </w:rPr>
              <w:t>4</w:t>
            </w:r>
            <w:r>
              <w:rPr>
                <w:rFonts w:asciiTheme="minorHAnsi" w:eastAsiaTheme="minorEastAsia" w:hAnsiTheme="minorHAnsi"/>
                <w:b w:val="0"/>
                <w:color w:val="auto"/>
                <w:sz w:val="22"/>
                <w:lang w:val="en-AU" w:eastAsia="en-AU"/>
              </w:rPr>
              <w:tab/>
            </w:r>
            <w:r w:rsidRPr="00283441">
              <w:rPr>
                <w:rStyle w:val="Hyperlink"/>
              </w:rPr>
              <w:t>Total revenue requirement</w:t>
            </w:r>
            <w:r>
              <w:rPr>
                <w:webHidden/>
              </w:rPr>
              <w:tab/>
            </w:r>
            <w:r>
              <w:rPr>
                <w:webHidden/>
              </w:rPr>
              <w:fldChar w:fldCharType="begin"/>
            </w:r>
            <w:r>
              <w:rPr>
                <w:webHidden/>
              </w:rPr>
              <w:instrText xml:space="preserve"> PAGEREF _Toc487017913 \h </w:instrText>
            </w:r>
            <w:r>
              <w:rPr>
                <w:webHidden/>
              </w:rPr>
            </w:r>
            <w:r>
              <w:rPr>
                <w:webHidden/>
              </w:rPr>
              <w:fldChar w:fldCharType="separate"/>
            </w:r>
            <w:r w:rsidR="00EE5745">
              <w:rPr>
                <w:webHidden/>
              </w:rPr>
              <w:t>19</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14" w:history="1">
            <w:r w:rsidRPr="00283441">
              <w:rPr>
                <w:rStyle w:val="Hyperlink"/>
              </w:rPr>
              <w:t>4.1</w:t>
            </w:r>
            <w:r>
              <w:rPr>
                <w:rFonts w:asciiTheme="minorHAnsi" w:eastAsiaTheme="minorEastAsia" w:hAnsiTheme="minorHAnsi"/>
                <w:b w:val="0"/>
                <w:color w:val="auto"/>
                <w:sz w:val="22"/>
                <w:lang w:eastAsia="en-AU"/>
              </w:rPr>
              <w:tab/>
            </w:r>
            <w:r w:rsidRPr="00283441">
              <w:rPr>
                <w:rStyle w:val="Hyperlink"/>
              </w:rPr>
              <w:t>The building block approach</w:t>
            </w:r>
            <w:r>
              <w:rPr>
                <w:webHidden/>
              </w:rPr>
              <w:tab/>
            </w:r>
            <w:r>
              <w:rPr>
                <w:webHidden/>
              </w:rPr>
              <w:fldChar w:fldCharType="begin"/>
            </w:r>
            <w:r>
              <w:rPr>
                <w:webHidden/>
              </w:rPr>
              <w:instrText xml:space="preserve"> PAGEREF _Toc487017914 \h </w:instrText>
            </w:r>
            <w:r>
              <w:rPr>
                <w:webHidden/>
              </w:rPr>
            </w:r>
            <w:r>
              <w:rPr>
                <w:webHidden/>
              </w:rPr>
              <w:fldChar w:fldCharType="separate"/>
            </w:r>
            <w:r w:rsidR="00EE5745">
              <w:rPr>
                <w:webHidden/>
              </w:rPr>
              <w:t>19</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15" w:history="1">
            <w:r w:rsidRPr="00283441">
              <w:rPr>
                <w:rStyle w:val="Hyperlink"/>
              </w:rPr>
              <w:t>4.2</w:t>
            </w:r>
            <w:r>
              <w:rPr>
                <w:rFonts w:asciiTheme="minorHAnsi" w:eastAsiaTheme="minorEastAsia" w:hAnsiTheme="minorHAnsi"/>
                <w:b w:val="0"/>
                <w:color w:val="auto"/>
                <w:sz w:val="22"/>
                <w:lang w:eastAsia="en-AU"/>
              </w:rPr>
              <w:tab/>
            </w:r>
            <w:r w:rsidRPr="00283441">
              <w:rPr>
                <w:rStyle w:val="Hyperlink"/>
              </w:rPr>
              <w:t>Draft decision on total revenue</w:t>
            </w:r>
            <w:r>
              <w:rPr>
                <w:webHidden/>
              </w:rPr>
              <w:tab/>
            </w:r>
            <w:r>
              <w:rPr>
                <w:webHidden/>
              </w:rPr>
              <w:fldChar w:fldCharType="begin"/>
            </w:r>
            <w:r>
              <w:rPr>
                <w:webHidden/>
              </w:rPr>
              <w:instrText xml:space="preserve"> PAGEREF _Toc487017915 \h </w:instrText>
            </w:r>
            <w:r>
              <w:rPr>
                <w:webHidden/>
              </w:rPr>
            </w:r>
            <w:r>
              <w:rPr>
                <w:webHidden/>
              </w:rPr>
              <w:fldChar w:fldCharType="separate"/>
            </w:r>
            <w:r w:rsidR="00EE5745">
              <w:rPr>
                <w:webHidden/>
              </w:rPr>
              <w:t>20</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16" w:history="1">
            <w:r w:rsidRPr="00283441">
              <w:rPr>
                <w:rStyle w:val="Hyperlink"/>
              </w:rPr>
              <w:t>4.3</w:t>
            </w:r>
            <w:r>
              <w:rPr>
                <w:rFonts w:asciiTheme="minorHAnsi" w:eastAsiaTheme="minorEastAsia" w:hAnsiTheme="minorHAnsi"/>
                <w:b w:val="0"/>
                <w:color w:val="auto"/>
                <w:sz w:val="22"/>
                <w:lang w:eastAsia="en-AU"/>
              </w:rPr>
              <w:tab/>
            </w:r>
            <w:r w:rsidRPr="00283441">
              <w:rPr>
                <w:rStyle w:val="Hyperlink"/>
              </w:rPr>
              <w:t>Revenue smoothing and tariffs</w:t>
            </w:r>
            <w:r>
              <w:rPr>
                <w:webHidden/>
              </w:rPr>
              <w:tab/>
            </w:r>
            <w:r>
              <w:rPr>
                <w:webHidden/>
              </w:rPr>
              <w:fldChar w:fldCharType="begin"/>
            </w:r>
            <w:r>
              <w:rPr>
                <w:webHidden/>
              </w:rPr>
              <w:instrText xml:space="preserve"> PAGEREF _Toc487017916 \h </w:instrText>
            </w:r>
            <w:r>
              <w:rPr>
                <w:webHidden/>
              </w:rPr>
            </w:r>
            <w:r>
              <w:rPr>
                <w:webHidden/>
              </w:rPr>
              <w:fldChar w:fldCharType="separate"/>
            </w:r>
            <w:r w:rsidR="00EE5745">
              <w:rPr>
                <w:webHidden/>
              </w:rPr>
              <w:t>22</w:t>
            </w:r>
            <w:r>
              <w:rPr>
                <w:webHidden/>
              </w:rPr>
              <w:fldChar w:fldCharType="end"/>
            </w:r>
          </w:hyperlink>
        </w:p>
        <w:p w:rsidR="005E6AEC" w:rsidRDefault="005E6AEC">
          <w:pPr>
            <w:pStyle w:val="TOC1"/>
            <w:rPr>
              <w:rFonts w:asciiTheme="minorHAnsi" w:eastAsiaTheme="minorEastAsia" w:hAnsiTheme="minorHAnsi"/>
              <w:b w:val="0"/>
              <w:color w:val="auto"/>
              <w:sz w:val="22"/>
              <w:lang w:val="en-AU" w:eastAsia="en-AU"/>
            </w:rPr>
          </w:pPr>
          <w:hyperlink w:anchor="_Toc487017917" w:history="1">
            <w:r w:rsidRPr="00283441">
              <w:rPr>
                <w:rStyle w:val="Hyperlink"/>
              </w:rPr>
              <w:t>5</w:t>
            </w:r>
            <w:r>
              <w:rPr>
                <w:rFonts w:asciiTheme="minorHAnsi" w:eastAsiaTheme="minorEastAsia" w:hAnsiTheme="minorHAnsi"/>
                <w:b w:val="0"/>
                <w:color w:val="auto"/>
                <w:sz w:val="22"/>
                <w:lang w:val="en-AU" w:eastAsia="en-AU"/>
              </w:rPr>
              <w:tab/>
            </w:r>
            <w:r w:rsidRPr="00283441">
              <w:rPr>
                <w:rStyle w:val="Hyperlink"/>
              </w:rPr>
              <w:t>Key elements of our draft decision on revenue</w:t>
            </w:r>
            <w:r>
              <w:rPr>
                <w:webHidden/>
              </w:rPr>
              <w:tab/>
            </w:r>
            <w:r>
              <w:rPr>
                <w:webHidden/>
              </w:rPr>
              <w:fldChar w:fldCharType="begin"/>
            </w:r>
            <w:r>
              <w:rPr>
                <w:webHidden/>
              </w:rPr>
              <w:instrText xml:space="preserve"> PAGEREF _Toc487017917 \h </w:instrText>
            </w:r>
            <w:r>
              <w:rPr>
                <w:webHidden/>
              </w:rPr>
            </w:r>
            <w:r>
              <w:rPr>
                <w:webHidden/>
              </w:rPr>
              <w:fldChar w:fldCharType="separate"/>
            </w:r>
            <w:r w:rsidR="00EE5745">
              <w:rPr>
                <w:webHidden/>
              </w:rPr>
              <w:t>27</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18" w:history="1">
            <w:r w:rsidRPr="00283441">
              <w:rPr>
                <w:rStyle w:val="Hyperlink"/>
              </w:rPr>
              <w:t>5.1</w:t>
            </w:r>
            <w:r>
              <w:rPr>
                <w:rFonts w:asciiTheme="minorHAnsi" w:eastAsiaTheme="minorEastAsia" w:hAnsiTheme="minorHAnsi"/>
                <w:b w:val="0"/>
                <w:color w:val="auto"/>
                <w:sz w:val="22"/>
                <w:lang w:eastAsia="en-AU"/>
              </w:rPr>
              <w:tab/>
            </w:r>
            <w:r w:rsidRPr="00283441">
              <w:rPr>
                <w:rStyle w:val="Hyperlink"/>
              </w:rPr>
              <w:t>Capital base</w:t>
            </w:r>
            <w:r>
              <w:rPr>
                <w:webHidden/>
              </w:rPr>
              <w:tab/>
            </w:r>
            <w:r>
              <w:rPr>
                <w:webHidden/>
              </w:rPr>
              <w:fldChar w:fldCharType="begin"/>
            </w:r>
            <w:r>
              <w:rPr>
                <w:webHidden/>
              </w:rPr>
              <w:instrText xml:space="preserve"> PAGEREF _Toc487017918 \h </w:instrText>
            </w:r>
            <w:r>
              <w:rPr>
                <w:webHidden/>
              </w:rPr>
            </w:r>
            <w:r>
              <w:rPr>
                <w:webHidden/>
              </w:rPr>
              <w:fldChar w:fldCharType="separate"/>
            </w:r>
            <w:r w:rsidR="00EE5745">
              <w:rPr>
                <w:webHidden/>
              </w:rPr>
              <w:t>27</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19" w:history="1">
            <w:r w:rsidRPr="00283441">
              <w:rPr>
                <w:rStyle w:val="Hyperlink"/>
              </w:rPr>
              <w:t>5.2</w:t>
            </w:r>
            <w:r>
              <w:rPr>
                <w:rFonts w:asciiTheme="minorHAnsi" w:eastAsiaTheme="minorEastAsia" w:hAnsiTheme="minorHAnsi"/>
                <w:b w:val="0"/>
                <w:color w:val="auto"/>
                <w:sz w:val="22"/>
                <w:lang w:eastAsia="en-AU"/>
              </w:rPr>
              <w:tab/>
            </w:r>
            <w:r w:rsidRPr="00283441">
              <w:rPr>
                <w:rStyle w:val="Hyperlink"/>
              </w:rPr>
              <w:t>Rate of return (return on capital)</w:t>
            </w:r>
            <w:r>
              <w:rPr>
                <w:webHidden/>
              </w:rPr>
              <w:tab/>
            </w:r>
            <w:r>
              <w:rPr>
                <w:webHidden/>
              </w:rPr>
              <w:fldChar w:fldCharType="begin"/>
            </w:r>
            <w:r>
              <w:rPr>
                <w:webHidden/>
              </w:rPr>
              <w:instrText xml:space="preserve"> PAGEREF _Toc487017919 \h </w:instrText>
            </w:r>
            <w:r>
              <w:rPr>
                <w:webHidden/>
              </w:rPr>
            </w:r>
            <w:r>
              <w:rPr>
                <w:webHidden/>
              </w:rPr>
              <w:fldChar w:fldCharType="separate"/>
            </w:r>
            <w:r w:rsidR="00EE5745">
              <w:rPr>
                <w:webHidden/>
              </w:rPr>
              <w:t>29</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20" w:history="1">
            <w:r w:rsidRPr="00283441">
              <w:rPr>
                <w:rStyle w:val="Hyperlink"/>
              </w:rPr>
              <w:t>5.3</w:t>
            </w:r>
            <w:r>
              <w:rPr>
                <w:rFonts w:asciiTheme="minorHAnsi" w:eastAsiaTheme="minorEastAsia" w:hAnsiTheme="minorHAnsi"/>
                <w:b w:val="0"/>
                <w:color w:val="auto"/>
                <w:sz w:val="22"/>
                <w:lang w:eastAsia="en-AU"/>
              </w:rPr>
              <w:tab/>
            </w:r>
            <w:r w:rsidRPr="00283441">
              <w:rPr>
                <w:rStyle w:val="Hyperlink"/>
              </w:rPr>
              <w:t>Value of imputation credits (gamma)</w:t>
            </w:r>
            <w:r>
              <w:rPr>
                <w:webHidden/>
              </w:rPr>
              <w:tab/>
            </w:r>
            <w:r>
              <w:rPr>
                <w:webHidden/>
              </w:rPr>
              <w:fldChar w:fldCharType="begin"/>
            </w:r>
            <w:r>
              <w:rPr>
                <w:webHidden/>
              </w:rPr>
              <w:instrText xml:space="preserve"> PAGEREF _Toc487017920 \h </w:instrText>
            </w:r>
            <w:r>
              <w:rPr>
                <w:webHidden/>
              </w:rPr>
            </w:r>
            <w:r>
              <w:rPr>
                <w:webHidden/>
              </w:rPr>
              <w:fldChar w:fldCharType="separate"/>
            </w:r>
            <w:r w:rsidR="00EE5745">
              <w:rPr>
                <w:webHidden/>
              </w:rPr>
              <w:t>32</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21" w:history="1">
            <w:r w:rsidRPr="00283441">
              <w:rPr>
                <w:rStyle w:val="Hyperlink"/>
              </w:rPr>
              <w:t>5.4</w:t>
            </w:r>
            <w:r>
              <w:rPr>
                <w:rFonts w:asciiTheme="minorHAnsi" w:eastAsiaTheme="minorEastAsia" w:hAnsiTheme="minorHAnsi"/>
                <w:b w:val="0"/>
                <w:color w:val="auto"/>
                <w:sz w:val="22"/>
                <w:lang w:eastAsia="en-AU"/>
              </w:rPr>
              <w:tab/>
            </w:r>
            <w:r w:rsidRPr="00283441">
              <w:rPr>
                <w:rStyle w:val="Hyperlink"/>
              </w:rPr>
              <w:t>Regulatory depreciation (return of capital)</w:t>
            </w:r>
            <w:r>
              <w:rPr>
                <w:webHidden/>
              </w:rPr>
              <w:tab/>
            </w:r>
            <w:r>
              <w:rPr>
                <w:webHidden/>
              </w:rPr>
              <w:fldChar w:fldCharType="begin"/>
            </w:r>
            <w:r>
              <w:rPr>
                <w:webHidden/>
              </w:rPr>
              <w:instrText xml:space="preserve"> PAGEREF _Toc487017921 \h </w:instrText>
            </w:r>
            <w:r>
              <w:rPr>
                <w:webHidden/>
              </w:rPr>
            </w:r>
            <w:r>
              <w:rPr>
                <w:webHidden/>
              </w:rPr>
              <w:fldChar w:fldCharType="separate"/>
            </w:r>
            <w:r w:rsidR="00EE5745">
              <w:rPr>
                <w:webHidden/>
              </w:rPr>
              <w:t>34</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22" w:history="1">
            <w:r w:rsidRPr="00283441">
              <w:rPr>
                <w:rStyle w:val="Hyperlink"/>
              </w:rPr>
              <w:t>5.5</w:t>
            </w:r>
            <w:r>
              <w:rPr>
                <w:rFonts w:asciiTheme="minorHAnsi" w:eastAsiaTheme="minorEastAsia" w:hAnsiTheme="minorHAnsi"/>
                <w:b w:val="0"/>
                <w:color w:val="auto"/>
                <w:sz w:val="22"/>
                <w:lang w:eastAsia="en-AU"/>
              </w:rPr>
              <w:tab/>
            </w:r>
            <w:r w:rsidRPr="00283441">
              <w:rPr>
                <w:rStyle w:val="Hyperlink"/>
              </w:rPr>
              <w:t>Capital expenditure (capex)</w:t>
            </w:r>
            <w:r>
              <w:rPr>
                <w:webHidden/>
              </w:rPr>
              <w:tab/>
            </w:r>
            <w:r>
              <w:rPr>
                <w:webHidden/>
              </w:rPr>
              <w:fldChar w:fldCharType="begin"/>
            </w:r>
            <w:r>
              <w:rPr>
                <w:webHidden/>
              </w:rPr>
              <w:instrText xml:space="preserve"> PAGEREF _Toc487017922 \h </w:instrText>
            </w:r>
            <w:r>
              <w:rPr>
                <w:webHidden/>
              </w:rPr>
            </w:r>
            <w:r>
              <w:rPr>
                <w:webHidden/>
              </w:rPr>
              <w:fldChar w:fldCharType="separate"/>
            </w:r>
            <w:r w:rsidR="00EE5745">
              <w:rPr>
                <w:webHidden/>
              </w:rPr>
              <w:t>36</w:t>
            </w:r>
            <w:r>
              <w:rPr>
                <w:webHidden/>
              </w:rPr>
              <w:fldChar w:fldCharType="end"/>
            </w:r>
          </w:hyperlink>
        </w:p>
        <w:p w:rsidR="005E6AEC" w:rsidRDefault="005E6AEC">
          <w:pPr>
            <w:pStyle w:val="TOC3"/>
            <w:rPr>
              <w:rFonts w:asciiTheme="minorHAnsi" w:eastAsiaTheme="minorEastAsia" w:hAnsiTheme="minorHAnsi"/>
              <w:lang w:eastAsia="en-AU"/>
            </w:rPr>
          </w:pPr>
          <w:hyperlink w:anchor="_Toc487017923" w:history="1">
            <w:r w:rsidRPr="00283441">
              <w:rPr>
                <w:rStyle w:val="Hyperlink"/>
              </w:rPr>
              <w:t>5.5.1</w:t>
            </w:r>
            <w:r>
              <w:rPr>
                <w:rFonts w:asciiTheme="minorHAnsi" w:eastAsiaTheme="minorEastAsia" w:hAnsiTheme="minorHAnsi"/>
                <w:lang w:eastAsia="en-AU"/>
              </w:rPr>
              <w:tab/>
            </w:r>
            <w:r w:rsidRPr="00283441">
              <w:rPr>
                <w:rStyle w:val="Hyperlink"/>
              </w:rPr>
              <w:t>Conforming capex for the current period</w:t>
            </w:r>
            <w:r>
              <w:rPr>
                <w:webHidden/>
              </w:rPr>
              <w:tab/>
            </w:r>
            <w:r>
              <w:rPr>
                <w:webHidden/>
              </w:rPr>
              <w:fldChar w:fldCharType="begin"/>
            </w:r>
            <w:r>
              <w:rPr>
                <w:webHidden/>
              </w:rPr>
              <w:instrText xml:space="preserve"> PAGEREF _Toc487017923 \h </w:instrText>
            </w:r>
            <w:r>
              <w:rPr>
                <w:webHidden/>
              </w:rPr>
            </w:r>
            <w:r>
              <w:rPr>
                <w:webHidden/>
              </w:rPr>
              <w:fldChar w:fldCharType="separate"/>
            </w:r>
            <w:r w:rsidR="00EE5745">
              <w:rPr>
                <w:webHidden/>
              </w:rPr>
              <w:t>37</w:t>
            </w:r>
            <w:r>
              <w:rPr>
                <w:webHidden/>
              </w:rPr>
              <w:fldChar w:fldCharType="end"/>
            </w:r>
          </w:hyperlink>
        </w:p>
        <w:p w:rsidR="005E6AEC" w:rsidRDefault="005E6AEC">
          <w:pPr>
            <w:pStyle w:val="TOC3"/>
            <w:rPr>
              <w:rFonts w:asciiTheme="minorHAnsi" w:eastAsiaTheme="minorEastAsia" w:hAnsiTheme="minorHAnsi"/>
              <w:lang w:eastAsia="en-AU"/>
            </w:rPr>
          </w:pPr>
          <w:hyperlink w:anchor="_Toc487017924" w:history="1">
            <w:r w:rsidRPr="00283441">
              <w:rPr>
                <w:rStyle w:val="Hyperlink"/>
              </w:rPr>
              <w:t>5.5.2</w:t>
            </w:r>
            <w:r>
              <w:rPr>
                <w:rFonts w:asciiTheme="minorHAnsi" w:eastAsiaTheme="minorEastAsia" w:hAnsiTheme="minorHAnsi"/>
                <w:lang w:eastAsia="en-AU"/>
              </w:rPr>
              <w:tab/>
            </w:r>
            <w:r w:rsidRPr="00283441">
              <w:rPr>
                <w:rStyle w:val="Hyperlink"/>
              </w:rPr>
              <w:t>Conforming capex for 2018-22</w:t>
            </w:r>
            <w:r>
              <w:rPr>
                <w:webHidden/>
              </w:rPr>
              <w:tab/>
            </w:r>
            <w:r>
              <w:rPr>
                <w:webHidden/>
              </w:rPr>
              <w:fldChar w:fldCharType="begin"/>
            </w:r>
            <w:r>
              <w:rPr>
                <w:webHidden/>
              </w:rPr>
              <w:instrText xml:space="preserve"> PAGEREF _Toc487017924 \h </w:instrText>
            </w:r>
            <w:r>
              <w:rPr>
                <w:webHidden/>
              </w:rPr>
            </w:r>
            <w:r>
              <w:rPr>
                <w:webHidden/>
              </w:rPr>
              <w:fldChar w:fldCharType="separate"/>
            </w:r>
            <w:r w:rsidR="00EE5745">
              <w:rPr>
                <w:webHidden/>
              </w:rPr>
              <w:t>38</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25" w:history="1">
            <w:r w:rsidRPr="00283441">
              <w:rPr>
                <w:rStyle w:val="Hyperlink"/>
              </w:rPr>
              <w:t>5.6</w:t>
            </w:r>
            <w:r>
              <w:rPr>
                <w:rFonts w:asciiTheme="minorHAnsi" w:eastAsiaTheme="minorEastAsia" w:hAnsiTheme="minorHAnsi"/>
                <w:b w:val="0"/>
                <w:color w:val="auto"/>
                <w:sz w:val="22"/>
                <w:lang w:eastAsia="en-AU"/>
              </w:rPr>
              <w:tab/>
            </w:r>
            <w:r w:rsidRPr="00283441">
              <w:rPr>
                <w:rStyle w:val="Hyperlink"/>
              </w:rPr>
              <w:t>Operating expenditure (opex)</w:t>
            </w:r>
            <w:r>
              <w:rPr>
                <w:webHidden/>
              </w:rPr>
              <w:tab/>
            </w:r>
            <w:r>
              <w:rPr>
                <w:webHidden/>
              </w:rPr>
              <w:fldChar w:fldCharType="begin"/>
            </w:r>
            <w:r>
              <w:rPr>
                <w:webHidden/>
              </w:rPr>
              <w:instrText xml:space="preserve"> PAGEREF _Toc487017925 \h </w:instrText>
            </w:r>
            <w:r>
              <w:rPr>
                <w:webHidden/>
              </w:rPr>
            </w:r>
            <w:r>
              <w:rPr>
                <w:webHidden/>
              </w:rPr>
              <w:fldChar w:fldCharType="separate"/>
            </w:r>
            <w:r w:rsidR="00EE5745">
              <w:rPr>
                <w:webHidden/>
              </w:rPr>
              <w:t>39</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26" w:history="1">
            <w:r w:rsidRPr="00283441">
              <w:rPr>
                <w:rStyle w:val="Hyperlink"/>
              </w:rPr>
              <w:t>5.7</w:t>
            </w:r>
            <w:r>
              <w:rPr>
                <w:rFonts w:asciiTheme="minorHAnsi" w:eastAsiaTheme="minorEastAsia" w:hAnsiTheme="minorHAnsi"/>
                <w:b w:val="0"/>
                <w:color w:val="auto"/>
                <w:sz w:val="22"/>
                <w:lang w:eastAsia="en-AU"/>
              </w:rPr>
              <w:tab/>
            </w:r>
            <w:r w:rsidRPr="00283441">
              <w:rPr>
                <w:rStyle w:val="Hyperlink"/>
              </w:rPr>
              <w:t>Efficiency carryover mechanism</w:t>
            </w:r>
            <w:r>
              <w:rPr>
                <w:webHidden/>
              </w:rPr>
              <w:tab/>
            </w:r>
            <w:r>
              <w:rPr>
                <w:webHidden/>
              </w:rPr>
              <w:fldChar w:fldCharType="begin"/>
            </w:r>
            <w:r>
              <w:rPr>
                <w:webHidden/>
              </w:rPr>
              <w:instrText xml:space="preserve"> PAGEREF _Toc487017926 \h </w:instrText>
            </w:r>
            <w:r>
              <w:rPr>
                <w:webHidden/>
              </w:rPr>
            </w:r>
            <w:r>
              <w:rPr>
                <w:webHidden/>
              </w:rPr>
              <w:fldChar w:fldCharType="separate"/>
            </w:r>
            <w:r w:rsidR="00EE5745">
              <w:rPr>
                <w:webHidden/>
              </w:rPr>
              <w:t>41</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27" w:history="1">
            <w:r w:rsidRPr="00283441">
              <w:rPr>
                <w:rStyle w:val="Hyperlink"/>
              </w:rPr>
              <w:t>5.8</w:t>
            </w:r>
            <w:r>
              <w:rPr>
                <w:rFonts w:asciiTheme="minorHAnsi" w:eastAsiaTheme="minorEastAsia" w:hAnsiTheme="minorHAnsi"/>
                <w:b w:val="0"/>
                <w:color w:val="auto"/>
                <w:sz w:val="22"/>
                <w:lang w:eastAsia="en-AU"/>
              </w:rPr>
              <w:tab/>
            </w:r>
            <w:r w:rsidRPr="00283441">
              <w:rPr>
                <w:rStyle w:val="Hyperlink"/>
              </w:rPr>
              <w:t>Corporate income tax</w:t>
            </w:r>
            <w:r>
              <w:rPr>
                <w:webHidden/>
              </w:rPr>
              <w:tab/>
            </w:r>
            <w:r>
              <w:rPr>
                <w:webHidden/>
              </w:rPr>
              <w:fldChar w:fldCharType="begin"/>
            </w:r>
            <w:r>
              <w:rPr>
                <w:webHidden/>
              </w:rPr>
              <w:instrText xml:space="preserve"> PAGEREF _Toc487017927 \h </w:instrText>
            </w:r>
            <w:r>
              <w:rPr>
                <w:webHidden/>
              </w:rPr>
            </w:r>
            <w:r>
              <w:rPr>
                <w:webHidden/>
              </w:rPr>
              <w:fldChar w:fldCharType="separate"/>
            </w:r>
            <w:r w:rsidR="00EE5745">
              <w:rPr>
                <w:webHidden/>
              </w:rPr>
              <w:t>42</w:t>
            </w:r>
            <w:r>
              <w:rPr>
                <w:webHidden/>
              </w:rPr>
              <w:fldChar w:fldCharType="end"/>
            </w:r>
          </w:hyperlink>
        </w:p>
        <w:p w:rsidR="005E6AEC" w:rsidRDefault="005E6AEC">
          <w:pPr>
            <w:pStyle w:val="TOC1"/>
            <w:rPr>
              <w:rFonts w:asciiTheme="minorHAnsi" w:eastAsiaTheme="minorEastAsia" w:hAnsiTheme="minorHAnsi"/>
              <w:b w:val="0"/>
              <w:color w:val="auto"/>
              <w:sz w:val="22"/>
              <w:lang w:val="en-AU" w:eastAsia="en-AU"/>
            </w:rPr>
          </w:pPr>
          <w:hyperlink w:anchor="_Toc487017928" w:history="1">
            <w:r w:rsidRPr="00283441">
              <w:rPr>
                <w:rStyle w:val="Hyperlink"/>
              </w:rPr>
              <w:t>6</w:t>
            </w:r>
            <w:r>
              <w:rPr>
                <w:rFonts w:asciiTheme="minorHAnsi" w:eastAsiaTheme="minorEastAsia" w:hAnsiTheme="minorHAnsi"/>
                <w:b w:val="0"/>
                <w:color w:val="auto"/>
                <w:sz w:val="22"/>
                <w:lang w:val="en-AU" w:eastAsia="en-AU"/>
              </w:rPr>
              <w:tab/>
            </w:r>
            <w:r w:rsidRPr="00283441">
              <w:rPr>
                <w:rStyle w:val="Hyperlink"/>
              </w:rPr>
              <w:t>New incentive schemes to apply from 2018</w:t>
            </w:r>
            <w:r>
              <w:rPr>
                <w:webHidden/>
              </w:rPr>
              <w:tab/>
            </w:r>
            <w:r>
              <w:rPr>
                <w:webHidden/>
              </w:rPr>
              <w:fldChar w:fldCharType="begin"/>
            </w:r>
            <w:r>
              <w:rPr>
                <w:webHidden/>
              </w:rPr>
              <w:instrText xml:space="preserve"> PAGEREF _Toc487017928 \h </w:instrText>
            </w:r>
            <w:r>
              <w:rPr>
                <w:webHidden/>
              </w:rPr>
            </w:r>
            <w:r>
              <w:rPr>
                <w:webHidden/>
              </w:rPr>
              <w:fldChar w:fldCharType="separate"/>
            </w:r>
            <w:r w:rsidR="00EE5745">
              <w:rPr>
                <w:webHidden/>
              </w:rPr>
              <w:t>44</w:t>
            </w:r>
            <w:r>
              <w:rPr>
                <w:webHidden/>
              </w:rPr>
              <w:fldChar w:fldCharType="end"/>
            </w:r>
          </w:hyperlink>
        </w:p>
        <w:p w:rsidR="005E6AEC" w:rsidRDefault="005E6AEC">
          <w:pPr>
            <w:pStyle w:val="TOC1"/>
            <w:rPr>
              <w:rFonts w:asciiTheme="minorHAnsi" w:eastAsiaTheme="minorEastAsia" w:hAnsiTheme="minorHAnsi"/>
              <w:b w:val="0"/>
              <w:color w:val="auto"/>
              <w:sz w:val="22"/>
              <w:lang w:val="en-AU" w:eastAsia="en-AU"/>
            </w:rPr>
          </w:pPr>
          <w:hyperlink w:anchor="_Toc487017929" w:history="1">
            <w:r w:rsidRPr="00283441">
              <w:rPr>
                <w:rStyle w:val="Hyperlink"/>
              </w:rPr>
              <w:t>7</w:t>
            </w:r>
            <w:r>
              <w:rPr>
                <w:rFonts w:asciiTheme="minorHAnsi" w:eastAsiaTheme="minorEastAsia" w:hAnsiTheme="minorHAnsi"/>
                <w:b w:val="0"/>
                <w:color w:val="auto"/>
                <w:sz w:val="22"/>
                <w:lang w:val="en-AU" w:eastAsia="en-AU"/>
              </w:rPr>
              <w:tab/>
            </w:r>
            <w:r w:rsidRPr="00283441">
              <w:rPr>
                <w:rStyle w:val="Hyperlink"/>
              </w:rPr>
              <w:t>Non-tariff components</w:t>
            </w:r>
            <w:r>
              <w:rPr>
                <w:webHidden/>
              </w:rPr>
              <w:tab/>
            </w:r>
            <w:r>
              <w:rPr>
                <w:webHidden/>
              </w:rPr>
              <w:fldChar w:fldCharType="begin"/>
            </w:r>
            <w:r>
              <w:rPr>
                <w:webHidden/>
              </w:rPr>
              <w:instrText xml:space="preserve"> PAGEREF _Toc487017929 \h </w:instrText>
            </w:r>
            <w:r>
              <w:rPr>
                <w:webHidden/>
              </w:rPr>
            </w:r>
            <w:r>
              <w:rPr>
                <w:webHidden/>
              </w:rPr>
              <w:fldChar w:fldCharType="separate"/>
            </w:r>
            <w:r w:rsidR="00EE5745">
              <w:rPr>
                <w:webHidden/>
              </w:rPr>
              <w:t>46</w:t>
            </w:r>
            <w:r>
              <w:rPr>
                <w:webHidden/>
              </w:rPr>
              <w:fldChar w:fldCharType="end"/>
            </w:r>
          </w:hyperlink>
        </w:p>
        <w:p w:rsidR="005E6AEC" w:rsidRDefault="005E6AEC">
          <w:pPr>
            <w:pStyle w:val="TOC1"/>
            <w:rPr>
              <w:rFonts w:asciiTheme="minorHAnsi" w:eastAsiaTheme="minorEastAsia" w:hAnsiTheme="minorHAnsi"/>
              <w:b w:val="0"/>
              <w:color w:val="auto"/>
              <w:sz w:val="22"/>
              <w:lang w:val="en-AU" w:eastAsia="en-AU"/>
            </w:rPr>
          </w:pPr>
          <w:hyperlink w:anchor="_Toc487017930" w:history="1">
            <w:r w:rsidRPr="00283441">
              <w:rPr>
                <w:rStyle w:val="Hyperlink"/>
              </w:rPr>
              <w:t>8</w:t>
            </w:r>
            <w:r>
              <w:rPr>
                <w:rFonts w:asciiTheme="minorHAnsi" w:eastAsiaTheme="minorEastAsia" w:hAnsiTheme="minorHAnsi"/>
                <w:b w:val="0"/>
                <w:color w:val="auto"/>
                <w:sz w:val="22"/>
                <w:lang w:val="en-AU" w:eastAsia="en-AU"/>
              </w:rPr>
              <w:tab/>
            </w:r>
            <w:r w:rsidRPr="00283441">
              <w:rPr>
                <w:rStyle w:val="Hyperlink"/>
              </w:rPr>
              <w:t>Understanding the NGO</w:t>
            </w:r>
            <w:r>
              <w:rPr>
                <w:webHidden/>
              </w:rPr>
              <w:tab/>
            </w:r>
            <w:r>
              <w:rPr>
                <w:webHidden/>
              </w:rPr>
              <w:fldChar w:fldCharType="begin"/>
            </w:r>
            <w:r>
              <w:rPr>
                <w:webHidden/>
              </w:rPr>
              <w:instrText xml:space="preserve"> PAGEREF _Toc487017930 \h </w:instrText>
            </w:r>
            <w:r>
              <w:rPr>
                <w:webHidden/>
              </w:rPr>
            </w:r>
            <w:r>
              <w:rPr>
                <w:webHidden/>
              </w:rPr>
              <w:fldChar w:fldCharType="separate"/>
            </w:r>
            <w:r w:rsidR="00EE5745">
              <w:rPr>
                <w:webHidden/>
              </w:rPr>
              <w:t>47</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31" w:history="1">
            <w:r w:rsidRPr="00283441">
              <w:rPr>
                <w:rStyle w:val="Hyperlink"/>
              </w:rPr>
              <w:t>8.1</w:t>
            </w:r>
            <w:r>
              <w:rPr>
                <w:rFonts w:asciiTheme="minorHAnsi" w:eastAsiaTheme="minorEastAsia" w:hAnsiTheme="minorHAnsi"/>
                <w:b w:val="0"/>
                <w:color w:val="auto"/>
                <w:sz w:val="22"/>
                <w:lang w:eastAsia="en-AU"/>
              </w:rPr>
              <w:tab/>
            </w:r>
            <w:r w:rsidRPr="00283441">
              <w:rPr>
                <w:rStyle w:val="Hyperlink"/>
              </w:rPr>
              <w:t>Achieving the NGO to the greatest degree</w:t>
            </w:r>
            <w:r>
              <w:rPr>
                <w:webHidden/>
              </w:rPr>
              <w:tab/>
            </w:r>
            <w:r>
              <w:rPr>
                <w:webHidden/>
              </w:rPr>
              <w:fldChar w:fldCharType="begin"/>
            </w:r>
            <w:r>
              <w:rPr>
                <w:webHidden/>
              </w:rPr>
              <w:instrText xml:space="preserve"> PAGEREF _Toc487017931 \h </w:instrText>
            </w:r>
            <w:r>
              <w:rPr>
                <w:webHidden/>
              </w:rPr>
            </w:r>
            <w:r>
              <w:rPr>
                <w:webHidden/>
              </w:rPr>
              <w:fldChar w:fldCharType="separate"/>
            </w:r>
            <w:r w:rsidR="00EE5745">
              <w:rPr>
                <w:webHidden/>
              </w:rPr>
              <w:t>50</w:t>
            </w:r>
            <w:r>
              <w:rPr>
                <w:webHidden/>
              </w:rPr>
              <w:fldChar w:fldCharType="end"/>
            </w:r>
          </w:hyperlink>
        </w:p>
        <w:p w:rsidR="005E6AEC" w:rsidRDefault="005E6AEC">
          <w:pPr>
            <w:pStyle w:val="TOC3"/>
            <w:rPr>
              <w:rFonts w:asciiTheme="minorHAnsi" w:eastAsiaTheme="minorEastAsia" w:hAnsiTheme="minorHAnsi"/>
              <w:lang w:eastAsia="en-AU"/>
            </w:rPr>
          </w:pPr>
          <w:hyperlink w:anchor="_Toc487017932" w:history="1">
            <w:r w:rsidRPr="00283441">
              <w:rPr>
                <w:rStyle w:val="Hyperlink"/>
              </w:rPr>
              <w:t>8.1.1</w:t>
            </w:r>
            <w:r>
              <w:rPr>
                <w:rFonts w:asciiTheme="minorHAnsi" w:eastAsiaTheme="minorEastAsia" w:hAnsiTheme="minorHAnsi"/>
                <w:lang w:eastAsia="en-AU"/>
              </w:rPr>
              <w:tab/>
            </w:r>
            <w:r w:rsidRPr="00283441">
              <w:rPr>
                <w:rStyle w:val="Hyperlink"/>
              </w:rPr>
              <w:t>Interrelationships between individual components</w:t>
            </w:r>
            <w:r>
              <w:rPr>
                <w:webHidden/>
              </w:rPr>
              <w:tab/>
            </w:r>
            <w:r>
              <w:rPr>
                <w:webHidden/>
              </w:rPr>
              <w:fldChar w:fldCharType="begin"/>
            </w:r>
            <w:r>
              <w:rPr>
                <w:webHidden/>
              </w:rPr>
              <w:instrText xml:space="preserve"> PAGEREF _Toc487017932 \h </w:instrText>
            </w:r>
            <w:r>
              <w:rPr>
                <w:webHidden/>
              </w:rPr>
            </w:r>
            <w:r>
              <w:rPr>
                <w:webHidden/>
              </w:rPr>
              <w:fldChar w:fldCharType="separate"/>
            </w:r>
            <w:r w:rsidR="00EE5745">
              <w:rPr>
                <w:webHidden/>
              </w:rPr>
              <w:t>50</w:t>
            </w:r>
            <w:r>
              <w:rPr>
                <w:webHidden/>
              </w:rPr>
              <w:fldChar w:fldCharType="end"/>
            </w:r>
          </w:hyperlink>
        </w:p>
        <w:p w:rsidR="005E6AEC" w:rsidRDefault="005E6AEC">
          <w:pPr>
            <w:pStyle w:val="TOC1"/>
            <w:rPr>
              <w:rFonts w:asciiTheme="minorHAnsi" w:eastAsiaTheme="minorEastAsia" w:hAnsiTheme="minorHAnsi"/>
              <w:b w:val="0"/>
              <w:color w:val="auto"/>
              <w:sz w:val="22"/>
              <w:lang w:val="en-AU" w:eastAsia="en-AU"/>
            </w:rPr>
          </w:pPr>
          <w:hyperlink w:anchor="_Toc487017933" w:history="1">
            <w:r w:rsidRPr="00283441">
              <w:rPr>
                <w:rStyle w:val="Hyperlink"/>
              </w:rPr>
              <w:t>9</w:t>
            </w:r>
            <w:r>
              <w:rPr>
                <w:rFonts w:asciiTheme="minorHAnsi" w:eastAsiaTheme="minorEastAsia" w:hAnsiTheme="minorHAnsi"/>
                <w:b w:val="0"/>
                <w:color w:val="auto"/>
                <w:sz w:val="22"/>
                <w:lang w:val="en-AU" w:eastAsia="en-AU"/>
              </w:rPr>
              <w:tab/>
            </w:r>
            <w:r w:rsidRPr="00283441">
              <w:rPr>
                <w:rStyle w:val="Hyperlink"/>
              </w:rPr>
              <w:t>Consultation</w:t>
            </w:r>
            <w:r>
              <w:rPr>
                <w:webHidden/>
              </w:rPr>
              <w:tab/>
            </w:r>
            <w:r>
              <w:rPr>
                <w:webHidden/>
              </w:rPr>
              <w:fldChar w:fldCharType="begin"/>
            </w:r>
            <w:r>
              <w:rPr>
                <w:webHidden/>
              </w:rPr>
              <w:instrText xml:space="preserve"> PAGEREF _Toc487017933 \h </w:instrText>
            </w:r>
            <w:r>
              <w:rPr>
                <w:webHidden/>
              </w:rPr>
            </w:r>
            <w:r>
              <w:rPr>
                <w:webHidden/>
              </w:rPr>
              <w:fldChar w:fldCharType="separate"/>
            </w:r>
            <w:r w:rsidR="00EE5745">
              <w:rPr>
                <w:webHidden/>
              </w:rPr>
              <w:t>52</w:t>
            </w:r>
            <w:r>
              <w:rPr>
                <w:webHidden/>
              </w:rPr>
              <w:fldChar w:fldCharType="end"/>
            </w:r>
          </w:hyperlink>
        </w:p>
        <w:p w:rsidR="005E6AEC" w:rsidRDefault="005E6AEC">
          <w:pPr>
            <w:pStyle w:val="TOC2"/>
            <w:rPr>
              <w:rFonts w:asciiTheme="minorHAnsi" w:eastAsiaTheme="minorEastAsia" w:hAnsiTheme="minorHAnsi"/>
              <w:b w:val="0"/>
              <w:color w:val="auto"/>
              <w:sz w:val="22"/>
              <w:lang w:eastAsia="en-AU"/>
            </w:rPr>
          </w:pPr>
          <w:hyperlink w:anchor="_Toc487017934" w:history="1">
            <w:r w:rsidRPr="00283441">
              <w:rPr>
                <w:rStyle w:val="Hyperlink"/>
              </w:rPr>
              <w:t>9.1</w:t>
            </w:r>
            <w:r>
              <w:rPr>
                <w:rFonts w:asciiTheme="minorHAnsi" w:eastAsiaTheme="minorEastAsia" w:hAnsiTheme="minorHAnsi"/>
                <w:b w:val="0"/>
                <w:color w:val="auto"/>
                <w:sz w:val="22"/>
                <w:lang w:eastAsia="en-AU"/>
              </w:rPr>
              <w:tab/>
            </w:r>
            <w:r w:rsidRPr="00283441">
              <w:rPr>
                <w:rStyle w:val="Hyperlink"/>
              </w:rPr>
              <w:t>AusNet's engagement with customers</w:t>
            </w:r>
            <w:r>
              <w:rPr>
                <w:webHidden/>
              </w:rPr>
              <w:tab/>
            </w:r>
            <w:r>
              <w:rPr>
                <w:webHidden/>
              </w:rPr>
              <w:fldChar w:fldCharType="begin"/>
            </w:r>
            <w:r>
              <w:rPr>
                <w:webHidden/>
              </w:rPr>
              <w:instrText xml:space="preserve"> PAGEREF _Toc487017934 \h </w:instrText>
            </w:r>
            <w:r>
              <w:rPr>
                <w:webHidden/>
              </w:rPr>
            </w:r>
            <w:r>
              <w:rPr>
                <w:webHidden/>
              </w:rPr>
              <w:fldChar w:fldCharType="separate"/>
            </w:r>
            <w:r w:rsidR="00EE5745">
              <w:rPr>
                <w:webHidden/>
              </w:rPr>
              <w:t>52</w:t>
            </w:r>
            <w:r>
              <w:rPr>
                <w:webHidden/>
              </w:rPr>
              <w:fldChar w:fldCharType="end"/>
            </w:r>
          </w:hyperlink>
        </w:p>
        <w:p w:rsidR="005E6AEC" w:rsidRDefault="005E6AEC">
          <w:pPr>
            <w:pStyle w:val="TOC1"/>
            <w:rPr>
              <w:rFonts w:asciiTheme="minorHAnsi" w:eastAsiaTheme="minorEastAsia" w:hAnsiTheme="minorHAnsi"/>
              <w:b w:val="0"/>
              <w:color w:val="auto"/>
              <w:sz w:val="22"/>
              <w:lang w:val="en-AU" w:eastAsia="en-AU"/>
            </w:rPr>
          </w:pPr>
          <w:hyperlink w:anchor="_Toc487017935" w:history="1">
            <w:r w:rsidRPr="00283441">
              <w:rPr>
                <w:rStyle w:val="Hyperlink"/>
              </w:rPr>
              <w:t>A</w:t>
            </w:r>
            <w:r>
              <w:rPr>
                <w:rFonts w:asciiTheme="minorHAnsi" w:eastAsiaTheme="minorEastAsia" w:hAnsiTheme="minorHAnsi"/>
                <w:b w:val="0"/>
                <w:color w:val="auto"/>
                <w:sz w:val="22"/>
                <w:lang w:val="en-AU" w:eastAsia="en-AU"/>
              </w:rPr>
              <w:tab/>
            </w:r>
            <w:r w:rsidRPr="00283441">
              <w:rPr>
                <w:rStyle w:val="Hyperlink"/>
              </w:rPr>
              <w:t>List of submissions</w:t>
            </w:r>
            <w:r>
              <w:rPr>
                <w:webHidden/>
              </w:rPr>
              <w:tab/>
            </w:r>
            <w:r>
              <w:rPr>
                <w:webHidden/>
              </w:rPr>
              <w:fldChar w:fldCharType="begin"/>
            </w:r>
            <w:r>
              <w:rPr>
                <w:webHidden/>
              </w:rPr>
              <w:instrText xml:space="preserve"> PAGEREF _Toc487017935 \h </w:instrText>
            </w:r>
            <w:r>
              <w:rPr>
                <w:webHidden/>
              </w:rPr>
            </w:r>
            <w:r>
              <w:rPr>
                <w:webHidden/>
              </w:rPr>
              <w:fldChar w:fldCharType="separate"/>
            </w:r>
            <w:r w:rsidR="00EE5745">
              <w:rPr>
                <w:webHidden/>
              </w:rPr>
              <w:t>55</w:t>
            </w:r>
            <w:r>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7" w:name="_Toc404700925"/>
      <w:bookmarkStart w:id="18" w:name="_Toc487017902"/>
      <w:r>
        <w:t>Shortened forms</w:t>
      </w:r>
      <w:bookmarkEnd w:id="17"/>
      <w:bookmarkEnd w:id="18"/>
    </w:p>
    <w:tbl>
      <w:tblPr>
        <w:tblStyle w:val="AERtable-numbers"/>
        <w:tblW w:w="0" w:type="auto"/>
        <w:tblLook w:val="04A0" w:firstRow="1" w:lastRow="0" w:firstColumn="1" w:lastColumn="0" w:noHBand="0" w:noVBand="1"/>
      </w:tblPr>
      <w:tblGrid>
        <w:gridCol w:w="3652"/>
        <w:gridCol w:w="5041"/>
      </w:tblGrid>
      <w:tr w:rsidR="00467918" w:rsidTr="008E72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bookmarkStart w:id="19" w:name="_Toc416278154"/>
            <w:bookmarkStart w:id="20" w:name="_Toc416346517"/>
            <w:bookmarkStart w:id="21" w:name="_Toc416278157"/>
            <w:bookmarkStart w:id="22" w:name="_Toc416346520"/>
            <w:bookmarkStart w:id="23" w:name="_Toc416278160"/>
            <w:bookmarkStart w:id="24" w:name="_Toc416346523"/>
            <w:bookmarkStart w:id="25" w:name="_Toc416278163"/>
            <w:bookmarkStart w:id="26" w:name="_Toc416346526"/>
            <w:bookmarkStart w:id="27" w:name="_Toc416278166"/>
            <w:bookmarkStart w:id="28" w:name="_Toc416346529"/>
            <w:bookmarkStart w:id="29" w:name="_Toc416278169"/>
            <w:bookmarkStart w:id="30" w:name="_Toc416346532"/>
            <w:bookmarkStart w:id="31" w:name="_Toc416278172"/>
            <w:bookmarkStart w:id="32" w:name="_Toc416346535"/>
            <w:bookmarkStart w:id="33" w:name="_Toc416278175"/>
            <w:bookmarkStart w:id="34" w:name="_Toc416346538"/>
            <w:bookmarkStart w:id="35" w:name="_Toc416278178"/>
            <w:bookmarkStart w:id="36" w:name="_Toc416346541"/>
            <w:bookmarkStart w:id="37" w:name="_Toc416278181"/>
            <w:bookmarkStart w:id="38" w:name="_Toc416346544"/>
            <w:bookmarkStart w:id="39" w:name="_Toc416278184"/>
            <w:bookmarkStart w:id="40" w:name="_Toc416346547"/>
            <w:bookmarkStart w:id="41" w:name="_Toc416278187"/>
            <w:bookmarkStart w:id="42" w:name="_Toc416346550"/>
            <w:bookmarkStart w:id="43" w:name="_Toc416278190"/>
            <w:bookmarkStart w:id="44" w:name="_Toc416346553"/>
            <w:bookmarkStart w:id="45" w:name="_Toc416278193"/>
            <w:bookmarkStart w:id="46" w:name="_Toc416346556"/>
            <w:bookmarkStart w:id="47" w:name="_Toc416278196"/>
            <w:bookmarkStart w:id="48" w:name="_Toc416346559"/>
            <w:bookmarkStart w:id="49" w:name="_Toc416278199"/>
            <w:bookmarkStart w:id="50" w:name="_Toc416346562"/>
            <w:bookmarkStart w:id="51" w:name="_Toc416278202"/>
            <w:bookmarkStart w:id="52" w:name="_Toc416346565"/>
            <w:bookmarkStart w:id="53" w:name="_Toc416278205"/>
            <w:bookmarkStart w:id="54" w:name="_Toc416346568"/>
            <w:bookmarkStart w:id="55" w:name="_Toc416278208"/>
            <w:bookmarkStart w:id="56" w:name="_Toc416346571"/>
            <w:bookmarkStart w:id="57" w:name="_Toc416278211"/>
            <w:bookmarkStart w:id="58" w:name="_Toc416346574"/>
            <w:bookmarkStart w:id="59" w:name="_Toc416278214"/>
            <w:bookmarkStart w:id="60" w:name="_Toc416346577"/>
            <w:bookmarkStart w:id="61" w:name="_Toc416278217"/>
            <w:bookmarkStart w:id="62" w:name="_Toc416346580"/>
            <w:bookmarkStart w:id="63" w:name="_Toc416278220"/>
            <w:bookmarkStart w:id="64" w:name="_Toc416346583"/>
            <w:bookmarkStart w:id="65" w:name="_Toc416278223"/>
            <w:bookmarkStart w:id="66" w:name="_Toc416346586"/>
            <w:bookmarkStart w:id="67" w:name="_Toc416278226"/>
            <w:bookmarkStart w:id="68" w:name="_Toc416346589"/>
            <w:bookmarkStart w:id="69" w:name="_Toc416278229"/>
            <w:bookmarkStart w:id="70" w:name="_Toc416346592"/>
            <w:bookmarkStart w:id="71" w:name="_Toc416278232"/>
            <w:bookmarkStart w:id="72" w:name="_Toc416346595"/>
            <w:bookmarkStart w:id="73" w:name="_Toc416278235"/>
            <w:bookmarkStart w:id="74" w:name="_Toc416346598"/>
            <w:bookmarkStart w:id="75" w:name="_Toc416278238"/>
            <w:bookmarkStart w:id="76" w:name="_Toc416346601"/>
            <w:bookmarkEnd w:id="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t>Shortened form</w:t>
            </w:r>
          </w:p>
        </w:tc>
        <w:tc>
          <w:tcPr>
            <w:tcW w:w="5041" w:type="dxa"/>
          </w:tcPr>
          <w:p w:rsidR="00467918" w:rsidRDefault="00467918" w:rsidP="00467918">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467918" w:rsidTr="008E72AE">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AER</w:t>
            </w:r>
          </w:p>
        </w:tc>
        <w:tc>
          <w:tcPr>
            <w:tcW w:w="5041" w:type="dxa"/>
          </w:tcPr>
          <w:p w:rsidR="00467918" w:rsidRDefault="00467918" w:rsidP="00467918">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467918" w:rsidTr="008E7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ATO</w:t>
            </w:r>
          </w:p>
        </w:tc>
        <w:tc>
          <w:tcPr>
            <w:tcW w:w="5041" w:type="dxa"/>
          </w:tcPr>
          <w:p w:rsidR="00467918" w:rsidRPr="00467918" w:rsidRDefault="00467918" w:rsidP="00467918">
            <w:pPr>
              <w:cnfStyle w:val="000000010000" w:firstRow="0" w:lastRow="0" w:firstColumn="0" w:lastColumn="0" w:oddVBand="0" w:evenVBand="0" w:oddHBand="0" w:evenHBand="1" w:firstRowFirstColumn="0" w:firstRowLastColumn="0" w:lastRowFirstColumn="0" w:lastRowLastColumn="0"/>
            </w:pPr>
            <w:r>
              <w:t>Australian Tax Office</w:t>
            </w:r>
          </w:p>
        </w:tc>
      </w:tr>
      <w:tr w:rsidR="00467918" w:rsidTr="008E72AE">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capex</w:t>
            </w:r>
          </w:p>
        </w:tc>
        <w:tc>
          <w:tcPr>
            <w:tcW w:w="5041" w:type="dxa"/>
          </w:tcPr>
          <w:p w:rsidR="00467918" w:rsidRDefault="00467918" w:rsidP="00467918">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467918" w:rsidTr="008E7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CAPM</w:t>
            </w:r>
          </w:p>
        </w:tc>
        <w:tc>
          <w:tcPr>
            <w:tcW w:w="5041" w:type="dxa"/>
          </w:tcPr>
          <w:p w:rsidR="00467918" w:rsidRDefault="00467918" w:rsidP="00467918">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467918" w:rsidTr="008E72AE">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CESS</w:t>
            </w:r>
          </w:p>
        </w:tc>
        <w:tc>
          <w:tcPr>
            <w:tcW w:w="5041" w:type="dxa"/>
          </w:tcPr>
          <w:p w:rsidR="00467918" w:rsidRDefault="00467918" w:rsidP="00467918">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67918" w:rsidTr="008E7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CPI</w:t>
            </w:r>
          </w:p>
        </w:tc>
        <w:tc>
          <w:tcPr>
            <w:tcW w:w="5041" w:type="dxa"/>
          </w:tcPr>
          <w:p w:rsidR="00467918" w:rsidRDefault="00467918" w:rsidP="00467918">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467918" w:rsidTr="008E72AE">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DRP</w:t>
            </w:r>
          </w:p>
        </w:tc>
        <w:tc>
          <w:tcPr>
            <w:tcW w:w="5041" w:type="dxa"/>
          </w:tcPr>
          <w:p w:rsidR="00467918" w:rsidRDefault="00467918" w:rsidP="00467918">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467918" w:rsidTr="008E7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ECM</w:t>
            </w:r>
          </w:p>
        </w:tc>
        <w:tc>
          <w:tcPr>
            <w:tcW w:w="5041" w:type="dxa"/>
          </w:tcPr>
          <w:p w:rsidR="00467918" w:rsidRPr="00467918" w:rsidRDefault="00467918" w:rsidP="00467918">
            <w:pPr>
              <w:cnfStyle w:val="000000010000" w:firstRow="0" w:lastRow="0" w:firstColumn="0" w:lastColumn="0" w:oddVBand="0" w:evenVBand="0" w:oddHBand="0" w:evenHBand="1" w:firstRowFirstColumn="0" w:firstRowLastColumn="0" w:lastRowFirstColumn="0" w:lastRowLastColumn="0"/>
            </w:pPr>
            <w:r>
              <w:t xml:space="preserve">(Opex) Efficiency </w:t>
            </w:r>
            <w:r w:rsidRPr="00467918">
              <w:t>Carryover Mechanism</w:t>
            </w:r>
          </w:p>
        </w:tc>
      </w:tr>
      <w:tr w:rsidR="00467918" w:rsidTr="008E72AE">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ERP</w:t>
            </w:r>
          </w:p>
        </w:tc>
        <w:tc>
          <w:tcPr>
            <w:tcW w:w="5041" w:type="dxa"/>
          </w:tcPr>
          <w:p w:rsidR="00467918" w:rsidRDefault="00467918" w:rsidP="00467918">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467918" w:rsidTr="008E7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Expenditure Guideline</w:t>
            </w:r>
          </w:p>
        </w:tc>
        <w:tc>
          <w:tcPr>
            <w:tcW w:w="5041" w:type="dxa"/>
          </w:tcPr>
          <w:p w:rsidR="00467918" w:rsidRPr="00467918" w:rsidRDefault="00467918" w:rsidP="00467918">
            <w:pPr>
              <w:cnfStyle w:val="000000010000" w:firstRow="0" w:lastRow="0" w:firstColumn="0" w:lastColumn="0" w:oddVBand="0" w:evenVBand="0" w:oddHBand="0" w:evenHBand="1" w:firstRowFirstColumn="0" w:firstRowLastColumn="0" w:lastRowFirstColumn="0" w:lastRowLastColumn="0"/>
            </w:pPr>
            <w:r>
              <w:t xml:space="preserve">Expenditure </w:t>
            </w:r>
            <w:r w:rsidRPr="00467918">
              <w:t>Forecast Assessment Guideline</w:t>
            </w:r>
          </w:p>
        </w:tc>
      </w:tr>
      <w:tr w:rsidR="00467918" w:rsidTr="008E72AE">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gamma</w:t>
            </w:r>
          </w:p>
        </w:tc>
        <w:tc>
          <w:tcPr>
            <w:tcW w:w="5041" w:type="dxa"/>
          </w:tcPr>
          <w:p w:rsidR="00467918" w:rsidRPr="00467918" w:rsidRDefault="00467918" w:rsidP="00467918">
            <w:pPr>
              <w:cnfStyle w:val="000000000000" w:firstRow="0" w:lastRow="0" w:firstColumn="0" w:lastColumn="0" w:oddVBand="0" w:evenVBand="0" w:oddHBand="0" w:evenHBand="0" w:firstRowFirstColumn="0" w:firstRowLastColumn="0" w:lastRowFirstColumn="0" w:lastRowLastColumn="0"/>
            </w:pPr>
            <w:r>
              <w:t>Value of Imputation Credits</w:t>
            </w:r>
          </w:p>
        </w:tc>
      </w:tr>
      <w:tr w:rsidR="00467918" w:rsidTr="008E7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MRP</w:t>
            </w:r>
          </w:p>
        </w:tc>
        <w:tc>
          <w:tcPr>
            <w:tcW w:w="5041" w:type="dxa"/>
          </w:tcPr>
          <w:p w:rsidR="00467918" w:rsidRDefault="00467918" w:rsidP="00467918">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467918" w:rsidTr="008E72AE">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NGL</w:t>
            </w:r>
          </w:p>
        </w:tc>
        <w:tc>
          <w:tcPr>
            <w:tcW w:w="5041" w:type="dxa"/>
          </w:tcPr>
          <w:p w:rsidR="00467918" w:rsidRDefault="00467918" w:rsidP="00467918">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467918" w:rsidTr="008E7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NGO</w:t>
            </w:r>
          </w:p>
        </w:tc>
        <w:tc>
          <w:tcPr>
            <w:tcW w:w="5041" w:type="dxa"/>
          </w:tcPr>
          <w:p w:rsidR="00467918" w:rsidRDefault="00467918" w:rsidP="00467918">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467918" w:rsidTr="008E72AE">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NGR</w:t>
            </w:r>
          </w:p>
        </w:tc>
        <w:tc>
          <w:tcPr>
            <w:tcW w:w="5041" w:type="dxa"/>
          </w:tcPr>
          <w:p w:rsidR="00467918" w:rsidRDefault="00467918" w:rsidP="00467918">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467918" w:rsidTr="008E7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NPV</w:t>
            </w:r>
          </w:p>
        </w:tc>
        <w:tc>
          <w:tcPr>
            <w:tcW w:w="5041" w:type="dxa"/>
          </w:tcPr>
          <w:p w:rsidR="00467918" w:rsidRPr="00467918" w:rsidRDefault="00467918" w:rsidP="00467918">
            <w:pPr>
              <w:cnfStyle w:val="000000010000" w:firstRow="0" w:lastRow="0" w:firstColumn="0" w:lastColumn="0" w:oddVBand="0" w:evenVBand="0" w:oddHBand="0" w:evenHBand="1" w:firstRowFirstColumn="0" w:firstRowLastColumn="0" w:lastRowFirstColumn="0" w:lastRowLastColumn="0"/>
            </w:pPr>
            <w:r>
              <w:t>net present value</w:t>
            </w:r>
          </w:p>
        </w:tc>
      </w:tr>
      <w:tr w:rsidR="00467918" w:rsidTr="008E72AE">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opex</w:t>
            </w:r>
          </w:p>
        </w:tc>
        <w:tc>
          <w:tcPr>
            <w:tcW w:w="5041" w:type="dxa"/>
          </w:tcPr>
          <w:p w:rsidR="00467918" w:rsidRDefault="00467918" w:rsidP="00467918">
            <w:pPr>
              <w:numPr>
                <w:ilvl w:val="0"/>
                <w:numId w:val="24"/>
              </w:numPr>
              <w:cnfStyle w:val="000000000000" w:firstRow="0" w:lastRow="0" w:firstColumn="0" w:lastColumn="0" w:oddVBand="0" w:evenVBand="0" w:oddHBand="0" w:evenHBand="0" w:firstRowFirstColumn="0" w:firstRowLastColumn="0" w:lastRowFirstColumn="0" w:lastRowLastColumn="0"/>
            </w:pPr>
            <w:r>
              <w:t>operating expenditure</w:t>
            </w:r>
          </w:p>
        </w:tc>
      </w:tr>
      <w:tr w:rsidR="00467918" w:rsidTr="008E7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PTRM</w:t>
            </w:r>
          </w:p>
        </w:tc>
        <w:tc>
          <w:tcPr>
            <w:tcW w:w="5041" w:type="dxa"/>
          </w:tcPr>
          <w:p w:rsidR="00467918" w:rsidRDefault="00467918" w:rsidP="00467918">
            <w:pPr>
              <w:numPr>
                <w:ilvl w:val="0"/>
                <w:numId w:val="24"/>
              </w:numPr>
              <w:cnfStyle w:val="000000010000" w:firstRow="0" w:lastRow="0" w:firstColumn="0" w:lastColumn="0" w:oddVBand="0" w:evenVBand="0" w:oddHBand="0" w:evenHBand="1" w:firstRowFirstColumn="0" w:firstRowLastColumn="0" w:lastRowFirstColumn="0" w:lastRowLastColumn="0"/>
            </w:pPr>
            <w:r>
              <w:t>post-tax revenue model</w:t>
            </w:r>
          </w:p>
        </w:tc>
      </w:tr>
      <w:tr w:rsidR="00467918" w:rsidTr="008E72AE">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RBA</w:t>
            </w:r>
          </w:p>
        </w:tc>
        <w:tc>
          <w:tcPr>
            <w:tcW w:w="5041" w:type="dxa"/>
          </w:tcPr>
          <w:p w:rsidR="00467918" w:rsidRDefault="00467918" w:rsidP="00467918">
            <w:pPr>
              <w:numPr>
                <w:ilvl w:val="0"/>
                <w:numId w:val="24"/>
              </w:numPr>
              <w:cnfStyle w:val="000000000000" w:firstRow="0" w:lastRow="0" w:firstColumn="0" w:lastColumn="0" w:oddVBand="0" w:evenVBand="0" w:oddHBand="0" w:evenHBand="0" w:firstRowFirstColumn="0" w:firstRowLastColumn="0" w:lastRowFirstColumn="0" w:lastRowLastColumn="0"/>
            </w:pPr>
            <w:r>
              <w:t>Reserve Bank of Australia</w:t>
            </w:r>
          </w:p>
        </w:tc>
      </w:tr>
      <w:tr w:rsidR="00467918" w:rsidTr="008E7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RFM</w:t>
            </w:r>
          </w:p>
        </w:tc>
        <w:tc>
          <w:tcPr>
            <w:tcW w:w="5041" w:type="dxa"/>
          </w:tcPr>
          <w:p w:rsidR="00467918" w:rsidRDefault="00467918" w:rsidP="00467918">
            <w:pPr>
              <w:numPr>
                <w:ilvl w:val="0"/>
                <w:numId w:val="24"/>
              </w:numPr>
              <w:cnfStyle w:val="000000010000" w:firstRow="0" w:lastRow="0" w:firstColumn="0" w:lastColumn="0" w:oddVBand="0" w:evenVBand="0" w:oddHBand="0" w:evenHBand="1" w:firstRowFirstColumn="0" w:firstRowLastColumn="0" w:lastRowFirstColumn="0" w:lastRowLastColumn="0"/>
            </w:pPr>
            <w:r>
              <w:t>roll forward model</w:t>
            </w:r>
          </w:p>
        </w:tc>
      </w:tr>
      <w:tr w:rsidR="00467918" w:rsidTr="008E72AE">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RIN</w:t>
            </w:r>
          </w:p>
        </w:tc>
        <w:tc>
          <w:tcPr>
            <w:tcW w:w="5041" w:type="dxa"/>
          </w:tcPr>
          <w:p w:rsidR="00467918" w:rsidRDefault="00467918" w:rsidP="00467918">
            <w:pPr>
              <w:numPr>
                <w:ilvl w:val="0"/>
                <w:numId w:val="24"/>
              </w:numPr>
              <w:cnfStyle w:val="000000000000" w:firstRow="0" w:lastRow="0" w:firstColumn="0" w:lastColumn="0" w:oddVBand="0" w:evenVBand="0" w:oddHBand="0" w:evenHBand="0" w:firstRowFirstColumn="0" w:firstRowLastColumn="0" w:lastRowFirstColumn="0" w:lastRowLastColumn="0"/>
            </w:pPr>
            <w:r>
              <w:t>regulatory information notice</w:t>
            </w:r>
          </w:p>
        </w:tc>
      </w:tr>
      <w:tr w:rsidR="00467918" w:rsidTr="008E7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RPP</w:t>
            </w:r>
          </w:p>
        </w:tc>
        <w:tc>
          <w:tcPr>
            <w:tcW w:w="5041" w:type="dxa"/>
          </w:tcPr>
          <w:p w:rsidR="00467918" w:rsidRDefault="00467918" w:rsidP="00467918">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467918" w:rsidTr="008E72AE">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SLCAPM</w:t>
            </w:r>
          </w:p>
        </w:tc>
        <w:tc>
          <w:tcPr>
            <w:tcW w:w="5041" w:type="dxa"/>
          </w:tcPr>
          <w:p w:rsidR="00467918" w:rsidRDefault="00467918" w:rsidP="00467918">
            <w:pPr>
              <w:numPr>
                <w:ilvl w:val="0"/>
                <w:numId w:val="24"/>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67918" w:rsidTr="008E7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STTM</w:t>
            </w:r>
          </w:p>
        </w:tc>
        <w:tc>
          <w:tcPr>
            <w:tcW w:w="5041" w:type="dxa"/>
          </w:tcPr>
          <w:p w:rsidR="00467918" w:rsidRPr="00467918" w:rsidRDefault="00467918" w:rsidP="00467918">
            <w:pPr>
              <w:cnfStyle w:val="000000010000" w:firstRow="0" w:lastRow="0" w:firstColumn="0" w:lastColumn="0" w:oddVBand="0" w:evenVBand="0" w:oddHBand="0" w:evenHBand="1" w:firstRowFirstColumn="0" w:firstRowLastColumn="0" w:lastRowFirstColumn="0" w:lastRowLastColumn="0"/>
            </w:pPr>
            <w:r>
              <w:t>Short Term Trading Market</w:t>
            </w:r>
          </w:p>
        </w:tc>
      </w:tr>
      <w:tr w:rsidR="00467918" w:rsidTr="008E72AE">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TAB</w:t>
            </w:r>
          </w:p>
        </w:tc>
        <w:tc>
          <w:tcPr>
            <w:tcW w:w="5041" w:type="dxa"/>
          </w:tcPr>
          <w:p w:rsidR="00467918" w:rsidRPr="00467918" w:rsidRDefault="00467918" w:rsidP="00467918">
            <w:pPr>
              <w:cnfStyle w:val="000000000000" w:firstRow="0" w:lastRow="0" w:firstColumn="0" w:lastColumn="0" w:oddVBand="0" w:evenVBand="0" w:oddHBand="0" w:evenHBand="0" w:firstRowFirstColumn="0" w:firstRowLastColumn="0" w:lastRowFirstColumn="0" w:lastRowLastColumn="0"/>
            </w:pPr>
            <w:r>
              <w:t>Tax asset base</w:t>
            </w:r>
          </w:p>
        </w:tc>
      </w:tr>
      <w:tr w:rsidR="00467918" w:rsidTr="008E7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UAFG</w:t>
            </w:r>
          </w:p>
        </w:tc>
        <w:tc>
          <w:tcPr>
            <w:tcW w:w="5041" w:type="dxa"/>
          </w:tcPr>
          <w:p w:rsidR="00467918" w:rsidRPr="00467918" w:rsidRDefault="00467918" w:rsidP="00467918">
            <w:pPr>
              <w:cnfStyle w:val="000000010000" w:firstRow="0" w:lastRow="0" w:firstColumn="0" w:lastColumn="0" w:oddVBand="0" w:evenVBand="0" w:oddHBand="0" w:evenHBand="1" w:firstRowFirstColumn="0" w:firstRowLastColumn="0" w:lastRowFirstColumn="0" w:lastRowLastColumn="0"/>
            </w:pPr>
            <w:r>
              <w:t>Unaccounted for gas</w:t>
            </w:r>
          </w:p>
        </w:tc>
      </w:tr>
      <w:tr w:rsidR="00467918" w:rsidTr="008E72AE">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WACC</w:t>
            </w:r>
          </w:p>
        </w:tc>
        <w:tc>
          <w:tcPr>
            <w:tcW w:w="5041" w:type="dxa"/>
          </w:tcPr>
          <w:p w:rsidR="00467918" w:rsidRDefault="00467918" w:rsidP="00467918">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467918" w:rsidTr="008E7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67918" w:rsidRDefault="00467918" w:rsidP="00467918">
            <w:pPr>
              <w:numPr>
                <w:ilvl w:val="0"/>
                <w:numId w:val="24"/>
              </w:numPr>
            </w:pPr>
            <w:r>
              <w:t>WPI</w:t>
            </w:r>
          </w:p>
        </w:tc>
        <w:tc>
          <w:tcPr>
            <w:tcW w:w="5041" w:type="dxa"/>
          </w:tcPr>
          <w:p w:rsidR="00467918" w:rsidRPr="00467918" w:rsidRDefault="00467918" w:rsidP="00467918">
            <w:pPr>
              <w:cnfStyle w:val="000000010000" w:firstRow="0" w:lastRow="0" w:firstColumn="0" w:lastColumn="0" w:oddVBand="0" w:evenVBand="0" w:oddHBand="0" w:evenHBand="1" w:firstRowFirstColumn="0" w:firstRowLastColumn="0" w:lastRowFirstColumn="0" w:lastRowLastColumn="0"/>
            </w:pPr>
            <w:r>
              <w:t>Wage Price Index</w:t>
            </w:r>
          </w:p>
        </w:tc>
      </w:tr>
    </w:tbl>
    <w:p w:rsidR="00DE563D" w:rsidRDefault="00F66400" w:rsidP="00471BC6">
      <w:pPr>
        <w:pStyle w:val="Heading1"/>
      </w:pPr>
      <w:bookmarkStart w:id="77" w:name="_Toc487017903"/>
      <w:r>
        <w:t>Introduction</w:t>
      </w:r>
      <w:bookmarkEnd w:id="77"/>
      <w:r>
        <w:t xml:space="preserve"> </w:t>
      </w:r>
    </w:p>
    <w:p w:rsidR="00412763" w:rsidRPr="00892C24" w:rsidRDefault="00412763" w:rsidP="00412763">
      <w:r w:rsidRPr="00892C24">
        <w:t xml:space="preserve">The Australian Energy Regulator (AER) regulates energy markets and networks under national energy market legislation and rules. </w:t>
      </w:r>
      <w:r>
        <w:t>Our</w:t>
      </w:r>
      <w:r w:rsidRPr="00892C24">
        <w:t xml:space="preserve"> </w:t>
      </w:r>
      <w:r w:rsidR="00FF2F37">
        <w:t xml:space="preserve">network regulatory </w:t>
      </w:r>
      <w:r w:rsidRPr="00892C24">
        <w:t xml:space="preserve">functions relate to energy </w:t>
      </w:r>
      <w:r w:rsidR="00FF2F37">
        <w:t>networks</w:t>
      </w:r>
      <w:r w:rsidR="00FF2F37" w:rsidRPr="00892C24">
        <w:t xml:space="preserve"> </w:t>
      </w:r>
      <w:r w:rsidRPr="00892C24">
        <w:t xml:space="preserve">in </w:t>
      </w:r>
      <w:r w:rsidR="00FF2F37">
        <w:t>all Australian states and territories</w:t>
      </w:r>
      <w:r w:rsidRPr="00892C24">
        <w:t xml:space="preserve">, </w:t>
      </w:r>
      <w:r w:rsidR="00FF2F37">
        <w:t>except Western Australia</w:t>
      </w:r>
      <w:r w:rsidR="00647820">
        <w:t>. They</w:t>
      </w:r>
      <w:r w:rsidR="00FF2F37">
        <w:t xml:space="preserve"> </w:t>
      </w:r>
      <w:r w:rsidRPr="00892C24">
        <w:t xml:space="preserve">include setting the amount of revenue that </w:t>
      </w:r>
      <w:r>
        <w:t xml:space="preserve">monopoly </w:t>
      </w:r>
      <w:r w:rsidRPr="00892C24">
        <w:t>network businesses can recover from customers for using networks (electricity poles and wires and gas pipelines) that transport energy.</w:t>
      </w:r>
    </w:p>
    <w:p w:rsidR="00412763" w:rsidRPr="00892C24" w:rsidRDefault="00412763" w:rsidP="00412763">
      <w:r w:rsidRPr="00892C24">
        <w:t xml:space="preserve">The National Gas </w:t>
      </w:r>
      <w:r>
        <w:t xml:space="preserve">Law and </w:t>
      </w:r>
      <w:r w:rsidRPr="00892C24">
        <w:t>Rules (</w:t>
      </w:r>
      <w:r>
        <w:t xml:space="preserve">NGL and </w:t>
      </w:r>
      <w:r w:rsidRPr="00892C24">
        <w:t>NGR) provide the regulatory framework governing gas networks. Our work under this framework is guided by the National Gas Objective (NGO):</w:t>
      </w:r>
      <w:r w:rsidRPr="00892C24">
        <w:rPr>
          <w:rStyle w:val="FootnoteReference"/>
        </w:rPr>
        <w:footnoteReference w:id="2"/>
      </w:r>
    </w:p>
    <w:p w:rsidR="00412763" w:rsidRPr="00892C24" w:rsidRDefault="00412763" w:rsidP="00412763">
      <w:pPr>
        <w:pStyle w:val="AERquote"/>
      </w:pPr>
      <w:r w:rsidRPr="00892C24">
        <w:t xml:space="preserve">…to promote efficient investment in, and efficient operation and use of, natural gas services for the long term interests of consumers of natural gas with respect to price, quality, safety, reliability and security of supply of natural gas. </w:t>
      </w:r>
    </w:p>
    <w:p w:rsidR="00412763" w:rsidRPr="00892C24" w:rsidRDefault="00412763" w:rsidP="00412763">
      <w:r>
        <w:t xml:space="preserve">AusNet Gas Services (AusNet) </w:t>
      </w:r>
      <w:r w:rsidRPr="008C5A21">
        <w:t xml:space="preserve">owns and operates </w:t>
      </w:r>
      <w:r>
        <w:t>a gas distribution pipeline servicing customers in Victoria</w:t>
      </w:r>
      <w:r w:rsidRPr="008C5A21">
        <w:t xml:space="preserve">. </w:t>
      </w:r>
      <w:r w:rsidRPr="00892C24">
        <w:t xml:space="preserve">Gas pipelines that are subject to full regulation—like </w:t>
      </w:r>
      <w:r>
        <w:t>AusNet's</w:t>
      </w:r>
      <w:r w:rsidRPr="00892C24">
        <w:t xml:space="preserve">—are regulated </w:t>
      </w:r>
      <w:r w:rsidR="00AF376B">
        <w:t>by the AER under an approved access arrangement</w:t>
      </w:r>
      <w:r w:rsidR="00A778F0">
        <w:t>.</w:t>
      </w:r>
      <w:r w:rsidR="00FF34F5">
        <w:rPr>
          <w:rStyle w:val="FootnoteReference"/>
        </w:rPr>
        <w:footnoteReference w:id="3"/>
      </w:r>
      <w:r w:rsidR="00AF376B">
        <w:t xml:space="preserve">  </w:t>
      </w:r>
      <w:r w:rsidR="00E37CCF">
        <w:t xml:space="preserve">An access arrangement </w:t>
      </w:r>
      <w:r w:rsidR="0044055D">
        <w:t>specifies</w:t>
      </w:r>
      <w:r w:rsidR="00E37CCF">
        <w:t xml:space="preserve"> </w:t>
      </w:r>
      <w:r w:rsidR="00AF376B">
        <w:t xml:space="preserve">certain pipeline services (reference services), </w:t>
      </w:r>
      <w:r w:rsidRPr="00892C24">
        <w:t>and</w:t>
      </w:r>
      <w:r w:rsidR="00E37CCF">
        <w:t xml:space="preserve"> </w:t>
      </w:r>
      <w:r w:rsidR="00AF376B">
        <w:t>the</w:t>
      </w:r>
      <w:r w:rsidR="0044055D">
        <w:t xml:space="preserve"> </w:t>
      </w:r>
      <w:r w:rsidRPr="00892C24">
        <w:t xml:space="preserve">price and non-price terms and conditions on which those </w:t>
      </w:r>
      <w:r w:rsidR="0044055D">
        <w:t xml:space="preserve">reference </w:t>
      </w:r>
      <w:r w:rsidRPr="00892C24">
        <w:t xml:space="preserve">services will be offered </w:t>
      </w:r>
      <w:r w:rsidR="001904F7">
        <w:t>over the next five years (2018</w:t>
      </w:r>
      <w:r w:rsidR="00B26107">
        <w:t>–</w:t>
      </w:r>
      <w:r w:rsidR="001904F7">
        <w:t>2022)</w:t>
      </w:r>
      <w:r w:rsidRPr="00892C24">
        <w:t xml:space="preserve">. This forms the foundation for negotiations between pipeline operators and users. </w:t>
      </w:r>
    </w:p>
    <w:p w:rsidR="00412763" w:rsidRPr="00892C24" w:rsidRDefault="00AF376B" w:rsidP="00412763">
      <w:r>
        <w:t>To approve an access arrangement</w:t>
      </w:r>
      <w:r w:rsidR="00412763">
        <w:t>, w</w:t>
      </w:r>
      <w:r w:rsidR="00412763" w:rsidRPr="00892C24">
        <w:t xml:space="preserve">e make regulatory decisions on the revenue that </w:t>
      </w:r>
      <w:r w:rsidR="00412763">
        <w:t>AusNet</w:t>
      </w:r>
      <w:r w:rsidR="00412763" w:rsidRPr="00892C24">
        <w:t xml:space="preserve"> can recover from users of its </w:t>
      </w:r>
      <w:r w:rsidR="00412763">
        <w:t>reference services</w:t>
      </w:r>
      <w:r w:rsidR="00412763" w:rsidRPr="00892C24">
        <w:t xml:space="preserve">. </w:t>
      </w:r>
      <w:r w:rsidR="00E37CCF">
        <w:t>For this draft decision, o</w:t>
      </w:r>
      <w:r w:rsidR="00412763" w:rsidRPr="00892C24">
        <w:t>ur assessment is</w:t>
      </w:r>
      <w:r w:rsidR="00412763">
        <w:t xml:space="preserve"> based on the</w:t>
      </w:r>
      <w:r w:rsidR="00412763" w:rsidRPr="00892C24">
        <w:t xml:space="preserve"> proposal </w:t>
      </w:r>
      <w:r w:rsidR="00412763">
        <w:t>AusNet submitted</w:t>
      </w:r>
      <w:r w:rsidR="00412763" w:rsidRPr="00892C24">
        <w:t xml:space="preserve"> on </w:t>
      </w:r>
      <w:r w:rsidR="00412763">
        <w:t>16</w:t>
      </w:r>
      <w:r w:rsidR="00412763" w:rsidRPr="004874E9">
        <w:t xml:space="preserve"> </w:t>
      </w:r>
      <w:r w:rsidR="00412763" w:rsidRPr="00892C24">
        <w:t xml:space="preserve">December 2016. </w:t>
      </w:r>
      <w:r w:rsidR="00412763">
        <w:t>AusNet's</w:t>
      </w:r>
      <w:r w:rsidR="00412763" w:rsidRPr="00892C24">
        <w:t xml:space="preserve"> proposal </w:t>
      </w:r>
      <w:r w:rsidR="00412763">
        <w:t>sets out its view of its expected costs</w:t>
      </w:r>
      <w:r w:rsidR="00E56961">
        <w:t>, demand</w:t>
      </w:r>
      <w:r w:rsidR="00412763">
        <w:t xml:space="preserve"> and required revenues for the </w:t>
      </w:r>
      <w:r w:rsidR="00412763" w:rsidRPr="00892C24">
        <w:t xml:space="preserve">period 1 January 2018 to 31 December 2022. </w:t>
      </w:r>
    </w:p>
    <w:p w:rsidR="00467918" w:rsidRPr="00AB66ED" w:rsidRDefault="00467918" w:rsidP="00467918">
      <w:r>
        <w:t>This Overview, together with its attachments, constitutes our draft decision on AusNet's</w:t>
      </w:r>
      <w:r w:rsidR="0049290A">
        <w:t xml:space="preserve"> proposal</w:t>
      </w:r>
      <w:r>
        <w:t xml:space="preserve">. </w:t>
      </w:r>
      <w:r w:rsidRPr="00AB66ED">
        <w:t>This draft decision is one of the key steps in reaching our final decision</w:t>
      </w:r>
      <w:r w:rsidR="0049290A">
        <w:t>.</w:t>
      </w:r>
      <w:r>
        <w:t xml:space="preserve"> AusNet</w:t>
      </w:r>
      <w:r w:rsidRPr="00AB66ED">
        <w:t xml:space="preserve"> will have the opportunity to submit a revised proposal in response to this draft decision. Stakeholders will </w:t>
      </w:r>
      <w:r>
        <w:t>then</w:t>
      </w:r>
      <w:r w:rsidRPr="00AB66ED">
        <w:t xml:space="preserve"> have the opportunity to make submissions to us on both our draft decision and </w:t>
      </w:r>
      <w:r>
        <w:t>AusNet</w:t>
      </w:r>
      <w:r w:rsidRPr="00AB66ED">
        <w:t xml:space="preserve">'s revised proposal. </w:t>
      </w:r>
      <w:r>
        <w:t>Subject to stakeholder interest, we will also consider holding a public forum following submission of AusNet's revised proposal.</w:t>
      </w:r>
    </w:p>
    <w:p w:rsidR="00467918" w:rsidRPr="00AB66ED" w:rsidRDefault="00467918" w:rsidP="00467918">
      <w:r w:rsidRPr="00AB66ED">
        <w:t xml:space="preserve">Following receipt of the revised proposal and submissions, we will then make our final decision taking into account the revised proposal, submissions and any other relevant information. </w:t>
      </w:r>
      <w:r w:rsidR="0001670D">
        <w:fldChar w:fldCharType="begin"/>
      </w:r>
      <w:r w:rsidR="0001670D">
        <w:instrText xml:space="preserve"> REF _Ref483324194 \h </w:instrText>
      </w:r>
      <w:r w:rsidR="0001670D">
        <w:fldChar w:fldCharType="separate"/>
      </w:r>
      <w:r w:rsidR="00EE5745" w:rsidRPr="00AB66ED">
        <w:t xml:space="preserve">Table </w:t>
      </w:r>
      <w:r w:rsidR="00EE5745">
        <w:rPr>
          <w:noProof/>
        </w:rPr>
        <w:t>1</w:t>
      </w:r>
      <w:r w:rsidR="00EE5745">
        <w:noBreakHyphen/>
      </w:r>
      <w:r w:rsidR="00EE5745">
        <w:rPr>
          <w:noProof/>
        </w:rPr>
        <w:t>1</w:t>
      </w:r>
      <w:r w:rsidR="0001670D">
        <w:fldChar w:fldCharType="end"/>
      </w:r>
      <w:r w:rsidR="0001670D">
        <w:t xml:space="preserve"> </w:t>
      </w:r>
      <w:r w:rsidRPr="00AB66ED">
        <w:t xml:space="preserve">lists key dates and consultation deadlines for the </w:t>
      </w:r>
      <w:r>
        <w:t>remainder of this review</w:t>
      </w:r>
      <w:r w:rsidRPr="00AB66ED">
        <w:t xml:space="preserve">. </w:t>
      </w:r>
    </w:p>
    <w:p w:rsidR="00467918" w:rsidRPr="00AB66ED" w:rsidRDefault="00467918" w:rsidP="00DA2B6F">
      <w:pPr>
        <w:pStyle w:val="Caption"/>
      </w:pPr>
      <w:bookmarkStart w:id="78" w:name="_Ref483324194"/>
      <w:r w:rsidRPr="00AB66ED">
        <w:t xml:space="preserve">Table </w:t>
      </w:r>
      <w:fldSimple w:instr=" STYLEREF 1 \s ">
        <w:r w:rsidR="00EE5745">
          <w:rPr>
            <w:noProof/>
          </w:rPr>
          <w:t>1</w:t>
        </w:r>
      </w:fldSimple>
      <w:r w:rsidR="00391B74">
        <w:noBreakHyphen/>
      </w:r>
      <w:fldSimple w:instr=" SEQ Table \* ARABIC \s 1 ">
        <w:r w:rsidR="00EE5745">
          <w:rPr>
            <w:noProof/>
          </w:rPr>
          <w:t>1</w:t>
        </w:r>
      </w:fldSimple>
      <w:bookmarkEnd w:id="78"/>
      <w:r w:rsidRPr="00AB66ED">
        <w:t xml:space="preserve"> Key dates and consultation timelines</w:t>
      </w:r>
    </w:p>
    <w:tbl>
      <w:tblPr>
        <w:tblStyle w:val="AERTable-Text"/>
        <w:tblW w:w="0" w:type="auto"/>
        <w:tblLook w:val="04A0" w:firstRow="1" w:lastRow="0" w:firstColumn="1" w:lastColumn="0" w:noHBand="0" w:noVBand="1"/>
      </w:tblPr>
      <w:tblGrid>
        <w:gridCol w:w="6062"/>
        <w:gridCol w:w="2631"/>
      </w:tblGrid>
      <w:tr w:rsidR="00467918" w:rsidTr="008E72AE">
        <w:trPr>
          <w:cnfStyle w:val="100000000000" w:firstRow="1" w:lastRow="0" w:firstColumn="0" w:lastColumn="0" w:oddVBand="0" w:evenVBand="0" w:oddHBand="0" w:evenHBand="0" w:firstRowFirstColumn="0" w:firstRowLastColumn="0" w:lastRowFirstColumn="0" w:lastRowLastColumn="0"/>
        </w:trPr>
        <w:tc>
          <w:tcPr>
            <w:tcW w:w="6062" w:type="dxa"/>
          </w:tcPr>
          <w:p w:rsidR="00467918" w:rsidRPr="00467918" w:rsidRDefault="00467918" w:rsidP="00DA2B6F">
            <w:pPr>
              <w:pStyle w:val="Tabletext"/>
              <w:keepNext/>
            </w:pPr>
            <w:r w:rsidRPr="00AB66ED">
              <w:t>Task</w:t>
            </w:r>
          </w:p>
        </w:tc>
        <w:tc>
          <w:tcPr>
            <w:tcW w:w="2631" w:type="dxa"/>
          </w:tcPr>
          <w:p w:rsidR="00467918" w:rsidRPr="00467918" w:rsidRDefault="00467918" w:rsidP="00DA2B6F">
            <w:pPr>
              <w:pStyle w:val="Tabletext-right"/>
              <w:keepNext/>
            </w:pPr>
            <w:r w:rsidRPr="00AB66ED">
              <w:t>Date</w:t>
            </w:r>
          </w:p>
        </w:tc>
      </w:tr>
      <w:tr w:rsidR="00467918" w:rsidTr="008E72AE">
        <w:tc>
          <w:tcPr>
            <w:tcW w:w="6062" w:type="dxa"/>
          </w:tcPr>
          <w:p w:rsidR="00467918" w:rsidRPr="00467918" w:rsidRDefault="00467918" w:rsidP="00DA2B6F">
            <w:pPr>
              <w:pStyle w:val="Tabletext"/>
              <w:keepNext/>
              <w:rPr>
                <w:rStyle w:val="AERtextsize8"/>
              </w:rPr>
            </w:pPr>
            <w:r w:rsidRPr="00AB66ED">
              <w:rPr>
                <w:rStyle w:val="AERtextsize8"/>
              </w:rPr>
              <w:t xml:space="preserve">Access arrangement </w:t>
            </w:r>
            <w:r w:rsidRPr="00467918">
              <w:rPr>
                <w:rStyle w:val="AERtextsize8"/>
              </w:rPr>
              <w:t xml:space="preserve">revision proposal submitted to the AER </w:t>
            </w:r>
          </w:p>
        </w:tc>
        <w:tc>
          <w:tcPr>
            <w:tcW w:w="2631" w:type="dxa"/>
          </w:tcPr>
          <w:p w:rsidR="00467918" w:rsidRPr="00467918" w:rsidRDefault="00467918" w:rsidP="00DA2B6F">
            <w:pPr>
              <w:pStyle w:val="Tabletext-right"/>
              <w:keepNext/>
              <w:rPr>
                <w:rStyle w:val="AERtextsize8"/>
              </w:rPr>
            </w:pPr>
            <w:r>
              <w:rPr>
                <w:rStyle w:val="AERtextsize8"/>
              </w:rPr>
              <w:t>2</w:t>
            </w:r>
            <w:r w:rsidRPr="00467918">
              <w:rPr>
                <w:rStyle w:val="AERtextsize8"/>
              </w:rPr>
              <w:t>1 December 2016</w:t>
            </w:r>
          </w:p>
        </w:tc>
      </w:tr>
      <w:tr w:rsidR="00467918" w:rsidTr="008E72AE">
        <w:trPr>
          <w:cnfStyle w:val="000000010000" w:firstRow="0" w:lastRow="0" w:firstColumn="0" w:lastColumn="0" w:oddVBand="0" w:evenVBand="0" w:oddHBand="0" w:evenHBand="1" w:firstRowFirstColumn="0" w:firstRowLastColumn="0" w:lastRowFirstColumn="0" w:lastRowLastColumn="0"/>
        </w:trPr>
        <w:tc>
          <w:tcPr>
            <w:tcW w:w="6062" w:type="dxa"/>
          </w:tcPr>
          <w:p w:rsidR="00467918" w:rsidRPr="00467918" w:rsidRDefault="00467918" w:rsidP="00DA2B6F">
            <w:pPr>
              <w:pStyle w:val="Tabletext"/>
              <w:keepNext/>
              <w:rPr>
                <w:rStyle w:val="AERtextsize8"/>
              </w:rPr>
            </w:pPr>
            <w:r>
              <w:rPr>
                <w:rStyle w:val="AERtextsize8"/>
              </w:rPr>
              <w:t>P</w:t>
            </w:r>
            <w:r w:rsidRPr="00467918">
              <w:rPr>
                <w:rStyle w:val="AERtextsize8"/>
              </w:rPr>
              <w:t xml:space="preserve">ublic forum </w:t>
            </w:r>
          </w:p>
        </w:tc>
        <w:tc>
          <w:tcPr>
            <w:tcW w:w="2631" w:type="dxa"/>
          </w:tcPr>
          <w:p w:rsidR="00467918" w:rsidRPr="00467918" w:rsidRDefault="00467918" w:rsidP="00DA2B6F">
            <w:pPr>
              <w:pStyle w:val="Tabletext-right"/>
              <w:keepNext/>
              <w:rPr>
                <w:rStyle w:val="AERtextsize8"/>
              </w:rPr>
            </w:pPr>
            <w:r>
              <w:rPr>
                <w:rStyle w:val="AERtextsize8"/>
              </w:rPr>
              <w:t>1 February 2017</w:t>
            </w:r>
          </w:p>
        </w:tc>
      </w:tr>
      <w:tr w:rsidR="00467918" w:rsidTr="008E72AE">
        <w:tc>
          <w:tcPr>
            <w:tcW w:w="6062" w:type="dxa"/>
          </w:tcPr>
          <w:p w:rsidR="00467918" w:rsidRPr="00467918" w:rsidRDefault="00467918" w:rsidP="00DA2B6F">
            <w:pPr>
              <w:pStyle w:val="Tabletext"/>
              <w:keepNext/>
              <w:rPr>
                <w:rStyle w:val="AERtextsize8"/>
              </w:rPr>
            </w:pPr>
            <w:r w:rsidRPr="00AB66ED">
              <w:rPr>
                <w:rStyle w:val="AERtextsize8"/>
              </w:rPr>
              <w:t xml:space="preserve">Submissions on access </w:t>
            </w:r>
            <w:r w:rsidRPr="00467918">
              <w:rPr>
                <w:rStyle w:val="AERtextsize8"/>
              </w:rPr>
              <w:t>arrangement proposal closed</w:t>
            </w:r>
          </w:p>
        </w:tc>
        <w:tc>
          <w:tcPr>
            <w:tcW w:w="2631" w:type="dxa"/>
          </w:tcPr>
          <w:p w:rsidR="00467918" w:rsidRPr="00467918" w:rsidRDefault="00467918" w:rsidP="00DA2B6F">
            <w:pPr>
              <w:pStyle w:val="Tabletext-right"/>
              <w:keepNext/>
              <w:rPr>
                <w:rStyle w:val="AERtextsize8"/>
              </w:rPr>
            </w:pPr>
            <w:r>
              <w:rPr>
                <w:rStyle w:val="AERtextsize8"/>
              </w:rPr>
              <w:t>3 March 2017</w:t>
            </w:r>
          </w:p>
        </w:tc>
      </w:tr>
      <w:tr w:rsidR="00467918" w:rsidTr="008E72AE">
        <w:trPr>
          <w:cnfStyle w:val="000000010000" w:firstRow="0" w:lastRow="0" w:firstColumn="0" w:lastColumn="0" w:oddVBand="0" w:evenVBand="0" w:oddHBand="0" w:evenHBand="1" w:firstRowFirstColumn="0" w:firstRowLastColumn="0" w:lastRowFirstColumn="0" w:lastRowLastColumn="0"/>
        </w:trPr>
        <w:tc>
          <w:tcPr>
            <w:tcW w:w="6062" w:type="dxa"/>
          </w:tcPr>
          <w:p w:rsidR="00467918" w:rsidRPr="00467918" w:rsidRDefault="00467918" w:rsidP="00DA2B6F">
            <w:pPr>
              <w:pStyle w:val="Tabletext"/>
              <w:keepNext/>
              <w:rPr>
                <w:rStyle w:val="AERtextsize8"/>
              </w:rPr>
            </w:pPr>
            <w:r w:rsidRPr="00AB66ED">
              <w:rPr>
                <w:rStyle w:val="AERtextsize8"/>
              </w:rPr>
              <w:t>AER draft decision published</w:t>
            </w:r>
          </w:p>
        </w:tc>
        <w:tc>
          <w:tcPr>
            <w:tcW w:w="2631" w:type="dxa"/>
          </w:tcPr>
          <w:p w:rsidR="00467918" w:rsidRPr="00AB66ED" w:rsidRDefault="0087710A" w:rsidP="00DA2B6F">
            <w:pPr>
              <w:pStyle w:val="Tabletext-right"/>
              <w:keepNext/>
              <w:rPr>
                <w:rStyle w:val="AERtextsize8"/>
              </w:rPr>
            </w:pPr>
            <w:r>
              <w:rPr>
                <w:rStyle w:val="AERtextsize8"/>
              </w:rPr>
              <w:t>6 July</w:t>
            </w:r>
            <w:r w:rsidR="00362FDD">
              <w:rPr>
                <w:rStyle w:val="AERtextsize8"/>
              </w:rPr>
              <w:t xml:space="preserve"> 2017</w:t>
            </w:r>
          </w:p>
        </w:tc>
      </w:tr>
      <w:tr w:rsidR="00467918" w:rsidTr="008E72AE">
        <w:tc>
          <w:tcPr>
            <w:tcW w:w="6062" w:type="dxa"/>
          </w:tcPr>
          <w:p w:rsidR="00467918" w:rsidRPr="00467918" w:rsidRDefault="00467918" w:rsidP="00DA2B6F">
            <w:pPr>
              <w:pStyle w:val="Tabletext"/>
              <w:keepNext/>
              <w:rPr>
                <w:rStyle w:val="AERtextsize8"/>
              </w:rPr>
            </w:pPr>
            <w:r w:rsidRPr="00AB66ED">
              <w:rPr>
                <w:rStyle w:val="AERtextsize8"/>
              </w:rPr>
              <w:t xml:space="preserve">Revised proposal due </w:t>
            </w:r>
          </w:p>
        </w:tc>
        <w:tc>
          <w:tcPr>
            <w:tcW w:w="2631" w:type="dxa"/>
          </w:tcPr>
          <w:p w:rsidR="00467918" w:rsidRPr="00AB66ED" w:rsidRDefault="00362FDD" w:rsidP="00DA2B6F">
            <w:pPr>
              <w:pStyle w:val="Tabletext-right"/>
              <w:keepNext/>
              <w:rPr>
                <w:rStyle w:val="AERtextsize8"/>
              </w:rPr>
            </w:pPr>
            <w:r>
              <w:rPr>
                <w:rStyle w:val="AERtextsize8"/>
              </w:rPr>
              <w:t>14 August 2017</w:t>
            </w:r>
          </w:p>
        </w:tc>
      </w:tr>
      <w:tr w:rsidR="00467918" w:rsidTr="008E72AE">
        <w:trPr>
          <w:cnfStyle w:val="000000010000" w:firstRow="0" w:lastRow="0" w:firstColumn="0" w:lastColumn="0" w:oddVBand="0" w:evenVBand="0" w:oddHBand="0" w:evenHBand="1" w:firstRowFirstColumn="0" w:firstRowLastColumn="0" w:lastRowFirstColumn="0" w:lastRowLastColumn="0"/>
        </w:trPr>
        <w:tc>
          <w:tcPr>
            <w:tcW w:w="6062" w:type="dxa"/>
          </w:tcPr>
          <w:p w:rsidR="00467918" w:rsidRPr="00467918" w:rsidRDefault="00467918" w:rsidP="00DA2B6F">
            <w:pPr>
              <w:pStyle w:val="Tabletext"/>
              <w:keepNext/>
              <w:rPr>
                <w:rStyle w:val="AERtextsize8"/>
              </w:rPr>
            </w:pPr>
            <w:r>
              <w:rPr>
                <w:rStyle w:val="AERtextsize8"/>
              </w:rPr>
              <w:t>S</w:t>
            </w:r>
            <w:r w:rsidRPr="00467918">
              <w:rPr>
                <w:rStyle w:val="AERtextsize8"/>
              </w:rPr>
              <w:t>ubmissions on draft decision and revised proposal close</w:t>
            </w:r>
          </w:p>
        </w:tc>
        <w:tc>
          <w:tcPr>
            <w:tcW w:w="2631" w:type="dxa"/>
          </w:tcPr>
          <w:p w:rsidR="00467918" w:rsidRPr="00AB66ED" w:rsidRDefault="00362FDD" w:rsidP="00DA2B6F">
            <w:pPr>
              <w:pStyle w:val="Tabletext-right"/>
              <w:keepNext/>
              <w:rPr>
                <w:rStyle w:val="AERtextsize8"/>
              </w:rPr>
            </w:pPr>
            <w:r>
              <w:rPr>
                <w:rStyle w:val="AERtextsize8"/>
              </w:rPr>
              <w:t>15 September 2017</w:t>
            </w:r>
          </w:p>
        </w:tc>
      </w:tr>
      <w:tr w:rsidR="00467918" w:rsidTr="008E72AE">
        <w:tc>
          <w:tcPr>
            <w:tcW w:w="6062" w:type="dxa"/>
          </w:tcPr>
          <w:p w:rsidR="00467918" w:rsidRPr="00467918" w:rsidRDefault="00467918" w:rsidP="00DA2B6F">
            <w:pPr>
              <w:pStyle w:val="Tabletext"/>
              <w:keepNext/>
              <w:rPr>
                <w:rStyle w:val="AERtextsize8"/>
              </w:rPr>
            </w:pPr>
            <w:r w:rsidRPr="00AB66ED">
              <w:rPr>
                <w:rStyle w:val="AERtextsize8"/>
              </w:rPr>
              <w:t>AER final decision published</w:t>
            </w:r>
            <w:r w:rsidRPr="00467918">
              <w:rPr>
                <w:rStyle w:val="AERtextsize8"/>
              </w:rPr>
              <w:t>*</w:t>
            </w:r>
          </w:p>
        </w:tc>
        <w:tc>
          <w:tcPr>
            <w:tcW w:w="2631" w:type="dxa"/>
          </w:tcPr>
          <w:p w:rsidR="00467918" w:rsidRPr="00AB66ED" w:rsidRDefault="00362FDD" w:rsidP="00DA2B6F">
            <w:pPr>
              <w:pStyle w:val="Tabletext-right"/>
              <w:keepNext/>
              <w:rPr>
                <w:rStyle w:val="AERtextsize8"/>
              </w:rPr>
            </w:pPr>
            <w:r>
              <w:rPr>
                <w:rStyle w:val="AERtextsize8"/>
              </w:rPr>
              <w:t>29 November 2017</w:t>
            </w:r>
          </w:p>
        </w:tc>
      </w:tr>
    </w:tbl>
    <w:p w:rsidR="00467918" w:rsidRPr="00071879" w:rsidRDefault="00467918" w:rsidP="00DA2B6F">
      <w:pPr>
        <w:pStyle w:val="AERtablesource"/>
        <w:keepNext/>
      </w:pPr>
      <w:r>
        <w:t>*</w:t>
      </w:r>
      <w:r>
        <w:tab/>
        <w:t>This date is indicative only.</w:t>
      </w:r>
    </w:p>
    <w:p w:rsidR="00467918" w:rsidRDefault="00467918" w:rsidP="00467918">
      <w:pPr>
        <w:pStyle w:val="Heading2"/>
      </w:pPr>
      <w:bookmarkStart w:id="79" w:name="_Toc481056436"/>
      <w:bookmarkStart w:id="80" w:name="_Toc487017904"/>
      <w:r>
        <w:t>Structure of this overview</w:t>
      </w:r>
      <w:bookmarkEnd w:id="79"/>
      <w:bookmarkEnd w:id="80"/>
    </w:p>
    <w:p w:rsidR="00467918" w:rsidRDefault="00467918" w:rsidP="00467918">
      <w:r>
        <w:t>This Overview provides a summary of our draft decision and its individual components:</w:t>
      </w:r>
    </w:p>
    <w:p w:rsidR="00467918" w:rsidRPr="00524603" w:rsidRDefault="00467918" w:rsidP="00467918">
      <w:pPr>
        <w:pStyle w:val="AERbulletlistfirststyle"/>
      </w:pPr>
      <w:r>
        <w:t xml:space="preserve">Section </w:t>
      </w:r>
      <w:r>
        <w:fldChar w:fldCharType="begin"/>
      </w:r>
      <w:r>
        <w:instrText xml:space="preserve"> REF _Ref481056622 \r \h </w:instrText>
      </w:r>
      <w:r>
        <w:fldChar w:fldCharType="separate"/>
      </w:r>
      <w:r w:rsidR="00EE5745">
        <w:t>2</w:t>
      </w:r>
      <w:r>
        <w:fldChar w:fldCharType="end"/>
      </w:r>
      <w:r w:rsidRPr="00524603">
        <w:t xml:space="preserve"> provides a high level summary of our draft decision</w:t>
      </w:r>
    </w:p>
    <w:p w:rsidR="00467918" w:rsidRPr="00524603" w:rsidRDefault="00467918" w:rsidP="00467918">
      <w:pPr>
        <w:pStyle w:val="AERbulletlistfirststyle"/>
      </w:pPr>
      <w:r>
        <w:t xml:space="preserve">Section </w:t>
      </w:r>
      <w:r w:rsidR="00B26107">
        <w:fldChar w:fldCharType="begin"/>
      </w:r>
      <w:r w:rsidR="00B26107">
        <w:instrText xml:space="preserve"> REF _Ref483809635 \r \h </w:instrText>
      </w:r>
      <w:r w:rsidR="00B26107">
        <w:fldChar w:fldCharType="separate"/>
      </w:r>
      <w:r w:rsidR="00EE5745">
        <w:t>3</w:t>
      </w:r>
      <w:r w:rsidR="00B26107">
        <w:fldChar w:fldCharType="end"/>
      </w:r>
      <w:r w:rsidRPr="00524603">
        <w:t xml:space="preserve"> sets out our draft decision on </w:t>
      </w:r>
      <w:r>
        <w:t xml:space="preserve">the </w:t>
      </w:r>
      <w:r w:rsidRPr="00524603">
        <w:t>reference service</w:t>
      </w:r>
      <w:r>
        <w:t>s covered by this access arrangement</w:t>
      </w:r>
      <w:r w:rsidRPr="00524603">
        <w:t xml:space="preserve">, </w:t>
      </w:r>
      <w:r w:rsidR="0001670D">
        <w:t>and the mechanism for setting and varying reference tariffs</w:t>
      </w:r>
    </w:p>
    <w:p w:rsidR="00467918" w:rsidRPr="00524603" w:rsidRDefault="00467918" w:rsidP="00467918">
      <w:pPr>
        <w:pStyle w:val="AERbulletlistfirststyle"/>
      </w:pPr>
      <w:r>
        <w:t xml:space="preserve">Section </w:t>
      </w:r>
      <w:r>
        <w:fldChar w:fldCharType="begin"/>
      </w:r>
      <w:r>
        <w:instrText xml:space="preserve"> REF _Ref481056638 \r \h </w:instrText>
      </w:r>
      <w:r>
        <w:fldChar w:fldCharType="separate"/>
      </w:r>
      <w:r w:rsidR="00EE5745">
        <w:t>4</w:t>
      </w:r>
      <w:r>
        <w:fldChar w:fldCharType="end"/>
      </w:r>
      <w:r w:rsidRPr="00524603">
        <w:t xml:space="preserve"> sets out our draft decision on </w:t>
      </w:r>
      <w:r>
        <w:t>the</w:t>
      </w:r>
      <w:r w:rsidRPr="00524603">
        <w:t xml:space="preserve"> total revenue requirement</w:t>
      </w:r>
    </w:p>
    <w:p w:rsidR="00467918" w:rsidRPr="00524603" w:rsidRDefault="00467918" w:rsidP="00467918">
      <w:pPr>
        <w:pStyle w:val="AERbulletlistfirststyle"/>
      </w:pPr>
      <w:r>
        <w:t xml:space="preserve">Section </w:t>
      </w:r>
      <w:r>
        <w:fldChar w:fldCharType="begin"/>
      </w:r>
      <w:r>
        <w:instrText xml:space="preserve"> REF _Ref481056648 \r \h </w:instrText>
      </w:r>
      <w:r>
        <w:fldChar w:fldCharType="separate"/>
      </w:r>
      <w:r w:rsidR="00EE5745">
        <w:t>5</w:t>
      </w:r>
      <w:r>
        <w:fldChar w:fldCharType="end"/>
      </w:r>
      <w:r w:rsidRPr="00524603">
        <w:t xml:space="preserve"> provides a break-down of our revenue decision into its key components</w:t>
      </w:r>
    </w:p>
    <w:p w:rsidR="00467918" w:rsidRDefault="00467918" w:rsidP="00467918">
      <w:pPr>
        <w:pStyle w:val="AERbulletlistfirststyle"/>
      </w:pPr>
      <w:r>
        <w:t xml:space="preserve">Section </w:t>
      </w:r>
      <w:r w:rsidR="0001670D">
        <w:fldChar w:fldCharType="begin"/>
      </w:r>
      <w:r w:rsidR="0001670D">
        <w:instrText xml:space="preserve"> REF _Ref483324247 \r \h </w:instrText>
      </w:r>
      <w:r w:rsidR="0001670D">
        <w:fldChar w:fldCharType="separate"/>
      </w:r>
      <w:r w:rsidR="00EE5745">
        <w:t>6</w:t>
      </w:r>
      <w:r w:rsidR="0001670D">
        <w:fldChar w:fldCharType="end"/>
      </w:r>
      <w:r w:rsidRPr="00524603">
        <w:t xml:space="preserve"> sets out our draft decision on </w:t>
      </w:r>
      <w:r>
        <w:t>new incentive schemes to apply from 2018</w:t>
      </w:r>
    </w:p>
    <w:p w:rsidR="00467918" w:rsidRPr="00524603" w:rsidRDefault="00467918" w:rsidP="00467918">
      <w:pPr>
        <w:pStyle w:val="AERbulletlistfirststyle"/>
      </w:pPr>
      <w:r>
        <w:t xml:space="preserve">Section </w:t>
      </w:r>
      <w:r w:rsidR="0001670D">
        <w:fldChar w:fldCharType="begin"/>
      </w:r>
      <w:r w:rsidR="0001670D">
        <w:instrText xml:space="preserve"> REF _Ref483324257 \r \h </w:instrText>
      </w:r>
      <w:r w:rsidR="0001670D">
        <w:fldChar w:fldCharType="separate"/>
      </w:r>
      <w:r w:rsidR="00EE5745">
        <w:t>7</w:t>
      </w:r>
      <w:r w:rsidR="0001670D">
        <w:fldChar w:fldCharType="end"/>
      </w:r>
      <w:r>
        <w:t xml:space="preserve"> sets out our draft decision on </w:t>
      </w:r>
      <w:r w:rsidRPr="00524603">
        <w:t xml:space="preserve">the non-tariff components of </w:t>
      </w:r>
      <w:r>
        <w:t>AusNet</w:t>
      </w:r>
      <w:r w:rsidRPr="00524603">
        <w:t>'s access arrangement proposal</w:t>
      </w:r>
    </w:p>
    <w:p w:rsidR="00467918" w:rsidRPr="00524603" w:rsidRDefault="00467918" w:rsidP="00467918">
      <w:pPr>
        <w:pStyle w:val="AERbulletlistfirststyle"/>
      </w:pPr>
      <w:r>
        <w:t xml:space="preserve">Section </w:t>
      </w:r>
      <w:r>
        <w:fldChar w:fldCharType="begin"/>
      </w:r>
      <w:r>
        <w:instrText xml:space="preserve"> REF _Ref481056671 \r \h </w:instrText>
      </w:r>
      <w:r>
        <w:fldChar w:fldCharType="separate"/>
      </w:r>
      <w:r w:rsidR="00EE5745">
        <w:t>8</w:t>
      </w:r>
      <w:r>
        <w:fldChar w:fldCharType="end"/>
      </w:r>
      <w:r>
        <w:t xml:space="preserve"> </w:t>
      </w:r>
      <w:r w:rsidRPr="00524603">
        <w:t>explains our views on the regulatory framework and the NGO</w:t>
      </w:r>
    </w:p>
    <w:p w:rsidR="00467918" w:rsidRPr="00524603" w:rsidRDefault="00467918" w:rsidP="00467918">
      <w:pPr>
        <w:pStyle w:val="AERbulletlistfirststyle"/>
      </w:pPr>
      <w:r>
        <w:t xml:space="preserve">Section </w:t>
      </w:r>
      <w:r>
        <w:fldChar w:fldCharType="begin"/>
      </w:r>
      <w:r>
        <w:instrText xml:space="preserve"> REF _Ref481056678 \r \h </w:instrText>
      </w:r>
      <w:r>
        <w:fldChar w:fldCharType="separate"/>
      </w:r>
      <w:r w:rsidR="00EE5745">
        <w:t>9</w:t>
      </w:r>
      <w:r>
        <w:fldChar w:fldCharType="end"/>
      </w:r>
      <w:r w:rsidRPr="00524603">
        <w:t xml:space="preserve"> outlines the consultation process we undertook in reaching our draft decision</w:t>
      </w:r>
    </w:p>
    <w:p w:rsidR="00467918" w:rsidRPr="00524603" w:rsidRDefault="00467918" w:rsidP="00467918">
      <w:pPr>
        <w:pStyle w:val="AERbulletlistfirststyle"/>
      </w:pPr>
      <w:r>
        <w:t xml:space="preserve">Appendix </w:t>
      </w:r>
      <w:r>
        <w:fldChar w:fldCharType="begin"/>
      </w:r>
      <w:r>
        <w:instrText xml:space="preserve"> REF _Ref481056687 \r \h </w:instrText>
      </w:r>
      <w:r>
        <w:fldChar w:fldCharType="separate"/>
      </w:r>
      <w:proofErr w:type="gramStart"/>
      <w:r w:rsidR="00EE5745">
        <w:t>A</w:t>
      </w:r>
      <w:proofErr w:type="gramEnd"/>
      <w:r>
        <w:fldChar w:fldCharType="end"/>
      </w:r>
      <w:r>
        <w:t xml:space="preserve"> </w:t>
      </w:r>
      <w:r w:rsidRPr="00524603">
        <w:t xml:space="preserve">lists the stakeholder submissions received on </w:t>
      </w:r>
      <w:r>
        <w:t>AusNet's</w:t>
      </w:r>
      <w:r w:rsidRPr="00524603">
        <w:t xml:space="preserve"> proposal. </w:t>
      </w:r>
    </w:p>
    <w:p w:rsidR="00467918" w:rsidRDefault="00467918" w:rsidP="00467918">
      <w:r>
        <w:t>In our attachments to this Overview</w:t>
      </w:r>
      <w:r w:rsidR="001904F7">
        <w:t>,</w:t>
      </w:r>
      <w:r>
        <w:t xml:space="preserve"> we set out detailed analysis of the constituent components that make up our draft decision. </w:t>
      </w:r>
    </w:p>
    <w:p w:rsidR="00467918" w:rsidRDefault="00467918" w:rsidP="00467918">
      <w:pPr>
        <w:pStyle w:val="Heading1"/>
      </w:pPr>
      <w:bookmarkStart w:id="81" w:name="_Toc481056438"/>
      <w:bookmarkStart w:id="82" w:name="_Ref481056622"/>
      <w:bookmarkStart w:id="83" w:name="_Toc487017905"/>
      <w:r>
        <w:t>Draft decision</w:t>
      </w:r>
      <w:bookmarkEnd w:id="81"/>
      <w:bookmarkEnd w:id="82"/>
      <w:bookmarkEnd w:id="83"/>
    </w:p>
    <w:p w:rsidR="00467918" w:rsidRPr="00AC4AFF" w:rsidRDefault="00467918" w:rsidP="00467918">
      <w:r w:rsidRPr="00AC4AFF">
        <w:t xml:space="preserve">Our </w:t>
      </w:r>
      <w:r w:rsidR="000E79B6">
        <w:t>draft</w:t>
      </w:r>
      <w:r w:rsidRPr="00AC4AFF">
        <w:t xml:space="preserve"> decision is </w:t>
      </w:r>
      <w:r w:rsidRPr="00AC4AFF">
        <w:rPr>
          <w:rStyle w:val="AERbody"/>
        </w:rPr>
        <w:t xml:space="preserve">that </w:t>
      </w:r>
      <w:r>
        <w:rPr>
          <w:rStyle w:val="AERbody"/>
        </w:rPr>
        <w:t>AusNet</w:t>
      </w:r>
      <w:r w:rsidRPr="00AC4AFF">
        <w:rPr>
          <w:rStyle w:val="AERbody"/>
        </w:rPr>
        <w:t xml:space="preserve"> can recover </w:t>
      </w:r>
      <w:r w:rsidRPr="00AC4AFF">
        <w:t>$</w:t>
      </w:r>
      <w:r w:rsidR="00AD6DD5">
        <w:t>1044.8</w:t>
      </w:r>
      <w:r w:rsidRPr="00AC4AFF">
        <w:t> million</w:t>
      </w:r>
      <w:r w:rsidRPr="00AC4AFF">
        <w:rPr>
          <w:rStyle w:val="AERbody"/>
        </w:rPr>
        <w:t xml:space="preserve"> ($ nominal, smoothed) from consumers over the 201</w:t>
      </w:r>
      <w:r w:rsidR="00362FDD">
        <w:rPr>
          <w:rStyle w:val="AERbody"/>
        </w:rPr>
        <w:t>8</w:t>
      </w:r>
      <w:r w:rsidRPr="00AC4AFF">
        <w:rPr>
          <w:rStyle w:val="AERbody"/>
        </w:rPr>
        <w:t xml:space="preserve">–22 </w:t>
      </w:r>
      <w:r w:rsidR="00362FDD">
        <w:rPr>
          <w:rStyle w:val="AERbody"/>
        </w:rPr>
        <w:t>access arrangement</w:t>
      </w:r>
      <w:r w:rsidRPr="00AC4AFF">
        <w:rPr>
          <w:rStyle w:val="AERbody"/>
        </w:rPr>
        <w:t xml:space="preserve"> period. This is a</w:t>
      </w:r>
      <w:r w:rsidR="001904F7">
        <w:rPr>
          <w:rStyle w:val="AERbody"/>
        </w:rPr>
        <w:t>n</w:t>
      </w:r>
      <w:r w:rsidRPr="00AC4AFF">
        <w:rPr>
          <w:rStyle w:val="AERbody"/>
        </w:rPr>
        <w:t xml:space="preserve"> </w:t>
      </w:r>
      <w:r w:rsidR="002C6CA1">
        <w:t>8.</w:t>
      </w:r>
      <w:r w:rsidR="00EB0503">
        <w:t>7</w:t>
      </w:r>
      <w:r w:rsidRPr="00AC4AFF">
        <w:t xml:space="preserve"> per cent reduction from </w:t>
      </w:r>
      <w:r>
        <w:t>AusNet's proposed revenue requirement</w:t>
      </w:r>
      <w:r w:rsidRPr="00AC4AFF">
        <w:t xml:space="preserve"> of $</w:t>
      </w:r>
      <w:r w:rsidR="00D9064F">
        <w:t>1144.5</w:t>
      </w:r>
      <w:r w:rsidRPr="00AC4AFF">
        <w:t> million ($ nominal</w:t>
      </w:r>
      <w:r>
        <w:t>, smoothed</w:t>
      </w:r>
      <w:r w:rsidRPr="00AC4AFF">
        <w:t xml:space="preserve">). Our </w:t>
      </w:r>
      <w:r>
        <w:t xml:space="preserve">draft </w:t>
      </w:r>
      <w:r w:rsidRPr="00AC4AFF">
        <w:t xml:space="preserve">decision </w:t>
      </w:r>
      <w:r>
        <w:t xml:space="preserve">would </w:t>
      </w:r>
      <w:r w:rsidRPr="00AC4AFF">
        <w:t>allow</w:t>
      </w:r>
      <w:r>
        <w:t xml:space="preserve"> AusNet</w:t>
      </w:r>
      <w:r w:rsidRPr="00AC4AFF">
        <w:t xml:space="preserve"> to recover </w:t>
      </w:r>
      <w:r w:rsidR="002C6CA1">
        <w:t>9.</w:t>
      </w:r>
      <w:r w:rsidR="00EB0503">
        <w:t>7</w:t>
      </w:r>
      <w:r w:rsidRPr="00AC4AFF">
        <w:t xml:space="preserve"> per cent more revenue than </w:t>
      </w:r>
      <w:r>
        <w:t>its 2013</w:t>
      </w:r>
      <w:r w:rsidR="002C6CA1">
        <w:t>–</w:t>
      </w:r>
      <w:r>
        <w:t>17 allowance of</w:t>
      </w:r>
      <w:r w:rsidRPr="00AC4AFF">
        <w:t xml:space="preserve"> $</w:t>
      </w:r>
      <w:r w:rsidR="002C6CA1">
        <w:t>952.4</w:t>
      </w:r>
      <w:r w:rsidRPr="00AC4AFF">
        <w:t> million ($ nominal).</w:t>
      </w:r>
      <w:r w:rsidR="002C6CA1">
        <w:rPr>
          <w:rStyle w:val="FootnoteReference"/>
        </w:rPr>
        <w:footnoteReference w:id="4"/>
      </w:r>
      <w:r w:rsidRPr="00AC4AFF">
        <w:t xml:space="preserve"> </w:t>
      </w:r>
    </w:p>
    <w:p w:rsidR="00467918" w:rsidRPr="001B6D64" w:rsidRDefault="00E60622" w:rsidP="001B6D64">
      <w:r>
        <w:fldChar w:fldCharType="begin"/>
      </w:r>
      <w:r>
        <w:instrText xml:space="preserve"> REF _Ref483558652 \h </w:instrText>
      </w:r>
      <w:r>
        <w:fldChar w:fldCharType="separate"/>
      </w:r>
      <w:r w:rsidR="00EE5745">
        <w:t xml:space="preserve">Figure </w:t>
      </w:r>
      <w:r w:rsidR="00EE5745">
        <w:rPr>
          <w:noProof/>
        </w:rPr>
        <w:t>2</w:t>
      </w:r>
      <w:r w:rsidR="00EE5745">
        <w:noBreakHyphen/>
      </w:r>
      <w:r w:rsidR="00EE5745">
        <w:rPr>
          <w:noProof/>
        </w:rPr>
        <w:t>1</w:t>
      </w:r>
      <w:r>
        <w:fldChar w:fldCharType="end"/>
      </w:r>
      <w:r>
        <w:t xml:space="preserve"> </w:t>
      </w:r>
      <w:r w:rsidR="00467918" w:rsidRPr="001B6D64">
        <w:t>compares our draft decision on AusNet's revenue for 2018–22 to its proposed revenue</w:t>
      </w:r>
      <w:r w:rsidR="0001670D" w:rsidRPr="001B6D64">
        <w:t>,</w:t>
      </w:r>
      <w:r w:rsidR="00467918" w:rsidRPr="001B6D64">
        <w:t xml:space="preserve"> and to the revenue allowed and recovered during the current</w:t>
      </w:r>
      <w:r w:rsidR="0049290A" w:rsidRPr="001B6D64">
        <w:t xml:space="preserve"> (</w:t>
      </w:r>
      <w:r w:rsidR="00467918" w:rsidRPr="001B6D64">
        <w:t>2013</w:t>
      </w:r>
      <w:r w:rsidR="00EB0503">
        <w:t>–</w:t>
      </w:r>
      <w:r w:rsidR="00467918" w:rsidRPr="001B6D64">
        <w:t>17</w:t>
      </w:r>
      <w:r w:rsidR="0049290A" w:rsidRPr="001B6D64">
        <w:t xml:space="preserve">) and </w:t>
      </w:r>
      <w:r w:rsidR="002C6CA1" w:rsidRPr="001B6D64">
        <w:t xml:space="preserve">previous </w:t>
      </w:r>
      <w:r w:rsidR="0049290A" w:rsidRPr="001B6D64">
        <w:t>(</w:t>
      </w:r>
      <w:r w:rsidR="002C6CA1" w:rsidRPr="001B6D64">
        <w:t>2008–12</w:t>
      </w:r>
      <w:r w:rsidR="0049290A" w:rsidRPr="001B6D64">
        <w:t>)</w:t>
      </w:r>
      <w:r w:rsidR="002C6CA1" w:rsidRPr="001B6D64">
        <w:t xml:space="preserve"> access arrangement period</w:t>
      </w:r>
      <w:r w:rsidR="0049290A" w:rsidRPr="001B6D64">
        <w:t>s</w:t>
      </w:r>
      <w:r w:rsidR="00467918" w:rsidRPr="001B6D64">
        <w:t xml:space="preserve">. </w:t>
      </w:r>
      <w:r w:rsidR="0049290A" w:rsidRPr="001B6D64">
        <w:t>The effect of this draft decision will be to hold AusNet's revenues relatively constant in real dollar terms.</w:t>
      </w:r>
      <w:r w:rsidR="00467918" w:rsidRPr="001B6D64">
        <w:t xml:space="preserve"> </w:t>
      </w:r>
    </w:p>
    <w:p w:rsidR="00467918" w:rsidRDefault="001B6D64" w:rsidP="001B6D64">
      <w:pPr>
        <w:pStyle w:val="Caption"/>
      </w:pPr>
      <w:bookmarkStart w:id="84" w:name="_Ref483558652"/>
      <w:r>
        <w:t xml:space="preserve">Figure </w:t>
      </w:r>
      <w:fldSimple w:instr=" STYLEREF 1 \s ">
        <w:r w:rsidR="00EE5745">
          <w:rPr>
            <w:noProof/>
          </w:rPr>
          <w:t>2</w:t>
        </w:r>
      </w:fldSimple>
      <w:r w:rsidR="002B4532">
        <w:noBreakHyphen/>
      </w:r>
      <w:fldSimple w:instr=" SEQ Figure \* ARABIC \s 1 ">
        <w:r w:rsidR="00EE5745">
          <w:rPr>
            <w:noProof/>
          </w:rPr>
          <w:t>1</w:t>
        </w:r>
      </w:fldSimple>
      <w:bookmarkEnd w:id="84"/>
      <w:r w:rsidR="00467918" w:rsidRPr="00AC4AFF">
        <w:tab/>
      </w:r>
      <w:r w:rsidR="00467918">
        <w:t>AusNet's</w:t>
      </w:r>
      <w:r w:rsidR="00467918" w:rsidRPr="00AC4AFF">
        <w:t xml:space="preserve"> past total revenue, proposed total revenue and AER </w:t>
      </w:r>
      <w:r w:rsidR="00467918">
        <w:t>draft</w:t>
      </w:r>
      <w:r w:rsidR="00467918" w:rsidRPr="00AC4AFF">
        <w:t xml:space="preserve"> decision total revenue ($million, 2017)</w:t>
      </w:r>
    </w:p>
    <w:p w:rsidR="00AD6DD5" w:rsidRPr="0087710A" w:rsidRDefault="00AD6DD5" w:rsidP="0087710A">
      <w:r w:rsidRPr="0087710A">
        <w:rPr>
          <w:noProof/>
          <w:lang w:eastAsia="en-AU"/>
        </w:rPr>
        <w:drawing>
          <wp:inline distT="0" distB="0" distL="0" distR="0" wp14:anchorId="2B18D864" wp14:editId="73323450">
            <wp:extent cx="5382895" cy="3195806"/>
            <wp:effectExtent l="0" t="0" r="8255" b="508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195806"/>
                    </a:xfrm>
                    <a:prstGeom prst="rect">
                      <a:avLst/>
                    </a:prstGeom>
                    <a:noFill/>
                    <a:extLst/>
                  </pic:spPr>
                </pic:pic>
              </a:graphicData>
            </a:graphic>
          </wp:inline>
        </w:drawing>
      </w:r>
    </w:p>
    <w:p w:rsidR="00467918" w:rsidRDefault="00467918" w:rsidP="00DA2B6F">
      <w:pPr>
        <w:pStyle w:val="AERtablesource"/>
        <w:keepNext/>
      </w:pPr>
      <w:r w:rsidRPr="00AC4AFF">
        <w:t>Source:</w:t>
      </w:r>
      <w:r w:rsidRPr="00AC4AFF">
        <w:tab/>
        <w:t>AER analysis.</w:t>
      </w:r>
    </w:p>
    <w:p w:rsidR="00467918" w:rsidRDefault="00467918" w:rsidP="00DA2B6F">
      <w:pPr>
        <w:pStyle w:val="Heading2"/>
        <w:keepNext/>
      </w:pPr>
      <w:bookmarkStart w:id="85" w:name="_Toc481056439"/>
      <w:bookmarkStart w:id="86" w:name="_Toc487017906"/>
      <w:r>
        <w:t>What is driving proposed revenue?</w:t>
      </w:r>
      <w:bookmarkEnd w:id="85"/>
      <w:bookmarkEnd w:id="86"/>
    </w:p>
    <w:p w:rsidR="00467918" w:rsidRPr="00671A03" w:rsidRDefault="00A778F0" w:rsidP="00DA2B6F">
      <w:pPr>
        <w:keepNext/>
      </w:pPr>
      <w:r>
        <w:t>The impact of inflation</w:t>
      </w:r>
      <w:r w:rsidRPr="00A778F0">
        <w:t xml:space="preserve"> makes it difficult to compare revenue across different time periods on a like-for-like basis. We therefore use real values</w:t>
      </w:r>
      <w:r w:rsidR="00BE7898">
        <w:t xml:space="preserve"> based on a common year</w:t>
      </w:r>
      <w:r w:rsidRPr="00A778F0">
        <w:t xml:space="preserve">, which have been adjusted for the impact of inflation, to compare revenue from one access arrangement period to the next. </w:t>
      </w:r>
      <w:r w:rsidR="002C6CA1">
        <w:t>In real dollar terms, o</w:t>
      </w:r>
      <w:r w:rsidR="00467918" w:rsidRPr="00671A03">
        <w:t xml:space="preserve">ur </w:t>
      </w:r>
      <w:r w:rsidR="00467918">
        <w:t>draft</w:t>
      </w:r>
      <w:r w:rsidR="00467918" w:rsidRPr="00671A03">
        <w:t xml:space="preserve"> decision approves revenue for the 201</w:t>
      </w:r>
      <w:r w:rsidR="00467918">
        <w:t>8</w:t>
      </w:r>
      <w:r w:rsidR="00467918" w:rsidRPr="00671A03">
        <w:t xml:space="preserve">–22 </w:t>
      </w:r>
      <w:r w:rsidR="00467918">
        <w:t>access arrangement</w:t>
      </w:r>
      <w:r w:rsidR="00467918" w:rsidRPr="00671A03">
        <w:t xml:space="preserve"> </w:t>
      </w:r>
      <w:r w:rsidR="00467918" w:rsidRPr="00671A03">
        <w:rPr>
          <w:rStyle w:val="AERbody"/>
        </w:rPr>
        <w:t xml:space="preserve">period that </w:t>
      </w:r>
      <w:r w:rsidR="007A5CAB">
        <w:t>is</w:t>
      </w:r>
      <w:r w:rsidR="00467918" w:rsidRPr="00671A03">
        <w:t xml:space="preserve"> $</w:t>
      </w:r>
      <w:r w:rsidR="00EB0503">
        <w:t>1</w:t>
      </w:r>
      <w:r w:rsidR="00F608ED">
        <w:t>.</w:t>
      </w:r>
      <w:r w:rsidR="009A34C7">
        <w:t>8</w:t>
      </w:r>
      <w:r w:rsidR="00467918" w:rsidRPr="00671A03">
        <w:t xml:space="preserve"> million ($ 2017)—or </w:t>
      </w:r>
      <w:r w:rsidR="00F608ED">
        <w:t>0.</w:t>
      </w:r>
      <w:r w:rsidR="00EB0503">
        <w:t>2</w:t>
      </w:r>
      <w:r w:rsidR="00467918" w:rsidRPr="00671A03">
        <w:t> per cent—</w:t>
      </w:r>
      <w:r w:rsidR="00B6216B">
        <w:t>higher</w:t>
      </w:r>
      <w:r w:rsidR="00467918" w:rsidRPr="00671A03">
        <w:t xml:space="preserve"> than </w:t>
      </w:r>
      <w:r w:rsidR="007A5CAB">
        <w:t>that</w:t>
      </w:r>
      <w:r w:rsidR="00467918" w:rsidRPr="00671A03">
        <w:t xml:space="preserve"> approved in our decision for 201</w:t>
      </w:r>
      <w:r w:rsidR="00467918">
        <w:t>3</w:t>
      </w:r>
      <w:r w:rsidR="00467918" w:rsidRPr="00671A03">
        <w:t>–17.</w:t>
      </w:r>
      <w:r w:rsidR="00467918" w:rsidRPr="00671A03">
        <w:rPr>
          <w:rStyle w:val="FootnoteReference"/>
        </w:rPr>
        <w:footnoteReference w:id="5"/>
      </w:r>
      <w:r w:rsidR="00467918" w:rsidRPr="00671A03">
        <w:t xml:space="preserve"> </w:t>
      </w:r>
    </w:p>
    <w:p w:rsidR="00467918" w:rsidRPr="00671A03" w:rsidRDefault="00467918" w:rsidP="00467918">
      <w:r w:rsidRPr="00671A03">
        <w:fldChar w:fldCharType="begin"/>
      </w:r>
      <w:r w:rsidRPr="00671A03">
        <w:instrText xml:space="preserve"> REF _Ref453232866 \h </w:instrText>
      </w:r>
      <w:r w:rsidRPr="00671A03">
        <w:fldChar w:fldCharType="separate"/>
      </w:r>
      <w:r w:rsidR="00EE5745" w:rsidRPr="00671A03">
        <w:t xml:space="preserve">Figure </w:t>
      </w:r>
      <w:r w:rsidR="00EE5745">
        <w:rPr>
          <w:noProof/>
        </w:rPr>
        <w:t>2</w:t>
      </w:r>
      <w:r w:rsidR="00EE5745">
        <w:noBreakHyphen/>
      </w:r>
      <w:r w:rsidR="00EE5745">
        <w:rPr>
          <w:noProof/>
        </w:rPr>
        <w:t>2</w:t>
      </w:r>
      <w:r w:rsidRPr="00671A03">
        <w:fldChar w:fldCharType="end"/>
      </w:r>
      <w:r w:rsidRPr="00671A03">
        <w:t xml:space="preserve"> compares our </w:t>
      </w:r>
      <w:r>
        <w:t>draft</w:t>
      </w:r>
      <w:r w:rsidRPr="00671A03">
        <w:t xml:space="preserve"> decision for the 201</w:t>
      </w:r>
      <w:r>
        <w:t>8</w:t>
      </w:r>
      <w:r w:rsidRPr="00671A03">
        <w:t xml:space="preserve">–22 </w:t>
      </w:r>
      <w:r>
        <w:t>access arrangement</w:t>
      </w:r>
      <w:r w:rsidRPr="00671A03">
        <w:t xml:space="preserve"> </w:t>
      </w:r>
      <w:proofErr w:type="gramStart"/>
      <w:r w:rsidRPr="00671A03">
        <w:t>period</w:t>
      </w:r>
      <w:proofErr w:type="gramEnd"/>
      <w:r w:rsidRPr="00671A03">
        <w:t xml:space="preserve"> </w:t>
      </w:r>
      <w:r>
        <w:t>to AusNet's</w:t>
      </w:r>
      <w:r w:rsidRPr="00671A03">
        <w:t xml:space="preserve"> allowed revenue for the </w:t>
      </w:r>
      <w:r>
        <w:t>current</w:t>
      </w:r>
      <w:r w:rsidRPr="00671A03">
        <w:t xml:space="preserve"> period, broken down by the various building block components that make up the forecast revenue allowance. </w:t>
      </w:r>
    </w:p>
    <w:p w:rsidR="00467918" w:rsidRDefault="00467918" w:rsidP="00DA2B6F">
      <w:pPr>
        <w:pStyle w:val="Caption"/>
      </w:pPr>
      <w:bookmarkStart w:id="87" w:name="_Ref479685416"/>
      <w:bookmarkStart w:id="88" w:name="_Ref477771164"/>
      <w:bookmarkStart w:id="89" w:name="_Ref453232866"/>
      <w:r w:rsidRPr="00671A03">
        <w:t xml:space="preserve">Figure </w:t>
      </w:r>
      <w:fldSimple w:instr=" STYLEREF 1 \s ">
        <w:r w:rsidR="00EE5745">
          <w:rPr>
            <w:noProof/>
          </w:rPr>
          <w:t>2</w:t>
        </w:r>
      </w:fldSimple>
      <w:r w:rsidR="002B4532">
        <w:noBreakHyphen/>
      </w:r>
      <w:fldSimple w:instr=" SEQ Figure \* ARABIC \s 1 ">
        <w:r w:rsidR="00EE5745">
          <w:rPr>
            <w:noProof/>
          </w:rPr>
          <w:t>2</w:t>
        </w:r>
      </w:fldSimple>
      <w:bookmarkEnd w:id="87"/>
      <w:bookmarkEnd w:id="88"/>
      <w:bookmarkEnd w:id="89"/>
      <w:r w:rsidRPr="00671A03">
        <w:tab/>
        <w:t xml:space="preserve">AER's </w:t>
      </w:r>
      <w:r>
        <w:t>draft</w:t>
      </w:r>
      <w:r w:rsidRPr="00671A03">
        <w:t xml:space="preserve"> decision for the 201</w:t>
      </w:r>
      <w:r>
        <w:t>8</w:t>
      </w:r>
      <w:r w:rsidRPr="00671A03">
        <w:t xml:space="preserve">–22 </w:t>
      </w:r>
      <w:r>
        <w:t>access arrangement</w:t>
      </w:r>
      <w:r w:rsidRPr="00671A03">
        <w:t xml:space="preserve"> period and </w:t>
      </w:r>
      <w:r>
        <w:t>AusNet's</w:t>
      </w:r>
      <w:r w:rsidRPr="00671A03">
        <w:t xml:space="preserve"> 201</w:t>
      </w:r>
      <w:r>
        <w:t>3</w:t>
      </w:r>
      <w:r w:rsidRPr="00671A03">
        <w:t>–17 allowed annual building block costs ($million, 2017)</w:t>
      </w:r>
    </w:p>
    <w:p w:rsidR="00AD6DD5" w:rsidRPr="00AD6DD5" w:rsidRDefault="00AD6DD5" w:rsidP="0087710A">
      <w:r w:rsidRPr="0087710A">
        <w:rPr>
          <w:noProof/>
          <w:lang w:eastAsia="en-AU"/>
        </w:rPr>
        <w:drawing>
          <wp:inline distT="0" distB="0" distL="0" distR="0" wp14:anchorId="5C502D18" wp14:editId="0ADECC03">
            <wp:extent cx="5382895" cy="3268825"/>
            <wp:effectExtent l="0" t="0" r="8255" b="8255"/>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268825"/>
                    </a:xfrm>
                    <a:prstGeom prst="rect">
                      <a:avLst/>
                    </a:prstGeom>
                    <a:noFill/>
                    <a:extLst/>
                  </pic:spPr>
                </pic:pic>
              </a:graphicData>
            </a:graphic>
          </wp:inline>
        </w:drawing>
      </w:r>
    </w:p>
    <w:p w:rsidR="00467918" w:rsidRPr="00671A03" w:rsidRDefault="00467918" w:rsidP="00DA2B6F">
      <w:pPr>
        <w:pStyle w:val="AERtablesource"/>
        <w:keepNext/>
      </w:pPr>
      <w:r w:rsidRPr="00671A03">
        <w:t>Source:</w:t>
      </w:r>
      <w:r w:rsidRPr="00671A03">
        <w:tab/>
        <w:t>AER analysis.</w:t>
      </w:r>
    </w:p>
    <w:p w:rsidR="00B22EF7" w:rsidRDefault="00467918" w:rsidP="00467918">
      <w:r w:rsidRPr="00671A03">
        <w:t xml:space="preserve">These figures highlight that </w:t>
      </w:r>
      <w:r w:rsidR="0049290A">
        <w:t xml:space="preserve">the </w:t>
      </w:r>
      <w:r w:rsidR="007A5CAB">
        <w:t xml:space="preserve">change in </w:t>
      </w:r>
      <w:r w:rsidR="0049290A">
        <w:t xml:space="preserve">return on capital is a key factor </w:t>
      </w:r>
      <w:r w:rsidR="00647820">
        <w:t>in</w:t>
      </w:r>
      <w:r w:rsidR="0049290A">
        <w:t xml:space="preserve"> the </w:t>
      </w:r>
      <w:r w:rsidR="00982662">
        <w:t>minimal</w:t>
      </w:r>
      <w:r w:rsidR="0049290A">
        <w:t xml:space="preserve"> change in revenue from period to period</w:t>
      </w:r>
      <w:r w:rsidR="00B22EF7">
        <w:t>. Th</w:t>
      </w:r>
      <w:r w:rsidR="00982662">
        <w:t xml:space="preserve">e lower return on capital </w:t>
      </w:r>
      <w:r w:rsidR="00B22EF7">
        <w:t xml:space="preserve">is </w:t>
      </w:r>
      <w:r w:rsidR="0049290A">
        <w:t>driven by a reduction in the rate of return from 7.</w:t>
      </w:r>
      <w:r w:rsidR="0087710A">
        <w:t>07</w:t>
      </w:r>
      <w:r w:rsidR="0049290A">
        <w:t xml:space="preserve"> per cent in the current period to 5.9</w:t>
      </w:r>
      <w:r w:rsidR="0087710A">
        <w:t>4</w:t>
      </w:r>
      <w:r w:rsidR="0049290A">
        <w:t xml:space="preserve"> for 2018–22. </w:t>
      </w:r>
    </w:p>
    <w:p w:rsidR="0049290A" w:rsidRDefault="0049290A" w:rsidP="00467918">
      <w:proofErr w:type="gramStart"/>
      <w:r>
        <w:t>Th</w:t>
      </w:r>
      <w:r w:rsidR="00647820">
        <w:t>e lower return on capital</w:t>
      </w:r>
      <w:r>
        <w:t xml:space="preserve"> and efficiencies in AusNet's operating expenditure (opex) that have been passed through to customers</w:t>
      </w:r>
      <w:r w:rsidR="00647820">
        <w:t xml:space="preserve"> in the form of a lower opex forecast </w:t>
      </w:r>
      <w:r>
        <w:t>offset an increase in the regulatory depreciation allowance</w:t>
      </w:r>
      <w:r w:rsidR="00B22EF7">
        <w:t>.</w:t>
      </w:r>
      <w:proofErr w:type="gramEnd"/>
      <w:r w:rsidR="00B22EF7">
        <w:t xml:space="preserve"> The change to the regulatory depreciation allowance reflects growth in AusNet's capital base, which </w:t>
      </w:r>
      <w:r w:rsidR="00A778F0">
        <w:t xml:space="preserve">in real terms </w:t>
      </w:r>
      <w:r w:rsidR="00B22EF7">
        <w:t xml:space="preserve">grew by </w:t>
      </w:r>
      <w:r w:rsidR="006848C0">
        <w:t>12.7</w:t>
      </w:r>
      <w:r w:rsidR="00B22EF7">
        <w:t xml:space="preserve"> per cent over the current period and is projected to grow by </w:t>
      </w:r>
      <w:r w:rsidR="00E95393">
        <w:t>5.9</w:t>
      </w:r>
      <w:r w:rsidR="000F1CC0">
        <w:t> </w:t>
      </w:r>
      <w:r w:rsidR="00B22EF7" w:rsidRPr="000F1CC0">
        <w:t>per</w:t>
      </w:r>
      <w:r w:rsidR="00B22EF7">
        <w:t xml:space="preserve"> cent from 2018 to 2022. </w:t>
      </w:r>
      <w:r w:rsidR="00982662">
        <w:t xml:space="preserve">Our approval of AusNet's </w:t>
      </w:r>
      <w:r w:rsidR="00B22EF7">
        <w:t xml:space="preserve">change in approach to </w:t>
      </w:r>
      <w:r w:rsidR="00CF40AD">
        <w:t xml:space="preserve">calculating the </w:t>
      </w:r>
      <w:r w:rsidR="00B22EF7">
        <w:t>depreciation of assets</w:t>
      </w:r>
      <w:r w:rsidR="00CF40AD">
        <w:t xml:space="preserve"> </w:t>
      </w:r>
      <w:r w:rsidR="00982662">
        <w:t>has also contributed to this increase</w:t>
      </w:r>
      <w:r w:rsidR="00B22EF7">
        <w:t xml:space="preserve">. </w:t>
      </w:r>
    </w:p>
    <w:p w:rsidR="00467918" w:rsidRDefault="00467918" w:rsidP="00467918">
      <w:pPr>
        <w:pStyle w:val="Heading2"/>
      </w:pPr>
      <w:bookmarkStart w:id="90" w:name="_Toc481056440"/>
      <w:bookmarkStart w:id="91" w:name="_Toc487017907"/>
      <w:r>
        <w:t xml:space="preserve">Key differences between our draft decision and </w:t>
      </w:r>
      <w:r w:rsidR="008E72AE">
        <w:t>AusNet</w:t>
      </w:r>
      <w:r>
        <w:t>'s proposal</w:t>
      </w:r>
      <w:bookmarkEnd w:id="90"/>
      <w:bookmarkEnd w:id="91"/>
    </w:p>
    <w:p w:rsidR="00467918" w:rsidRPr="00F87846" w:rsidRDefault="008E72AE" w:rsidP="00467918">
      <w:r>
        <w:t>AusNet</w:t>
      </w:r>
      <w:r w:rsidR="00467918">
        <w:t xml:space="preserve"> proposed total forecast revenue of </w:t>
      </w:r>
      <w:r w:rsidR="00467918" w:rsidRPr="00F87846">
        <w:t>$</w:t>
      </w:r>
      <w:r>
        <w:t>1144.5</w:t>
      </w:r>
      <w:r w:rsidR="00467918">
        <w:t xml:space="preserve"> </w:t>
      </w:r>
      <w:r w:rsidR="00467918" w:rsidRPr="00F87846">
        <w:t>m</w:t>
      </w:r>
      <w:r w:rsidR="00467918">
        <w:t>illion</w:t>
      </w:r>
      <w:r w:rsidR="00467918" w:rsidRPr="00F87846">
        <w:t xml:space="preserve"> ($</w:t>
      </w:r>
      <w:r w:rsidR="00E549B0">
        <w:t> </w:t>
      </w:r>
      <w:r w:rsidR="00467918" w:rsidRPr="00F87846">
        <w:t>nominal</w:t>
      </w:r>
      <w:r>
        <w:t>, smoothed</w:t>
      </w:r>
      <w:r w:rsidR="00467918" w:rsidRPr="00F87846">
        <w:t>), or $1</w:t>
      </w:r>
      <w:r>
        <w:t>088.2</w:t>
      </w:r>
      <w:r w:rsidR="00467918">
        <w:t xml:space="preserve"> </w:t>
      </w:r>
      <w:r w:rsidR="00467918" w:rsidRPr="00F87846">
        <w:t>m</w:t>
      </w:r>
      <w:r w:rsidR="00467918">
        <w:t>illion</w:t>
      </w:r>
      <w:r w:rsidR="00467918" w:rsidRPr="00F87846">
        <w:t xml:space="preserve"> ($</w:t>
      </w:r>
      <w:r w:rsidR="00E549B0">
        <w:t> </w:t>
      </w:r>
      <w:r w:rsidR="00467918" w:rsidRPr="00F87846">
        <w:t>2017</w:t>
      </w:r>
      <w:r>
        <w:t>, smoothed</w:t>
      </w:r>
      <w:r w:rsidR="00467918" w:rsidRPr="00F87846">
        <w:t>) for</w:t>
      </w:r>
      <w:r w:rsidR="00467918">
        <w:t xml:space="preserve"> the </w:t>
      </w:r>
      <w:r w:rsidR="00467918" w:rsidRPr="00F87846">
        <w:t>2018</w:t>
      </w:r>
      <w:r w:rsidR="009A34C7">
        <w:t>–</w:t>
      </w:r>
      <w:r w:rsidR="00467918" w:rsidRPr="00F87846">
        <w:t>22</w:t>
      </w:r>
      <w:r w:rsidR="00467918">
        <w:t xml:space="preserve"> access arrangement period</w:t>
      </w:r>
      <w:r w:rsidR="00467918" w:rsidRPr="00F87846">
        <w:t>.</w:t>
      </w:r>
    </w:p>
    <w:p w:rsidR="001B6D64" w:rsidRDefault="00467918" w:rsidP="00467918">
      <w:r>
        <w:t>Our draft decision of $</w:t>
      </w:r>
      <w:r w:rsidR="00C1162D">
        <w:t>1044.8</w:t>
      </w:r>
      <w:r w:rsidR="00E549B0">
        <w:t xml:space="preserve"> </w:t>
      </w:r>
      <w:r>
        <w:t xml:space="preserve">million </w:t>
      </w:r>
      <w:r w:rsidR="00B6216B">
        <w:t>($</w:t>
      </w:r>
      <w:r w:rsidR="00E549B0">
        <w:t> nominal</w:t>
      </w:r>
      <w:r w:rsidR="00B6216B">
        <w:t xml:space="preserve">) </w:t>
      </w:r>
      <w:r>
        <w:t>allows</w:t>
      </w:r>
      <w:r w:rsidRPr="00671A03">
        <w:t xml:space="preserve"> </w:t>
      </w:r>
      <w:r w:rsidR="00E549B0">
        <w:t>8.</w:t>
      </w:r>
      <w:r w:rsidR="00EB0503">
        <w:t>7</w:t>
      </w:r>
      <w:r w:rsidRPr="00671A03">
        <w:t xml:space="preserve"> per cent less revenue than </w:t>
      </w:r>
      <w:r w:rsidR="008E72AE">
        <w:t>AusNet</w:t>
      </w:r>
      <w:r w:rsidRPr="00671A03">
        <w:t xml:space="preserve"> sought to recover through </w:t>
      </w:r>
      <w:r w:rsidR="00B26107">
        <w:t>the</w:t>
      </w:r>
      <w:r w:rsidR="00B26107" w:rsidRPr="00671A03">
        <w:t xml:space="preserve"> </w:t>
      </w:r>
      <w:r w:rsidR="00B26107">
        <w:t>a</w:t>
      </w:r>
      <w:r w:rsidR="001904F7">
        <w:t xml:space="preserve">ccess </w:t>
      </w:r>
      <w:r w:rsidR="00B26107">
        <w:t>a</w:t>
      </w:r>
      <w:r w:rsidR="001904F7">
        <w:t>rrangement</w:t>
      </w:r>
      <w:r w:rsidR="001904F7" w:rsidRPr="00671A03">
        <w:t xml:space="preserve"> </w:t>
      </w:r>
      <w:r w:rsidRPr="00671A03">
        <w:t>proposal</w:t>
      </w:r>
      <w:r w:rsidR="001904F7">
        <w:t xml:space="preserve"> it submitted in December 2016</w:t>
      </w:r>
      <w:r w:rsidR="001B6D64">
        <w:t>.</w:t>
      </w:r>
    </w:p>
    <w:p w:rsidR="001B6D64" w:rsidRPr="00671A03" w:rsidRDefault="00EB0503" w:rsidP="001B6D64">
      <w:r>
        <w:fldChar w:fldCharType="begin"/>
      </w:r>
      <w:r>
        <w:instrText xml:space="preserve"> REF _Ref483983136 \h </w:instrText>
      </w:r>
      <w:r>
        <w:fldChar w:fldCharType="separate"/>
      </w:r>
      <w:r w:rsidR="00EE5745">
        <w:t xml:space="preserve">Figure </w:t>
      </w:r>
      <w:r w:rsidR="00EE5745">
        <w:rPr>
          <w:noProof/>
        </w:rPr>
        <w:t>2</w:t>
      </w:r>
      <w:r w:rsidR="00EE5745">
        <w:noBreakHyphen/>
      </w:r>
      <w:r w:rsidR="00EE5745">
        <w:rPr>
          <w:noProof/>
        </w:rPr>
        <w:t>3</w:t>
      </w:r>
      <w:r>
        <w:fldChar w:fldCharType="end"/>
      </w:r>
      <w:r>
        <w:t xml:space="preserve"> </w:t>
      </w:r>
      <w:r w:rsidR="001B6D64" w:rsidRPr="00671A03">
        <w:t xml:space="preserve">compares the building block revenue </w:t>
      </w:r>
      <w:r w:rsidR="001B6D64">
        <w:t>approved in this</w:t>
      </w:r>
      <w:r w:rsidR="001B6D64" w:rsidRPr="00671A03">
        <w:t xml:space="preserve"> </w:t>
      </w:r>
      <w:r w:rsidR="001B6D64">
        <w:t>draft</w:t>
      </w:r>
      <w:r w:rsidR="001B6D64" w:rsidRPr="00671A03">
        <w:t xml:space="preserve"> decision to that proposed by </w:t>
      </w:r>
      <w:r w:rsidR="001B6D64">
        <w:t>AusNet</w:t>
      </w:r>
      <w:r w:rsidR="001B6D64" w:rsidRPr="00671A03">
        <w:t xml:space="preserve"> for the 201</w:t>
      </w:r>
      <w:r w:rsidR="001B6D64">
        <w:t>8</w:t>
      </w:r>
      <w:r w:rsidR="001B6D64" w:rsidRPr="00671A03">
        <w:t xml:space="preserve">–22 </w:t>
      </w:r>
      <w:r w:rsidR="001B6D64">
        <w:t>access arrangement</w:t>
      </w:r>
      <w:r w:rsidR="001B6D64" w:rsidRPr="00671A03">
        <w:t xml:space="preserve"> period, and to the approved amount for the 201</w:t>
      </w:r>
      <w:r w:rsidR="001B6D64">
        <w:t>3</w:t>
      </w:r>
      <w:r w:rsidR="001B6D64" w:rsidRPr="00671A03">
        <w:t xml:space="preserve">–17 period. </w:t>
      </w:r>
    </w:p>
    <w:p w:rsidR="001B6D64" w:rsidRDefault="00EB0503" w:rsidP="00EB0503">
      <w:pPr>
        <w:pStyle w:val="Caption"/>
      </w:pPr>
      <w:bookmarkStart w:id="92" w:name="_Ref483983136"/>
      <w:r>
        <w:t xml:space="preserve">Figure </w:t>
      </w:r>
      <w:fldSimple w:instr=" STYLEREF 1 \s ">
        <w:r w:rsidR="00EE5745">
          <w:rPr>
            <w:noProof/>
          </w:rPr>
          <w:t>2</w:t>
        </w:r>
      </w:fldSimple>
      <w:r w:rsidR="002B4532">
        <w:noBreakHyphen/>
      </w:r>
      <w:fldSimple w:instr=" SEQ Figure \* ARABIC \s 1 ">
        <w:r w:rsidR="00EE5745">
          <w:rPr>
            <w:noProof/>
          </w:rPr>
          <w:t>3</w:t>
        </w:r>
      </w:fldSimple>
      <w:bookmarkEnd w:id="92"/>
      <w:r>
        <w:tab/>
      </w:r>
      <w:r w:rsidR="001B6D64" w:rsidRPr="00671A03">
        <w:t xml:space="preserve">AER's </w:t>
      </w:r>
      <w:r w:rsidR="001B6D64">
        <w:t>draft</w:t>
      </w:r>
      <w:r w:rsidR="001B6D64" w:rsidRPr="00671A03">
        <w:t xml:space="preserve"> decision on components of total revenue ($million, </w:t>
      </w:r>
      <w:r w:rsidR="001B6D64">
        <w:t>20</w:t>
      </w:r>
      <w:r w:rsidR="001B6D64" w:rsidRPr="00671A03">
        <w:t>17)</w:t>
      </w:r>
    </w:p>
    <w:p w:rsidR="009B3D14" w:rsidRPr="009B3D14" w:rsidRDefault="009B3D14" w:rsidP="004B43D1">
      <w:r w:rsidRPr="0087710A">
        <w:rPr>
          <w:noProof/>
          <w:lang w:eastAsia="en-AU"/>
        </w:rPr>
        <w:drawing>
          <wp:inline distT="0" distB="0" distL="0" distR="0" wp14:anchorId="20453DD9" wp14:editId="1B626E7F">
            <wp:extent cx="5382895" cy="3261141"/>
            <wp:effectExtent l="0" t="0" r="8255" b="0"/>
            <wp:docPr id="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261141"/>
                    </a:xfrm>
                    <a:prstGeom prst="rect">
                      <a:avLst/>
                    </a:prstGeom>
                    <a:noFill/>
                    <a:extLst/>
                  </pic:spPr>
                </pic:pic>
              </a:graphicData>
            </a:graphic>
          </wp:inline>
        </w:drawing>
      </w:r>
    </w:p>
    <w:p w:rsidR="001B6D64" w:rsidRPr="001B6D64" w:rsidRDefault="001B6D64" w:rsidP="001B6D64">
      <w:pPr>
        <w:pStyle w:val="AERtablesource"/>
      </w:pPr>
      <w:r w:rsidRPr="00671A03">
        <w:t>Source:</w:t>
      </w:r>
      <w:r w:rsidRPr="00671A03">
        <w:tab/>
        <w:t>AER analysis.</w:t>
      </w:r>
    </w:p>
    <w:p w:rsidR="00467918" w:rsidRDefault="001B6D64" w:rsidP="00467918">
      <w:r>
        <w:t>The key differences between our draft decision and AusNet's proposal are that:</w:t>
      </w:r>
    </w:p>
    <w:p w:rsidR="00467918" w:rsidRDefault="001B6D64" w:rsidP="00467918">
      <w:pPr>
        <w:pStyle w:val="AERbulletlistfirststyle"/>
      </w:pPr>
      <w:proofErr w:type="gramStart"/>
      <w:r>
        <w:t>o</w:t>
      </w:r>
      <w:r w:rsidR="00B22EF7">
        <w:t>ur</w:t>
      </w:r>
      <w:proofErr w:type="gramEnd"/>
      <w:r w:rsidR="00B22EF7">
        <w:t xml:space="preserve"> draft decision applies a value of imputation credits (gamma) of 0.4, compared to AusNet</w:t>
      </w:r>
      <w:r w:rsidR="00913D4A">
        <w:t>'</w:t>
      </w:r>
      <w:r w:rsidR="00B22EF7">
        <w:t>s proposed 0.25, and therefore a lower corporate income tax allowance.</w:t>
      </w:r>
    </w:p>
    <w:p w:rsidR="00467918" w:rsidRDefault="001B6D64" w:rsidP="00467918">
      <w:pPr>
        <w:pStyle w:val="AERbulletlistfirststyle"/>
      </w:pPr>
      <w:proofErr w:type="gramStart"/>
      <w:r>
        <w:t>w</w:t>
      </w:r>
      <w:r w:rsidR="00B22EF7">
        <w:t>e</w:t>
      </w:r>
      <w:proofErr w:type="gramEnd"/>
      <w:r w:rsidR="00B22EF7">
        <w:t xml:space="preserve"> have reduced AusNet's proposed opex forecast by </w:t>
      </w:r>
      <w:r w:rsidR="00153A04">
        <w:t>11.</w:t>
      </w:r>
      <w:r w:rsidR="006956E0">
        <w:t>9</w:t>
      </w:r>
      <w:r w:rsidR="00FA0211">
        <w:t xml:space="preserve"> per cent</w:t>
      </w:r>
      <w:r w:rsidR="004B43D1">
        <w:t xml:space="preserve"> ($2017)</w:t>
      </w:r>
      <w:r w:rsidR="00B22EF7">
        <w:t>, in large part because we have not accepted its proposal to increase opex to allow for expenditure on marketing.</w:t>
      </w:r>
      <w:r w:rsidR="000F2900">
        <w:t xml:space="preserve"> We consider marketing is a 'business-as-usual' expense for AusNet to prioritise within its existing base opex forecast, if it is prudent and efficient to do so in the current operating environment. </w:t>
      </w:r>
    </w:p>
    <w:p w:rsidR="00467918" w:rsidRDefault="001B6D64" w:rsidP="00467918">
      <w:pPr>
        <w:pStyle w:val="AERbulletlistfirststyle"/>
      </w:pPr>
      <w:proofErr w:type="gramStart"/>
      <w:r>
        <w:t>w</w:t>
      </w:r>
      <w:r w:rsidR="00B22EF7">
        <w:t>e</w:t>
      </w:r>
      <w:proofErr w:type="gramEnd"/>
      <w:r w:rsidR="00B22EF7">
        <w:t xml:space="preserve"> have reduced AusNet's forecast capex by </w:t>
      </w:r>
      <w:r w:rsidR="00FA0211">
        <w:t>5.7 per cent</w:t>
      </w:r>
      <w:r w:rsidR="004B43D1">
        <w:t xml:space="preserve"> ($2017)</w:t>
      </w:r>
      <w:r w:rsidR="00B22EF7">
        <w:t xml:space="preserve">, as a result of our adjustments to its proposed expenditure on mains and meter replacement. Our decision </w:t>
      </w:r>
      <w:r w:rsidR="000F2900">
        <w:t>not to accept</w:t>
      </w:r>
      <w:r w:rsidR="00B22EF7">
        <w:t xml:space="preserve"> AusNet's proposed marketing step change has also had consequential impacts on its demand forecasts, and therefore its forecast capex for new connections.</w:t>
      </w:r>
    </w:p>
    <w:p w:rsidR="00FA0211" w:rsidRPr="00FA0211" w:rsidRDefault="001B6D64" w:rsidP="00FA0211">
      <w:pPr>
        <w:pStyle w:val="AERbulletlistfirststyle"/>
      </w:pPr>
      <w:proofErr w:type="gramStart"/>
      <w:r>
        <w:t>o</w:t>
      </w:r>
      <w:r w:rsidR="00FA0211" w:rsidRPr="00FA0211">
        <w:t>ur</w:t>
      </w:r>
      <w:proofErr w:type="gramEnd"/>
      <w:r w:rsidR="00FA0211" w:rsidRPr="00FA0211">
        <w:t xml:space="preserve"> draft decisions on forecast inflation and capex have reduced the allowance for regulatory depreciation</w:t>
      </w:r>
      <w:r w:rsidR="00FA0211">
        <w:t xml:space="preserve"> by </w:t>
      </w:r>
      <w:r w:rsidR="004B43D1">
        <w:t>26.5</w:t>
      </w:r>
      <w:r w:rsidR="00FA0211">
        <w:t xml:space="preserve"> per cent</w:t>
      </w:r>
      <w:r w:rsidR="004B43D1">
        <w:t xml:space="preserve"> ($2017)</w:t>
      </w:r>
      <w:r w:rsidR="00FA0211" w:rsidRPr="00FA0211">
        <w:t>.</w:t>
      </w:r>
    </w:p>
    <w:p w:rsidR="00FA0211" w:rsidRDefault="00B22EF7" w:rsidP="00FA0211">
      <w:r>
        <w:t xml:space="preserve">Offsetting this </w:t>
      </w:r>
      <w:r w:rsidR="00FA0211">
        <w:t>are</w:t>
      </w:r>
      <w:r>
        <w:t xml:space="preserve"> slight increase</w:t>
      </w:r>
      <w:r w:rsidR="00FA0211">
        <w:t>s</w:t>
      </w:r>
      <w:r>
        <w:t xml:space="preserve"> in</w:t>
      </w:r>
      <w:r w:rsidR="00FA0211">
        <w:t>:</w:t>
      </w:r>
    </w:p>
    <w:p w:rsidR="00B22EF7" w:rsidRDefault="00B22EF7" w:rsidP="005B5FD8">
      <w:pPr>
        <w:pStyle w:val="AERbulletlistfirststyle"/>
      </w:pPr>
      <w:proofErr w:type="gramStart"/>
      <w:r>
        <w:t>the</w:t>
      </w:r>
      <w:proofErr w:type="gramEnd"/>
      <w:r>
        <w:t xml:space="preserve"> </w:t>
      </w:r>
      <w:r w:rsidR="004B43D1">
        <w:t xml:space="preserve">nominal </w:t>
      </w:r>
      <w:r>
        <w:t>rate of return, from 5.6 in AusNet's proposal to 5.9 in this draft decision. The rate of return will be updated again in our final decision to reflect more recent data.</w:t>
      </w:r>
    </w:p>
    <w:p w:rsidR="00FA0211" w:rsidRDefault="00913D4A" w:rsidP="005B5FD8">
      <w:pPr>
        <w:pStyle w:val="AERbulletlistfirststyle"/>
      </w:pPr>
      <w:proofErr w:type="gramStart"/>
      <w:r>
        <w:t>a</w:t>
      </w:r>
      <w:proofErr w:type="gramEnd"/>
      <w:r w:rsidR="00FA0211">
        <w:t xml:space="preserve"> </w:t>
      </w:r>
      <w:r w:rsidR="007C2175">
        <w:t>2.5</w:t>
      </w:r>
      <w:r w:rsidR="00FA0211">
        <w:t xml:space="preserve"> per cent </w:t>
      </w:r>
      <w:r w:rsidR="004B43D1">
        <w:t xml:space="preserve">(nominal) </w:t>
      </w:r>
      <w:r w:rsidR="00FA0211">
        <w:t xml:space="preserve">increase to AusNet's projected closing capital base, primarily driven by a higher expected inflation rate. This more than offsets our draft decision reduction to forecast capex. </w:t>
      </w:r>
    </w:p>
    <w:p w:rsidR="00467918" w:rsidRDefault="008E72AE" w:rsidP="00467918">
      <w:r>
        <w:t>AusNet</w:t>
      </w:r>
      <w:r w:rsidR="00467918">
        <w:t xml:space="preserve"> will have the opportunity to address these differences in its revised proposal. </w:t>
      </w:r>
    </w:p>
    <w:p w:rsidR="00442EA6" w:rsidRPr="00442EA6" w:rsidRDefault="00FF34F5" w:rsidP="00442EA6">
      <w:pPr>
        <w:pStyle w:val="Heading2"/>
      </w:pPr>
      <w:bookmarkStart w:id="93" w:name="_Toc487017908"/>
      <w:r>
        <w:t>I</w:t>
      </w:r>
      <w:r w:rsidR="00442EA6" w:rsidRPr="00442EA6">
        <w:t xml:space="preserve">mpact </w:t>
      </w:r>
      <w:r w:rsidR="00BC175A">
        <w:t>of our draft decision</w:t>
      </w:r>
      <w:r>
        <w:t xml:space="preserve"> on gas bills</w:t>
      </w:r>
      <w:bookmarkEnd w:id="93"/>
    </w:p>
    <w:p w:rsidR="00E549B0" w:rsidRDefault="00E549B0" w:rsidP="00E549B0">
      <w:r w:rsidRPr="007D76B6">
        <w:t xml:space="preserve">The annual </w:t>
      </w:r>
      <w:r>
        <w:t>gas</w:t>
      </w:r>
      <w:r w:rsidRPr="007D76B6">
        <w:t xml:space="preserve"> bill for customers in Victoria reflect</w:t>
      </w:r>
      <w:r w:rsidR="00BC5055">
        <w:t>s</w:t>
      </w:r>
      <w:r w:rsidRPr="007D76B6">
        <w:t xml:space="preserve"> the combined cost of all the </w:t>
      </w:r>
      <w:r>
        <w:t xml:space="preserve">gas supply chain components. </w:t>
      </w:r>
      <w:r w:rsidR="00CD183B">
        <w:t xml:space="preserve">Changes in gas bills over time </w:t>
      </w:r>
      <w:r w:rsidR="00CD183B" w:rsidRPr="009D01A8">
        <w:t xml:space="preserve">reflect movements in one or more of the components in the bill. </w:t>
      </w:r>
      <w:r>
        <w:t>The main</w:t>
      </w:r>
      <w:r w:rsidRPr="007D76B6">
        <w:t xml:space="preserve"> components are:</w:t>
      </w:r>
    </w:p>
    <w:p w:rsidR="00E549B0" w:rsidRPr="009D01A8" w:rsidRDefault="00E549B0" w:rsidP="00E549B0">
      <w:pPr>
        <w:pStyle w:val="AERbulletlistfirststyle"/>
      </w:pPr>
      <w:r w:rsidRPr="009D01A8">
        <w:t xml:space="preserve">the cost of purchasing </w:t>
      </w:r>
      <w:r>
        <w:t>gas</w:t>
      </w:r>
      <w:r w:rsidRPr="009D01A8">
        <w:t xml:space="preserve"> (the wholesale energy cost)</w:t>
      </w:r>
    </w:p>
    <w:p w:rsidR="00E549B0" w:rsidRPr="009D01A8" w:rsidRDefault="00E549B0" w:rsidP="00E549B0">
      <w:pPr>
        <w:pStyle w:val="AERbulletlistfirststyle"/>
      </w:pPr>
      <w:r w:rsidRPr="009D01A8">
        <w:t xml:space="preserve">the cost of the </w:t>
      </w:r>
      <w:r>
        <w:t>pipelines</w:t>
      </w:r>
      <w:r w:rsidRPr="009D01A8">
        <w:t xml:space="preserve"> used to transport the </w:t>
      </w:r>
      <w:r>
        <w:t>gas</w:t>
      </w:r>
      <w:r w:rsidRPr="009D01A8">
        <w:t xml:space="preserve"> (the transmission and distribution networks), and other infrastructure such as metering cost;</w:t>
      </w:r>
    </w:p>
    <w:p w:rsidR="00E549B0" w:rsidRDefault="00E549B0" w:rsidP="00F04988">
      <w:pPr>
        <w:pStyle w:val="AERbulletlistfirststyle"/>
      </w:pPr>
      <w:proofErr w:type="gramStart"/>
      <w:r w:rsidRPr="009D01A8">
        <w:t>the</w:t>
      </w:r>
      <w:proofErr w:type="gramEnd"/>
      <w:r w:rsidRPr="009D01A8">
        <w:t xml:space="preserve"> retailer’s costs and profit margin.</w:t>
      </w:r>
    </w:p>
    <w:p w:rsidR="00E549B0" w:rsidRDefault="00E549B0" w:rsidP="00E549B0">
      <w:r w:rsidRPr="009D01A8">
        <w:t xml:space="preserve">Our </w:t>
      </w:r>
      <w:r>
        <w:t>draft</w:t>
      </w:r>
      <w:r w:rsidRPr="009D01A8">
        <w:t xml:space="preserve"> decision on </w:t>
      </w:r>
      <w:r>
        <w:t>AusNet</w:t>
      </w:r>
      <w:r w:rsidRPr="009D01A8">
        <w:t xml:space="preserve"> affects the component of the bill </w:t>
      </w:r>
      <w:r>
        <w:t xml:space="preserve">related to distribution pipelines. For customers on AusNet's network, distribution charges account for </w:t>
      </w:r>
      <w:r w:rsidRPr="009D01A8">
        <w:t xml:space="preserve">approximately </w:t>
      </w:r>
      <w:r w:rsidR="00255CAF">
        <w:t>24</w:t>
      </w:r>
      <w:r w:rsidR="00255CAF" w:rsidRPr="009D01A8">
        <w:t xml:space="preserve"> </w:t>
      </w:r>
      <w:r w:rsidRPr="009D01A8">
        <w:t xml:space="preserve">per cent of an average </w:t>
      </w:r>
      <w:r w:rsidR="00255CAF">
        <w:t xml:space="preserve">residential </w:t>
      </w:r>
      <w:r w:rsidRPr="009D01A8">
        <w:t xml:space="preserve">customer's annual </w:t>
      </w:r>
      <w:r>
        <w:t xml:space="preserve">gas </w:t>
      </w:r>
      <w:r w:rsidRPr="009D01A8">
        <w:t>bill</w:t>
      </w:r>
      <w:r w:rsidR="00255CAF">
        <w:t xml:space="preserve"> </w:t>
      </w:r>
      <w:r w:rsidR="00255CAF" w:rsidRPr="00255CAF">
        <w:t xml:space="preserve">and approximately </w:t>
      </w:r>
      <w:r w:rsidR="00255CAF">
        <w:t>16</w:t>
      </w:r>
      <w:r w:rsidR="00255CAF" w:rsidRPr="00255CAF">
        <w:t xml:space="preserve"> per cent of an average small business customer's annual gas bill</w:t>
      </w:r>
      <w:r w:rsidRPr="009D01A8">
        <w:t>.</w:t>
      </w:r>
      <w:r w:rsidR="00255CAF">
        <w:rPr>
          <w:rStyle w:val="FootnoteReference"/>
        </w:rPr>
        <w:footnoteReference w:id="6"/>
      </w:r>
      <w:r w:rsidRPr="009D01A8">
        <w:t xml:space="preserve"> </w:t>
      </w:r>
    </w:p>
    <w:p w:rsidR="004B2D82" w:rsidRDefault="00E549B0" w:rsidP="00E549B0">
      <w:r w:rsidRPr="009D01A8">
        <w:t xml:space="preserve">We estimate the expected bill impact by varying the </w:t>
      </w:r>
      <w:r>
        <w:t>distribution</w:t>
      </w:r>
      <w:r w:rsidRPr="009D01A8">
        <w:t xml:space="preserve"> charges in accordance with our </w:t>
      </w:r>
      <w:r>
        <w:t>draft</w:t>
      </w:r>
      <w:r w:rsidRPr="009D01A8">
        <w:t xml:space="preserve"> decision, while holding other components of the bill constant. </w:t>
      </w:r>
      <w:r w:rsidR="00A778F0">
        <w:t xml:space="preserve">Our estimates are </w:t>
      </w:r>
      <w:r w:rsidR="00A778F0" w:rsidRPr="00C207B5">
        <w:t>in nominal terms</w:t>
      </w:r>
      <w:r w:rsidR="00A778F0">
        <w:t xml:space="preserve"> (taking into account expected future inflation</w:t>
      </w:r>
      <w:r w:rsidR="00A778F0" w:rsidRPr="0000371A">
        <w:t xml:space="preserve"> </w:t>
      </w:r>
      <w:r w:rsidR="00A778F0" w:rsidRPr="00C207B5">
        <w:t>to determine what the nominal price levels will be in future periods</w:t>
      </w:r>
      <w:r w:rsidR="00A778F0">
        <w:t>)</w:t>
      </w:r>
      <w:r w:rsidR="00A778F0" w:rsidRPr="00C207B5">
        <w:t xml:space="preserve"> because it will be nominal amounts that consumers will be paying.</w:t>
      </w:r>
      <w:r w:rsidR="00A778F0">
        <w:t xml:space="preserve"> </w:t>
      </w:r>
      <w:r w:rsidRPr="009D01A8">
        <w:t xml:space="preserve">Based on this approach, we expect that our </w:t>
      </w:r>
      <w:r>
        <w:t>draft</w:t>
      </w:r>
      <w:r w:rsidRPr="009D01A8">
        <w:t xml:space="preserve"> decision will result in the </w:t>
      </w:r>
      <w:r>
        <w:t>distribution</w:t>
      </w:r>
      <w:r w:rsidRPr="009D01A8">
        <w:t xml:space="preserve"> component of the average annual residential </w:t>
      </w:r>
      <w:r>
        <w:t>gas</w:t>
      </w:r>
      <w:r w:rsidRPr="009D01A8">
        <w:t xml:space="preserve"> bill </w:t>
      </w:r>
      <w:r>
        <w:t xml:space="preserve">for AusNet customers </w:t>
      </w:r>
      <w:r w:rsidR="00AD31AB">
        <w:t>declining</w:t>
      </w:r>
      <w:r>
        <w:t xml:space="preserve"> over the 2018–22 access arrangement</w:t>
      </w:r>
      <w:r w:rsidR="00647820">
        <w:t xml:space="preserve"> period</w:t>
      </w:r>
      <w:r w:rsidRPr="009D01A8">
        <w:t>.</w:t>
      </w:r>
      <w:r>
        <w:t xml:space="preserve"> </w:t>
      </w:r>
      <w:r w:rsidRPr="00A755CA">
        <w:t xml:space="preserve">The </w:t>
      </w:r>
      <w:r>
        <w:t>distribution</w:t>
      </w:r>
      <w:r w:rsidRPr="00A755CA">
        <w:t xml:space="preserve"> component of the average annual residential </w:t>
      </w:r>
      <w:r>
        <w:t>gas</w:t>
      </w:r>
      <w:r w:rsidRPr="00A755CA">
        <w:t xml:space="preserve"> bill in </w:t>
      </w:r>
      <w:r w:rsidR="00B26107">
        <w:t>2018 is expected to be about $2</w:t>
      </w:r>
      <w:r w:rsidR="006335BB">
        <w:t>3</w:t>
      </w:r>
      <w:r w:rsidR="00B26107">
        <w:t xml:space="preserve"> below the current, 2017 level. By the end of the </w:t>
      </w:r>
      <w:r w:rsidRPr="00A755CA">
        <w:t>20</w:t>
      </w:r>
      <w:r w:rsidR="00B26107">
        <w:t>18–</w:t>
      </w:r>
      <w:r w:rsidRPr="00A755CA">
        <w:t>22</w:t>
      </w:r>
      <w:r w:rsidR="00B26107">
        <w:t xml:space="preserve"> access arrangement </w:t>
      </w:r>
      <w:proofErr w:type="gramStart"/>
      <w:r w:rsidR="00B26107">
        <w:t>period</w:t>
      </w:r>
      <w:proofErr w:type="gramEnd"/>
      <w:r w:rsidR="00B26107">
        <w:t>, the distribution component of the average annual bill will still be about $</w:t>
      </w:r>
      <w:r w:rsidR="00A92988">
        <w:t>5</w:t>
      </w:r>
      <w:r w:rsidR="00B26107">
        <w:t xml:space="preserve"> below current levels. </w:t>
      </w:r>
      <w:r w:rsidR="0031388F" w:rsidRPr="004C2D3E">
        <w:t xml:space="preserve">Similarly, </w:t>
      </w:r>
      <w:r w:rsidR="0031388F">
        <w:t xml:space="preserve">the </w:t>
      </w:r>
      <w:r w:rsidR="00A8169B">
        <w:t xml:space="preserve">distribution component of the </w:t>
      </w:r>
      <w:r w:rsidR="0031388F" w:rsidRPr="004C2D3E">
        <w:t xml:space="preserve">average </w:t>
      </w:r>
      <w:r w:rsidR="0031388F">
        <w:t xml:space="preserve">annual </w:t>
      </w:r>
      <w:r w:rsidR="0031388F" w:rsidRPr="004C2D3E">
        <w:t xml:space="preserve">small business </w:t>
      </w:r>
      <w:r w:rsidR="0031388F">
        <w:t xml:space="preserve">gas bill in </w:t>
      </w:r>
      <w:r w:rsidR="00B26107">
        <w:t>2018 is expected to be around $3</w:t>
      </w:r>
      <w:r w:rsidR="001C577D">
        <w:t>7</w:t>
      </w:r>
      <w:r w:rsidR="00B26107">
        <w:t xml:space="preserve"> lower than in </w:t>
      </w:r>
      <w:proofErr w:type="gramStart"/>
      <w:r w:rsidR="00B26107">
        <w:t>2017,</w:t>
      </w:r>
      <w:proofErr w:type="gramEnd"/>
      <w:r w:rsidR="00B26107">
        <w:t xml:space="preserve"> and about </w:t>
      </w:r>
      <w:r w:rsidR="0031388F">
        <w:t>$</w:t>
      </w:r>
      <w:r w:rsidR="00A8169B">
        <w:t>8</w:t>
      </w:r>
      <w:r w:rsidR="0031388F">
        <w:t xml:space="preserve"> </w:t>
      </w:r>
      <w:r w:rsidR="00A92988">
        <w:t xml:space="preserve">below </w:t>
      </w:r>
      <w:r w:rsidR="0031388F">
        <w:t>the current 2017 level</w:t>
      </w:r>
      <w:r w:rsidR="00B26107">
        <w:t xml:space="preserve"> by 2022</w:t>
      </w:r>
      <w:r w:rsidRPr="00A755CA">
        <w:t xml:space="preserve">. </w:t>
      </w:r>
    </w:p>
    <w:p w:rsidR="00F07661" w:rsidRPr="00F07661" w:rsidRDefault="00CE2A59" w:rsidP="00F07661">
      <w:r>
        <w:fldChar w:fldCharType="begin"/>
      </w:r>
      <w:r>
        <w:instrText xml:space="preserve"> REF _Ref484081740 \h </w:instrText>
      </w:r>
      <w:r>
        <w:fldChar w:fldCharType="separate"/>
      </w:r>
      <w:r w:rsidR="00EE5745">
        <w:t xml:space="preserve">Table </w:t>
      </w:r>
      <w:r w:rsidR="00EE5745">
        <w:rPr>
          <w:noProof/>
        </w:rPr>
        <w:t>2</w:t>
      </w:r>
      <w:r w:rsidR="00EE5745">
        <w:noBreakHyphen/>
      </w:r>
      <w:r w:rsidR="00EE5745">
        <w:rPr>
          <w:noProof/>
        </w:rPr>
        <w:t>1</w:t>
      </w:r>
      <w:r>
        <w:fldChar w:fldCharType="end"/>
      </w:r>
      <w:r>
        <w:t xml:space="preserve"> </w:t>
      </w:r>
      <w:r w:rsidR="004B2D82" w:rsidRPr="00252817">
        <w:t xml:space="preserve">shows our estimated impact of this </w:t>
      </w:r>
      <w:r w:rsidR="004B2D82">
        <w:t>draft</w:t>
      </w:r>
      <w:r w:rsidR="004B2D82" w:rsidRPr="00252817">
        <w:t xml:space="preserve"> decision over the 201</w:t>
      </w:r>
      <w:r w:rsidR="004B2D82">
        <w:t>8</w:t>
      </w:r>
      <w:r w:rsidR="004B2D82" w:rsidRPr="00252817">
        <w:t xml:space="preserve">–22 </w:t>
      </w:r>
      <w:r w:rsidR="00647820">
        <w:t>access arrangement</w:t>
      </w:r>
      <w:r w:rsidR="004B2D82" w:rsidRPr="00252817">
        <w:t xml:space="preserve"> period compared with </w:t>
      </w:r>
      <w:r w:rsidR="004B2D82">
        <w:t xml:space="preserve">AusNet's </w:t>
      </w:r>
      <w:r w:rsidR="004B2D82" w:rsidRPr="00252817">
        <w:t xml:space="preserve">proposal on the average annual </w:t>
      </w:r>
      <w:r w:rsidR="004B2D82">
        <w:t>gas</w:t>
      </w:r>
      <w:r w:rsidR="004B2D82" w:rsidRPr="00252817">
        <w:t xml:space="preserve"> bills for residential and small business customers </w:t>
      </w:r>
      <w:r w:rsidR="004B2D82">
        <w:t>on AusNet's distribution network</w:t>
      </w:r>
      <w:r w:rsidR="004B2D82" w:rsidRPr="00252817">
        <w:t>.</w:t>
      </w:r>
      <w:r w:rsidR="00F07661">
        <w:t xml:space="preserve"> </w:t>
      </w:r>
      <w:r w:rsidR="00F07661" w:rsidRPr="00F07661">
        <w:t>These estimates are indicative only, and individual customers’ actual bills will also depend on their usage patterns and the structure of their chosen retail tariff offering.</w:t>
      </w:r>
    </w:p>
    <w:p w:rsidR="004B2D82" w:rsidRDefault="004B2D82" w:rsidP="004933A3">
      <w:pPr>
        <w:pStyle w:val="Caption"/>
      </w:pPr>
      <w:bookmarkStart w:id="94" w:name="_Ref484081740"/>
      <w:r>
        <w:t xml:space="preserve">Table </w:t>
      </w:r>
      <w:fldSimple w:instr=" STYLEREF 1 \s ">
        <w:r w:rsidR="00EE5745">
          <w:rPr>
            <w:noProof/>
          </w:rPr>
          <w:t>2</w:t>
        </w:r>
      </w:fldSimple>
      <w:r w:rsidR="00391B74">
        <w:noBreakHyphen/>
      </w:r>
      <w:fldSimple w:instr=" SEQ Table \* ARABIC \s 1 ">
        <w:r w:rsidR="00EE5745">
          <w:rPr>
            <w:noProof/>
          </w:rPr>
          <w:t>1</w:t>
        </w:r>
      </w:fldSimple>
      <w:bookmarkEnd w:id="94"/>
      <w:r>
        <w:tab/>
      </w:r>
      <w:r w:rsidRPr="00415FE8">
        <w:t xml:space="preserve">AER's estimated impact of our draft decision and </w:t>
      </w:r>
      <w:r>
        <w:t>AusNet</w:t>
      </w:r>
      <w:r w:rsidRPr="00415FE8">
        <w:t xml:space="preserve">'s proposal on the average annual gas bills for the 2018–22 </w:t>
      </w:r>
      <w:r w:rsidR="00DA76DE">
        <w:t>access arrangement</w:t>
      </w:r>
      <w:r w:rsidRPr="00415FE8">
        <w:t xml:space="preserve"> period ($ nominal)</w:t>
      </w:r>
    </w:p>
    <w:tbl>
      <w:tblPr>
        <w:tblStyle w:val="AERtable-numbers"/>
        <w:tblW w:w="5000" w:type="pct"/>
        <w:tblLayout w:type="fixed"/>
        <w:tblLook w:val="04A0" w:firstRow="1" w:lastRow="0" w:firstColumn="1" w:lastColumn="0" w:noHBand="0" w:noVBand="1"/>
      </w:tblPr>
      <w:tblGrid>
        <w:gridCol w:w="1901"/>
        <w:gridCol w:w="1043"/>
        <w:gridCol w:w="1048"/>
        <w:gridCol w:w="1201"/>
        <w:gridCol w:w="1132"/>
        <w:gridCol w:w="1132"/>
        <w:gridCol w:w="1236"/>
      </w:tblGrid>
      <w:tr w:rsidR="004B2D82" w:rsidRPr="00252817" w:rsidTr="004B43D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93" w:type="pct"/>
            <w:noWrap/>
            <w:hideMark/>
          </w:tcPr>
          <w:p w:rsidR="004B2D82" w:rsidRPr="004B2D82" w:rsidRDefault="004B2D82" w:rsidP="004933A3">
            <w:pPr>
              <w:keepNext/>
            </w:pPr>
            <w:r w:rsidRPr="00252817">
              <w:t> </w:t>
            </w:r>
          </w:p>
        </w:tc>
        <w:tc>
          <w:tcPr>
            <w:tcW w:w="600" w:type="pct"/>
            <w:noWrap/>
            <w:hideMark/>
          </w:tcPr>
          <w:p w:rsidR="004B2D82" w:rsidRPr="004B2D82" w:rsidRDefault="004B2D82" w:rsidP="004933A3">
            <w:pPr>
              <w:keepNext/>
              <w:cnfStyle w:val="100000000000" w:firstRow="1" w:lastRow="0" w:firstColumn="0" w:lastColumn="0" w:oddVBand="0" w:evenVBand="0" w:oddHBand="0" w:evenHBand="0" w:firstRowFirstColumn="0" w:firstRowLastColumn="0" w:lastRowFirstColumn="0" w:lastRowLastColumn="0"/>
            </w:pPr>
            <w:r w:rsidRPr="00252817">
              <w:t>2017</w:t>
            </w:r>
          </w:p>
        </w:tc>
        <w:tc>
          <w:tcPr>
            <w:tcW w:w="603" w:type="pct"/>
            <w:noWrap/>
            <w:hideMark/>
          </w:tcPr>
          <w:p w:rsidR="004B2D82" w:rsidRPr="004B2D82" w:rsidRDefault="004B2D82" w:rsidP="004933A3">
            <w:pPr>
              <w:keepNext/>
              <w:cnfStyle w:val="100000000000" w:firstRow="1" w:lastRow="0" w:firstColumn="0" w:lastColumn="0" w:oddVBand="0" w:evenVBand="0" w:oddHBand="0" w:evenHBand="0" w:firstRowFirstColumn="0" w:firstRowLastColumn="0" w:lastRowFirstColumn="0" w:lastRowLastColumn="0"/>
            </w:pPr>
            <w:r w:rsidRPr="00252817">
              <w:t>2018</w:t>
            </w:r>
          </w:p>
        </w:tc>
        <w:tc>
          <w:tcPr>
            <w:tcW w:w="691" w:type="pct"/>
            <w:noWrap/>
            <w:hideMark/>
          </w:tcPr>
          <w:p w:rsidR="004B2D82" w:rsidRPr="004B2D82" w:rsidRDefault="004B2D82" w:rsidP="004933A3">
            <w:pPr>
              <w:keepNext/>
              <w:cnfStyle w:val="100000000000" w:firstRow="1" w:lastRow="0" w:firstColumn="0" w:lastColumn="0" w:oddVBand="0" w:evenVBand="0" w:oddHBand="0" w:evenHBand="0" w:firstRowFirstColumn="0" w:firstRowLastColumn="0" w:lastRowFirstColumn="0" w:lastRowLastColumn="0"/>
            </w:pPr>
            <w:r w:rsidRPr="00252817">
              <w:t>2019</w:t>
            </w:r>
          </w:p>
        </w:tc>
        <w:tc>
          <w:tcPr>
            <w:tcW w:w="651" w:type="pct"/>
            <w:noWrap/>
            <w:hideMark/>
          </w:tcPr>
          <w:p w:rsidR="004B2D82" w:rsidRPr="004B2D82" w:rsidRDefault="004B2D82" w:rsidP="004933A3">
            <w:pPr>
              <w:keepNext/>
              <w:cnfStyle w:val="100000000000" w:firstRow="1" w:lastRow="0" w:firstColumn="0" w:lastColumn="0" w:oddVBand="0" w:evenVBand="0" w:oddHBand="0" w:evenHBand="0" w:firstRowFirstColumn="0" w:firstRowLastColumn="0" w:lastRowFirstColumn="0" w:lastRowLastColumn="0"/>
            </w:pPr>
            <w:r w:rsidRPr="00252817">
              <w:t>2020</w:t>
            </w:r>
          </w:p>
        </w:tc>
        <w:tc>
          <w:tcPr>
            <w:tcW w:w="651" w:type="pct"/>
            <w:noWrap/>
            <w:hideMark/>
          </w:tcPr>
          <w:p w:rsidR="004B2D82" w:rsidRPr="004B2D82" w:rsidRDefault="004B2D82" w:rsidP="004933A3">
            <w:pPr>
              <w:keepNext/>
              <w:cnfStyle w:val="100000000000" w:firstRow="1" w:lastRow="0" w:firstColumn="0" w:lastColumn="0" w:oddVBand="0" w:evenVBand="0" w:oddHBand="0" w:evenHBand="0" w:firstRowFirstColumn="0" w:firstRowLastColumn="0" w:lastRowFirstColumn="0" w:lastRowLastColumn="0"/>
            </w:pPr>
            <w:r w:rsidRPr="00252817">
              <w:t>2021</w:t>
            </w:r>
          </w:p>
        </w:tc>
        <w:tc>
          <w:tcPr>
            <w:tcW w:w="711" w:type="pct"/>
            <w:noWrap/>
            <w:hideMark/>
          </w:tcPr>
          <w:p w:rsidR="004B2D82" w:rsidRPr="004B2D82" w:rsidRDefault="004B2D82" w:rsidP="004933A3">
            <w:pPr>
              <w:keepNext/>
              <w:cnfStyle w:val="100000000000" w:firstRow="1" w:lastRow="0" w:firstColumn="0" w:lastColumn="0" w:oddVBand="0" w:evenVBand="0" w:oddHBand="0" w:evenHBand="0" w:firstRowFirstColumn="0" w:firstRowLastColumn="0" w:lastRowFirstColumn="0" w:lastRowLastColumn="0"/>
            </w:pPr>
            <w:r w:rsidRPr="00252817">
              <w:t>2022</w:t>
            </w:r>
          </w:p>
        </w:tc>
      </w:tr>
      <w:tr w:rsidR="004B2D82" w:rsidRPr="00252817" w:rsidTr="004B43D1">
        <w:trPr>
          <w:trHeight w:val="285"/>
        </w:trPr>
        <w:tc>
          <w:tcPr>
            <w:cnfStyle w:val="001000000000" w:firstRow="0" w:lastRow="0" w:firstColumn="1" w:lastColumn="0" w:oddVBand="0" w:evenVBand="0" w:oddHBand="0" w:evenHBand="0" w:firstRowFirstColumn="0" w:firstRowLastColumn="0" w:lastRowFirstColumn="0" w:lastRowLastColumn="0"/>
            <w:tcW w:w="1093" w:type="pct"/>
            <w:noWrap/>
            <w:hideMark/>
          </w:tcPr>
          <w:p w:rsidR="004B2D82" w:rsidRPr="004B2D82" w:rsidRDefault="004B2D82" w:rsidP="004933A3">
            <w:pPr>
              <w:keepNext/>
              <w:rPr>
                <w:rStyle w:val="Strong"/>
              </w:rPr>
            </w:pPr>
            <w:r w:rsidRPr="00252817">
              <w:rPr>
                <w:rStyle w:val="Strong"/>
              </w:rPr>
              <w:t>AER draft decision</w:t>
            </w:r>
          </w:p>
        </w:tc>
        <w:tc>
          <w:tcPr>
            <w:tcW w:w="600" w:type="pct"/>
            <w:noWrap/>
            <w:hideMark/>
          </w:tcPr>
          <w:p w:rsidR="004B2D82" w:rsidRPr="004B2D82" w:rsidRDefault="004B2D82" w:rsidP="004933A3">
            <w:pPr>
              <w:keepNext/>
              <w:cnfStyle w:val="000000000000" w:firstRow="0" w:lastRow="0" w:firstColumn="0" w:lastColumn="0" w:oddVBand="0" w:evenVBand="0" w:oddHBand="0" w:evenHBand="0" w:firstRowFirstColumn="0" w:firstRowLastColumn="0" w:lastRowFirstColumn="0" w:lastRowLastColumn="0"/>
              <w:rPr>
                <w:rStyle w:val="Strong"/>
              </w:rPr>
            </w:pPr>
            <w:r w:rsidRPr="00252817">
              <w:rPr>
                <w:rStyle w:val="Strong"/>
              </w:rPr>
              <w:t> </w:t>
            </w:r>
          </w:p>
        </w:tc>
        <w:tc>
          <w:tcPr>
            <w:tcW w:w="603" w:type="pct"/>
            <w:noWrap/>
            <w:hideMark/>
          </w:tcPr>
          <w:p w:rsidR="004B2D82" w:rsidRPr="004B2D82" w:rsidRDefault="004B2D82" w:rsidP="004933A3">
            <w:pPr>
              <w:keepNext/>
              <w:cnfStyle w:val="000000000000" w:firstRow="0" w:lastRow="0" w:firstColumn="0" w:lastColumn="0" w:oddVBand="0" w:evenVBand="0" w:oddHBand="0" w:evenHBand="0" w:firstRowFirstColumn="0" w:firstRowLastColumn="0" w:lastRowFirstColumn="0" w:lastRowLastColumn="0"/>
              <w:rPr>
                <w:rStyle w:val="Strong"/>
              </w:rPr>
            </w:pPr>
            <w:r w:rsidRPr="00252817">
              <w:rPr>
                <w:rStyle w:val="Strong"/>
              </w:rPr>
              <w:t> </w:t>
            </w:r>
          </w:p>
        </w:tc>
        <w:tc>
          <w:tcPr>
            <w:tcW w:w="691" w:type="pct"/>
            <w:noWrap/>
            <w:hideMark/>
          </w:tcPr>
          <w:p w:rsidR="004B2D82" w:rsidRPr="004B2D82" w:rsidRDefault="004B2D82" w:rsidP="004933A3">
            <w:pPr>
              <w:keepNext/>
              <w:cnfStyle w:val="000000000000" w:firstRow="0" w:lastRow="0" w:firstColumn="0" w:lastColumn="0" w:oddVBand="0" w:evenVBand="0" w:oddHBand="0" w:evenHBand="0" w:firstRowFirstColumn="0" w:firstRowLastColumn="0" w:lastRowFirstColumn="0" w:lastRowLastColumn="0"/>
              <w:rPr>
                <w:rStyle w:val="Strong"/>
              </w:rPr>
            </w:pPr>
            <w:r w:rsidRPr="00252817">
              <w:rPr>
                <w:rStyle w:val="Strong"/>
              </w:rPr>
              <w:t> </w:t>
            </w:r>
          </w:p>
        </w:tc>
        <w:tc>
          <w:tcPr>
            <w:tcW w:w="651" w:type="pct"/>
            <w:noWrap/>
            <w:hideMark/>
          </w:tcPr>
          <w:p w:rsidR="004B2D82" w:rsidRPr="004B2D82" w:rsidRDefault="004B2D82" w:rsidP="004933A3">
            <w:pPr>
              <w:keepNext/>
              <w:cnfStyle w:val="000000000000" w:firstRow="0" w:lastRow="0" w:firstColumn="0" w:lastColumn="0" w:oddVBand="0" w:evenVBand="0" w:oddHBand="0" w:evenHBand="0" w:firstRowFirstColumn="0" w:firstRowLastColumn="0" w:lastRowFirstColumn="0" w:lastRowLastColumn="0"/>
              <w:rPr>
                <w:rStyle w:val="Strong"/>
              </w:rPr>
            </w:pPr>
            <w:r w:rsidRPr="00252817">
              <w:rPr>
                <w:rStyle w:val="Strong"/>
              </w:rPr>
              <w:t> </w:t>
            </w:r>
          </w:p>
        </w:tc>
        <w:tc>
          <w:tcPr>
            <w:tcW w:w="651" w:type="pct"/>
            <w:noWrap/>
            <w:hideMark/>
          </w:tcPr>
          <w:p w:rsidR="004B2D82" w:rsidRPr="004B2D82" w:rsidRDefault="004B2D82" w:rsidP="004933A3">
            <w:pPr>
              <w:keepNext/>
              <w:cnfStyle w:val="000000000000" w:firstRow="0" w:lastRow="0" w:firstColumn="0" w:lastColumn="0" w:oddVBand="0" w:evenVBand="0" w:oddHBand="0" w:evenHBand="0" w:firstRowFirstColumn="0" w:firstRowLastColumn="0" w:lastRowFirstColumn="0" w:lastRowLastColumn="0"/>
              <w:rPr>
                <w:rStyle w:val="Strong"/>
              </w:rPr>
            </w:pPr>
            <w:r w:rsidRPr="00252817">
              <w:rPr>
                <w:rStyle w:val="Strong"/>
              </w:rPr>
              <w:t> </w:t>
            </w:r>
          </w:p>
        </w:tc>
        <w:tc>
          <w:tcPr>
            <w:tcW w:w="711" w:type="pct"/>
            <w:noWrap/>
            <w:hideMark/>
          </w:tcPr>
          <w:p w:rsidR="004B2D82" w:rsidRPr="004B2D82" w:rsidRDefault="004B2D82" w:rsidP="004933A3">
            <w:pPr>
              <w:keepNext/>
              <w:cnfStyle w:val="000000000000" w:firstRow="0" w:lastRow="0" w:firstColumn="0" w:lastColumn="0" w:oddVBand="0" w:evenVBand="0" w:oddHBand="0" w:evenHBand="0" w:firstRowFirstColumn="0" w:firstRowLastColumn="0" w:lastRowFirstColumn="0" w:lastRowLastColumn="0"/>
              <w:rPr>
                <w:rStyle w:val="Strong"/>
              </w:rPr>
            </w:pPr>
            <w:r w:rsidRPr="00252817">
              <w:rPr>
                <w:rStyle w:val="Strong"/>
              </w:rPr>
              <w:t> </w:t>
            </w:r>
          </w:p>
        </w:tc>
      </w:tr>
      <w:tr w:rsidR="00255CAF" w:rsidRPr="00252817" w:rsidTr="004B43D1">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93" w:type="pct"/>
            <w:noWrap/>
            <w:hideMark/>
          </w:tcPr>
          <w:p w:rsidR="00255CAF" w:rsidRPr="00255CAF" w:rsidRDefault="00255CAF" w:rsidP="004933A3">
            <w:pPr>
              <w:keepNext/>
            </w:pPr>
            <w:r w:rsidRPr="00255CAF">
              <w:t>Residential annual gas bill</w:t>
            </w:r>
          </w:p>
        </w:tc>
        <w:tc>
          <w:tcPr>
            <w:tcW w:w="600" w:type="pct"/>
            <w:noWrap/>
            <w:vAlign w:val="bottom"/>
          </w:tcPr>
          <w:p w:rsidR="00255CAF" w:rsidRPr="00255CAF" w:rsidRDefault="00255CAF" w:rsidP="004933A3">
            <w:pPr>
              <w:keepNext/>
              <w:cnfStyle w:val="000000010000" w:firstRow="0" w:lastRow="0" w:firstColumn="0" w:lastColumn="0" w:oddVBand="0" w:evenVBand="0" w:oddHBand="0" w:evenHBand="1" w:firstRowFirstColumn="0" w:firstRowLastColumn="0" w:lastRowFirstColumn="0" w:lastRowLastColumn="0"/>
            </w:pPr>
            <w:r w:rsidRPr="00255CAF">
              <w:t>1258</w:t>
            </w:r>
            <w:r w:rsidRPr="00255CAF">
              <w:rPr>
                <w:rStyle w:val="AERsuperscript"/>
              </w:rPr>
              <w:t>a</w:t>
            </w:r>
          </w:p>
        </w:tc>
        <w:tc>
          <w:tcPr>
            <w:tcW w:w="603" w:type="pct"/>
            <w:noWrap/>
            <w:vAlign w:val="bottom"/>
          </w:tcPr>
          <w:p w:rsidR="00255CAF" w:rsidRPr="00255CAF" w:rsidRDefault="00255CAF" w:rsidP="004933A3">
            <w:pPr>
              <w:keepNext/>
              <w:cnfStyle w:val="000000010000" w:firstRow="0" w:lastRow="0" w:firstColumn="0" w:lastColumn="0" w:oddVBand="0" w:evenVBand="0" w:oddHBand="0" w:evenHBand="1" w:firstRowFirstColumn="0" w:firstRowLastColumn="0" w:lastRowFirstColumn="0" w:lastRowLastColumn="0"/>
            </w:pPr>
            <w:r w:rsidRPr="00255CAF">
              <w:t>1235</w:t>
            </w:r>
          </w:p>
        </w:tc>
        <w:tc>
          <w:tcPr>
            <w:tcW w:w="691" w:type="pct"/>
            <w:noWrap/>
            <w:vAlign w:val="bottom"/>
          </w:tcPr>
          <w:p w:rsidR="00255CAF" w:rsidRPr="00255CAF" w:rsidRDefault="00255CAF" w:rsidP="004933A3">
            <w:pPr>
              <w:keepNext/>
              <w:cnfStyle w:val="000000010000" w:firstRow="0" w:lastRow="0" w:firstColumn="0" w:lastColumn="0" w:oddVBand="0" w:evenVBand="0" w:oddHBand="0" w:evenHBand="1" w:firstRowFirstColumn="0" w:firstRowLastColumn="0" w:lastRowFirstColumn="0" w:lastRowLastColumn="0"/>
            </w:pPr>
            <w:r w:rsidRPr="00255CAF">
              <w:t>1239</w:t>
            </w:r>
          </w:p>
        </w:tc>
        <w:tc>
          <w:tcPr>
            <w:tcW w:w="651" w:type="pct"/>
            <w:noWrap/>
            <w:vAlign w:val="bottom"/>
          </w:tcPr>
          <w:p w:rsidR="00255CAF" w:rsidRPr="00255CAF" w:rsidRDefault="00255CAF" w:rsidP="004933A3">
            <w:pPr>
              <w:keepNext/>
              <w:cnfStyle w:val="000000010000" w:firstRow="0" w:lastRow="0" w:firstColumn="0" w:lastColumn="0" w:oddVBand="0" w:evenVBand="0" w:oddHBand="0" w:evenHBand="1" w:firstRowFirstColumn="0" w:firstRowLastColumn="0" w:lastRowFirstColumn="0" w:lastRowLastColumn="0"/>
            </w:pPr>
            <w:r w:rsidRPr="00255CAF">
              <w:t>1244</w:t>
            </w:r>
          </w:p>
        </w:tc>
        <w:tc>
          <w:tcPr>
            <w:tcW w:w="651" w:type="pct"/>
            <w:noWrap/>
            <w:vAlign w:val="bottom"/>
          </w:tcPr>
          <w:p w:rsidR="00255CAF" w:rsidRPr="00255CAF" w:rsidRDefault="00255CAF" w:rsidP="004933A3">
            <w:pPr>
              <w:keepNext/>
              <w:cnfStyle w:val="000000010000" w:firstRow="0" w:lastRow="0" w:firstColumn="0" w:lastColumn="0" w:oddVBand="0" w:evenVBand="0" w:oddHBand="0" w:evenHBand="1" w:firstRowFirstColumn="0" w:firstRowLastColumn="0" w:lastRowFirstColumn="0" w:lastRowLastColumn="0"/>
            </w:pPr>
            <w:r w:rsidRPr="00255CAF">
              <w:t>1248</w:t>
            </w:r>
          </w:p>
        </w:tc>
        <w:tc>
          <w:tcPr>
            <w:tcW w:w="711" w:type="pct"/>
            <w:noWrap/>
            <w:vAlign w:val="bottom"/>
          </w:tcPr>
          <w:p w:rsidR="00255CAF" w:rsidRPr="00255CAF" w:rsidRDefault="00255CAF" w:rsidP="004933A3">
            <w:pPr>
              <w:keepNext/>
              <w:cnfStyle w:val="000000010000" w:firstRow="0" w:lastRow="0" w:firstColumn="0" w:lastColumn="0" w:oddVBand="0" w:evenVBand="0" w:oddHBand="0" w:evenHBand="1" w:firstRowFirstColumn="0" w:firstRowLastColumn="0" w:lastRowFirstColumn="0" w:lastRowLastColumn="0"/>
            </w:pPr>
            <w:r w:rsidRPr="00255CAF">
              <w:t>1253</w:t>
            </w:r>
          </w:p>
        </w:tc>
      </w:tr>
      <w:tr w:rsidR="00255CAF" w:rsidRPr="00252817" w:rsidTr="004B43D1">
        <w:trPr>
          <w:trHeight w:val="285"/>
        </w:trPr>
        <w:tc>
          <w:tcPr>
            <w:cnfStyle w:val="001000000000" w:firstRow="0" w:lastRow="0" w:firstColumn="1" w:lastColumn="0" w:oddVBand="0" w:evenVBand="0" w:oddHBand="0" w:evenHBand="0" w:firstRowFirstColumn="0" w:firstRowLastColumn="0" w:lastRowFirstColumn="0" w:lastRowLastColumn="0"/>
            <w:tcW w:w="1093" w:type="pct"/>
            <w:noWrap/>
            <w:hideMark/>
          </w:tcPr>
          <w:p w:rsidR="00255CAF" w:rsidRPr="00255CAF" w:rsidRDefault="00255CAF" w:rsidP="004933A3">
            <w:pPr>
              <w:keepNext/>
            </w:pPr>
            <w:r w:rsidRPr="00255CAF">
              <w:t xml:space="preserve">Annual </w:t>
            </w:r>
            <w:proofErr w:type="spellStart"/>
            <w:r w:rsidRPr="00255CAF">
              <w:t>change</w:t>
            </w:r>
            <w:r w:rsidRPr="00255CAF">
              <w:rPr>
                <w:rStyle w:val="AERsuperscript"/>
              </w:rPr>
              <w:t>c</w:t>
            </w:r>
            <w:proofErr w:type="spellEnd"/>
          </w:p>
        </w:tc>
        <w:tc>
          <w:tcPr>
            <w:tcW w:w="600" w:type="pct"/>
            <w:noWrap/>
            <w:vAlign w:val="bottom"/>
          </w:tcPr>
          <w:p w:rsidR="00255CAF" w:rsidRPr="00255CAF" w:rsidRDefault="00255CAF" w:rsidP="004933A3">
            <w:pPr>
              <w:keepNext/>
              <w:cnfStyle w:val="000000000000" w:firstRow="0" w:lastRow="0" w:firstColumn="0" w:lastColumn="0" w:oddVBand="0" w:evenVBand="0" w:oddHBand="0" w:evenHBand="0" w:firstRowFirstColumn="0" w:firstRowLastColumn="0" w:lastRowFirstColumn="0" w:lastRowLastColumn="0"/>
            </w:pPr>
            <w:r w:rsidRPr="00255CAF">
              <w:t> </w:t>
            </w:r>
          </w:p>
        </w:tc>
        <w:tc>
          <w:tcPr>
            <w:tcW w:w="603" w:type="pct"/>
            <w:noWrap/>
            <w:vAlign w:val="bottom"/>
          </w:tcPr>
          <w:p w:rsidR="00255CAF" w:rsidRPr="00255CAF" w:rsidRDefault="00255CAF" w:rsidP="004933A3">
            <w:pPr>
              <w:keepNext/>
              <w:cnfStyle w:val="000000000000" w:firstRow="0" w:lastRow="0" w:firstColumn="0" w:lastColumn="0" w:oddVBand="0" w:evenVBand="0" w:oddHBand="0" w:evenHBand="0" w:firstRowFirstColumn="0" w:firstRowLastColumn="0" w:lastRowFirstColumn="0" w:lastRowLastColumn="0"/>
            </w:pPr>
            <w:r w:rsidRPr="00255CAF">
              <w:t>–23 (–1.8%)</w:t>
            </w:r>
          </w:p>
        </w:tc>
        <w:tc>
          <w:tcPr>
            <w:tcW w:w="691" w:type="pct"/>
            <w:noWrap/>
            <w:vAlign w:val="bottom"/>
          </w:tcPr>
          <w:p w:rsidR="00255CAF" w:rsidRPr="00255CAF" w:rsidRDefault="00255CAF" w:rsidP="004933A3">
            <w:pPr>
              <w:keepNext/>
              <w:cnfStyle w:val="000000000000" w:firstRow="0" w:lastRow="0" w:firstColumn="0" w:lastColumn="0" w:oddVBand="0" w:evenVBand="0" w:oddHBand="0" w:evenHBand="0" w:firstRowFirstColumn="0" w:firstRowLastColumn="0" w:lastRowFirstColumn="0" w:lastRowLastColumn="0"/>
            </w:pPr>
            <w:r w:rsidRPr="00255CAF">
              <w:t>4 (0.3%)</w:t>
            </w:r>
          </w:p>
        </w:tc>
        <w:tc>
          <w:tcPr>
            <w:tcW w:w="651" w:type="pct"/>
            <w:noWrap/>
            <w:vAlign w:val="bottom"/>
          </w:tcPr>
          <w:p w:rsidR="00255CAF" w:rsidRPr="00255CAF" w:rsidRDefault="00255CAF" w:rsidP="004933A3">
            <w:pPr>
              <w:keepNext/>
              <w:cnfStyle w:val="000000000000" w:firstRow="0" w:lastRow="0" w:firstColumn="0" w:lastColumn="0" w:oddVBand="0" w:evenVBand="0" w:oddHBand="0" w:evenHBand="0" w:firstRowFirstColumn="0" w:firstRowLastColumn="0" w:lastRowFirstColumn="0" w:lastRowLastColumn="0"/>
            </w:pPr>
            <w:r w:rsidRPr="00255CAF">
              <w:t>5 (0.3%)</w:t>
            </w:r>
          </w:p>
        </w:tc>
        <w:tc>
          <w:tcPr>
            <w:tcW w:w="651" w:type="pct"/>
            <w:noWrap/>
            <w:vAlign w:val="bottom"/>
          </w:tcPr>
          <w:p w:rsidR="00255CAF" w:rsidRPr="00255CAF" w:rsidRDefault="00255CAF" w:rsidP="004933A3">
            <w:pPr>
              <w:keepNext/>
              <w:cnfStyle w:val="000000000000" w:firstRow="0" w:lastRow="0" w:firstColumn="0" w:lastColumn="0" w:oddVBand="0" w:evenVBand="0" w:oddHBand="0" w:evenHBand="0" w:firstRowFirstColumn="0" w:firstRowLastColumn="0" w:lastRowFirstColumn="0" w:lastRowLastColumn="0"/>
            </w:pPr>
            <w:r w:rsidRPr="00255CAF">
              <w:t>4 (0.4%)</w:t>
            </w:r>
          </w:p>
        </w:tc>
        <w:tc>
          <w:tcPr>
            <w:tcW w:w="711" w:type="pct"/>
            <w:noWrap/>
            <w:vAlign w:val="bottom"/>
          </w:tcPr>
          <w:p w:rsidR="00255CAF" w:rsidRPr="00255CAF" w:rsidRDefault="00255CAF" w:rsidP="004933A3">
            <w:pPr>
              <w:keepNext/>
              <w:cnfStyle w:val="000000000000" w:firstRow="0" w:lastRow="0" w:firstColumn="0" w:lastColumn="0" w:oddVBand="0" w:evenVBand="0" w:oddHBand="0" w:evenHBand="0" w:firstRowFirstColumn="0" w:firstRowLastColumn="0" w:lastRowFirstColumn="0" w:lastRowLastColumn="0"/>
            </w:pPr>
            <w:r w:rsidRPr="00255CAF">
              <w:t>5 (0.4%)</w:t>
            </w:r>
          </w:p>
        </w:tc>
      </w:tr>
      <w:tr w:rsidR="00255CAF" w:rsidRPr="00252817" w:rsidTr="004B43D1">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93" w:type="pct"/>
            <w:noWrap/>
            <w:hideMark/>
          </w:tcPr>
          <w:p w:rsidR="00255CAF" w:rsidRPr="00255CAF" w:rsidRDefault="00255CAF" w:rsidP="004933A3">
            <w:pPr>
              <w:keepNext/>
            </w:pPr>
            <w:r w:rsidRPr="00255CAF">
              <w:t>Small business annual gas bill</w:t>
            </w:r>
          </w:p>
        </w:tc>
        <w:tc>
          <w:tcPr>
            <w:tcW w:w="600" w:type="pct"/>
            <w:noWrap/>
            <w:vAlign w:val="bottom"/>
          </w:tcPr>
          <w:p w:rsidR="00255CAF" w:rsidRPr="00255CAF" w:rsidRDefault="00255CAF" w:rsidP="004933A3">
            <w:pPr>
              <w:keepNext/>
              <w:cnfStyle w:val="000000010000" w:firstRow="0" w:lastRow="0" w:firstColumn="0" w:lastColumn="0" w:oddVBand="0" w:evenVBand="0" w:oddHBand="0" w:evenHBand="1" w:firstRowFirstColumn="0" w:firstRowLastColumn="0" w:lastRowFirstColumn="0" w:lastRowLastColumn="0"/>
            </w:pPr>
            <w:r w:rsidRPr="00255CAF">
              <w:t>3009</w:t>
            </w:r>
            <w:r w:rsidRPr="00255CAF">
              <w:rPr>
                <w:rStyle w:val="AERsuperscript"/>
              </w:rPr>
              <w:t>b</w:t>
            </w:r>
          </w:p>
        </w:tc>
        <w:tc>
          <w:tcPr>
            <w:tcW w:w="603" w:type="pct"/>
            <w:noWrap/>
            <w:vAlign w:val="bottom"/>
          </w:tcPr>
          <w:p w:rsidR="00255CAF" w:rsidRPr="00255CAF" w:rsidRDefault="00255CAF" w:rsidP="004933A3">
            <w:pPr>
              <w:keepNext/>
              <w:cnfStyle w:val="000000010000" w:firstRow="0" w:lastRow="0" w:firstColumn="0" w:lastColumn="0" w:oddVBand="0" w:evenVBand="0" w:oddHBand="0" w:evenHBand="1" w:firstRowFirstColumn="0" w:firstRowLastColumn="0" w:lastRowFirstColumn="0" w:lastRowLastColumn="0"/>
            </w:pPr>
            <w:r w:rsidRPr="00255CAF">
              <w:t>2972</w:t>
            </w:r>
          </w:p>
        </w:tc>
        <w:tc>
          <w:tcPr>
            <w:tcW w:w="691" w:type="pct"/>
            <w:noWrap/>
            <w:vAlign w:val="bottom"/>
          </w:tcPr>
          <w:p w:rsidR="00255CAF" w:rsidRPr="00255CAF" w:rsidRDefault="00255CAF" w:rsidP="004933A3">
            <w:pPr>
              <w:keepNext/>
              <w:cnfStyle w:val="000000010000" w:firstRow="0" w:lastRow="0" w:firstColumn="0" w:lastColumn="0" w:oddVBand="0" w:evenVBand="0" w:oddHBand="0" w:evenHBand="1" w:firstRowFirstColumn="0" w:firstRowLastColumn="0" w:lastRowFirstColumn="0" w:lastRowLastColumn="0"/>
            </w:pPr>
            <w:r w:rsidRPr="00255CAF">
              <w:t>2979</w:t>
            </w:r>
          </w:p>
        </w:tc>
        <w:tc>
          <w:tcPr>
            <w:tcW w:w="651" w:type="pct"/>
            <w:noWrap/>
            <w:vAlign w:val="bottom"/>
          </w:tcPr>
          <w:p w:rsidR="00255CAF" w:rsidRPr="00255CAF" w:rsidRDefault="00255CAF" w:rsidP="004933A3">
            <w:pPr>
              <w:keepNext/>
              <w:cnfStyle w:val="000000010000" w:firstRow="0" w:lastRow="0" w:firstColumn="0" w:lastColumn="0" w:oddVBand="0" w:evenVBand="0" w:oddHBand="0" w:evenHBand="1" w:firstRowFirstColumn="0" w:firstRowLastColumn="0" w:lastRowFirstColumn="0" w:lastRowLastColumn="0"/>
            </w:pPr>
            <w:r w:rsidRPr="00255CAF">
              <w:t>2986</w:t>
            </w:r>
          </w:p>
        </w:tc>
        <w:tc>
          <w:tcPr>
            <w:tcW w:w="651" w:type="pct"/>
            <w:noWrap/>
            <w:vAlign w:val="bottom"/>
          </w:tcPr>
          <w:p w:rsidR="00255CAF" w:rsidRPr="00255CAF" w:rsidRDefault="00255CAF" w:rsidP="004933A3">
            <w:pPr>
              <w:keepNext/>
              <w:cnfStyle w:val="000000010000" w:firstRow="0" w:lastRow="0" w:firstColumn="0" w:lastColumn="0" w:oddVBand="0" w:evenVBand="0" w:oddHBand="0" w:evenHBand="1" w:firstRowFirstColumn="0" w:firstRowLastColumn="0" w:lastRowFirstColumn="0" w:lastRowLastColumn="0"/>
            </w:pPr>
            <w:r w:rsidRPr="00255CAF">
              <w:t>2993</w:t>
            </w:r>
          </w:p>
        </w:tc>
        <w:tc>
          <w:tcPr>
            <w:tcW w:w="711" w:type="pct"/>
            <w:noWrap/>
            <w:vAlign w:val="bottom"/>
          </w:tcPr>
          <w:p w:rsidR="00255CAF" w:rsidRPr="00255CAF" w:rsidRDefault="00255CAF" w:rsidP="004933A3">
            <w:pPr>
              <w:keepNext/>
              <w:cnfStyle w:val="000000010000" w:firstRow="0" w:lastRow="0" w:firstColumn="0" w:lastColumn="0" w:oddVBand="0" w:evenVBand="0" w:oddHBand="0" w:evenHBand="1" w:firstRowFirstColumn="0" w:firstRowLastColumn="0" w:lastRowFirstColumn="0" w:lastRowLastColumn="0"/>
            </w:pPr>
            <w:r w:rsidRPr="00255CAF">
              <w:t>3001</w:t>
            </w:r>
          </w:p>
        </w:tc>
      </w:tr>
      <w:tr w:rsidR="00255CAF" w:rsidRPr="00252817" w:rsidTr="004B43D1">
        <w:trPr>
          <w:trHeight w:val="285"/>
        </w:trPr>
        <w:tc>
          <w:tcPr>
            <w:cnfStyle w:val="001000000000" w:firstRow="0" w:lastRow="0" w:firstColumn="1" w:lastColumn="0" w:oddVBand="0" w:evenVBand="0" w:oddHBand="0" w:evenHBand="0" w:firstRowFirstColumn="0" w:firstRowLastColumn="0" w:lastRowFirstColumn="0" w:lastRowLastColumn="0"/>
            <w:tcW w:w="1093" w:type="pct"/>
            <w:noWrap/>
            <w:hideMark/>
          </w:tcPr>
          <w:p w:rsidR="00255CAF" w:rsidRPr="00255CAF" w:rsidRDefault="00255CAF" w:rsidP="004933A3">
            <w:pPr>
              <w:keepNext/>
            </w:pPr>
            <w:r w:rsidRPr="00255CAF">
              <w:t xml:space="preserve">Annual </w:t>
            </w:r>
            <w:proofErr w:type="spellStart"/>
            <w:r w:rsidRPr="00255CAF">
              <w:t>change</w:t>
            </w:r>
            <w:r w:rsidRPr="00255CAF">
              <w:rPr>
                <w:rStyle w:val="AERsuperscript"/>
              </w:rPr>
              <w:t>c</w:t>
            </w:r>
            <w:proofErr w:type="spellEnd"/>
          </w:p>
        </w:tc>
        <w:tc>
          <w:tcPr>
            <w:tcW w:w="600" w:type="pct"/>
            <w:noWrap/>
            <w:vAlign w:val="bottom"/>
          </w:tcPr>
          <w:p w:rsidR="00255CAF" w:rsidRPr="00255CAF" w:rsidRDefault="00255CAF" w:rsidP="004933A3">
            <w:pPr>
              <w:keepNext/>
              <w:cnfStyle w:val="000000000000" w:firstRow="0" w:lastRow="0" w:firstColumn="0" w:lastColumn="0" w:oddVBand="0" w:evenVBand="0" w:oddHBand="0" w:evenHBand="0" w:firstRowFirstColumn="0" w:firstRowLastColumn="0" w:lastRowFirstColumn="0" w:lastRowLastColumn="0"/>
            </w:pPr>
            <w:r w:rsidRPr="00255CAF">
              <w:t> </w:t>
            </w:r>
          </w:p>
        </w:tc>
        <w:tc>
          <w:tcPr>
            <w:tcW w:w="603" w:type="pct"/>
            <w:noWrap/>
            <w:vAlign w:val="bottom"/>
          </w:tcPr>
          <w:p w:rsidR="00255CAF" w:rsidRPr="00255CAF" w:rsidRDefault="00255CAF" w:rsidP="004933A3">
            <w:pPr>
              <w:keepNext/>
              <w:cnfStyle w:val="000000000000" w:firstRow="0" w:lastRow="0" w:firstColumn="0" w:lastColumn="0" w:oddVBand="0" w:evenVBand="0" w:oddHBand="0" w:evenHBand="0" w:firstRowFirstColumn="0" w:firstRowLastColumn="0" w:lastRowFirstColumn="0" w:lastRowLastColumn="0"/>
            </w:pPr>
            <w:r w:rsidRPr="00255CAF">
              <w:t>–37 (–1.2%)</w:t>
            </w:r>
          </w:p>
        </w:tc>
        <w:tc>
          <w:tcPr>
            <w:tcW w:w="691" w:type="pct"/>
            <w:noWrap/>
            <w:vAlign w:val="bottom"/>
          </w:tcPr>
          <w:p w:rsidR="00255CAF" w:rsidRPr="00255CAF" w:rsidRDefault="00255CAF" w:rsidP="004933A3">
            <w:pPr>
              <w:keepNext/>
              <w:cnfStyle w:val="000000000000" w:firstRow="0" w:lastRow="0" w:firstColumn="0" w:lastColumn="0" w:oddVBand="0" w:evenVBand="0" w:oddHBand="0" w:evenHBand="0" w:firstRowFirstColumn="0" w:firstRowLastColumn="0" w:lastRowFirstColumn="0" w:lastRowLastColumn="0"/>
            </w:pPr>
            <w:r w:rsidRPr="00255CAF">
              <w:t>7 (0.2%)</w:t>
            </w:r>
          </w:p>
        </w:tc>
        <w:tc>
          <w:tcPr>
            <w:tcW w:w="651" w:type="pct"/>
            <w:noWrap/>
            <w:vAlign w:val="bottom"/>
          </w:tcPr>
          <w:p w:rsidR="00255CAF" w:rsidRPr="00255CAF" w:rsidRDefault="00255CAF" w:rsidP="004933A3">
            <w:pPr>
              <w:keepNext/>
              <w:cnfStyle w:val="000000000000" w:firstRow="0" w:lastRow="0" w:firstColumn="0" w:lastColumn="0" w:oddVBand="0" w:evenVBand="0" w:oddHBand="0" w:evenHBand="0" w:firstRowFirstColumn="0" w:firstRowLastColumn="0" w:lastRowFirstColumn="0" w:lastRowLastColumn="0"/>
            </w:pPr>
            <w:r w:rsidRPr="00255CAF">
              <w:t>7 (0.2%)</w:t>
            </w:r>
          </w:p>
        </w:tc>
        <w:tc>
          <w:tcPr>
            <w:tcW w:w="651" w:type="pct"/>
            <w:noWrap/>
            <w:vAlign w:val="bottom"/>
          </w:tcPr>
          <w:p w:rsidR="00255CAF" w:rsidRPr="00255CAF" w:rsidRDefault="00255CAF" w:rsidP="004933A3">
            <w:pPr>
              <w:keepNext/>
              <w:cnfStyle w:val="000000000000" w:firstRow="0" w:lastRow="0" w:firstColumn="0" w:lastColumn="0" w:oddVBand="0" w:evenVBand="0" w:oddHBand="0" w:evenHBand="0" w:firstRowFirstColumn="0" w:firstRowLastColumn="0" w:lastRowFirstColumn="0" w:lastRowLastColumn="0"/>
            </w:pPr>
            <w:r w:rsidRPr="00255CAF">
              <w:t>7 (0.2%)</w:t>
            </w:r>
          </w:p>
        </w:tc>
        <w:tc>
          <w:tcPr>
            <w:tcW w:w="711" w:type="pct"/>
            <w:noWrap/>
            <w:vAlign w:val="bottom"/>
          </w:tcPr>
          <w:p w:rsidR="00255CAF" w:rsidRPr="00255CAF" w:rsidRDefault="00255CAF" w:rsidP="004933A3">
            <w:pPr>
              <w:keepNext/>
              <w:cnfStyle w:val="000000000000" w:firstRow="0" w:lastRow="0" w:firstColumn="0" w:lastColumn="0" w:oddVBand="0" w:evenVBand="0" w:oddHBand="0" w:evenHBand="0" w:firstRowFirstColumn="0" w:firstRowLastColumn="0" w:lastRowFirstColumn="0" w:lastRowLastColumn="0"/>
            </w:pPr>
            <w:r w:rsidRPr="00255CAF">
              <w:t>8 (0.2%)</w:t>
            </w:r>
          </w:p>
        </w:tc>
      </w:tr>
      <w:tr w:rsidR="00255CAF" w:rsidRPr="00252817" w:rsidTr="004B43D1">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93" w:type="pct"/>
            <w:noWrap/>
            <w:hideMark/>
          </w:tcPr>
          <w:p w:rsidR="00255CAF" w:rsidRPr="00255CAF" w:rsidRDefault="00255CAF" w:rsidP="004933A3">
            <w:pPr>
              <w:keepNext/>
              <w:rPr>
                <w:rStyle w:val="Strong"/>
              </w:rPr>
            </w:pPr>
            <w:r w:rsidRPr="00255CAF">
              <w:rPr>
                <w:rStyle w:val="Strong"/>
              </w:rPr>
              <w:t>AusNet proposal</w:t>
            </w:r>
          </w:p>
        </w:tc>
        <w:tc>
          <w:tcPr>
            <w:tcW w:w="600" w:type="pct"/>
            <w:noWrap/>
            <w:vAlign w:val="bottom"/>
          </w:tcPr>
          <w:p w:rsidR="00255CAF" w:rsidRPr="00255CAF" w:rsidRDefault="00255CAF" w:rsidP="004933A3">
            <w:pPr>
              <w:keepNext/>
              <w:cnfStyle w:val="000000010000" w:firstRow="0" w:lastRow="0" w:firstColumn="0" w:lastColumn="0" w:oddVBand="0" w:evenVBand="0" w:oddHBand="0" w:evenHBand="1" w:firstRowFirstColumn="0" w:firstRowLastColumn="0" w:lastRowFirstColumn="0" w:lastRowLastColumn="0"/>
            </w:pPr>
            <w:r w:rsidRPr="00255CAF">
              <w:t> </w:t>
            </w:r>
          </w:p>
        </w:tc>
        <w:tc>
          <w:tcPr>
            <w:tcW w:w="603" w:type="pct"/>
            <w:noWrap/>
            <w:vAlign w:val="bottom"/>
          </w:tcPr>
          <w:p w:rsidR="00255CAF" w:rsidRPr="00255CAF" w:rsidRDefault="00255CAF" w:rsidP="004933A3">
            <w:pPr>
              <w:keepNext/>
              <w:cnfStyle w:val="000000010000" w:firstRow="0" w:lastRow="0" w:firstColumn="0" w:lastColumn="0" w:oddVBand="0" w:evenVBand="0" w:oddHBand="0" w:evenHBand="1" w:firstRowFirstColumn="0" w:firstRowLastColumn="0" w:lastRowFirstColumn="0" w:lastRowLastColumn="0"/>
            </w:pPr>
            <w:r w:rsidRPr="00255CAF">
              <w:t> </w:t>
            </w:r>
          </w:p>
        </w:tc>
        <w:tc>
          <w:tcPr>
            <w:tcW w:w="691" w:type="pct"/>
            <w:noWrap/>
            <w:vAlign w:val="bottom"/>
          </w:tcPr>
          <w:p w:rsidR="00255CAF" w:rsidRPr="00255CAF" w:rsidRDefault="00255CAF" w:rsidP="004933A3">
            <w:pPr>
              <w:keepNext/>
              <w:cnfStyle w:val="000000010000" w:firstRow="0" w:lastRow="0" w:firstColumn="0" w:lastColumn="0" w:oddVBand="0" w:evenVBand="0" w:oddHBand="0" w:evenHBand="1" w:firstRowFirstColumn="0" w:firstRowLastColumn="0" w:lastRowFirstColumn="0" w:lastRowLastColumn="0"/>
            </w:pPr>
            <w:r w:rsidRPr="00255CAF">
              <w:t> </w:t>
            </w:r>
          </w:p>
        </w:tc>
        <w:tc>
          <w:tcPr>
            <w:tcW w:w="651" w:type="pct"/>
            <w:noWrap/>
            <w:vAlign w:val="bottom"/>
          </w:tcPr>
          <w:p w:rsidR="00255CAF" w:rsidRPr="00255CAF" w:rsidRDefault="00255CAF" w:rsidP="004933A3">
            <w:pPr>
              <w:keepNext/>
              <w:cnfStyle w:val="000000010000" w:firstRow="0" w:lastRow="0" w:firstColumn="0" w:lastColumn="0" w:oddVBand="0" w:evenVBand="0" w:oddHBand="0" w:evenHBand="1" w:firstRowFirstColumn="0" w:firstRowLastColumn="0" w:lastRowFirstColumn="0" w:lastRowLastColumn="0"/>
            </w:pPr>
            <w:r w:rsidRPr="00255CAF">
              <w:t> </w:t>
            </w:r>
          </w:p>
        </w:tc>
        <w:tc>
          <w:tcPr>
            <w:tcW w:w="651" w:type="pct"/>
            <w:noWrap/>
            <w:vAlign w:val="bottom"/>
          </w:tcPr>
          <w:p w:rsidR="00255CAF" w:rsidRPr="00255CAF" w:rsidRDefault="00255CAF" w:rsidP="004933A3">
            <w:pPr>
              <w:keepNext/>
              <w:cnfStyle w:val="000000010000" w:firstRow="0" w:lastRow="0" w:firstColumn="0" w:lastColumn="0" w:oddVBand="0" w:evenVBand="0" w:oddHBand="0" w:evenHBand="1" w:firstRowFirstColumn="0" w:firstRowLastColumn="0" w:lastRowFirstColumn="0" w:lastRowLastColumn="0"/>
            </w:pPr>
            <w:r w:rsidRPr="00255CAF">
              <w:t> </w:t>
            </w:r>
          </w:p>
        </w:tc>
        <w:tc>
          <w:tcPr>
            <w:tcW w:w="711" w:type="pct"/>
            <w:noWrap/>
            <w:vAlign w:val="bottom"/>
          </w:tcPr>
          <w:p w:rsidR="00255CAF" w:rsidRPr="00255CAF" w:rsidRDefault="00255CAF" w:rsidP="004933A3">
            <w:pPr>
              <w:keepNext/>
              <w:cnfStyle w:val="000000010000" w:firstRow="0" w:lastRow="0" w:firstColumn="0" w:lastColumn="0" w:oddVBand="0" w:evenVBand="0" w:oddHBand="0" w:evenHBand="1" w:firstRowFirstColumn="0" w:firstRowLastColumn="0" w:lastRowFirstColumn="0" w:lastRowLastColumn="0"/>
            </w:pPr>
            <w:r w:rsidRPr="00255CAF">
              <w:t> </w:t>
            </w:r>
          </w:p>
        </w:tc>
      </w:tr>
      <w:tr w:rsidR="001653B4" w:rsidRPr="00252817" w:rsidTr="004B43D1">
        <w:trPr>
          <w:trHeight w:val="285"/>
        </w:trPr>
        <w:tc>
          <w:tcPr>
            <w:cnfStyle w:val="001000000000" w:firstRow="0" w:lastRow="0" w:firstColumn="1" w:lastColumn="0" w:oddVBand="0" w:evenVBand="0" w:oddHBand="0" w:evenHBand="0" w:firstRowFirstColumn="0" w:firstRowLastColumn="0" w:lastRowFirstColumn="0" w:lastRowLastColumn="0"/>
            <w:tcW w:w="1093" w:type="pct"/>
            <w:noWrap/>
            <w:hideMark/>
          </w:tcPr>
          <w:p w:rsidR="001653B4" w:rsidRPr="001653B4" w:rsidRDefault="001653B4" w:rsidP="004933A3">
            <w:pPr>
              <w:keepNext/>
            </w:pPr>
            <w:r w:rsidRPr="001653B4">
              <w:t>Residential annual gas bill</w:t>
            </w:r>
          </w:p>
        </w:tc>
        <w:tc>
          <w:tcPr>
            <w:tcW w:w="600" w:type="pct"/>
            <w:noWrap/>
            <w:vAlign w:val="bottom"/>
          </w:tcPr>
          <w:p w:rsidR="001653B4" w:rsidRPr="001653B4" w:rsidRDefault="001653B4" w:rsidP="004933A3">
            <w:pPr>
              <w:keepNext/>
              <w:cnfStyle w:val="000000000000" w:firstRow="0" w:lastRow="0" w:firstColumn="0" w:lastColumn="0" w:oddVBand="0" w:evenVBand="0" w:oddHBand="0" w:evenHBand="0" w:firstRowFirstColumn="0" w:firstRowLastColumn="0" w:lastRowFirstColumn="0" w:lastRowLastColumn="0"/>
            </w:pPr>
            <w:r w:rsidRPr="001653B4">
              <w:t>1258</w:t>
            </w:r>
            <w:r w:rsidRPr="001653B4">
              <w:rPr>
                <w:rStyle w:val="AERsuperscript"/>
              </w:rPr>
              <w:t>a</w:t>
            </w:r>
          </w:p>
        </w:tc>
        <w:tc>
          <w:tcPr>
            <w:tcW w:w="603" w:type="pct"/>
            <w:noWrap/>
            <w:vAlign w:val="bottom"/>
          </w:tcPr>
          <w:p w:rsidR="001653B4" w:rsidRPr="001653B4" w:rsidRDefault="001653B4" w:rsidP="004933A3">
            <w:pPr>
              <w:keepNext/>
              <w:cnfStyle w:val="000000000000" w:firstRow="0" w:lastRow="0" w:firstColumn="0" w:lastColumn="0" w:oddVBand="0" w:evenVBand="0" w:oddHBand="0" w:evenHBand="0" w:firstRowFirstColumn="0" w:firstRowLastColumn="0" w:lastRowFirstColumn="0" w:lastRowLastColumn="0"/>
            </w:pPr>
            <w:r w:rsidRPr="001653B4">
              <w:t>1247</w:t>
            </w:r>
          </w:p>
        </w:tc>
        <w:tc>
          <w:tcPr>
            <w:tcW w:w="691" w:type="pct"/>
            <w:noWrap/>
            <w:vAlign w:val="bottom"/>
          </w:tcPr>
          <w:p w:rsidR="001653B4" w:rsidRPr="001653B4" w:rsidRDefault="001653B4" w:rsidP="004933A3">
            <w:pPr>
              <w:keepNext/>
              <w:cnfStyle w:val="000000000000" w:firstRow="0" w:lastRow="0" w:firstColumn="0" w:lastColumn="0" w:oddVBand="0" w:evenVBand="0" w:oddHBand="0" w:evenHBand="0" w:firstRowFirstColumn="0" w:firstRowLastColumn="0" w:lastRowFirstColumn="0" w:lastRowLastColumn="0"/>
            </w:pPr>
            <w:r w:rsidRPr="001653B4">
              <w:t>1258</w:t>
            </w:r>
          </w:p>
        </w:tc>
        <w:tc>
          <w:tcPr>
            <w:tcW w:w="651" w:type="pct"/>
            <w:noWrap/>
            <w:vAlign w:val="bottom"/>
          </w:tcPr>
          <w:p w:rsidR="001653B4" w:rsidRPr="001653B4" w:rsidRDefault="001653B4" w:rsidP="004933A3">
            <w:pPr>
              <w:keepNext/>
              <w:cnfStyle w:val="000000000000" w:firstRow="0" w:lastRow="0" w:firstColumn="0" w:lastColumn="0" w:oddVBand="0" w:evenVBand="0" w:oddHBand="0" w:evenHBand="0" w:firstRowFirstColumn="0" w:firstRowLastColumn="0" w:lastRowFirstColumn="0" w:lastRowLastColumn="0"/>
            </w:pPr>
            <w:r w:rsidRPr="001653B4">
              <w:t>1269</w:t>
            </w:r>
          </w:p>
        </w:tc>
        <w:tc>
          <w:tcPr>
            <w:tcW w:w="651" w:type="pct"/>
            <w:noWrap/>
            <w:vAlign w:val="bottom"/>
          </w:tcPr>
          <w:p w:rsidR="001653B4" w:rsidRPr="001653B4" w:rsidRDefault="001653B4" w:rsidP="004933A3">
            <w:pPr>
              <w:keepNext/>
              <w:cnfStyle w:val="000000000000" w:firstRow="0" w:lastRow="0" w:firstColumn="0" w:lastColumn="0" w:oddVBand="0" w:evenVBand="0" w:oddHBand="0" w:evenHBand="0" w:firstRowFirstColumn="0" w:firstRowLastColumn="0" w:lastRowFirstColumn="0" w:lastRowLastColumn="0"/>
            </w:pPr>
            <w:r w:rsidRPr="001653B4">
              <w:t>1281</w:t>
            </w:r>
          </w:p>
        </w:tc>
        <w:tc>
          <w:tcPr>
            <w:tcW w:w="711" w:type="pct"/>
            <w:noWrap/>
            <w:vAlign w:val="bottom"/>
          </w:tcPr>
          <w:p w:rsidR="001653B4" w:rsidRPr="001653B4" w:rsidRDefault="001653B4" w:rsidP="004933A3">
            <w:pPr>
              <w:keepNext/>
              <w:cnfStyle w:val="000000000000" w:firstRow="0" w:lastRow="0" w:firstColumn="0" w:lastColumn="0" w:oddVBand="0" w:evenVBand="0" w:oddHBand="0" w:evenHBand="0" w:firstRowFirstColumn="0" w:firstRowLastColumn="0" w:lastRowFirstColumn="0" w:lastRowLastColumn="0"/>
            </w:pPr>
            <w:r w:rsidRPr="001653B4">
              <w:t>1293</w:t>
            </w:r>
          </w:p>
        </w:tc>
      </w:tr>
      <w:tr w:rsidR="001653B4" w:rsidRPr="00252817" w:rsidTr="004B43D1">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93" w:type="pct"/>
            <w:noWrap/>
            <w:hideMark/>
          </w:tcPr>
          <w:p w:rsidR="001653B4" w:rsidRPr="001653B4" w:rsidRDefault="001653B4" w:rsidP="004933A3">
            <w:pPr>
              <w:keepNext/>
            </w:pPr>
            <w:r w:rsidRPr="001653B4">
              <w:t xml:space="preserve">Annual </w:t>
            </w:r>
            <w:proofErr w:type="spellStart"/>
            <w:r w:rsidRPr="001653B4">
              <w:t>change</w:t>
            </w:r>
            <w:r w:rsidRPr="001653B4">
              <w:rPr>
                <w:rStyle w:val="AERsuperscript"/>
              </w:rPr>
              <w:t>c</w:t>
            </w:r>
            <w:proofErr w:type="spellEnd"/>
          </w:p>
        </w:tc>
        <w:tc>
          <w:tcPr>
            <w:tcW w:w="600" w:type="pct"/>
            <w:noWrap/>
            <w:vAlign w:val="bottom"/>
          </w:tcPr>
          <w:p w:rsidR="001653B4" w:rsidRPr="001653B4" w:rsidRDefault="001653B4" w:rsidP="004933A3">
            <w:pPr>
              <w:keepNext/>
              <w:cnfStyle w:val="000000010000" w:firstRow="0" w:lastRow="0" w:firstColumn="0" w:lastColumn="0" w:oddVBand="0" w:evenVBand="0" w:oddHBand="0" w:evenHBand="1" w:firstRowFirstColumn="0" w:firstRowLastColumn="0" w:lastRowFirstColumn="0" w:lastRowLastColumn="0"/>
            </w:pPr>
            <w:r w:rsidRPr="001653B4">
              <w:t> </w:t>
            </w:r>
          </w:p>
        </w:tc>
        <w:tc>
          <w:tcPr>
            <w:tcW w:w="603" w:type="pct"/>
            <w:noWrap/>
            <w:vAlign w:val="bottom"/>
          </w:tcPr>
          <w:p w:rsidR="001653B4" w:rsidRPr="001653B4" w:rsidRDefault="001653B4" w:rsidP="004933A3">
            <w:pPr>
              <w:keepNext/>
              <w:cnfStyle w:val="000000010000" w:firstRow="0" w:lastRow="0" w:firstColumn="0" w:lastColumn="0" w:oddVBand="0" w:evenVBand="0" w:oddHBand="0" w:evenHBand="1" w:firstRowFirstColumn="0" w:firstRowLastColumn="0" w:lastRowFirstColumn="0" w:lastRowLastColumn="0"/>
            </w:pPr>
            <w:r w:rsidRPr="001653B4">
              <w:t>–11 (–0.8%)</w:t>
            </w:r>
          </w:p>
        </w:tc>
        <w:tc>
          <w:tcPr>
            <w:tcW w:w="691" w:type="pct"/>
            <w:noWrap/>
            <w:vAlign w:val="bottom"/>
          </w:tcPr>
          <w:p w:rsidR="001653B4" w:rsidRPr="001653B4" w:rsidRDefault="001653B4" w:rsidP="004933A3">
            <w:pPr>
              <w:keepNext/>
              <w:cnfStyle w:val="000000010000" w:firstRow="0" w:lastRow="0" w:firstColumn="0" w:lastColumn="0" w:oddVBand="0" w:evenVBand="0" w:oddHBand="0" w:evenHBand="1" w:firstRowFirstColumn="0" w:firstRowLastColumn="0" w:lastRowFirstColumn="0" w:lastRowLastColumn="0"/>
            </w:pPr>
            <w:r w:rsidRPr="001653B4">
              <w:t>11 (0.9%)</w:t>
            </w:r>
          </w:p>
        </w:tc>
        <w:tc>
          <w:tcPr>
            <w:tcW w:w="651" w:type="pct"/>
            <w:noWrap/>
            <w:vAlign w:val="bottom"/>
          </w:tcPr>
          <w:p w:rsidR="001653B4" w:rsidRPr="001653B4" w:rsidRDefault="001653B4" w:rsidP="004933A3">
            <w:pPr>
              <w:keepNext/>
              <w:cnfStyle w:val="000000010000" w:firstRow="0" w:lastRow="0" w:firstColumn="0" w:lastColumn="0" w:oddVBand="0" w:evenVBand="0" w:oddHBand="0" w:evenHBand="1" w:firstRowFirstColumn="0" w:firstRowLastColumn="0" w:lastRowFirstColumn="0" w:lastRowLastColumn="0"/>
            </w:pPr>
            <w:r w:rsidRPr="001653B4">
              <w:t>11 (0.9%)</w:t>
            </w:r>
          </w:p>
        </w:tc>
        <w:tc>
          <w:tcPr>
            <w:tcW w:w="651" w:type="pct"/>
            <w:noWrap/>
            <w:vAlign w:val="bottom"/>
          </w:tcPr>
          <w:p w:rsidR="001653B4" w:rsidRPr="001653B4" w:rsidRDefault="001653B4" w:rsidP="004933A3">
            <w:pPr>
              <w:keepNext/>
              <w:cnfStyle w:val="000000010000" w:firstRow="0" w:lastRow="0" w:firstColumn="0" w:lastColumn="0" w:oddVBand="0" w:evenVBand="0" w:oddHBand="0" w:evenHBand="1" w:firstRowFirstColumn="0" w:firstRowLastColumn="0" w:lastRowFirstColumn="0" w:lastRowLastColumn="0"/>
            </w:pPr>
            <w:r w:rsidRPr="001653B4">
              <w:t>12 (0.9%)</w:t>
            </w:r>
          </w:p>
        </w:tc>
        <w:tc>
          <w:tcPr>
            <w:tcW w:w="711" w:type="pct"/>
            <w:noWrap/>
            <w:vAlign w:val="bottom"/>
          </w:tcPr>
          <w:p w:rsidR="001653B4" w:rsidRPr="001653B4" w:rsidRDefault="001653B4" w:rsidP="004933A3">
            <w:pPr>
              <w:keepNext/>
              <w:cnfStyle w:val="000000010000" w:firstRow="0" w:lastRow="0" w:firstColumn="0" w:lastColumn="0" w:oddVBand="0" w:evenVBand="0" w:oddHBand="0" w:evenHBand="1" w:firstRowFirstColumn="0" w:firstRowLastColumn="0" w:lastRowFirstColumn="0" w:lastRowLastColumn="0"/>
            </w:pPr>
            <w:r w:rsidRPr="001653B4">
              <w:t>12 (0.9%)</w:t>
            </w:r>
          </w:p>
        </w:tc>
      </w:tr>
      <w:tr w:rsidR="001653B4" w:rsidRPr="00252817" w:rsidTr="004B43D1">
        <w:trPr>
          <w:trHeight w:val="285"/>
        </w:trPr>
        <w:tc>
          <w:tcPr>
            <w:cnfStyle w:val="001000000000" w:firstRow="0" w:lastRow="0" w:firstColumn="1" w:lastColumn="0" w:oddVBand="0" w:evenVBand="0" w:oddHBand="0" w:evenHBand="0" w:firstRowFirstColumn="0" w:firstRowLastColumn="0" w:lastRowFirstColumn="0" w:lastRowLastColumn="0"/>
            <w:tcW w:w="1093" w:type="pct"/>
            <w:noWrap/>
            <w:hideMark/>
          </w:tcPr>
          <w:p w:rsidR="001653B4" w:rsidRPr="001653B4" w:rsidRDefault="001653B4" w:rsidP="004933A3">
            <w:pPr>
              <w:keepNext/>
            </w:pPr>
            <w:r w:rsidRPr="001653B4">
              <w:t>Small business annual gas bill</w:t>
            </w:r>
          </w:p>
        </w:tc>
        <w:tc>
          <w:tcPr>
            <w:tcW w:w="600" w:type="pct"/>
            <w:noWrap/>
            <w:vAlign w:val="bottom"/>
          </w:tcPr>
          <w:p w:rsidR="001653B4" w:rsidRPr="001653B4" w:rsidRDefault="001653B4" w:rsidP="004933A3">
            <w:pPr>
              <w:keepNext/>
              <w:cnfStyle w:val="000000000000" w:firstRow="0" w:lastRow="0" w:firstColumn="0" w:lastColumn="0" w:oddVBand="0" w:evenVBand="0" w:oddHBand="0" w:evenHBand="0" w:firstRowFirstColumn="0" w:firstRowLastColumn="0" w:lastRowFirstColumn="0" w:lastRowLastColumn="0"/>
            </w:pPr>
            <w:r w:rsidRPr="001653B4">
              <w:t>3009</w:t>
            </w:r>
            <w:r w:rsidRPr="001653B4">
              <w:rPr>
                <w:rStyle w:val="AERsuperscript"/>
              </w:rPr>
              <w:t>b</w:t>
            </w:r>
          </w:p>
        </w:tc>
        <w:tc>
          <w:tcPr>
            <w:tcW w:w="603" w:type="pct"/>
            <w:noWrap/>
            <w:vAlign w:val="bottom"/>
          </w:tcPr>
          <w:p w:rsidR="001653B4" w:rsidRPr="001653B4" w:rsidRDefault="001653B4" w:rsidP="004933A3">
            <w:pPr>
              <w:keepNext/>
              <w:cnfStyle w:val="000000000000" w:firstRow="0" w:lastRow="0" w:firstColumn="0" w:lastColumn="0" w:oddVBand="0" w:evenVBand="0" w:oddHBand="0" w:evenHBand="0" w:firstRowFirstColumn="0" w:firstRowLastColumn="0" w:lastRowFirstColumn="0" w:lastRowLastColumn="0"/>
            </w:pPr>
            <w:r w:rsidRPr="001653B4">
              <w:t>2992</w:t>
            </w:r>
          </w:p>
        </w:tc>
        <w:tc>
          <w:tcPr>
            <w:tcW w:w="691" w:type="pct"/>
            <w:noWrap/>
            <w:vAlign w:val="bottom"/>
          </w:tcPr>
          <w:p w:rsidR="001653B4" w:rsidRPr="001653B4" w:rsidRDefault="001653B4" w:rsidP="004933A3">
            <w:pPr>
              <w:keepNext/>
              <w:cnfStyle w:val="000000000000" w:firstRow="0" w:lastRow="0" w:firstColumn="0" w:lastColumn="0" w:oddVBand="0" w:evenVBand="0" w:oddHBand="0" w:evenHBand="0" w:firstRowFirstColumn="0" w:firstRowLastColumn="0" w:lastRowFirstColumn="0" w:lastRowLastColumn="0"/>
            </w:pPr>
            <w:r w:rsidRPr="001653B4">
              <w:t>3010</w:t>
            </w:r>
          </w:p>
        </w:tc>
        <w:tc>
          <w:tcPr>
            <w:tcW w:w="651" w:type="pct"/>
            <w:noWrap/>
            <w:vAlign w:val="bottom"/>
          </w:tcPr>
          <w:p w:rsidR="001653B4" w:rsidRPr="001653B4" w:rsidRDefault="001653B4" w:rsidP="004933A3">
            <w:pPr>
              <w:keepNext/>
              <w:cnfStyle w:val="000000000000" w:firstRow="0" w:lastRow="0" w:firstColumn="0" w:lastColumn="0" w:oddVBand="0" w:evenVBand="0" w:oddHBand="0" w:evenHBand="0" w:firstRowFirstColumn="0" w:firstRowLastColumn="0" w:lastRowFirstColumn="0" w:lastRowLastColumn="0"/>
            </w:pPr>
            <w:r w:rsidRPr="001653B4">
              <w:t>3028</w:t>
            </w:r>
          </w:p>
        </w:tc>
        <w:tc>
          <w:tcPr>
            <w:tcW w:w="651" w:type="pct"/>
            <w:noWrap/>
            <w:vAlign w:val="bottom"/>
          </w:tcPr>
          <w:p w:rsidR="001653B4" w:rsidRPr="001653B4" w:rsidRDefault="001653B4" w:rsidP="004933A3">
            <w:pPr>
              <w:keepNext/>
              <w:cnfStyle w:val="000000000000" w:firstRow="0" w:lastRow="0" w:firstColumn="0" w:lastColumn="0" w:oddVBand="0" w:evenVBand="0" w:oddHBand="0" w:evenHBand="0" w:firstRowFirstColumn="0" w:firstRowLastColumn="0" w:lastRowFirstColumn="0" w:lastRowLastColumn="0"/>
            </w:pPr>
            <w:r w:rsidRPr="001653B4">
              <w:t>3048</w:t>
            </w:r>
          </w:p>
        </w:tc>
        <w:tc>
          <w:tcPr>
            <w:tcW w:w="711" w:type="pct"/>
            <w:noWrap/>
            <w:vAlign w:val="bottom"/>
          </w:tcPr>
          <w:p w:rsidR="001653B4" w:rsidRPr="001653B4" w:rsidRDefault="001653B4" w:rsidP="004933A3">
            <w:pPr>
              <w:keepNext/>
              <w:cnfStyle w:val="000000000000" w:firstRow="0" w:lastRow="0" w:firstColumn="0" w:lastColumn="0" w:oddVBand="0" w:evenVBand="0" w:oddHBand="0" w:evenHBand="0" w:firstRowFirstColumn="0" w:firstRowLastColumn="0" w:lastRowFirstColumn="0" w:lastRowLastColumn="0"/>
            </w:pPr>
            <w:r w:rsidRPr="001653B4">
              <w:t>3068</w:t>
            </w:r>
          </w:p>
        </w:tc>
      </w:tr>
      <w:tr w:rsidR="001653B4" w:rsidRPr="00252817" w:rsidTr="004B43D1">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93" w:type="pct"/>
            <w:noWrap/>
            <w:hideMark/>
          </w:tcPr>
          <w:p w:rsidR="001653B4" w:rsidRPr="001653B4" w:rsidRDefault="001653B4" w:rsidP="004933A3">
            <w:pPr>
              <w:keepNext/>
            </w:pPr>
            <w:r w:rsidRPr="001653B4">
              <w:t xml:space="preserve">Annual </w:t>
            </w:r>
            <w:proofErr w:type="spellStart"/>
            <w:r w:rsidRPr="001653B4">
              <w:t>change</w:t>
            </w:r>
            <w:r w:rsidRPr="001653B4">
              <w:rPr>
                <w:rStyle w:val="AERsuperscript"/>
              </w:rPr>
              <w:t>c</w:t>
            </w:r>
            <w:proofErr w:type="spellEnd"/>
          </w:p>
        </w:tc>
        <w:tc>
          <w:tcPr>
            <w:tcW w:w="600" w:type="pct"/>
            <w:noWrap/>
            <w:vAlign w:val="bottom"/>
          </w:tcPr>
          <w:p w:rsidR="001653B4" w:rsidRPr="001653B4" w:rsidRDefault="001653B4" w:rsidP="004933A3">
            <w:pPr>
              <w:keepNext/>
              <w:cnfStyle w:val="000000010000" w:firstRow="0" w:lastRow="0" w:firstColumn="0" w:lastColumn="0" w:oddVBand="0" w:evenVBand="0" w:oddHBand="0" w:evenHBand="1" w:firstRowFirstColumn="0" w:firstRowLastColumn="0" w:lastRowFirstColumn="0" w:lastRowLastColumn="0"/>
            </w:pPr>
            <w:r w:rsidRPr="001653B4">
              <w:t> </w:t>
            </w:r>
          </w:p>
        </w:tc>
        <w:tc>
          <w:tcPr>
            <w:tcW w:w="603" w:type="pct"/>
            <w:noWrap/>
            <w:vAlign w:val="bottom"/>
          </w:tcPr>
          <w:p w:rsidR="001653B4" w:rsidRPr="001653B4" w:rsidRDefault="001653B4" w:rsidP="004933A3">
            <w:pPr>
              <w:keepNext/>
              <w:cnfStyle w:val="000000010000" w:firstRow="0" w:lastRow="0" w:firstColumn="0" w:lastColumn="0" w:oddVBand="0" w:evenVBand="0" w:oddHBand="0" w:evenHBand="1" w:firstRowFirstColumn="0" w:firstRowLastColumn="0" w:lastRowFirstColumn="0" w:lastRowLastColumn="0"/>
            </w:pPr>
            <w:r w:rsidRPr="001653B4">
              <w:t>–17 (–0.6%)</w:t>
            </w:r>
          </w:p>
        </w:tc>
        <w:tc>
          <w:tcPr>
            <w:tcW w:w="691" w:type="pct"/>
            <w:noWrap/>
            <w:vAlign w:val="bottom"/>
          </w:tcPr>
          <w:p w:rsidR="001653B4" w:rsidRPr="001653B4" w:rsidRDefault="001653B4" w:rsidP="004933A3">
            <w:pPr>
              <w:keepNext/>
              <w:cnfStyle w:val="000000010000" w:firstRow="0" w:lastRow="0" w:firstColumn="0" w:lastColumn="0" w:oddVBand="0" w:evenVBand="0" w:oddHBand="0" w:evenHBand="1" w:firstRowFirstColumn="0" w:firstRowLastColumn="0" w:lastRowFirstColumn="0" w:lastRowLastColumn="0"/>
            </w:pPr>
            <w:r w:rsidRPr="001653B4">
              <w:t>18 (0.6%)</w:t>
            </w:r>
          </w:p>
        </w:tc>
        <w:tc>
          <w:tcPr>
            <w:tcW w:w="651" w:type="pct"/>
            <w:noWrap/>
            <w:vAlign w:val="bottom"/>
          </w:tcPr>
          <w:p w:rsidR="001653B4" w:rsidRPr="001653B4" w:rsidRDefault="001653B4" w:rsidP="004933A3">
            <w:pPr>
              <w:keepNext/>
              <w:cnfStyle w:val="000000010000" w:firstRow="0" w:lastRow="0" w:firstColumn="0" w:lastColumn="0" w:oddVBand="0" w:evenVBand="0" w:oddHBand="0" w:evenHBand="1" w:firstRowFirstColumn="0" w:firstRowLastColumn="0" w:lastRowFirstColumn="0" w:lastRowLastColumn="0"/>
            </w:pPr>
            <w:r w:rsidRPr="001653B4">
              <w:t>18 (0.6%)</w:t>
            </w:r>
          </w:p>
        </w:tc>
        <w:tc>
          <w:tcPr>
            <w:tcW w:w="651" w:type="pct"/>
            <w:noWrap/>
            <w:vAlign w:val="bottom"/>
          </w:tcPr>
          <w:p w:rsidR="001653B4" w:rsidRPr="001653B4" w:rsidRDefault="001653B4" w:rsidP="004933A3">
            <w:pPr>
              <w:keepNext/>
              <w:cnfStyle w:val="000000010000" w:firstRow="0" w:lastRow="0" w:firstColumn="0" w:lastColumn="0" w:oddVBand="0" w:evenVBand="0" w:oddHBand="0" w:evenHBand="1" w:firstRowFirstColumn="0" w:firstRowLastColumn="0" w:lastRowFirstColumn="0" w:lastRowLastColumn="0"/>
            </w:pPr>
            <w:r w:rsidRPr="001653B4">
              <w:t>20 (0.6%)</w:t>
            </w:r>
          </w:p>
        </w:tc>
        <w:tc>
          <w:tcPr>
            <w:tcW w:w="711" w:type="pct"/>
            <w:noWrap/>
            <w:vAlign w:val="bottom"/>
          </w:tcPr>
          <w:p w:rsidR="001653B4" w:rsidRPr="001653B4" w:rsidRDefault="001653B4" w:rsidP="004933A3">
            <w:pPr>
              <w:keepNext/>
              <w:cnfStyle w:val="000000010000" w:firstRow="0" w:lastRow="0" w:firstColumn="0" w:lastColumn="0" w:oddVBand="0" w:evenVBand="0" w:oddHBand="0" w:evenHBand="1" w:firstRowFirstColumn="0" w:firstRowLastColumn="0" w:lastRowFirstColumn="0" w:lastRowLastColumn="0"/>
            </w:pPr>
            <w:r w:rsidRPr="001653B4">
              <w:t>20 (0.7%)</w:t>
            </w:r>
          </w:p>
        </w:tc>
      </w:tr>
    </w:tbl>
    <w:p w:rsidR="004B2D82" w:rsidRPr="00A8169B" w:rsidRDefault="004B2D82" w:rsidP="004933A3">
      <w:pPr>
        <w:pStyle w:val="AERtablesource"/>
        <w:keepNext/>
      </w:pPr>
      <w:r w:rsidRPr="00A8169B">
        <w:t>Source:</w:t>
      </w:r>
      <w:r w:rsidRPr="00A8169B">
        <w:tab/>
        <w:t>AER analysis</w:t>
      </w:r>
      <w:r w:rsidR="006335BB" w:rsidRPr="006335BB">
        <w:t>, Switch On comparison tool</w:t>
      </w:r>
      <w:r w:rsidR="006335BB">
        <w:t xml:space="preserve">, </w:t>
      </w:r>
      <w:hyperlink r:id="rId19" w:history="1">
        <w:r w:rsidR="006335BB" w:rsidRPr="00E572EE">
          <w:rPr>
            <w:rStyle w:val="Hyperlink"/>
            <w:sz w:val="16"/>
          </w:rPr>
          <w:t>www.compare.switchon.vic.gov.au</w:t>
        </w:r>
      </w:hyperlink>
      <w:r>
        <w:t>.</w:t>
      </w:r>
    </w:p>
    <w:p w:rsidR="004B2D82" w:rsidRPr="00A8169B" w:rsidRDefault="004B2D82" w:rsidP="004933A3">
      <w:pPr>
        <w:pStyle w:val="AERtablesource"/>
        <w:keepNext/>
      </w:pPr>
      <w:r w:rsidRPr="00A8169B">
        <w:t>(a)</w:t>
      </w:r>
      <w:r w:rsidRPr="00A8169B">
        <w:tab/>
        <w:t xml:space="preserve">Based on </w:t>
      </w:r>
      <w:r w:rsidR="006335BB" w:rsidRPr="006335BB">
        <w:t>average standing residential offers at June 2017 on Switch On comparison tool using average annual consumption</w:t>
      </w:r>
      <w:r w:rsidRPr="00A8169B">
        <w:t xml:space="preserve"> calculated in the PTRM </w:t>
      </w:r>
      <w:r w:rsidR="006335BB" w:rsidRPr="006335BB">
        <w:t xml:space="preserve">for each of </w:t>
      </w:r>
      <w:r w:rsidR="006335BB">
        <w:t>AusNet</w:t>
      </w:r>
      <w:r w:rsidR="006335BB" w:rsidRPr="006335BB">
        <w:t xml:space="preserve">'s tariff </w:t>
      </w:r>
      <w:r w:rsidR="006335BB">
        <w:t>zones</w:t>
      </w:r>
      <w:r w:rsidR="006335BB" w:rsidRPr="006335BB">
        <w:t xml:space="preserve"> (postcodes </w:t>
      </w:r>
      <w:r w:rsidR="006335BB">
        <w:t>3011</w:t>
      </w:r>
      <w:r w:rsidR="006335BB" w:rsidRPr="006335BB">
        <w:t xml:space="preserve">, </w:t>
      </w:r>
      <w:r w:rsidR="006335BB">
        <w:t>3249</w:t>
      </w:r>
      <w:r w:rsidR="006335BB" w:rsidRPr="006335BB">
        <w:t xml:space="preserve">, </w:t>
      </w:r>
      <w:r w:rsidR="006335BB">
        <w:t>3227</w:t>
      </w:r>
      <w:r w:rsidR="006335BB" w:rsidRPr="006335BB">
        <w:t xml:space="preserve">and </w:t>
      </w:r>
      <w:r w:rsidR="006335BB">
        <w:t>3260</w:t>
      </w:r>
      <w:r w:rsidR="006335BB" w:rsidRPr="006335BB">
        <w:t>)</w:t>
      </w:r>
      <w:r w:rsidRPr="00A8169B">
        <w:t>.</w:t>
      </w:r>
    </w:p>
    <w:p w:rsidR="004B2D82" w:rsidRPr="00A8169B" w:rsidRDefault="004B2D82" w:rsidP="004933A3">
      <w:pPr>
        <w:pStyle w:val="AERtablesource"/>
        <w:keepNext/>
      </w:pPr>
      <w:r w:rsidRPr="00A8169B">
        <w:t>(</w:t>
      </w:r>
      <w:r>
        <w:t>b</w:t>
      </w:r>
      <w:r w:rsidRPr="00A8169B">
        <w:t>)</w:t>
      </w:r>
      <w:r w:rsidRPr="00A8169B">
        <w:tab/>
        <w:t xml:space="preserve">Based on </w:t>
      </w:r>
      <w:r w:rsidR="006335BB" w:rsidRPr="006335BB">
        <w:t xml:space="preserve">average standing </w:t>
      </w:r>
      <w:r w:rsidR="006335BB">
        <w:t>small business</w:t>
      </w:r>
      <w:r w:rsidR="006335BB" w:rsidRPr="006335BB">
        <w:t xml:space="preserve"> offers at June 2017 on Switch On comparison tool using average annual consumption</w:t>
      </w:r>
      <w:r w:rsidRPr="00A8169B">
        <w:t xml:space="preserve"> calculated in the PTRM </w:t>
      </w:r>
      <w:r w:rsidR="006335BB" w:rsidRPr="006335BB">
        <w:t>for each of AusNet's tariff zones (postcodes 3011, 3249, 3227and 3260)</w:t>
      </w:r>
      <w:r w:rsidRPr="00A8169B">
        <w:t>.</w:t>
      </w:r>
    </w:p>
    <w:p w:rsidR="004B2D82" w:rsidRPr="00A8169B" w:rsidRDefault="004B2D82" w:rsidP="004933A3">
      <w:pPr>
        <w:pStyle w:val="AERtablesource"/>
        <w:keepNext/>
      </w:pPr>
      <w:r w:rsidRPr="00A8169B">
        <w:t>(</w:t>
      </w:r>
      <w:r>
        <w:t>c</w:t>
      </w:r>
      <w:r w:rsidRPr="00A8169B">
        <w:t>)</w:t>
      </w:r>
      <w:r w:rsidRPr="00A8169B">
        <w:tab/>
        <w:t>Annual change amounts and percentages are indicative. They are derived by varying the distribution component of 2017 bill amounts by the nominal weighted average expected change in tariffs. Actual bill impacts will vary depending on consumption and tariff class.</w:t>
      </w:r>
    </w:p>
    <w:p w:rsidR="004B2D82" w:rsidRDefault="004B2D82" w:rsidP="00E549B0">
      <w:r w:rsidRPr="00F04988">
        <w:t xml:space="preserve">We do not expect gas distribution charges flowing from this draft decision will be a contributor to overall </w:t>
      </w:r>
      <w:r>
        <w:t xml:space="preserve">gas </w:t>
      </w:r>
      <w:r w:rsidRPr="00F04988">
        <w:t>bill changes.</w:t>
      </w:r>
    </w:p>
    <w:p w:rsidR="00467918" w:rsidRDefault="00E549B0" w:rsidP="00467918">
      <w:r w:rsidRPr="00A755CA">
        <w:t xml:space="preserve">While our approach isolates the effect of our decision on </w:t>
      </w:r>
      <w:r w:rsidRPr="00E549B0">
        <w:t xml:space="preserve">gas prices, it does not imply that other components will remain unchanged across the </w:t>
      </w:r>
      <w:r w:rsidR="00DA76DE">
        <w:t>access arrangement</w:t>
      </w:r>
      <w:r w:rsidRPr="00E549B0">
        <w:t xml:space="preserve"> period.</w:t>
      </w:r>
      <w:r w:rsidR="00AD31AB">
        <w:t xml:space="preserve"> </w:t>
      </w:r>
      <w:r w:rsidR="00442EA6" w:rsidRPr="00F04988">
        <w:t>Wholesale gas costs make-up a smaller percentage of the retail gas prices paid by energy consumers.</w:t>
      </w:r>
      <w:r w:rsidR="00415FE8">
        <w:t xml:space="preserve"> </w:t>
      </w:r>
      <w:r w:rsidR="00442EA6" w:rsidRPr="00F04988">
        <w:t xml:space="preserve">AEMO’s modelling forecasts retail prices to rise on average </w:t>
      </w:r>
      <w:r w:rsidR="00DA79BD">
        <w:t>by</w:t>
      </w:r>
      <w:r w:rsidR="00DA79BD" w:rsidRPr="00F04988">
        <w:t xml:space="preserve"> </w:t>
      </w:r>
      <w:r w:rsidR="00442EA6" w:rsidRPr="00F04988">
        <w:t>2.1</w:t>
      </w:r>
      <w:r w:rsidR="008306C5" w:rsidRPr="00F04988">
        <w:t xml:space="preserve"> per cent</w:t>
      </w:r>
      <w:r w:rsidR="00442EA6" w:rsidRPr="00F04988">
        <w:t xml:space="preserve"> per annum </w:t>
      </w:r>
      <w:r w:rsidR="00AD31AB" w:rsidRPr="00F04988">
        <w:t xml:space="preserve">(in real dollar terms) </w:t>
      </w:r>
      <w:r w:rsidR="00442EA6" w:rsidRPr="00F04988">
        <w:t xml:space="preserve">for residential </w:t>
      </w:r>
      <w:r w:rsidR="00DA79BD">
        <w:t xml:space="preserve">customers, </w:t>
      </w:r>
      <w:r w:rsidR="00442EA6" w:rsidRPr="00F04988">
        <w:t xml:space="preserve">driven </w:t>
      </w:r>
      <w:r w:rsidR="00AD31AB" w:rsidRPr="00F04988">
        <w:t xml:space="preserve">mainly </w:t>
      </w:r>
      <w:r w:rsidR="00442EA6" w:rsidRPr="00F04988">
        <w:t>by wholesale prices.</w:t>
      </w:r>
      <w:r w:rsidR="00AD31AB" w:rsidRPr="00F04988">
        <w:rPr>
          <w:rStyle w:val="FootnoteReference"/>
        </w:rPr>
        <w:footnoteReference w:id="7"/>
      </w:r>
      <w:r w:rsidR="00442EA6" w:rsidRPr="00F04988">
        <w:t xml:space="preserve"> </w:t>
      </w:r>
      <w:proofErr w:type="gramStart"/>
      <w:r w:rsidR="004B2D82">
        <w:t xml:space="preserve">Modelling by the Australian Energy Market Operator (AEMO) </w:t>
      </w:r>
      <w:r w:rsidR="004B2D82" w:rsidRPr="00F04988">
        <w:t>projects that the delivered wholesale cost of gas in Australia will increase by 48</w:t>
      </w:r>
      <w:r w:rsidR="004B2D82">
        <w:t xml:space="preserve"> per cent </w:t>
      </w:r>
      <w:r w:rsidR="004B2D82" w:rsidRPr="00F04988">
        <w:t>by 2036.</w:t>
      </w:r>
      <w:proofErr w:type="gramEnd"/>
      <w:r w:rsidR="004B2D82" w:rsidRPr="008306C5">
        <w:rPr>
          <w:rStyle w:val="FootnoteReference"/>
        </w:rPr>
        <w:footnoteReference w:id="8"/>
      </w:r>
    </w:p>
    <w:p w:rsidR="008E72AE" w:rsidRDefault="008E72AE" w:rsidP="008E72AE">
      <w:pPr>
        <w:pStyle w:val="Heading1"/>
      </w:pPr>
      <w:bookmarkStart w:id="95" w:name="_Toc483904219"/>
      <w:bookmarkStart w:id="96" w:name="_Toc483488969"/>
      <w:bookmarkStart w:id="97" w:name="_Toc483904308"/>
      <w:bookmarkStart w:id="98" w:name="_Toc483904309"/>
      <w:bookmarkStart w:id="99" w:name="_Toc483904310"/>
      <w:bookmarkStart w:id="100" w:name="_Toc483904311"/>
      <w:bookmarkStart w:id="101" w:name="_Toc481056442"/>
      <w:bookmarkStart w:id="102" w:name="_Ref481056630"/>
      <w:bookmarkStart w:id="103" w:name="_Ref483809635"/>
      <w:bookmarkStart w:id="104" w:name="_Toc487017909"/>
      <w:bookmarkEnd w:id="95"/>
      <w:bookmarkEnd w:id="96"/>
      <w:bookmarkEnd w:id="97"/>
      <w:bookmarkEnd w:id="98"/>
      <w:bookmarkEnd w:id="99"/>
      <w:bookmarkEnd w:id="100"/>
      <w:r>
        <w:t>Reference services and tariffs</w:t>
      </w:r>
      <w:bookmarkEnd w:id="101"/>
      <w:bookmarkEnd w:id="102"/>
      <w:bookmarkEnd w:id="103"/>
      <w:bookmarkEnd w:id="104"/>
    </w:p>
    <w:p w:rsidR="008E72AE" w:rsidRDefault="008E72AE" w:rsidP="008E72AE">
      <w:pPr>
        <w:pStyle w:val="Heading2"/>
      </w:pPr>
      <w:bookmarkStart w:id="105" w:name="_Toc481056443"/>
      <w:bookmarkStart w:id="106" w:name="_Toc487017910"/>
      <w:r>
        <w:t>Services covered by the access arrangement</w:t>
      </w:r>
      <w:bookmarkEnd w:id="105"/>
      <w:bookmarkEnd w:id="106"/>
    </w:p>
    <w:p w:rsidR="00DB01C8" w:rsidRDefault="00244F90" w:rsidP="00DB01C8">
      <w:r>
        <w:t xml:space="preserve">An </w:t>
      </w:r>
      <w:r w:rsidR="00DB01C8">
        <w:t xml:space="preserve">access arrangement sets out </w:t>
      </w:r>
      <w:r>
        <w:t>at least one service</w:t>
      </w:r>
      <w:r w:rsidR="00DB01C8">
        <w:t xml:space="preserve"> likely to be sought by a significant part of the market</w:t>
      </w:r>
      <w:r w:rsidR="008B7439">
        <w:t xml:space="preserve"> (reference services)</w:t>
      </w:r>
      <w:r w:rsidR="00DB01C8">
        <w:t xml:space="preserve">. For each reference service, </w:t>
      </w:r>
      <w:r w:rsidR="00BB3942">
        <w:t xml:space="preserve">including services ancillary to the reference services, </w:t>
      </w:r>
      <w:r>
        <w:t>the access arrangement</w:t>
      </w:r>
      <w:r w:rsidR="00BB3942">
        <w:t xml:space="preserve"> </w:t>
      </w:r>
      <w:r w:rsidR="00DB01C8" w:rsidRPr="00CC346E">
        <w:t>specif</w:t>
      </w:r>
      <w:r w:rsidR="00DB01C8">
        <w:t>ies</w:t>
      </w:r>
      <w:r w:rsidR="00DB01C8" w:rsidRPr="00CC346E">
        <w:t xml:space="preserve"> the </w:t>
      </w:r>
      <w:r w:rsidR="00DB01C8" w:rsidRPr="00A726D2">
        <w:t xml:space="preserve">reference tariff and the other terms and conditions on which </w:t>
      </w:r>
      <w:r w:rsidR="00BB3942">
        <w:t>these services</w:t>
      </w:r>
      <w:r w:rsidR="00DB01C8" w:rsidRPr="00A726D2">
        <w:t xml:space="preserve"> will be provided.</w:t>
      </w:r>
      <w:r w:rsidR="00DB01C8">
        <w:rPr>
          <w:rStyle w:val="FootnoteReference"/>
        </w:rPr>
        <w:footnoteReference w:id="9"/>
      </w:r>
    </w:p>
    <w:p w:rsidR="008E72AE" w:rsidRDefault="008B7439" w:rsidP="008E72AE">
      <w:r>
        <w:t xml:space="preserve">AusNet is to </w:t>
      </w:r>
      <w:r w:rsidR="00F633B6">
        <w:t xml:space="preserve">provide </w:t>
      </w:r>
      <w:r w:rsidR="00F633B6" w:rsidRPr="00807BC6">
        <w:t>access</w:t>
      </w:r>
      <w:r w:rsidR="008E72AE" w:rsidRPr="00807BC6">
        <w:t xml:space="preserve"> </w:t>
      </w:r>
      <w:r>
        <w:t xml:space="preserve">to its </w:t>
      </w:r>
      <w:r w:rsidR="008E72AE" w:rsidRPr="00807BC6">
        <w:t>reference services</w:t>
      </w:r>
      <w:r w:rsidR="008E72AE">
        <w:t xml:space="preserve">, </w:t>
      </w:r>
      <w:r>
        <w:t xml:space="preserve">but </w:t>
      </w:r>
      <w:r w:rsidR="008E72AE" w:rsidRPr="00807BC6">
        <w:t>may negotiate alternative terms and conditions at alternative prices</w:t>
      </w:r>
      <w:r w:rsidR="00BB3942">
        <w:t xml:space="preserve"> with users</w:t>
      </w:r>
      <w:r w:rsidR="00F633B6">
        <w:t>.</w:t>
      </w:r>
      <w:r>
        <w:t xml:space="preserve"> AusNet may also offer </w:t>
      </w:r>
      <w:r w:rsidR="00B572CD">
        <w:t>other non-reference services (negotiated services) which are</w:t>
      </w:r>
      <w:r w:rsidR="008E72AE">
        <w:t xml:space="preserve"> not subject to </w:t>
      </w:r>
      <w:r w:rsidR="00B572CD">
        <w:t>regulation under the access arrangement. W</w:t>
      </w:r>
      <w:r w:rsidR="008E72AE">
        <w:t xml:space="preserve">e may be called upon to determine the tariff and other conditions of access </w:t>
      </w:r>
      <w:r w:rsidR="00F633B6">
        <w:t>to services</w:t>
      </w:r>
      <w:r w:rsidR="008E72AE">
        <w:t xml:space="preserve"> if an access dispute arises.</w:t>
      </w:r>
      <w:r w:rsidR="008E72AE">
        <w:rPr>
          <w:rStyle w:val="FootnoteReference"/>
        </w:rPr>
        <w:footnoteReference w:id="10"/>
      </w:r>
      <w:r w:rsidR="008E72AE">
        <w:t xml:space="preserve">  </w:t>
      </w:r>
    </w:p>
    <w:p w:rsidR="006E4D1A" w:rsidRDefault="000E79B6" w:rsidP="008E72AE">
      <w:pPr>
        <w:rPr>
          <w:rStyle w:val="AERbody"/>
        </w:rPr>
      </w:pPr>
      <w:r>
        <w:rPr>
          <w:rStyle w:val="AERbody"/>
        </w:rPr>
        <w:t>Our draft decision approves AusNet's proposal to offer the same set of reference services and ancillary reference services in 2018–22 as it has in the current, 2013–17 period:</w:t>
      </w:r>
    </w:p>
    <w:p w:rsidR="00120134" w:rsidRDefault="00120134" w:rsidP="00120134">
      <w:pPr>
        <w:pStyle w:val="AERbulletlistfirststyle"/>
      </w:pPr>
      <w:bookmarkStart w:id="107" w:name="_Toc481056444"/>
      <w:r>
        <w:t xml:space="preserve">haulage reference services: </w:t>
      </w:r>
    </w:p>
    <w:p w:rsidR="00120134" w:rsidRPr="00F66ED1" w:rsidRDefault="00120134" w:rsidP="00120134">
      <w:pPr>
        <w:pStyle w:val="AERbulletlistsecondstyle"/>
      </w:pPr>
      <w:r>
        <w:t xml:space="preserve">allowing </w:t>
      </w:r>
      <w:r w:rsidR="00D82D4D">
        <w:t>injection of gas at transfer p</w:t>
      </w:r>
      <w:r w:rsidRPr="00F66ED1">
        <w:t>oints</w:t>
      </w:r>
    </w:p>
    <w:p w:rsidR="00120134" w:rsidRPr="00F66ED1" w:rsidRDefault="00D82D4D" w:rsidP="00120134">
      <w:pPr>
        <w:pStyle w:val="AERbulletlistsecondstyle"/>
      </w:pPr>
      <w:r>
        <w:t>conveyance of gas from transfer points to distribution supply p</w:t>
      </w:r>
      <w:r w:rsidR="00120134" w:rsidRPr="00F66ED1">
        <w:t>oints</w:t>
      </w:r>
    </w:p>
    <w:p w:rsidR="00120134" w:rsidRDefault="00120134" w:rsidP="00120134">
      <w:pPr>
        <w:pStyle w:val="AERbulletlistsecondstyle"/>
      </w:pPr>
      <w:r w:rsidRPr="00F66ED1">
        <w:t xml:space="preserve">allowing </w:t>
      </w:r>
      <w:r w:rsidR="00D82D4D">
        <w:t>withdrawal of gas at distribution supply p</w:t>
      </w:r>
      <w:r w:rsidRPr="00F66ED1">
        <w:t>oints</w:t>
      </w:r>
    </w:p>
    <w:p w:rsidR="00120134" w:rsidRDefault="00120134" w:rsidP="00120134">
      <w:pPr>
        <w:pStyle w:val="AERbulletlistfirststyle"/>
      </w:pPr>
      <w:r>
        <w:t>ancillary reference services:</w:t>
      </w:r>
    </w:p>
    <w:p w:rsidR="00120134" w:rsidRDefault="00120134" w:rsidP="00120134">
      <w:pPr>
        <w:pStyle w:val="AERbulletlistsecondstyle"/>
      </w:pPr>
      <w:r w:rsidRPr="00BF226C">
        <w:t>On-site me</w:t>
      </w:r>
      <w:r>
        <w:t>ter and gas installation test</w:t>
      </w:r>
    </w:p>
    <w:p w:rsidR="00120134" w:rsidRDefault="00120134" w:rsidP="00120134">
      <w:pPr>
        <w:pStyle w:val="AERbulletlistsecondstyle"/>
      </w:pPr>
      <w:r>
        <w:t>Disconnection service</w:t>
      </w:r>
    </w:p>
    <w:p w:rsidR="00120134" w:rsidRDefault="00120134" w:rsidP="00120134">
      <w:pPr>
        <w:pStyle w:val="AERbulletlistsecondstyle"/>
      </w:pPr>
      <w:r>
        <w:t>Reconnection service</w:t>
      </w:r>
    </w:p>
    <w:p w:rsidR="00120134" w:rsidRDefault="00120134" w:rsidP="00120134">
      <w:pPr>
        <w:pStyle w:val="AERbulletlistsecondstyle"/>
      </w:pPr>
      <w:r>
        <w:t>Special meter reading service.</w:t>
      </w:r>
    </w:p>
    <w:p w:rsidR="008E72AE" w:rsidRDefault="008E72AE" w:rsidP="00AE0462">
      <w:pPr>
        <w:pStyle w:val="Heading2"/>
        <w:keepNext/>
      </w:pPr>
      <w:bookmarkStart w:id="108" w:name="_Toc487017911"/>
      <w:r>
        <w:t>Reference tariff setting and the reference tariff variation mechanism</w:t>
      </w:r>
      <w:bookmarkEnd w:id="107"/>
      <w:bookmarkEnd w:id="108"/>
    </w:p>
    <w:p w:rsidR="008E72AE" w:rsidRDefault="008E72AE" w:rsidP="00AE0462">
      <w:pPr>
        <w:keepNext/>
      </w:pPr>
      <w:r>
        <w:t>Our draft decision on AusNet's proposed access arrangement includes decisions on the structure of its reference tariffs and the mechanism by which those tariffs will be determined from year to year (the annual reference tariff variation mechanism).</w:t>
      </w:r>
    </w:p>
    <w:p w:rsidR="00B95807" w:rsidRDefault="00B95807" w:rsidP="00B95807">
      <w:r>
        <w:t xml:space="preserve">We accept AusNet's proposal to maintain a weighted average price cap </w:t>
      </w:r>
      <w:r w:rsidR="00BB3942">
        <w:t xml:space="preserve">(WAPC) </w:t>
      </w:r>
      <w:r>
        <w:t>tariff variation mechanism for its haulage reference services</w:t>
      </w:r>
      <w:r w:rsidR="00A778F0">
        <w:t xml:space="preserve">. This means that prices will not be impacted by within-period changes in demand, and AGN will continue to have incentives to maintain (or grow) </w:t>
      </w:r>
      <w:r w:rsidR="00A778F0" w:rsidRPr="00B717EB">
        <w:t xml:space="preserve">gas consumption and thereby achieve scale efficiencies </w:t>
      </w:r>
      <w:r w:rsidR="00A778F0">
        <w:t xml:space="preserve">and </w:t>
      </w:r>
      <w:r w:rsidR="00A778F0" w:rsidRPr="00B717EB">
        <w:t>reduce unit costs</w:t>
      </w:r>
      <w:r w:rsidR="00A778F0">
        <w:t xml:space="preserve">. We also accept AusNet's proposal to </w:t>
      </w:r>
      <w:r>
        <w:t>remov</w:t>
      </w:r>
      <w:r w:rsidR="00A778F0">
        <w:t>e</w:t>
      </w:r>
      <w:r>
        <w:t xml:space="preserve"> the carbon tax mechanism that applied in the current period (which is no longer required). </w:t>
      </w:r>
      <w:r w:rsidRPr="00871375">
        <w:t>While we generally a</w:t>
      </w:r>
      <w:r>
        <w:t>pprove</w:t>
      </w:r>
      <w:r w:rsidRPr="00871375">
        <w:t xml:space="preserve"> the form of </w:t>
      </w:r>
      <w:r>
        <w:t>the mechanism, our draft decision sets out two amendments to AusNet's proposed control formulae:</w:t>
      </w:r>
    </w:p>
    <w:p w:rsidR="00B95807" w:rsidRDefault="00B95807" w:rsidP="00B95807">
      <w:pPr>
        <w:pStyle w:val="AERbulletlistfirststyle"/>
      </w:pPr>
      <w:proofErr w:type="gramStart"/>
      <w:r>
        <w:t>we</w:t>
      </w:r>
      <w:proofErr w:type="gramEnd"/>
      <w:r>
        <w:t xml:space="preserve"> have not approved AusNet’s proposal to continue with a licence fee adjustment factor in the weighted average price cap formula. Our draft decision has included AusNet's annual costs relating to licence fees in the approved operating expenditure (opex) forecast. Provision to make annual revenue adjustments for these costs is therefore not required, as they are already provided for in the AER’s draft decision total revenue requirement.</w:t>
      </w:r>
    </w:p>
    <w:p w:rsidR="00B95807" w:rsidRDefault="00B95807" w:rsidP="00B95807">
      <w:pPr>
        <w:pStyle w:val="AERbulletlistfirststyle"/>
      </w:pPr>
      <w:proofErr w:type="gramStart"/>
      <w:r>
        <w:t>we</w:t>
      </w:r>
      <w:proofErr w:type="gramEnd"/>
      <w:r>
        <w:t xml:space="preserve"> have added a mechanism to calculate the pass through adjustment factor. The</w:t>
      </w:r>
      <w:r w:rsidRPr="00871375">
        <w:t xml:space="preserve"> </w:t>
      </w:r>
      <w:r>
        <w:t>i</w:t>
      </w:r>
      <w:r w:rsidRPr="00871375">
        <w:t xml:space="preserve">nclusion of an adjustment factor to accommodate approved cost pass through </w:t>
      </w:r>
      <w:r>
        <w:t>amounts</w:t>
      </w:r>
      <w:r w:rsidRPr="00871375">
        <w:t xml:space="preserve"> enables a simple and transparent method for cost recovery and pass through of these costs to customers.</w:t>
      </w:r>
      <w:r>
        <w:t xml:space="preserve"> This amendment aligns treatment of approved cost pass through amounts between AusNet and the other Victorian gas distributors (AGN and Multinet).</w:t>
      </w:r>
    </w:p>
    <w:p w:rsidR="00CC43F0" w:rsidRPr="00120134" w:rsidRDefault="00CC43F0" w:rsidP="00120134">
      <w:r w:rsidRPr="00120134">
        <w:t>Our draft decision also updates the cost pass through events that will apply to AusNet in the 2018</w:t>
      </w:r>
      <w:r w:rsidR="00B95807">
        <w:t xml:space="preserve">–22 access arrangement </w:t>
      </w:r>
      <w:proofErr w:type="gramStart"/>
      <w:r w:rsidR="00B95807">
        <w:t>period</w:t>
      </w:r>
      <w:proofErr w:type="gramEnd"/>
      <w:r w:rsidR="00B95807">
        <w:t>. Again, t</w:t>
      </w:r>
      <w:r w:rsidRPr="00120134">
        <w:t xml:space="preserve">his </w:t>
      </w:r>
      <w:r w:rsidR="0001670D">
        <w:t>aligns the</w:t>
      </w:r>
      <w:r w:rsidRPr="00120134">
        <w:t xml:space="preserve"> treatment of common risks between AusNet and the other Victorian gas distributors</w:t>
      </w:r>
      <w:r w:rsidR="00B95807">
        <w:t>,</w:t>
      </w:r>
      <w:r w:rsidRPr="00120134">
        <w:t xml:space="preserve"> and between AusNet's gas and electricity distribution networks.</w:t>
      </w:r>
    </w:p>
    <w:p w:rsidR="008E72AE" w:rsidRDefault="008E72AE" w:rsidP="008E72AE">
      <w:pPr>
        <w:pStyle w:val="Heading2"/>
      </w:pPr>
      <w:bookmarkStart w:id="109" w:name="_Toc481056445"/>
      <w:bookmarkStart w:id="110" w:name="_Toc487017912"/>
      <w:r>
        <w:t>Forecast demand</w:t>
      </w:r>
      <w:bookmarkEnd w:id="109"/>
      <w:bookmarkEnd w:id="110"/>
    </w:p>
    <w:p w:rsidR="008E72AE" w:rsidRDefault="008E72AE" w:rsidP="008E72AE">
      <w:r>
        <w:t>Under a WAPC, d</w:t>
      </w:r>
      <w:r w:rsidRPr="009E5EE8">
        <w:t xml:space="preserve">emand is an important input into the derivation of </w:t>
      </w:r>
      <w:r>
        <w:t>AusNet</w:t>
      </w:r>
      <w:r w:rsidRPr="009E5EE8">
        <w:t xml:space="preserve">'s reference tariffs. </w:t>
      </w:r>
      <w:r w:rsidRPr="00EC38AF">
        <w:t>In simple terms, tariff</w:t>
      </w:r>
      <w:r>
        <w:t>s</w:t>
      </w:r>
      <w:r w:rsidRPr="00EC38AF">
        <w:t xml:space="preserve"> are determined by dividing cost (as reflected in forecast revenue) by total demand (GJ/day), </w:t>
      </w:r>
      <w:r>
        <w:t>so</w:t>
      </w:r>
      <w:r w:rsidRPr="00EC38AF">
        <w:t xml:space="preserve"> that an increase in forecast demand has the effect of reducing the tariff price and vice versa. </w:t>
      </w:r>
      <w:r>
        <w:t>Forecast demand</w:t>
      </w:r>
      <w:r w:rsidRPr="009E5EE8">
        <w:t xml:space="preserve"> also affects </w:t>
      </w:r>
      <w:r>
        <w:t xml:space="preserve">the forecasts of </w:t>
      </w:r>
      <w:r w:rsidRPr="009E5EE8">
        <w:t>operating and capital expenditure (new connections)</w:t>
      </w:r>
      <w:r>
        <w:t xml:space="preserve"> that form part of our decision on the total revenue requirement</w:t>
      </w:r>
      <w:r w:rsidRPr="009E5EE8">
        <w:t>.</w:t>
      </w:r>
    </w:p>
    <w:p w:rsidR="00FA0211" w:rsidRDefault="00FA0211" w:rsidP="00FA0211">
      <w:r>
        <w:t xml:space="preserve">Our draft decision accepts AusNet's proposed forecasts of </w:t>
      </w:r>
      <w:r w:rsidR="00002A45">
        <w:t xml:space="preserve">small </w:t>
      </w:r>
      <w:r>
        <w:t xml:space="preserve">commercial and industrial demand. However, as a consequence of our draft decision </w:t>
      </w:r>
      <w:r w:rsidR="000F2900">
        <w:t>not to accept</w:t>
      </w:r>
      <w:r>
        <w:t xml:space="preserve"> AusNet's proposed step </w:t>
      </w:r>
      <w:r w:rsidR="00647820">
        <w:t>change</w:t>
      </w:r>
      <w:r>
        <w:t xml:space="preserve"> in opex for marketing, we have not accepted its residential demand forecasts.</w:t>
      </w:r>
    </w:p>
    <w:p w:rsidR="00FA0211" w:rsidRDefault="00FA0211" w:rsidP="00FA0211">
      <w:r>
        <w:t xml:space="preserve">The forecasts in this draft decision </w:t>
      </w:r>
      <w:r w:rsidR="00C75DDC">
        <w:t>result in:</w:t>
      </w:r>
    </w:p>
    <w:p w:rsidR="00FA0211" w:rsidRDefault="00FA0211" w:rsidP="00FA0211">
      <w:pPr>
        <w:pStyle w:val="AERbulletlistfirststyle"/>
      </w:pPr>
      <w:proofErr w:type="gramStart"/>
      <w:r>
        <w:t>a</w:t>
      </w:r>
      <w:proofErr w:type="gramEnd"/>
      <w:r>
        <w:t xml:space="preserve"> </w:t>
      </w:r>
      <w:r w:rsidR="008D2A40">
        <w:t xml:space="preserve">slight growth </w:t>
      </w:r>
      <w:r>
        <w:t xml:space="preserve">in total residential gas demand of around </w:t>
      </w:r>
      <w:r w:rsidR="008D2A40">
        <w:t xml:space="preserve">0.34 </w:t>
      </w:r>
      <w:r>
        <w:t>per cent per year over</w:t>
      </w:r>
      <w:r w:rsidR="007A5CAB">
        <w:t xml:space="preserve"> the</w:t>
      </w:r>
      <w:r>
        <w:t xml:space="preserve"> 2018-22 access arrangement period.</w:t>
      </w:r>
      <w:r>
        <w:rPr>
          <w:rStyle w:val="FootnoteReference"/>
        </w:rPr>
        <w:footnoteReference w:id="11"/>
      </w:r>
      <w:r>
        <w:t xml:space="preserve"> This compares to </w:t>
      </w:r>
      <w:r w:rsidR="008D2A40">
        <w:t xml:space="preserve">2.4 </w:t>
      </w:r>
      <w:r>
        <w:t>per cent per year in the current period</w:t>
      </w:r>
      <w:r w:rsidR="00A4263F">
        <w:t>.</w:t>
      </w:r>
      <w:r>
        <w:rPr>
          <w:rStyle w:val="FootnoteReference"/>
        </w:rPr>
        <w:footnoteReference w:id="12"/>
      </w:r>
      <w:r>
        <w:t xml:space="preserve"> This </w:t>
      </w:r>
      <w:r w:rsidR="008D2A40">
        <w:t>reduced</w:t>
      </w:r>
      <w:r>
        <w:t xml:space="preserve"> state of growth is due to </w:t>
      </w:r>
      <w:r w:rsidR="004A0730">
        <w:t xml:space="preserve">reduced </w:t>
      </w:r>
      <w:r w:rsidR="008D2A40">
        <w:t>growth</w:t>
      </w:r>
      <w:r w:rsidR="00A4263F">
        <w:t xml:space="preserve"> </w:t>
      </w:r>
      <w:r>
        <w:t xml:space="preserve">in consumption per connection of </w:t>
      </w:r>
      <w:r w:rsidR="008D2A40">
        <w:t>0.16</w:t>
      </w:r>
      <w:r w:rsidR="00002A45">
        <w:t xml:space="preserve"> </w:t>
      </w:r>
      <w:r>
        <w:t xml:space="preserve">per cent per year being offset by net customer growth of </w:t>
      </w:r>
      <w:r w:rsidR="008D2A40">
        <w:t xml:space="preserve">2.1 </w:t>
      </w:r>
      <w:r>
        <w:t>per cent per year.</w:t>
      </w:r>
      <w:r w:rsidRPr="00B2510E">
        <w:rPr>
          <w:rStyle w:val="FootnoteReference"/>
        </w:rPr>
        <w:t xml:space="preserve"> </w:t>
      </w:r>
      <w:r>
        <w:rPr>
          <w:rStyle w:val="FootnoteReference"/>
        </w:rPr>
        <w:footnoteReference w:id="13"/>
      </w:r>
      <w:r>
        <w:t xml:space="preserve"> </w:t>
      </w:r>
    </w:p>
    <w:p w:rsidR="00FA0211" w:rsidRDefault="008D2A40" w:rsidP="00FA0211">
      <w:pPr>
        <w:pStyle w:val="AERbulletlistfirststyle"/>
      </w:pPr>
      <w:proofErr w:type="gramStart"/>
      <w:r>
        <w:t>a</w:t>
      </w:r>
      <w:proofErr w:type="gramEnd"/>
      <w:r>
        <w:t xml:space="preserve"> growth in</w:t>
      </w:r>
      <w:r w:rsidR="00FA0211">
        <w:t xml:space="preserve"> total </w:t>
      </w:r>
      <w:r w:rsidR="00C75DDC">
        <w:t xml:space="preserve">small </w:t>
      </w:r>
      <w:r w:rsidR="00FA0211">
        <w:t xml:space="preserve">commercial demand of </w:t>
      </w:r>
      <w:r>
        <w:t xml:space="preserve">1.05 </w:t>
      </w:r>
      <w:r w:rsidR="00FA0211">
        <w:t>per cent over the 2018-22 access arrangement period.</w:t>
      </w:r>
      <w:r w:rsidR="00FA0211">
        <w:rPr>
          <w:rStyle w:val="FootnoteReference"/>
        </w:rPr>
        <w:footnoteReference w:id="14"/>
      </w:r>
      <w:r w:rsidR="00FA0211">
        <w:t xml:space="preserve"> This compares to </w:t>
      </w:r>
      <w:r>
        <w:t xml:space="preserve">1.9 </w:t>
      </w:r>
      <w:r w:rsidR="00FA0211">
        <w:t xml:space="preserve">per cent per year in the current period. This </w:t>
      </w:r>
      <w:r>
        <w:t xml:space="preserve">reduced </w:t>
      </w:r>
      <w:r w:rsidR="00FA0211">
        <w:t>growth is</w:t>
      </w:r>
      <w:r>
        <w:t xml:space="preserve"> driven by a slight growth of 1 per cent per year in consumption per connection and an increase in commercial net connections by 0.9 per cent per year.</w:t>
      </w:r>
      <w:r w:rsidR="00FA0211">
        <w:rPr>
          <w:rStyle w:val="FootnoteReference"/>
        </w:rPr>
        <w:footnoteReference w:id="15"/>
      </w:r>
    </w:p>
    <w:p w:rsidR="00FA0211" w:rsidRDefault="008D2A40" w:rsidP="00FA0211">
      <w:pPr>
        <w:pStyle w:val="AERbulletlistfirststyle"/>
      </w:pPr>
      <w:proofErr w:type="gramStart"/>
      <w:r>
        <w:t>a</w:t>
      </w:r>
      <w:proofErr w:type="gramEnd"/>
      <w:r>
        <w:t xml:space="preserve"> decrease</w:t>
      </w:r>
      <w:r w:rsidR="00FA0211">
        <w:t xml:space="preserve"> in industrial demand </w:t>
      </w:r>
      <w:r w:rsidR="00273664">
        <w:t>(AusNet's Tariffs D and M)</w:t>
      </w:r>
      <w:r w:rsidR="00FA0211">
        <w:t xml:space="preserve"> of </w:t>
      </w:r>
      <w:r>
        <w:t xml:space="preserve">0.49 </w:t>
      </w:r>
      <w:r w:rsidR="00FA0211">
        <w:t>per cent over the 2018-22 access arrangement period.</w:t>
      </w:r>
      <w:r w:rsidR="00FA0211" w:rsidRPr="00C20904">
        <w:t xml:space="preserve"> </w:t>
      </w:r>
      <w:r w:rsidR="00FA0211">
        <w:t xml:space="preserve">This compares to a </w:t>
      </w:r>
      <w:r>
        <w:t xml:space="preserve">decrease </w:t>
      </w:r>
      <w:r w:rsidR="00FA0211">
        <w:t xml:space="preserve">of </w:t>
      </w:r>
      <w:r>
        <w:t>approximately 1</w:t>
      </w:r>
      <w:r w:rsidR="00FA0211">
        <w:t xml:space="preserve"> per cent per year in the current period. </w:t>
      </w:r>
    </w:p>
    <w:p w:rsidR="00FA0211" w:rsidRDefault="00FA0211" w:rsidP="008E72AE"/>
    <w:p w:rsidR="008E72AE" w:rsidRDefault="008E72AE" w:rsidP="008E72AE">
      <w:pPr>
        <w:pStyle w:val="Heading1"/>
      </w:pPr>
      <w:bookmarkStart w:id="111" w:name="_Toc481056446"/>
      <w:bookmarkStart w:id="112" w:name="_Ref481056638"/>
      <w:bookmarkStart w:id="113" w:name="_Toc487017913"/>
      <w:r>
        <w:t>Total revenue requirement</w:t>
      </w:r>
      <w:bookmarkEnd w:id="111"/>
      <w:bookmarkEnd w:id="112"/>
      <w:bookmarkEnd w:id="113"/>
    </w:p>
    <w:p w:rsidR="008E72AE" w:rsidRPr="00DD2B2D" w:rsidRDefault="008E72AE" w:rsidP="008E72AE">
      <w:pPr>
        <w:numPr>
          <w:ilvl w:val="0"/>
          <w:numId w:val="24"/>
        </w:numPr>
      </w:pPr>
      <w:r w:rsidRPr="00DD2B2D">
        <w:t xml:space="preserve">The total revenue requirement is a forecast of the efficient cost of providing gas </w:t>
      </w:r>
      <w:r w:rsidR="0001670D">
        <w:t>distribution</w:t>
      </w:r>
      <w:r w:rsidRPr="00DD2B2D">
        <w:t xml:space="preserve"> services over the access arrangement period. </w:t>
      </w:r>
      <w:r w:rsidR="00A778F0" w:rsidRPr="00C207B5">
        <w:t xml:space="preserve">We </w:t>
      </w:r>
      <w:r w:rsidR="00A778F0">
        <w:t>determine</w:t>
      </w:r>
      <w:r w:rsidR="00A778F0" w:rsidRPr="00C207B5">
        <w:t xml:space="preserve"> annual revenue</w:t>
      </w:r>
      <w:r w:rsidR="00A778F0">
        <w:t>—and the total revenue requirement—</w:t>
      </w:r>
      <w:r w:rsidR="00A778F0" w:rsidRPr="00C207B5">
        <w:t>in nominal terms because it will be in nominal amounts that consumers will be paying.</w:t>
      </w:r>
      <w:r w:rsidR="00A778F0">
        <w:t xml:space="preserve"> To do this, we</w:t>
      </w:r>
      <w:r w:rsidR="00A778F0" w:rsidRPr="00C207B5">
        <w:t xml:space="preserve"> take into account expected future inflation to determine what the nominal price levels will be in future periods. </w:t>
      </w:r>
      <w:r w:rsidR="00A778F0">
        <w:t>Our draft decision</w:t>
      </w:r>
      <w:r w:rsidR="00A778F0" w:rsidRPr="00C207B5">
        <w:t xml:space="preserve"> uses 10 year inflation expectations</w:t>
      </w:r>
      <w:r w:rsidR="00BE7898">
        <w:t xml:space="preserve"> on average</w:t>
      </w:r>
      <w:r w:rsidR="00A778F0" w:rsidRPr="00C207B5">
        <w:t xml:space="preserve"> to convert revenues to nominal values.</w:t>
      </w:r>
    </w:p>
    <w:p w:rsidR="008E72AE" w:rsidRPr="00DD2B2D" w:rsidRDefault="008E72AE" w:rsidP="008E72AE">
      <w:pPr>
        <w:numPr>
          <w:ilvl w:val="0"/>
          <w:numId w:val="24"/>
        </w:numPr>
      </w:pPr>
      <w:r w:rsidRPr="00DD2B2D">
        <w:t xml:space="preserve">Tariffs are derived from the total revenue requirement </w:t>
      </w:r>
      <w:r w:rsidRPr="00DD2B2D">
        <w:rPr>
          <w:rStyle w:val="Emphasis"/>
        </w:rPr>
        <w:t>after</w:t>
      </w:r>
      <w:r w:rsidRPr="00DD2B2D">
        <w:t xml:space="preserve"> consideration of demand for each tariff category. </w:t>
      </w:r>
      <w:r>
        <w:t>Our draft decision is that AusNet will continue to</w:t>
      </w:r>
      <w:r w:rsidRPr="00DD2B2D">
        <w:t xml:space="preserve"> operate under a weighted average price cap. This means the tariffs we determine (including the means of varying the tariffs from year to year) are the binding constraint across the 201</w:t>
      </w:r>
      <w:r>
        <w:t>8</w:t>
      </w:r>
      <w:r w:rsidRPr="00DD2B2D">
        <w:t xml:space="preserve">–22 access arrangement </w:t>
      </w:r>
      <w:proofErr w:type="gramStart"/>
      <w:r w:rsidRPr="00DD2B2D">
        <w:t>period</w:t>
      </w:r>
      <w:proofErr w:type="gramEnd"/>
      <w:r w:rsidRPr="00DD2B2D">
        <w:t>, rather than the total revenue requirement set in our decision.</w:t>
      </w:r>
      <w:r w:rsidRPr="00DD2B2D">
        <w:rPr>
          <w:rStyle w:val="FootnoteReference"/>
        </w:rPr>
        <w:footnoteReference w:id="16"/>
      </w:r>
      <w:r w:rsidR="00A778F0">
        <w:t xml:space="preserve"> Tariffs are adjusted each year using the 'X factors'. </w:t>
      </w:r>
      <w:r w:rsidR="00A778F0" w:rsidRPr="00C207B5">
        <w:t>X</w:t>
      </w:r>
      <w:r w:rsidR="00A778F0">
        <w:t xml:space="preserve"> </w:t>
      </w:r>
      <w:r w:rsidR="00A778F0" w:rsidRPr="00C207B5">
        <w:t xml:space="preserve">factors are percentage changes in real </w:t>
      </w:r>
      <w:r w:rsidR="00A778F0">
        <w:t>weighted average tariffs</w:t>
      </w:r>
      <w:r w:rsidR="00A778F0" w:rsidRPr="00C207B5">
        <w:t xml:space="preserve"> from year to year</w:t>
      </w:r>
      <w:r w:rsidR="00A778F0">
        <w:t xml:space="preserve">. The process of determining </w:t>
      </w:r>
      <w:proofErr w:type="gramStart"/>
      <w:r w:rsidR="00A778F0">
        <w:t>X factors is</w:t>
      </w:r>
      <w:proofErr w:type="gramEnd"/>
      <w:r w:rsidR="00A778F0">
        <w:t xml:space="preserve"> discussed in section </w:t>
      </w:r>
      <w:r w:rsidR="00A778F0">
        <w:fldChar w:fldCharType="begin"/>
      </w:r>
      <w:r w:rsidR="00A778F0">
        <w:instrText xml:space="preserve"> REF _Ref485036768 \r \h </w:instrText>
      </w:r>
      <w:r w:rsidR="00A778F0">
        <w:fldChar w:fldCharType="separate"/>
      </w:r>
      <w:r w:rsidR="00EE5745">
        <w:t>4.3</w:t>
      </w:r>
      <w:r w:rsidR="00A778F0">
        <w:fldChar w:fldCharType="end"/>
      </w:r>
      <w:r w:rsidR="00A778F0">
        <w:t>.</w:t>
      </w:r>
    </w:p>
    <w:p w:rsidR="008E72AE" w:rsidRDefault="008E72AE" w:rsidP="008E72AE">
      <w:pPr>
        <w:pStyle w:val="Heading2"/>
      </w:pPr>
      <w:bookmarkStart w:id="114" w:name="_Toc481056447"/>
      <w:bookmarkStart w:id="115" w:name="_Toc487017914"/>
      <w:r>
        <w:t>The building block approach</w:t>
      </w:r>
      <w:bookmarkEnd w:id="114"/>
      <w:bookmarkEnd w:id="115"/>
    </w:p>
    <w:p w:rsidR="008E72AE" w:rsidRPr="00DD2B2D" w:rsidRDefault="008E72AE" w:rsidP="008E72AE">
      <w:pPr>
        <w:numPr>
          <w:ilvl w:val="0"/>
          <w:numId w:val="24"/>
        </w:numPr>
      </w:pPr>
      <w:r w:rsidRPr="00DD2B2D">
        <w:t xml:space="preserve">We have employed the building block approach to determine </w:t>
      </w:r>
      <w:r w:rsidR="00751622">
        <w:t>AusNet</w:t>
      </w:r>
      <w:r w:rsidRPr="00DD2B2D">
        <w:t xml:space="preserve">'s total revenue requirement—that is, we based the total revenue requirement on our estimate of the efficient costs that </w:t>
      </w:r>
      <w:r w:rsidR="00751622">
        <w:t>AusNet</w:t>
      </w:r>
      <w:r w:rsidRPr="00DD2B2D">
        <w:t xml:space="preserve"> is likely to incur in providing </w:t>
      </w:r>
      <w:r w:rsidR="0001670D">
        <w:t>its reference</w:t>
      </w:r>
      <w:r w:rsidRPr="00DD2B2D">
        <w:t xml:space="preserve"> services. The building block costs, as shown in</w:t>
      </w:r>
      <w:r>
        <w:t xml:space="preserve"> </w:t>
      </w:r>
      <w:r>
        <w:fldChar w:fldCharType="begin"/>
      </w:r>
      <w:r>
        <w:instrText xml:space="preserve"> REF _Ref481059337 \h </w:instrText>
      </w:r>
      <w:r>
        <w:fldChar w:fldCharType="separate"/>
      </w:r>
      <w:r w:rsidR="00EE5745">
        <w:t xml:space="preserve">Figure </w:t>
      </w:r>
      <w:r w:rsidR="00EE5745">
        <w:rPr>
          <w:noProof/>
        </w:rPr>
        <w:t>4</w:t>
      </w:r>
      <w:r w:rsidR="00EE5745">
        <w:noBreakHyphen/>
      </w:r>
      <w:r w:rsidR="00EE5745">
        <w:rPr>
          <w:noProof/>
        </w:rPr>
        <w:t>1</w:t>
      </w:r>
      <w:r>
        <w:fldChar w:fldCharType="end"/>
      </w:r>
      <w:r w:rsidRPr="00DD2B2D">
        <w:t>, include:</w:t>
      </w:r>
      <w:r w:rsidRPr="00DD2B2D">
        <w:rPr>
          <w:rStyle w:val="FootnoteReference"/>
        </w:rPr>
        <w:footnoteReference w:id="17"/>
      </w:r>
    </w:p>
    <w:p w:rsidR="008E72AE" w:rsidRPr="00DD2B2D" w:rsidRDefault="008E72AE" w:rsidP="008E72AE">
      <w:pPr>
        <w:pStyle w:val="AERbulletlistfirststyle"/>
      </w:pPr>
      <w:r w:rsidRPr="00DD2B2D">
        <w:t>return on the projected capital base (return on capital)</w:t>
      </w:r>
    </w:p>
    <w:p w:rsidR="008E72AE" w:rsidRPr="00DD2B2D" w:rsidRDefault="008E72AE" w:rsidP="008E72AE">
      <w:pPr>
        <w:pStyle w:val="AERbulletlistfirststyle"/>
      </w:pPr>
      <w:r w:rsidRPr="00DD2B2D">
        <w:t>depreciation of the projected capital base (return of capital)</w:t>
      </w:r>
    </w:p>
    <w:p w:rsidR="008E72AE" w:rsidRPr="00DD2B2D" w:rsidRDefault="008E72AE" w:rsidP="008E72AE">
      <w:pPr>
        <w:pStyle w:val="AERbulletlistfirststyle"/>
      </w:pPr>
      <w:r w:rsidRPr="00DD2B2D">
        <w:t>the estimated cost of corporate income tax</w:t>
      </w:r>
    </w:p>
    <w:p w:rsidR="008E72AE" w:rsidRPr="00DD2B2D" w:rsidRDefault="008E72AE" w:rsidP="008E72AE">
      <w:pPr>
        <w:pStyle w:val="AERbulletlistfirststyle"/>
      </w:pPr>
      <w:r w:rsidRPr="00DD2B2D">
        <w:t xml:space="preserve">revenue increments or decrements resulting from incentive schemes such as the efficiency carryover mechanism </w:t>
      </w:r>
    </w:p>
    <w:p w:rsidR="008E72AE" w:rsidRPr="00DD2B2D" w:rsidRDefault="008E72AE" w:rsidP="008E72AE">
      <w:pPr>
        <w:pStyle w:val="AERbulletlistfirststyle"/>
      </w:pPr>
      <w:proofErr w:type="gramStart"/>
      <w:r w:rsidRPr="00DD2B2D">
        <w:t>forecast</w:t>
      </w:r>
      <w:proofErr w:type="gramEnd"/>
      <w:r w:rsidRPr="00DD2B2D">
        <w:t xml:space="preserve"> opex.</w:t>
      </w:r>
    </w:p>
    <w:p w:rsidR="008E72AE" w:rsidRPr="00DD2B2D" w:rsidRDefault="008E72AE" w:rsidP="008E72AE">
      <w:pPr>
        <w:numPr>
          <w:ilvl w:val="0"/>
          <w:numId w:val="24"/>
        </w:numPr>
      </w:pPr>
      <w:r w:rsidRPr="00DD2B2D">
        <w:t>Our assessment of capex directly affects the size of the capital base</w:t>
      </w:r>
      <w:r w:rsidR="007A5CAB">
        <w:t>,</w:t>
      </w:r>
      <w:r w:rsidRPr="00DD2B2D">
        <w:t xml:space="preserve"> and therefore the revenue generated from the return on capital and depreciation building blocks. </w:t>
      </w:r>
    </w:p>
    <w:p w:rsidR="008E72AE" w:rsidRDefault="008E72AE" w:rsidP="008E72AE">
      <w:pPr>
        <w:pStyle w:val="Caption"/>
      </w:pPr>
      <w:bookmarkStart w:id="116" w:name="_Ref481059337"/>
      <w:r>
        <w:t xml:space="preserve">Figure </w:t>
      </w:r>
      <w:fldSimple w:instr=" STYLEREF 1 \s ">
        <w:r w:rsidR="00EE5745">
          <w:rPr>
            <w:noProof/>
          </w:rPr>
          <w:t>4</w:t>
        </w:r>
      </w:fldSimple>
      <w:r w:rsidR="002B4532">
        <w:noBreakHyphen/>
      </w:r>
      <w:fldSimple w:instr=" SEQ Figure \* ARABIC \s 1 ">
        <w:r w:rsidR="00EE5745">
          <w:rPr>
            <w:noProof/>
          </w:rPr>
          <w:t>1</w:t>
        </w:r>
      </w:fldSimple>
      <w:bookmarkEnd w:id="116"/>
      <w:r>
        <w:tab/>
      </w:r>
      <w:proofErr w:type="gramStart"/>
      <w:r>
        <w:t>The</w:t>
      </w:r>
      <w:proofErr w:type="gramEnd"/>
      <w:r>
        <w:t xml:space="preserve"> building block approach to determining total revenue</w:t>
      </w:r>
    </w:p>
    <w:p w:rsidR="008E72AE" w:rsidRDefault="008E72AE" w:rsidP="008E72AE">
      <w:r w:rsidRPr="008E72AE">
        <w:rPr>
          <w:noProof/>
          <w:lang w:eastAsia="en-AU"/>
        </w:rPr>
        <mc:AlternateContent>
          <mc:Choice Requires="wpc">
            <w:drawing>
              <wp:inline distT="0" distB="0" distL="0" distR="0" wp14:anchorId="2A35CE9D" wp14:editId="6D4413A8">
                <wp:extent cx="5382895" cy="3375516"/>
                <wp:effectExtent l="0" t="0" r="198755" b="130175"/>
                <wp:docPr id="37" name="Canvas 37"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Text Box 4"/>
                        <wps:cNvSpPr txBox="1">
                          <a:spLocks noChangeArrowheads="1"/>
                        </wps:cNvSpPr>
                        <wps:spPr bwMode="auto">
                          <a:xfrm>
                            <a:off x="1643787" y="0"/>
                            <a:ext cx="2470150" cy="633730"/>
                          </a:xfrm>
                          <a:prstGeom prst="rect">
                            <a:avLst/>
                          </a:prstGeom>
                          <a:solidFill>
                            <a:schemeClr val="accent4"/>
                          </a:solidFill>
                          <a:ln w="0">
                            <a:solidFill>
                              <a:srgbClr val="C00000"/>
                            </a:solidFill>
                            <a:miter lim="800000"/>
                            <a:headEnd/>
                            <a:tailEnd/>
                          </a:ln>
                          <a:effectLst>
                            <a:outerShdw dist="28398" dir="3806097" algn="ctr" rotWithShape="0">
                              <a:srgbClr val="622423"/>
                            </a:outerShdw>
                          </a:effectLst>
                        </wps:spPr>
                        <wps:txbx>
                          <w:txbxContent>
                            <w:p w:rsidR="00AE7866" w:rsidRPr="009A07AA" w:rsidRDefault="00AE7866" w:rsidP="008E72AE">
                              <w:pPr>
                                <w:rPr>
                                  <w:rFonts w:ascii="Calibri" w:hAnsi="Calibri"/>
                                  <w:b/>
                                  <w:color w:val="FFFFFF"/>
                                </w:rPr>
                              </w:pPr>
                              <w:r w:rsidRPr="009A07AA">
                                <w:rPr>
                                  <w:rFonts w:ascii="Calibri" w:hAnsi="Calibri"/>
                                  <w:color w:val="FFFFFF"/>
                                </w:rPr>
                                <w:t xml:space="preserve">Return on capital (forecast </w:t>
                              </w:r>
                              <w:r w:rsidRPr="009A07AA">
                                <w:rPr>
                                  <w:rFonts w:ascii="Calibri" w:hAnsi="Calibri"/>
                                  <w:color w:val="FFFFFF" w:themeColor="background1"/>
                                </w:rPr>
                                <w:t xml:space="preserve">capital base </w:t>
                              </w:r>
                              <w:r w:rsidRPr="009A07AA">
                                <w:rPr>
                                  <w:rFonts w:ascii="Calibri" w:hAnsi="Calibri"/>
                                  <w:color w:val="FFFFFF"/>
                                </w:rPr>
                                <w:t>× cost of capital)</w:t>
                              </w:r>
                            </w:p>
                          </w:txbxContent>
                        </wps:txbx>
                        <wps:bodyPr rot="0" vert="horz" wrap="square" lIns="91440" tIns="45720" rIns="91440" bIns="45720" anchor="t" anchorCtr="0" upright="1">
                          <a:noAutofit/>
                        </wps:bodyPr>
                      </wps:wsp>
                      <wps:wsp>
                        <wps:cNvPr id="25" name="Text Box 5"/>
                        <wps:cNvSpPr txBox="1">
                          <a:spLocks noChangeArrowheads="1"/>
                        </wps:cNvSpPr>
                        <wps:spPr bwMode="auto">
                          <a:xfrm>
                            <a:off x="1643787" y="688975"/>
                            <a:ext cx="2470150" cy="789966"/>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AE7866" w:rsidRPr="009A07AA" w:rsidRDefault="00AE7866" w:rsidP="008E72AE">
                              <w:pPr>
                                <w:rPr>
                                  <w:rFonts w:ascii="Calibri" w:hAnsi="Calibri"/>
                                  <w:color w:val="FFFFFF" w:themeColor="background1"/>
                                </w:rPr>
                              </w:pPr>
                              <w:r w:rsidRPr="009A07AA">
                                <w:rPr>
                                  <w:rFonts w:ascii="Calibri" w:hAnsi="Calibri"/>
                                  <w:color w:val="FFFFFF" w:themeColor="background1"/>
                                </w:rPr>
                                <w:t>Regulatory depreciation (depreciation net of indexation applied to capital base)</w:t>
                              </w:r>
                            </w:p>
                          </w:txbxContent>
                        </wps:txbx>
                        <wps:bodyPr rot="0" vert="horz" wrap="square" lIns="91440" tIns="45720" rIns="91440" bIns="45720" anchor="t" anchorCtr="0" upright="1">
                          <a:noAutofit/>
                        </wps:bodyPr>
                      </wps:wsp>
                      <wps:wsp>
                        <wps:cNvPr id="26" name="Text Box 26"/>
                        <wps:cNvSpPr txBox="1">
                          <a:spLocks noChangeArrowheads="1"/>
                        </wps:cNvSpPr>
                        <wps:spPr bwMode="auto">
                          <a:xfrm>
                            <a:off x="1643787" y="2821415"/>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AE7866" w:rsidRPr="009A07AA" w:rsidRDefault="00AE7866" w:rsidP="008E72AE">
                              <w:pPr>
                                <w:spacing w:after="200"/>
                                <w:rPr>
                                  <w:rStyle w:val="AERbody"/>
                                  <w:rFonts w:ascii="Calibri" w:hAnsi="Calibri"/>
                                </w:rPr>
                              </w:pPr>
                              <w:r w:rsidRPr="009A07AA">
                                <w:rPr>
                                  <w:rStyle w:val="AERbody"/>
                                  <w:rFonts w:ascii="Calibri" w:hAnsi="Calibri"/>
                                  <w:color w:val="FFFFFF"/>
                                </w:rPr>
                                <w:t>Corporate income tax (net of value of imputation credits)</w:t>
                              </w:r>
                            </w:p>
                            <w:p w:rsidR="00AE7866" w:rsidRPr="007F7192" w:rsidRDefault="00AE7866" w:rsidP="008E72AE">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27" name="Line 7"/>
                        <wps:cNvCnPr/>
                        <wps:spPr bwMode="auto">
                          <a:xfrm>
                            <a:off x="4204107"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
                        <wps:cNvCnPr/>
                        <wps:spPr bwMode="auto">
                          <a:xfrm>
                            <a:off x="4204107" y="333248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wps:spPr bwMode="auto">
                          <a:xfrm>
                            <a:off x="4548912" y="0"/>
                            <a:ext cx="0" cy="333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0"/>
                        <wps:cNvCnPr/>
                        <wps:spPr bwMode="auto">
                          <a:xfrm flipH="1">
                            <a:off x="1215797"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1"/>
                        <wps:cNvCnPr/>
                        <wps:spPr bwMode="auto">
                          <a:xfrm flipH="1">
                            <a:off x="1215797"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2"/>
                        <wps:cNvCnPr/>
                        <wps:spPr bwMode="auto">
                          <a:xfrm>
                            <a:off x="1215797"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3"/>
                        <wps:cNvSpPr txBox="1">
                          <a:spLocks noChangeArrowheads="1"/>
                        </wps:cNvSpPr>
                        <wps:spPr bwMode="auto">
                          <a:xfrm>
                            <a:off x="152172" y="407034"/>
                            <a:ext cx="1026795" cy="678815"/>
                          </a:xfrm>
                          <a:prstGeom prst="rect">
                            <a:avLst/>
                          </a:prstGeom>
                          <a:solidFill>
                            <a:srgbClr val="FFFFFF"/>
                          </a:solidFill>
                          <a:ln w="9525">
                            <a:solidFill>
                              <a:srgbClr val="FFFFFF"/>
                            </a:solidFill>
                            <a:miter lim="800000"/>
                            <a:headEnd/>
                            <a:tailEnd/>
                          </a:ln>
                        </wps:spPr>
                        <wps:txbx>
                          <w:txbxContent>
                            <w:p w:rsidR="00AE7866" w:rsidRPr="002569F7" w:rsidRDefault="00AE7866" w:rsidP="008E72AE">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34" name="Text Box 14"/>
                        <wps:cNvSpPr txBox="1">
                          <a:spLocks noChangeArrowheads="1"/>
                        </wps:cNvSpPr>
                        <wps:spPr bwMode="auto">
                          <a:xfrm>
                            <a:off x="1649427" y="1557806"/>
                            <a:ext cx="2470150" cy="534643"/>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AE7866" w:rsidRPr="008D2606" w:rsidRDefault="00AE7866" w:rsidP="008E72AE">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AE7866" w:rsidRPr="004414F4" w:rsidRDefault="00AE7866" w:rsidP="008E72AE">
                              <w:pPr>
                                <w:rPr>
                                  <w:color w:val="FFFFFF"/>
                                </w:rPr>
                              </w:pPr>
                            </w:p>
                          </w:txbxContent>
                        </wps:txbx>
                        <wps:bodyPr rot="0" vert="horz" wrap="square" lIns="91440" tIns="45720" rIns="91440" bIns="45720" anchor="t" anchorCtr="0" upright="1">
                          <a:noAutofit/>
                        </wps:bodyPr>
                      </wps:wsp>
                      <wps:wsp>
                        <wps:cNvPr id="35" name="Text Box 15"/>
                        <wps:cNvSpPr txBox="1">
                          <a:spLocks noChangeArrowheads="1"/>
                        </wps:cNvSpPr>
                        <wps:spPr bwMode="auto">
                          <a:xfrm>
                            <a:off x="1649428" y="2147377"/>
                            <a:ext cx="2470150" cy="633730"/>
                          </a:xfrm>
                          <a:prstGeom prst="rect">
                            <a:avLst/>
                          </a:prstGeom>
                          <a:gradFill rotWithShape="0">
                            <a:gsLst>
                              <a:gs pos="0">
                                <a:srgbClr val="548DD4"/>
                              </a:gs>
                              <a:gs pos="100000">
                                <a:srgbClr val="548DD4"/>
                              </a:gs>
                            </a:gsLst>
                            <a:lin ang="5400000" scaled="1"/>
                          </a:gradFill>
                          <a:ln w="12700">
                            <a:solidFill>
                              <a:srgbClr val="76923C"/>
                            </a:solidFill>
                            <a:miter lim="800000"/>
                            <a:headEnd/>
                            <a:tailEnd/>
                          </a:ln>
                          <a:effectLst>
                            <a:outerShdw dist="28398" dir="3806097" algn="ctr" rotWithShape="0">
                              <a:srgbClr val="205867">
                                <a:alpha val="50000"/>
                              </a:srgbClr>
                            </a:outerShdw>
                          </a:effectLst>
                        </wps:spPr>
                        <wps:txbx>
                          <w:txbxContent>
                            <w:p w:rsidR="00AE7866" w:rsidRPr="00784189" w:rsidRDefault="00AE7866" w:rsidP="008E72AE">
                              <w:pPr>
                                <w:rPr>
                                  <w:rFonts w:ascii="Calibri" w:hAnsi="Calibri"/>
                                  <w:color w:val="FFFFFF"/>
                                </w:rPr>
                              </w:pPr>
                              <w:r w:rsidRPr="00784189">
                                <w:rPr>
                                  <w:rFonts w:ascii="Calibri" w:hAnsi="Calibri"/>
                                  <w:color w:val="FFFFFF"/>
                                </w:rPr>
                                <w:t>Incentive mechanisms (increment or decrement)</w:t>
                              </w:r>
                            </w:p>
                            <w:p w:rsidR="00AE7866" w:rsidRPr="00F51767" w:rsidRDefault="00AE7866" w:rsidP="008E72AE"/>
                          </w:txbxContent>
                        </wps:txbx>
                        <wps:bodyPr rot="0" vert="horz" wrap="square" lIns="91440" tIns="45720" rIns="91440" bIns="45720" anchor="t" anchorCtr="0" upright="1">
                          <a:noAutofit/>
                        </wps:bodyPr>
                      </wps:wsp>
                      <wps:wsp>
                        <wps:cNvPr id="36" name="Text Box 16"/>
                        <wps:cNvSpPr txBox="1">
                          <a:spLocks noChangeArrowheads="1"/>
                        </wps:cNvSpPr>
                        <wps:spPr bwMode="auto">
                          <a:xfrm>
                            <a:off x="4667022" y="1579880"/>
                            <a:ext cx="895350" cy="314325"/>
                          </a:xfrm>
                          <a:prstGeom prst="rect">
                            <a:avLst/>
                          </a:prstGeom>
                          <a:solidFill>
                            <a:srgbClr val="FFFFFF"/>
                          </a:solidFill>
                          <a:ln w="9525">
                            <a:solidFill>
                              <a:schemeClr val="bg1">
                                <a:lumMod val="100000"/>
                                <a:lumOff val="0"/>
                              </a:schemeClr>
                            </a:solidFill>
                            <a:miter lim="800000"/>
                            <a:headEnd/>
                            <a:tailEnd/>
                          </a:ln>
                        </wps:spPr>
                        <wps:txbx>
                          <w:txbxContent>
                            <w:p w:rsidR="00AE7866" w:rsidRPr="00E91FF0" w:rsidRDefault="00AE7866" w:rsidP="008E72AE">
                              <w:pPr>
                                <w:pStyle w:val="AERtabletextleft"/>
                              </w:pPr>
                              <w:r w:rsidRPr="00E91FF0">
                                <w:t xml:space="preserve">Total </w:t>
                              </w:r>
                              <w:r>
                                <w:t>r</w:t>
                              </w:r>
                              <w:r w:rsidRPr="00E91FF0">
                                <w:t>evenue</w:t>
                              </w:r>
                            </w:p>
                            <w:p w:rsidR="00AE7866" w:rsidRDefault="00AE7866" w:rsidP="008E72AE"/>
                          </w:txbxContent>
                        </wps:txbx>
                        <wps:bodyPr rot="0" vert="horz" wrap="square" lIns="91440" tIns="45720" rIns="91440" bIns="45720" anchor="t" anchorCtr="0" upright="1">
                          <a:noAutofit/>
                        </wps:bodyPr>
                      </wps:wsp>
                    </wpc:wpc>
                  </a:graphicData>
                </a:graphic>
              </wp:inline>
            </w:drawing>
          </mc:Choice>
          <mc:Fallback>
            <w:pict>
              <v:group id="Canvas 37" o:spid="_x0000_s1026" editas="canvas" alt="Image outlining the bulding block model. The table's contents were described in the previous paragraph." style="width:423.85pt;height:265.8pt;mso-position-horizontal-relative:char;mso-position-vertical-relative:line" coordsize="53828,3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dPbQYAAJUqAAAOAAAAZHJzL2Uyb0RvYy54bWzsWltv2zYUfh+w/yDoPbUoUjcjTtHZcTeg&#10;Wwukw55pSbaESaJGyrG7Yf99hxcpUmw3t8ZtF+fB0Y2Ht+985yMPz19vy8K6TrnIWTWx0SvHttIq&#10;ZklerSb27x/nZ6FtiYZWCS1YlU7sT6mwX1/8+MP5ph6nLstYkaTcAiOVGG/qiZ01TT0ejUScpSUV&#10;r1idVvByyXhJG7jlq1HC6Qasl8XIdRx/tGE8qTmLUyHg6Uy/tC+U/eUyjZv3y6VIG6uY2NC2Rv1y&#10;9buQv6OLczpecVpneWyaQR/RipLmFVTamZrRhlprnu+YKvOYM8GWzauYlSO2XOZxqvoAvUHOrd5M&#10;aXVNhepMDKPTNhCuvqDdxUq2u2LzvChgNEZgfSyfyf8bmJ8UHm5qmB1Rd/Mknlb/VUbrVHVLjOPf&#10;rj9wK08mtktsq6IlgORjum2sn9jWInJ+ZOXw1VUN3zVbeAw4U2Mt6ncs/lNYFZtmtFqlbzhnmyyl&#10;CTQPyZLQl66otiOkkcXmV5ZANXTdMGVou+SlHASYDkta9wkOwsC2PnUIkQ2K4ZVLAgd5AKQY3vkY&#10;B1hBaETHrY2ai+ZtykpLXkxsDghUddDrd6KRbaLj9hNZpWBFnsihVzcS9em04NY1BbzSOE6rRo0B&#10;lBp8WVTWRjZu1wRfLToDU0f+qZG4Vb7MG3C7Ii8ndth9RMdy8C6rBJpJxw3NC30NlReVfJQqh4J+&#10;yBu2BhNXWbKxklz21A1xBM6e5OBdOHR8J4IRpMUKaCFuuG1x1vyRN5ma+67p/db6rktcbFrbWVcj&#10;1qtYzamcRj2hzXaxNRhZsOQTzC7UI81LUoKLjPG/bWsDDj6xxV9rylPbKn6pACERIkQygrohXuDC&#10;De+/WfTf0CoGUxO7gT6py2mjWWRd83yVQU0akxV7A6ha5mqqJfx0qwwWwYeO5UzejjN5X92Z/DCM&#10;AtUMwNI+jwrCKPJ9A4FHehSQuXKovYBbCYPelbBqBigwLtTH4dTxHDIzjVgJifX2a0/5k3wi9pRQ&#10;X9KypNp/8qrRfhwFPgmkPTrOq+u35gvp0tqIgviwIqSd8lBNYAuKyyLqn+lTkVcAToi7HtHFLRHT&#10;Ik1aNlTRqSMbTSHIDYAhVD0DJup3bxZFXrSXhv5XNKKCkIobN357YhMdmv0dNnGVm/YC7PFjsxu6&#10;iKDP8cmXiNBP5pPAj1w83csnh9zcFBkSishokj6QUY5BDx4JZ7PvjR7k0NKizqgeUE3smlb7rPwQ&#10;GaI9Rc7ziT9a0d5Ke5CCWtq/y6vUUsHQUMe0+sDNkN1LnBPXIcjZK84xIaEDukdq81b1HhARECrl&#10;AgQwsF+Wd8shKX2l1I4817sjTKqY29Y7UOucrY2ovktgbxsTy6U8UuvHfyInugwvQ3JGXP/yjDiz&#10;2dmb+ZSc+XMUeDM8m05n6F/ZNETGWZ4kaSWXE+1aFpH7LdXMqlqvQrvVbDcMo6F1pTugie1/1ehb&#10;ylwLX+lScqaPqHxhEdLDWtg6JCwhn4I1jLEL8JLWbsRrH3E+VpEIGPeEuReHuWiAuegpmINwGiF3&#10;3+aD2XYAJGKkZc8JbMBLLw1ssOXUJzikOOkh0dRaFnn9c7tj0W56ucgL5JZNGzz3s1wb304c9+Jg&#10;h4aw61bK9w2sd8IO4SByYRvuFGJPsg4EraE0s4TAEBJ7sg4ipFk13Bd+UrfdzXUmxvageIqxLzHG&#10;4hZtXS4KqdSEAeURk1GeiwItB4kTOFhttNzEZuS4fhCZRa8fhOFdwvBhCan+NvBc/Um3A5cYrG/v&#10;vUQ+bOIxO8m3FpwyFaT2YLqJOmWEeulVQI4h0BtIKzAdH9I+iYirpSbyvACShcOYP8iyephAPtbA&#10;7oDsvAvUT97Dxb43j3ROWeddbnJCh/Zwd4qA13Tpp+dK1QwqHfjoYxwMaOZZM754jpGn86bPsRfb&#10;ofvEA30e2M0M65jxlXgAtutgyQmZnAAHJku6Nzf8TeRyBrmO+6Vsd4ocgwcGOadvngdcxwv9QO/H&#10;P0NOpjv4cOKBPg/s5nTR18npEt8PHFdrXLkJFd7eZg8jD7eHrjAiGFIxWoU+Ug4MHGJwkuOwQP2s&#10;xh2e21qsdEwr1iUcNNMJRqMS1NYGPH8PJ83UGa92P00deJRHv3bV9WMi9yFp3E3w9+IK0BF19FEN&#10;C8g4eU5THq7s38N1/zTpxX8AAAD//wMAUEsDBBQABgAIAAAAIQDk8NDS3QAAAAUBAAAPAAAAZHJz&#10;L2Rvd25yZXYueG1sTI/BbsIwEETvlfgHa5F6qYpDWwgKcRBCbQ+9AT2Um7GXJMJeR7YD4e/r9tJe&#10;VhrNaOZtuRqsYRf0oXUkYDrJgCEpp1uqBXzu3x4XwEKUpKVxhAJuGGBVje5KWWh3pS1edrFmqYRC&#10;IQU0MXYF50E1aGWYuA4peSfnrYxJ+pprL6+p3Br+lGVzbmVLaaGRHW4aVOddbwXkh9v7x5fx8TxT&#10;D6fX3oU9GiXE/XhYL4FFHOJfGH7wEzpUienoetKBGQHpkfh7k7d4yXNgRwGz5+kceFXy//TVNwAA&#10;AP//AwBQSwECLQAUAAYACAAAACEAtoM4kv4AAADhAQAAEwAAAAAAAAAAAAAAAAAAAAAAW0NvbnRl&#10;bnRfVHlwZXNdLnhtbFBLAQItABQABgAIAAAAIQA4/SH/1gAAAJQBAAALAAAAAAAAAAAAAAAAAC8B&#10;AABfcmVscy8ucmVsc1BLAQItABQABgAIAAAAIQDzqWdPbQYAAJUqAAAOAAAAAAAAAAAAAAAAAC4C&#10;AABkcnMvZTJvRG9jLnhtbFBLAQItABQABgAIAAAAIQDk8NDS3QAAAAUBAAAPAAAAAAAAAAAAAAAA&#10;AMcIAABkcnMvZG93bnJldi54bWxQSwUGAAAAAAQABADzAAAA0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3828;height:3375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437;width:24702;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9ZcEA&#10;AADbAAAADwAAAGRycy9kb3ducmV2LnhtbESPQWvCQBCF70L/wzIFb7pp0GBT11BKBa814nnITpPQ&#10;7GzITkz8926h0OPjzfvevH0xu07daAitZwMv6wQUceVty7WBS3lc7UAFQbbYeSYDdwpQHJ4We8yt&#10;n/iLbmepVYRwyNFAI9LnWoeqIYdh7Xvi6H37waFEOdTaDjhFuOt0miSZdthybGiwp4+Gqp/z6OIb&#10;kr3K5piVn247hbbcjsm1H41ZPs/vb6CEZvk//kufrIF0A79bIgD04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o/WXBAAAA2wAAAA8AAAAAAAAAAAAAAAAAmAIAAGRycy9kb3du&#10;cmV2LnhtbFBLBQYAAAAABAAEAPUAAACGAwAAAAA=&#10;" fillcolor="#c00000 [3207]" strokecolor="#c00000" strokeweight="0">
                  <v:shadow on="t" color="#622423" offset="1pt"/>
                  <v:textbox>
                    <w:txbxContent>
                      <w:p w:rsidR="00AE7866" w:rsidRPr="009A07AA" w:rsidRDefault="00AE7866" w:rsidP="008E72AE">
                        <w:pPr>
                          <w:rPr>
                            <w:rFonts w:ascii="Calibri" w:hAnsi="Calibri"/>
                            <w:b/>
                            <w:color w:val="FFFFFF"/>
                          </w:rPr>
                        </w:pPr>
                        <w:r w:rsidRPr="009A07AA">
                          <w:rPr>
                            <w:rFonts w:ascii="Calibri" w:hAnsi="Calibri"/>
                            <w:color w:val="FFFFFF"/>
                          </w:rPr>
                          <w:t xml:space="preserve">Return on capital (forecast </w:t>
                        </w:r>
                        <w:r w:rsidRPr="009A07AA">
                          <w:rPr>
                            <w:rFonts w:ascii="Calibri" w:hAnsi="Calibri"/>
                            <w:color w:val="FFFFFF" w:themeColor="background1"/>
                          </w:rPr>
                          <w:t xml:space="preserve">capital base </w:t>
                        </w:r>
                        <w:r w:rsidRPr="009A07AA">
                          <w:rPr>
                            <w:rFonts w:ascii="Calibri" w:hAnsi="Calibri"/>
                            <w:color w:val="FFFFFF"/>
                          </w:rPr>
                          <w:t>× cost of capital)</w:t>
                        </w:r>
                      </w:p>
                    </w:txbxContent>
                  </v:textbox>
                </v:shape>
                <v:shape id="Text Box 5" o:spid="_x0000_s1029" type="#_x0000_t202" style="position:absolute;left:16437;top:6889;width:24702;height:7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2JdMYA&#10;AADbAAAADwAAAGRycy9kb3ducmV2LnhtbESPT2vCQBTE74LfYXlCb3Wj2NpGV/EPxV5aMBV6fWSf&#10;2Wj2bciuJvXTdwsFj8PM/IaZLztbiSs1vnSsYDRMQBDnTpdcKDh8vT2+gPABWWPlmBT8kIflot+b&#10;Y6pdy3u6ZqEQEcI+RQUmhDqV0ueGLPqhq4mjd3SNxRBlU0jdYBvhtpLjJHmWFkuOCwZr2hjKz9nF&#10;KrhMD8koP20/zOv37nOScbe9tWulHgbdagYiUBfu4f/2u1YwfoK/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2JdMYAAADbAAAADwAAAAAAAAAAAAAAAACYAgAAZHJz&#10;L2Rvd25yZXYueG1sUEsFBgAAAAAEAAQA9QAAAIsDAAAAAA==&#10;" fillcolor="#c0504d" strokecolor="#d99594" strokeweight="1pt">
                  <v:fill color2="#c15451" focus="50%" type="gradient"/>
                  <v:shadow on="t" color="#622423" offset="1pt"/>
                  <v:textbox>
                    <w:txbxContent>
                      <w:p w:rsidR="00AE7866" w:rsidRPr="009A07AA" w:rsidRDefault="00AE7866" w:rsidP="008E72AE">
                        <w:pPr>
                          <w:rPr>
                            <w:rFonts w:ascii="Calibri" w:hAnsi="Calibri"/>
                            <w:color w:val="FFFFFF" w:themeColor="background1"/>
                          </w:rPr>
                        </w:pPr>
                        <w:r w:rsidRPr="009A07AA">
                          <w:rPr>
                            <w:rFonts w:ascii="Calibri" w:hAnsi="Calibri"/>
                            <w:color w:val="FFFFFF" w:themeColor="background1"/>
                          </w:rPr>
                          <w:t>Regulatory depreciation (depreciation net of indexation applied to capital base)</w:t>
                        </w:r>
                      </w:p>
                    </w:txbxContent>
                  </v:textbox>
                </v:shape>
                <v:shape id="Text Box 26" o:spid="_x0000_s1030" type="#_x0000_t202" style="position:absolute;left:16437;top:28214;width:24702;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0vMYA&#10;AADbAAAADwAAAGRycy9kb3ducmV2LnhtbESPQWsCMRSE74L/IbyCl1Kz1WLL1ihFEBbrRdtSj8/N&#10;cze6eVk2Ubf+eiMUPA4z8w0znra2EidqvHGs4LmfgCDOnTZcKPj+mj+9gfABWWPlmBT8kYfppNsZ&#10;Y6rdmVd0WodCRAj7FBWUIdSplD4vyaLvu5o4ejvXWAxRNoXUDZ4j3FZykCQjadFwXCixpllJ+WF9&#10;tAouj9nrp8kW25dazs3vcLff/Cz3SvUe2o93EIHacA//tzOtYDCC25f4A+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O0vMYAAADbAAAADwAAAAAAAAAAAAAAAACYAgAAZHJz&#10;L2Rvd25yZXYueG1sUEsFBgAAAAAEAAQA9QAAAIsDAAAAAA==&#10;" fillcolor="#76923c" strokecolor="#548dd4" strokeweight="1pt">
                  <v:fill color2="#738f3b" focus="100%" type="gradient"/>
                  <v:shadow on="t" color="#622423" opacity=".5" offset="1pt"/>
                  <v:textbox>
                    <w:txbxContent>
                      <w:p w:rsidR="00AE7866" w:rsidRPr="009A07AA" w:rsidRDefault="00AE7866" w:rsidP="008E72AE">
                        <w:pPr>
                          <w:spacing w:after="200"/>
                          <w:rPr>
                            <w:rStyle w:val="AERbody"/>
                            <w:rFonts w:ascii="Calibri" w:hAnsi="Calibri"/>
                          </w:rPr>
                        </w:pPr>
                        <w:r w:rsidRPr="009A07AA">
                          <w:rPr>
                            <w:rStyle w:val="AERbody"/>
                            <w:rFonts w:ascii="Calibri" w:hAnsi="Calibri"/>
                            <w:color w:val="FFFFFF"/>
                          </w:rPr>
                          <w:t>Corporate income tax (net of value of imputation credits)</w:t>
                        </w:r>
                      </w:p>
                      <w:p w:rsidR="00AE7866" w:rsidRPr="007F7192" w:rsidRDefault="00AE7866" w:rsidP="008E72AE">
                        <w:pPr>
                          <w:spacing w:after="200"/>
                          <w:rPr>
                            <w:rStyle w:val="AERbody"/>
                            <w:color w:val="FFFFFF"/>
                          </w:rPr>
                        </w:pPr>
                        <w:r w:rsidRPr="007F7192">
                          <w:rPr>
                            <w:rStyle w:val="AERbody"/>
                            <w:color w:val="FFFFFF"/>
                          </w:rPr>
                          <w:br/>
                        </w:r>
                      </w:p>
                    </w:txbxContent>
                  </v:textbox>
                </v:shape>
                <v:line id="Line 7" o:spid="_x0000_s1031" style="position:absolute;visibility:visible;mso-wrap-style:square" from="42041,0" to="45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8" o:spid="_x0000_s1032" style="position:absolute;visibility:visible;mso-wrap-style:square" from="42041,33324" to="45489,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9" o:spid="_x0000_s1033" style="position:absolute;visibility:visible;mso-wrap-style:square" from="45489,0" to="45489,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0" o:spid="_x0000_s1034" style="position:absolute;flip:x;visibility:visible;mso-wrap-style:square" from="12157,0" to="15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11" o:spid="_x0000_s1035" style="position:absolute;flip:x;visibility:visible;mso-wrap-style:square" from="12157,13792" to="15606,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12" o:spid="_x0000_s1036" style="position:absolute;visibility:visible;mso-wrap-style:square" from="12157,0" to="12157,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13" o:spid="_x0000_s1037" type="#_x0000_t202" style="position:absolute;left:1521;top:4070;width:10268;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rsidR="00AE7866" w:rsidRPr="002569F7" w:rsidRDefault="00AE7866" w:rsidP="008E72AE">
                        <w:pPr>
                          <w:rPr>
                            <w:rFonts w:ascii="Calibri" w:hAnsi="Calibri"/>
                          </w:rPr>
                        </w:pPr>
                        <w:r w:rsidRPr="002569F7">
                          <w:rPr>
                            <w:rFonts w:ascii="Calibri" w:hAnsi="Calibri"/>
                          </w:rPr>
                          <w:t>Capital costs</w:t>
                        </w:r>
                      </w:p>
                    </w:txbxContent>
                  </v:textbox>
                </v:shape>
                <v:shape id="Text Box 14" o:spid="_x0000_s1038" type="#_x0000_t202" style="position:absolute;left:16494;top:15578;width:24701;height: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e08YA&#10;AADbAAAADwAAAGRycy9kb3ducmV2LnhtbESPQWvCQBSE70L/w/IKvYhuWm2V1FVSQdCLtCrY3h7Z&#10;1yQ0+zbsbk38964geBxm5htmtuhMLU7kfGVZwfMwAUGcW11xoeCwXw2mIHxA1lhbJgVn8rCYP/Rm&#10;mGrb8heddqEQEcI+RQVlCE0qpc9LMuiHtiGO3q91BkOUrpDaYRvhppYvSfImDVYcF0psaFlS/rf7&#10;Nwqmk+X+2Gw/9GfrXjf5j8+6736m1NNjl72DCNSFe/jWXmsFozFcv8Qf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e08YAAADbAAAADwAAAAAAAAAAAAAAAACYAgAAZHJz&#10;L2Rvd25yZXYueG1sUEsFBgAAAAAEAAQA9QAAAIsDAAAAAA==&#10;" fillcolor="#365f91" strokecolor="#365f91" strokeweight="1pt">
                  <v:fill color2="#365f91" focus="100%" type="gradient"/>
                  <v:shadow on="t" color="#3f3151" opacity=".5" offset="1pt"/>
                  <v:textbox>
                    <w:txbxContent>
                      <w:p w:rsidR="00AE7866" w:rsidRPr="008D2606" w:rsidRDefault="00AE7866" w:rsidP="008E72AE">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AE7866" w:rsidRPr="004414F4" w:rsidRDefault="00AE7866" w:rsidP="008E72AE">
                        <w:pPr>
                          <w:rPr>
                            <w:color w:val="FFFFFF"/>
                          </w:rPr>
                        </w:pPr>
                      </w:p>
                    </w:txbxContent>
                  </v:textbox>
                </v:shape>
                <v:shape id="Text Box 15" o:spid="_x0000_s1039" type="#_x0000_t202" style="position:absolute;left:16494;top:21473;width:24701;height:6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fH8UA&#10;AADbAAAADwAAAGRycy9kb3ducmV2LnhtbESPQWsCMRSE74L/ITzBm2a1aGVrlFIrinjpWorHx+Z1&#10;s7h5WTZRV399UxA8DjPzDTNftrYSF2p86VjBaJiAIM6dLrlQ8H1YD2YgfEDWWDkmBTfysFx0O3NM&#10;tbvyF12yUIgIYZ+iAhNCnUrpc0MW/dDVxNH7dY3FEGVTSN3gNcJtJcdJMpUWS44LBmv6MJSfsrNV&#10;cNzcfvbuvKo/s8nWvLrdtLgfd0r1e+37G4hAbXiGH+2tVvAygf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d8fxQAAANsAAAAPAAAAAAAAAAAAAAAAAJgCAABkcnMv&#10;ZG93bnJldi54bWxQSwUGAAAAAAQABAD1AAAAigMAAAAA&#10;" fillcolor="#548dd4" strokecolor="#76923c" strokeweight="1pt">
                  <v:fill color2="#548dd4" focus="100%" type="gradient"/>
                  <v:shadow on="t" color="#205867" opacity=".5" offset="1pt"/>
                  <v:textbox>
                    <w:txbxContent>
                      <w:p w:rsidR="00AE7866" w:rsidRPr="00784189" w:rsidRDefault="00AE7866" w:rsidP="008E72AE">
                        <w:pPr>
                          <w:rPr>
                            <w:rFonts w:ascii="Calibri" w:hAnsi="Calibri"/>
                            <w:color w:val="FFFFFF"/>
                          </w:rPr>
                        </w:pPr>
                        <w:r w:rsidRPr="00784189">
                          <w:rPr>
                            <w:rFonts w:ascii="Calibri" w:hAnsi="Calibri"/>
                            <w:color w:val="FFFFFF"/>
                          </w:rPr>
                          <w:t>Incentive mechanisms (increment or decrement)</w:t>
                        </w:r>
                      </w:p>
                      <w:p w:rsidR="00AE7866" w:rsidRPr="00F51767" w:rsidRDefault="00AE7866" w:rsidP="008E72AE"/>
                    </w:txbxContent>
                  </v:textbox>
                </v:shape>
                <v:shape id="Text Box 16" o:spid="_x0000_s1040" type="#_x0000_t202" style="position:absolute;left:46670;top:15798;width:895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NGMQA&#10;AADbAAAADwAAAGRycy9kb3ducmV2LnhtbESPQWvCQBSE7wX/w/IEb3WjlqDRVURRepHSKOrxmX0m&#10;wezbkN1q6q/vFgo9DjPzDTNbtKYSd2pcaVnBoB+BIM6sLjlXcNhvXscgnEfWWFkmBd/kYDHvvMww&#10;0fbBn3RPfS4ChF2CCgrv60RKlxVk0PVtTRy8q20M+iCbXOoGHwFuKjmMolgaLDksFFjTqqDsln4Z&#10;BS6L4uPHW3o8XeSWnhOt1+ftTqlet11OQXhq/X/4r/2uFYx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zRjEAAAA2wAAAA8AAAAAAAAAAAAAAAAAmAIAAGRycy9k&#10;b3ducmV2LnhtbFBLBQYAAAAABAAEAPUAAACJAwAAAAA=&#10;" strokecolor="white [3212]">
                  <v:textbox>
                    <w:txbxContent>
                      <w:p w:rsidR="00AE7866" w:rsidRPr="00E91FF0" w:rsidRDefault="00AE7866" w:rsidP="008E72AE">
                        <w:pPr>
                          <w:pStyle w:val="AERtabletextleft"/>
                        </w:pPr>
                        <w:r w:rsidRPr="00E91FF0">
                          <w:t xml:space="preserve">Total </w:t>
                        </w:r>
                        <w:r>
                          <w:t>r</w:t>
                        </w:r>
                        <w:r w:rsidRPr="00E91FF0">
                          <w:t>evenue</w:t>
                        </w:r>
                      </w:p>
                      <w:p w:rsidR="00AE7866" w:rsidRDefault="00AE7866" w:rsidP="008E72AE"/>
                    </w:txbxContent>
                  </v:textbox>
                </v:shape>
                <w10:anchorlock/>
              </v:group>
            </w:pict>
          </mc:Fallback>
        </mc:AlternateContent>
      </w:r>
    </w:p>
    <w:p w:rsidR="008E72AE" w:rsidRDefault="008E72AE" w:rsidP="008E72AE"/>
    <w:p w:rsidR="008E72AE" w:rsidRDefault="008E72AE" w:rsidP="008E72AE">
      <w:pPr>
        <w:pStyle w:val="Heading2"/>
      </w:pPr>
      <w:bookmarkStart w:id="117" w:name="_Toc481056448"/>
      <w:bookmarkStart w:id="118" w:name="_Toc487017915"/>
      <w:r>
        <w:t>Draft decision</w:t>
      </w:r>
      <w:bookmarkEnd w:id="117"/>
      <w:r w:rsidR="00D835DF">
        <w:t xml:space="preserve"> on total revenue</w:t>
      </w:r>
      <w:bookmarkEnd w:id="118"/>
    </w:p>
    <w:p w:rsidR="008E72AE" w:rsidRPr="00B01625" w:rsidRDefault="008E72AE" w:rsidP="00B01625">
      <w:r w:rsidRPr="00B01625">
        <w:t xml:space="preserve">As we explain in section </w:t>
      </w:r>
      <w:r w:rsidRPr="00B01625">
        <w:fldChar w:fldCharType="begin"/>
      </w:r>
      <w:r w:rsidRPr="00B01625">
        <w:instrText xml:space="preserve"> REF _Ref481078946 \r \h  \* MERGEFORMAT </w:instrText>
      </w:r>
      <w:r w:rsidRPr="00B01625">
        <w:fldChar w:fldCharType="separate"/>
      </w:r>
      <w:r w:rsidR="00EE5745">
        <w:t>5</w:t>
      </w:r>
      <w:r w:rsidRPr="00B01625">
        <w:fldChar w:fldCharType="end"/>
      </w:r>
      <w:r w:rsidRPr="00B01625">
        <w:t xml:space="preserve"> below, our draft decision sets out a number of revisions to the building block inputs making up </w:t>
      </w:r>
      <w:r w:rsidR="00751622" w:rsidRPr="00B01625">
        <w:t>AusNe</w:t>
      </w:r>
      <w:r w:rsidRPr="00B01625">
        <w:t>t's proposed total revenue requirement (smoothed) of $</w:t>
      </w:r>
      <w:r w:rsidR="00D9064F" w:rsidRPr="00B01625">
        <w:t>1144.5</w:t>
      </w:r>
      <w:r w:rsidRPr="00B01625">
        <w:t> million ($</w:t>
      </w:r>
      <w:r w:rsidR="004316EF" w:rsidRPr="00B01625">
        <w:t> </w:t>
      </w:r>
      <w:r w:rsidRPr="00B01625">
        <w:t>nominal). Based on our assessment of the building block costs,</w:t>
      </w:r>
      <w:r w:rsidR="00C03AF1">
        <w:rPr>
          <w:rStyle w:val="FootnoteReference"/>
        </w:rPr>
        <w:footnoteReference w:id="18"/>
      </w:r>
      <w:r w:rsidRPr="00B01625">
        <w:t xml:space="preserve"> we determine a lower smoothed total revenue requirement of $</w:t>
      </w:r>
      <w:r w:rsidR="004733AC">
        <w:t>1044.8</w:t>
      </w:r>
      <w:r w:rsidRPr="00B01625">
        <w:t xml:space="preserve"> million ($</w:t>
      </w:r>
      <w:r w:rsidR="004316EF" w:rsidRPr="00B01625">
        <w:t> </w:t>
      </w:r>
      <w:r w:rsidRPr="00B01625">
        <w:t>nominal).</w:t>
      </w:r>
      <w:r w:rsidRPr="00B01625">
        <w:rPr>
          <w:rStyle w:val="FootnoteReference"/>
        </w:rPr>
        <w:footnoteReference w:id="19"/>
      </w:r>
      <w:r w:rsidRPr="00B01625">
        <w:t xml:space="preserve"> </w:t>
      </w:r>
    </w:p>
    <w:p w:rsidR="008E72AE" w:rsidRPr="00B01625" w:rsidRDefault="008E72AE" w:rsidP="00B01625">
      <w:r w:rsidRPr="00B01625">
        <w:t xml:space="preserve">It follows that our draft decision requires amendments to the 2018 tariffs set out in </w:t>
      </w:r>
      <w:r w:rsidR="00751622" w:rsidRPr="00B01625">
        <w:t>AusN</w:t>
      </w:r>
      <w:r w:rsidRPr="00B01625">
        <w:t xml:space="preserve">et's proposal, which </w:t>
      </w:r>
      <w:r w:rsidR="00C03AF1">
        <w:t xml:space="preserve">was for </w:t>
      </w:r>
      <w:r w:rsidR="00CA1BD8" w:rsidRPr="00B01625">
        <w:t>a reduction</w:t>
      </w:r>
      <w:r w:rsidRPr="00B01625">
        <w:t xml:space="preserve"> in real tariffs of </w:t>
      </w:r>
      <w:r w:rsidR="00CA1BD8" w:rsidRPr="00B01625">
        <w:t>five</w:t>
      </w:r>
      <w:r w:rsidRPr="00B01625">
        <w:t xml:space="preserve"> per cent. We also require </w:t>
      </w:r>
      <w:r w:rsidR="00751622" w:rsidRPr="00B01625">
        <w:t xml:space="preserve">consequential </w:t>
      </w:r>
      <w:r w:rsidRPr="00B01625">
        <w:t xml:space="preserve">amendments to </w:t>
      </w:r>
      <w:r w:rsidR="00751622" w:rsidRPr="00B01625">
        <w:t>AusNet</w:t>
      </w:r>
      <w:r w:rsidRPr="00B01625">
        <w:t xml:space="preserve">'s proposed 2018–22 tariff path, which </w:t>
      </w:r>
      <w:r w:rsidR="00C03AF1">
        <w:t>was for</w:t>
      </w:r>
      <w:r w:rsidR="00C03AF1" w:rsidRPr="00B01625">
        <w:t xml:space="preserve"> </w:t>
      </w:r>
      <w:r w:rsidR="00CA1BD8" w:rsidRPr="00B01625">
        <w:t>an</w:t>
      </w:r>
      <w:r w:rsidRPr="00B01625">
        <w:t xml:space="preserve"> increase in real tariffs of </w:t>
      </w:r>
      <w:r w:rsidR="00CA1BD8" w:rsidRPr="00B01625">
        <w:t>2.06</w:t>
      </w:r>
      <w:r w:rsidRPr="00B01625">
        <w:t xml:space="preserve"> per cent per year from 2019 onwards. As a result of our lower total revenue requirement and lower demand forecast, our draft decision is for a </w:t>
      </w:r>
      <w:r w:rsidR="00C03AF1">
        <w:t xml:space="preserve">larger </w:t>
      </w:r>
      <w:r w:rsidRPr="00B01625">
        <w:t xml:space="preserve">real decrease in weighted average tariffs of </w:t>
      </w:r>
      <w:r w:rsidR="004316EF" w:rsidRPr="00B01625">
        <w:t>9.</w:t>
      </w:r>
      <w:r w:rsidR="00226B4D">
        <w:t>7</w:t>
      </w:r>
      <w:r w:rsidRPr="00B01625">
        <w:t xml:space="preserve"> per cent in 2018, followed by </w:t>
      </w:r>
      <w:r w:rsidR="00C03AF1">
        <w:t xml:space="preserve">further </w:t>
      </w:r>
      <w:r w:rsidRPr="00B01625">
        <w:t xml:space="preserve">real </w:t>
      </w:r>
      <w:r w:rsidR="004316EF" w:rsidRPr="00B01625">
        <w:t xml:space="preserve">decreases </w:t>
      </w:r>
      <w:r w:rsidRPr="00B01625">
        <w:t xml:space="preserve">of </w:t>
      </w:r>
      <w:r w:rsidR="004316EF" w:rsidRPr="00B01625">
        <w:t>0.9</w:t>
      </w:r>
      <w:r w:rsidRPr="00B01625">
        <w:t xml:space="preserve"> per cent in each of the remaining years of the access arrangement period. Section </w:t>
      </w:r>
      <w:r w:rsidRPr="00B01625">
        <w:fldChar w:fldCharType="begin"/>
      </w:r>
      <w:r w:rsidRPr="00B01625">
        <w:instrText xml:space="preserve"> REF _Ref481080255 \r \h  \* MERGEFORMAT </w:instrText>
      </w:r>
      <w:r w:rsidRPr="00B01625">
        <w:fldChar w:fldCharType="separate"/>
      </w:r>
      <w:r w:rsidR="00EE5745">
        <w:t>4.3</w:t>
      </w:r>
      <w:r w:rsidRPr="00B01625">
        <w:fldChar w:fldCharType="end"/>
      </w:r>
      <w:r w:rsidRPr="00B01625">
        <w:t xml:space="preserve"> discusses our approach to revenue smoothing and tariffs further below.</w:t>
      </w:r>
    </w:p>
    <w:p w:rsidR="008E72AE" w:rsidRPr="00B01625" w:rsidRDefault="008E72AE" w:rsidP="00B01625">
      <w:r w:rsidRPr="00B01625">
        <w:fldChar w:fldCharType="begin"/>
      </w:r>
      <w:r w:rsidRPr="00B01625">
        <w:instrText xml:space="preserve"> REF _Ref481080354 \h  \* MERGEFORMAT </w:instrText>
      </w:r>
      <w:r w:rsidRPr="00B01625">
        <w:fldChar w:fldCharType="separate"/>
      </w:r>
      <w:r w:rsidR="00EE5745">
        <w:t>Table 4</w:t>
      </w:r>
      <w:r w:rsidR="00EE5745">
        <w:noBreakHyphen/>
        <w:t>1</w:t>
      </w:r>
      <w:r w:rsidRPr="00B01625">
        <w:fldChar w:fldCharType="end"/>
      </w:r>
      <w:r w:rsidRPr="00B01625">
        <w:t xml:space="preserve"> sets out our draft decision on </w:t>
      </w:r>
      <w:r w:rsidR="00751622" w:rsidRPr="00B01625">
        <w:t>AusNet</w:t>
      </w:r>
      <w:r w:rsidRPr="00B01625">
        <w:t xml:space="preserve">'s </w:t>
      </w:r>
      <w:r w:rsidR="00FB0D2E">
        <w:t xml:space="preserve">total </w:t>
      </w:r>
      <w:r w:rsidRPr="00B01625">
        <w:t xml:space="preserve">revenue requirement, by building block, for each year of the 2018–22 access arrangement </w:t>
      </w:r>
      <w:proofErr w:type="gramStart"/>
      <w:r w:rsidRPr="00B01625">
        <w:t>period</w:t>
      </w:r>
      <w:proofErr w:type="gramEnd"/>
      <w:r w:rsidRPr="00B01625">
        <w:t>, the total revenue after equalisation (smoothing) and the X factors for use in the tariff variation mechanism.</w:t>
      </w:r>
    </w:p>
    <w:p w:rsidR="008E72AE" w:rsidRPr="007A5A6C" w:rsidRDefault="008E72AE" w:rsidP="008E72AE">
      <w:pPr>
        <w:pStyle w:val="Caption"/>
      </w:pPr>
      <w:bookmarkStart w:id="119" w:name="_Ref481080354"/>
      <w:r>
        <w:t xml:space="preserve">Table </w:t>
      </w:r>
      <w:fldSimple w:instr=" STYLEREF 1 \s ">
        <w:r w:rsidR="00EE5745">
          <w:rPr>
            <w:noProof/>
          </w:rPr>
          <w:t>4</w:t>
        </w:r>
      </w:fldSimple>
      <w:r w:rsidR="00391B74">
        <w:noBreakHyphen/>
      </w:r>
      <w:fldSimple w:instr=" SEQ Table \* ARABIC \s 1 ">
        <w:r w:rsidR="00EE5745">
          <w:rPr>
            <w:noProof/>
          </w:rPr>
          <w:t>1</w:t>
        </w:r>
      </w:fldSimple>
      <w:bookmarkEnd w:id="119"/>
      <w:r w:rsidRPr="007A5A6C">
        <w:tab/>
        <w:t xml:space="preserve">AER's draft decision on </w:t>
      </w:r>
      <w:r w:rsidR="00751622">
        <w:t>AusNet</w:t>
      </w:r>
      <w:r w:rsidRPr="007A5A6C">
        <w:t>'s smoothed total revenue and X factors for the 201</w:t>
      </w:r>
      <w:r>
        <w:t>8</w:t>
      </w:r>
      <w:r w:rsidRPr="007A5A6C">
        <w:t>–2</w:t>
      </w:r>
      <w:r>
        <w:t>2</w:t>
      </w:r>
      <w:r w:rsidRPr="007A5A6C">
        <w:t xml:space="preserve"> access arrangement period ($million, nominal)</w:t>
      </w:r>
    </w:p>
    <w:tbl>
      <w:tblPr>
        <w:tblStyle w:val="AERtable-numbers"/>
        <w:tblW w:w="0" w:type="auto"/>
        <w:tblLook w:val="04A0" w:firstRow="1" w:lastRow="0" w:firstColumn="1" w:lastColumn="0" w:noHBand="0" w:noVBand="1"/>
      </w:tblPr>
      <w:tblGrid>
        <w:gridCol w:w="2947"/>
        <w:gridCol w:w="839"/>
        <w:gridCol w:w="839"/>
        <w:gridCol w:w="1017"/>
        <w:gridCol w:w="1017"/>
        <w:gridCol w:w="1017"/>
        <w:gridCol w:w="1017"/>
      </w:tblGrid>
      <w:tr w:rsidR="008E72AE" w:rsidRPr="00F6794A" w:rsidTr="004733AC">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947" w:type="dxa"/>
            <w:hideMark/>
          </w:tcPr>
          <w:p w:rsidR="008E72AE" w:rsidRPr="008E72AE" w:rsidRDefault="008E72AE" w:rsidP="008E72AE">
            <w:r w:rsidRPr="00F6794A">
              <w:t>Building block</w:t>
            </w:r>
          </w:p>
        </w:tc>
        <w:tc>
          <w:tcPr>
            <w:tcW w:w="839" w:type="dxa"/>
          </w:tcPr>
          <w:p w:rsidR="008E72AE" w:rsidRPr="008E72AE" w:rsidRDefault="008E72AE" w:rsidP="008E72AE">
            <w:pPr>
              <w:cnfStyle w:val="100000000000" w:firstRow="1" w:lastRow="0" w:firstColumn="0" w:lastColumn="0" w:oddVBand="0" w:evenVBand="0" w:oddHBand="0" w:evenHBand="0" w:firstRowFirstColumn="0" w:firstRowLastColumn="0" w:lastRowFirstColumn="0" w:lastRowLastColumn="0"/>
            </w:pPr>
            <w:r>
              <w:t>2018</w:t>
            </w:r>
          </w:p>
        </w:tc>
        <w:tc>
          <w:tcPr>
            <w:tcW w:w="839" w:type="dxa"/>
          </w:tcPr>
          <w:p w:rsidR="008E72AE" w:rsidRPr="008E72AE" w:rsidRDefault="008E72AE" w:rsidP="008E72AE">
            <w:pPr>
              <w:cnfStyle w:val="100000000000" w:firstRow="1" w:lastRow="0" w:firstColumn="0" w:lastColumn="0" w:oddVBand="0" w:evenVBand="0" w:oddHBand="0" w:evenHBand="0" w:firstRowFirstColumn="0" w:firstRowLastColumn="0" w:lastRowFirstColumn="0" w:lastRowLastColumn="0"/>
            </w:pPr>
            <w:r>
              <w:t>2019</w:t>
            </w:r>
          </w:p>
        </w:tc>
        <w:tc>
          <w:tcPr>
            <w:tcW w:w="1017" w:type="dxa"/>
          </w:tcPr>
          <w:p w:rsidR="008E72AE" w:rsidRPr="008E72AE" w:rsidRDefault="008E72AE" w:rsidP="008E72AE">
            <w:pPr>
              <w:cnfStyle w:val="100000000000" w:firstRow="1" w:lastRow="0" w:firstColumn="0" w:lastColumn="0" w:oddVBand="0" w:evenVBand="0" w:oddHBand="0" w:evenHBand="0" w:firstRowFirstColumn="0" w:firstRowLastColumn="0" w:lastRowFirstColumn="0" w:lastRowLastColumn="0"/>
            </w:pPr>
            <w:r>
              <w:t>2020</w:t>
            </w:r>
          </w:p>
        </w:tc>
        <w:tc>
          <w:tcPr>
            <w:tcW w:w="1017" w:type="dxa"/>
          </w:tcPr>
          <w:p w:rsidR="008E72AE" w:rsidRPr="008E72AE" w:rsidRDefault="008E72AE" w:rsidP="008E72AE">
            <w:pPr>
              <w:cnfStyle w:val="100000000000" w:firstRow="1" w:lastRow="0" w:firstColumn="0" w:lastColumn="0" w:oddVBand="0" w:evenVBand="0" w:oddHBand="0" w:evenHBand="0" w:firstRowFirstColumn="0" w:firstRowLastColumn="0" w:lastRowFirstColumn="0" w:lastRowLastColumn="0"/>
            </w:pPr>
            <w:r>
              <w:t>2021</w:t>
            </w:r>
          </w:p>
        </w:tc>
        <w:tc>
          <w:tcPr>
            <w:tcW w:w="1017" w:type="dxa"/>
          </w:tcPr>
          <w:p w:rsidR="008E72AE" w:rsidRPr="008E72AE" w:rsidRDefault="008E72AE" w:rsidP="008E72AE">
            <w:pPr>
              <w:cnfStyle w:val="100000000000" w:firstRow="1" w:lastRow="0" w:firstColumn="0" w:lastColumn="0" w:oddVBand="0" w:evenVBand="0" w:oddHBand="0" w:evenHBand="0" w:firstRowFirstColumn="0" w:firstRowLastColumn="0" w:lastRowFirstColumn="0" w:lastRowLastColumn="0"/>
            </w:pPr>
            <w:r>
              <w:t>2022</w:t>
            </w:r>
          </w:p>
        </w:tc>
        <w:tc>
          <w:tcPr>
            <w:tcW w:w="1017" w:type="dxa"/>
            <w:hideMark/>
          </w:tcPr>
          <w:p w:rsidR="008E72AE" w:rsidRPr="008E72AE" w:rsidRDefault="008E72AE" w:rsidP="008E72AE">
            <w:pPr>
              <w:cnfStyle w:val="100000000000" w:firstRow="1" w:lastRow="0" w:firstColumn="0" w:lastColumn="0" w:oddVBand="0" w:evenVBand="0" w:oddHBand="0" w:evenHBand="0" w:firstRowFirstColumn="0" w:firstRowLastColumn="0" w:lastRowFirstColumn="0" w:lastRowLastColumn="0"/>
            </w:pPr>
            <w:r w:rsidRPr="00F6794A">
              <w:t>Total</w:t>
            </w:r>
          </w:p>
        </w:tc>
      </w:tr>
      <w:tr w:rsidR="004733AC" w:rsidRPr="00F6794A" w:rsidTr="004733AC">
        <w:trPr>
          <w:trHeight w:val="291"/>
        </w:trPr>
        <w:tc>
          <w:tcPr>
            <w:cnfStyle w:val="001000000000" w:firstRow="0" w:lastRow="0" w:firstColumn="1" w:lastColumn="0" w:oddVBand="0" w:evenVBand="0" w:oddHBand="0" w:evenHBand="0" w:firstRowFirstColumn="0" w:firstRowLastColumn="0" w:lastRowFirstColumn="0" w:lastRowLastColumn="0"/>
            <w:tcW w:w="2947" w:type="dxa"/>
            <w:hideMark/>
          </w:tcPr>
          <w:p w:rsidR="004733AC" w:rsidRPr="004733AC" w:rsidRDefault="004733AC" w:rsidP="004733AC">
            <w:r w:rsidRPr="004733AC">
              <w:t>Return on capital</w:t>
            </w:r>
          </w:p>
        </w:tc>
        <w:tc>
          <w:tcPr>
            <w:tcW w:w="839"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93.6</w:t>
            </w:r>
          </w:p>
        </w:tc>
        <w:tc>
          <w:tcPr>
            <w:tcW w:w="839"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97.1</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101.3</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105.2</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108.7</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505.9</w:t>
            </w:r>
          </w:p>
        </w:tc>
      </w:tr>
      <w:tr w:rsidR="004733AC" w:rsidRPr="00F6794A" w:rsidTr="004733AC">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947" w:type="dxa"/>
            <w:hideMark/>
          </w:tcPr>
          <w:p w:rsidR="004733AC" w:rsidRPr="004733AC" w:rsidRDefault="004733AC" w:rsidP="004733AC">
            <w:r w:rsidRPr="004733AC">
              <w:t>Regulatory depreciation</w:t>
            </w:r>
          </w:p>
        </w:tc>
        <w:tc>
          <w:tcPr>
            <w:tcW w:w="839"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43.9</w:t>
            </w:r>
          </w:p>
        </w:tc>
        <w:tc>
          <w:tcPr>
            <w:tcW w:w="839"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33.0</w:t>
            </w:r>
          </w:p>
        </w:tc>
        <w:tc>
          <w:tcPr>
            <w:tcW w:w="1017"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35.8</w:t>
            </w:r>
          </w:p>
        </w:tc>
        <w:tc>
          <w:tcPr>
            <w:tcW w:w="1017"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39.3</w:t>
            </w:r>
          </w:p>
        </w:tc>
        <w:tc>
          <w:tcPr>
            <w:tcW w:w="1017"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43.1</w:t>
            </w:r>
          </w:p>
        </w:tc>
        <w:tc>
          <w:tcPr>
            <w:tcW w:w="1017"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195.0</w:t>
            </w:r>
          </w:p>
        </w:tc>
      </w:tr>
      <w:tr w:rsidR="004733AC" w:rsidRPr="00F6794A" w:rsidTr="004733AC">
        <w:trPr>
          <w:trHeight w:val="302"/>
        </w:trPr>
        <w:tc>
          <w:tcPr>
            <w:cnfStyle w:val="001000000000" w:firstRow="0" w:lastRow="0" w:firstColumn="1" w:lastColumn="0" w:oddVBand="0" w:evenVBand="0" w:oddHBand="0" w:evenHBand="0" w:firstRowFirstColumn="0" w:firstRowLastColumn="0" w:lastRowFirstColumn="0" w:lastRowLastColumn="0"/>
            <w:tcW w:w="2947" w:type="dxa"/>
            <w:hideMark/>
          </w:tcPr>
          <w:p w:rsidR="004733AC" w:rsidRPr="004733AC" w:rsidRDefault="004733AC" w:rsidP="004733AC">
            <w:r w:rsidRPr="004733AC">
              <w:t>Operating expenditure</w:t>
            </w:r>
          </w:p>
        </w:tc>
        <w:tc>
          <w:tcPr>
            <w:tcW w:w="839"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53.1</w:t>
            </w:r>
          </w:p>
        </w:tc>
        <w:tc>
          <w:tcPr>
            <w:tcW w:w="839"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55.3</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57.8</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60.3</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62.8</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289.2</w:t>
            </w:r>
          </w:p>
        </w:tc>
      </w:tr>
      <w:tr w:rsidR="004733AC" w:rsidRPr="00F6794A" w:rsidTr="004733AC">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947" w:type="dxa"/>
          </w:tcPr>
          <w:p w:rsidR="004733AC" w:rsidRPr="004733AC" w:rsidRDefault="004733AC" w:rsidP="004733AC">
            <w:r w:rsidRPr="004733AC">
              <w:t>Revenue adjustments</w:t>
            </w:r>
          </w:p>
        </w:tc>
        <w:tc>
          <w:tcPr>
            <w:tcW w:w="839"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3.4</w:t>
            </w:r>
          </w:p>
        </w:tc>
        <w:tc>
          <w:tcPr>
            <w:tcW w:w="839"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1.7</w:t>
            </w:r>
          </w:p>
        </w:tc>
        <w:tc>
          <w:tcPr>
            <w:tcW w:w="1017"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3.3</w:t>
            </w:r>
          </w:p>
        </w:tc>
        <w:tc>
          <w:tcPr>
            <w:tcW w:w="1017"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0.0</w:t>
            </w:r>
          </w:p>
        </w:tc>
        <w:tc>
          <w:tcPr>
            <w:tcW w:w="1017"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0.7</w:t>
            </w:r>
          </w:p>
        </w:tc>
        <w:tc>
          <w:tcPr>
            <w:tcW w:w="1017"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9.1</w:t>
            </w:r>
          </w:p>
        </w:tc>
      </w:tr>
      <w:tr w:rsidR="004733AC" w:rsidRPr="00F6794A" w:rsidTr="004733AC">
        <w:trPr>
          <w:trHeight w:val="280"/>
        </w:trPr>
        <w:tc>
          <w:tcPr>
            <w:cnfStyle w:val="001000000000" w:firstRow="0" w:lastRow="0" w:firstColumn="1" w:lastColumn="0" w:oddVBand="0" w:evenVBand="0" w:oddHBand="0" w:evenHBand="0" w:firstRowFirstColumn="0" w:firstRowLastColumn="0" w:lastRowFirstColumn="0" w:lastRowLastColumn="0"/>
            <w:tcW w:w="2947" w:type="dxa"/>
            <w:hideMark/>
          </w:tcPr>
          <w:p w:rsidR="004733AC" w:rsidRPr="004733AC" w:rsidRDefault="004733AC" w:rsidP="004733AC">
            <w:r w:rsidRPr="004733AC">
              <w:t>Corporate income tax</w:t>
            </w:r>
          </w:p>
        </w:tc>
        <w:tc>
          <w:tcPr>
            <w:tcW w:w="839"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10.0</w:t>
            </w:r>
          </w:p>
        </w:tc>
        <w:tc>
          <w:tcPr>
            <w:tcW w:w="839"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6.6</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6.9</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11.3</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11.3</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46.1</w:t>
            </w:r>
          </w:p>
        </w:tc>
      </w:tr>
      <w:tr w:rsidR="004733AC" w:rsidRPr="00F6794A" w:rsidTr="004733AC">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947" w:type="dxa"/>
            <w:hideMark/>
          </w:tcPr>
          <w:p w:rsidR="004733AC" w:rsidRPr="004733AC" w:rsidRDefault="004733AC" w:rsidP="004733AC">
            <w:pPr>
              <w:rPr>
                <w:rStyle w:val="Strong"/>
              </w:rPr>
            </w:pPr>
            <w:r w:rsidRPr="004733AC">
              <w:rPr>
                <w:rStyle w:val="Strong"/>
              </w:rPr>
              <w:t>Building block revenue – unsmoothed (including ARS)</w:t>
            </w:r>
          </w:p>
        </w:tc>
        <w:tc>
          <w:tcPr>
            <w:tcW w:w="839" w:type="dxa"/>
          </w:tcPr>
          <w:p w:rsidR="004733AC" w:rsidRPr="009620B6" w:rsidRDefault="004733AC" w:rsidP="004733AC">
            <w:pPr>
              <w:cnfStyle w:val="000000010000" w:firstRow="0" w:lastRow="0" w:firstColumn="0" w:lastColumn="0" w:oddVBand="0" w:evenVBand="0" w:oddHBand="0" w:evenHBand="1" w:firstRowFirstColumn="0" w:firstRowLastColumn="0" w:lastRowFirstColumn="0" w:lastRowLastColumn="0"/>
              <w:rPr>
                <w:rStyle w:val="Strong"/>
              </w:rPr>
            </w:pPr>
            <w:r w:rsidRPr="004B43D1">
              <w:rPr>
                <w:rStyle w:val="Strong"/>
              </w:rPr>
              <w:t>203.9</w:t>
            </w:r>
          </w:p>
        </w:tc>
        <w:tc>
          <w:tcPr>
            <w:tcW w:w="839" w:type="dxa"/>
          </w:tcPr>
          <w:p w:rsidR="004733AC" w:rsidRPr="009620B6" w:rsidRDefault="004733AC" w:rsidP="004733AC">
            <w:pPr>
              <w:cnfStyle w:val="000000010000" w:firstRow="0" w:lastRow="0" w:firstColumn="0" w:lastColumn="0" w:oddVBand="0" w:evenVBand="0" w:oddHBand="0" w:evenHBand="1" w:firstRowFirstColumn="0" w:firstRowLastColumn="0" w:lastRowFirstColumn="0" w:lastRowLastColumn="0"/>
              <w:rPr>
                <w:rStyle w:val="Strong"/>
              </w:rPr>
            </w:pPr>
            <w:r w:rsidRPr="004B43D1">
              <w:rPr>
                <w:rStyle w:val="Strong"/>
              </w:rPr>
              <w:t>193.8</w:t>
            </w:r>
          </w:p>
        </w:tc>
        <w:tc>
          <w:tcPr>
            <w:tcW w:w="1017" w:type="dxa"/>
          </w:tcPr>
          <w:p w:rsidR="004733AC" w:rsidRPr="009620B6" w:rsidRDefault="004733AC" w:rsidP="004733AC">
            <w:pPr>
              <w:cnfStyle w:val="000000010000" w:firstRow="0" w:lastRow="0" w:firstColumn="0" w:lastColumn="0" w:oddVBand="0" w:evenVBand="0" w:oddHBand="0" w:evenHBand="1" w:firstRowFirstColumn="0" w:firstRowLastColumn="0" w:lastRowFirstColumn="0" w:lastRowLastColumn="0"/>
              <w:rPr>
                <w:rStyle w:val="Strong"/>
              </w:rPr>
            </w:pPr>
            <w:r w:rsidRPr="004B43D1">
              <w:rPr>
                <w:rStyle w:val="Strong"/>
              </w:rPr>
              <w:t>205.0</w:t>
            </w:r>
          </w:p>
        </w:tc>
        <w:tc>
          <w:tcPr>
            <w:tcW w:w="1017" w:type="dxa"/>
          </w:tcPr>
          <w:p w:rsidR="004733AC" w:rsidRPr="009620B6" w:rsidRDefault="004733AC" w:rsidP="004733AC">
            <w:pPr>
              <w:cnfStyle w:val="000000010000" w:firstRow="0" w:lastRow="0" w:firstColumn="0" w:lastColumn="0" w:oddVBand="0" w:evenVBand="0" w:oddHBand="0" w:evenHBand="1" w:firstRowFirstColumn="0" w:firstRowLastColumn="0" w:lastRowFirstColumn="0" w:lastRowLastColumn="0"/>
              <w:rPr>
                <w:rStyle w:val="Strong"/>
              </w:rPr>
            </w:pPr>
            <w:r w:rsidRPr="004B43D1">
              <w:rPr>
                <w:rStyle w:val="Strong"/>
              </w:rPr>
              <w:t>216.1</w:t>
            </w:r>
          </w:p>
        </w:tc>
        <w:tc>
          <w:tcPr>
            <w:tcW w:w="1017" w:type="dxa"/>
          </w:tcPr>
          <w:p w:rsidR="004733AC" w:rsidRPr="009620B6" w:rsidRDefault="004733AC" w:rsidP="004733AC">
            <w:pPr>
              <w:cnfStyle w:val="000000010000" w:firstRow="0" w:lastRow="0" w:firstColumn="0" w:lastColumn="0" w:oddVBand="0" w:evenVBand="0" w:oddHBand="0" w:evenHBand="1" w:firstRowFirstColumn="0" w:firstRowLastColumn="0" w:lastRowFirstColumn="0" w:lastRowLastColumn="0"/>
              <w:rPr>
                <w:rStyle w:val="Strong"/>
              </w:rPr>
            </w:pPr>
            <w:r w:rsidRPr="004B43D1">
              <w:rPr>
                <w:rStyle w:val="Strong"/>
              </w:rPr>
              <w:t>226.5</w:t>
            </w:r>
          </w:p>
        </w:tc>
        <w:tc>
          <w:tcPr>
            <w:tcW w:w="1017" w:type="dxa"/>
          </w:tcPr>
          <w:p w:rsidR="004733AC" w:rsidRPr="009620B6" w:rsidRDefault="004733AC" w:rsidP="004733AC">
            <w:pPr>
              <w:cnfStyle w:val="000000010000" w:firstRow="0" w:lastRow="0" w:firstColumn="0" w:lastColumn="0" w:oddVBand="0" w:evenVBand="0" w:oddHBand="0" w:evenHBand="1" w:firstRowFirstColumn="0" w:firstRowLastColumn="0" w:lastRowFirstColumn="0" w:lastRowLastColumn="0"/>
              <w:rPr>
                <w:rStyle w:val="Strong"/>
              </w:rPr>
            </w:pPr>
            <w:r w:rsidRPr="004B43D1">
              <w:rPr>
                <w:rStyle w:val="Strong"/>
              </w:rPr>
              <w:t>1045.3</w:t>
            </w:r>
          </w:p>
        </w:tc>
      </w:tr>
      <w:tr w:rsidR="004733AC" w:rsidRPr="00597AB3" w:rsidTr="004733AC">
        <w:trPr>
          <w:trHeight w:val="270"/>
        </w:trPr>
        <w:tc>
          <w:tcPr>
            <w:cnfStyle w:val="001000000000" w:firstRow="0" w:lastRow="0" w:firstColumn="1" w:lastColumn="0" w:oddVBand="0" w:evenVBand="0" w:oddHBand="0" w:evenHBand="0" w:firstRowFirstColumn="0" w:firstRowLastColumn="0" w:lastRowFirstColumn="0" w:lastRowLastColumn="0"/>
            <w:tcW w:w="2947" w:type="dxa"/>
          </w:tcPr>
          <w:p w:rsidR="004733AC" w:rsidRPr="004733AC" w:rsidRDefault="004733AC" w:rsidP="004733AC">
            <w:pPr>
              <w:rPr>
                <w:rStyle w:val="Strong"/>
              </w:rPr>
            </w:pPr>
            <w:r w:rsidRPr="004733AC">
              <w:rPr>
                <w:rStyle w:val="Emphasis"/>
              </w:rPr>
              <w:t>Less:</w:t>
            </w:r>
            <w:r w:rsidRPr="004733AC">
              <w:t xml:space="preserve"> Ancillary reference services</w:t>
            </w:r>
          </w:p>
        </w:tc>
        <w:tc>
          <w:tcPr>
            <w:tcW w:w="839"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2.8</w:t>
            </w:r>
          </w:p>
        </w:tc>
        <w:tc>
          <w:tcPr>
            <w:tcW w:w="839"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2.9</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3.0</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3.1</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3.2</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15.0</w:t>
            </w:r>
          </w:p>
        </w:tc>
      </w:tr>
      <w:tr w:rsidR="004733AC" w:rsidRPr="00597AB3" w:rsidTr="004733AC">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47" w:type="dxa"/>
          </w:tcPr>
          <w:p w:rsidR="004733AC" w:rsidRPr="004733AC" w:rsidRDefault="004733AC" w:rsidP="004733AC">
            <w:pPr>
              <w:rPr>
                <w:rStyle w:val="Strong"/>
              </w:rPr>
            </w:pPr>
            <w:r w:rsidRPr="004733AC">
              <w:t>Building block revenue - unsmoothed (excluding ARS)</w:t>
            </w:r>
          </w:p>
        </w:tc>
        <w:tc>
          <w:tcPr>
            <w:tcW w:w="839"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201.1</w:t>
            </w:r>
          </w:p>
        </w:tc>
        <w:tc>
          <w:tcPr>
            <w:tcW w:w="839"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191.0</w:t>
            </w:r>
          </w:p>
        </w:tc>
        <w:tc>
          <w:tcPr>
            <w:tcW w:w="1017"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202.0</w:t>
            </w:r>
          </w:p>
        </w:tc>
        <w:tc>
          <w:tcPr>
            <w:tcW w:w="1017"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213.0</w:t>
            </w:r>
          </w:p>
        </w:tc>
        <w:tc>
          <w:tcPr>
            <w:tcW w:w="1017"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223.3</w:t>
            </w:r>
          </w:p>
        </w:tc>
        <w:tc>
          <w:tcPr>
            <w:tcW w:w="1017"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1030.4</w:t>
            </w:r>
          </w:p>
        </w:tc>
      </w:tr>
      <w:tr w:rsidR="004733AC" w:rsidRPr="004316EF" w:rsidTr="004733AC">
        <w:trPr>
          <w:trHeight w:val="270"/>
        </w:trPr>
        <w:tc>
          <w:tcPr>
            <w:cnfStyle w:val="001000000000" w:firstRow="0" w:lastRow="0" w:firstColumn="1" w:lastColumn="0" w:oddVBand="0" w:evenVBand="0" w:oddHBand="0" w:evenHBand="0" w:firstRowFirstColumn="0" w:firstRowLastColumn="0" w:lastRowFirstColumn="0" w:lastRowLastColumn="0"/>
            <w:tcW w:w="2947" w:type="dxa"/>
          </w:tcPr>
          <w:p w:rsidR="004733AC" w:rsidRPr="004733AC" w:rsidRDefault="004733AC" w:rsidP="004733AC">
            <w:r w:rsidRPr="004733AC">
              <w:t>Building block revenue – smoothed (excluding ARS)</w:t>
            </w:r>
          </w:p>
        </w:tc>
        <w:tc>
          <w:tcPr>
            <w:tcW w:w="839"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194.7</w:t>
            </w:r>
          </w:p>
        </w:tc>
        <w:tc>
          <w:tcPr>
            <w:tcW w:w="839"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200.4</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206.1</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211.9</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216.7</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1029.8</w:t>
            </w:r>
          </w:p>
        </w:tc>
      </w:tr>
      <w:tr w:rsidR="004733AC" w:rsidRPr="00F6794A" w:rsidTr="004733AC">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47" w:type="dxa"/>
            <w:hideMark/>
          </w:tcPr>
          <w:p w:rsidR="004733AC" w:rsidRPr="004733AC" w:rsidRDefault="004733AC" w:rsidP="004733AC">
            <w:pPr>
              <w:pStyle w:val="BodyText3"/>
              <w:rPr>
                <w:rStyle w:val="Strong"/>
              </w:rPr>
            </w:pPr>
            <w:r w:rsidRPr="004733AC">
              <w:rPr>
                <w:rStyle w:val="Strong"/>
              </w:rPr>
              <w:t xml:space="preserve">X </w:t>
            </w:r>
            <w:proofErr w:type="spellStart"/>
            <w:r w:rsidRPr="004733AC">
              <w:rPr>
                <w:rStyle w:val="Strong"/>
              </w:rPr>
              <w:t>factor</w:t>
            </w:r>
            <w:r w:rsidRPr="004733AC">
              <w:rPr>
                <w:rStyle w:val="AERsuperscript"/>
              </w:rPr>
              <w:t>a</w:t>
            </w:r>
            <w:proofErr w:type="spellEnd"/>
            <w:r w:rsidRPr="004733AC">
              <w:rPr>
                <w:rStyle w:val="Strong"/>
              </w:rPr>
              <w:t xml:space="preserve"> </w:t>
            </w:r>
          </w:p>
        </w:tc>
        <w:tc>
          <w:tcPr>
            <w:tcW w:w="839" w:type="dxa"/>
          </w:tcPr>
          <w:p w:rsidR="004733AC" w:rsidRPr="009620B6" w:rsidRDefault="004733AC" w:rsidP="004733AC">
            <w:pPr>
              <w:cnfStyle w:val="000000010000" w:firstRow="0" w:lastRow="0" w:firstColumn="0" w:lastColumn="0" w:oddVBand="0" w:evenVBand="0" w:oddHBand="0" w:evenHBand="1" w:firstRowFirstColumn="0" w:firstRowLastColumn="0" w:lastRowFirstColumn="0" w:lastRowLastColumn="0"/>
              <w:rPr>
                <w:rStyle w:val="Strong"/>
              </w:rPr>
            </w:pPr>
            <w:r w:rsidRPr="004B43D1">
              <w:rPr>
                <w:rStyle w:val="Strong"/>
              </w:rPr>
              <w:t>9.68%</w:t>
            </w:r>
          </w:p>
        </w:tc>
        <w:tc>
          <w:tcPr>
            <w:tcW w:w="839" w:type="dxa"/>
          </w:tcPr>
          <w:p w:rsidR="004733AC" w:rsidRPr="009620B6" w:rsidRDefault="004733AC" w:rsidP="004733AC">
            <w:pPr>
              <w:cnfStyle w:val="000000010000" w:firstRow="0" w:lastRow="0" w:firstColumn="0" w:lastColumn="0" w:oddVBand="0" w:evenVBand="0" w:oddHBand="0" w:evenHBand="1" w:firstRowFirstColumn="0" w:firstRowLastColumn="0" w:lastRowFirstColumn="0" w:lastRowLastColumn="0"/>
              <w:rPr>
                <w:rStyle w:val="Strong"/>
              </w:rPr>
            </w:pPr>
            <w:r w:rsidRPr="004B43D1">
              <w:rPr>
                <w:rStyle w:val="Strong"/>
              </w:rPr>
              <w:t>0.90%</w:t>
            </w:r>
          </w:p>
        </w:tc>
        <w:tc>
          <w:tcPr>
            <w:tcW w:w="1017" w:type="dxa"/>
          </w:tcPr>
          <w:p w:rsidR="004733AC" w:rsidRPr="009620B6" w:rsidRDefault="004733AC" w:rsidP="004733AC">
            <w:pPr>
              <w:cnfStyle w:val="000000010000" w:firstRow="0" w:lastRow="0" w:firstColumn="0" w:lastColumn="0" w:oddVBand="0" w:evenVBand="0" w:oddHBand="0" w:evenHBand="1" w:firstRowFirstColumn="0" w:firstRowLastColumn="0" w:lastRowFirstColumn="0" w:lastRowLastColumn="0"/>
              <w:rPr>
                <w:rStyle w:val="Strong"/>
              </w:rPr>
            </w:pPr>
            <w:r w:rsidRPr="004B43D1">
              <w:rPr>
                <w:rStyle w:val="Strong"/>
              </w:rPr>
              <w:t>0.90%</w:t>
            </w:r>
          </w:p>
        </w:tc>
        <w:tc>
          <w:tcPr>
            <w:tcW w:w="1017" w:type="dxa"/>
          </w:tcPr>
          <w:p w:rsidR="004733AC" w:rsidRPr="009620B6" w:rsidRDefault="004733AC" w:rsidP="004733AC">
            <w:pPr>
              <w:cnfStyle w:val="000000010000" w:firstRow="0" w:lastRow="0" w:firstColumn="0" w:lastColumn="0" w:oddVBand="0" w:evenVBand="0" w:oddHBand="0" w:evenHBand="1" w:firstRowFirstColumn="0" w:firstRowLastColumn="0" w:lastRowFirstColumn="0" w:lastRowLastColumn="0"/>
              <w:rPr>
                <w:rStyle w:val="Strong"/>
              </w:rPr>
            </w:pPr>
            <w:r w:rsidRPr="004B43D1">
              <w:rPr>
                <w:rStyle w:val="Strong"/>
              </w:rPr>
              <w:t>0.90%</w:t>
            </w:r>
          </w:p>
        </w:tc>
        <w:tc>
          <w:tcPr>
            <w:tcW w:w="1017" w:type="dxa"/>
          </w:tcPr>
          <w:p w:rsidR="004733AC" w:rsidRPr="009620B6" w:rsidRDefault="004733AC" w:rsidP="004733AC">
            <w:pPr>
              <w:cnfStyle w:val="000000010000" w:firstRow="0" w:lastRow="0" w:firstColumn="0" w:lastColumn="0" w:oddVBand="0" w:evenVBand="0" w:oddHBand="0" w:evenHBand="1" w:firstRowFirstColumn="0" w:firstRowLastColumn="0" w:lastRowFirstColumn="0" w:lastRowLastColumn="0"/>
              <w:rPr>
                <w:rStyle w:val="Strong"/>
              </w:rPr>
            </w:pPr>
            <w:r w:rsidRPr="004B43D1">
              <w:rPr>
                <w:rStyle w:val="Strong"/>
              </w:rPr>
              <w:t>0.90%</w:t>
            </w:r>
          </w:p>
        </w:tc>
        <w:tc>
          <w:tcPr>
            <w:tcW w:w="1017" w:type="dxa"/>
          </w:tcPr>
          <w:p w:rsidR="004733AC" w:rsidRPr="009620B6" w:rsidRDefault="004733AC" w:rsidP="004733AC">
            <w:pPr>
              <w:cnfStyle w:val="000000010000" w:firstRow="0" w:lastRow="0" w:firstColumn="0" w:lastColumn="0" w:oddVBand="0" w:evenVBand="0" w:oddHBand="0" w:evenHBand="1" w:firstRowFirstColumn="0" w:firstRowLastColumn="0" w:lastRowFirstColumn="0" w:lastRowLastColumn="0"/>
              <w:rPr>
                <w:rStyle w:val="Strong"/>
              </w:rPr>
            </w:pPr>
            <w:r w:rsidRPr="004B43D1">
              <w:rPr>
                <w:rStyle w:val="Strong"/>
              </w:rPr>
              <w:t>n/a</w:t>
            </w:r>
          </w:p>
        </w:tc>
      </w:tr>
      <w:tr w:rsidR="004733AC" w:rsidRPr="00F6794A" w:rsidTr="004733AC">
        <w:trPr>
          <w:trHeight w:val="290"/>
        </w:trPr>
        <w:tc>
          <w:tcPr>
            <w:cnfStyle w:val="001000000000" w:firstRow="0" w:lastRow="0" w:firstColumn="1" w:lastColumn="0" w:oddVBand="0" w:evenVBand="0" w:oddHBand="0" w:evenHBand="0" w:firstRowFirstColumn="0" w:firstRowLastColumn="0" w:lastRowFirstColumn="0" w:lastRowLastColumn="0"/>
            <w:tcW w:w="2947" w:type="dxa"/>
            <w:hideMark/>
          </w:tcPr>
          <w:p w:rsidR="004733AC" w:rsidRPr="004733AC" w:rsidRDefault="004733AC" w:rsidP="004733AC">
            <w:r w:rsidRPr="004733AC">
              <w:t>Inflation forecast</w:t>
            </w:r>
          </w:p>
        </w:tc>
        <w:tc>
          <w:tcPr>
            <w:tcW w:w="839"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2.45%</w:t>
            </w:r>
          </w:p>
        </w:tc>
        <w:tc>
          <w:tcPr>
            <w:tcW w:w="839"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2.45%</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2.45%</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2.45%</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2.45%</w:t>
            </w:r>
          </w:p>
        </w:tc>
        <w:tc>
          <w:tcPr>
            <w:tcW w:w="1017" w:type="dxa"/>
          </w:tcPr>
          <w:p w:rsidR="004733AC" w:rsidRPr="004733AC" w:rsidRDefault="004733AC" w:rsidP="004733AC">
            <w:pPr>
              <w:cnfStyle w:val="000000000000" w:firstRow="0" w:lastRow="0" w:firstColumn="0" w:lastColumn="0" w:oddVBand="0" w:evenVBand="0" w:oddHBand="0" w:evenHBand="0" w:firstRowFirstColumn="0" w:firstRowLastColumn="0" w:lastRowFirstColumn="0" w:lastRowLastColumn="0"/>
            </w:pPr>
            <w:r w:rsidRPr="004733AC">
              <w:t>n/a</w:t>
            </w:r>
          </w:p>
        </w:tc>
      </w:tr>
      <w:tr w:rsidR="004733AC" w:rsidRPr="00F6794A" w:rsidTr="004733AC">
        <w:trPr>
          <w:cnfStyle w:val="000000010000" w:firstRow="0" w:lastRow="0" w:firstColumn="0" w:lastColumn="0" w:oddVBand="0" w:evenVBand="0" w:oddHBand="0" w:evenHBand="1"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947" w:type="dxa"/>
            <w:hideMark/>
          </w:tcPr>
          <w:p w:rsidR="004733AC" w:rsidRPr="004733AC" w:rsidRDefault="004733AC" w:rsidP="004733AC">
            <w:r w:rsidRPr="004733AC">
              <w:t>Nominal price change</w:t>
            </w:r>
          </w:p>
        </w:tc>
        <w:tc>
          <w:tcPr>
            <w:tcW w:w="839"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–7.5%</w:t>
            </w:r>
          </w:p>
        </w:tc>
        <w:tc>
          <w:tcPr>
            <w:tcW w:w="839"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1.5%</w:t>
            </w:r>
          </w:p>
        </w:tc>
        <w:tc>
          <w:tcPr>
            <w:tcW w:w="1017"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1.5%</w:t>
            </w:r>
          </w:p>
        </w:tc>
        <w:tc>
          <w:tcPr>
            <w:tcW w:w="1017"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1.5%</w:t>
            </w:r>
          </w:p>
        </w:tc>
        <w:tc>
          <w:tcPr>
            <w:tcW w:w="1017"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1.5%</w:t>
            </w:r>
          </w:p>
        </w:tc>
        <w:tc>
          <w:tcPr>
            <w:tcW w:w="1017" w:type="dxa"/>
          </w:tcPr>
          <w:p w:rsidR="004733AC" w:rsidRPr="004733AC" w:rsidRDefault="004733AC" w:rsidP="004733AC">
            <w:pPr>
              <w:cnfStyle w:val="000000010000" w:firstRow="0" w:lastRow="0" w:firstColumn="0" w:lastColumn="0" w:oddVBand="0" w:evenVBand="0" w:oddHBand="0" w:evenHBand="1" w:firstRowFirstColumn="0" w:firstRowLastColumn="0" w:lastRowFirstColumn="0" w:lastRowLastColumn="0"/>
            </w:pPr>
            <w:r w:rsidRPr="004733AC">
              <w:t>n/a</w:t>
            </w:r>
          </w:p>
        </w:tc>
      </w:tr>
      <w:tr w:rsidR="004733AC" w:rsidRPr="00F6794A" w:rsidTr="004733AC">
        <w:trPr>
          <w:trHeight w:val="406"/>
        </w:trPr>
        <w:tc>
          <w:tcPr>
            <w:cnfStyle w:val="001000000000" w:firstRow="0" w:lastRow="0" w:firstColumn="1" w:lastColumn="0" w:oddVBand="0" w:evenVBand="0" w:oddHBand="0" w:evenHBand="0" w:firstRowFirstColumn="0" w:firstRowLastColumn="0" w:lastRowFirstColumn="0" w:lastRowLastColumn="0"/>
            <w:tcW w:w="2947" w:type="dxa"/>
          </w:tcPr>
          <w:p w:rsidR="004733AC" w:rsidRPr="004733AC" w:rsidRDefault="004733AC" w:rsidP="004733AC">
            <w:r w:rsidRPr="004733AC">
              <w:rPr>
                <w:rStyle w:val="Strong"/>
              </w:rPr>
              <w:t>Building block revenue - smoothed (including ARS)</w:t>
            </w:r>
          </w:p>
        </w:tc>
        <w:tc>
          <w:tcPr>
            <w:tcW w:w="839" w:type="dxa"/>
          </w:tcPr>
          <w:p w:rsidR="004733AC" w:rsidRPr="009620B6" w:rsidRDefault="004733AC" w:rsidP="004733AC">
            <w:pPr>
              <w:cnfStyle w:val="000000000000" w:firstRow="0" w:lastRow="0" w:firstColumn="0" w:lastColumn="0" w:oddVBand="0" w:evenVBand="0" w:oddHBand="0" w:evenHBand="0" w:firstRowFirstColumn="0" w:firstRowLastColumn="0" w:lastRowFirstColumn="0" w:lastRowLastColumn="0"/>
              <w:rPr>
                <w:rStyle w:val="Strong"/>
              </w:rPr>
            </w:pPr>
            <w:r w:rsidRPr="004B43D1">
              <w:rPr>
                <w:rStyle w:val="Strong"/>
              </w:rPr>
              <w:t>197.5</w:t>
            </w:r>
          </w:p>
        </w:tc>
        <w:tc>
          <w:tcPr>
            <w:tcW w:w="839" w:type="dxa"/>
          </w:tcPr>
          <w:p w:rsidR="004733AC" w:rsidRPr="009620B6" w:rsidRDefault="004733AC" w:rsidP="004733AC">
            <w:pPr>
              <w:cnfStyle w:val="000000000000" w:firstRow="0" w:lastRow="0" w:firstColumn="0" w:lastColumn="0" w:oddVBand="0" w:evenVBand="0" w:oddHBand="0" w:evenHBand="0" w:firstRowFirstColumn="0" w:firstRowLastColumn="0" w:lastRowFirstColumn="0" w:lastRowLastColumn="0"/>
              <w:rPr>
                <w:rStyle w:val="Strong"/>
              </w:rPr>
            </w:pPr>
            <w:r w:rsidRPr="004B43D1">
              <w:rPr>
                <w:rStyle w:val="Strong"/>
              </w:rPr>
              <w:t>203.3</w:t>
            </w:r>
          </w:p>
        </w:tc>
        <w:tc>
          <w:tcPr>
            <w:tcW w:w="1017" w:type="dxa"/>
          </w:tcPr>
          <w:p w:rsidR="004733AC" w:rsidRPr="009620B6" w:rsidRDefault="004733AC" w:rsidP="004733AC">
            <w:pPr>
              <w:cnfStyle w:val="000000000000" w:firstRow="0" w:lastRow="0" w:firstColumn="0" w:lastColumn="0" w:oddVBand="0" w:evenVBand="0" w:oddHBand="0" w:evenHBand="0" w:firstRowFirstColumn="0" w:firstRowLastColumn="0" w:lastRowFirstColumn="0" w:lastRowLastColumn="0"/>
              <w:rPr>
                <w:rStyle w:val="Strong"/>
              </w:rPr>
            </w:pPr>
            <w:r w:rsidRPr="004B43D1">
              <w:rPr>
                <w:rStyle w:val="Strong"/>
              </w:rPr>
              <w:t>209.1</w:t>
            </w:r>
          </w:p>
        </w:tc>
        <w:tc>
          <w:tcPr>
            <w:tcW w:w="1017" w:type="dxa"/>
          </w:tcPr>
          <w:p w:rsidR="004733AC" w:rsidRPr="009620B6" w:rsidRDefault="004733AC" w:rsidP="004733AC">
            <w:pPr>
              <w:cnfStyle w:val="000000000000" w:firstRow="0" w:lastRow="0" w:firstColumn="0" w:lastColumn="0" w:oddVBand="0" w:evenVBand="0" w:oddHBand="0" w:evenHBand="0" w:firstRowFirstColumn="0" w:firstRowLastColumn="0" w:lastRowFirstColumn="0" w:lastRowLastColumn="0"/>
              <w:rPr>
                <w:rStyle w:val="Strong"/>
              </w:rPr>
            </w:pPr>
            <w:r w:rsidRPr="004B43D1">
              <w:rPr>
                <w:rStyle w:val="Strong"/>
              </w:rPr>
              <w:t>215.0</w:t>
            </w:r>
          </w:p>
        </w:tc>
        <w:tc>
          <w:tcPr>
            <w:tcW w:w="1017" w:type="dxa"/>
          </w:tcPr>
          <w:p w:rsidR="004733AC" w:rsidRPr="009620B6" w:rsidRDefault="004733AC" w:rsidP="004733AC">
            <w:pPr>
              <w:cnfStyle w:val="000000000000" w:firstRow="0" w:lastRow="0" w:firstColumn="0" w:lastColumn="0" w:oddVBand="0" w:evenVBand="0" w:oddHBand="0" w:evenHBand="0" w:firstRowFirstColumn="0" w:firstRowLastColumn="0" w:lastRowFirstColumn="0" w:lastRowLastColumn="0"/>
              <w:rPr>
                <w:rStyle w:val="Strong"/>
              </w:rPr>
            </w:pPr>
            <w:r w:rsidRPr="004B43D1">
              <w:rPr>
                <w:rStyle w:val="Strong"/>
              </w:rPr>
              <w:t>219.9</w:t>
            </w:r>
          </w:p>
        </w:tc>
        <w:tc>
          <w:tcPr>
            <w:tcW w:w="1017" w:type="dxa"/>
          </w:tcPr>
          <w:p w:rsidR="004733AC" w:rsidRPr="009620B6" w:rsidRDefault="004733AC" w:rsidP="004733AC">
            <w:pPr>
              <w:cnfStyle w:val="000000000000" w:firstRow="0" w:lastRow="0" w:firstColumn="0" w:lastColumn="0" w:oddVBand="0" w:evenVBand="0" w:oddHBand="0" w:evenHBand="0" w:firstRowFirstColumn="0" w:firstRowLastColumn="0" w:lastRowFirstColumn="0" w:lastRowLastColumn="0"/>
              <w:rPr>
                <w:rStyle w:val="Strong"/>
              </w:rPr>
            </w:pPr>
            <w:r w:rsidRPr="004B43D1">
              <w:rPr>
                <w:rStyle w:val="Strong"/>
              </w:rPr>
              <w:t>1044.8</w:t>
            </w:r>
          </w:p>
        </w:tc>
      </w:tr>
    </w:tbl>
    <w:p w:rsidR="008E72AE" w:rsidRPr="00CB6E5B" w:rsidRDefault="008E72AE" w:rsidP="008E72AE">
      <w:pPr>
        <w:pStyle w:val="AERtablesource"/>
      </w:pPr>
      <w:r w:rsidRPr="008E72AE">
        <w:rPr>
          <w:rFonts w:eastAsia="Calibri"/>
        </w:rPr>
        <w:t xml:space="preserve">Source: </w:t>
      </w:r>
      <w:r w:rsidRPr="008E72AE">
        <w:rPr>
          <w:rFonts w:eastAsia="Calibri"/>
        </w:rPr>
        <w:tab/>
      </w:r>
      <w:r w:rsidRPr="00CB6E5B">
        <w:t>AER analysis</w:t>
      </w:r>
      <w:r>
        <w:t>.</w:t>
      </w:r>
    </w:p>
    <w:p w:rsidR="008E72AE" w:rsidRPr="00B5370C" w:rsidRDefault="008E72AE" w:rsidP="008E72AE">
      <w:pPr>
        <w:pStyle w:val="AERtablesource"/>
      </w:pPr>
      <w:r w:rsidRPr="00CB6E5B">
        <w:t xml:space="preserve">n/a: </w:t>
      </w:r>
      <w:r w:rsidRPr="00CB6E5B">
        <w:tab/>
        <w:t>not applicable.</w:t>
      </w:r>
    </w:p>
    <w:p w:rsidR="008E72AE" w:rsidRPr="00EF51EE" w:rsidRDefault="008E72AE" w:rsidP="008E72AE">
      <w:pPr>
        <w:pStyle w:val="AERtablesource"/>
      </w:pPr>
      <w:r>
        <w:t>(a)</w:t>
      </w:r>
      <w:r w:rsidRPr="00D2764A">
        <w:tab/>
        <w:t>Under the CPI</w:t>
      </w:r>
      <w:r>
        <w:t>–</w:t>
      </w:r>
      <w:r w:rsidRPr="00D2764A">
        <w:t xml:space="preserve">X form of control, a </w:t>
      </w:r>
      <w:r>
        <w:t>positive</w:t>
      </w:r>
      <w:r w:rsidRPr="00D2764A">
        <w:t xml:space="preserve"> X factor is a </w:t>
      </w:r>
      <w:r>
        <w:t xml:space="preserve">decrease </w:t>
      </w:r>
      <w:r w:rsidRPr="00D2764A">
        <w:t>in price (and therefore</w:t>
      </w:r>
      <w:r>
        <w:t xml:space="preserve"> in</w:t>
      </w:r>
      <w:r w:rsidRPr="00D2764A">
        <w:t xml:space="preserve"> revenue). </w:t>
      </w:r>
    </w:p>
    <w:p w:rsidR="008E72AE" w:rsidRDefault="008E72AE" w:rsidP="008E72AE">
      <w:pPr>
        <w:pStyle w:val="AERtablesource"/>
      </w:pPr>
      <w:r w:rsidRPr="00D2764A">
        <w:tab/>
      </w:r>
      <w:r>
        <w:t>The X factor for 2018 is indicative only</w:t>
      </w:r>
      <w:r w:rsidRPr="00D2764A">
        <w:t>.</w:t>
      </w:r>
      <w:r>
        <w:t xml:space="preserve"> The draft decision establishes 2018 tariffs directly, rather than referencing a change from 2017 tariffs.</w:t>
      </w:r>
    </w:p>
    <w:p w:rsidR="008E72AE" w:rsidRPr="00B01625" w:rsidRDefault="008E72AE" w:rsidP="00B01625">
      <w:r w:rsidRPr="00B01625">
        <w:fldChar w:fldCharType="begin"/>
      </w:r>
      <w:r w:rsidRPr="00B01625">
        <w:instrText xml:space="preserve"> REF _Ref481080850 \h  \* MERGEFORMAT </w:instrText>
      </w:r>
      <w:r w:rsidRPr="00B01625">
        <w:fldChar w:fldCharType="separate"/>
      </w:r>
      <w:r w:rsidR="00EE5745">
        <w:t>Figure 4</w:t>
      </w:r>
      <w:r w:rsidR="00EE5745">
        <w:noBreakHyphen/>
        <w:t>2</w:t>
      </w:r>
      <w:r w:rsidRPr="00B01625">
        <w:fldChar w:fldCharType="end"/>
      </w:r>
      <w:r w:rsidRPr="00B01625">
        <w:t xml:space="preserve"> shows the effect of our draft decision adjustments to </w:t>
      </w:r>
      <w:r w:rsidR="00751622" w:rsidRPr="00B01625">
        <w:t>AusN</w:t>
      </w:r>
      <w:r w:rsidRPr="00B01625">
        <w:t xml:space="preserve">et's proposed building blocks for the 2018–22 access arrangement </w:t>
      </w:r>
      <w:proofErr w:type="gramStart"/>
      <w:r w:rsidRPr="00B01625">
        <w:t>period</w:t>
      </w:r>
      <w:proofErr w:type="gramEnd"/>
      <w:r w:rsidRPr="00B01625">
        <w:t xml:space="preserve">. It shows the reductions to </w:t>
      </w:r>
      <w:r w:rsidR="00751622" w:rsidRPr="00B01625">
        <w:t>AusN</w:t>
      </w:r>
      <w:r w:rsidRPr="00B01625">
        <w:t xml:space="preserve">et's proposed return on capital, </w:t>
      </w:r>
      <w:r w:rsidR="00CA1BD8" w:rsidRPr="00B01625">
        <w:t xml:space="preserve">opex, </w:t>
      </w:r>
      <w:r w:rsidRPr="00B01625">
        <w:t>depreciation and tax building blocks.</w:t>
      </w:r>
    </w:p>
    <w:p w:rsidR="008E72AE" w:rsidRDefault="008E72AE" w:rsidP="008E72AE">
      <w:pPr>
        <w:pStyle w:val="Caption"/>
      </w:pPr>
      <w:bookmarkStart w:id="120" w:name="_Ref481080850"/>
      <w:r>
        <w:t xml:space="preserve">Figure </w:t>
      </w:r>
      <w:fldSimple w:instr=" STYLEREF 1 \s ">
        <w:r w:rsidR="00EE5745">
          <w:rPr>
            <w:noProof/>
          </w:rPr>
          <w:t>4</w:t>
        </w:r>
      </w:fldSimple>
      <w:r w:rsidR="002B4532">
        <w:noBreakHyphen/>
      </w:r>
      <w:fldSimple w:instr=" SEQ Figure \* ARABIC \s 1 ">
        <w:r w:rsidR="00EE5745">
          <w:rPr>
            <w:noProof/>
          </w:rPr>
          <w:t>2</w:t>
        </w:r>
      </w:fldSimple>
      <w:bookmarkEnd w:id="120"/>
      <w:r>
        <w:tab/>
        <w:t>AER</w:t>
      </w:r>
      <w:r w:rsidRPr="00CB6E5B">
        <w:t xml:space="preserve">’s draft decision and </w:t>
      </w:r>
      <w:r w:rsidR="00751622">
        <w:t>AusN</w:t>
      </w:r>
      <w:r>
        <w:t>et'</w:t>
      </w:r>
      <w:r w:rsidRPr="00CB6E5B">
        <w:t xml:space="preserve">s proposed </w:t>
      </w:r>
      <w:r>
        <w:t xml:space="preserve">building block </w:t>
      </w:r>
      <w:r w:rsidRPr="00CB6E5B">
        <w:t>revenue (unsmoothed) ($million, nominal)</w:t>
      </w:r>
    </w:p>
    <w:p w:rsidR="009620B6" w:rsidRPr="009620B6" w:rsidRDefault="009620B6" w:rsidP="00D636F1">
      <w:r w:rsidRPr="0087710A">
        <w:rPr>
          <w:noProof/>
          <w:lang w:eastAsia="en-AU"/>
        </w:rPr>
        <w:drawing>
          <wp:inline distT="0" distB="0" distL="0" distR="0" wp14:anchorId="67B2FDD4" wp14:editId="58C09A23">
            <wp:extent cx="5382895" cy="3195806"/>
            <wp:effectExtent l="0" t="0" r="8255" b="5080"/>
            <wp:docPr id="1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3195806"/>
                    </a:xfrm>
                    <a:prstGeom prst="rect">
                      <a:avLst/>
                    </a:prstGeom>
                    <a:noFill/>
                    <a:extLst/>
                  </pic:spPr>
                </pic:pic>
              </a:graphicData>
            </a:graphic>
          </wp:inline>
        </w:drawing>
      </w:r>
    </w:p>
    <w:p w:rsidR="008E72AE" w:rsidRPr="00E65F11" w:rsidRDefault="008E72AE" w:rsidP="008E72AE">
      <w:pPr>
        <w:pStyle w:val="AERtablesource"/>
      </w:pPr>
      <w:r w:rsidRPr="008E72AE">
        <w:rPr>
          <w:rFonts w:eastAsia="Calibri"/>
        </w:rPr>
        <w:t xml:space="preserve">Source: </w:t>
      </w:r>
      <w:r w:rsidRPr="008E72AE">
        <w:rPr>
          <w:rFonts w:eastAsia="Calibri"/>
        </w:rPr>
        <w:tab/>
      </w:r>
      <w:r w:rsidRPr="00CB6E5B">
        <w:t>AER analysis</w:t>
      </w:r>
      <w:r>
        <w:t>.</w:t>
      </w:r>
      <w:r w:rsidRPr="00CB6E5B">
        <w:t xml:space="preserve">  </w:t>
      </w:r>
    </w:p>
    <w:p w:rsidR="008E72AE" w:rsidRDefault="008E72AE" w:rsidP="008E72AE">
      <w:pPr>
        <w:pStyle w:val="Heading2"/>
      </w:pPr>
      <w:bookmarkStart w:id="121" w:name="_Toc481056450"/>
      <w:bookmarkStart w:id="122" w:name="_Ref481080255"/>
      <w:bookmarkStart w:id="123" w:name="_Ref485036768"/>
      <w:bookmarkStart w:id="124" w:name="_Toc487017916"/>
      <w:r>
        <w:t>Revenue smoothing and tariffs</w:t>
      </w:r>
      <w:bookmarkEnd w:id="121"/>
      <w:bookmarkEnd w:id="122"/>
      <w:bookmarkEnd w:id="123"/>
      <w:bookmarkEnd w:id="124"/>
    </w:p>
    <w:p w:rsidR="00A778F0" w:rsidRDefault="008E72AE" w:rsidP="00B01625">
      <w:r w:rsidRPr="00B01625">
        <w:t xml:space="preserve">After our assessment of </w:t>
      </w:r>
      <w:r w:rsidR="00751622" w:rsidRPr="00B01625">
        <w:t>AusN</w:t>
      </w:r>
      <w:r w:rsidRPr="00B01625">
        <w:t>et’s total building block revenue (unsmoothed revenue), we need to determine the smoothed revenue profile across the 2018–22 access arrangement period.</w:t>
      </w:r>
      <w:r w:rsidR="00A778F0">
        <w:rPr>
          <w:rStyle w:val="FootnoteReference"/>
        </w:rPr>
        <w:footnoteReference w:id="20"/>
      </w:r>
      <w:r w:rsidRPr="00B01625">
        <w:t xml:space="preserve"> </w:t>
      </w:r>
    </w:p>
    <w:p w:rsidR="00A778F0" w:rsidRDefault="00751622" w:rsidP="00A778F0">
      <w:r w:rsidRPr="00B01625">
        <w:t>AusN</w:t>
      </w:r>
      <w:r w:rsidR="008E72AE" w:rsidRPr="00B01625">
        <w:t xml:space="preserve">et operates under a weighted average price cap. This means </w:t>
      </w:r>
      <w:r w:rsidR="00FB0D2E">
        <w:t xml:space="preserve">that under its tariff variation mechanism </w:t>
      </w:r>
      <w:r w:rsidR="008E72AE" w:rsidRPr="00B01625">
        <w:t>we determine the weighted average tariff change each year</w:t>
      </w:r>
      <w:r w:rsidR="00A778F0">
        <w:t xml:space="preserve">. </w:t>
      </w:r>
      <w:r w:rsidR="00A778F0" w:rsidRPr="002A58AA">
        <w:t>This weighted average tariff change is labelled the 'X</w:t>
      </w:r>
      <w:r w:rsidR="00A778F0">
        <w:t xml:space="preserve"> </w:t>
      </w:r>
      <w:r w:rsidR="00A778F0" w:rsidRPr="002A58AA">
        <w:t xml:space="preserve">factor'. </w:t>
      </w:r>
      <w:r w:rsidR="00A778F0">
        <w:t xml:space="preserve">The X factors that we determine must ensure </w:t>
      </w:r>
      <w:r w:rsidR="00A778F0" w:rsidRPr="002A58AA">
        <w:t xml:space="preserve">that the </w:t>
      </w:r>
      <w:r w:rsidR="00A778F0">
        <w:t xml:space="preserve">sum of the smoothed revenues across the period equals the unsmoothed building block revenue in </w:t>
      </w:r>
      <w:r w:rsidR="00A778F0" w:rsidRPr="002A58AA">
        <w:t xml:space="preserve">net present value (NPV) </w:t>
      </w:r>
      <w:r w:rsidR="00A778F0">
        <w:t>terms</w:t>
      </w:r>
      <w:r w:rsidR="00A778F0" w:rsidRPr="002A58AA">
        <w:t xml:space="preserve">. </w:t>
      </w:r>
    </w:p>
    <w:p w:rsidR="008E72AE" w:rsidRPr="00B01625" w:rsidRDefault="00A778F0" w:rsidP="00A778F0">
      <w:r>
        <w:t xml:space="preserve">The X factors represent the </w:t>
      </w:r>
      <w:r w:rsidRPr="00927C7E">
        <w:t xml:space="preserve">weighted average </w:t>
      </w:r>
      <w:r>
        <w:t xml:space="preserve">real </w:t>
      </w:r>
      <w:r w:rsidRPr="00927C7E">
        <w:t>change</w:t>
      </w:r>
      <w:r>
        <w:t xml:space="preserve"> in tariffs.</w:t>
      </w:r>
      <w:r w:rsidRPr="00927C7E">
        <w:t xml:space="preserve"> </w:t>
      </w:r>
      <w:r>
        <w:t xml:space="preserve">As part of the annual reference tariff variation process, we combine the X factors we have determined in our decision with actual inflation to create reference tariffs for the coming year. This means that </w:t>
      </w:r>
      <w:r w:rsidRPr="005D11AC">
        <w:t xml:space="preserve">the prices </w:t>
      </w:r>
      <w:r>
        <w:t xml:space="preserve">paid </w:t>
      </w:r>
      <w:r w:rsidRPr="005D11AC">
        <w:t>by consumers</w:t>
      </w:r>
      <w:r>
        <w:t xml:space="preserve">, </w:t>
      </w:r>
      <w:r w:rsidRPr="005D11AC">
        <w:t>and</w:t>
      </w:r>
      <w:r>
        <w:t xml:space="preserve"> therefore</w:t>
      </w:r>
      <w:r w:rsidRPr="005D11AC">
        <w:t xml:space="preserve"> the revenues received by the networks</w:t>
      </w:r>
      <w:r>
        <w:t xml:space="preserve">, </w:t>
      </w:r>
      <w:r w:rsidRPr="005D11AC">
        <w:t xml:space="preserve">change </w:t>
      </w:r>
      <w:r>
        <w:t>with</w:t>
      </w:r>
      <w:r w:rsidRPr="005D11AC">
        <w:t xml:space="preserve"> actual inflation, but </w:t>
      </w:r>
      <w:r>
        <w:t>(</w:t>
      </w:r>
      <w:r w:rsidRPr="005D11AC">
        <w:t>ignoring other non-inflation factors)</w:t>
      </w:r>
      <w:r>
        <w:t xml:space="preserve"> </w:t>
      </w:r>
      <w:r w:rsidRPr="005D11AC">
        <w:t>are constant in real terms</w:t>
      </w:r>
      <w:r>
        <w:t>.</w:t>
      </w:r>
    </w:p>
    <w:p w:rsidR="008E72AE" w:rsidRPr="00B01625" w:rsidRDefault="008E72AE" w:rsidP="00B01625">
      <w:r w:rsidRPr="00B01625">
        <w:fldChar w:fldCharType="begin"/>
      </w:r>
      <w:r w:rsidRPr="00B01625">
        <w:instrText xml:space="preserve"> REF _Ref481081502 \h  \* MERGEFORMAT </w:instrText>
      </w:r>
      <w:r w:rsidRPr="00B01625">
        <w:fldChar w:fldCharType="separate"/>
      </w:r>
      <w:r w:rsidR="00EE5745">
        <w:t>Table 4</w:t>
      </w:r>
      <w:r w:rsidR="00EE5745">
        <w:noBreakHyphen/>
        <w:t>2</w:t>
      </w:r>
      <w:r w:rsidRPr="00B01625">
        <w:fldChar w:fldCharType="end"/>
      </w:r>
      <w:r w:rsidRPr="00B01625">
        <w:t xml:space="preserve"> presents our draft decision X factors, and compares them to </w:t>
      </w:r>
      <w:r w:rsidR="00751622" w:rsidRPr="00B01625">
        <w:t>AusN</w:t>
      </w:r>
      <w:r w:rsidRPr="00B01625">
        <w:t>et’s proposal.</w:t>
      </w:r>
    </w:p>
    <w:p w:rsidR="008E72AE" w:rsidRPr="00EF51EE" w:rsidRDefault="008E72AE" w:rsidP="00DA2B6F">
      <w:pPr>
        <w:pStyle w:val="Caption"/>
      </w:pPr>
      <w:bookmarkStart w:id="125" w:name="_Ref481081502"/>
      <w:r>
        <w:t xml:space="preserve">Table </w:t>
      </w:r>
      <w:fldSimple w:instr=" STYLEREF 1 \s ">
        <w:r w:rsidR="00EE5745">
          <w:rPr>
            <w:noProof/>
          </w:rPr>
          <w:t>4</w:t>
        </w:r>
      </w:fldSimple>
      <w:r w:rsidR="00391B74">
        <w:noBreakHyphen/>
      </w:r>
      <w:fldSimple w:instr=" SEQ Table \* ARABIC \s 1 ">
        <w:r w:rsidR="00EE5745">
          <w:rPr>
            <w:noProof/>
          </w:rPr>
          <w:t>2</w:t>
        </w:r>
      </w:fldSimple>
      <w:bookmarkEnd w:id="125"/>
      <w:r w:rsidRPr="00EF51EE">
        <w:tab/>
      </w:r>
      <w:r>
        <w:t xml:space="preserve">Weighted average tariff change across the access arrangement period (X factors) — comparison of </w:t>
      </w:r>
      <w:r w:rsidR="00751622">
        <w:t>AusN</w:t>
      </w:r>
      <w:r>
        <w:t>et's proposal and AER's draft decision (per cent)</w:t>
      </w:r>
    </w:p>
    <w:tbl>
      <w:tblPr>
        <w:tblStyle w:val="AERtable-numbers"/>
        <w:tblW w:w="8727" w:type="dxa"/>
        <w:tblLayout w:type="fixed"/>
        <w:tblLook w:val="04A0" w:firstRow="1" w:lastRow="0" w:firstColumn="1" w:lastColumn="0" w:noHBand="0" w:noVBand="1"/>
      </w:tblPr>
      <w:tblGrid>
        <w:gridCol w:w="2663"/>
        <w:gridCol w:w="1213"/>
        <w:gridCol w:w="1212"/>
        <w:gridCol w:w="1213"/>
        <w:gridCol w:w="1213"/>
        <w:gridCol w:w="1213"/>
      </w:tblGrid>
      <w:tr w:rsidR="008E72AE" w:rsidRPr="00502306" w:rsidTr="008E72AE">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663" w:type="dxa"/>
          </w:tcPr>
          <w:p w:rsidR="008E72AE" w:rsidRPr="00502306" w:rsidRDefault="008E72AE" w:rsidP="00DA2B6F">
            <w:pPr>
              <w:keepNext/>
            </w:pPr>
          </w:p>
        </w:tc>
        <w:tc>
          <w:tcPr>
            <w:tcW w:w="1213" w:type="dxa"/>
          </w:tcPr>
          <w:p w:rsidR="008E72AE" w:rsidRPr="008E72AE" w:rsidRDefault="008E72AE" w:rsidP="00DA2B6F">
            <w:pPr>
              <w:keepNext/>
              <w:cnfStyle w:val="100000000000" w:firstRow="1" w:lastRow="0" w:firstColumn="0" w:lastColumn="0" w:oddVBand="0" w:evenVBand="0" w:oddHBand="0" w:evenHBand="0" w:firstRowFirstColumn="0" w:firstRowLastColumn="0" w:lastRowFirstColumn="0" w:lastRowLastColumn="0"/>
            </w:pPr>
            <w:r>
              <w:t>2018</w:t>
            </w:r>
          </w:p>
        </w:tc>
        <w:tc>
          <w:tcPr>
            <w:tcW w:w="1212" w:type="dxa"/>
          </w:tcPr>
          <w:p w:rsidR="008E72AE" w:rsidRPr="008E72AE" w:rsidRDefault="008E72AE" w:rsidP="00DA2B6F">
            <w:pPr>
              <w:keepNext/>
              <w:cnfStyle w:val="100000000000" w:firstRow="1" w:lastRow="0" w:firstColumn="0" w:lastColumn="0" w:oddVBand="0" w:evenVBand="0" w:oddHBand="0" w:evenHBand="0" w:firstRowFirstColumn="0" w:firstRowLastColumn="0" w:lastRowFirstColumn="0" w:lastRowLastColumn="0"/>
            </w:pPr>
            <w:r>
              <w:t>2019</w:t>
            </w:r>
          </w:p>
        </w:tc>
        <w:tc>
          <w:tcPr>
            <w:tcW w:w="1213" w:type="dxa"/>
          </w:tcPr>
          <w:p w:rsidR="008E72AE" w:rsidRPr="008E72AE" w:rsidRDefault="008E72AE" w:rsidP="00DA2B6F">
            <w:pPr>
              <w:keepNext/>
              <w:cnfStyle w:val="100000000000" w:firstRow="1" w:lastRow="0" w:firstColumn="0" w:lastColumn="0" w:oddVBand="0" w:evenVBand="0" w:oddHBand="0" w:evenHBand="0" w:firstRowFirstColumn="0" w:firstRowLastColumn="0" w:lastRowFirstColumn="0" w:lastRowLastColumn="0"/>
            </w:pPr>
            <w:r>
              <w:t>2020</w:t>
            </w:r>
          </w:p>
        </w:tc>
        <w:tc>
          <w:tcPr>
            <w:tcW w:w="1213" w:type="dxa"/>
          </w:tcPr>
          <w:p w:rsidR="008E72AE" w:rsidRPr="008E72AE" w:rsidRDefault="008E72AE" w:rsidP="00DA2B6F">
            <w:pPr>
              <w:keepNext/>
              <w:cnfStyle w:val="100000000000" w:firstRow="1" w:lastRow="0" w:firstColumn="0" w:lastColumn="0" w:oddVBand="0" w:evenVBand="0" w:oddHBand="0" w:evenHBand="0" w:firstRowFirstColumn="0" w:firstRowLastColumn="0" w:lastRowFirstColumn="0" w:lastRowLastColumn="0"/>
            </w:pPr>
            <w:r>
              <w:t>2021</w:t>
            </w:r>
          </w:p>
        </w:tc>
        <w:tc>
          <w:tcPr>
            <w:tcW w:w="1213" w:type="dxa"/>
          </w:tcPr>
          <w:p w:rsidR="008E72AE" w:rsidRPr="008E72AE" w:rsidRDefault="008E72AE" w:rsidP="00DA2B6F">
            <w:pPr>
              <w:keepNext/>
              <w:cnfStyle w:val="100000000000" w:firstRow="1" w:lastRow="0" w:firstColumn="0" w:lastColumn="0" w:oddVBand="0" w:evenVBand="0" w:oddHBand="0" w:evenHBand="0" w:firstRowFirstColumn="0" w:firstRowLastColumn="0" w:lastRowFirstColumn="0" w:lastRowLastColumn="0"/>
            </w:pPr>
            <w:r>
              <w:t>2022</w:t>
            </w:r>
          </w:p>
        </w:tc>
      </w:tr>
      <w:tr w:rsidR="008E72AE" w:rsidRPr="00502306" w:rsidTr="008E72AE">
        <w:trPr>
          <w:trHeight w:val="231"/>
        </w:trPr>
        <w:tc>
          <w:tcPr>
            <w:cnfStyle w:val="001000000000" w:firstRow="0" w:lastRow="0" w:firstColumn="1" w:lastColumn="0" w:oddVBand="0" w:evenVBand="0" w:oddHBand="0" w:evenHBand="0" w:firstRowFirstColumn="0" w:firstRowLastColumn="0" w:lastRowFirstColumn="0" w:lastRowLastColumn="0"/>
            <w:tcW w:w="2663" w:type="dxa"/>
          </w:tcPr>
          <w:p w:rsidR="008E72AE" w:rsidRPr="008E72AE" w:rsidRDefault="008E72AE" w:rsidP="00DA2B6F">
            <w:pPr>
              <w:keepNext/>
              <w:rPr>
                <w:rStyle w:val="Strong"/>
              </w:rPr>
            </w:pPr>
            <w:r w:rsidRPr="00502306">
              <w:rPr>
                <w:rStyle w:val="Strong"/>
              </w:rPr>
              <w:t>AER draft decision</w:t>
            </w:r>
          </w:p>
        </w:tc>
        <w:tc>
          <w:tcPr>
            <w:tcW w:w="1213" w:type="dxa"/>
          </w:tcPr>
          <w:p w:rsidR="008E72AE" w:rsidRPr="00502306" w:rsidRDefault="008E72AE" w:rsidP="00DA2B6F">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212" w:type="dxa"/>
          </w:tcPr>
          <w:p w:rsidR="008E72AE" w:rsidRPr="00502306" w:rsidRDefault="008E72AE" w:rsidP="00DA2B6F">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213" w:type="dxa"/>
          </w:tcPr>
          <w:p w:rsidR="008E72AE" w:rsidRPr="00502306" w:rsidRDefault="008E72AE" w:rsidP="00DA2B6F">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213" w:type="dxa"/>
          </w:tcPr>
          <w:p w:rsidR="008E72AE" w:rsidRPr="00502306" w:rsidRDefault="008E72AE" w:rsidP="00DA2B6F">
            <w:pPr>
              <w:keepNext/>
              <w:cnfStyle w:val="000000000000" w:firstRow="0" w:lastRow="0" w:firstColumn="0" w:lastColumn="0" w:oddVBand="0" w:evenVBand="0" w:oddHBand="0" w:evenHBand="0" w:firstRowFirstColumn="0" w:firstRowLastColumn="0" w:lastRowFirstColumn="0" w:lastRowLastColumn="0"/>
              <w:rPr>
                <w:rStyle w:val="Strong"/>
              </w:rPr>
            </w:pPr>
          </w:p>
        </w:tc>
        <w:tc>
          <w:tcPr>
            <w:tcW w:w="1213" w:type="dxa"/>
          </w:tcPr>
          <w:p w:rsidR="008E72AE" w:rsidRPr="00502306" w:rsidRDefault="008E72AE" w:rsidP="00DA2B6F">
            <w:pPr>
              <w:keepNext/>
              <w:cnfStyle w:val="000000000000" w:firstRow="0" w:lastRow="0" w:firstColumn="0" w:lastColumn="0" w:oddVBand="0" w:evenVBand="0" w:oddHBand="0" w:evenHBand="0" w:firstRowFirstColumn="0" w:firstRowLastColumn="0" w:lastRowFirstColumn="0" w:lastRowLastColumn="0"/>
              <w:rPr>
                <w:rStyle w:val="Strong"/>
              </w:rPr>
            </w:pPr>
          </w:p>
        </w:tc>
      </w:tr>
      <w:tr w:rsidR="007018F2" w:rsidRPr="00502306" w:rsidTr="00F04988">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663" w:type="dxa"/>
          </w:tcPr>
          <w:p w:rsidR="007018F2" w:rsidRPr="007018F2" w:rsidRDefault="007018F2" w:rsidP="00DA2B6F">
            <w:pPr>
              <w:keepNext/>
            </w:pPr>
            <w:r w:rsidRPr="007018F2">
              <w:t xml:space="preserve">X </w:t>
            </w:r>
            <w:proofErr w:type="spellStart"/>
            <w:r w:rsidRPr="007018F2">
              <w:t>factor</w:t>
            </w:r>
            <w:r w:rsidRPr="007018F2">
              <w:rPr>
                <w:rStyle w:val="AERsuperscript"/>
              </w:rPr>
              <w:t>a</w:t>
            </w:r>
            <w:proofErr w:type="spellEnd"/>
          </w:p>
        </w:tc>
        <w:tc>
          <w:tcPr>
            <w:tcW w:w="1213" w:type="dxa"/>
          </w:tcPr>
          <w:p w:rsidR="007018F2" w:rsidRPr="007018F2" w:rsidRDefault="009620B6" w:rsidP="00DA2B6F">
            <w:pPr>
              <w:keepNext/>
              <w:cnfStyle w:val="000000010000" w:firstRow="0" w:lastRow="0" w:firstColumn="0" w:lastColumn="0" w:oddVBand="0" w:evenVBand="0" w:oddHBand="0" w:evenHBand="1" w:firstRowFirstColumn="0" w:firstRowLastColumn="0" w:lastRowFirstColumn="0" w:lastRowLastColumn="0"/>
            </w:pPr>
            <w:r>
              <w:t>9.68</w:t>
            </w:r>
            <w:r w:rsidR="007018F2" w:rsidRPr="007018F2">
              <w:t>%</w:t>
            </w:r>
          </w:p>
        </w:tc>
        <w:tc>
          <w:tcPr>
            <w:tcW w:w="1212" w:type="dxa"/>
          </w:tcPr>
          <w:p w:rsidR="007018F2" w:rsidRPr="007018F2" w:rsidRDefault="007018F2" w:rsidP="00DA2B6F">
            <w:pPr>
              <w:keepNext/>
              <w:cnfStyle w:val="000000010000" w:firstRow="0" w:lastRow="0" w:firstColumn="0" w:lastColumn="0" w:oddVBand="0" w:evenVBand="0" w:oddHBand="0" w:evenHBand="1" w:firstRowFirstColumn="0" w:firstRowLastColumn="0" w:lastRowFirstColumn="0" w:lastRowLastColumn="0"/>
            </w:pPr>
            <w:r w:rsidRPr="007018F2">
              <w:t>0.90%</w:t>
            </w:r>
          </w:p>
        </w:tc>
        <w:tc>
          <w:tcPr>
            <w:tcW w:w="1213" w:type="dxa"/>
          </w:tcPr>
          <w:p w:rsidR="007018F2" w:rsidRPr="007018F2" w:rsidRDefault="007018F2" w:rsidP="00DA2B6F">
            <w:pPr>
              <w:keepNext/>
              <w:cnfStyle w:val="000000010000" w:firstRow="0" w:lastRow="0" w:firstColumn="0" w:lastColumn="0" w:oddVBand="0" w:evenVBand="0" w:oddHBand="0" w:evenHBand="1" w:firstRowFirstColumn="0" w:firstRowLastColumn="0" w:lastRowFirstColumn="0" w:lastRowLastColumn="0"/>
            </w:pPr>
            <w:r w:rsidRPr="007018F2">
              <w:t>0.90%</w:t>
            </w:r>
          </w:p>
        </w:tc>
        <w:tc>
          <w:tcPr>
            <w:tcW w:w="1213" w:type="dxa"/>
          </w:tcPr>
          <w:p w:rsidR="007018F2" w:rsidRPr="007018F2" w:rsidRDefault="007018F2" w:rsidP="00DA2B6F">
            <w:pPr>
              <w:keepNext/>
              <w:cnfStyle w:val="000000010000" w:firstRow="0" w:lastRow="0" w:firstColumn="0" w:lastColumn="0" w:oddVBand="0" w:evenVBand="0" w:oddHBand="0" w:evenHBand="1" w:firstRowFirstColumn="0" w:firstRowLastColumn="0" w:lastRowFirstColumn="0" w:lastRowLastColumn="0"/>
            </w:pPr>
            <w:r w:rsidRPr="007018F2">
              <w:t>0.90%</w:t>
            </w:r>
          </w:p>
        </w:tc>
        <w:tc>
          <w:tcPr>
            <w:tcW w:w="1213" w:type="dxa"/>
          </w:tcPr>
          <w:p w:rsidR="007018F2" w:rsidRPr="007018F2" w:rsidRDefault="007018F2" w:rsidP="00DA2B6F">
            <w:pPr>
              <w:keepNext/>
              <w:cnfStyle w:val="000000010000" w:firstRow="0" w:lastRow="0" w:firstColumn="0" w:lastColumn="0" w:oddVBand="0" w:evenVBand="0" w:oddHBand="0" w:evenHBand="1" w:firstRowFirstColumn="0" w:firstRowLastColumn="0" w:lastRowFirstColumn="0" w:lastRowLastColumn="0"/>
            </w:pPr>
            <w:r w:rsidRPr="007018F2">
              <w:t>0.90%</w:t>
            </w:r>
          </w:p>
        </w:tc>
      </w:tr>
      <w:tr w:rsidR="007018F2" w:rsidRPr="00502306" w:rsidTr="00F04988">
        <w:trPr>
          <w:trHeight w:val="262"/>
        </w:trPr>
        <w:tc>
          <w:tcPr>
            <w:cnfStyle w:val="001000000000" w:firstRow="0" w:lastRow="0" w:firstColumn="1" w:lastColumn="0" w:oddVBand="0" w:evenVBand="0" w:oddHBand="0" w:evenHBand="0" w:firstRowFirstColumn="0" w:firstRowLastColumn="0" w:lastRowFirstColumn="0" w:lastRowLastColumn="0"/>
            <w:tcW w:w="2663" w:type="dxa"/>
          </w:tcPr>
          <w:p w:rsidR="007018F2" w:rsidRPr="007018F2" w:rsidRDefault="007018F2" w:rsidP="00DA2B6F">
            <w:pPr>
              <w:keepNext/>
            </w:pPr>
            <w:r w:rsidRPr="007018F2">
              <w:t>Nominal price change</w:t>
            </w:r>
          </w:p>
        </w:tc>
        <w:tc>
          <w:tcPr>
            <w:tcW w:w="1213" w:type="dxa"/>
          </w:tcPr>
          <w:p w:rsidR="007018F2" w:rsidRPr="007018F2" w:rsidRDefault="007018F2" w:rsidP="001C577D">
            <w:pPr>
              <w:keepNext/>
              <w:cnfStyle w:val="000000000000" w:firstRow="0" w:lastRow="0" w:firstColumn="0" w:lastColumn="0" w:oddVBand="0" w:evenVBand="0" w:oddHBand="0" w:evenHBand="0" w:firstRowFirstColumn="0" w:firstRowLastColumn="0" w:lastRowFirstColumn="0" w:lastRowLastColumn="0"/>
            </w:pPr>
            <w:r w:rsidRPr="007018F2">
              <w:t>–7.</w:t>
            </w:r>
            <w:r w:rsidR="001C577D">
              <w:t>5</w:t>
            </w:r>
            <w:r w:rsidRPr="007018F2">
              <w:t>%</w:t>
            </w:r>
          </w:p>
        </w:tc>
        <w:tc>
          <w:tcPr>
            <w:tcW w:w="1212" w:type="dxa"/>
          </w:tcPr>
          <w:p w:rsidR="007018F2" w:rsidRPr="007018F2" w:rsidRDefault="007018F2" w:rsidP="00DA2B6F">
            <w:pPr>
              <w:keepNext/>
              <w:cnfStyle w:val="000000000000" w:firstRow="0" w:lastRow="0" w:firstColumn="0" w:lastColumn="0" w:oddVBand="0" w:evenVBand="0" w:oddHBand="0" w:evenHBand="0" w:firstRowFirstColumn="0" w:firstRowLastColumn="0" w:lastRowFirstColumn="0" w:lastRowLastColumn="0"/>
            </w:pPr>
            <w:r w:rsidRPr="007018F2">
              <w:t>1.5%</w:t>
            </w:r>
          </w:p>
        </w:tc>
        <w:tc>
          <w:tcPr>
            <w:tcW w:w="1213" w:type="dxa"/>
          </w:tcPr>
          <w:p w:rsidR="007018F2" w:rsidRPr="007018F2" w:rsidRDefault="007018F2" w:rsidP="00DA2B6F">
            <w:pPr>
              <w:keepNext/>
              <w:cnfStyle w:val="000000000000" w:firstRow="0" w:lastRow="0" w:firstColumn="0" w:lastColumn="0" w:oddVBand="0" w:evenVBand="0" w:oddHBand="0" w:evenHBand="0" w:firstRowFirstColumn="0" w:firstRowLastColumn="0" w:lastRowFirstColumn="0" w:lastRowLastColumn="0"/>
            </w:pPr>
            <w:r w:rsidRPr="007018F2">
              <w:t>1.5%</w:t>
            </w:r>
          </w:p>
        </w:tc>
        <w:tc>
          <w:tcPr>
            <w:tcW w:w="1213" w:type="dxa"/>
          </w:tcPr>
          <w:p w:rsidR="007018F2" w:rsidRPr="007018F2" w:rsidRDefault="007018F2" w:rsidP="00DA2B6F">
            <w:pPr>
              <w:keepNext/>
              <w:cnfStyle w:val="000000000000" w:firstRow="0" w:lastRow="0" w:firstColumn="0" w:lastColumn="0" w:oddVBand="0" w:evenVBand="0" w:oddHBand="0" w:evenHBand="0" w:firstRowFirstColumn="0" w:firstRowLastColumn="0" w:lastRowFirstColumn="0" w:lastRowLastColumn="0"/>
            </w:pPr>
            <w:r w:rsidRPr="007018F2">
              <w:t>1.5%</w:t>
            </w:r>
          </w:p>
        </w:tc>
        <w:tc>
          <w:tcPr>
            <w:tcW w:w="1213" w:type="dxa"/>
          </w:tcPr>
          <w:p w:rsidR="007018F2" w:rsidRPr="007018F2" w:rsidRDefault="007018F2" w:rsidP="00DA2B6F">
            <w:pPr>
              <w:keepNext/>
              <w:cnfStyle w:val="000000000000" w:firstRow="0" w:lastRow="0" w:firstColumn="0" w:lastColumn="0" w:oddVBand="0" w:evenVBand="0" w:oddHBand="0" w:evenHBand="0" w:firstRowFirstColumn="0" w:firstRowLastColumn="0" w:lastRowFirstColumn="0" w:lastRowLastColumn="0"/>
            </w:pPr>
            <w:r w:rsidRPr="007018F2">
              <w:t>1.5%</w:t>
            </w:r>
          </w:p>
        </w:tc>
      </w:tr>
      <w:tr w:rsidR="008E72AE" w:rsidRPr="00502306" w:rsidTr="008E72AE">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663" w:type="dxa"/>
          </w:tcPr>
          <w:p w:rsidR="008E72AE" w:rsidRPr="008E72AE" w:rsidRDefault="00CA1BD8" w:rsidP="00DA2B6F">
            <w:pPr>
              <w:keepNext/>
              <w:rPr>
                <w:rStyle w:val="Strong"/>
              </w:rPr>
            </w:pPr>
            <w:r>
              <w:rPr>
                <w:rStyle w:val="Strong"/>
              </w:rPr>
              <w:t>AusNet</w:t>
            </w:r>
            <w:r w:rsidR="008E72AE" w:rsidRPr="008E72AE">
              <w:rPr>
                <w:rStyle w:val="Strong"/>
              </w:rPr>
              <w:t xml:space="preserve"> proposal</w:t>
            </w:r>
          </w:p>
        </w:tc>
        <w:tc>
          <w:tcPr>
            <w:tcW w:w="1213" w:type="dxa"/>
          </w:tcPr>
          <w:p w:rsidR="008E72AE" w:rsidRPr="00E65F11" w:rsidRDefault="008E72AE" w:rsidP="00DA2B6F">
            <w:pPr>
              <w:keepNext/>
              <w:cnfStyle w:val="000000010000" w:firstRow="0" w:lastRow="0" w:firstColumn="0" w:lastColumn="0" w:oddVBand="0" w:evenVBand="0" w:oddHBand="0" w:evenHBand="1" w:firstRowFirstColumn="0" w:firstRowLastColumn="0" w:lastRowFirstColumn="0" w:lastRowLastColumn="0"/>
              <w:rPr>
                <w:rStyle w:val="Strong"/>
              </w:rPr>
            </w:pPr>
          </w:p>
        </w:tc>
        <w:tc>
          <w:tcPr>
            <w:tcW w:w="1212" w:type="dxa"/>
          </w:tcPr>
          <w:p w:rsidR="008E72AE" w:rsidRPr="00E65F11" w:rsidRDefault="008E72AE" w:rsidP="00DA2B6F">
            <w:pPr>
              <w:keepNext/>
              <w:cnfStyle w:val="000000010000" w:firstRow="0" w:lastRow="0" w:firstColumn="0" w:lastColumn="0" w:oddVBand="0" w:evenVBand="0" w:oddHBand="0" w:evenHBand="1" w:firstRowFirstColumn="0" w:firstRowLastColumn="0" w:lastRowFirstColumn="0" w:lastRowLastColumn="0"/>
              <w:rPr>
                <w:rStyle w:val="Strong"/>
              </w:rPr>
            </w:pPr>
          </w:p>
        </w:tc>
        <w:tc>
          <w:tcPr>
            <w:tcW w:w="1213" w:type="dxa"/>
          </w:tcPr>
          <w:p w:rsidR="008E72AE" w:rsidRPr="00E65F11" w:rsidRDefault="008E72AE" w:rsidP="00DA2B6F">
            <w:pPr>
              <w:keepNext/>
              <w:cnfStyle w:val="000000010000" w:firstRow="0" w:lastRow="0" w:firstColumn="0" w:lastColumn="0" w:oddVBand="0" w:evenVBand="0" w:oddHBand="0" w:evenHBand="1" w:firstRowFirstColumn="0" w:firstRowLastColumn="0" w:lastRowFirstColumn="0" w:lastRowLastColumn="0"/>
              <w:rPr>
                <w:rStyle w:val="Strong"/>
              </w:rPr>
            </w:pPr>
          </w:p>
        </w:tc>
        <w:tc>
          <w:tcPr>
            <w:tcW w:w="1213" w:type="dxa"/>
          </w:tcPr>
          <w:p w:rsidR="008E72AE" w:rsidRPr="00E65F11" w:rsidRDefault="008E72AE" w:rsidP="00DA2B6F">
            <w:pPr>
              <w:keepNext/>
              <w:cnfStyle w:val="000000010000" w:firstRow="0" w:lastRow="0" w:firstColumn="0" w:lastColumn="0" w:oddVBand="0" w:evenVBand="0" w:oddHBand="0" w:evenHBand="1" w:firstRowFirstColumn="0" w:firstRowLastColumn="0" w:lastRowFirstColumn="0" w:lastRowLastColumn="0"/>
              <w:rPr>
                <w:rStyle w:val="Strong"/>
              </w:rPr>
            </w:pPr>
          </w:p>
        </w:tc>
        <w:tc>
          <w:tcPr>
            <w:tcW w:w="1213" w:type="dxa"/>
          </w:tcPr>
          <w:p w:rsidR="008E72AE" w:rsidRPr="00E65F11" w:rsidRDefault="008E72AE" w:rsidP="00DA2B6F">
            <w:pPr>
              <w:keepNext/>
              <w:cnfStyle w:val="000000010000" w:firstRow="0" w:lastRow="0" w:firstColumn="0" w:lastColumn="0" w:oddVBand="0" w:evenVBand="0" w:oddHBand="0" w:evenHBand="1" w:firstRowFirstColumn="0" w:firstRowLastColumn="0" w:lastRowFirstColumn="0" w:lastRowLastColumn="0"/>
              <w:rPr>
                <w:rStyle w:val="Strong"/>
              </w:rPr>
            </w:pPr>
          </w:p>
        </w:tc>
      </w:tr>
      <w:tr w:rsidR="007018F2" w:rsidRPr="00502306" w:rsidTr="00F04988">
        <w:trPr>
          <w:trHeight w:val="83"/>
        </w:trPr>
        <w:tc>
          <w:tcPr>
            <w:cnfStyle w:val="001000000000" w:firstRow="0" w:lastRow="0" w:firstColumn="1" w:lastColumn="0" w:oddVBand="0" w:evenVBand="0" w:oddHBand="0" w:evenHBand="0" w:firstRowFirstColumn="0" w:firstRowLastColumn="0" w:lastRowFirstColumn="0" w:lastRowLastColumn="0"/>
            <w:tcW w:w="2663" w:type="dxa"/>
          </w:tcPr>
          <w:p w:rsidR="007018F2" w:rsidRPr="007018F2" w:rsidRDefault="007018F2" w:rsidP="00DA2B6F">
            <w:pPr>
              <w:keepNext/>
            </w:pPr>
            <w:r w:rsidRPr="007018F2">
              <w:t xml:space="preserve">X </w:t>
            </w:r>
            <w:proofErr w:type="spellStart"/>
            <w:r w:rsidRPr="007018F2">
              <w:t>factor</w:t>
            </w:r>
            <w:r w:rsidRPr="007018F2">
              <w:rPr>
                <w:rStyle w:val="AERsuperscript"/>
              </w:rPr>
              <w:t>a</w:t>
            </w:r>
            <w:proofErr w:type="spellEnd"/>
          </w:p>
        </w:tc>
        <w:tc>
          <w:tcPr>
            <w:tcW w:w="1213" w:type="dxa"/>
          </w:tcPr>
          <w:p w:rsidR="007018F2" w:rsidRPr="007018F2" w:rsidRDefault="007018F2" w:rsidP="00DA2B6F">
            <w:pPr>
              <w:keepNext/>
              <w:cnfStyle w:val="000000000000" w:firstRow="0" w:lastRow="0" w:firstColumn="0" w:lastColumn="0" w:oddVBand="0" w:evenVBand="0" w:oddHBand="0" w:evenHBand="0" w:firstRowFirstColumn="0" w:firstRowLastColumn="0" w:lastRowFirstColumn="0" w:lastRowLastColumn="0"/>
            </w:pPr>
            <w:r w:rsidRPr="007018F2">
              <w:t>5.00%</w:t>
            </w:r>
          </w:p>
        </w:tc>
        <w:tc>
          <w:tcPr>
            <w:tcW w:w="1212" w:type="dxa"/>
          </w:tcPr>
          <w:p w:rsidR="007018F2" w:rsidRPr="007018F2" w:rsidRDefault="007018F2" w:rsidP="00DA2B6F">
            <w:pPr>
              <w:keepNext/>
              <w:cnfStyle w:val="000000000000" w:firstRow="0" w:lastRow="0" w:firstColumn="0" w:lastColumn="0" w:oddVBand="0" w:evenVBand="0" w:oddHBand="0" w:evenHBand="0" w:firstRowFirstColumn="0" w:firstRowLastColumn="0" w:lastRowFirstColumn="0" w:lastRowLastColumn="0"/>
            </w:pPr>
            <w:r w:rsidRPr="007018F2">
              <w:t>–2.06%</w:t>
            </w:r>
          </w:p>
        </w:tc>
        <w:tc>
          <w:tcPr>
            <w:tcW w:w="1213" w:type="dxa"/>
          </w:tcPr>
          <w:p w:rsidR="007018F2" w:rsidRPr="007018F2" w:rsidRDefault="007018F2" w:rsidP="00DA2B6F">
            <w:pPr>
              <w:keepNext/>
              <w:cnfStyle w:val="000000000000" w:firstRow="0" w:lastRow="0" w:firstColumn="0" w:lastColumn="0" w:oddVBand="0" w:evenVBand="0" w:oddHBand="0" w:evenHBand="0" w:firstRowFirstColumn="0" w:firstRowLastColumn="0" w:lastRowFirstColumn="0" w:lastRowLastColumn="0"/>
            </w:pPr>
            <w:r w:rsidRPr="007018F2">
              <w:t>–2.06%</w:t>
            </w:r>
          </w:p>
        </w:tc>
        <w:tc>
          <w:tcPr>
            <w:tcW w:w="1213" w:type="dxa"/>
          </w:tcPr>
          <w:p w:rsidR="007018F2" w:rsidRPr="007018F2" w:rsidRDefault="007018F2" w:rsidP="00DA2B6F">
            <w:pPr>
              <w:keepNext/>
              <w:cnfStyle w:val="000000000000" w:firstRow="0" w:lastRow="0" w:firstColumn="0" w:lastColumn="0" w:oddVBand="0" w:evenVBand="0" w:oddHBand="0" w:evenHBand="0" w:firstRowFirstColumn="0" w:firstRowLastColumn="0" w:lastRowFirstColumn="0" w:lastRowLastColumn="0"/>
            </w:pPr>
            <w:r w:rsidRPr="007018F2">
              <w:t>–2.06%</w:t>
            </w:r>
          </w:p>
        </w:tc>
        <w:tc>
          <w:tcPr>
            <w:tcW w:w="1213" w:type="dxa"/>
          </w:tcPr>
          <w:p w:rsidR="007018F2" w:rsidRPr="007018F2" w:rsidRDefault="007018F2" w:rsidP="00DA2B6F">
            <w:pPr>
              <w:keepNext/>
              <w:cnfStyle w:val="000000000000" w:firstRow="0" w:lastRow="0" w:firstColumn="0" w:lastColumn="0" w:oddVBand="0" w:evenVBand="0" w:oddHBand="0" w:evenHBand="0" w:firstRowFirstColumn="0" w:firstRowLastColumn="0" w:lastRowFirstColumn="0" w:lastRowLastColumn="0"/>
            </w:pPr>
            <w:r w:rsidRPr="007018F2">
              <w:t>–2.06%</w:t>
            </w:r>
          </w:p>
        </w:tc>
      </w:tr>
      <w:tr w:rsidR="007018F2" w:rsidRPr="00502306" w:rsidTr="008E72AE">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663" w:type="dxa"/>
          </w:tcPr>
          <w:p w:rsidR="007018F2" w:rsidRPr="007018F2" w:rsidRDefault="007018F2" w:rsidP="00DA2B6F">
            <w:pPr>
              <w:keepNext/>
            </w:pPr>
            <w:r w:rsidRPr="007018F2">
              <w:t>Nominal price change</w:t>
            </w:r>
          </w:p>
        </w:tc>
        <w:tc>
          <w:tcPr>
            <w:tcW w:w="1213" w:type="dxa"/>
          </w:tcPr>
          <w:p w:rsidR="007018F2" w:rsidRPr="007018F2" w:rsidRDefault="007018F2" w:rsidP="00DA2B6F">
            <w:pPr>
              <w:keepNext/>
              <w:cnfStyle w:val="000000010000" w:firstRow="0" w:lastRow="0" w:firstColumn="0" w:lastColumn="0" w:oddVBand="0" w:evenVBand="0" w:oddHBand="0" w:evenHBand="1" w:firstRowFirstColumn="0" w:firstRowLastColumn="0" w:lastRowFirstColumn="0" w:lastRowLastColumn="0"/>
            </w:pPr>
            <w:r w:rsidRPr="007018F2">
              <w:t>–2.7%</w:t>
            </w:r>
          </w:p>
        </w:tc>
        <w:tc>
          <w:tcPr>
            <w:tcW w:w="1212" w:type="dxa"/>
          </w:tcPr>
          <w:p w:rsidR="007018F2" w:rsidRPr="007018F2" w:rsidRDefault="007018F2" w:rsidP="00DA2B6F">
            <w:pPr>
              <w:keepNext/>
              <w:cnfStyle w:val="000000010000" w:firstRow="0" w:lastRow="0" w:firstColumn="0" w:lastColumn="0" w:oddVBand="0" w:evenVBand="0" w:oddHBand="0" w:evenHBand="1" w:firstRowFirstColumn="0" w:firstRowLastColumn="0" w:lastRowFirstColumn="0" w:lastRowLastColumn="0"/>
            </w:pPr>
            <w:r w:rsidRPr="007018F2">
              <w:t>4.6%</w:t>
            </w:r>
          </w:p>
        </w:tc>
        <w:tc>
          <w:tcPr>
            <w:tcW w:w="1213" w:type="dxa"/>
          </w:tcPr>
          <w:p w:rsidR="007018F2" w:rsidRPr="007018F2" w:rsidRDefault="007018F2" w:rsidP="00DA2B6F">
            <w:pPr>
              <w:keepNext/>
              <w:cnfStyle w:val="000000010000" w:firstRow="0" w:lastRow="0" w:firstColumn="0" w:lastColumn="0" w:oddVBand="0" w:evenVBand="0" w:oddHBand="0" w:evenHBand="1" w:firstRowFirstColumn="0" w:firstRowLastColumn="0" w:lastRowFirstColumn="0" w:lastRowLastColumn="0"/>
            </w:pPr>
            <w:r w:rsidRPr="007018F2">
              <w:t>4.6%</w:t>
            </w:r>
          </w:p>
        </w:tc>
        <w:tc>
          <w:tcPr>
            <w:tcW w:w="1213" w:type="dxa"/>
          </w:tcPr>
          <w:p w:rsidR="007018F2" w:rsidRPr="007018F2" w:rsidRDefault="007018F2" w:rsidP="00DA2B6F">
            <w:pPr>
              <w:keepNext/>
              <w:cnfStyle w:val="000000010000" w:firstRow="0" w:lastRow="0" w:firstColumn="0" w:lastColumn="0" w:oddVBand="0" w:evenVBand="0" w:oddHBand="0" w:evenHBand="1" w:firstRowFirstColumn="0" w:firstRowLastColumn="0" w:lastRowFirstColumn="0" w:lastRowLastColumn="0"/>
            </w:pPr>
            <w:r w:rsidRPr="007018F2">
              <w:t>4.6%</w:t>
            </w:r>
          </w:p>
        </w:tc>
        <w:tc>
          <w:tcPr>
            <w:tcW w:w="1213" w:type="dxa"/>
          </w:tcPr>
          <w:p w:rsidR="007018F2" w:rsidRPr="007018F2" w:rsidRDefault="007018F2" w:rsidP="00DA2B6F">
            <w:pPr>
              <w:keepNext/>
              <w:cnfStyle w:val="000000010000" w:firstRow="0" w:lastRow="0" w:firstColumn="0" w:lastColumn="0" w:oddVBand="0" w:evenVBand="0" w:oddHBand="0" w:evenHBand="1" w:firstRowFirstColumn="0" w:firstRowLastColumn="0" w:lastRowFirstColumn="0" w:lastRowLastColumn="0"/>
            </w:pPr>
            <w:r w:rsidRPr="007018F2">
              <w:t>4.6%</w:t>
            </w:r>
          </w:p>
        </w:tc>
      </w:tr>
    </w:tbl>
    <w:p w:rsidR="008E72AE" w:rsidRPr="008E72AE" w:rsidRDefault="008E72AE" w:rsidP="00DA2B6F">
      <w:pPr>
        <w:pStyle w:val="AERtablesource"/>
        <w:keepNext/>
        <w:rPr>
          <w:rFonts w:eastAsia="Calibri"/>
        </w:rPr>
      </w:pPr>
      <w:r w:rsidRPr="008E72AE">
        <w:rPr>
          <w:rFonts w:eastAsia="Calibri"/>
        </w:rPr>
        <w:t xml:space="preserve">Source: </w:t>
      </w:r>
      <w:r w:rsidRPr="008E72AE">
        <w:rPr>
          <w:rFonts w:eastAsia="Calibri"/>
        </w:rPr>
        <w:tab/>
      </w:r>
    </w:p>
    <w:p w:rsidR="008E72AE" w:rsidRDefault="008E72AE" w:rsidP="00DA2B6F">
      <w:pPr>
        <w:pStyle w:val="AERtablesource"/>
        <w:keepNext/>
      </w:pPr>
      <w:r>
        <w:t xml:space="preserve"> (</w:t>
      </w:r>
      <w:r w:rsidRPr="00E65F11">
        <w:t>a)</w:t>
      </w:r>
      <w:r w:rsidRPr="00E65F11">
        <w:tab/>
        <w:t xml:space="preserve">Under the CPI–X form of control, a positive X factor is a decrease in price (and therefore in revenue). For example, an X factor of </w:t>
      </w:r>
      <w:r w:rsidR="009620B6">
        <w:t>9.68</w:t>
      </w:r>
      <w:r w:rsidRPr="00E65F11">
        <w:t xml:space="preserve"> per cent in 201</w:t>
      </w:r>
      <w:r>
        <w:t>8</w:t>
      </w:r>
      <w:r w:rsidRPr="00E65F11">
        <w:t xml:space="preserve"> means a real price </w:t>
      </w:r>
      <w:r>
        <w:t>de</w:t>
      </w:r>
      <w:r w:rsidRPr="00E65F11">
        <w:t xml:space="preserve">crease of </w:t>
      </w:r>
      <w:r w:rsidR="009620B6">
        <w:t>9.68</w:t>
      </w:r>
      <w:r w:rsidR="007018F2" w:rsidRPr="00E65F11">
        <w:t xml:space="preserve"> </w:t>
      </w:r>
      <w:r w:rsidRPr="00E65F11">
        <w:t xml:space="preserve">per cent that year. After consideration of inflation (assumed at </w:t>
      </w:r>
      <w:r w:rsidR="007018F2">
        <w:t>2.45</w:t>
      </w:r>
      <w:r w:rsidR="007018F2" w:rsidRPr="00E65F11">
        <w:t xml:space="preserve"> </w:t>
      </w:r>
      <w:r w:rsidRPr="00E65F11">
        <w:t xml:space="preserve">per cent) this becomes a nominal price </w:t>
      </w:r>
      <w:r>
        <w:t>de</w:t>
      </w:r>
      <w:r w:rsidRPr="00E65F11">
        <w:t xml:space="preserve">crease of </w:t>
      </w:r>
      <w:r w:rsidR="007018F2">
        <w:t>7.</w:t>
      </w:r>
      <w:r w:rsidR="001C577D">
        <w:t>5</w:t>
      </w:r>
      <w:r w:rsidR="007018F2" w:rsidRPr="00E65F11">
        <w:t xml:space="preserve"> </w:t>
      </w:r>
      <w:r w:rsidRPr="00E65F11">
        <w:t>per cent.</w:t>
      </w:r>
    </w:p>
    <w:p w:rsidR="008E72AE" w:rsidRPr="00AE059C" w:rsidRDefault="008E72AE" w:rsidP="00DA2B6F">
      <w:pPr>
        <w:pStyle w:val="AERtablesource"/>
        <w:keepNext/>
      </w:pPr>
      <w:r>
        <w:t>(b)</w:t>
      </w:r>
      <w:r>
        <w:tab/>
        <w:t xml:space="preserve">For comparison purposes the nominal price changes are derived from the real price changes for </w:t>
      </w:r>
      <w:r w:rsidR="00751622">
        <w:t>AusN</w:t>
      </w:r>
      <w:r>
        <w:t xml:space="preserve">et adjusted by AER's draft decision forecast inflation of </w:t>
      </w:r>
      <w:r w:rsidR="007018F2">
        <w:t xml:space="preserve">2.45 </w:t>
      </w:r>
      <w:r>
        <w:t>per cent.</w:t>
      </w:r>
    </w:p>
    <w:p w:rsidR="008E72AE" w:rsidRPr="00EF1FAE" w:rsidRDefault="008E72AE" w:rsidP="00EF1FAE">
      <w:r w:rsidRPr="00EF1FAE">
        <w:fldChar w:fldCharType="begin"/>
      </w:r>
      <w:r w:rsidRPr="00EF1FAE">
        <w:instrText xml:space="preserve"> REF _Ref481081530 \h  \* MERGEFORMAT </w:instrText>
      </w:r>
      <w:r w:rsidRPr="00EF1FAE">
        <w:fldChar w:fldCharType="separate"/>
      </w:r>
      <w:r w:rsidR="00EE5745">
        <w:t>Figure 4</w:t>
      </w:r>
      <w:r w:rsidR="00EE5745">
        <w:noBreakHyphen/>
        <w:t>3</w:t>
      </w:r>
      <w:r w:rsidRPr="00EF1FAE">
        <w:fldChar w:fldCharType="end"/>
      </w:r>
      <w:r w:rsidRPr="00EF1FAE">
        <w:t xml:space="preserve"> shows indicative tariff paths for </w:t>
      </w:r>
      <w:r w:rsidR="00751622" w:rsidRPr="00EF1FAE">
        <w:t>AusN</w:t>
      </w:r>
      <w:r w:rsidRPr="00EF1FAE">
        <w:t xml:space="preserve">et's reference services from </w:t>
      </w:r>
      <w:r w:rsidR="009163A0">
        <w:t>2013</w:t>
      </w:r>
      <w:r w:rsidR="009163A0" w:rsidRPr="00EF1FAE">
        <w:t xml:space="preserve"> </w:t>
      </w:r>
      <w:r w:rsidRPr="00EF1FAE">
        <w:t xml:space="preserve">to 2022. It compares </w:t>
      </w:r>
      <w:r w:rsidR="00751622" w:rsidRPr="00EF1FAE">
        <w:t>AusN</w:t>
      </w:r>
      <w:r w:rsidRPr="00EF1FAE">
        <w:t>et's proposed tariff path with that approved in the 2013–17 access arrangement, and with this draft decision.</w:t>
      </w:r>
      <w:r w:rsidRPr="00EF1FAE">
        <w:rPr>
          <w:rStyle w:val="FootnoteReference"/>
        </w:rPr>
        <w:footnoteReference w:id="21"/>
      </w:r>
      <w:r w:rsidRPr="00EF1FAE">
        <w:t xml:space="preserve"> This provides a broad overall indication of the average movement across </w:t>
      </w:r>
      <w:r w:rsidR="00780339">
        <w:t xml:space="preserve">several access arrangement </w:t>
      </w:r>
      <w:r w:rsidRPr="00EF1FAE">
        <w:t>period</w:t>
      </w:r>
      <w:r w:rsidR="00780339">
        <w:t>s</w:t>
      </w:r>
      <w:r w:rsidRPr="00EF1FAE">
        <w:t>.</w:t>
      </w:r>
    </w:p>
    <w:p w:rsidR="008E72AE" w:rsidRDefault="008E72AE" w:rsidP="008E72AE">
      <w:pPr>
        <w:pStyle w:val="Caption"/>
      </w:pPr>
      <w:bookmarkStart w:id="126" w:name="_Ref481081530"/>
      <w:r>
        <w:t xml:space="preserve">Figure </w:t>
      </w:r>
      <w:fldSimple w:instr=" STYLEREF 1 \s ">
        <w:r w:rsidR="00EE5745">
          <w:rPr>
            <w:noProof/>
          </w:rPr>
          <w:t>4</w:t>
        </w:r>
      </w:fldSimple>
      <w:r w:rsidR="002B4532">
        <w:noBreakHyphen/>
      </w:r>
      <w:fldSimple w:instr=" SEQ Figure \* ARABIC \s 1 ">
        <w:r w:rsidR="00EE5745">
          <w:rPr>
            <w:noProof/>
          </w:rPr>
          <w:t>3</w:t>
        </w:r>
      </w:fldSimple>
      <w:bookmarkEnd w:id="126"/>
      <w:r w:rsidRPr="0080422F">
        <w:tab/>
        <w:t xml:space="preserve">Indicative reference tariff paths for </w:t>
      </w:r>
      <w:r w:rsidR="00751622">
        <w:t>AusN</w:t>
      </w:r>
      <w:r>
        <w:t>et</w:t>
      </w:r>
      <w:r w:rsidRPr="0080422F">
        <w:t xml:space="preserve">'s reference services from </w:t>
      </w:r>
      <w:r w:rsidR="009163A0" w:rsidRPr="0080422F">
        <w:t>20</w:t>
      </w:r>
      <w:r w:rsidR="009163A0">
        <w:t>13</w:t>
      </w:r>
      <w:r w:rsidR="009163A0" w:rsidRPr="0080422F">
        <w:t xml:space="preserve"> </w:t>
      </w:r>
      <w:r w:rsidRPr="0080422F">
        <w:t>to 202</w:t>
      </w:r>
      <w:r>
        <w:t>2</w:t>
      </w:r>
      <w:r w:rsidRPr="0080422F">
        <w:t xml:space="preserve"> (nominal index)</w:t>
      </w:r>
    </w:p>
    <w:p w:rsidR="00CB61A1" w:rsidRPr="00CB61A1" w:rsidRDefault="00CB61A1" w:rsidP="00D636F1">
      <w:r w:rsidRPr="0087710A">
        <w:rPr>
          <w:noProof/>
          <w:lang w:eastAsia="en-AU"/>
        </w:rPr>
        <w:drawing>
          <wp:inline distT="0" distB="0" distL="0" distR="0" wp14:anchorId="6FE60EAC" wp14:editId="67CDD425">
            <wp:extent cx="5382895" cy="3256191"/>
            <wp:effectExtent l="0" t="0" r="8255" b="1905"/>
            <wp:docPr id="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3256191"/>
                    </a:xfrm>
                    <a:prstGeom prst="rect">
                      <a:avLst/>
                    </a:prstGeom>
                    <a:noFill/>
                    <a:extLst/>
                  </pic:spPr>
                </pic:pic>
              </a:graphicData>
            </a:graphic>
          </wp:inline>
        </w:drawing>
      </w:r>
    </w:p>
    <w:p w:rsidR="008E72AE" w:rsidRPr="008E72AE" w:rsidRDefault="008E72AE" w:rsidP="008E72AE">
      <w:pPr>
        <w:pStyle w:val="AERtablesource"/>
        <w:rPr>
          <w:rFonts w:eastAsia="Calibri"/>
        </w:rPr>
      </w:pPr>
      <w:r w:rsidRPr="008E72AE">
        <w:rPr>
          <w:rFonts w:eastAsia="Calibri"/>
        </w:rPr>
        <w:t xml:space="preserve">Source: </w:t>
      </w:r>
      <w:r w:rsidRPr="008E72AE">
        <w:rPr>
          <w:rFonts w:eastAsia="Calibri"/>
        </w:rPr>
        <w:tab/>
      </w:r>
      <w:r>
        <w:t>AER analysis;</w:t>
      </w:r>
      <w:r w:rsidRPr="0080422F">
        <w:t xml:space="preserve"> </w:t>
      </w:r>
    </w:p>
    <w:p w:rsidR="008E72AE" w:rsidRPr="00EF1FAE" w:rsidRDefault="00751622" w:rsidP="00EF1FAE">
      <w:r w:rsidRPr="00EF1FAE">
        <w:t>AusN</w:t>
      </w:r>
      <w:r w:rsidR="008E72AE" w:rsidRPr="00EF1FAE">
        <w:t xml:space="preserve">et’s proposed tariff path suggested an </w:t>
      </w:r>
      <w:r w:rsidR="00CA1BD8" w:rsidRPr="00EF1FAE">
        <w:t>initial decrease</w:t>
      </w:r>
      <w:r w:rsidR="008E72AE" w:rsidRPr="00EF1FAE">
        <w:t xml:space="preserve"> of </w:t>
      </w:r>
      <w:r w:rsidR="007018F2" w:rsidRPr="00EF1FAE">
        <w:t xml:space="preserve">3.4 </w:t>
      </w:r>
      <w:r w:rsidR="008E72AE" w:rsidRPr="00EF1FAE">
        <w:t xml:space="preserve">per cent (in nominal terms) in 2018, followed by tariffs that increase at </w:t>
      </w:r>
      <w:r w:rsidR="007018F2" w:rsidRPr="00EF1FAE">
        <w:t>3.7</w:t>
      </w:r>
      <w:r w:rsidR="008E72AE" w:rsidRPr="00EF1FAE">
        <w:t xml:space="preserve"> per cent per year for the remaining years of the 2018–22 access arrangement </w:t>
      </w:r>
      <w:proofErr w:type="gramStart"/>
      <w:r w:rsidR="008E72AE" w:rsidRPr="00EF1FAE">
        <w:t>period</w:t>
      </w:r>
      <w:proofErr w:type="gramEnd"/>
      <w:r w:rsidR="008E72AE" w:rsidRPr="00EF1FAE">
        <w:t>.</w:t>
      </w:r>
      <w:r w:rsidR="00F20919">
        <w:rPr>
          <w:rStyle w:val="FootnoteReference"/>
        </w:rPr>
        <w:footnoteReference w:id="22"/>
      </w:r>
      <w:r w:rsidR="008E72AE" w:rsidRPr="00EF1FAE">
        <w:t xml:space="preserve"> Our draft decision provides for lower total smoothed revenue than </w:t>
      </w:r>
      <w:r w:rsidRPr="00EF1FAE">
        <w:t>AusN</w:t>
      </w:r>
      <w:r w:rsidR="008E72AE" w:rsidRPr="00EF1FAE">
        <w:t>et's proposal, in line with our</w:t>
      </w:r>
      <w:r w:rsidR="008E72AE" w:rsidRPr="00F7736B">
        <w:rPr>
          <w:rStyle w:val="AERtexthighlight"/>
        </w:rPr>
        <w:t xml:space="preserve"> </w:t>
      </w:r>
      <w:r w:rsidR="008E72AE" w:rsidRPr="00EF1FAE">
        <w:t xml:space="preserve">amendments to total unsmoothed revenue. As such, a decrease of </w:t>
      </w:r>
      <w:r w:rsidR="007018F2" w:rsidRPr="00EF1FAE">
        <w:t>7.</w:t>
      </w:r>
      <w:r w:rsidR="001C577D">
        <w:t>5</w:t>
      </w:r>
      <w:r w:rsidR="007018F2" w:rsidRPr="00EF1FAE">
        <w:t xml:space="preserve"> </w:t>
      </w:r>
      <w:r w:rsidR="008E72AE" w:rsidRPr="00EF1FAE">
        <w:t xml:space="preserve">per cent to tariffs is required at the start of the 2018–22 access arrangement </w:t>
      </w:r>
      <w:proofErr w:type="gramStart"/>
      <w:r w:rsidR="008E72AE" w:rsidRPr="00EF1FAE">
        <w:t>period</w:t>
      </w:r>
      <w:proofErr w:type="gramEnd"/>
      <w:r w:rsidR="008E72AE" w:rsidRPr="00EF1FAE">
        <w:t xml:space="preserve"> to reflect the change in smoothed revenue from the 2013–17 access arrangement period. This is followed by increases </w:t>
      </w:r>
      <w:r w:rsidR="001123CA" w:rsidRPr="00EF1FAE">
        <w:t xml:space="preserve">of 1.5 per cent per year for the remaining years of the 2018–22 access arrangement </w:t>
      </w:r>
      <w:proofErr w:type="gramStart"/>
      <w:r w:rsidR="001123CA" w:rsidRPr="00EF1FAE">
        <w:t>period—</w:t>
      </w:r>
      <w:proofErr w:type="gramEnd"/>
      <w:r w:rsidR="001123CA" w:rsidRPr="00EF1FAE">
        <w:t>less than expected inflation.</w:t>
      </w:r>
    </w:p>
    <w:p w:rsidR="008E72AE" w:rsidRPr="00EF1FAE" w:rsidRDefault="008E72AE" w:rsidP="00EF1FAE">
      <w:r w:rsidRPr="00EF1FAE">
        <w:t>In choosing the smoothing profile for this draft decision we have balanced a number of competing objectives:</w:t>
      </w:r>
    </w:p>
    <w:p w:rsidR="008E72AE" w:rsidRPr="00EF1FAE" w:rsidRDefault="008E72AE" w:rsidP="00EF1FAE">
      <w:pPr>
        <w:pStyle w:val="AERbulletlistfirststyle"/>
        <w:rPr>
          <w:rStyle w:val="AERtexthighlight"/>
          <w:shd w:val="clear" w:color="auto" w:fill="auto"/>
        </w:rPr>
      </w:pPr>
      <w:r w:rsidRPr="00EF1FAE">
        <w:rPr>
          <w:rStyle w:val="AERtexthighlight"/>
          <w:shd w:val="clear" w:color="auto" w:fill="auto"/>
        </w:rPr>
        <w:t>Equalising (in NPV terms) unsmoothed and smoothed revenue</w:t>
      </w:r>
    </w:p>
    <w:p w:rsidR="008E72AE" w:rsidRPr="00EF1FAE" w:rsidRDefault="008E72AE" w:rsidP="00EF1FAE">
      <w:pPr>
        <w:pStyle w:val="AERbulletlistfirststyle"/>
        <w:rPr>
          <w:rStyle w:val="AERtexthighlight"/>
          <w:shd w:val="clear" w:color="auto" w:fill="auto"/>
        </w:rPr>
      </w:pPr>
      <w:r w:rsidRPr="00EF1FAE">
        <w:rPr>
          <w:rStyle w:val="AERtexthighlight"/>
          <w:shd w:val="clear" w:color="auto" w:fill="auto"/>
        </w:rPr>
        <w:t>Providing price signals that reflect the underlying efficient costs</w:t>
      </w:r>
    </w:p>
    <w:p w:rsidR="008E72AE" w:rsidRPr="00EF1FAE" w:rsidRDefault="008E72AE" w:rsidP="00EF1FAE">
      <w:pPr>
        <w:pStyle w:val="AERbulletlistfirststyle"/>
        <w:rPr>
          <w:rStyle w:val="AERtexthighlight"/>
          <w:shd w:val="clear" w:color="auto" w:fill="auto"/>
        </w:rPr>
      </w:pPr>
      <w:r w:rsidRPr="00EF1FAE">
        <w:rPr>
          <w:rStyle w:val="AERtexthighlight"/>
          <w:shd w:val="clear" w:color="auto" w:fill="auto"/>
        </w:rPr>
        <w:t>Minimising tariff variability from 2017 and within the 2018–22 access arrangement period</w:t>
      </w:r>
    </w:p>
    <w:p w:rsidR="008E72AE" w:rsidRPr="00EF1FAE" w:rsidRDefault="008E72AE" w:rsidP="00EF1FAE">
      <w:pPr>
        <w:pStyle w:val="AERbulletlistfirststyle"/>
        <w:rPr>
          <w:rStyle w:val="AERtexthighlight"/>
          <w:shd w:val="clear" w:color="auto" w:fill="auto"/>
        </w:rPr>
      </w:pPr>
      <w:r w:rsidRPr="00EF1FAE">
        <w:rPr>
          <w:rStyle w:val="AERtexthighlight"/>
          <w:shd w:val="clear" w:color="auto" w:fill="auto"/>
        </w:rPr>
        <w:t>Minimising the likelihood of variability in tariffs at the start of the 2023–27 access arrangement period.</w:t>
      </w:r>
    </w:p>
    <w:p w:rsidR="008E72AE" w:rsidRPr="00F04988" w:rsidRDefault="008E72AE" w:rsidP="00EF1FAE">
      <w:r w:rsidRPr="00F04988">
        <w:t>Each of these points is discussed in turn.</w:t>
      </w:r>
    </w:p>
    <w:p w:rsidR="008E72AE" w:rsidRPr="00F04988" w:rsidRDefault="008E72AE" w:rsidP="00913D4A">
      <w:r w:rsidRPr="00F04988">
        <w:t xml:space="preserve">First, we are satisfied that our draft decision tariff path for </w:t>
      </w:r>
      <w:r w:rsidR="00751622" w:rsidRPr="00F04988">
        <w:t>AusN</w:t>
      </w:r>
      <w:r w:rsidRPr="00F04988">
        <w:t>et's 2018–22 access arrangement period achieves revenue equalisation as required by rule 92(2) of the NGR.</w:t>
      </w:r>
      <w:r w:rsidRPr="00EF1FAE">
        <w:rPr>
          <w:rStyle w:val="FootnoteReference"/>
        </w:rPr>
        <w:footnoteReference w:id="23"/>
      </w:r>
      <w:r w:rsidRPr="00F04988">
        <w:t xml:space="preserve"> As set out above, our draft decision reduces the unsmoothed revenue proposed by </w:t>
      </w:r>
      <w:r w:rsidR="00751622" w:rsidRPr="00F04988">
        <w:t>AusN</w:t>
      </w:r>
      <w:r w:rsidRPr="00F04988">
        <w:t xml:space="preserve">et. Accordingly, we set the tariff path so that it adjusts the smoothed revenue downward to better reflect the unsmoothed building block costs. </w:t>
      </w:r>
    </w:p>
    <w:p w:rsidR="008E72AE" w:rsidRPr="00F04988" w:rsidRDefault="008E72AE" w:rsidP="005B5FD8">
      <w:r w:rsidRPr="00F04988">
        <w:t xml:space="preserve">Second, but closely related to the first point, our smoothing allows closer alignment of tariffs and costs. This aids </w:t>
      </w:r>
      <w:r w:rsidR="007A5CAB">
        <w:t>in</w:t>
      </w:r>
      <w:r w:rsidR="007A5CAB" w:rsidRPr="00F04988">
        <w:t xml:space="preserve"> </w:t>
      </w:r>
      <w:r w:rsidRPr="00F04988">
        <w:t>achiev</w:t>
      </w:r>
      <w:r w:rsidR="007A5CAB">
        <w:t>ing</w:t>
      </w:r>
      <w:r w:rsidRPr="00F04988">
        <w:t xml:space="preserve"> of the NGO and the revenue and pricing principles</w:t>
      </w:r>
      <w:r w:rsidR="007A5CAB">
        <w:t xml:space="preserve"> by</w:t>
      </w:r>
      <w:r w:rsidRPr="00F04988">
        <w:t xml:space="preserve"> providing a price signal that facilitates efficient use of natural gas services.</w:t>
      </w:r>
      <w:r w:rsidRPr="00EF1FAE">
        <w:rPr>
          <w:rStyle w:val="FootnoteReference"/>
        </w:rPr>
        <w:footnoteReference w:id="24"/>
      </w:r>
      <w:r w:rsidRPr="00F04988">
        <w:t xml:space="preserve"> Our draft decision tariff path shows a </w:t>
      </w:r>
      <w:r w:rsidR="00352AED">
        <w:t xml:space="preserve">larger </w:t>
      </w:r>
      <w:r w:rsidRPr="00F04988">
        <w:t xml:space="preserve">decrease in the first year of the 2018-22 access arrangement </w:t>
      </w:r>
      <w:proofErr w:type="gramStart"/>
      <w:r w:rsidRPr="00F04988">
        <w:t>period</w:t>
      </w:r>
      <w:proofErr w:type="gramEnd"/>
      <w:r w:rsidRPr="00F04988">
        <w:t>, reflecting the lower unsmoothed building block costs.</w:t>
      </w:r>
    </w:p>
    <w:p w:rsidR="008E72AE" w:rsidRPr="00F04988" w:rsidRDefault="008E72AE" w:rsidP="005B5FD8">
      <w:r w:rsidRPr="00F04988">
        <w:t>Third, in setting the tariff path, we aim to minimise tariff volatility from 2017 to 2018 and within the 2018–22 access arrangement period. Our chosen tariff path reflects this objective, but also reflects the consideration we must give to other competing objectives. For instance, setting a flat tariff path from 2017 would better minimise volatility within the 2018-22 access arrangement period, but would not achieve revenue equalisation</w:t>
      </w:r>
      <w:r w:rsidR="00352AED">
        <w:t xml:space="preserve"> between tariffs and costs</w:t>
      </w:r>
      <w:r w:rsidRPr="00F04988">
        <w:t xml:space="preserve">. </w:t>
      </w:r>
    </w:p>
    <w:p w:rsidR="008E72AE" w:rsidRPr="00F04988" w:rsidRDefault="008E72AE" w:rsidP="005B5FD8">
      <w:r w:rsidRPr="00F04988">
        <w:t xml:space="preserve">Fourth, in setting the tariff path, we also aim to minimise the likelihood of tariff volatility between this access arrangement period and the next. We do not know with certainty what </w:t>
      </w:r>
      <w:r w:rsidR="00751622" w:rsidRPr="00F04988">
        <w:t>AusN</w:t>
      </w:r>
      <w:r w:rsidRPr="00F04988">
        <w:t xml:space="preserve">et's efficient costs will be in </w:t>
      </w:r>
      <w:r w:rsidR="00F633B6" w:rsidRPr="00F04988">
        <w:t>202</w:t>
      </w:r>
      <w:r w:rsidR="00FA4C1D">
        <w:t>3</w:t>
      </w:r>
      <w:r w:rsidRPr="00F04988">
        <w:t xml:space="preserve"> or across the 2023–27 access arrangement </w:t>
      </w:r>
      <w:proofErr w:type="gramStart"/>
      <w:r w:rsidRPr="00F04988">
        <w:t>period</w:t>
      </w:r>
      <w:proofErr w:type="gramEnd"/>
      <w:r w:rsidRPr="00F04988">
        <w:t xml:space="preserve"> more generally. The unsmoothed building block costs for 2022 (the last year of </w:t>
      </w:r>
      <w:r w:rsidR="00751622" w:rsidRPr="00F04988">
        <w:t>AusN</w:t>
      </w:r>
      <w:r w:rsidRPr="00F04988">
        <w:t xml:space="preserve">et's 2018–22 access arrangement </w:t>
      </w:r>
      <w:proofErr w:type="gramStart"/>
      <w:r w:rsidRPr="00F04988">
        <w:t>period</w:t>
      </w:r>
      <w:proofErr w:type="gramEnd"/>
      <w:r w:rsidRPr="00F04988">
        <w:t xml:space="preserve">) are the best available proxy. Hence, this objective requires minimising the divergence between the smoothed and unsmoothed revenues for the last year of the access arrangement period. If we assume no significant changes in forecast costs from 2022 to 2023, this final year divergence gives us an estimate of the size of the tariff change at the start of the 2023–27 access arrangement </w:t>
      </w:r>
      <w:proofErr w:type="gramStart"/>
      <w:r w:rsidRPr="00F04988">
        <w:t>period</w:t>
      </w:r>
      <w:proofErr w:type="gramEnd"/>
      <w:r w:rsidRPr="00F04988">
        <w:t xml:space="preserve">. </w:t>
      </w:r>
    </w:p>
    <w:p w:rsidR="008E72AE" w:rsidRPr="00F04988" w:rsidRDefault="008E72AE" w:rsidP="005B5FD8">
      <w:r w:rsidRPr="00F04988">
        <w:t xml:space="preserve">For this draft decision, this final year divergence is </w:t>
      </w:r>
      <w:r w:rsidR="0018567A">
        <w:t>2.95</w:t>
      </w:r>
      <w:r w:rsidR="001123CA" w:rsidRPr="00F04988">
        <w:t xml:space="preserve"> </w:t>
      </w:r>
      <w:r w:rsidRPr="00F04988">
        <w:t xml:space="preserve">per cent. The divergence is within our usual target range of 3 per cent. However, the profile of unsmoothed building block revenues and forecast demand constrain our ability to smooth the revenues without causing significant tariff volatility. Working with these constraints, our draft decision is to give primary weight </w:t>
      </w:r>
      <w:r w:rsidR="007A5CAB">
        <w:t>to</w:t>
      </w:r>
      <w:r w:rsidR="007A5CAB" w:rsidRPr="00F04988">
        <w:t xml:space="preserve"> </w:t>
      </w:r>
      <w:r w:rsidRPr="00F04988">
        <w:t xml:space="preserve">smoothing tariffs within the 2018–22 access arrangement </w:t>
      </w:r>
      <w:proofErr w:type="gramStart"/>
      <w:r w:rsidRPr="00F04988">
        <w:t>period</w:t>
      </w:r>
      <w:proofErr w:type="gramEnd"/>
      <w:r w:rsidRPr="00F04988">
        <w:t>, while minimising the final year divergence of smoothed revenue and unsmoothed revenues to the extent possible. We note that if there are significant changes in costs at the start of the 2023–27 access arrangement period, this might increase or decrease the required tariff change at that time.</w:t>
      </w:r>
    </w:p>
    <w:p w:rsidR="008E72AE" w:rsidRPr="00EF1FAE" w:rsidRDefault="008E72AE" w:rsidP="00EF1FAE">
      <w:r w:rsidRPr="00F04988">
        <w:t>We are satisfied that our draft decision tariff path reflects our balanced consideration of these competing objectives. We will review this smoothing profile for the final decision</w:t>
      </w:r>
      <w:r w:rsidRPr="00F7736B">
        <w:rPr>
          <w:rStyle w:val="AERtexthighlight"/>
        </w:rPr>
        <w:t xml:space="preserve"> </w:t>
      </w:r>
      <w:r w:rsidRPr="00EF1FAE">
        <w:t xml:space="preserve">if necessary. </w:t>
      </w:r>
    </w:p>
    <w:p w:rsidR="00BE78FB" w:rsidRDefault="00BE78FB" w:rsidP="00BE78FB">
      <w:pPr>
        <w:pStyle w:val="Heading1"/>
      </w:pPr>
      <w:bookmarkStart w:id="127" w:name="_Toc481056451"/>
      <w:bookmarkStart w:id="128" w:name="_Ref481056648"/>
      <w:bookmarkStart w:id="129" w:name="_Ref481078946"/>
      <w:bookmarkStart w:id="130" w:name="_Toc487017917"/>
      <w:r>
        <w:t>Key elements of our draft decision on revenue</w:t>
      </w:r>
      <w:bookmarkEnd w:id="127"/>
      <w:bookmarkEnd w:id="128"/>
      <w:bookmarkEnd w:id="129"/>
      <w:bookmarkEnd w:id="130"/>
    </w:p>
    <w:p w:rsidR="00BE78FB" w:rsidRPr="00DD2B2D" w:rsidRDefault="00BE78FB" w:rsidP="00BE78FB">
      <w:r w:rsidRPr="00DD2B2D">
        <w:t xml:space="preserve">The components of our draft decision include the building blocks we use to determine the revenue that </w:t>
      </w:r>
      <w:r>
        <w:t>AusNet</w:t>
      </w:r>
      <w:r w:rsidRPr="00DD2B2D">
        <w:t xml:space="preserve"> may recover from its users. </w:t>
      </w:r>
    </w:p>
    <w:p w:rsidR="00BE78FB" w:rsidRPr="00DD2B2D" w:rsidRDefault="00BE78FB" w:rsidP="00BE78FB">
      <w:r w:rsidRPr="00DD2B2D">
        <w:t xml:space="preserve">The following sections summarise our revenue decision by building block. The attachments to this draft decision provide a more detailed explanation of our analysis and findings. </w:t>
      </w:r>
    </w:p>
    <w:p w:rsidR="00132D43" w:rsidRDefault="00BE78FB" w:rsidP="00BE78FB">
      <w:pPr>
        <w:pStyle w:val="Heading2"/>
      </w:pPr>
      <w:bookmarkStart w:id="131" w:name="_Toc487017918"/>
      <w:r>
        <w:t>Capital base</w:t>
      </w:r>
      <w:bookmarkEnd w:id="131"/>
    </w:p>
    <w:p w:rsidR="00906F00" w:rsidRPr="00AB3A95" w:rsidRDefault="00906F00" w:rsidP="00906F00">
      <w:r w:rsidRPr="00AB3A95">
        <w:t xml:space="preserve">The capital base roll forward accounts for the value of </w:t>
      </w:r>
      <w:r>
        <w:t>AusNet</w:t>
      </w:r>
      <w:r w:rsidRPr="00AB3A95">
        <w:t>'s regulated assets over the access arrangement period. The opening capital base value for a regulatory year within the access arrangement period is rolled forward by indexing it for inflation, adding any conforming capex, and subtracting depreciation and other possible factors (for example, disposals or customer contributions).</w:t>
      </w:r>
      <w:r w:rsidRPr="00AB3A95">
        <w:rPr>
          <w:rStyle w:val="FootnoteReference"/>
        </w:rPr>
        <w:footnoteReference w:id="25"/>
      </w:r>
      <w:r w:rsidRPr="00AB3A95">
        <w:t xml:space="preserve"> Following this process, we arrive at a closing value of the capital base at the end of </w:t>
      </w:r>
      <w:r w:rsidR="001729CB">
        <w:t>each year of the access arrangement period</w:t>
      </w:r>
      <w:r w:rsidRPr="00AB3A95">
        <w:t>. The opening value of the capital base is used to determine the return of capital (regulatory depreciation) and return on capital building block allowances.</w:t>
      </w:r>
    </w:p>
    <w:p w:rsidR="00906F00" w:rsidRDefault="00906F00" w:rsidP="00906F00">
      <w:r>
        <w:t>Our draft decision approves AusNet</w:t>
      </w:r>
      <w:r w:rsidRPr="004720AB">
        <w:t>’s proposed opening capital base of $</w:t>
      </w:r>
      <w:r>
        <w:t>1575.7 </w:t>
      </w:r>
      <w:r w:rsidRPr="004720AB">
        <w:t>million ($</w:t>
      </w:r>
      <w:r>
        <w:t> </w:t>
      </w:r>
      <w:r w:rsidRPr="004720AB">
        <w:t xml:space="preserve">nominal) as at 1 </w:t>
      </w:r>
      <w:r>
        <w:t>January</w:t>
      </w:r>
      <w:r w:rsidRPr="004720AB">
        <w:t xml:space="preserve"> 201</w:t>
      </w:r>
      <w:r>
        <w:t>8</w:t>
      </w:r>
      <w:r w:rsidRPr="004720AB">
        <w:t>.</w:t>
      </w:r>
      <w:r>
        <w:rPr>
          <w:rStyle w:val="FootnoteReference"/>
        </w:rPr>
        <w:footnoteReference w:id="26"/>
      </w:r>
      <w:r w:rsidRPr="004720AB">
        <w:t xml:space="preserve"> </w:t>
      </w:r>
      <w:r>
        <w:fldChar w:fldCharType="begin"/>
      </w:r>
      <w:r>
        <w:instrText xml:space="preserve"> REF _Ref481750949 \h </w:instrText>
      </w:r>
      <w:r>
        <w:fldChar w:fldCharType="separate"/>
      </w:r>
      <w:r w:rsidR="00EE5745" w:rsidRPr="00906F00">
        <w:t xml:space="preserve">Table </w:t>
      </w:r>
      <w:r w:rsidR="00EE5745">
        <w:rPr>
          <w:noProof/>
        </w:rPr>
        <w:t>5</w:t>
      </w:r>
      <w:r w:rsidR="00EE5745">
        <w:noBreakHyphen/>
      </w:r>
      <w:r w:rsidR="00EE5745">
        <w:rPr>
          <w:noProof/>
        </w:rPr>
        <w:t>1</w:t>
      </w:r>
      <w:r>
        <w:fldChar w:fldCharType="end"/>
      </w:r>
      <w:r>
        <w:t xml:space="preserve"> </w:t>
      </w:r>
      <w:r w:rsidRPr="004720AB">
        <w:t xml:space="preserve">summarises our draft decision on the roll forward of </w:t>
      </w:r>
      <w:r>
        <w:t>AusNet</w:t>
      </w:r>
      <w:r w:rsidRPr="004720AB">
        <w:t>'s capital base during the 201</w:t>
      </w:r>
      <w:r>
        <w:t>3</w:t>
      </w:r>
      <w:r w:rsidRPr="004720AB">
        <w:t>–1</w:t>
      </w:r>
      <w:r>
        <w:t>7</w:t>
      </w:r>
      <w:r w:rsidRPr="004720AB">
        <w:t xml:space="preserve"> access arrangement period.</w:t>
      </w:r>
    </w:p>
    <w:p w:rsidR="00906F00" w:rsidRPr="00906F00" w:rsidRDefault="00906F00" w:rsidP="004E2567">
      <w:pPr>
        <w:pStyle w:val="Caption"/>
      </w:pPr>
      <w:bookmarkStart w:id="132" w:name="_Ref481750949"/>
      <w:r w:rsidRPr="00906F00">
        <w:t xml:space="preserve">Table </w:t>
      </w:r>
      <w:fldSimple w:instr=" STYLEREF 1 \s ">
        <w:r w:rsidR="00EE5745">
          <w:rPr>
            <w:noProof/>
          </w:rPr>
          <w:t>5</w:t>
        </w:r>
      </w:fldSimple>
      <w:r w:rsidR="00391B74">
        <w:noBreakHyphen/>
      </w:r>
      <w:fldSimple w:instr=" SEQ Table \* ARABIC \s 1 ">
        <w:r w:rsidR="00EE5745">
          <w:rPr>
            <w:noProof/>
          </w:rPr>
          <w:t>1</w:t>
        </w:r>
      </w:fldSimple>
      <w:bookmarkEnd w:id="132"/>
      <w:r w:rsidRPr="00906F00">
        <w:tab/>
        <w:t>AER’s draft decision on AusNet’s capital base roll forward for the 2013–17 access arrangement period ($million, nominal)</w:t>
      </w:r>
    </w:p>
    <w:tbl>
      <w:tblPr>
        <w:tblStyle w:val="AERtable-numbers"/>
        <w:tblW w:w="5000" w:type="pct"/>
        <w:tblLook w:val="04A0" w:firstRow="1" w:lastRow="0" w:firstColumn="1" w:lastColumn="0" w:noHBand="0" w:noVBand="1"/>
      </w:tblPr>
      <w:tblGrid>
        <w:gridCol w:w="3427"/>
        <w:gridCol w:w="1053"/>
        <w:gridCol w:w="1053"/>
        <w:gridCol w:w="1054"/>
        <w:gridCol w:w="1054"/>
        <w:gridCol w:w="1052"/>
      </w:tblGrid>
      <w:tr w:rsidR="00906F00" w:rsidRPr="004720AB" w:rsidTr="001C577D">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906F00" w:rsidRPr="00906F00" w:rsidRDefault="00906F00" w:rsidP="004E2567">
            <w:pPr>
              <w:keepNext/>
            </w:pPr>
            <w:r w:rsidRPr="004720AB">
              <w:t> </w:t>
            </w:r>
          </w:p>
        </w:tc>
        <w:tc>
          <w:tcPr>
            <w:tcW w:w="606" w:type="pct"/>
            <w:noWrap/>
            <w:hideMark/>
          </w:tcPr>
          <w:p w:rsidR="00906F00" w:rsidRPr="00906F00" w:rsidRDefault="00906F00" w:rsidP="004E2567">
            <w:pPr>
              <w:keepNext/>
              <w:cnfStyle w:val="100000000000" w:firstRow="1" w:lastRow="0" w:firstColumn="0" w:lastColumn="0" w:oddVBand="0" w:evenVBand="0" w:oddHBand="0" w:evenHBand="0" w:firstRowFirstColumn="0" w:firstRowLastColumn="0" w:lastRowFirstColumn="0" w:lastRowLastColumn="0"/>
            </w:pPr>
            <w:r w:rsidRPr="004720AB">
              <w:t>2013</w:t>
            </w:r>
          </w:p>
        </w:tc>
        <w:tc>
          <w:tcPr>
            <w:tcW w:w="606" w:type="pct"/>
            <w:noWrap/>
            <w:hideMark/>
          </w:tcPr>
          <w:p w:rsidR="00906F00" w:rsidRPr="00906F00" w:rsidRDefault="00906F00" w:rsidP="004E2567">
            <w:pPr>
              <w:keepNext/>
              <w:cnfStyle w:val="100000000000" w:firstRow="1" w:lastRow="0" w:firstColumn="0" w:lastColumn="0" w:oddVBand="0" w:evenVBand="0" w:oddHBand="0" w:evenHBand="0" w:firstRowFirstColumn="0" w:firstRowLastColumn="0" w:lastRowFirstColumn="0" w:lastRowLastColumn="0"/>
            </w:pPr>
            <w:r w:rsidRPr="004720AB">
              <w:t>2014</w:t>
            </w:r>
          </w:p>
        </w:tc>
        <w:tc>
          <w:tcPr>
            <w:tcW w:w="606" w:type="pct"/>
            <w:noWrap/>
            <w:hideMark/>
          </w:tcPr>
          <w:p w:rsidR="00906F00" w:rsidRPr="00906F00" w:rsidRDefault="00906F00" w:rsidP="004E2567">
            <w:pPr>
              <w:keepNext/>
              <w:cnfStyle w:val="100000000000" w:firstRow="1" w:lastRow="0" w:firstColumn="0" w:lastColumn="0" w:oddVBand="0" w:evenVBand="0" w:oddHBand="0" w:evenHBand="0" w:firstRowFirstColumn="0" w:firstRowLastColumn="0" w:lastRowFirstColumn="0" w:lastRowLastColumn="0"/>
            </w:pPr>
            <w:r w:rsidRPr="004720AB">
              <w:t>2015</w:t>
            </w:r>
          </w:p>
        </w:tc>
        <w:tc>
          <w:tcPr>
            <w:tcW w:w="606" w:type="pct"/>
            <w:noWrap/>
            <w:hideMark/>
          </w:tcPr>
          <w:p w:rsidR="00906F00" w:rsidRPr="00906F00" w:rsidRDefault="00906F00" w:rsidP="004E2567">
            <w:pPr>
              <w:keepNext/>
              <w:cnfStyle w:val="100000000000" w:firstRow="1" w:lastRow="0" w:firstColumn="0" w:lastColumn="0" w:oddVBand="0" w:evenVBand="0" w:oddHBand="0" w:evenHBand="0" w:firstRowFirstColumn="0" w:firstRowLastColumn="0" w:lastRowFirstColumn="0" w:lastRowLastColumn="0"/>
            </w:pPr>
            <w:r w:rsidRPr="004720AB">
              <w:t>2016</w:t>
            </w:r>
          </w:p>
        </w:tc>
        <w:tc>
          <w:tcPr>
            <w:tcW w:w="605" w:type="pct"/>
            <w:noWrap/>
            <w:hideMark/>
          </w:tcPr>
          <w:p w:rsidR="00906F00" w:rsidRPr="00906F00" w:rsidRDefault="00906F00" w:rsidP="004E2567">
            <w:pPr>
              <w:keepNext/>
              <w:cnfStyle w:val="100000000000" w:firstRow="1" w:lastRow="0" w:firstColumn="0" w:lastColumn="0" w:oddVBand="0" w:evenVBand="0" w:oddHBand="0" w:evenHBand="0" w:firstRowFirstColumn="0" w:firstRowLastColumn="0" w:lastRowFirstColumn="0" w:lastRowLastColumn="0"/>
            </w:pPr>
            <w:r w:rsidRPr="004720AB">
              <w:t>2017</w:t>
            </w:r>
          </w:p>
        </w:tc>
      </w:tr>
      <w:tr w:rsidR="001C577D" w:rsidRPr="004720AB" w:rsidTr="001C577D">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1C577D" w:rsidRPr="001C577D" w:rsidRDefault="001C577D" w:rsidP="004E2567">
            <w:pPr>
              <w:keepNext/>
            </w:pPr>
            <w:r w:rsidRPr="001C577D">
              <w:t>Opening capital base</w:t>
            </w:r>
          </w:p>
        </w:tc>
        <w:tc>
          <w:tcPr>
            <w:tcW w:w="606"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1275.3</w:t>
            </w:r>
          </w:p>
        </w:tc>
        <w:tc>
          <w:tcPr>
            <w:tcW w:w="606"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1339.2</w:t>
            </w:r>
          </w:p>
        </w:tc>
        <w:tc>
          <w:tcPr>
            <w:tcW w:w="606"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1407.4</w:t>
            </w:r>
          </w:p>
        </w:tc>
        <w:tc>
          <w:tcPr>
            <w:tcW w:w="606"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1471.0</w:t>
            </w:r>
          </w:p>
        </w:tc>
        <w:tc>
          <w:tcPr>
            <w:tcW w:w="605"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1510.6</w:t>
            </w:r>
          </w:p>
        </w:tc>
      </w:tr>
      <w:tr w:rsidR="001C577D" w:rsidRPr="004720AB" w:rsidTr="001C577D">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1C577D" w:rsidRPr="001C577D" w:rsidRDefault="001C577D" w:rsidP="004E2567">
            <w:pPr>
              <w:keepNext/>
            </w:pPr>
            <w:r w:rsidRPr="001C577D">
              <w:t>Net capex</w:t>
            </w:r>
          </w:p>
        </w:tc>
        <w:tc>
          <w:tcPr>
            <w:tcW w:w="606" w:type="pct"/>
            <w:noWrap/>
            <w:vAlign w:val="bottom"/>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pPr>
            <w:r w:rsidRPr="001C577D">
              <w:t>86.8</w:t>
            </w:r>
          </w:p>
        </w:tc>
        <w:tc>
          <w:tcPr>
            <w:tcW w:w="606" w:type="pct"/>
            <w:noWrap/>
            <w:vAlign w:val="bottom"/>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pPr>
            <w:r w:rsidRPr="001C577D">
              <w:t>94.1</w:t>
            </w:r>
          </w:p>
        </w:tc>
        <w:tc>
          <w:tcPr>
            <w:tcW w:w="606" w:type="pct"/>
            <w:noWrap/>
            <w:vAlign w:val="bottom"/>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pPr>
            <w:r w:rsidRPr="001C577D">
              <w:t>92.6</w:t>
            </w:r>
          </w:p>
        </w:tc>
        <w:tc>
          <w:tcPr>
            <w:tcW w:w="606" w:type="pct"/>
            <w:noWrap/>
            <w:vAlign w:val="bottom"/>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pPr>
            <w:r w:rsidRPr="001C577D">
              <w:t>83.7</w:t>
            </w:r>
          </w:p>
        </w:tc>
        <w:tc>
          <w:tcPr>
            <w:tcW w:w="605" w:type="pct"/>
            <w:noWrap/>
            <w:vAlign w:val="bottom"/>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pPr>
            <w:r w:rsidRPr="001C577D">
              <w:t>99.6</w:t>
            </w:r>
          </w:p>
        </w:tc>
      </w:tr>
      <w:tr w:rsidR="001C577D" w:rsidRPr="004720AB" w:rsidTr="001C577D">
        <w:trPr>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1C577D" w:rsidRPr="001C577D" w:rsidRDefault="001C577D" w:rsidP="004E2567">
            <w:pPr>
              <w:keepNext/>
            </w:pPr>
            <w:r w:rsidRPr="001C577D">
              <w:t>Indexation of capital base</w:t>
            </w:r>
          </w:p>
        </w:tc>
        <w:tc>
          <w:tcPr>
            <w:tcW w:w="606"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25.6</w:t>
            </w:r>
          </w:p>
        </w:tc>
        <w:tc>
          <w:tcPr>
            <w:tcW w:w="606"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28.9</w:t>
            </w:r>
          </w:p>
        </w:tc>
        <w:tc>
          <w:tcPr>
            <w:tcW w:w="606"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32.5</w:t>
            </w:r>
          </w:p>
        </w:tc>
        <w:tc>
          <w:tcPr>
            <w:tcW w:w="606"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22.1</w:t>
            </w:r>
          </w:p>
        </w:tc>
        <w:tc>
          <w:tcPr>
            <w:tcW w:w="605"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19.6</w:t>
            </w:r>
          </w:p>
        </w:tc>
      </w:tr>
      <w:tr w:rsidR="001C577D" w:rsidRPr="004720AB" w:rsidTr="001C577D">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71" w:type="pct"/>
            <w:noWrap/>
            <w:hideMark/>
          </w:tcPr>
          <w:p w:rsidR="001C577D" w:rsidRPr="001C577D" w:rsidRDefault="001C577D" w:rsidP="004E2567">
            <w:pPr>
              <w:keepNext/>
            </w:pPr>
            <w:r w:rsidRPr="001C577D">
              <w:rPr>
                <w:rStyle w:val="AERtextitalic"/>
              </w:rPr>
              <w:t>Less:</w:t>
            </w:r>
            <w:r w:rsidRPr="001C577D">
              <w:t xml:space="preserve"> straight-line depreciation</w:t>
            </w:r>
          </w:p>
        </w:tc>
        <w:tc>
          <w:tcPr>
            <w:tcW w:w="606" w:type="pct"/>
            <w:noWrap/>
            <w:vAlign w:val="bottom"/>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pPr>
            <w:r w:rsidRPr="001C577D">
              <w:t>48.5</w:t>
            </w:r>
          </w:p>
        </w:tc>
        <w:tc>
          <w:tcPr>
            <w:tcW w:w="606" w:type="pct"/>
            <w:noWrap/>
            <w:vAlign w:val="bottom"/>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pPr>
            <w:r w:rsidRPr="001C577D">
              <w:t>54.8</w:t>
            </w:r>
          </w:p>
        </w:tc>
        <w:tc>
          <w:tcPr>
            <w:tcW w:w="606" w:type="pct"/>
            <w:noWrap/>
            <w:vAlign w:val="bottom"/>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pPr>
            <w:r w:rsidRPr="001C577D">
              <w:t>61.4</w:t>
            </w:r>
          </w:p>
        </w:tc>
        <w:tc>
          <w:tcPr>
            <w:tcW w:w="606" w:type="pct"/>
            <w:noWrap/>
            <w:vAlign w:val="bottom"/>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pPr>
            <w:r w:rsidRPr="001C577D">
              <w:t>66.2</w:t>
            </w:r>
          </w:p>
        </w:tc>
        <w:tc>
          <w:tcPr>
            <w:tcW w:w="605" w:type="pct"/>
            <w:noWrap/>
            <w:vAlign w:val="bottom"/>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pPr>
            <w:r w:rsidRPr="001C577D">
              <w:t>70.5</w:t>
            </w:r>
          </w:p>
        </w:tc>
      </w:tr>
      <w:tr w:rsidR="001C577D" w:rsidRPr="004720AB" w:rsidTr="001C577D">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1C577D" w:rsidRPr="001C577D" w:rsidRDefault="001C577D" w:rsidP="004E2567">
            <w:pPr>
              <w:keepNext/>
            </w:pPr>
            <w:r w:rsidRPr="001C577D">
              <w:t>Closing capital base</w:t>
            </w:r>
          </w:p>
        </w:tc>
        <w:tc>
          <w:tcPr>
            <w:tcW w:w="606"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1339.2</w:t>
            </w:r>
          </w:p>
        </w:tc>
        <w:tc>
          <w:tcPr>
            <w:tcW w:w="606"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1407.4</w:t>
            </w:r>
          </w:p>
        </w:tc>
        <w:tc>
          <w:tcPr>
            <w:tcW w:w="606"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1471.0</w:t>
            </w:r>
          </w:p>
        </w:tc>
        <w:tc>
          <w:tcPr>
            <w:tcW w:w="606"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1510.6</w:t>
            </w:r>
          </w:p>
        </w:tc>
        <w:tc>
          <w:tcPr>
            <w:tcW w:w="605"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1559.3</w:t>
            </w:r>
          </w:p>
        </w:tc>
      </w:tr>
      <w:tr w:rsidR="001C577D" w:rsidRPr="004720AB" w:rsidTr="001C577D">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71" w:type="pct"/>
            <w:hideMark/>
          </w:tcPr>
          <w:p w:rsidR="001C577D" w:rsidRPr="001C577D" w:rsidRDefault="001C577D" w:rsidP="004E2567">
            <w:pPr>
              <w:keepNext/>
            </w:pPr>
            <w:r w:rsidRPr="001C577D">
              <w:t>Difference between estimated and actual capex in 2012</w:t>
            </w:r>
          </w:p>
        </w:tc>
        <w:tc>
          <w:tcPr>
            <w:tcW w:w="606" w:type="pct"/>
            <w:noWrap/>
            <w:vAlign w:val="bottom"/>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pPr>
            <w:r w:rsidRPr="001C577D">
              <w:t> </w:t>
            </w:r>
          </w:p>
        </w:tc>
        <w:tc>
          <w:tcPr>
            <w:tcW w:w="606" w:type="pct"/>
            <w:noWrap/>
            <w:vAlign w:val="bottom"/>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pPr>
            <w:r w:rsidRPr="001C577D">
              <w:t> </w:t>
            </w:r>
          </w:p>
        </w:tc>
        <w:tc>
          <w:tcPr>
            <w:tcW w:w="606" w:type="pct"/>
            <w:noWrap/>
            <w:vAlign w:val="bottom"/>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pPr>
            <w:r w:rsidRPr="001C577D">
              <w:t> </w:t>
            </w:r>
          </w:p>
        </w:tc>
        <w:tc>
          <w:tcPr>
            <w:tcW w:w="606" w:type="pct"/>
            <w:noWrap/>
            <w:vAlign w:val="bottom"/>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pPr>
            <w:r w:rsidRPr="001C577D">
              <w:t> </w:t>
            </w:r>
          </w:p>
        </w:tc>
        <w:tc>
          <w:tcPr>
            <w:tcW w:w="605" w:type="pct"/>
            <w:noWrap/>
            <w:vAlign w:val="bottom"/>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pPr>
            <w:r w:rsidRPr="001C577D">
              <w:t>12.1</w:t>
            </w:r>
          </w:p>
        </w:tc>
      </w:tr>
      <w:tr w:rsidR="001C577D" w:rsidRPr="004720AB" w:rsidTr="001C577D">
        <w:trPr>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1C577D" w:rsidRPr="001C577D" w:rsidRDefault="001C577D" w:rsidP="004E2567">
            <w:pPr>
              <w:keepNext/>
            </w:pPr>
            <w:r w:rsidRPr="001C577D">
              <w:t>Return on difference for 2012 capex</w:t>
            </w:r>
          </w:p>
        </w:tc>
        <w:tc>
          <w:tcPr>
            <w:tcW w:w="606"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 </w:t>
            </w:r>
          </w:p>
        </w:tc>
        <w:tc>
          <w:tcPr>
            <w:tcW w:w="606"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 </w:t>
            </w:r>
          </w:p>
        </w:tc>
        <w:tc>
          <w:tcPr>
            <w:tcW w:w="606"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 </w:t>
            </w:r>
          </w:p>
        </w:tc>
        <w:tc>
          <w:tcPr>
            <w:tcW w:w="606"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 </w:t>
            </w:r>
          </w:p>
        </w:tc>
        <w:tc>
          <w:tcPr>
            <w:tcW w:w="605" w:type="pct"/>
            <w:noWrap/>
            <w:vAlign w:val="bottom"/>
          </w:tcPr>
          <w:p w:rsidR="001C577D" w:rsidRPr="001C577D" w:rsidRDefault="001C577D" w:rsidP="004E2567">
            <w:pPr>
              <w:keepNext/>
              <w:cnfStyle w:val="000000000000" w:firstRow="0" w:lastRow="0" w:firstColumn="0" w:lastColumn="0" w:oddVBand="0" w:evenVBand="0" w:oddHBand="0" w:evenHBand="0" w:firstRowFirstColumn="0" w:firstRowLastColumn="0" w:lastRowFirstColumn="0" w:lastRowLastColumn="0"/>
            </w:pPr>
            <w:r w:rsidRPr="001C577D">
              <w:t>4.4</w:t>
            </w:r>
          </w:p>
        </w:tc>
      </w:tr>
      <w:tr w:rsidR="001C577D" w:rsidRPr="001C577D" w:rsidTr="001C57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1" w:type="pct"/>
            <w:noWrap/>
            <w:hideMark/>
          </w:tcPr>
          <w:p w:rsidR="001C577D" w:rsidRPr="001C577D" w:rsidRDefault="001C577D" w:rsidP="004E2567">
            <w:pPr>
              <w:keepNext/>
              <w:rPr>
                <w:rStyle w:val="Strong"/>
              </w:rPr>
            </w:pPr>
            <w:r w:rsidRPr="001C577D">
              <w:rPr>
                <w:rStyle w:val="Strong"/>
              </w:rPr>
              <w:t>Opening capital base as at 1 January 2018</w:t>
            </w:r>
          </w:p>
        </w:tc>
        <w:tc>
          <w:tcPr>
            <w:tcW w:w="606" w:type="pct"/>
            <w:vAlign w:val="bottom"/>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rPr>
                <w:rStyle w:val="Strong"/>
              </w:rPr>
            </w:pPr>
            <w:r w:rsidRPr="001C577D">
              <w:rPr>
                <w:rStyle w:val="Strong"/>
              </w:rPr>
              <w:t> </w:t>
            </w:r>
          </w:p>
        </w:tc>
        <w:tc>
          <w:tcPr>
            <w:tcW w:w="606" w:type="pct"/>
            <w:noWrap/>
            <w:vAlign w:val="bottom"/>
            <w:hideMark/>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rPr>
                <w:rStyle w:val="Strong"/>
              </w:rPr>
            </w:pPr>
            <w:r w:rsidRPr="001C577D">
              <w:rPr>
                <w:rStyle w:val="Strong"/>
              </w:rPr>
              <w:t> </w:t>
            </w:r>
          </w:p>
        </w:tc>
        <w:tc>
          <w:tcPr>
            <w:tcW w:w="606" w:type="pct"/>
            <w:noWrap/>
            <w:vAlign w:val="bottom"/>
            <w:hideMark/>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rPr>
                <w:rStyle w:val="Strong"/>
              </w:rPr>
            </w:pPr>
            <w:r w:rsidRPr="001C577D">
              <w:rPr>
                <w:rStyle w:val="Strong"/>
              </w:rPr>
              <w:t> </w:t>
            </w:r>
          </w:p>
        </w:tc>
        <w:tc>
          <w:tcPr>
            <w:tcW w:w="606" w:type="pct"/>
            <w:noWrap/>
            <w:vAlign w:val="bottom"/>
            <w:hideMark/>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rPr>
                <w:rStyle w:val="Strong"/>
              </w:rPr>
            </w:pPr>
            <w:r w:rsidRPr="001C577D">
              <w:rPr>
                <w:rStyle w:val="Strong"/>
              </w:rPr>
              <w:t> </w:t>
            </w:r>
          </w:p>
        </w:tc>
        <w:tc>
          <w:tcPr>
            <w:tcW w:w="605" w:type="pct"/>
            <w:noWrap/>
            <w:vAlign w:val="bottom"/>
            <w:hideMark/>
          </w:tcPr>
          <w:p w:rsidR="001C577D" w:rsidRPr="001C577D" w:rsidRDefault="001C577D" w:rsidP="004E2567">
            <w:pPr>
              <w:keepNext/>
              <w:cnfStyle w:val="000000010000" w:firstRow="0" w:lastRow="0" w:firstColumn="0" w:lastColumn="0" w:oddVBand="0" w:evenVBand="0" w:oddHBand="0" w:evenHBand="1" w:firstRowFirstColumn="0" w:firstRowLastColumn="0" w:lastRowFirstColumn="0" w:lastRowLastColumn="0"/>
              <w:rPr>
                <w:rStyle w:val="Strong"/>
              </w:rPr>
            </w:pPr>
            <w:r w:rsidRPr="001C577D">
              <w:rPr>
                <w:rStyle w:val="Strong"/>
              </w:rPr>
              <w:t>1575.7</w:t>
            </w:r>
          </w:p>
        </w:tc>
      </w:tr>
    </w:tbl>
    <w:p w:rsidR="00906F00" w:rsidRDefault="00906F00" w:rsidP="004E2567">
      <w:pPr>
        <w:pStyle w:val="AERtablesource"/>
        <w:keepNext/>
      </w:pPr>
      <w:r>
        <w:t>Source:</w:t>
      </w:r>
      <w:r>
        <w:tab/>
        <w:t>AER analysis.</w:t>
      </w:r>
    </w:p>
    <w:p w:rsidR="00906F00" w:rsidRPr="00E47A65" w:rsidRDefault="00906F00" w:rsidP="00906F00">
      <w:r>
        <w:t>However, w</w:t>
      </w:r>
      <w:r w:rsidRPr="00E47A65">
        <w:t xml:space="preserve">e do not approve </w:t>
      </w:r>
      <w:r>
        <w:t>AusNet</w:t>
      </w:r>
      <w:r w:rsidRPr="00E47A65">
        <w:t>’s proposed roll forward of its projected capital base over the 201</w:t>
      </w:r>
      <w:r>
        <w:t>8</w:t>
      </w:r>
      <w:r w:rsidRPr="00E47A65">
        <w:t>–2</w:t>
      </w:r>
      <w:r>
        <w:t>2</w:t>
      </w:r>
      <w:r w:rsidRPr="00E47A65">
        <w:t xml:space="preserve"> access arrangement period, </w:t>
      </w:r>
      <w:r>
        <w:t>or</w:t>
      </w:r>
      <w:r w:rsidRPr="00E47A65">
        <w:t xml:space="preserve"> its </w:t>
      </w:r>
      <w:r>
        <w:t xml:space="preserve">proposed </w:t>
      </w:r>
      <w:r w:rsidRPr="00E47A65">
        <w:t>closing capital base of $</w:t>
      </w:r>
      <w:r>
        <w:t>1837.5 </w:t>
      </w:r>
      <w:r w:rsidRPr="00E47A65">
        <w:t>million ($</w:t>
      </w:r>
      <w:r>
        <w:t> </w:t>
      </w:r>
      <w:r w:rsidRPr="00E47A65">
        <w:t>nominal</w:t>
      </w:r>
      <w:r>
        <w:t>)</w:t>
      </w:r>
      <w:r w:rsidRPr="00E47A65">
        <w:t xml:space="preserve"> at 3</w:t>
      </w:r>
      <w:r>
        <w:t>1</w:t>
      </w:r>
      <w:r w:rsidRPr="00E47A65">
        <w:t xml:space="preserve"> </w:t>
      </w:r>
      <w:r>
        <w:t>December</w:t>
      </w:r>
      <w:r w:rsidRPr="00E47A65">
        <w:t xml:space="preserve"> 202</w:t>
      </w:r>
      <w:r>
        <w:t>2</w:t>
      </w:r>
      <w:r w:rsidRPr="00E47A65">
        <w:t xml:space="preserve">. This is because we have not approved </w:t>
      </w:r>
      <w:r>
        <w:t>AusNet</w:t>
      </w:r>
      <w:r w:rsidRPr="00E47A65">
        <w:t xml:space="preserve">'s proposed inputs to the projected capital base roll forward, specifically </w:t>
      </w:r>
      <w:r>
        <w:t>expected inflation,</w:t>
      </w:r>
      <w:r w:rsidRPr="00E47A65">
        <w:t xml:space="preserve"> depreciation</w:t>
      </w:r>
      <w:r>
        <w:t>, and</w:t>
      </w:r>
      <w:r w:rsidRPr="00206AC4">
        <w:t xml:space="preserve"> </w:t>
      </w:r>
      <w:r w:rsidRPr="00E47A65">
        <w:t>forecast capex. Based on our approved amounts for these inputs, we determine a projected closing capital base of $</w:t>
      </w:r>
      <w:r w:rsidR="0018567A">
        <w:t>1883.0</w:t>
      </w:r>
      <w:r w:rsidR="001123CA" w:rsidRPr="00E47A65">
        <w:t xml:space="preserve"> </w:t>
      </w:r>
      <w:r w:rsidRPr="00E47A65">
        <w:t>million ($</w:t>
      </w:r>
      <w:r>
        <w:t> </w:t>
      </w:r>
      <w:r w:rsidRPr="00E47A65">
        <w:t>nominal) as at 3</w:t>
      </w:r>
      <w:r>
        <w:t>1</w:t>
      </w:r>
      <w:r w:rsidRPr="00E47A65">
        <w:t xml:space="preserve"> </w:t>
      </w:r>
      <w:r>
        <w:t>December</w:t>
      </w:r>
      <w:r w:rsidRPr="00E47A65">
        <w:t xml:space="preserve"> 202</w:t>
      </w:r>
      <w:r>
        <w:t>2</w:t>
      </w:r>
      <w:r w:rsidRPr="00E47A65">
        <w:t>. This is $</w:t>
      </w:r>
      <w:r w:rsidR="0018567A">
        <w:t>45.5</w:t>
      </w:r>
      <w:r w:rsidR="001123CA">
        <w:t> </w:t>
      </w:r>
      <w:r w:rsidR="00F633B6" w:rsidRPr="00E47A65">
        <w:t>million more</w:t>
      </w:r>
      <w:r w:rsidR="001123CA" w:rsidRPr="00E47A65">
        <w:t xml:space="preserve"> </w:t>
      </w:r>
      <w:r w:rsidRPr="00E47A65">
        <w:t xml:space="preserve">than that proposed by </w:t>
      </w:r>
      <w:r>
        <w:t>AusNet</w:t>
      </w:r>
      <w:r w:rsidRPr="00E47A65">
        <w:t>, a</w:t>
      </w:r>
      <w:r w:rsidR="001123CA">
        <w:t>n</w:t>
      </w:r>
      <w:r w:rsidRPr="00E47A65">
        <w:t xml:space="preserve"> </w:t>
      </w:r>
      <w:r w:rsidR="001123CA">
        <w:t>increase</w:t>
      </w:r>
      <w:r w:rsidR="001123CA" w:rsidRPr="00E47A65">
        <w:t xml:space="preserve"> </w:t>
      </w:r>
      <w:r w:rsidRPr="00E47A65">
        <w:t xml:space="preserve">of </w:t>
      </w:r>
      <w:r w:rsidR="0018567A">
        <w:t>2.5</w:t>
      </w:r>
      <w:r w:rsidRPr="00E47A65">
        <w:t xml:space="preserve"> per cent.</w:t>
      </w:r>
      <w:r w:rsidR="00D73B8B">
        <w:t xml:space="preserve"> </w:t>
      </w:r>
      <w:r w:rsidR="00D73B8B" w:rsidRPr="00D73B8B">
        <w:t xml:space="preserve">The main driver of this increase is our </w:t>
      </w:r>
      <w:r w:rsidR="00D73B8B">
        <w:t>draft</w:t>
      </w:r>
      <w:r w:rsidR="00D73B8B" w:rsidRPr="00D73B8B">
        <w:t xml:space="preserve"> decision on the expected inflation rate. The higher expected inflation rate increases the indexation of the </w:t>
      </w:r>
      <w:r w:rsidR="00D73B8B">
        <w:t>capital base</w:t>
      </w:r>
      <w:r w:rsidR="00D73B8B" w:rsidRPr="00D73B8B">
        <w:t xml:space="preserve"> component for the 201</w:t>
      </w:r>
      <w:r w:rsidR="00EF1FAE">
        <w:t>8</w:t>
      </w:r>
      <w:r w:rsidR="00D73B8B" w:rsidRPr="00D73B8B">
        <w:t xml:space="preserve">–22 </w:t>
      </w:r>
      <w:r w:rsidR="00EF1FAE">
        <w:t>access arrangement</w:t>
      </w:r>
      <w:r w:rsidR="00D73B8B" w:rsidRPr="00D73B8B">
        <w:t xml:space="preserve"> </w:t>
      </w:r>
      <w:proofErr w:type="gramStart"/>
      <w:r w:rsidR="00D73B8B" w:rsidRPr="00D73B8B">
        <w:t>period</w:t>
      </w:r>
      <w:proofErr w:type="gramEnd"/>
      <w:r w:rsidR="00D73B8B" w:rsidRPr="00D73B8B">
        <w:t xml:space="preserve"> by $</w:t>
      </w:r>
      <w:r w:rsidR="00D73B8B">
        <w:t>69.5</w:t>
      </w:r>
      <w:r w:rsidR="00D73B8B" w:rsidRPr="00D73B8B">
        <w:t xml:space="preserve"> million.</w:t>
      </w:r>
      <w:r w:rsidR="00D73B8B">
        <w:rPr>
          <w:rStyle w:val="FootnoteReference"/>
        </w:rPr>
        <w:footnoteReference w:id="27"/>
      </w:r>
      <w:r w:rsidR="00D73B8B" w:rsidRPr="00D73B8B">
        <w:t xml:space="preserve"> This</w:t>
      </w:r>
      <w:r w:rsidR="00D73B8B">
        <w:t xml:space="preserve"> </w:t>
      </w:r>
      <w:r w:rsidR="00D73B8B" w:rsidRPr="00D73B8B">
        <w:t xml:space="preserve">more than offsets our </w:t>
      </w:r>
      <w:r w:rsidR="00EF1FAE">
        <w:t>draft</w:t>
      </w:r>
      <w:r w:rsidR="00D73B8B" w:rsidRPr="00D73B8B">
        <w:t xml:space="preserve"> decision reduction to forecast capex. The net impact is a higher </w:t>
      </w:r>
      <w:r w:rsidR="00D73B8B">
        <w:t>capital base</w:t>
      </w:r>
      <w:r w:rsidR="00D73B8B" w:rsidRPr="00D73B8B">
        <w:t xml:space="preserve"> at </w:t>
      </w:r>
      <w:r w:rsidR="00D73B8B">
        <w:t>31 December</w:t>
      </w:r>
      <w:r w:rsidR="00D73B8B" w:rsidRPr="00D73B8B">
        <w:t xml:space="preserve"> 2022 than that proposed by AusNet.</w:t>
      </w:r>
    </w:p>
    <w:p w:rsidR="00906F00" w:rsidRDefault="00906F00" w:rsidP="00906F00">
      <w:r>
        <w:fldChar w:fldCharType="begin"/>
      </w:r>
      <w:r>
        <w:instrText xml:space="preserve"> REF _Ref481750978 \h </w:instrText>
      </w:r>
      <w:r>
        <w:fldChar w:fldCharType="separate"/>
      </w:r>
      <w:r w:rsidR="00EE5745">
        <w:t xml:space="preserve">Table </w:t>
      </w:r>
      <w:r w:rsidR="00EE5745">
        <w:rPr>
          <w:noProof/>
        </w:rPr>
        <w:t>5</w:t>
      </w:r>
      <w:r w:rsidR="00EE5745">
        <w:noBreakHyphen/>
      </w:r>
      <w:r w:rsidR="00EE5745">
        <w:rPr>
          <w:noProof/>
        </w:rPr>
        <w:t>2</w:t>
      </w:r>
      <w:r>
        <w:fldChar w:fldCharType="end"/>
      </w:r>
      <w:r>
        <w:t xml:space="preserve"> </w:t>
      </w:r>
      <w:r w:rsidRPr="00E47A65">
        <w:t>sets out the projected roll forward of the capital base during the 201</w:t>
      </w:r>
      <w:r>
        <w:t>8</w:t>
      </w:r>
      <w:r w:rsidRPr="00E47A65">
        <w:t>–</w:t>
      </w:r>
      <w:r>
        <w:t>22</w:t>
      </w:r>
      <w:r w:rsidRPr="00E47A65">
        <w:t xml:space="preserve"> access arrangement period.</w:t>
      </w:r>
    </w:p>
    <w:p w:rsidR="00906F00" w:rsidRDefault="00906F00" w:rsidP="004933A3">
      <w:pPr>
        <w:pStyle w:val="Caption"/>
      </w:pPr>
      <w:bookmarkStart w:id="133" w:name="_Ref481750978"/>
      <w:r>
        <w:t xml:space="preserve">Table </w:t>
      </w:r>
      <w:fldSimple w:instr=" STYLEREF 1 \s ">
        <w:r w:rsidR="00EE5745">
          <w:rPr>
            <w:noProof/>
          </w:rPr>
          <w:t>5</w:t>
        </w:r>
      </w:fldSimple>
      <w:r w:rsidR="00391B74">
        <w:noBreakHyphen/>
      </w:r>
      <w:fldSimple w:instr=" SEQ Table \* ARABIC \s 1 ">
        <w:r w:rsidR="00EE5745">
          <w:rPr>
            <w:noProof/>
          </w:rPr>
          <w:t>2</w:t>
        </w:r>
      </w:fldSimple>
      <w:bookmarkEnd w:id="133"/>
      <w:r>
        <w:t xml:space="preserve"> </w:t>
      </w:r>
      <w:r w:rsidRPr="00E47A65">
        <w:t xml:space="preserve">AER’s draft decision on </w:t>
      </w:r>
      <w:r>
        <w:t xml:space="preserve">AusNet's </w:t>
      </w:r>
      <w:r w:rsidRPr="00E47A65">
        <w:t>projected capital base roll forward for the 201</w:t>
      </w:r>
      <w:r>
        <w:t>8</w:t>
      </w:r>
      <w:r w:rsidRPr="00E47A65">
        <w:t>–2</w:t>
      </w:r>
      <w:r>
        <w:t>2</w:t>
      </w:r>
      <w:r w:rsidRPr="00E47A65">
        <w:t xml:space="preserve"> access arrangement period ($million, nominal)</w:t>
      </w:r>
    </w:p>
    <w:tbl>
      <w:tblPr>
        <w:tblStyle w:val="AERtable-numbers"/>
        <w:tblW w:w="5000" w:type="pct"/>
        <w:tblLook w:val="04A0" w:firstRow="1" w:lastRow="0" w:firstColumn="1" w:lastColumn="0" w:noHBand="0" w:noVBand="1"/>
      </w:tblPr>
      <w:tblGrid>
        <w:gridCol w:w="3953"/>
        <w:gridCol w:w="948"/>
        <w:gridCol w:w="948"/>
        <w:gridCol w:w="948"/>
        <w:gridCol w:w="948"/>
        <w:gridCol w:w="948"/>
      </w:tblGrid>
      <w:tr w:rsidR="00906F00" w:rsidRPr="00E47A65" w:rsidTr="000F056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906F00" w:rsidRPr="00906F00" w:rsidRDefault="00906F00" w:rsidP="004933A3">
            <w:pPr>
              <w:keepNext/>
            </w:pPr>
            <w:r w:rsidRPr="00E47A65">
              <w:t> </w:t>
            </w:r>
          </w:p>
        </w:tc>
        <w:tc>
          <w:tcPr>
            <w:tcW w:w="545" w:type="pct"/>
            <w:noWrap/>
            <w:hideMark/>
          </w:tcPr>
          <w:p w:rsidR="00906F00" w:rsidRPr="00906F00" w:rsidRDefault="00906F00" w:rsidP="004933A3">
            <w:pPr>
              <w:keepNext/>
              <w:cnfStyle w:val="100000000000" w:firstRow="1" w:lastRow="0" w:firstColumn="0" w:lastColumn="0" w:oddVBand="0" w:evenVBand="0" w:oddHBand="0" w:evenHBand="0" w:firstRowFirstColumn="0" w:firstRowLastColumn="0" w:lastRowFirstColumn="0" w:lastRowLastColumn="0"/>
            </w:pPr>
            <w:r w:rsidRPr="00E47A65">
              <w:t>2018</w:t>
            </w:r>
          </w:p>
        </w:tc>
        <w:tc>
          <w:tcPr>
            <w:tcW w:w="545" w:type="pct"/>
            <w:noWrap/>
            <w:hideMark/>
          </w:tcPr>
          <w:p w:rsidR="00906F00" w:rsidRPr="00906F00" w:rsidRDefault="00906F00" w:rsidP="004933A3">
            <w:pPr>
              <w:keepNext/>
              <w:cnfStyle w:val="100000000000" w:firstRow="1" w:lastRow="0" w:firstColumn="0" w:lastColumn="0" w:oddVBand="0" w:evenVBand="0" w:oddHBand="0" w:evenHBand="0" w:firstRowFirstColumn="0" w:firstRowLastColumn="0" w:lastRowFirstColumn="0" w:lastRowLastColumn="0"/>
            </w:pPr>
            <w:r w:rsidRPr="00E47A65">
              <w:t>2019</w:t>
            </w:r>
          </w:p>
        </w:tc>
        <w:tc>
          <w:tcPr>
            <w:tcW w:w="545" w:type="pct"/>
            <w:noWrap/>
            <w:hideMark/>
          </w:tcPr>
          <w:p w:rsidR="00906F00" w:rsidRPr="00906F00" w:rsidRDefault="00906F00" w:rsidP="004933A3">
            <w:pPr>
              <w:keepNext/>
              <w:cnfStyle w:val="100000000000" w:firstRow="1" w:lastRow="0" w:firstColumn="0" w:lastColumn="0" w:oddVBand="0" w:evenVBand="0" w:oddHBand="0" w:evenHBand="0" w:firstRowFirstColumn="0" w:firstRowLastColumn="0" w:lastRowFirstColumn="0" w:lastRowLastColumn="0"/>
            </w:pPr>
            <w:r w:rsidRPr="00E47A65">
              <w:t>2020</w:t>
            </w:r>
          </w:p>
        </w:tc>
        <w:tc>
          <w:tcPr>
            <w:tcW w:w="545" w:type="pct"/>
            <w:noWrap/>
            <w:hideMark/>
          </w:tcPr>
          <w:p w:rsidR="00906F00" w:rsidRPr="00906F00" w:rsidRDefault="00906F00" w:rsidP="004933A3">
            <w:pPr>
              <w:keepNext/>
              <w:cnfStyle w:val="100000000000" w:firstRow="1" w:lastRow="0" w:firstColumn="0" w:lastColumn="0" w:oddVBand="0" w:evenVBand="0" w:oddHBand="0" w:evenHBand="0" w:firstRowFirstColumn="0" w:firstRowLastColumn="0" w:lastRowFirstColumn="0" w:lastRowLastColumn="0"/>
            </w:pPr>
            <w:r w:rsidRPr="00E47A65">
              <w:t>2021</w:t>
            </w:r>
          </w:p>
        </w:tc>
        <w:tc>
          <w:tcPr>
            <w:tcW w:w="545" w:type="pct"/>
            <w:noWrap/>
            <w:hideMark/>
          </w:tcPr>
          <w:p w:rsidR="00906F00" w:rsidRPr="00906F00" w:rsidRDefault="00906F00" w:rsidP="004933A3">
            <w:pPr>
              <w:keepNext/>
              <w:cnfStyle w:val="100000000000" w:firstRow="1" w:lastRow="0" w:firstColumn="0" w:lastColumn="0" w:oddVBand="0" w:evenVBand="0" w:oddHBand="0" w:evenHBand="0" w:firstRowFirstColumn="0" w:firstRowLastColumn="0" w:lastRowFirstColumn="0" w:lastRowLastColumn="0"/>
            </w:pPr>
            <w:r w:rsidRPr="00E47A65">
              <w:t>2022</w:t>
            </w:r>
          </w:p>
        </w:tc>
      </w:tr>
      <w:tr w:rsidR="0018567A" w:rsidRPr="00E47A65" w:rsidTr="00F04988">
        <w:trPr>
          <w:trHeight w:val="269"/>
        </w:trPr>
        <w:tc>
          <w:tcPr>
            <w:cnfStyle w:val="001000000000" w:firstRow="0" w:lastRow="0" w:firstColumn="1" w:lastColumn="0" w:oddVBand="0" w:evenVBand="0" w:oddHBand="0" w:evenHBand="0" w:firstRowFirstColumn="0" w:firstRowLastColumn="0" w:lastRowFirstColumn="0" w:lastRowLastColumn="0"/>
            <w:tcW w:w="2274" w:type="pct"/>
            <w:noWrap/>
            <w:hideMark/>
          </w:tcPr>
          <w:p w:rsidR="0018567A" w:rsidRPr="0018567A" w:rsidRDefault="0018567A" w:rsidP="004933A3">
            <w:pPr>
              <w:keepNext/>
            </w:pPr>
            <w:r w:rsidRPr="0018567A">
              <w:t>Opening capital base</w:t>
            </w:r>
          </w:p>
        </w:tc>
        <w:tc>
          <w:tcPr>
            <w:tcW w:w="545" w:type="pct"/>
            <w:noWrap/>
            <w:vAlign w:val="bottom"/>
          </w:tcPr>
          <w:p w:rsidR="0018567A" w:rsidRPr="0018567A" w:rsidRDefault="0018567A" w:rsidP="004933A3">
            <w:pPr>
              <w:keepNext/>
              <w:cnfStyle w:val="000000000000" w:firstRow="0" w:lastRow="0" w:firstColumn="0" w:lastColumn="0" w:oddVBand="0" w:evenVBand="0" w:oddHBand="0" w:evenHBand="0" w:firstRowFirstColumn="0" w:firstRowLastColumn="0" w:lastRowFirstColumn="0" w:lastRowLastColumn="0"/>
            </w:pPr>
            <w:r w:rsidRPr="0018567A">
              <w:t>1575.7</w:t>
            </w:r>
          </w:p>
        </w:tc>
        <w:tc>
          <w:tcPr>
            <w:tcW w:w="545" w:type="pct"/>
            <w:noWrap/>
            <w:vAlign w:val="bottom"/>
          </w:tcPr>
          <w:p w:rsidR="0018567A" w:rsidRPr="0018567A" w:rsidRDefault="0018567A" w:rsidP="004933A3">
            <w:pPr>
              <w:keepNext/>
              <w:cnfStyle w:val="000000000000" w:firstRow="0" w:lastRow="0" w:firstColumn="0" w:lastColumn="0" w:oddVBand="0" w:evenVBand="0" w:oddHBand="0" w:evenHBand="0" w:firstRowFirstColumn="0" w:firstRowLastColumn="0" w:lastRowFirstColumn="0" w:lastRowLastColumn="0"/>
            </w:pPr>
            <w:r w:rsidRPr="0018567A">
              <w:t>1636.0</w:t>
            </w:r>
          </w:p>
        </w:tc>
        <w:tc>
          <w:tcPr>
            <w:tcW w:w="545" w:type="pct"/>
            <w:noWrap/>
            <w:vAlign w:val="bottom"/>
          </w:tcPr>
          <w:p w:rsidR="0018567A" w:rsidRPr="0018567A" w:rsidRDefault="0018567A" w:rsidP="004933A3">
            <w:pPr>
              <w:keepNext/>
              <w:cnfStyle w:val="000000000000" w:firstRow="0" w:lastRow="0" w:firstColumn="0" w:lastColumn="0" w:oddVBand="0" w:evenVBand="0" w:oddHBand="0" w:evenHBand="0" w:firstRowFirstColumn="0" w:firstRowLastColumn="0" w:lastRowFirstColumn="0" w:lastRowLastColumn="0"/>
            </w:pPr>
            <w:r w:rsidRPr="0018567A">
              <w:t>1706.2</w:t>
            </w:r>
          </w:p>
        </w:tc>
        <w:tc>
          <w:tcPr>
            <w:tcW w:w="545" w:type="pct"/>
            <w:noWrap/>
            <w:vAlign w:val="bottom"/>
          </w:tcPr>
          <w:p w:rsidR="0018567A" w:rsidRPr="0018567A" w:rsidRDefault="0018567A" w:rsidP="004933A3">
            <w:pPr>
              <w:keepNext/>
              <w:cnfStyle w:val="000000000000" w:firstRow="0" w:lastRow="0" w:firstColumn="0" w:lastColumn="0" w:oddVBand="0" w:evenVBand="0" w:oddHBand="0" w:evenHBand="0" w:firstRowFirstColumn="0" w:firstRowLastColumn="0" w:lastRowFirstColumn="0" w:lastRowLastColumn="0"/>
            </w:pPr>
            <w:r w:rsidRPr="0018567A">
              <w:t>1772.4</w:t>
            </w:r>
          </w:p>
        </w:tc>
        <w:tc>
          <w:tcPr>
            <w:tcW w:w="545" w:type="pct"/>
            <w:noWrap/>
            <w:vAlign w:val="bottom"/>
          </w:tcPr>
          <w:p w:rsidR="0018567A" w:rsidRPr="0018567A" w:rsidRDefault="0018567A" w:rsidP="004933A3">
            <w:pPr>
              <w:keepNext/>
              <w:cnfStyle w:val="000000000000" w:firstRow="0" w:lastRow="0" w:firstColumn="0" w:lastColumn="0" w:oddVBand="0" w:evenVBand="0" w:oddHBand="0" w:evenHBand="0" w:firstRowFirstColumn="0" w:firstRowLastColumn="0" w:lastRowFirstColumn="0" w:lastRowLastColumn="0"/>
            </w:pPr>
            <w:r w:rsidRPr="0018567A">
              <w:t>1830.5</w:t>
            </w:r>
          </w:p>
        </w:tc>
      </w:tr>
      <w:tr w:rsidR="0018567A" w:rsidRPr="00E47A65" w:rsidTr="00F0498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18567A" w:rsidRPr="0018567A" w:rsidRDefault="0018567A" w:rsidP="004933A3">
            <w:pPr>
              <w:keepNext/>
            </w:pPr>
            <w:r w:rsidRPr="0018567A">
              <w:t>Net capex</w:t>
            </w:r>
          </w:p>
        </w:tc>
        <w:tc>
          <w:tcPr>
            <w:tcW w:w="545" w:type="pct"/>
            <w:noWrap/>
            <w:vAlign w:val="bottom"/>
          </w:tcPr>
          <w:p w:rsidR="0018567A" w:rsidRPr="0018567A" w:rsidRDefault="0018567A" w:rsidP="004933A3">
            <w:pPr>
              <w:keepNext/>
              <w:cnfStyle w:val="000000010000" w:firstRow="0" w:lastRow="0" w:firstColumn="0" w:lastColumn="0" w:oddVBand="0" w:evenVBand="0" w:oddHBand="0" w:evenHBand="1" w:firstRowFirstColumn="0" w:firstRowLastColumn="0" w:lastRowFirstColumn="0" w:lastRowLastColumn="0"/>
            </w:pPr>
            <w:r w:rsidRPr="0018567A">
              <w:t>104.1</w:t>
            </w:r>
          </w:p>
        </w:tc>
        <w:tc>
          <w:tcPr>
            <w:tcW w:w="545" w:type="pct"/>
            <w:noWrap/>
            <w:vAlign w:val="bottom"/>
          </w:tcPr>
          <w:p w:rsidR="0018567A" w:rsidRPr="0018567A" w:rsidRDefault="0018567A" w:rsidP="004933A3">
            <w:pPr>
              <w:keepNext/>
              <w:cnfStyle w:val="000000010000" w:firstRow="0" w:lastRow="0" w:firstColumn="0" w:lastColumn="0" w:oddVBand="0" w:evenVBand="0" w:oddHBand="0" w:evenHBand="1" w:firstRowFirstColumn="0" w:firstRowLastColumn="0" w:lastRowFirstColumn="0" w:lastRowLastColumn="0"/>
            </w:pPr>
            <w:r w:rsidRPr="0018567A">
              <w:t>103.2</w:t>
            </w:r>
          </w:p>
        </w:tc>
        <w:tc>
          <w:tcPr>
            <w:tcW w:w="545" w:type="pct"/>
            <w:noWrap/>
            <w:vAlign w:val="bottom"/>
          </w:tcPr>
          <w:p w:rsidR="0018567A" w:rsidRPr="0018567A" w:rsidRDefault="0018567A" w:rsidP="004933A3">
            <w:pPr>
              <w:keepNext/>
              <w:cnfStyle w:val="000000010000" w:firstRow="0" w:lastRow="0" w:firstColumn="0" w:lastColumn="0" w:oddVBand="0" w:evenVBand="0" w:oddHBand="0" w:evenHBand="1" w:firstRowFirstColumn="0" w:firstRowLastColumn="0" w:lastRowFirstColumn="0" w:lastRowLastColumn="0"/>
            </w:pPr>
            <w:r w:rsidRPr="0018567A">
              <w:t>102.0</w:t>
            </w:r>
          </w:p>
        </w:tc>
        <w:tc>
          <w:tcPr>
            <w:tcW w:w="545" w:type="pct"/>
            <w:noWrap/>
            <w:vAlign w:val="bottom"/>
          </w:tcPr>
          <w:p w:rsidR="0018567A" w:rsidRPr="0018567A" w:rsidRDefault="0018567A" w:rsidP="004933A3">
            <w:pPr>
              <w:keepNext/>
              <w:cnfStyle w:val="000000010000" w:firstRow="0" w:lastRow="0" w:firstColumn="0" w:lastColumn="0" w:oddVBand="0" w:evenVBand="0" w:oddHBand="0" w:evenHBand="1" w:firstRowFirstColumn="0" w:firstRowLastColumn="0" w:lastRowFirstColumn="0" w:lastRowLastColumn="0"/>
            </w:pPr>
            <w:r w:rsidRPr="0018567A">
              <w:t>97.4</w:t>
            </w:r>
          </w:p>
        </w:tc>
        <w:tc>
          <w:tcPr>
            <w:tcW w:w="545" w:type="pct"/>
            <w:noWrap/>
            <w:vAlign w:val="bottom"/>
          </w:tcPr>
          <w:p w:rsidR="0018567A" w:rsidRPr="0018567A" w:rsidRDefault="0018567A" w:rsidP="004933A3">
            <w:pPr>
              <w:keepNext/>
              <w:cnfStyle w:val="000000010000" w:firstRow="0" w:lastRow="0" w:firstColumn="0" w:lastColumn="0" w:oddVBand="0" w:evenVBand="0" w:oddHBand="0" w:evenHBand="1" w:firstRowFirstColumn="0" w:firstRowLastColumn="0" w:lastRowFirstColumn="0" w:lastRowLastColumn="0"/>
            </w:pPr>
            <w:r w:rsidRPr="0018567A">
              <w:t>95.5</w:t>
            </w:r>
          </w:p>
        </w:tc>
      </w:tr>
      <w:tr w:rsidR="0018567A" w:rsidRPr="00E47A65" w:rsidTr="00F04988">
        <w:trPr>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18567A" w:rsidRPr="0018567A" w:rsidRDefault="0018567A" w:rsidP="004933A3">
            <w:pPr>
              <w:keepNext/>
            </w:pPr>
            <w:r w:rsidRPr="0018567A">
              <w:t>Indexation of capital base</w:t>
            </w:r>
          </w:p>
        </w:tc>
        <w:tc>
          <w:tcPr>
            <w:tcW w:w="545" w:type="pct"/>
            <w:noWrap/>
            <w:vAlign w:val="bottom"/>
          </w:tcPr>
          <w:p w:rsidR="0018567A" w:rsidRPr="0018567A" w:rsidRDefault="0018567A" w:rsidP="004933A3">
            <w:pPr>
              <w:keepNext/>
              <w:cnfStyle w:val="000000000000" w:firstRow="0" w:lastRow="0" w:firstColumn="0" w:lastColumn="0" w:oddVBand="0" w:evenVBand="0" w:oddHBand="0" w:evenHBand="0" w:firstRowFirstColumn="0" w:firstRowLastColumn="0" w:lastRowFirstColumn="0" w:lastRowLastColumn="0"/>
            </w:pPr>
            <w:r w:rsidRPr="0018567A">
              <w:t>38.6</w:t>
            </w:r>
          </w:p>
        </w:tc>
        <w:tc>
          <w:tcPr>
            <w:tcW w:w="545" w:type="pct"/>
            <w:noWrap/>
            <w:vAlign w:val="bottom"/>
          </w:tcPr>
          <w:p w:rsidR="0018567A" w:rsidRPr="0018567A" w:rsidRDefault="0018567A" w:rsidP="004933A3">
            <w:pPr>
              <w:keepNext/>
              <w:cnfStyle w:val="000000000000" w:firstRow="0" w:lastRow="0" w:firstColumn="0" w:lastColumn="0" w:oddVBand="0" w:evenVBand="0" w:oddHBand="0" w:evenHBand="0" w:firstRowFirstColumn="0" w:firstRowLastColumn="0" w:lastRowFirstColumn="0" w:lastRowLastColumn="0"/>
            </w:pPr>
            <w:r w:rsidRPr="0018567A">
              <w:t>40.1</w:t>
            </w:r>
          </w:p>
        </w:tc>
        <w:tc>
          <w:tcPr>
            <w:tcW w:w="545" w:type="pct"/>
            <w:noWrap/>
            <w:vAlign w:val="bottom"/>
          </w:tcPr>
          <w:p w:rsidR="0018567A" w:rsidRPr="0018567A" w:rsidRDefault="0018567A" w:rsidP="004933A3">
            <w:pPr>
              <w:keepNext/>
              <w:cnfStyle w:val="000000000000" w:firstRow="0" w:lastRow="0" w:firstColumn="0" w:lastColumn="0" w:oddVBand="0" w:evenVBand="0" w:oddHBand="0" w:evenHBand="0" w:firstRowFirstColumn="0" w:firstRowLastColumn="0" w:lastRowFirstColumn="0" w:lastRowLastColumn="0"/>
            </w:pPr>
            <w:r w:rsidRPr="0018567A">
              <w:t>41.8</w:t>
            </w:r>
          </w:p>
        </w:tc>
        <w:tc>
          <w:tcPr>
            <w:tcW w:w="545" w:type="pct"/>
            <w:noWrap/>
            <w:vAlign w:val="bottom"/>
          </w:tcPr>
          <w:p w:rsidR="0018567A" w:rsidRPr="0018567A" w:rsidRDefault="0018567A" w:rsidP="004933A3">
            <w:pPr>
              <w:keepNext/>
              <w:cnfStyle w:val="000000000000" w:firstRow="0" w:lastRow="0" w:firstColumn="0" w:lastColumn="0" w:oddVBand="0" w:evenVBand="0" w:oddHBand="0" w:evenHBand="0" w:firstRowFirstColumn="0" w:firstRowLastColumn="0" w:lastRowFirstColumn="0" w:lastRowLastColumn="0"/>
            </w:pPr>
            <w:r w:rsidRPr="0018567A">
              <w:t>43.4</w:t>
            </w:r>
          </w:p>
        </w:tc>
        <w:tc>
          <w:tcPr>
            <w:tcW w:w="545" w:type="pct"/>
            <w:noWrap/>
            <w:vAlign w:val="bottom"/>
          </w:tcPr>
          <w:p w:rsidR="0018567A" w:rsidRPr="0018567A" w:rsidRDefault="0018567A" w:rsidP="004933A3">
            <w:pPr>
              <w:keepNext/>
              <w:cnfStyle w:val="000000000000" w:firstRow="0" w:lastRow="0" w:firstColumn="0" w:lastColumn="0" w:oddVBand="0" w:evenVBand="0" w:oddHBand="0" w:evenHBand="0" w:firstRowFirstColumn="0" w:firstRowLastColumn="0" w:lastRowFirstColumn="0" w:lastRowLastColumn="0"/>
            </w:pPr>
            <w:r w:rsidRPr="0018567A">
              <w:t>44.8</w:t>
            </w:r>
          </w:p>
        </w:tc>
      </w:tr>
      <w:tr w:rsidR="0018567A" w:rsidRPr="00E47A65" w:rsidTr="00F0498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4" w:type="pct"/>
            <w:noWrap/>
            <w:hideMark/>
          </w:tcPr>
          <w:p w:rsidR="0018567A" w:rsidRPr="0018567A" w:rsidRDefault="0018567A" w:rsidP="004933A3">
            <w:pPr>
              <w:keepNext/>
            </w:pPr>
            <w:r w:rsidRPr="0018567A">
              <w:rPr>
                <w:rStyle w:val="AERtextitalic"/>
              </w:rPr>
              <w:t>Less:</w:t>
            </w:r>
            <w:r w:rsidRPr="0018567A">
              <w:t xml:space="preserve"> straight-line depreciation</w:t>
            </w:r>
          </w:p>
        </w:tc>
        <w:tc>
          <w:tcPr>
            <w:tcW w:w="545" w:type="pct"/>
            <w:noWrap/>
            <w:vAlign w:val="bottom"/>
          </w:tcPr>
          <w:p w:rsidR="0018567A" w:rsidRPr="0018567A" w:rsidRDefault="0018567A" w:rsidP="004933A3">
            <w:pPr>
              <w:keepNext/>
              <w:cnfStyle w:val="000000010000" w:firstRow="0" w:lastRow="0" w:firstColumn="0" w:lastColumn="0" w:oddVBand="0" w:evenVBand="0" w:oddHBand="0" w:evenHBand="1" w:firstRowFirstColumn="0" w:firstRowLastColumn="0" w:lastRowFirstColumn="0" w:lastRowLastColumn="0"/>
            </w:pPr>
            <w:r w:rsidRPr="0018567A">
              <w:t>82.5</w:t>
            </w:r>
          </w:p>
        </w:tc>
        <w:tc>
          <w:tcPr>
            <w:tcW w:w="545" w:type="pct"/>
            <w:noWrap/>
            <w:vAlign w:val="bottom"/>
          </w:tcPr>
          <w:p w:rsidR="0018567A" w:rsidRPr="0018567A" w:rsidRDefault="0018567A" w:rsidP="004933A3">
            <w:pPr>
              <w:keepNext/>
              <w:cnfStyle w:val="000000010000" w:firstRow="0" w:lastRow="0" w:firstColumn="0" w:lastColumn="0" w:oddVBand="0" w:evenVBand="0" w:oddHBand="0" w:evenHBand="1" w:firstRowFirstColumn="0" w:firstRowLastColumn="0" w:lastRowFirstColumn="0" w:lastRowLastColumn="0"/>
            </w:pPr>
            <w:r w:rsidRPr="0018567A">
              <w:t>73.1</w:t>
            </w:r>
          </w:p>
        </w:tc>
        <w:tc>
          <w:tcPr>
            <w:tcW w:w="545" w:type="pct"/>
            <w:noWrap/>
            <w:vAlign w:val="bottom"/>
          </w:tcPr>
          <w:p w:rsidR="0018567A" w:rsidRPr="0018567A" w:rsidRDefault="0018567A" w:rsidP="004933A3">
            <w:pPr>
              <w:keepNext/>
              <w:cnfStyle w:val="000000010000" w:firstRow="0" w:lastRow="0" w:firstColumn="0" w:lastColumn="0" w:oddVBand="0" w:evenVBand="0" w:oddHBand="0" w:evenHBand="1" w:firstRowFirstColumn="0" w:firstRowLastColumn="0" w:lastRowFirstColumn="0" w:lastRowLastColumn="0"/>
            </w:pPr>
            <w:r w:rsidRPr="0018567A">
              <w:t>77.6</w:t>
            </w:r>
          </w:p>
        </w:tc>
        <w:tc>
          <w:tcPr>
            <w:tcW w:w="545" w:type="pct"/>
            <w:noWrap/>
            <w:vAlign w:val="bottom"/>
          </w:tcPr>
          <w:p w:rsidR="0018567A" w:rsidRPr="0018567A" w:rsidRDefault="0018567A" w:rsidP="004933A3">
            <w:pPr>
              <w:keepNext/>
              <w:cnfStyle w:val="000000010000" w:firstRow="0" w:lastRow="0" w:firstColumn="0" w:lastColumn="0" w:oddVBand="0" w:evenVBand="0" w:oddHBand="0" w:evenHBand="1" w:firstRowFirstColumn="0" w:firstRowLastColumn="0" w:lastRowFirstColumn="0" w:lastRowLastColumn="0"/>
            </w:pPr>
            <w:r w:rsidRPr="0018567A">
              <w:t>82.7</w:t>
            </w:r>
          </w:p>
        </w:tc>
        <w:tc>
          <w:tcPr>
            <w:tcW w:w="545" w:type="pct"/>
            <w:noWrap/>
            <w:vAlign w:val="bottom"/>
          </w:tcPr>
          <w:p w:rsidR="0018567A" w:rsidRPr="0018567A" w:rsidRDefault="0018567A" w:rsidP="004933A3">
            <w:pPr>
              <w:keepNext/>
              <w:cnfStyle w:val="000000010000" w:firstRow="0" w:lastRow="0" w:firstColumn="0" w:lastColumn="0" w:oddVBand="0" w:evenVBand="0" w:oddHBand="0" w:evenHBand="1" w:firstRowFirstColumn="0" w:firstRowLastColumn="0" w:lastRowFirstColumn="0" w:lastRowLastColumn="0"/>
            </w:pPr>
            <w:r w:rsidRPr="0018567A">
              <w:t>87.9</w:t>
            </w:r>
          </w:p>
        </w:tc>
      </w:tr>
      <w:tr w:rsidR="0018567A" w:rsidRPr="00D73B8B" w:rsidTr="00F04988">
        <w:trPr>
          <w:trHeight w:val="269"/>
        </w:trPr>
        <w:tc>
          <w:tcPr>
            <w:cnfStyle w:val="001000000000" w:firstRow="0" w:lastRow="0" w:firstColumn="1" w:lastColumn="0" w:oddVBand="0" w:evenVBand="0" w:oddHBand="0" w:evenHBand="0" w:firstRowFirstColumn="0" w:firstRowLastColumn="0" w:lastRowFirstColumn="0" w:lastRowLastColumn="0"/>
            <w:tcW w:w="2274" w:type="pct"/>
            <w:noWrap/>
            <w:hideMark/>
          </w:tcPr>
          <w:p w:rsidR="0018567A" w:rsidRPr="0018567A" w:rsidRDefault="0018567A" w:rsidP="004933A3">
            <w:pPr>
              <w:keepNext/>
              <w:rPr>
                <w:rStyle w:val="Strong"/>
              </w:rPr>
            </w:pPr>
            <w:r w:rsidRPr="0018567A">
              <w:rPr>
                <w:rStyle w:val="Strong"/>
              </w:rPr>
              <w:t>Closing capital base</w:t>
            </w:r>
          </w:p>
        </w:tc>
        <w:tc>
          <w:tcPr>
            <w:tcW w:w="545" w:type="pct"/>
            <w:noWrap/>
            <w:vAlign w:val="bottom"/>
          </w:tcPr>
          <w:p w:rsidR="0018567A" w:rsidRPr="0018567A" w:rsidRDefault="0018567A" w:rsidP="004933A3">
            <w:pPr>
              <w:keepNext/>
              <w:spacing w:before="0" w:after="0"/>
              <w:jc w:val="left"/>
              <w:cnfStyle w:val="000000000000" w:firstRow="0" w:lastRow="0" w:firstColumn="0" w:lastColumn="0" w:oddVBand="0" w:evenVBand="0" w:oddHBand="0" w:evenHBand="0" w:firstRowFirstColumn="0" w:firstRowLastColumn="0" w:lastRowFirstColumn="0" w:lastRowLastColumn="0"/>
              <w:rPr>
                <w:rStyle w:val="Strong"/>
              </w:rPr>
            </w:pPr>
            <w:r w:rsidRPr="00D636F1">
              <w:rPr>
                <w:rStyle w:val="Strong"/>
              </w:rPr>
              <w:t>1636.0</w:t>
            </w:r>
          </w:p>
        </w:tc>
        <w:tc>
          <w:tcPr>
            <w:tcW w:w="545" w:type="pct"/>
            <w:noWrap/>
            <w:vAlign w:val="bottom"/>
          </w:tcPr>
          <w:p w:rsidR="0018567A" w:rsidRPr="00DC6B4F" w:rsidRDefault="0018567A" w:rsidP="004933A3">
            <w:pPr>
              <w:keepNext/>
              <w:cnfStyle w:val="000000000000" w:firstRow="0" w:lastRow="0" w:firstColumn="0" w:lastColumn="0" w:oddVBand="0" w:evenVBand="0" w:oddHBand="0" w:evenHBand="0" w:firstRowFirstColumn="0" w:firstRowLastColumn="0" w:lastRowFirstColumn="0" w:lastRowLastColumn="0"/>
              <w:rPr>
                <w:rStyle w:val="Strong"/>
              </w:rPr>
            </w:pPr>
            <w:r w:rsidRPr="00D636F1">
              <w:rPr>
                <w:rStyle w:val="Strong"/>
              </w:rPr>
              <w:t>1706.2</w:t>
            </w:r>
          </w:p>
        </w:tc>
        <w:tc>
          <w:tcPr>
            <w:tcW w:w="545" w:type="pct"/>
            <w:noWrap/>
            <w:vAlign w:val="bottom"/>
          </w:tcPr>
          <w:p w:rsidR="0018567A" w:rsidRPr="00DC6B4F" w:rsidRDefault="0018567A" w:rsidP="004933A3">
            <w:pPr>
              <w:keepNext/>
              <w:cnfStyle w:val="000000000000" w:firstRow="0" w:lastRow="0" w:firstColumn="0" w:lastColumn="0" w:oddVBand="0" w:evenVBand="0" w:oddHBand="0" w:evenHBand="0" w:firstRowFirstColumn="0" w:firstRowLastColumn="0" w:lastRowFirstColumn="0" w:lastRowLastColumn="0"/>
              <w:rPr>
                <w:rStyle w:val="Strong"/>
              </w:rPr>
            </w:pPr>
            <w:r w:rsidRPr="00D636F1">
              <w:rPr>
                <w:rStyle w:val="Strong"/>
              </w:rPr>
              <w:t>1772.4</w:t>
            </w:r>
          </w:p>
        </w:tc>
        <w:tc>
          <w:tcPr>
            <w:tcW w:w="545" w:type="pct"/>
            <w:noWrap/>
            <w:vAlign w:val="bottom"/>
          </w:tcPr>
          <w:p w:rsidR="0018567A" w:rsidRPr="00DC6B4F" w:rsidRDefault="0018567A" w:rsidP="004933A3">
            <w:pPr>
              <w:keepNext/>
              <w:cnfStyle w:val="000000000000" w:firstRow="0" w:lastRow="0" w:firstColumn="0" w:lastColumn="0" w:oddVBand="0" w:evenVBand="0" w:oddHBand="0" w:evenHBand="0" w:firstRowFirstColumn="0" w:firstRowLastColumn="0" w:lastRowFirstColumn="0" w:lastRowLastColumn="0"/>
              <w:rPr>
                <w:rStyle w:val="Strong"/>
              </w:rPr>
            </w:pPr>
            <w:r w:rsidRPr="00D636F1">
              <w:rPr>
                <w:rStyle w:val="Strong"/>
              </w:rPr>
              <w:t>1830.5</w:t>
            </w:r>
          </w:p>
        </w:tc>
        <w:tc>
          <w:tcPr>
            <w:tcW w:w="545" w:type="pct"/>
            <w:noWrap/>
            <w:vAlign w:val="bottom"/>
          </w:tcPr>
          <w:p w:rsidR="0018567A" w:rsidRPr="00DC6B4F" w:rsidRDefault="0018567A" w:rsidP="004933A3">
            <w:pPr>
              <w:keepNext/>
              <w:cnfStyle w:val="000000000000" w:firstRow="0" w:lastRow="0" w:firstColumn="0" w:lastColumn="0" w:oddVBand="0" w:evenVBand="0" w:oddHBand="0" w:evenHBand="0" w:firstRowFirstColumn="0" w:firstRowLastColumn="0" w:lastRowFirstColumn="0" w:lastRowLastColumn="0"/>
              <w:rPr>
                <w:rStyle w:val="Strong"/>
              </w:rPr>
            </w:pPr>
            <w:r w:rsidRPr="00D636F1">
              <w:rPr>
                <w:rStyle w:val="Strong"/>
              </w:rPr>
              <w:t>1883.0</w:t>
            </w:r>
          </w:p>
        </w:tc>
      </w:tr>
    </w:tbl>
    <w:p w:rsidR="00906F00" w:rsidRDefault="00906F00" w:rsidP="004933A3">
      <w:pPr>
        <w:pStyle w:val="AERtablesource"/>
        <w:keepNext/>
      </w:pPr>
      <w:r>
        <w:t>Source:</w:t>
      </w:r>
      <w:r>
        <w:tab/>
        <w:t>AER analysis.</w:t>
      </w:r>
    </w:p>
    <w:p w:rsidR="002B4532" w:rsidRPr="002B4532" w:rsidRDefault="002B4532" w:rsidP="00D636F1">
      <w:r>
        <w:fldChar w:fldCharType="begin"/>
      </w:r>
      <w:r>
        <w:instrText xml:space="preserve"> REF _Ref485038564 \h </w:instrText>
      </w:r>
      <w:r>
        <w:fldChar w:fldCharType="separate"/>
      </w:r>
      <w:r w:rsidR="00EE5745">
        <w:t xml:space="preserve">Figure </w:t>
      </w:r>
      <w:r w:rsidR="00EE5745">
        <w:rPr>
          <w:noProof/>
        </w:rPr>
        <w:t>5</w:t>
      </w:r>
      <w:r w:rsidR="00EE5745">
        <w:noBreakHyphen/>
      </w:r>
      <w:r w:rsidR="00EE5745">
        <w:rPr>
          <w:noProof/>
        </w:rPr>
        <w:t>1</w:t>
      </w:r>
      <w:r>
        <w:fldChar w:fldCharType="end"/>
      </w:r>
      <w:r>
        <w:t xml:space="preserve"> </w:t>
      </w:r>
      <w:r w:rsidRPr="002B4532">
        <w:t xml:space="preserve">compares our draft decision on </w:t>
      </w:r>
      <w:r>
        <w:t>AusNet</w:t>
      </w:r>
      <w:r w:rsidRPr="002B4532">
        <w:t xml:space="preserve">'s forecast capital base to </w:t>
      </w:r>
      <w:r>
        <w:t>AusNet</w:t>
      </w:r>
      <w:r w:rsidRPr="002B4532">
        <w:t>'s proposal and actual capital base in real dollar terms.</w:t>
      </w:r>
    </w:p>
    <w:p w:rsidR="002B4532" w:rsidRDefault="002B4532" w:rsidP="002B4532">
      <w:pPr>
        <w:pStyle w:val="Caption"/>
      </w:pPr>
      <w:bookmarkStart w:id="134" w:name="_Ref485038564"/>
      <w:r>
        <w:t xml:space="preserve">Figure </w:t>
      </w:r>
      <w:fldSimple w:instr=" STYLEREF 1 \s ">
        <w:r w:rsidR="00EE5745">
          <w:rPr>
            <w:noProof/>
          </w:rPr>
          <w:t>5</w:t>
        </w:r>
      </w:fldSimple>
      <w:r>
        <w:noBreakHyphen/>
      </w:r>
      <w:fldSimple w:instr=" SEQ Figure \* ARABIC \s 1 ">
        <w:r w:rsidR="00EE5745">
          <w:rPr>
            <w:noProof/>
          </w:rPr>
          <w:t>1</w:t>
        </w:r>
      </w:fldSimple>
      <w:bookmarkEnd w:id="134"/>
      <w:r>
        <w:tab/>
        <w:t>AusNet</w:t>
      </w:r>
      <w:r w:rsidRPr="002B4532">
        <w:t xml:space="preserve">'s actual, proposed forecast, and AER </w:t>
      </w:r>
      <w:r w:rsidR="0001618F">
        <w:t>draft</w:t>
      </w:r>
      <w:r w:rsidRPr="002B4532">
        <w:t xml:space="preserve"> decision forecast capital base ($ million, 2017)</w:t>
      </w:r>
    </w:p>
    <w:p w:rsidR="006848C0" w:rsidRPr="006848C0" w:rsidRDefault="006848C0" w:rsidP="00D636F1">
      <w:r w:rsidRPr="0087710A">
        <w:rPr>
          <w:noProof/>
          <w:lang w:eastAsia="en-AU"/>
        </w:rPr>
        <w:drawing>
          <wp:inline distT="0" distB="0" distL="0" distR="0" wp14:anchorId="14CBFCA7" wp14:editId="70A8428B">
            <wp:extent cx="5382895" cy="3195806"/>
            <wp:effectExtent l="0" t="0" r="8255" b="5080"/>
            <wp:docPr id="1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3195806"/>
                    </a:xfrm>
                    <a:prstGeom prst="rect">
                      <a:avLst/>
                    </a:prstGeom>
                    <a:noFill/>
                    <a:extLst/>
                  </pic:spPr>
                </pic:pic>
              </a:graphicData>
            </a:graphic>
          </wp:inline>
        </w:drawing>
      </w:r>
    </w:p>
    <w:p w:rsidR="002B4532" w:rsidRPr="002B4532" w:rsidRDefault="002B4532" w:rsidP="00D636F1">
      <w:pPr>
        <w:pStyle w:val="AERtablesource"/>
      </w:pPr>
      <w:r>
        <w:t>Source:</w:t>
      </w:r>
      <w:r>
        <w:tab/>
        <w:t>AER analysis.</w:t>
      </w:r>
    </w:p>
    <w:p w:rsidR="00BE78FB" w:rsidRDefault="00BE78FB" w:rsidP="00BE78FB">
      <w:pPr>
        <w:pStyle w:val="Heading2"/>
      </w:pPr>
      <w:bookmarkStart w:id="135" w:name="_Toc487017919"/>
      <w:r>
        <w:t>Rate of return (return on capital)</w:t>
      </w:r>
      <w:bookmarkEnd w:id="135"/>
    </w:p>
    <w:p w:rsidR="001B1CDC" w:rsidRPr="00AE6E1D" w:rsidRDefault="001B1CDC" w:rsidP="001B1CDC">
      <w:r w:rsidRPr="00AE6E1D">
        <w:t xml:space="preserve">The allowed rate of return provides a </w:t>
      </w:r>
      <w:r>
        <w:t>service provider</w:t>
      </w:r>
      <w:r w:rsidRPr="00AE6E1D">
        <w:t xml:space="preserve"> a return on capital to service the interest on its loans and give a return on equity to investors. The return on capital building block is calculated as a product of the rate of return and the value of the RAB.</w:t>
      </w:r>
    </w:p>
    <w:p w:rsidR="001B1CDC" w:rsidRDefault="001B1CDC" w:rsidP="001B1CDC">
      <w:r w:rsidRPr="009F45DE">
        <w:t xml:space="preserve">We are satisfied that the allowed rate of </w:t>
      </w:r>
      <w:r w:rsidRPr="009F45DE">
        <w:rPr>
          <w:rStyle w:val="AERbody"/>
        </w:rPr>
        <w:t xml:space="preserve">return of </w:t>
      </w:r>
      <w:r>
        <w:rPr>
          <w:rStyle w:val="AERbody"/>
        </w:rPr>
        <w:t>5.94</w:t>
      </w:r>
      <w:r w:rsidRPr="009F45DE">
        <w:rPr>
          <w:rStyle w:val="AERbody"/>
        </w:rPr>
        <w:t> per cent</w:t>
      </w:r>
      <w:r w:rsidRPr="009F45DE">
        <w:t xml:space="preserve"> (nominal vanilla) we determined contributes to the achievement of the N</w:t>
      </w:r>
      <w:r>
        <w:t>G</w:t>
      </w:r>
      <w:r w:rsidRPr="009F45DE">
        <w:t>O, and achieves the allowed rate of return objective (ARORO) set out in the N</w:t>
      </w:r>
      <w:r>
        <w:t>G</w:t>
      </w:r>
      <w:r w:rsidR="006B3D1B">
        <w:t>R</w:t>
      </w:r>
      <w:r w:rsidRPr="009F45DE">
        <w:t>.</w:t>
      </w:r>
      <w:r w:rsidRPr="009F45DE">
        <w:rPr>
          <w:rStyle w:val="FootnoteReference"/>
        </w:rPr>
        <w:footnoteReference w:id="28"/>
      </w:r>
      <w:r w:rsidRPr="009F45DE">
        <w:t xml:space="preserve"> That is, we are satisfied that this allowed rate of return is commensurate with the efficient financing costs of a benchmark efficient entity with a similar degree of risk as that which applies to </w:t>
      </w:r>
      <w:r>
        <w:t>AusNet</w:t>
      </w:r>
      <w:r w:rsidRPr="009F45DE">
        <w:t xml:space="preserve"> in providing </w:t>
      </w:r>
      <w:r>
        <w:t xml:space="preserve">reference </w:t>
      </w:r>
      <w:r w:rsidRPr="009F45DE">
        <w:t>services.</w:t>
      </w:r>
      <w:r w:rsidRPr="009F45DE">
        <w:rPr>
          <w:rStyle w:val="FootnoteReference"/>
        </w:rPr>
        <w:footnoteReference w:id="29"/>
      </w:r>
      <w:r>
        <w:t xml:space="preserve"> </w:t>
      </w:r>
      <w:r w:rsidRPr="00AE6E1D">
        <w:t xml:space="preserve">We are not satisfied </w:t>
      </w:r>
      <w:r>
        <w:t>that AusNet's</w:t>
      </w:r>
      <w:r w:rsidRPr="00AE6E1D">
        <w:t xml:space="preserve"> proposed (indicative) </w:t>
      </w:r>
      <w:r>
        <w:t xml:space="preserve">5.63 </w:t>
      </w:r>
      <w:r w:rsidRPr="00AE6E1D">
        <w:t>per cent rate of return for 201</w:t>
      </w:r>
      <w:r>
        <w:t>8</w:t>
      </w:r>
      <w:r w:rsidRPr="00AE6E1D">
        <w:t xml:space="preserve"> will achieve the ARORO.</w:t>
      </w:r>
      <w:r w:rsidRPr="00AE6E1D">
        <w:rPr>
          <w:rStyle w:val="FootnoteReference"/>
        </w:rPr>
        <w:footnoteReference w:id="30"/>
      </w:r>
      <w:r w:rsidRPr="00AE6E1D">
        <w:t xml:space="preserve"> </w:t>
      </w:r>
    </w:p>
    <w:p w:rsidR="001B1CDC" w:rsidRPr="001B1CDC" w:rsidRDefault="00391B74" w:rsidP="001B1CDC">
      <w:r>
        <w:fldChar w:fldCharType="begin"/>
      </w:r>
      <w:r>
        <w:instrText xml:space="preserve"> REF _Ref486946373 \h </w:instrText>
      </w:r>
      <w:r>
        <w:fldChar w:fldCharType="separate"/>
      </w:r>
      <w:r w:rsidR="00EE5745">
        <w:t xml:space="preserve">Table </w:t>
      </w:r>
      <w:r w:rsidR="00EE5745">
        <w:rPr>
          <w:noProof/>
        </w:rPr>
        <w:t>5</w:t>
      </w:r>
      <w:r w:rsidR="00EE5745">
        <w:noBreakHyphen/>
      </w:r>
      <w:r w:rsidR="00EE5745">
        <w:rPr>
          <w:noProof/>
        </w:rPr>
        <w:t>3</w:t>
      </w:r>
      <w:r>
        <w:fldChar w:fldCharType="end"/>
      </w:r>
      <w:r>
        <w:t xml:space="preserve"> </w:t>
      </w:r>
      <w:r w:rsidR="001B1CDC" w:rsidRPr="001B1CDC">
        <w:t xml:space="preserve">sets out our rate of return and </w:t>
      </w:r>
      <w:r w:rsidR="001B1CDC">
        <w:t>AusNet</w:t>
      </w:r>
      <w:r w:rsidR="001B1CDC" w:rsidRPr="001B1CDC">
        <w:t>'s proposed rate of return.</w:t>
      </w:r>
    </w:p>
    <w:p w:rsidR="001B1CDC" w:rsidRPr="00E71176" w:rsidRDefault="00391B74" w:rsidP="00391B74">
      <w:pPr>
        <w:pStyle w:val="Caption"/>
      </w:pPr>
      <w:bookmarkStart w:id="136" w:name="_Ref486946373"/>
      <w:r>
        <w:t xml:space="preserve">Table </w:t>
      </w:r>
      <w:fldSimple w:instr=" STYLEREF 1 \s ">
        <w:r w:rsidR="00EE5745">
          <w:rPr>
            <w:noProof/>
          </w:rPr>
          <w:t>5</w:t>
        </w:r>
      </w:fldSimple>
      <w:r>
        <w:noBreakHyphen/>
      </w:r>
      <w:fldSimple w:instr=" SEQ Table \* ARABIC \s 1 ">
        <w:r w:rsidR="00EE5745">
          <w:rPr>
            <w:noProof/>
          </w:rPr>
          <w:t>3</w:t>
        </w:r>
      </w:fldSimple>
      <w:bookmarkEnd w:id="136"/>
      <w:r w:rsidR="001B1CDC" w:rsidRPr="00E71176">
        <w:tab/>
        <w:t xml:space="preserve">Draft decision on </w:t>
      </w:r>
      <w:r w:rsidR="001B1CDC">
        <w:t>AusNet</w:t>
      </w:r>
      <w:r w:rsidR="001B1CDC" w:rsidRPr="00E71176">
        <w:t>'s rate of return (% nominal)</w:t>
      </w:r>
    </w:p>
    <w:tbl>
      <w:tblPr>
        <w:tblStyle w:val="AERtable-text0"/>
        <w:tblW w:w="5000" w:type="pct"/>
        <w:tblLook w:val="04A0" w:firstRow="1" w:lastRow="0" w:firstColumn="1" w:lastColumn="0" w:noHBand="0" w:noVBand="1"/>
      </w:tblPr>
      <w:tblGrid>
        <w:gridCol w:w="1953"/>
        <w:gridCol w:w="1686"/>
        <w:gridCol w:w="1855"/>
        <w:gridCol w:w="1280"/>
        <w:gridCol w:w="1919"/>
      </w:tblGrid>
      <w:tr w:rsidR="001B1CDC" w:rsidRPr="00351675" w:rsidTr="00AD6DD5">
        <w:trPr>
          <w:cnfStyle w:val="100000000000" w:firstRow="1" w:lastRow="0" w:firstColumn="0" w:lastColumn="0" w:oddVBand="0" w:evenVBand="0" w:oddHBand="0" w:evenHBand="0" w:firstRowFirstColumn="0" w:firstRowLastColumn="0" w:lastRowFirstColumn="0" w:lastRowLastColumn="0"/>
        </w:trPr>
        <w:tc>
          <w:tcPr>
            <w:tcW w:w="1123" w:type="pct"/>
          </w:tcPr>
          <w:p w:rsidR="001B1CDC" w:rsidRPr="00E71176" w:rsidRDefault="001B1CDC" w:rsidP="001B1CDC"/>
        </w:tc>
        <w:tc>
          <w:tcPr>
            <w:tcW w:w="970" w:type="pct"/>
          </w:tcPr>
          <w:p w:rsidR="001B1CDC" w:rsidRPr="001B1CDC" w:rsidRDefault="001B1CDC" w:rsidP="001B1CDC">
            <w:r w:rsidRPr="00E71176">
              <w:t>Previous allowed return (2013-17)</w:t>
            </w:r>
          </w:p>
        </w:tc>
        <w:tc>
          <w:tcPr>
            <w:tcW w:w="1067" w:type="pct"/>
          </w:tcPr>
          <w:p w:rsidR="001B1CDC" w:rsidRPr="001B1CDC" w:rsidRDefault="001B1CDC" w:rsidP="001B1CDC">
            <w:r>
              <w:t>AusNet</w:t>
            </w:r>
            <w:r w:rsidRPr="00E71176">
              <w:t>'s proposal (2018-22)</w:t>
            </w:r>
          </w:p>
        </w:tc>
        <w:tc>
          <w:tcPr>
            <w:tcW w:w="736" w:type="pct"/>
          </w:tcPr>
          <w:p w:rsidR="001B1CDC" w:rsidRPr="001B1CDC" w:rsidRDefault="001B1CDC" w:rsidP="001B1CDC">
            <w:r w:rsidRPr="00E71176">
              <w:t>AER draft decision (2018)</w:t>
            </w:r>
          </w:p>
        </w:tc>
        <w:tc>
          <w:tcPr>
            <w:tcW w:w="1104" w:type="pct"/>
          </w:tcPr>
          <w:p w:rsidR="001B1CDC" w:rsidRPr="001B1CDC" w:rsidRDefault="001B1CDC" w:rsidP="001B1CDC">
            <w:r w:rsidRPr="00E71176">
              <w:t>Allowed return over 2018 regulatory  control period</w:t>
            </w:r>
          </w:p>
        </w:tc>
      </w:tr>
      <w:tr w:rsidR="001B1CDC" w:rsidRPr="00351675" w:rsidTr="00AD6DD5">
        <w:tc>
          <w:tcPr>
            <w:tcW w:w="1123" w:type="pct"/>
          </w:tcPr>
          <w:p w:rsidR="001B1CDC" w:rsidRPr="001B1CDC" w:rsidRDefault="001B1CDC" w:rsidP="001B1CDC">
            <w:r w:rsidRPr="00E71176">
              <w:t xml:space="preserve">Return on equity    (nominal post–tax) </w:t>
            </w:r>
          </w:p>
        </w:tc>
        <w:tc>
          <w:tcPr>
            <w:tcW w:w="970" w:type="pct"/>
          </w:tcPr>
          <w:p w:rsidR="001B1CDC" w:rsidRPr="001B1CDC" w:rsidRDefault="001B1CDC" w:rsidP="001B1CDC">
            <w:r>
              <w:t>7.94</w:t>
            </w:r>
          </w:p>
        </w:tc>
        <w:tc>
          <w:tcPr>
            <w:tcW w:w="1067" w:type="pct"/>
          </w:tcPr>
          <w:p w:rsidR="001B1CDC" w:rsidRPr="001B1CDC" w:rsidRDefault="001B1CDC" w:rsidP="001B1CDC">
            <w:r>
              <w:t>7.3</w:t>
            </w:r>
          </w:p>
        </w:tc>
        <w:tc>
          <w:tcPr>
            <w:tcW w:w="736" w:type="pct"/>
          </w:tcPr>
          <w:p w:rsidR="001B1CDC" w:rsidRPr="001B1CDC" w:rsidRDefault="001B1CDC" w:rsidP="001B1CDC">
            <w:r w:rsidRPr="00E71176">
              <w:t>7.2</w:t>
            </w:r>
          </w:p>
        </w:tc>
        <w:tc>
          <w:tcPr>
            <w:tcW w:w="1104" w:type="pct"/>
          </w:tcPr>
          <w:p w:rsidR="001B1CDC" w:rsidRPr="001B1CDC" w:rsidRDefault="001B1CDC" w:rsidP="001B1CDC">
            <w:r w:rsidRPr="00E71176">
              <w:t>Constant   (7.2%</w:t>
            </w:r>
          </w:p>
        </w:tc>
      </w:tr>
      <w:tr w:rsidR="001B1CDC" w:rsidRPr="00351675" w:rsidTr="00AD6DD5">
        <w:trPr>
          <w:cnfStyle w:val="000000010000" w:firstRow="0" w:lastRow="0" w:firstColumn="0" w:lastColumn="0" w:oddVBand="0" w:evenVBand="0" w:oddHBand="0" w:evenHBand="1" w:firstRowFirstColumn="0" w:firstRowLastColumn="0" w:lastRowFirstColumn="0" w:lastRowLastColumn="0"/>
        </w:trPr>
        <w:tc>
          <w:tcPr>
            <w:tcW w:w="1123" w:type="pct"/>
          </w:tcPr>
          <w:p w:rsidR="001B1CDC" w:rsidRPr="001B1CDC" w:rsidRDefault="001B1CDC" w:rsidP="001B1CDC">
            <w:r w:rsidRPr="00E71176">
              <w:t>Return on debt      (nominal pre–tax)</w:t>
            </w:r>
          </w:p>
        </w:tc>
        <w:tc>
          <w:tcPr>
            <w:tcW w:w="970" w:type="pct"/>
          </w:tcPr>
          <w:p w:rsidR="001B1CDC" w:rsidRPr="001B1CDC" w:rsidRDefault="001B1CDC" w:rsidP="001B1CDC">
            <w:r w:rsidRPr="00E71176">
              <w:t>6.</w:t>
            </w:r>
            <w:r>
              <w:t>5</w:t>
            </w:r>
          </w:p>
        </w:tc>
        <w:tc>
          <w:tcPr>
            <w:tcW w:w="1067" w:type="pct"/>
          </w:tcPr>
          <w:p w:rsidR="001B1CDC" w:rsidRPr="001B1CDC" w:rsidRDefault="001B1CDC" w:rsidP="001B1CDC">
            <w:r w:rsidRPr="00E71176">
              <w:t>4.</w:t>
            </w:r>
            <w:r>
              <w:t>52</w:t>
            </w:r>
          </w:p>
        </w:tc>
        <w:tc>
          <w:tcPr>
            <w:tcW w:w="736" w:type="pct"/>
          </w:tcPr>
          <w:p w:rsidR="001B1CDC" w:rsidRPr="001B1CDC" w:rsidRDefault="00387A2D" w:rsidP="001B1CDC">
            <w:r>
              <w:t>5.10</w:t>
            </w:r>
          </w:p>
        </w:tc>
        <w:tc>
          <w:tcPr>
            <w:tcW w:w="1104" w:type="pct"/>
          </w:tcPr>
          <w:p w:rsidR="001B1CDC" w:rsidRPr="001B1CDC" w:rsidRDefault="001B1CDC" w:rsidP="001B1CDC">
            <w:r w:rsidRPr="00E71176">
              <w:t>Updated annually</w:t>
            </w:r>
          </w:p>
        </w:tc>
      </w:tr>
      <w:tr w:rsidR="001B1CDC" w:rsidRPr="00351675" w:rsidTr="00AD6DD5">
        <w:tc>
          <w:tcPr>
            <w:tcW w:w="1123" w:type="pct"/>
          </w:tcPr>
          <w:p w:rsidR="001B1CDC" w:rsidRPr="001B1CDC" w:rsidRDefault="001B1CDC" w:rsidP="001B1CDC">
            <w:r w:rsidRPr="00E71176">
              <w:t>Gearing</w:t>
            </w:r>
          </w:p>
        </w:tc>
        <w:tc>
          <w:tcPr>
            <w:tcW w:w="970" w:type="pct"/>
          </w:tcPr>
          <w:p w:rsidR="001B1CDC" w:rsidRPr="001B1CDC" w:rsidRDefault="001B1CDC" w:rsidP="001B1CDC">
            <w:r w:rsidRPr="00E71176">
              <w:t>60</w:t>
            </w:r>
          </w:p>
        </w:tc>
        <w:tc>
          <w:tcPr>
            <w:tcW w:w="1067" w:type="pct"/>
          </w:tcPr>
          <w:p w:rsidR="001B1CDC" w:rsidRPr="001B1CDC" w:rsidRDefault="001B1CDC" w:rsidP="001B1CDC">
            <w:r w:rsidRPr="00E71176">
              <w:t>60</w:t>
            </w:r>
          </w:p>
        </w:tc>
        <w:tc>
          <w:tcPr>
            <w:tcW w:w="736" w:type="pct"/>
          </w:tcPr>
          <w:p w:rsidR="001B1CDC" w:rsidRPr="001B1CDC" w:rsidRDefault="001B1CDC" w:rsidP="001B1CDC">
            <w:r w:rsidRPr="00E71176">
              <w:t>60</w:t>
            </w:r>
          </w:p>
        </w:tc>
        <w:tc>
          <w:tcPr>
            <w:tcW w:w="1104" w:type="pct"/>
          </w:tcPr>
          <w:p w:rsidR="001B1CDC" w:rsidRPr="001B1CDC" w:rsidRDefault="001B1CDC" w:rsidP="001B1CDC">
            <w:r w:rsidRPr="00E71176">
              <w:t>Constant   (60%)</w:t>
            </w:r>
          </w:p>
        </w:tc>
      </w:tr>
      <w:tr w:rsidR="001B1CDC" w:rsidRPr="00351675" w:rsidTr="00AD6DD5">
        <w:trPr>
          <w:cnfStyle w:val="000000010000" w:firstRow="0" w:lastRow="0" w:firstColumn="0" w:lastColumn="0" w:oddVBand="0" w:evenVBand="0" w:oddHBand="0" w:evenHBand="1" w:firstRowFirstColumn="0" w:firstRowLastColumn="0" w:lastRowFirstColumn="0" w:lastRowLastColumn="0"/>
        </w:trPr>
        <w:tc>
          <w:tcPr>
            <w:tcW w:w="1123" w:type="pct"/>
          </w:tcPr>
          <w:p w:rsidR="001B1CDC" w:rsidRPr="001B1CDC" w:rsidRDefault="001B1CDC" w:rsidP="001B1CDC">
            <w:r w:rsidRPr="00E71176">
              <w:t>Nominal vanilla WACC</w:t>
            </w:r>
          </w:p>
        </w:tc>
        <w:tc>
          <w:tcPr>
            <w:tcW w:w="970" w:type="pct"/>
          </w:tcPr>
          <w:p w:rsidR="001B1CDC" w:rsidRPr="001B1CDC" w:rsidRDefault="001B1CDC" w:rsidP="001B1CDC">
            <w:r w:rsidRPr="00E71176">
              <w:t>7.0</w:t>
            </w:r>
            <w:r>
              <w:t>7</w:t>
            </w:r>
          </w:p>
        </w:tc>
        <w:tc>
          <w:tcPr>
            <w:tcW w:w="1067" w:type="pct"/>
          </w:tcPr>
          <w:p w:rsidR="001B1CDC" w:rsidRPr="001B1CDC" w:rsidRDefault="001B1CDC" w:rsidP="001B1CDC">
            <w:r>
              <w:t>5.63</w:t>
            </w:r>
          </w:p>
        </w:tc>
        <w:tc>
          <w:tcPr>
            <w:tcW w:w="736" w:type="pct"/>
          </w:tcPr>
          <w:p w:rsidR="001B1CDC" w:rsidRPr="001B1CDC" w:rsidRDefault="001B1CDC" w:rsidP="00387A2D">
            <w:r w:rsidRPr="00E71176">
              <w:t>5.</w:t>
            </w:r>
            <w:r w:rsidR="00387A2D">
              <w:t>94</w:t>
            </w:r>
          </w:p>
        </w:tc>
        <w:tc>
          <w:tcPr>
            <w:tcW w:w="1104" w:type="pct"/>
          </w:tcPr>
          <w:p w:rsidR="001B1CDC" w:rsidRPr="001B1CDC" w:rsidRDefault="001B1CDC" w:rsidP="001B1CDC">
            <w:r w:rsidRPr="00E71176">
              <w:t>Updated annually for return on debt</w:t>
            </w:r>
          </w:p>
        </w:tc>
      </w:tr>
      <w:tr w:rsidR="001B1CDC" w:rsidRPr="00351675" w:rsidTr="00AD6DD5">
        <w:tc>
          <w:tcPr>
            <w:tcW w:w="1123" w:type="pct"/>
          </w:tcPr>
          <w:p w:rsidR="001B1CDC" w:rsidRPr="001B1CDC" w:rsidRDefault="001B1CDC" w:rsidP="001B1CDC">
            <w:r w:rsidRPr="00E71176">
              <w:t>Forecast inflation</w:t>
            </w:r>
          </w:p>
        </w:tc>
        <w:tc>
          <w:tcPr>
            <w:tcW w:w="970" w:type="pct"/>
          </w:tcPr>
          <w:p w:rsidR="001B1CDC" w:rsidRPr="001B1CDC" w:rsidRDefault="001B1CDC" w:rsidP="001B1CDC">
            <w:r w:rsidRPr="00E71176">
              <w:t>2.5</w:t>
            </w:r>
          </w:p>
        </w:tc>
        <w:tc>
          <w:tcPr>
            <w:tcW w:w="1067" w:type="pct"/>
          </w:tcPr>
          <w:p w:rsidR="001B1CDC" w:rsidRPr="001B1CDC" w:rsidRDefault="001B1CDC" w:rsidP="001B1CDC">
            <w:r w:rsidRPr="00E71176">
              <w:t>1.6</w:t>
            </w:r>
            <w:r>
              <w:t>5</w:t>
            </w:r>
          </w:p>
        </w:tc>
        <w:tc>
          <w:tcPr>
            <w:tcW w:w="736" w:type="pct"/>
          </w:tcPr>
          <w:p w:rsidR="001B1CDC" w:rsidRPr="001B1CDC" w:rsidRDefault="001B1CDC" w:rsidP="001B1CDC">
            <w:r w:rsidRPr="00E71176">
              <w:t>2.</w:t>
            </w:r>
            <w:r w:rsidRPr="001B1CDC">
              <w:t>45</w:t>
            </w:r>
          </w:p>
        </w:tc>
        <w:tc>
          <w:tcPr>
            <w:tcW w:w="1104" w:type="pct"/>
          </w:tcPr>
          <w:p w:rsidR="001B1CDC" w:rsidRPr="001B1CDC" w:rsidRDefault="001B1CDC" w:rsidP="001B1CDC">
            <w:r w:rsidRPr="00E71176">
              <w:t>Constant   (%)</w:t>
            </w:r>
          </w:p>
        </w:tc>
      </w:tr>
    </w:tbl>
    <w:p w:rsidR="001B1CDC" w:rsidRPr="00E71176" w:rsidRDefault="001B1CDC" w:rsidP="001B1CDC">
      <w:pPr>
        <w:pStyle w:val="AERtablesource"/>
      </w:pPr>
      <w:r w:rsidRPr="00E71176">
        <w:t>Source:</w:t>
      </w:r>
      <w:r w:rsidRPr="00E71176">
        <w:tab/>
        <w:t xml:space="preserve">AER analysis; </w:t>
      </w:r>
      <w:r>
        <w:t xml:space="preserve">AusNet, </w:t>
      </w:r>
      <w:r w:rsidRPr="000C05A5">
        <w:rPr>
          <w:rStyle w:val="AERtextitalic"/>
        </w:rPr>
        <w:t>Gas Access Arrangement Review 2018–2022: Access Arrangement Information</w:t>
      </w:r>
      <w:r>
        <w:t xml:space="preserve">, 16 December 2016. </w:t>
      </w:r>
      <w:proofErr w:type="gramStart"/>
      <w:r>
        <w:t>p. 202, 207, 235.</w:t>
      </w:r>
      <w:proofErr w:type="gramEnd"/>
      <w:r>
        <w:t xml:space="preserve"> </w:t>
      </w:r>
    </w:p>
    <w:p w:rsidR="001B1CDC" w:rsidRPr="00AE6E1D" w:rsidRDefault="001B1CDC" w:rsidP="001B1CDC">
      <w:r w:rsidRPr="00AE6E1D">
        <w:t xml:space="preserve">Our return on equity estimate for this draft </w:t>
      </w:r>
      <w:r w:rsidRPr="00AE6E1D">
        <w:rPr>
          <w:rStyle w:val="AERbody"/>
        </w:rPr>
        <w:t>decision is 7.</w:t>
      </w:r>
      <w:r>
        <w:rPr>
          <w:rStyle w:val="AERbody"/>
        </w:rPr>
        <w:t>2</w:t>
      </w:r>
      <w:r w:rsidRPr="00AE6E1D">
        <w:rPr>
          <w:rStyle w:val="AERbody"/>
        </w:rPr>
        <w:t xml:space="preserve"> per c</w:t>
      </w:r>
      <w:r w:rsidRPr="00AE6E1D">
        <w:t xml:space="preserve">ent. We derived this estimate by applying the </w:t>
      </w:r>
      <w:r w:rsidR="00BA701D">
        <w:t>foundation model</w:t>
      </w:r>
      <w:r w:rsidRPr="00AE6E1D">
        <w:t xml:space="preserve"> approach </w:t>
      </w:r>
      <w:r w:rsidR="006B3D1B">
        <w:t>(as set out</w:t>
      </w:r>
      <w:r w:rsidR="00BA701D">
        <w:t xml:space="preserve"> in the Guideline) used</w:t>
      </w:r>
      <w:r w:rsidRPr="00AE6E1D">
        <w:t xml:space="preserve"> to determine the allowed return on equity in our most recent decisions.</w:t>
      </w:r>
      <w:r w:rsidRPr="00AE6E1D">
        <w:rPr>
          <w:rStyle w:val="FootnoteReference"/>
        </w:rPr>
        <w:footnoteReference w:id="31"/>
      </w:r>
      <w:r w:rsidRPr="00AE6E1D">
        <w:t xml:space="preserve"> This is a six step process, where we have regard to a considerable amount of relevant information, including various equity models. </w:t>
      </w:r>
    </w:p>
    <w:p w:rsidR="001B1CDC" w:rsidRDefault="001B1CDC" w:rsidP="001B1CDC">
      <w:r w:rsidRPr="00AE6E1D">
        <w:t xml:space="preserve">Our return on equity point estimate and the parameter inputs are set out in </w:t>
      </w:r>
      <w:r>
        <w:t>the table below.</w:t>
      </w:r>
      <w:r w:rsidRPr="00AE6E1D">
        <w:t xml:space="preserve"> </w:t>
      </w:r>
    </w:p>
    <w:p w:rsidR="001B1CDC" w:rsidRPr="00AE6E1D" w:rsidRDefault="001B1CDC" w:rsidP="004933A3">
      <w:pPr>
        <w:pStyle w:val="Caption"/>
      </w:pPr>
      <w:r w:rsidRPr="00E71176">
        <w:t xml:space="preserve">Table </w:t>
      </w:r>
      <w:fldSimple w:instr=" STYLEREF 1 \s ">
        <w:r w:rsidR="00EE5745">
          <w:rPr>
            <w:noProof/>
          </w:rPr>
          <w:t>5</w:t>
        </w:r>
      </w:fldSimple>
      <w:r w:rsidR="00391B74">
        <w:noBreakHyphen/>
      </w:r>
      <w:fldSimple w:instr=" SEQ Table \* ARABIC \s 1 ">
        <w:r w:rsidR="00EE5745">
          <w:rPr>
            <w:noProof/>
          </w:rPr>
          <w:t>4</w:t>
        </w:r>
      </w:fldSimple>
      <w:r w:rsidRPr="00E71176">
        <w:tab/>
        <w:t xml:space="preserve">Draft decision on </w:t>
      </w:r>
      <w:r>
        <w:t>AusNet</w:t>
      </w:r>
      <w:r w:rsidRPr="00E71176">
        <w:t xml:space="preserve">'s </w:t>
      </w:r>
      <w:r>
        <w:t>return on equity</w:t>
      </w:r>
      <w:r w:rsidRPr="00E71176">
        <w:t xml:space="preserve"> (% nominal)</w:t>
      </w:r>
    </w:p>
    <w:tbl>
      <w:tblPr>
        <w:tblStyle w:val="AERtable-numbers"/>
        <w:tblW w:w="5000" w:type="pct"/>
        <w:tblLook w:val="04A0" w:firstRow="1" w:lastRow="0" w:firstColumn="1" w:lastColumn="0" w:noHBand="0" w:noVBand="1"/>
      </w:tblPr>
      <w:tblGrid>
        <w:gridCol w:w="2173"/>
        <w:gridCol w:w="2046"/>
        <w:gridCol w:w="2410"/>
        <w:gridCol w:w="2064"/>
      </w:tblGrid>
      <w:tr w:rsidR="001B1CDC" w:rsidRPr="0036067E" w:rsidTr="00AD6D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1B1CDC" w:rsidRPr="00E71176" w:rsidRDefault="001B1CDC" w:rsidP="004933A3">
            <w:pPr>
              <w:keepNext/>
            </w:pPr>
          </w:p>
        </w:tc>
        <w:tc>
          <w:tcPr>
            <w:tcW w:w="1177" w:type="pct"/>
          </w:tcPr>
          <w:p w:rsidR="001B1CDC" w:rsidRPr="001B1CDC" w:rsidRDefault="001B1CDC" w:rsidP="004933A3">
            <w:pPr>
              <w:keepNext/>
              <w:cnfStyle w:val="100000000000" w:firstRow="1" w:lastRow="0" w:firstColumn="0" w:lastColumn="0" w:oddVBand="0" w:evenVBand="0" w:oddHBand="0" w:evenHBand="0" w:firstRowFirstColumn="0" w:firstRowLastColumn="0" w:lastRowFirstColumn="0" w:lastRowLastColumn="0"/>
            </w:pPr>
            <w:r w:rsidRPr="00E71176">
              <w:t xml:space="preserve">AER previous </w:t>
            </w:r>
            <w:r w:rsidRPr="001B1CDC">
              <w:t>decision (2013–17)</w:t>
            </w:r>
          </w:p>
        </w:tc>
        <w:tc>
          <w:tcPr>
            <w:tcW w:w="1386" w:type="pct"/>
          </w:tcPr>
          <w:p w:rsidR="001B1CDC" w:rsidRPr="001B1CDC" w:rsidRDefault="001B1CDC" w:rsidP="004933A3">
            <w:pPr>
              <w:keepNext/>
              <w:cnfStyle w:val="100000000000" w:firstRow="1" w:lastRow="0" w:firstColumn="0" w:lastColumn="0" w:oddVBand="0" w:evenVBand="0" w:oddHBand="0" w:evenHBand="0" w:firstRowFirstColumn="0" w:firstRowLastColumn="0" w:lastRowFirstColumn="0" w:lastRowLastColumn="0"/>
            </w:pPr>
            <w:r>
              <w:t>AusNet</w:t>
            </w:r>
            <w:r w:rsidRPr="00E71176">
              <w:t>'s proposal (</w:t>
            </w:r>
            <w:r w:rsidRPr="001B1CDC">
              <w:t>2018–22)</w:t>
            </w:r>
          </w:p>
        </w:tc>
        <w:tc>
          <w:tcPr>
            <w:tcW w:w="1187" w:type="pct"/>
          </w:tcPr>
          <w:p w:rsidR="001B1CDC" w:rsidRPr="001B1CDC" w:rsidRDefault="001B1CDC" w:rsidP="004933A3">
            <w:pPr>
              <w:keepNext/>
              <w:cnfStyle w:val="100000000000" w:firstRow="1" w:lastRow="0" w:firstColumn="0" w:lastColumn="0" w:oddVBand="0" w:evenVBand="0" w:oddHBand="0" w:evenHBand="0" w:firstRowFirstColumn="0" w:firstRowLastColumn="0" w:lastRowFirstColumn="0" w:lastRowLastColumn="0"/>
            </w:pPr>
            <w:r w:rsidRPr="00E71176">
              <w:t>AER draft decision (2017-18)</w:t>
            </w:r>
          </w:p>
        </w:tc>
      </w:tr>
      <w:tr w:rsidR="001B1CDC" w:rsidRPr="00BD56F3" w:rsidTr="00AD6DD5">
        <w:tc>
          <w:tcPr>
            <w:cnfStyle w:val="001000000000" w:firstRow="0" w:lastRow="0" w:firstColumn="1" w:lastColumn="0" w:oddVBand="0" w:evenVBand="0" w:oddHBand="0" w:evenHBand="0" w:firstRowFirstColumn="0" w:firstRowLastColumn="0" w:lastRowFirstColumn="0" w:lastRowLastColumn="0"/>
            <w:tcW w:w="1250" w:type="pct"/>
          </w:tcPr>
          <w:p w:rsidR="001B1CDC" w:rsidRPr="001B1CDC" w:rsidRDefault="001B1CDC" w:rsidP="004933A3">
            <w:pPr>
              <w:keepNext/>
            </w:pPr>
            <w:r w:rsidRPr="00E71176">
              <w:t>Nominal risk free rate (return on equity only)</w:t>
            </w:r>
          </w:p>
        </w:tc>
        <w:tc>
          <w:tcPr>
            <w:tcW w:w="1177" w:type="pct"/>
          </w:tcPr>
          <w:p w:rsidR="001B1CDC" w:rsidRPr="001B1CDC" w:rsidRDefault="001B1CDC" w:rsidP="004933A3">
            <w:pPr>
              <w:keepNext/>
              <w:cnfStyle w:val="000000000000" w:firstRow="0" w:lastRow="0" w:firstColumn="0" w:lastColumn="0" w:oddVBand="0" w:evenVBand="0" w:oddHBand="0" w:evenHBand="0" w:firstRowFirstColumn="0" w:firstRowLastColumn="0" w:lastRowFirstColumn="0" w:lastRowLastColumn="0"/>
            </w:pPr>
            <w:r>
              <w:t>3.14</w:t>
            </w:r>
            <w:r w:rsidRPr="00E71176">
              <w:t>%</w:t>
            </w:r>
          </w:p>
        </w:tc>
        <w:tc>
          <w:tcPr>
            <w:tcW w:w="1386" w:type="pct"/>
          </w:tcPr>
          <w:p w:rsidR="001B1CDC" w:rsidRPr="001B1CDC" w:rsidRDefault="001B1CDC" w:rsidP="004933A3">
            <w:pPr>
              <w:keepNext/>
              <w:cnfStyle w:val="000000000000" w:firstRow="0" w:lastRow="0" w:firstColumn="0" w:lastColumn="0" w:oddVBand="0" w:evenVBand="0" w:oddHBand="0" w:evenHBand="0" w:firstRowFirstColumn="0" w:firstRowLastColumn="0" w:lastRowFirstColumn="0" w:lastRowLastColumn="0"/>
              <w:rPr>
                <w:rStyle w:val="AERsuperscript"/>
              </w:rPr>
            </w:pPr>
            <w:r>
              <w:t>2.04</w:t>
            </w:r>
            <w:r w:rsidRPr="00E71176">
              <w:t>%</w:t>
            </w:r>
            <w:r w:rsidRPr="001B1CDC">
              <w:rPr>
                <w:rStyle w:val="AERsuperscript"/>
              </w:rPr>
              <w:t>a</w:t>
            </w:r>
          </w:p>
        </w:tc>
        <w:tc>
          <w:tcPr>
            <w:tcW w:w="1187" w:type="pct"/>
          </w:tcPr>
          <w:p w:rsidR="001B1CDC" w:rsidRPr="001B1CDC" w:rsidRDefault="001B1CDC" w:rsidP="004933A3">
            <w:pPr>
              <w:keepNext/>
              <w:cnfStyle w:val="000000000000" w:firstRow="0" w:lastRow="0" w:firstColumn="0" w:lastColumn="0" w:oddVBand="0" w:evenVBand="0" w:oddHBand="0" w:evenHBand="0" w:firstRowFirstColumn="0" w:firstRowLastColumn="0" w:lastRowFirstColumn="0" w:lastRowLastColumn="0"/>
              <w:rPr>
                <w:rStyle w:val="AERsuperscript"/>
              </w:rPr>
            </w:pPr>
            <w:r w:rsidRPr="00E71176">
              <w:t>2.6%</w:t>
            </w:r>
            <w:r w:rsidRPr="001B1CDC">
              <w:rPr>
                <w:rStyle w:val="AERsuperscript"/>
              </w:rPr>
              <w:t>b</w:t>
            </w:r>
          </w:p>
        </w:tc>
      </w:tr>
      <w:tr w:rsidR="001B1CDC" w:rsidRPr="00BD56F3" w:rsidTr="00AD6D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1B1CDC" w:rsidRPr="001B1CDC" w:rsidRDefault="001B1CDC" w:rsidP="004933A3">
            <w:pPr>
              <w:keepNext/>
            </w:pPr>
            <w:r w:rsidRPr="00E71176">
              <w:t xml:space="preserve">Equity risk premium </w:t>
            </w:r>
          </w:p>
        </w:tc>
        <w:tc>
          <w:tcPr>
            <w:tcW w:w="1177" w:type="pct"/>
          </w:tcPr>
          <w:p w:rsidR="001B1CDC" w:rsidRPr="001B1CDC" w:rsidRDefault="001B1CDC" w:rsidP="004933A3">
            <w:pPr>
              <w:keepNext/>
              <w:cnfStyle w:val="000000010000" w:firstRow="0" w:lastRow="0" w:firstColumn="0" w:lastColumn="0" w:oddVBand="0" w:evenVBand="0" w:oddHBand="0" w:evenHBand="1" w:firstRowFirstColumn="0" w:firstRowLastColumn="0" w:lastRowFirstColumn="0" w:lastRowLastColumn="0"/>
            </w:pPr>
            <w:r w:rsidRPr="00E71176">
              <w:t>4.8%</w:t>
            </w:r>
          </w:p>
        </w:tc>
        <w:tc>
          <w:tcPr>
            <w:tcW w:w="1386" w:type="pct"/>
          </w:tcPr>
          <w:p w:rsidR="001B1CDC" w:rsidRPr="001B1CDC" w:rsidRDefault="001B1CDC" w:rsidP="004933A3">
            <w:pPr>
              <w:keepNext/>
              <w:cnfStyle w:val="000000010000" w:firstRow="0" w:lastRow="0" w:firstColumn="0" w:lastColumn="0" w:oddVBand="0" w:evenVBand="0" w:oddHBand="0" w:evenHBand="1" w:firstRowFirstColumn="0" w:firstRowLastColumn="0" w:lastRowFirstColumn="0" w:lastRowLastColumn="0"/>
            </w:pPr>
            <w:r w:rsidRPr="00E71176">
              <w:t>5.25%</w:t>
            </w:r>
          </w:p>
        </w:tc>
        <w:tc>
          <w:tcPr>
            <w:tcW w:w="1187" w:type="pct"/>
          </w:tcPr>
          <w:p w:rsidR="001B1CDC" w:rsidRPr="001B1CDC" w:rsidRDefault="001B1CDC" w:rsidP="004933A3">
            <w:pPr>
              <w:keepNext/>
              <w:cnfStyle w:val="000000010000" w:firstRow="0" w:lastRow="0" w:firstColumn="0" w:lastColumn="0" w:oddVBand="0" w:evenVBand="0" w:oddHBand="0" w:evenHBand="1" w:firstRowFirstColumn="0" w:firstRowLastColumn="0" w:lastRowFirstColumn="0" w:lastRowLastColumn="0"/>
            </w:pPr>
            <w:r w:rsidRPr="00E71176">
              <w:t>4.55%</w:t>
            </w:r>
          </w:p>
        </w:tc>
      </w:tr>
      <w:tr w:rsidR="001B1CDC" w:rsidRPr="00BD56F3" w:rsidTr="00AD6DD5">
        <w:tc>
          <w:tcPr>
            <w:cnfStyle w:val="001000000000" w:firstRow="0" w:lastRow="0" w:firstColumn="1" w:lastColumn="0" w:oddVBand="0" w:evenVBand="0" w:oddHBand="0" w:evenHBand="0" w:firstRowFirstColumn="0" w:firstRowLastColumn="0" w:lastRowFirstColumn="0" w:lastRowLastColumn="0"/>
            <w:tcW w:w="1250" w:type="pct"/>
          </w:tcPr>
          <w:p w:rsidR="001B1CDC" w:rsidRPr="001B1CDC" w:rsidRDefault="001B1CDC" w:rsidP="004933A3">
            <w:pPr>
              <w:keepNext/>
            </w:pPr>
            <w:r>
              <w:t>Market risk premium</w:t>
            </w:r>
          </w:p>
        </w:tc>
        <w:tc>
          <w:tcPr>
            <w:tcW w:w="1177" w:type="pct"/>
          </w:tcPr>
          <w:p w:rsidR="001B1CDC" w:rsidRPr="001B1CDC" w:rsidRDefault="001B1CDC" w:rsidP="004933A3">
            <w:pPr>
              <w:keepNext/>
              <w:cnfStyle w:val="000000000000" w:firstRow="0" w:lastRow="0" w:firstColumn="0" w:lastColumn="0" w:oddVBand="0" w:evenVBand="0" w:oddHBand="0" w:evenHBand="0" w:firstRowFirstColumn="0" w:firstRowLastColumn="0" w:lastRowFirstColumn="0" w:lastRowLastColumn="0"/>
            </w:pPr>
            <w:r w:rsidRPr="00E71176">
              <w:t>6%</w:t>
            </w:r>
          </w:p>
        </w:tc>
        <w:tc>
          <w:tcPr>
            <w:tcW w:w="1386" w:type="pct"/>
          </w:tcPr>
          <w:p w:rsidR="001B1CDC" w:rsidRPr="001B1CDC" w:rsidRDefault="001B1CDC" w:rsidP="004933A3">
            <w:pPr>
              <w:keepNext/>
              <w:cnfStyle w:val="000000000000" w:firstRow="0" w:lastRow="0" w:firstColumn="0" w:lastColumn="0" w:oddVBand="0" w:evenVBand="0" w:oddHBand="0" w:evenHBand="0" w:firstRowFirstColumn="0" w:firstRowLastColumn="0" w:lastRowFirstColumn="0" w:lastRowLastColumn="0"/>
            </w:pPr>
            <w:r w:rsidRPr="00E71176">
              <w:t>7.50%</w:t>
            </w:r>
          </w:p>
        </w:tc>
        <w:tc>
          <w:tcPr>
            <w:tcW w:w="1187" w:type="pct"/>
          </w:tcPr>
          <w:p w:rsidR="001B1CDC" w:rsidRPr="001B1CDC" w:rsidRDefault="001B1CDC" w:rsidP="004933A3">
            <w:pPr>
              <w:keepNext/>
              <w:cnfStyle w:val="000000000000" w:firstRow="0" w:lastRow="0" w:firstColumn="0" w:lastColumn="0" w:oddVBand="0" w:evenVBand="0" w:oddHBand="0" w:evenHBand="0" w:firstRowFirstColumn="0" w:firstRowLastColumn="0" w:lastRowFirstColumn="0" w:lastRowLastColumn="0"/>
            </w:pPr>
            <w:r w:rsidRPr="00E71176">
              <w:t>6.5%</w:t>
            </w:r>
          </w:p>
        </w:tc>
      </w:tr>
      <w:tr w:rsidR="001B1CDC" w:rsidRPr="00BD56F3" w:rsidTr="00AD6D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1B1CDC" w:rsidRPr="001B1CDC" w:rsidRDefault="001B1CDC" w:rsidP="004933A3">
            <w:pPr>
              <w:keepNext/>
            </w:pPr>
            <w:r w:rsidRPr="00E71176">
              <w:t>Equity beta</w:t>
            </w:r>
          </w:p>
        </w:tc>
        <w:tc>
          <w:tcPr>
            <w:tcW w:w="1177" w:type="pct"/>
          </w:tcPr>
          <w:p w:rsidR="001B1CDC" w:rsidRPr="001B1CDC" w:rsidRDefault="001B1CDC" w:rsidP="004933A3">
            <w:pPr>
              <w:keepNext/>
              <w:cnfStyle w:val="000000010000" w:firstRow="0" w:lastRow="0" w:firstColumn="0" w:lastColumn="0" w:oddVBand="0" w:evenVBand="0" w:oddHBand="0" w:evenHBand="1" w:firstRowFirstColumn="0" w:firstRowLastColumn="0" w:lastRowFirstColumn="0" w:lastRowLastColumn="0"/>
            </w:pPr>
            <w:r w:rsidRPr="00E71176">
              <w:t>0.8</w:t>
            </w:r>
          </w:p>
        </w:tc>
        <w:tc>
          <w:tcPr>
            <w:tcW w:w="1386" w:type="pct"/>
          </w:tcPr>
          <w:p w:rsidR="001B1CDC" w:rsidRPr="001B1CDC" w:rsidRDefault="001B1CDC" w:rsidP="004933A3">
            <w:pPr>
              <w:keepNext/>
              <w:cnfStyle w:val="000000010000" w:firstRow="0" w:lastRow="0" w:firstColumn="0" w:lastColumn="0" w:oddVBand="0" w:evenVBand="0" w:oddHBand="0" w:evenHBand="1" w:firstRowFirstColumn="0" w:firstRowLastColumn="0" w:lastRowFirstColumn="0" w:lastRowLastColumn="0"/>
            </w:pPr>
            <w:r w:rsidRPr="00E71176">
              <w:t>0.7</w:t>
            </w:r>
          </w:p>
        </w:tc>
        <w:tc>
          <w:tcPr>
            <w:tcW w:w="1187" w:type="pct"/>
          </w:tcPr>
          <w:p w:rsidR="001B1CDC" w:rsidRPr="001B1CDC" w:rsidRDefault="001B1CDC" w:rsidP="004933A3">
            <w:pPr>
              <w:keepNext/>
              <w:cnfStyle w:val="000000010000" w:firstRow="0" w:lastRow="0" w:firstColumn="0" w:lastColumn="0" w:oddVBand="0" w:evenVBand="0" w:oddHBand="0" w:evenHBand="1" w:firstRowFirstColumn="0" w:firstRowLastColumn="0" w:lastRowFirstColumn="0" w:lastRowLastColumn="0"/>
            </w:pPr>
            <w:r w:rsidRPr="00E71176">
              <w:t>0.7</w:t>
            </w:r>
          </w:p>
        </w:tc>
      </w:tr>
      <w:tr w:rsidR="001B1CDC" w:rsidRPr="00BD56F3" w:rsidTr="00AD6DD5">
        <w:tc>
          <w:tcPr>
            <w:cnfStyle w:val="001000000000" w:firstRow="0" w:lastRow="0" w:firstColumn="1" w:lastColumn="0" w:oddVBand="0" w:evenVBand="0" w:oddHBand="0" w:evenHBand="0" w:firstRowFirstColumn="0" w:firstRowLastColumn="0" w:lastRowFirstColumn="0" w:lastRowLastColumn="0"/>
            <w:tcW w:w="1250" w:type="pct"/>
          </w:tcPr>
          <w:p w:rsidR="001B1CDC" w:rsidRPr="001B1CDC" w:rsidRDefault="001B1CDC" w:rsidP="004933A3">
            <w:pPr>
              <w:keepNext/>
            </w:pPr>
            <w:r w:rsidRPr="00E71176">
              <w:t xml:space="preserve">Nominal post–tax return on equity </w:t>
            </w:r>
          </w:p>
        </w:tc>
        <w:tc>
          <w:tcPr>
            <w:tcW w:w="1177" w:type="pct"/>
          </w:tcPr>
          <w:p w:rsidR="001B1CDC" w:rsidRPr="001B1CDC" w:rsidRDefault="001B1CDC" w:rsidP="004933A3">
            <w:pPr>
              <w:keepNext/>
              <w:cnfStyle w:val="000000000000" w:firstRow="0" w:lastRow="0" w:firstColumn="0" w:lastColumn="0" w:oddVBand="0" w:evenVBand="0" w:oddHBand="0" w:evenHBand="0" w:firstRowFirstColumn="0" w:firstRowLastColumn="0" w:lastRowFirstColumn="0" w:lastRowLastColumn="0"/>
            </w:pPr>
            <w:r>
              <w:t>7.94</w:t>
            </w:r>
            <w:r w:rsidRPr="00E71176">
              <w:t>%</w:t>
            </w:r>
          </w:p>
        </w:tc>
        <w:tc>
          <w:tcPr>
            <w:tcW w:w="1386" w:type="pct"/>
          </w:tcPr>
          <w:p w:rsidR="001B1CDC" w:rsidRPr="001B1CDC" w:rsidRDefault="001B1CDC" w:rsidP="004933A3">
            <w:pPr>
              <w:keepNext/>
              <w:cnfStyle w:val="000000000000" w:firstRow="0" w:lastRow="0" w:firstColumn="0" w:lastColumn="0" w:oddVBand="0" w:evenVBand="0" w:oddHBand="0" w:evenHBand="0" w:firstRowFirstColumn="0" w:firstRowLastColumn="0" w:lastRowFirstColumn="0" w:lastRowLastColumn="0"/>
            </w:pPr>
            <w:r>
              <w:t>7.3</w:t>
            </w:r>
            <w:r w:rsidRPr="00E71176">
              <w:t>%</w:t>
            </w:r>
          </w:p>
        </w:tc>
        <w:tc>
          <w:tcPr>
            <w:tcW w:w="1187" w:type="pct"/>
          </w:tcPr>
          <w:p w:rsidR="001B1CDC" w:rsidRPr="001B1CDC" w:rsidRDefault="001B1CDC" w:rsidP="004933A3">
            <w:pPr>
              <w:keepNext/>
              <w:cnfStyle w:val="000000000000" w:firstRow="0" w:lastRow="0" w:firstColumn="0" w:lastColumn="0" w:oddVBand="0" w:evenVBand="0" w:oddHBand="0" w:evenHBand="0" w:firstRowFirstColumn="0" w:firstRowLastColumn="0" w:lastRowFirstColumn="0" w:lastRowLastColumn="0"/>
            </w:pPr>
            <w:r w:rsidRPr="00E71176">
              <w:t>7.2%</w:t>
            </w:r>
          </w:p>
        </w:tc>
      </w:tr>
    </w:tbl>
    <w:p w:rsidR="001B1CDC" w:rsidRPr="00E71176" w:rsidRDefault="001B1CDC" w:rsidP="004933A3">
      <w:pPr>
        <w:pStyle w:val="AERtablesource"/>
        <w:keepNext/>
      </w:pPr>
      <w:r w:rsidRPr="00E71176">
        <w:t>Source:</w:t>
      </w:r>
      <w:r w:rsidRPr="00E71176">
        <w:tab/>
        <w:t xml:space="preserve">AER analysis; </w:t>
      </w:r>
      <w:r>
        <w:t xml:space="preserve">AusNet, </w:t>
      </w:r>
      <w:r w:rsidRPr="000C05A5">
        <w:rPr>
          <w:rStyle w:val="AERtextitalic"/>
        </w:rPr>
        <w:t>Gas Access Arrangement Review 2018–2022: Access Arrangement Information</w:t>
      </w:r>
      <w:r>
        <w:t xml:space="preserve">, 16 December 2016. </w:t>
      </w:r>
      <w:proofErr w:type="gramStart"/>
      <w:r>
        <w:t>p. 202, 207, 235.</w:t>
      </w:r>
      <w:proofErr w:type="gramEnd"/>
    </w:p>
    <w:p w:rsidR="001B1CDC" w:rsidRPr="00E71176" w:rsidRDefault="001B1CDC" w:rsidP="004933A3">
      <w:pPr>
        <w:pStyle w:val="AERtablesource"/>
        <w:keepNext/>
        <w:rPr>
          <w:rStyle w:val="AERtextsize8"/>
        </w:rPr>
      </w:pPr>
      <w:r w:rsidRPr="00E71176">
        <w:rPr>
          <w:rStyle w:val="AERtextsize8"/>
        </w:rPr>
        <w:tab/>
      </w:r>
      <w:proofErr w:type="gramStart"/>
      <w:r w:rsidRPr="00E71176">
        <w:rPr>
          <w:rStyle w:val="AERsuperscript"/>
        </w:rPr>
        <w:t>a</w:t>
      </w:r>
      <w:proofErr w:type="gramEnd"/>
      <w:r w:rsidRPr="00E71176">
        <w:rPr>
          <w:rStyle w:val="AERsuperscript"/>
        </w:rPr>
        <w:t xml:space="preserve"> </w:t>
      </w:r>
      <w:r w:rsidRPr="00E71176">
        <w:rPr>
          <w:rStyle w:val="AERtextsize8"/>
        </w:rPr>
        <w:t xml:space="preserve">Based on </w:t>
      </w:r>
      <w:r>
        <w:rPr>
          <w:rStyle w:val="AERtextsize8"/>
        </w:rPr>
        <w:t>AusNet</w:t>
      </w:r>
      <w:r w:rsidRPr="00E71176">
        <w:rPr>
          <w:rStyle w:val="AERtextsize8"/>
        </w:rPr>
        <w:t xml:space="preserve">'s indicative averaging period adopted for its proposal of </w:t>
      </w:r>
      <w:r>
        <w:rPr>
          <w:rStyle w:val="AERtextsize8"/>
        </w:rPr>
        <w:t xml:space="preserve">5th </w:t>
      </w:r>
      <w:r w:rsidR="000F446D">
        <w:rPr>
          <w:rStyle w:val="AERtextsize8"/>
        </w:rPr>
        <w:t>September</w:t>
      </w:r>
      <w:r>
        <w:rPr>
          <w:rStyle w:val="AERtextsize8"/>
        </w:rPr>
        <w:t xml:space="preserve">2016 to 30 </w:t>
      </w:r>
      <w:r w:rsidR="000F446D">
        <w:rPr>
          <w:rStyle w:val="AERtextsize8"/>
        </w:rPr>
        <w:t>September</w:t>
      </w:r>
      <w:r>
        <w:rPr>
          <w:rStyle w:val="AERtextsize8"/>
        </w:rPr>
        <w:t>2016.</w:t>
      </w:r>
    </w:p>
    <w:p w:rsidR="001B1CDC" w:rsidRDefault="001B1CDC" w:rsidP="004933A3">
      <w:pPr>
        <w:pStyle w:val="AERtablesource"/>
        <w:keepNext/>
      </w:pPr>
      <w:r w:rsidRPr="00E71176">
        <w:rPr>
          <w:rStyle w:val="AERtextsize8"/>
        </w:rPr>
        <w:tab/>
      </w:r>
      <w:proofErr w:type="gramStart"/>
      <w:r w:rsidRPr="00E71176">
        <w:rPr>
          <w:rStyle w:val="AERsuperscript"/>
        </w:rPr>
        <w:t>b</w:t>
      </w:r>
      <w:proofErr w:type="gramEnd"/>
      <w:r w:rsidRPr="00E71176">
        <w:rPr>
          <w:rStyle w:val="AERsuperscript"/>
        </w:rPr>
        <w:t xml:space="preserve"> </w:t>
      </w:r>
      <w:r w:rsidRPr="00E71176">
        <w:rPr>
          <w:rStyle w:val="AERtextsize8"/>
        </w:rPr>
        <w:t>Calculated with a placeholder averaging period of 20 business days up to 28 April 2017.</w:t>
      </w:r>
      <w:r w:rsidRPr="00E71176">
        <w:t xml:space="preserve"> </w:t>
      </w:r>
    </w:p>
    <w:p w:rsidR="00272E2D" w:rsidRDefault="001B1CDC" w:rsidP="004933A3">
      <w:r>
        <w:t>AusNet</w:t>
      </w:r>
      <w:r w:rsidRPr="00AE6E1D">
        <w:t xml:space="preserve"> proposed departing from the approach in the Guideline</w:t>
      </w:r>
      <w:r w:rsidR="004933A3">
        <w:t xml:space="preserve"> </w:t>
      </w:r>
      <w:r w:rsidR="00724B9F">
        <w:t xml:space="preserve">by </w:t>
      </w:r>
      <w:r w:rsidR="00D73D94">
        <w:t>for</w:t>
      </w:r>
      <w:r>
        <w:t xml:space="preserve"> the market risk premium</w:t>
      </w:r>
      <w:r w:rsidR="00D73D94">
        <w:t xml:space="preserve"> parameter</w:t>
      </w:r>
      <w:r>
        <w:t>.</w:t>
      </w:r>
      <w:r w:rsidR="004933A3">
        <w:t xml:space="preserve"> </w:t>
      </w:r>
      <w:r w:rsidRPr="00AE6E1D">
        <w:t xml:space="preserve">We are not satisfied that </w:t>
      </w:r>
      <w:r>
        <w:t>AusNet's proposal</w:t>
      </w:r>
      <w:r w:rsidRPr="00AE6E1D">
        <w:t xml:space="preserve"> would result in an outcome that better achieves the ARORO.</w:t>
      </w:r>
      <w:r w:rsidRPr="00AE6E1D">
        <w:rPr>
          <w:rStyle w:val="FootnoteReference"/>
        </w:rPr>
        <w:footnoteReference w:id="32"/>
      </w:r>
      <w:r w:rsidRPr="00AE6E1D">
        <w:t xml:space="preserve"> </w:t>
      </w:r>
      <w:r w:rsidR="00941E43" w:rsidRPr="00D27F57">
        <w:t xml:space="preserve">Further detail on our </w:t>
      </w:r>
      <w:r w:rsidR="00941E43">
        <w:t>draft decision in regards to AusNet's allowed rate of return</w:t>
      </w:r>
      <w:r w:rsidR="00941E43" w:rsidRPr="00D27F57">
        <w:t xml:space="preserve"> is set out in attachment </w:t>
      </w:r>
      <w:r w:rsidR="00941E43">
        <w:t>3</w:t>
      </w:r>
      <w:r w:rsidR="00941E43" w:rsidRPr="00D27F57">
        <w:t>.</w:t>
      </w:r>
    </w:p>
    <w:p w:rsidR="00272E2D" w:rsidRPr="00272E2D" w:rsidRDefault="00272E2D" w:rsidP="00272E2D">
      <w:pPr>
        <w:pStyle w:val="ListParagraph"/>
        <w:numPr>
          <w:ilvl w:val="0"/>
          <w:numId w:val="24"/>
        </w:numPr>
      </w:pPr>
      <w:r w:rsidRPr="00272E2D">
        <w:t>Our return on debt estimate is based on a gradual transition from the ‘on-the-day’ approach we used in the past to the ‘trailing average’ approach we proposed in the Guideline. The trailing average approach reflects the return on debt that a network business would face if it raised debt annually in equal parcels. Our return on debt approach incorporates a transition to the new approach.</w:t>
      </w:r>
    </w:p>
    <w:p w:rsidR="00272E2D" w:rsidRPr="00272E2D" w:rsidRDefault="00272E2D" w:rsidP="00272E2D">
      <w:pPr>
        <w:pStyle w:val="ListParagraph"/>
        <w:numPr>
          <w:ilvl w:val="0"/>
          <w:numId w:val="24"/>
        </w:numPr>
      </w:pPr>
      <w:r w:rsidRPr="00272E2D">
        <w:t>Our decision is also to update the return on debt annually. Therefore, our estimate in this decision is for the first year of the regulatory period. Due to this, we update our rate of return annually.</w:t>
      </w:r>
    </w:p>
    <w:p w:rsidR="00272E2D" w:rsidRPr="00272E2D" w:rsidRDefault="00272E2D" w:rsidP="00272E2D">
      <w:pPr>
        <w:pStyle w:val="ListParagraph"/>
        <w:numPr>
          <w:ilvl w:val="0"/>
          <w:numId w:val="24"/>
        </w:numPr>
      </w:pPr>
      <w:r w:rsidRPr="00272E2D">
        <w:t xml:space="preserve">We commence the trailing average with an initial estimation of the return on debt that is then progressively updated over the regulatory period. In practice, this means that for new debt that is issued (10 per cent of the initial estimate each year) we apply an estimate of the observed return on debt immediately. For existing debt issued before the commencement of the trailing average approach, we will continue to apply the on-the-day approach for the portion that has not been updated. Consequently, at the end of 10 years the total debt portfolio will have been updated and incorporated into the trailing average. </w:t>
      </w:r>
    </w:p>
    <w:p w:rsidR="00272E2D" w:rsidRPr="00272E2D" w:rsidRDefault="00272E2D" w:rsidP="00272E2D">
      <w:pPr>
        <w:pStyle w:val="ListParagraph"/>
        <w:numPr>
          <w:ilvl w:val="0"/>
          <w:numId w:val="24"/>
        </w:numPr>
      </w:pPr>
      <w:r w:rsidRPr="00272E2D">
        <w:t xml:space="preserve">Our return on debt estimate is developed on the basis that a benchmark efficient entity issues debt with a 10 year term and has a BBB+ credit rating. To estimate the yield on this debt, we use an independent third party data service provider. </w:t>
      </w:r>
      <w:r w:rsidR="00A52C17" w:rsidRPr="00A52C17">
        <w:t>We have reviewed the</w:t>
      </w:r>
      <w:r w:rsidR="00A52C17">
        <w:t xml:space="preserve"> recent</w:t>
      </w:r>
      <w:r w:rsidR="00A52C17" w:rsidRPr="00A52C17">
        <w:t xml:space="preserve"> draft proposals and decided to adopt a simple average of the data series provided by the Reserve Bank of Australia and Bloomberg.</w:t>
      </w:r>
    </w:p>
    <w:p w:rsidR="00272E2D" w:rsidRPr="00272E2D" w:rsidRDefault="00272E2D" w:rsidP="00272E2D">
      <w:pPr>
        <w:pStyle w:val="ListParagraph"/>
        <w:numPr>
          <w:ilvl w:val="0"/>
          <w:numId w:val="24"/>
        </w:numPr>
      </w:pPr>
      <w:r w:rsidRPr="00272E2D">
        <w:t xml:space="preserve">Our estimation procedure allows the service provider to propose a period between 10 business days and 12 months in length before the start of each regulatory year, over which the observed rates are averaged to estimate the return on debt. This results in service providers proposing an averaging period consistent with its debt practices and therefore, our return on debt estimate is different for different service providers. </w:t>
      </w:r>
    </w:p>
    <w:p w:rsidR="008C6404" w:rsidRDefault="00272E2D" w:rsidP="00272E2D">
      <w:pPr>
        <w:pStyle w:val="ListParagraph"/>
        <w:numPr>
          <w:ilvl w:val="0"/>
          <w:numId w:val="24"/>
        </w:numPr>
      </w:pPr>
      <w:r w:rsidRPr="00272E2D">
        <w:t xml:space="preserve">Our return on debt estimate for the first year of </w:t>
      </w:r>
      <w:r>
        <w:t>AusNet</w:t>
      </w:r>
      <w:r w:rsidRPr="00272E2D">
        <w:t>'s access arrangement perio</w:t>
      </w:r>
      <w:r>
        <w:t>d in this draft decision is 5.10</w:t>
      </w:r>
      <w:r w:rsidRPr="00272E2D">
        <w:t xml:space="preserve"> per cent. This return on debt number will be updated annually during the regulatory period to partially reflect prevailing interest rates. Our approach and estimation procedures are consistent with the Guideline. We note that </w:t>
      </w:r>
      <w:r>
        <w:t>AusNet</w:t>
      </w:r>
      <w:r w:rsidRPr="00272E2D">
        <w:t xml:space="preserve"> in its current draft proposal adopted our </w:t>
      </w:r>
      <w:r>
        <w:t>full transition to trailing average</w:t>
      </w:r>
      <w:r w:rsidRPr="00272E2D">
        <w:t xml:space="preserve"> approach as set out in the Guideline and proposed a return on debt of 4.</w:t>
      </w:r>
      <w:r>
        <w:t>52</w:t>
      </w:r>
      <w:r w:rsidRPr="00272E2D">
        <w:t xml:space="preserve"> per cent. </w:t>
      </w:r>
      <w:r w:rsidR="00BE4048" w:rsidRPr="00BE4048">
        <w:t xml:space="preserve"> </w:t>
      </w:r>
      <w:r w:rsidR="00BE4048">
        <w:t xml:space="preserve">We also note the differences in the return on debt number </w:t>
      </w:r>
      <w:r w:rsidR="00BE4048" w:rsidRPr="006A257C">
        <w:t>reflect different averaging periods used for the estimation of th</w:t>
      </w:r>
      <w:r w:rsidR="00BE4048">
        <w:t>e rates in the revenue proposal</w:t>
      </w:r>
      <w:r w:rsidR="00BE4048" w:rsidRPr="006A257C">
        <w:t xml:space="preserve"> and the AER's draft decision.</w:t>
      </w:r>
    </w:p>
    <w:p w:rsidR="00853DD1" w:rsidRDefault="00853DD1" w:rsidP="004933A3">
      <w:r>
        <w:t>Our estimate of e</w:t>
      </w:r>
      <w:r w:rsidR="008C6404" w:rsidRPr="008C6404">
        <w:t>xpected</w:t>
      </w:r>
      <w:r>
        <w:t xml:space="preserve"> </w:t>
      </w:r>
      <w:r w:rsidR="008C6404" w:rsidRPr="008C6404">
        <w:t>inflation</w:t>
      </w:r>
      <w:r w:rsidR="00920572">
        <w:t xml:space="preserve"> </w:t>
      </w:r>
      <w:r>
        <w:t xml:space="preserve">is </w:t>
      </w:r>
      <w:r w:rsidR="00FA5C34">
        <w:t>estimate</w:t>
      </w:r>
      <w:r w:rsidR="00C06C86">
        <w:t>d</w:t>
      </w:r>
      <w:r w:rsidR="008C6404" w:rsidRPr="008C6404">
        <w:t xml:space="preserve"> </w:t>
      </w:r>
      <w:r w:rsidR="00C06C86">
        <w:t>as</w:t>
      </w:r>
      <w:r>
        <w:t xml:space="preserve"> </w:t>
      </w:r>
      <w:r w:rsidR="008C6404" w:rsidRPr="008C6404">
        <w:t xml:space="preserve">the geometric average of 10 annual expected inflation rates. We use the RBA's forecasts of inflation for the first two annual rates </w:t>
      </w:r>
      <w:r w:rsidR="00AE7866">
        <w:t xml:space="preserve">and </w:t>
      </w:r>
      <w:r w:rsidR="008C6404" w:rsidRPr="008C6404">
        <w:t xml:space="preserve">the mid-point of the RBA's inflation target band </w:t>
      </w:r>
      <w:r w:rsidR="00AE7866">
        <w:t>for</w:t>
      </w:r>
      <w:r w:rsidR="008C6404" w:rsidRPr="008C6404">
        <w:t xml:space="preserve"> the remaining eight annual rates.</w:t>
      </w:r>
    </w:p>
    <w:p w:rsidR="008C6404" w:rsidRPr="008C6404" w:rsidRDefault="00853DD1" w:rsidP="00DE512D">
      <w:pPr>
        <w:pStyle w:val="ListParagraph"/>
        <w:numPr>
          <w:ilvl w:val="0"/>
          <w:numId w:val="24"/>
        </w:numPr>
      </w:pPr>
      <w:r w:rsidRPr="008C6404">
        <w:t>AusNet Services</w:t>
      </w:r>
      <w:r w:rsidR="00925869" w:rsidRPr="00272E2D">
        <w:t xml:space="preserve"> propos</w:t>
      </w:r>
      <w:r w:rsidR="00AE7866">
        <w:t>ed</w:t>
      </w:r>
      <w:r w:rsidR="00925869" w:rsidRPr="00272E2D">
        <w:t xml:space="preserve"> </w:t>
      </w:r>
      <w:r w:rsidR="00925869">
        <w:t>estimat</w:t>
      </w:r>
      <w:r w:rsidR="00AE7866">
        <w:t>ing</w:t>
      </w:r>
      <w:r w:rsidRPr="008C6404">
        <w:t xml:space="preserve"> expected inflation using the bond break-even approach</w:t>
      </w:r>
      <w:r w:rsidR="00925869">
        <w:t xml:space="preserve"> and proposed an expected inflation </w:t>
      </w:r>
      <w:r w:rsidR="00AE7866">
        <w:t xml:space="preserve">rate </w:t>
      </w:r>
      <w:r w:rsidR="00925869">
        <w:t xml:space="preserve">of 1.93 per cent. </w:t>
      </w:r>
      <w:r w:rsidRPr="008C6404">
        <w:t xml:space="preserve"> </w:t>
      </w:r>
      <w:r w:rsidR="00925869">
        <w:t xml:space="preserve">We do not accept </w:t>
      </w:r>
      <w:r w:rsidR="00C875ED">
        <w:t xml:space="preserve">the </w:t>
      </w:r>
      <w:r w:rsidR="00925869">
        <w:t xml:space="preserve">AusNet Services' approach. </w:t>
      </w:r>
      <w:r w:rsidR="00D87CDB">
        <w:t xml:space="preserve">We consider that </w:t>
      </w:r>
      <w:r w:rsidR="00AE7866">
        <w:t>long-term inflation expectations are relatively stable and anchored to the RBA's inflation target band</w:t>
      </w:r>
      <w:r w:rsidR="00D1119A">
        <w:t xml:space="preserve"> and that </w:t>
      </w:r>
      <w:r w:rsidR="00D87CDB">
        <w:t xml:space="preserve">the RBA forecasts and target band approach is </w:t>
      </w:r>
      <w:r w:rsidR="00D1119A">
        <w:t xml:space="preserve">more </w:t>
      </w:r>
      <w:r w:rsidR="00D87CDB">
        <w:t xml:space="preserve">likely to </w:t>
      </w:r>
      <w:r w:rsidR="00D1119A">
        <w:t>reflect this than the bond break-even approach. Our consideration is based on the information before us in this determination process. We are currently conducting an industry-wide review of inflation. That review is yet to be finalised and so findings from the review cannot be included in this draft decision. Findings from the review may inform our final decision</w:t>
      </w:r>
      <w:r w:rsidR="00FA5C34">
        <w:t xml:space="preserve">. </w:t>
      </w:r>
    </w:p>
    <w:p w:rsidR="001B1CDC" w:rsidRPr="001B1CDC" w:rsidRDefault="001B1CDC" w:rsidP="001B1CDC">
      <w:pPr>
        <w:pStyle w:val="ListParagraph"/>
        <w:numPr>
          <w:ilvl w:val="0"/>
          <w:numId w:val="24"/>
        </w:numPr>
        <w:rPr>
          <w:rStyle w:val="AERbody"/>
        </w:rPr>
      </w:pPr>
      <w:r w:rsidRPr="00D27F57">
        <w:t xml:space="preserve">Further detail on our </w:t>
      </w:r>
      <w:r>
        <w:t>draft decision in regards to AusNet's allowed rate of return</w:t>
      </w:r>
      <w:r w:rsidRPr="00D27F57">
        <w:t xml:space="preserve"> is set out in attachment </w:t>
      </w:r>
      <w:r>
        <w:t>3</w:t>
      </w:r>
      <w:r w:rsidRPr="00D27F57">
        <w:t xml:space="preserve">. </w:t>
      </w:r>
    </w:p>
    <w:p w:rsidR="00BE78FB" w:rsidRDefault="00BE78FB" w:rsidP="00BE78FB">
      <w:pPr>
        <w:pStyle w:val="Heading2"/>
      </w:pPr>
      <w:bookmarkStart w:id="137" w:name="_Toc487017920"/>
      <w:r>
        <w:t>Value of imputation credits (gamma)</w:t>
      </w:r>
      <w:bookmarkEnd w:id="137"/>
    </w:p>
    <w:p w:rsidR="001C2AF9" w:rsidRPr="00694FE4" w:rsidRDefault="001C2AF9" w:rsidP="001C2AF9">
      <w:r w:rsidRPr="00694FE4">
        <w:t>Under the Australian imputation tax system, investors can receive an imputation credit for income tax paid at the company level.</w:t>
      </w:r>
      <w:r>
        <w:rPr>
          <w:rStyle w:val="FootnoteReference"/>
        </w:rPr>
        <w:footnoteReference w:id="33"/>
      </w:r>
      <w:r w:rsidRPr="00694FE4">
        <w:t xml:space="preserve"> These are received after company income tax is paid, but before personal income tax is paid. For eligible investors, this credit offsets their Australian income tax liabilities. If the amount of imputation credits received exceeds an investor's tax liability, that investor can receive a cash refund for the balance. Imputation credits are therefore valuable to investors and are a benefit to investors in addition to any cash dividend or capital gains they receive from owning shares. </w:t>
      </w:r>
    </w:p>
    <w:p w:rsidR="001C2AF9" w:rsidRPr="00694FE4" w:rsidRDefault="001C2AF9" w:rsidP="001C2AF9">
      <w:r w:rsidRPr="00694FE4">
        <w:t>However, the estimation of the return on equity does not take imputation credits into account. Therefore, an adjustment for the value of imputation credits is required. This adjustment could take the form of a decrease in the estimated return on equity itself. An alternative but equivalent form of adjustment, which is employed under the NER, is via the revenue granted to a service provider to cover its expected tax liability. Specifically, the NER requires that the estimated cost of corporate income tax be determined in accordance with a formula that reduces the estimated cost of corporate tax by the 'value of imputation credits' (represented by the Greek letter, γ, 'gamma').  This form of adjustment recognises that it is the payment of corporate tax which is the source of the imputation credit return to investors.</w:t>
      </w:r>
    </w:p>
    <w:p w:rsidR="001C2AF9" w:rsidRPr="00694FE4" w:rsidRDefault="001C2AF9" w:rsidP="001C2AF9">
      <w:r w:rsidRPr="00694FE4">
        <w:t xml:space="preserve">Our draft decision adopts a value of imputation credits of 0.4. We do not accept </w:t>
      </w:r>
      <w:r>
        <w:t>AusNet's</w:t>
      </w:r>
      <w:r w:rsidRPr="00694FE4">
        <w:t xml:space="preserve"> proposed value of imputation credits (or gamma) of 0.25. We consider that a value for imputation credits of 0.4 will result in equity investors in the benchmark efficient entity receiving an ex ante total return (inclusive of the value of imputation credits) commensurate with the efficient equity financing costs of a benchmark efficient entity.</w:t>
      </w:r>
    </w:p>
    <w:p w:rsidR="001C2AF9" w:rsidRPr="00694FE4" w:rsidRDefault="001C2AF9" w:rsidP="001C2AF9">
      <w:r w:rsidRPr="00694FE4">
        <w:t>In coming to a value of imputation credits of 0.4:</w:t>
      </w:r>
    </w:p>
    <w:p w:rsidR="001C2AF9" w:rsidRPr="00694FE4" w:rsidRDefault="001C2AF9" w:rsidP="001C2AF9">
      <w:pPr>
        <w:pStyle w:val="AERbulletlistfirststyle"/>
      </w:pPr>
      <w:r w:rsidRPr="00694FE4">
        <w:t>We adopt a conceptual approach consistent with the Officer framework, which we consider best promotes the objectives and requirements of the NER/NGR. This approach considers the value of imputation credits is a post-tax value before the impact of personal taxes and transaction costs.</w:t>
      </w:r>
      <w:r>
        <w:rPr>
          <w:rStyle w:val="FootnoteReference"/>
        </w:rPr>
        <w:footnoteReference w:id="34"/>
      </w:r>
      <w:r w:rsidRPr="00694FE4">
        <w:t xml:space="preserve"> As such, we view the value of imputation credits as the proportion of company tax returned to investors through the utilisation of imputation credits.</w:t>
      </w:r>
      <w:r>
        <w:rPr>
          <w:rStyle w:val="FootnoteReference"/>
        </w:rPr>
        <w:footnoteReference w:id="35"/>
      </w:r>
    </w:p>
    <w:p w:rsidR="001C2AF9" w:rsidRDefault="001C2AF9" w:rsidP="001C2AF9">
      <w:pPr>
        <w:pStyle w:val="AERbulletlistfirststyle"/>
      </w:pPr>
      <w:r w:rsidRPr="00694FE4">
        <w:t>We consider our conceptual approach allows for the value of imputation credits to be estimated on a consistent basis with the allowed rate of return and allowed revenues under the post-tax framework in the NER/NGR.</w:t>
      </w:r>
      <w:r>
        <w:rPr>
          <w:rStyle w:val="FootnoteReference"/>
        </w:rPr>
        <w:footnoteReference w:id="36"/>
      </w:r>
    </w:p>
    <w:p w:rsidR="001C2AF9" w:rsidRDefault="001C2AF9" w:rsidP="001C2AF9">
      <w:pPr>
        <w:pStyle w:val="AERbulletlistfirststyle"/>
      </w:pPr>
      <w:r w:rsidRPr="00694FE4">
        <w:t>We use the widely accepted approach of estimating the value of imputation credits as the product of two sub-parameters: the 'distribution rate' and the 'utilisation rate'. Our definition of, and estimation approach for, these sub-parameters is set out in</w:t>
      </w:r>
      <w:r w:rsidR="00391B74">
        <w:t xml:space="preserve"> </w:t>
      </w:r>
      <w:r w:rsidR="00391B74">
        <w:fldChar w:fldCharType="begin"/>
      </w:r>
      <w:r w:rsidR="00391B74">
        <w:instrText xml:space="preserve"> REF _Ref486946341 \h </w:instrText>
      </w:r>
      <w:r w:rsidR="00391B74">
        <w:fldChar w:fldCharType="separate"/>
      </w:r>
      <w:r w:rsidR="00EE5745">
        <w:t xml:space="preserve">Table </w:t>
      </w:r>
      <w:r w:rsidR="00EE5745">
        <w:rPr>
          <w:noProof/>
        </w:rPr>
        <w:t>5</w:t>
      </w:r>
      <w:r w:rsidR="00EE5745">
        <w:noBreakHyphen/>
      </w:r>
      <w:r w:rsidR="00EE5745">
        <w:rPr>
          <w:noProof/>
        </w:rPr>
        <w:t>5</w:t>
      </w:r>
      <w:r w:rsidR="00391B74">
        <w:fldChar w:fldCharType="end"/>
      </w:r>
      <w:r>
        <w:t>.</w:t>
      </w:r>
    </w:p>
    <w:p w:rsidR="001C2AF9" w:rsidRPr="00694FE4" w:rsidRDefault="00391B74" w:rsidP="00391B74">
      <w:pPr>
        <w:pStyle w:val="Caption"/>
      </w:pPr>
      <w:bookmarkStart w:id="138" w:name="_Ref486946341"/>
      <w:r>
        <w:t xml:space="preserve">Table </w:t>
      </w:r>
      <w:fldSimple w:instr=" STYLEREF 1 \s ">
        <w:r w:rsidR="00EE5745">
          <w:rPr>
            <w:noProof/>
          </w:rPr>
          <w:t>5</w:t>
        </w:r>
      </w:fldSimple>
      <w:r>
        <w:noBreakHyphen/>
      </w:r>
      <w:fldSimple w:instr=" SEQ Table \* ARABIC \s 1 ">
        <w:r w:rsidR="00EE5745">
          <w:rPr>
            <w:noProof/>
          </w:rPr>
          <w:t>5</w:t>
        </w:r>
      </w:fldSimple>
      <w:bookmarkEnd w:id="138"/>
      <w:r w:rsidR="001C2AF9" w:rsidRPr="00E71176">
        <w:tab/>
      </w:r>
      <w:r w:rsidR="001C2AF9" w:rsidRPr="00694FE4">
        <w:t>Gamma sub-parameters: definition and estimation approach</w:t>
      </w:r>
    </w:p>
    <w:tbl>
      <w:tblPr>
        <w:tblStyle w:val="AERtable-text0"/>
        <w:tblW w:w="8775" w:type="dxa"/>
        <w:tblLook w:val="04A0" w:firstRow="1" w:lastRow="0" w:firstColumn="1" w:lastColumn="0" w:noHBand="0" w:noVBand="1"/>
      </w:tblPr>
      <w:tblGrid>
        <w:gridCol w:w="2987"/>
        <w:gridCol w:w="2894"/>
        <w:gridCol w:w="2894"/>
      </w:tblGrid>
      <w:tr w:rsidR="001C2AF9" w:rsidRPr="00694FE4" w:rsidTr="00AD6DD5">
        <w:trPr>
          <w:cnfStyle w:val="100000000000" w:firstRow="1" w:lastRow="0" w:firstColumn="0" w:lastColumn="0" w:oddVBand="0" w:evenVBand="0" w:oddHBand="0" w:evenHBand="0" w:firstRowFirstColumn="0" w:firstRowLastColumn="0" w:lastRowFirstColumn="0" w:lastRowLastColumn="0"/>
          <w:trHeight w:val="254"/>
        </w:trPr>
        <w:tc>
          <w:tcPr>
            <w:tcW w:w="2987" w:type="dxa"/>
          </w:tcPr>
          <w:p w:rsidR="001C2AF9" w:rsidRPr="00694FE4" w:rsidRDefault="001C2AF9" w:rsidP="004933A3">
            <w:pPr>
              <w:keepNext/>
              <w:numPr>
                <w:ilvl w:val="0"/>
                <w:numId w:val="24"/>
              </w:numPr>
            </w:pPr>
            <w:r w:rsidRPr="00694FE4">
              <w:t>Sub-parameter</w:t>
            </w:r>
          </w:p>
        </w:tc>
        <w:tc>
          <w:tcPr>
            <w:tcW w:w="2894" w:type="dxa"/>
          </w:tcPr>
          <w:p w:rsidR="001C2AF9" w:rsidRPr="00694FE4" w:rsidRDefault="001C2AF9" w:rsidP="004933A3">
            <w:pPr>
              <w:keepNext/>
              <w:numPr>
                <w:ilvl w:val="0"/>
                <w:numId w:val="24"/>
              </w:numPr>
            </w:pPr>
            <w:r w:rsidRPr="00694FE4">
              <w:t>Definition</w:t>
            </w:r>
          </w:p>
        </w:tc>
        <w:tc>
          <w:tcPr>
            <w:tcW w:w="2894" w:type="dxa"/>
          </w:tcPr>
          <w:p w:rsidR="001C2AF9" w:rsidRPr="00694FE4" w:rsidRDefault="001C2AF9" w:rsidP="004933A3">
            <w:pPr>
              <w:keepNext/>
              <w:numPr>
                <w:ilvl w:val="0"/>
                <w:numId w:val="24"/>
              </w:numPr>
            </w:pPr>
            <w:r w:rsidRPr="00694FE4">
              <w:t>Estimation approach</w:t>
            </w:r>
          </w:p>
        </w:tc>
      </w:tr>
      <w:tr w:rsidR="001C2AF9" w:rsidRPr="00694FE4" w:rsidTr="00AD6DD5">
        <w:trPr>
          <w:trHeight w:val="630"/>
        </w:trPr>
        <w:tc>
          <w:tcPr>
            <w:tcW w:w="2987" w:type="dxa"/>
          </w:tcPr>
          <w:p w:rsidR="001C2AF9" w:rsidRPr="001C2AF9" w:rsidRDefault="001C2AF9" w:rsidP="004933A3">
            <w:pPr>
              <w:keepNext/>
            </w:pPr>
            <w:r w:rsidRPr="00694FE4">
              <w:t xml:space="preserve">Distribution rate </w:t>
            </w:r>
            <w:r w:rsidRPr="001C2AF9">
              <w:t>(or payout ratio)</w:t>
            </w:r>
          </w:p>
        </w:tc>
        <w:tc>
          <w:tcPr>
            <w:tcW w:w="2894" w:type="dxa"/>
          </w:tcPr>
          <w:p w:rsidR="001C2AF9" w:rsidRPr="001C2AF9" w:rsidRDefault="001C2AF9" w:rsidP="004933A3">
            <w:pPr>
              <w:keepNext/>
            </w:pPr>
            <w:r w:rsidRPr="00694FE4">
              <w:t>The proportion of imputation credits generated that is distributed to investors.</w:t>
            </w:r>
          </w:p>
        </w:tc>
        <w:tc>
          <w:tcPr>
            <w:tcW w:w="2894" w:type="dxa"/>
          </w:tcPr>
          <w:p w:rsidR="001C2AF9" w:rsidRPr="001C2AF9" w:rsidRDefault="001C2AF9" w:rsidP="004933A3">
            <w:pPr>
              <w:keepNext/>
            </w:pPr>
            <w:r w:rsidRPr="00694FE4">
              <w:t xml:space="preserve">Primary reliance placed on the widely accepted cumulative payout ratio approach. Some regard is also given to </w:t>
            </w:r>
            <w:proofErr w:type="spellStart"/>
            <w:r w:rsidRPr="00694FE4">
              <w:t>Lally's</w:t>
            </w:r>
            <w:proofErr w:type="spellEnd"/>
            <w:r w:rsidRPr="00694FE4">
              <w:t xml:space="preserve"> estimate for listed equity from financial reports of the 20 largest listed firms. </w:t>
            </w:r>
          </w:p>
        </w:tc>
      </w:tr>
      <w:tr w:rsidR="001C2AF9" w:rsidRPr="00694FE4" w:rsidTr="00AD6DD5">
        <w:trPr>
          <w:cnfStyle w:val="000000010000" w:firstRow="0" w:lastRow="0" w:firstColumn="0" w:lastColumn="0" w:oddVBand="0" w:evenVBand="0" w:oddHBand="0" w:evenHBand="1" w:firstRowFirstColumn="0" w:firstRowLastColumn="0" w:lastRowFirstColumn="0" w:lastRowLastColumn="0"/>
          <w:trHeight w:val="638"/>
        </w:trPr>
        <w:tc>
          <w:tcPr>
            <w:tcW w:w="2987" w:type="dxa"/>
          </w:tcPr>
          <w:p w:rsidR="001C2AF9" w:rsidRPr="001C2AF9" w:rsidRDefault="001C2AF9" w:rsidP="004933A3">
            <w:pPr>
              <w:keepNext/>
            </w:pPr>
            <w:r w:rsidRPr="00694FE4">
              <w:t>Utilisation rate (or theta)</w:t>
            </w:r>
          </w:p>
        </w:tc>
        <w:tc>
          <w:tcPr>
            <w:tcW w:w="2894" w:type="dxa"/>
          </w:tcPr>
          <w:p w:rsidR="001C2AF9" w:rsidRPr="001C2AF9" w:rsidRDefault="001C2AF9" w:rsidP="004933A3">
            <w:pPr>
              <w:keepNext/>
            </w:pPr>
            <w:r w:rsidRPr="00694FE4">
              <w:t>The utilisation value to investors in the market per dollar of imputation credits distributed.</w:t>
            </w:r>
            <w:r w:rsidRPr="001C2AF9">
              <w:rPr>
                <w:rStyle w:val="FootnoteReference"/>
              </w:rPr>
              <w:footnoteReference w:id="37"/>
            </w:r>
          </w:p>
        </w:tc>
        <w:tc>
          <w:tcPr>
            <w:tcW w:w="2894" w:type="dxa"/>
          </w:tcPr>
          <w:p w:rsidR="001C2AF9" w:rsidRPr="001C2AF9" w:rsidRDefault="001C2AF9" w:rsidP="004933A3">
            <w:pPr>
              <w:keepNext/>
            </w:pPr>
            <w:r w:rsidRPr="00694FE4">
              <w:t xml:space="preserve">A range of approaches, with due regard to the merit of each approach: </w:t>
            </w:r>
          </w:p>
          <w:p w:rsidR="001C2AF9" w:rsidRPr="001C2AF9" w:rsidRDefault="001C2AF9" w:rsidP="004933A3">
            <w:pPr>
              <w:keepNext/>
            </w:pPr>
            <w:r w:rsidRPr="00694FE4">
              <w:t xml:space="preserve">equity </w:t>
            </w:r>
            <w:r w:rsidRPr="001C2AF9">
              <w:t>ownership approach</w:t>
            </w:r>
          </w:p>
          <w:p w:rsidR="001C2AF9" w:rsidRPr="001C2AF9" w:rsidRDefault="001C2AF9" w:rsidP="004933A3">
            <w:pPr>
              <w:keepNext/>
            </w:pPr>
            <w:r w:rsidRPr="00694FE4">
              <w:t>tax statistics</w:t>
            </w:r>
          </w:p>
          <w:p w:rsidR="001C2AF9" w:rsidRPr="001C2AF9" w:rsidRDefault="001C2AF9" w:rsidP="004933A3">
            <w:pPr>
              <w:keepNext/>
            </w:pPr>
            <w:proofErr w:type="gramStart"/>
            <w:r w:rsidRPr="00694FE4">
              <w:t>implied</w:t>
            </w:r>
            <w:proofErr w:type="gramEnd"/>
            <w:r w:rsidRPr="00694FE4">
              <w:t xml:space="preserve"> market value studies. </w:t>
            </w:r>
          </w:p>
        </w:tc>
      </w:tr>
    </w:tbl>
    <w:p w:rsidR="001C2AF9" w:rsidRPr="00694FE4" w:rsidRDefault="001C2AF9" w:rsidP="004933A3">
      <w:pPr>
        <w:pStyle w:val="AERtablesource"/>
      </w:pPr>
      <w:r w:rsidRPr="00694FE4">
        <w:t xml:space="preserve">Source: </w:t>
      </w:r>
      <w:r w:rsidRPr="00694FE4">
        <w:tab/>
        <w:t>AER analysis.</w:t>
      </w:r>
    </w:p>
    <w:p w:rsidR="001C2AF9" w:rsidRPr="00694FE4" w:rsidRDefault="001C2AF9" w:rsidP="001C2AF9">
      <w:r w:rsidRPr="00694FE4">
        <w:t>Overall, the evidence suggests a range of estimates for the value of imputation credits might be reasonable. With regard to the merits of the evidence before us, we choose a value of imputation credits of 0.4 from within a range of 0.3 to 0.5.</w:t>
      </w:r>
    </w:p>
    <w:p w:rsidR="001C2AF9" w:rsidRPr="00694FE4" w:rsidRDefault="001C2AF9" w:rsidP="001C2AF9">
      <w:r w:rsidRPr="00694FE4">
        <w:t>In considering the evidence on the distribution and utilisation rates, we have broadly maintained the approach set out in the Rate of Return Guideline (the Guideline), but have re-examined the relevant evidence and estimates. This re-examination, and new evidence and advice considered since the Guideline, led us to depart from the 0.5 value of imputation credits we proposed in the Guideline.</w:t>
      </w:r>
    </w:p>
    <w:p w:rsidR="001C2AF9" w:rsidRPr="00694FE4" w:rsidRDefault="001C2AF9" w:rsidP="001C2AF9">
      <w:pPr>
        <w:numPr>
          <w:ilvl w:val="0"/>
          <w:numId w:val="24"/>
        </w:numPr>
      </w:pPr>
      <w:r w:rsidRPr="00694FE4">
        <w:t xml:space="preserve">Further detail on our draft decision in regards to the value of </w:t>
      </w:r>
      <w:r>
        <w:t>AusNet's</w:t>
      </w:r>
      <w:r w:rsidRPr="00694FE4">
        <w:t xml:space="preserve"> imputation credits is set out in attachment 4. </w:t>
      </w:r>
    </w:p>
    <w:p w:rsidR="00BE78FB" w:rsidRDefault="00BE78FB" w:rsidP="00BE78FB">
      <w:pPr>
        <w:pStyle w:val="Heading2"/>
      </w:pPr>
      <w:bookmarkStart w:id="139" w:name="_Toc487017921"/>
      <w:r>
        <w:t>Regulatory depreciation (return of capital)</w:t>
      </w:r>
      <w:bookmarkEnd w:id="139"/>
    </w:p>
    <w:p w:rsidR="000F0562" w:rsidRDefault="000F0562" w:rsidP="000F0562">
      <w:r w:rsidRPr="008D23A7">
        <w:t xml:space="preserve">When determining the total revenue for </w:t>
      </w:r>
      <w:r>
        <w:t>AusNet</w:t>
      </w:r>
      <w:r w:rsidRPr="008D23A7">
        <w:t>, we include an allowance for the depreciation of the projected capital base (otherwise referred to as ‘return of capital’).</w:t>
      </w:r>
      <w:r w:rsidRPr="008D23A7">
        <w:rPr>
          <w:rStyle w:val="FootnoteReference"/>
        </w:rPr>
        <w:footnoteReference w:id="38"/>
      </w:r>
      <w:r w:rsidRPr="008D23A7">
        <w:t xml:space="preserve"> Regulatory depreciation is used to model the nominal asset values over the 2018–22 access arrangement </w:t>
      </w:r>
      <w:proofErr w:type="gramStart"/>
      <w:r w:rsidRPr="008D23A7">
        <w:t>period</w:t>
      </w:r>
      <w:proofErr w:type="gramEnd"/>
      <w:r w:rsidRPr="008D23A7">
        <w:t xml:space="preserve"> and the depreciation allowance in the total revenue requirement.</w:t>
      </w:r>
      <w:r w:rsidRPr="008D23A7">
        <w:rPr>
          <w:rStyle w:val="FootnoteReference"/>
        </w:rPr>
        <w:footnoteReference w:id="39"/>
      </w:r>
      <w:r w:rsidRPr="008D23A7">
        <w:t xml:space="preserve"> </w:t>
      </w:r>
    </w:p>
    <w:p w:rsidR="000F0562" w:rsidRPr="00A27483" w:rsidRDefault="000F0562" w:rsidP="000F0562">
      <w:r w:rsidRPr="00A27483">
        <w:t xml:space="preserve">Our draft decision on </w:t>
      </w:r>
      <w:r w:rsidRPr="002341E6">
        <w:t>AusNet</w:t>
      </w:r>
      <w:r>
        <w:t>’</w:t>
      </w:r>
      <w:r w:rsidRPr="00A27483">
        <w:t>s regulatory depreciation allowance is $</w:t>
      </w:r>
      <w:r w:rsidR="00D73B8B">
        <w:t>195.0</w:t>
      </w:r>
      <w:r w:rsidRPr="00A27483">
        <w:t> million ($</w:t>
      </w:r>
      <w:r w:rsidR="00D73B8B">
        <w:t> </w:t>
      </w:r>
      <w:r w:rsidRPr="00A27483">
        <w:t xml:space="preserve">nominal) </w:t>
      </w:r>
      <w:r>
        <w:t xml:space="preserve">in total for </w:t>
      </w:r>
      <w:r w:rsidRPr="00A27483">
        <w:t>the 201</w:t>
      </w:r>
      <w:r>
        <w:t>8</w:t>
      </w:r>
      <w:r w:rsidRPr="00A27483">
        <w:t>–2</w:t>
      </w:r>
      <w:r>
        <w:t>2</w:t>
      </w:r>
      <w:r w:rsidRPr="00A27483">
        <w:t xml:space="preserve"> access arrangement period as set out in </w:t>
      </w:r>
      <w:r w:rsidRPr="00A27483">
        <w:fldChar w:fldCharType="begin"/>
      </w:r>
      <w:r w:rsidRPr="00A27483">
        <w:instrText xml:space="preserve"> REF  _Ref398282397 \* Lower \h  \* MERGEFORMAT </w:instrText>
      </w:r>
      <w:r w:rsidRPr="00A27483">
        <w:fldChar w:fldCharType="separate"/>
      </w:r>
      <w:r w:rsidR="00EE5745" w:rsidRPr="001D3081">
        <w:t xml:space="preserve">table </w:t>
      </w:r>
      <w:r w:rsidR="00EE5745">
        <w:t>5</w:t>
      </w:r>
      <w:r w:rsidR="00EE5745">
        <w:noBreakHyphen/>
        <w:t>6</w:t>
      </w:r>
      <w:r w:rsidRPr="00A27483">
        <w:fldChar w:fldCharType="end"/>
      </w:r>
      <w:r w:rsidRPr="00A27483">
        <w:t>.</w:t>
      </w:r>
    </w:p>
    <w:p w:rsidR="000F0562" w:rsidRPr="001D3081" w:rsidRDefault="000F0562" w:rsidP="00DA2B6F">
      <w:pPr>
        <w:pStyle w:val="Caption"/>
      </w:pPr>
      <w:bookmarkStart w:id="140" w:name="_Ref398282397"/>
      <w:r w:rsidRPr="001D3081">
        <w:t xml:space="preserve">Table </w:t>
      </w:r>
      <w:fldSimple w:instr=" STYLEREF 1 \s ">
        <w:r w:rsidR="00EE5745">
          <w:rPr>
            <w:noProof/>
          </w:rPr>
          <w:t>5</w:t>
        </w:r>
      </w:fldSimple>
      <w:r w:rsidR="00391B74">
        <w:noBreakHyphen/>
      </w:r>
      <w:fldSimple w:instr=" SEQ Table \* ARABIC \s 1 ">
        <w:r w:rsidR="00EE5745">
          <w:rPr>
            <w:noProof/>
          </w:rPr>
          <w:t>6</w:t>
        </w:r>
      </w:fldSimple>
      <w:bookmarkEnd w:id="140"/>
      <w:r w:rsidRPr="001D3081">
        <w:tab/>
        <w:t xml:space="preserve">AER’s draft decision on </w:t>
      </w:r>
      <w:r>
        <w:t>AusNet</w:t>
      </w:r>
      <w:r w:rsidRPr="001D3081">
        <w:t xml:space="preserve">’s regulatory depreciation allowance for the </w:t>
      </w:r>
      <w:r>
        <w:t>2018–22</w:t>
      </w:r>
      <w:r w:rsidRPr="001D3081">
        <w:t xml:space="preserve"> access arrangement period ($million, nominal)</w:t>
      </w:r>
    </w:p>
    <w:tbl>
      <w:tblPr>
        <w:tblStyle w:val="AERtable-numbers"/>
        <w:tblW w:w="8755" w:type="dxa"/>
        <w:tblLayout w:type="fixed"/>
        <w:tblLook w:val="04A0" w:firstRow="1" w:lastRow="0" w:firstColumn="1" w:lastColumn="0" w:noHBand="0" w:noVBand="1"/>
      </w:tblPr>
      <w:tblGrid>
        <w:gridCol w:w="2569"/>
        <w:gridCol w:w="1031"/>
        <w:gridCol w:w="1031"/>
        <w:gridCol w:w="1031"/>
        <w:gridCol w:w="1031"/>
        <w:gridCol w:w="1031"/>
        <w:gridCol w:w="1031"/>
      </w:tblGrid>
      <w:tr w:rsidR="000F0562" w:rsidRPr="00A575B0" w:rsidTr="000F0562">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0F0562" w:rsidRPr="00A575B0" w:rsidRDefault="000F0562" w:rsidP="00DA2B6F">
            <w:pPr>
              <w:keepNext/>
            </w:pPr>
          </w:p>
        </w:tc>
        <w:tc>
          <w:tcPr>
            <w:tcW w:w="1031" w:type="dxa"/>
            <w:noWrap/>
          </w:tcPr>
          <w:p w:rsidR="000F0562" w:rsidRPr="000F0562" w:rsidRDefault="000F0562" w:rsidP="00DA2B6F">
            <w:pPr>
              <w:keepNext/>
              <w:cnfStyle w:val="100000000000" w:firstRow="1" w:lastRow="0" w:firstColumn="0" w:lastColumn="0" w:oddVBand="0" w:evenVBand="0" w:oddHBand="0" w:evenHBand="0" w:firstRowFirstColumn="0" w:firstRowLastColumn="0" w:lastRowFirstColumn="0" w:lastRowLastColumn="0"/>
            </w:pPr>
            <w:r>
              <w:t>20</w:t>
            </w:r>
            <w:r w:rsidRPr="000F0562">
              <w:t>18</w:t>
            </w:r>
          </w:p>
        </w:tc>
        <w:tc>
          <w:tcPr>
            <w:tcW w:w="1031" w:type="dxa"/>
            <w:noWrap/>
          </w:tcPr>
          <w:p w:rsidR="000F0562" w:rsidRPr="000F0562" w:rsidRDefault="000F0562" w:rsidP="00DA2B6F">
            <w:pPr>
              <w:keepNext/>
              <w:cnfStyle w:val="100000000000" w:firstRow="1" w:lastRow="0" w:firstColumn="0" w:lastColumn="0" w:oddVBand="0" w:evenVBand="0" w:oddHBand="0" w:evenHBand="0" w:firstRowFirstColumn="0" w:firstRowLastColumn="0" w:lastRowFirstColumn="0" w:lastRowLastColumn="0"/>
            </w:pPr>
            <w:r>
              <w:t>20</w:t>
            </w:r>
            <w:r w:rsidRPr="000F0562">
              <w:t>19</w:t>
            </w:r>
          </w:p>
        </w:tc>
        <w:tc>
          <w:tcPr>
            <w:tcW w:w="1031" w:type="dxa"/>
            <w:noWrap/>
          </w:tcPr>
          <w:p w:rsidR="000F0562" w:rsidRPr="000F0562" w:rsidRDefault="000F0562" w:rsidP="00DA2B6F">
            <w:pPr>
              <w:keepNext/>
              <w:cnfStyle w:val="100000000000" w:firstRow="1" w:lastRow="0" w:firstColumn="0" w:lastColumn="0" w:oddVBand="0" w:evenVBand="0" w:oddHBand="0" w:evenHBand="0" w:firstRowFirstColumn="0" w:firstRowLastColumn="0" w:lastRowFirstColumn="0" w:lastRowLastColumn="0"/>
            </w:pPr>
            <w:r>
              <w:t>20</w:t>
            </w:r>
            <w:r w:rsidRPr="000F0562">
              <w:t>20</w:t>
            </w:r>
          </w:p>
        </w:tc>
        <w:tc>
          <w:tcPr>
            <w:tcW w:w="1031" w:type="dxa"/>
            <w:noWrap/>
          </w:tcPr>
          <w:p w:rsidR="000F0562" w:rsidRPr="000F0562" w:rsidRDefault="000F0562" w:rsidP="00DA2B6F">
            <w:pPr>
              <w:keepNext/>
              <w:cnfStyle w:val="100000000000" w:firstRow="1" w:lastRow="0" w:firstColumn="0" w:lastColumn="0" w:oddVBand="0" w:evenVBand="0" w:oddHBand="0" w:evenHBand="0" w:firstRowFirstColumn="0" w:firstRowLastColumn="0" w:lastRowFirstColumn="0" w:lastRowLastColumn="0"/>
            </w:pPr>
            <w:r>
              <w:t>20</w:t>
            </w:r>
            <w:r w:rsidRPr="000F0562">
              <w:t>21</w:t>
            </w:r>
          </w:p>
        </w:tc>
        <w:tc>
          <w:tcPr>
            <w:tcW w:w="1031" w:type="dxa"/>
            <w:noWrap/>
          </w:tcPr>
          <w:p w:rsidR="000F0562" w:rsidRPr="000F0562" w:rsidRDefault="000F0562" w:rsidP="00DA2B6F">
            <w:pPr>
              <w:keepNext/>
              <w:cnfStyle w:val="100000000000" w:firstRow="1" w:lastRow="0" w:firstColumn="0" w:lastColumn="0" w:oddVBand="0" w:evenVBand="0" w:oddHBand="0" w:evenHBand="0" w:firstRowFirstColumn="0" w:firstRowLastColumn="0" w:lastRowFirstColumn="0" w:lastRowLastColumn="0"/>
            </w:pPr>
            <w:r>
              <w:t>20</w:t>
            </w:r>
            <w:r w:rsidRPr="000F0562">
              <w:t>22</w:t>
            </w:r>
          </w:p>
        </w:tc>
        <w:tc>
          <w:tcPr>
            <w:tcW w:w="1031" w:type="dxa"/>
          </w:tcPr>
          <w:p w:rsidR="000F0562" w:rsidRPr="000F0562" w:rsidRDefault="000F0562" w:rsidP="00DA2B6F">
            <w:pPr>
              <w:keepNext/>
              <w:cnfStyle w:val="100000000000" w:firstRow="1" w:lastRow="0" w:firstColumn="0" w:lastColumn="0" w:oddVBand="0" w:evenVBand="0" w:oddHBand="0" w:evenHBand="0" w:firstRowFirstColumn="0" w:firstRowLastColumn="0" w:lastRowFirstColumn="0" w:lastRowLastColumn="0"/>
            </w:pPr>
            <w:r w:rsidRPr="00F77C82">
              <w:t>Total</w:t>
            </w:r>
          </w:p>
        </w:tc>
      </w:tr>
      <w:tr w:rsidR="00DC6B4F" w:rsidRPr="009603F9" w:rsidTr="00F04988">
        <w:trPr>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DC6B4F" w:rsidRPr="00DC6B4F" w:rsidRDefault="00DC6B4F" w:rsidP="00DC6B4F">
            <w:r w:rsidRPr="00DC6B4F">
              <w:t>Straight-line depreciation</w:t>
            </w:r>
          </w:p>
        </w:tc>
        <w:tc>
          <w:tcPr>
            <w:tcW w:w="1031" w:type="dxa"/>
            <w:noWrap/>
            <w:vAlign w:val="bottom"/>
          </w:tcPr>
          <w:p w:rsidR="00DC6B4F" w:rsidRPr="00DC6B4F" w:rsidRDefault="00DC6B4F" w:rsidP="00DC6B4F">
            <w:pPr>
              <w:cnfStyle w:val="000000000000" w:firstRow="0" w:lastRow="0" w:firstColumn="0" w:lastColumn="0" w:oddVBand="0" w:evenVBand="0" w:oddHBand="0" w:evenHBand="0" w:firstRowFirstColumn="0" w:firstRowLastColumn="0" w:lastRowFirstColumn="0" w:lastRowLastColumn="0"/>
            </w:pPr>
            <w:r w:rsidRPr="00DC6B4F">
              <w:t>82.5</w:t>
            </w:r>
          </w:p>
        </w:tc>
        <w:tc>
          <w:tcPr>
            <w:tcW w:w="1031" w:type="dxa"/>
            <w:noWrap/>
            <w:vAlign w:val="bottom"/>
          </w:tcPr>
          <w:p w:rsidR="00DC6B4F" w:rsidRPr="00DC6B4F" w:rsidRDefault="00DC6B4F" w:rsidP="00DC6B4F">
            <w:pPr>
              <w:cnfStyle w:val="000000000000" w:firstRow="0" w:lastRow="0" w:firstColumn="0" w:lastColumn="0" w:oddVBand="0" w:evenVBand="0" w:oddHBand="0" w:evenHBand="0" w:firstRowFirstColumn="0" w:firstRowLastColumn="0" w:lastRowFirstColumn="0" w:lastRowLastColumn="0"/>
            </w:pPr>
            <w:r w:rsidRPr="00DC6B4F">
              <w:t>73.1</w:t>
            </w:r>
          </w:p>
        </w:tc>
        <w:tc>
          <w:tcPr>
            <w:tcW w:w="1031" w:type="dxa"/>
            <w:noWrap/>
            <w:vAlign w:val="bottom"/>
          </w:tcPr>
          <w:p w:rsidR="00DC6B4F" w:rsidRPr="00DC6B4F" w:rsidRDefault="00DC6B4F" w:rsidP="00DC6B4F">
            <w:pPr>
              <w:cnfStyle w:val="000000000000" w:firstRow="0" w:lastRow="0" w:firstColumn="0" w:lastColumn="0" w:oddVBand="0" w:evenVBand="0" w:oddHBand="0" w:evenHBand="0" w:firstRowFirstColumn="0" w:firstRowLastColumn="0" w:lastRowFirstColumn="0" w:lastRowLastColumn="0"/>
            </w:pPr>
            <w:r w:rsidRPr="00DC6B4F">
              <w:t>77.6</w:t>
            </w:r>
          </w:p>
        </w:tc>
        <w:tc>
          <w:tcPr>
            <w:tcW w:w="1031" w:type="dxa"/>
            <w:noWrap/>
            <w:vAlign w:val="bottom"/>
          </w:tcPr>
          <w:p w:rsidR="00DC6B4F" w:rsidRPr="00DC6B4F" w:rsidRDefault="00DC6B4F" w:rsidP="00DC6B4F">
            <w:pPr>
              <w:cnfStyle w:val="000000000000" w:firstRow="0" w:lastRow="0" w:firstColumn="0" w:lastColumn="0" w:oddVBand="0" w:evenVBand="0" w:oddHBand="0" w:evenHBand="0" w:firstRowFirstColumn="0" w:firstRowLastColumn="0" w:lastRowFirstColumn="0" w:lastRowLastColumn="0"/>
            </w:pPr>
            <w:r w:rsidRPr="00DC6B4F">
              <w:t>82.7</w:t>
            </w:r>
          </w:p>
        </w:tc>
        <w:tc>
          <w:tcPr>
            <w:tcW w:w="1031" w:type="dxa"/>
            <w:noWrap/>
            <w:vAlign w:val="bottom"/>
          </w:tcPr>
          <w:p w:rsidR="00DC6B4F" w:rsidRPr="00DC6B4F" w:rsidRDefault="00DC6B4F" w:rsidP="00DC6B4F">
            <w:pPr>
              <w:cnfStyle w:val="000000000000" w:firstRow="0" w:lastRow="0" w:firstColumn="0" w:lastColumn="0" w:oddVBand="0" w:evenVBand="0" w:oddHBand="0" w:evenHBand="0" w:firstRowFirstColumn="0" w:firstRowLastColumn="0" w:lastRowFirstColumn="0" w:lastRowLastColumn="0"/>
            </w:pPr>
            <w:r w:rsidRPr="00DC6B4F">
              <w:t>87.9</w:t>
            </w:r>
          </w:p>
        </w:tc>
        <w:tc>
          <w:tcPr>
            <w:tcW w:w="1031" w:type="dxa"/>
            <w:vAlign w:val="bottom"/>
          </w:tcPr>
          <w:p w:rsidR="00DC6B4F" w:rsidRPr="00DC6B4F" w:rsidRDefault="00DC6B4F" w:rsidP="00DC6B4F">
            <w:pPr>
              <w:cnfStyle w:val="000000000000" w:firstRow="0" w:lastRow="0" w:firstColumn="0" w:lastColumn="0" w:oddVBand="0" w:evenVBand="0" w:oddHBand="0" w:evenHBand="0" w:firstRowFirstColumn="0" w:firstRowLastColumn="0" w:lastRowFirstColumn="0" w:lastRowLastColumn="0"/>
            </w:pPr>
            <w:r w:rsidRPr="00DC6B4F">
              <w:t>403.8</w:t>
            </w:r>
          </w:p>
        </w:tc>
      </w:tr>
      <w:tr w:rsidR="00DC6B4F" w:rsidRPr="009603F9" w:rsidTr="00F04988">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DC6B4F" w:rsidRPr="00DC6B4F" w:rsidRDefault="00DC6B4F" w:rsidP="00DC6B4F">
            <w:r w:rsidRPr="00DC6B4F">
              <w:rPr>
                <w:rStyle w:val="AERtextitalic"/>
              </w:rPr>
              <w:t>Less:</w:t>
            </w:r>
            <w:r w:rsidRPr="00DC6B4F">
              <w:t xml:space="preserve"> indexation on capital base </w:t>
            </w:r>
          </w:p>
        </w:tc>
        <w:tc>
          <w:tcPr>
            <w:tcW w:w="1031" w:type="dxa"/>
            <w:noWrap/>
            <w:vAlign w:val="bottom"/>
          </w:tcPr>
          <w:p w:rsidR="00DC6B4F" w:rsidRPr="00DC6B4F" w:rsidRDefault="00DC6B4F" w:rsidP="00DC6B4F">
            <w:pPr>
              <w:cnfStyle w:val="000000010000" w:firstRow="0" w:lastRow="0" w:firstColumn="0" w:lastColumn="0" w:oddVBand="0" w:evenVBand="0" w:oddHBand="0" w:evenHBand="1" w:firstRowFirstColumn="0" w:firstRowLastColumn="0" w:lastRowFirstColumn="0" w:lastRowLastColumn="0"/>
            </w:pPr>
            <w:r w:rsidRPr="00DC6B4F">
              <w:t>38.6</w:t>
            </w:r>
          </w:p>
        </w:tc>
        <w:tc>
          <w:tcPr>
            <w:tcW w:w="1031" w:type="dxa"/>
            <w:noWrap/>
            <w:vAlign w:val="bottom"/>
          </w:tcPr>
          <w:p w:rsidR="00DC6B4F" w:rsidRPr="00DC6B4F" w:rsidRDefault="00DC6B4F" w:rsidP="00DC6B4F">
            <w:pPr>
              <w:cnfStyle w:val="000000010000" w:firstRow="0" w:lastRow="0" w:firstColumn="0" w:lastColumn="0" w:oddVBand="0" w:evenVBand="0" w:oddHBand="0" w:evenHBand="1" w:firstRowFirstColumn="0" w:firstRowLastColumn="0" w:lastRowFirstColumn="0" w:lastRowLastColumn="0"/>
            </w:pPr>
            <w:r w:rsidRPr="00DC6B4F">
              <w:t>40.1</w:t>
            </w:r>
          </w:p>
        </w:tc>
        <w:tc>
          <w:tcPr>
            <w:tcW w:w="1031" w:type="dxa"/>
            <w:noWrap/>
            <w:vAlign w:val="bottom"/>
          </w:tcPr>
          <w:p w:rsidR="00DC6B4F" w:rsidRPr="00DC6B4F" w:rsidRDefault="00DC6B4F" w:rsidP="00DC6B4F">
            <w:pPr>
              <w:cnfStyle w:val="000000010000" w:firstRow="0" w:lastRow="0" w:firstColumn="0" w:lastColumn="0" w:oddVBand="0" w:evenVBand="0" w:oddHBand="0" w:evenHBand="1" w:firstRowFirstColumn="0" w:firstRowLastColumn="0" w:lastRowFirstColumn="0" w:lastRowLastColumn="0"/>
            </w:pPr>
            <w:r w:rsidRPr="00DC6B4F">
              <w:t>41.8</w:t>
            </w:r>
          </w:p>
        </w:tc>
        <w:tc>
          <w:tcPr>
            <w:tcW w:w="1031" w:type="dxa"/>
            <w:noWrap/>
            <w:vAlign w:val="bottom"/>
          </w:tcPr>
          <w:p w:rsidR="00DC6B4F" w:rsidRPr="00DC6B4F" w:rsidRDefault="00DC6B4F" w:rsidP="00DC6B4F">
            <w:pPr>
              <w:cnfStyle w:val="000000010000" w:firstRow="0" w:lastRow="0" w:firstColumn="0" w:lastColumn="0" w:oddVBand="0" w:evenVBand="0" w:oddHBand="0" w:evenHBand="1" w:firstRowFirstColumn="0" w:firstRowLastColumn="0" w:lastRowFirstColumn="0" w:lastRowLastColumn="0"/>
            </w:pPr>
            <w:r w:rsidRPr="00DC6B4F">
              <w:t>43.4</w:t>
            </w:r>
          </w:p>
        </w:tc>
        <w:tc>
          <w:tcPr>
            <w:tcW w:w="1031" w:type="dxa"/>
            <w:noWrap/>
            <w:vAlign w:val="bottom"/>
          </w:tcPr>
          <w:p w:rsidR="00DC6B4F" w:rsidRPr="00DC6B4F" w:rsidRDefault="00DC6B4F" w:rsidP="00DC6B4F">
            <w:pPr>
              <w:cnfStyle w:val="000000010000" w:firstRow="0" w:lastRow="0" w:firstColumn="0" w:lastColumn="0" w:oddVBand="0" w:evenVBand="0" w:oddHBand="0" w:evenHBand="1" w:firstRowFirstColumn="0" w:firstRowLastColumn="0" w:lastRowFirstColumn="0" w:lastRowLastColumn="0"/>
            </w:pPr>
            <w:r w:rsidRPr="00DC6B4F">
              <w:t>44.8</w:t>
            </w:r>
          </w:p>
        </w:tc>
        <w:tc>
          <w:tcPr>
            <w:tcW w:w="1031" w:type="dxa"/>
            <w:vAlign w:val="bottom"/>
          </w:tcPr>
          <w:p w:rsidR="00DC6B4F" w:rsidRPr="00DC6B4F" w:rsidRDefault="00DC6B4F" w:rsidP="00DC6B4F">
            <w:pPr>
              <w:cnfStyle w:val="000000010000" w:firstRow="0" w:lastRow="0" w:firstColumn="0" w:lastColumn="0" w:oddVBand="0" w:evenVBand="0" w:oddHBand="0" w:evenHBand="1" w:firstRowFirstColumn="0" w:firstRowLastColumn="0" w:lastRowFirstColumn="0" w:lastRowLastColumn="0"/>
            </w:pPr>
            <w:r w:rsidRPr="00DC6B4F">
              <w:t>208.8</w:t>
            </w:r>
          </w:p>
        </w:tc>
      </w:tr>
      <w:tr w:rsidR="00DC6B4F" w:rsidRPr="00D73B8B" w:rsidTr="00F04988">
        <w:trPr>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DC6B4F" w:rsidRPr="00DC6B4F" w:rsidRDefault="00DC6B4F" w:rsidP="00DC6B4F">
            <w:pPr>
              <w:rPr>
                <w:rStyle w:val="Strong"/>
              </w:rPr>
            </w:pPr>
            <w:r w:rsidRPr="00DC6B4F">
              <w:rPr>
                <w:rStyle w:val="Strong"/>
              </w:rPr>
              <w:t>Regulatory depreciation</w:t>
            </w:r>
          </w:p>
        </w:tc>
        <w:tc>
          <w:tcPr>
            <w:tcW w:w="1031" w:type="dxa"/>
            <w:noWrap/>
            <w:vAlign w:val="bottom"/>
          </w:tcPr>
          <w:p w:rsidR="00DC6B4F" w:rsidRPr="00DC6B4F" w:rsidRDefault="00DC6B4F" w:rsidP="00DC6B4F">
            <w:pPr>
              <w:cnfStyle w:val="000000000000" w:firstRow="0" w:lastRow="0" w:firstColumn="0" w:lastColumn="0" w:oddVBand="0" w:evenVBand="0" w:oddHBand="0" w:evenHBand="0" w:firstRowFirstColumn="0" w:firstRowLastColumn="0" w:lastRowFirstColumn="0" w:lastRowLastColumn="0"/>
              <w:rPr>
                <w:rStyle w:val="Strong"/>
              </w:rPr>
            </w:pPr>
            <w:r w:rsidRPr="00D636F1">
              <w:rPr>
                <w:rStyle w:val="Strong"/>
              </w:rPr>
              <w:t>43.9</w:t>
            </w:r>
          </w:p>
        </w:tc>
        <w:tc>
          <w:tcPr>
            <w:tcW w:w="1031" w:type="dxa"/>
            <w:noWrap/>
            <w:vAlign w:val="bottom"/>
          </w:tcPr>
          <w:p w:rsidR="00DC6B4F" w:rsidRPr="00DC6B4F" w:rsidRDefault="00DC6B4F" w:rsidP="00DC6B4F">
            <w:pPr>
              <w:cnfStyle w:val="000000000000" w:firstRow="0" w:lastRow="0" w:firstColumn="0" w:lastColumn="0" w:oddVBand="0" w:evenVBand="0" w:oddHBand="0" w:evenHBand="0" w:firstRowFirstColumn="0" w:firstRowLastColumn="0" w:lastRowFirstColumn="0" w:lastRowLastColumn="0"/>
              <w:rPr>
                <w:rStyle w:val="Strong"/>
              </w:rPr>
            </w:pPr>
            <w:r w:rsidRPr="00D636F1">
              <w:rPr>
                <w:rStyle w:val="Strong"/>
              </w:rPr>
              <w:t>33.0</w:t>
            </w:r>
          </w:p>
        </w:tc>
        <w:tc>
          <w:tcPr>
            <w:tcW w:w="1031" w:type="dxa"/>
            <w:noWrap/>
            <w:vAlign w:val="bottom"/>
          </w:tcPr>
          <w:p w:rsidR="00DC6B4F" w:rsidRPr="00DC6B4F" w:rsidRDefault="00DC6B4F" w:rsidP="00DC6B4F">
            <w:pPr>
              <w:cnfStyle w:val="000000000000" w:firstRow="0" w:lastRow="0" w:firstColumn="0" w:lastColumn="0" w:oddVBand="0" w:evenVBand="0" w:oddHBand="0" w:evenHBand="0" w:firstRowFirstColumn="0" w:firstRowLastColumn="0" w:lastRowFirstColumn="0" w:lastRowLastColumn="0"/>
              <w:rPr>
                <w:rStyle w:val="Strong"/>
              </w:rPr>
            </w:pPr>
            <w:r w:rsidRPr="00D636F1">
              <w:rPr>
                <w:rStyle w:val="Strong"/>
              </w:rPr>
              <w:t>35.8</w:t>
            </w:r>
          </w:p>
        </w:tc>
        <w:tc>
          <w:tcPr>
            <w:tcW w:w="1031" w:type="dxa"/>
            <w:noWrap/>
            <w:vAlign w:val="bottom"/>
          </w:tcPr>
          <w:p w:rsidR="00DC6B4F" w:rsidRPr="00DC6B4F" w:rsidRDefault="00DC6B4F" w:rsidP="00DC6B4F">
            <w:pPr>
              <w:cnfStyle w:val="000000000000" w:firstRow="0" w:lastRow="0" w:firstColumn="0" w:lastColumn="0" w:oddVBand="0" w:evenVBand="0" w:oddHBand="0" w:evenHBand="0" w:firstRowFirstColumn="0" w:firstRowLastColumn="0" w:lastRowFirstColumn="0" w:lastRowLastColumn="0"/>
              <w:rPr>
                <w:rStyle w:val="Strong"/>
              </w:rPr>
            </w:pPr>
            <w:r w:rsidRPr="00D636F1">
              <w:rPr>
                <w:rStyle w:val="Strong"/>
              </w:rPr>
              <w:t>39.3</w:t>
            </w:r>
          </w:p>
        </w:tc>
        <w:tc>
          <w:tcPr>
            <w:tcW w:w="1031" w:type="dxa"/>
            <w:noWrap/>
            <w:vAlign w:val="bottom"/>
          </w:tcPr>
          <w:p w:rsidR="00DC6B4F" w:rsidRPr="00DC6B4F" w:rsidRDefault="00DC6B4F" w:rsidP="00DC6B4F">
            <w:pPr>
              <w:cnfStyle w:val="000000000000" w:firstRow="0" w:lastRow="0" w:firstColumn="0" w:lastColumn="0" w:oddVBand="0" w:evenVBand="0" w:oddHBand="0" w:evenHBand="0" w:firstRowFirstColumn="0" w:firstRowLastColumn="0" w:lastRowFirstColumn="0" w:lastRowLastColumn="0"/>
              <w:rPr>
                <w:rStyle w:val="Strong"/>
              </w:rPr>
            </w:pPr>
            <w:r w:rsidRPr="00D636F1">
              <w:rPr>
                <w:rStyle w:val="Strong"/>
              </w:rPr>
              <w:t>43.1</w:t>
            </w:r>
          </w:p>
        </w:tc>
        <w:tc>
          <w:tcPr>
            <w:tcW w:w="1031" w:type="dxa"/>
            <w:vAlign w:val="bottom"/>
          </w:tcPr>
          <w:p w:rsidR="00DC6B4F" w:rsidRPr="00DC6B4F" w:rsidRDefault="00DC6B4F" w:rsidP="00DC6B4F">
            <w:pPr>
              <w:cnfStyle w:val="000000000000" w:firstRow="0" w:lastRow="0" w:firstColumn="0" w:lastColumn="0" w:oddVBand="0" w:evenVBand="0" w:oddHBand="0" w:evenHBand="0" w:firstRowFirstColumn="0" w:firstRowLastColumn="0" w:lastRowFirstColumn="0" w:lastRowLastColumn="0"/>
              <w:rPr>
                <w:rStyle w:val="Strong"/>
              </w:rPr>
            </w:pPr>
            <w:r w:rsidRPr="00D636F1">
              <w:rPr>
                <w:rStyle w:val="Strong"/>
              </w:rPr>
              <w:t>195.0</w:t>
            </w:r>
          </w:p>
        </w:tc>
      </w:tr>
    </w:tbl>
    <w:p w:rsidR="000F0562" w:rsidRDefault="000F0562" w:rsidP="00DA2B6F">
      <w:pPr>
        <w:pStyle w:val="AERtablesource"/>
        <w:keepNext/>
      </w:pPr>
      <w:r>
        <w:t xml:space="preserve">Source: </w:t>
      </w:r>
      <w:r>
        <w:tab/>
        <w:t xml:space="preserve">AER analysis. </w:t>
      </w:r>
    </w:p>
    <w:p w:rsidR="000F0562" w:rsidRDefault="0071454E" w:rsidP="000F0562">
      <w:r>
        <w:t>We</w:t>
      </w:r>
      <w:r w:rsidRPr="00CA36EA">
        <w:t xml:space="preserve"> approve</w:t>
      </w:r>
      <w:r>
        <w:t xml:space="preserve"> </w:t>
      </w:r>
      <w:r w:rsidRPr="002341E6">
        <w:t>AusNet</w:t>
      </w:r>
      <w:r>
        <w:t>’s</w:t>
      </w:r>
      <w:r w:rsidRPr="00CA36EA">
        <w:t xml:space="preserve"> proposal to use the </w:t>
      </w:r>
      <w:r>
        <w:t xml:space="preserve">real </w:t>
      </w:r>
      <w:r w:rsidRPr="00CA36EA">
        <w:t>straight-line</w:t>
      </w:r>
      <w:r>
        <w:t xml:space="preserve"> </w:t>
      </w:r>
      <w:r w:rsidRPr="00CA36EA">
        <w:t>method to calculate the re</w:t>
      </w:r>
      <w:r>
        <w:t>gulatory depreciation allowance, and its proposed</w:t>
      </w:r>
      <w:r w:rsidR="000F0562">
        <w:t xml:space="preserve"> </w:t>
      </w:r>
      <w:r w:rsidR="000F0562" w:rsidRPr="00A27483">
        <w:t xml:space="preserve">standard asset lives. </w:t>
      </w:r>
      <w:r w:rsidR="000F0562">
        <w:t xml:space="preserve">These standard asset lives </w:t>
      </w:r>
      <w:r w:rsidR="000F0562" w:rsidRPr="00A27483">
        <w:t xml:space="preserve">are consistent with the approved standard </w:t>
      </w:r>
      <w:r w:rsidR="000F0562">
        <w:t>asset</w:t>
      </w:r>
      <w:r w:rsidR="000F0562" w:rsidRPr="00A27483">
        <w:t xml:space="preserve"> lives for the 201</w:t>
      </w:r>
      <w:r w:rsidR="000F0562">
        <w:t>3</w:t>
      </w:r>
      <w:r w:rsidR="000F0562" w:rsidRPr="00A27483">
        <w:t>–1</w:t>
      </w:r>
      <w:r w:rsidR="00EF1FAE">
        <w:t>7</w:t>
      </w:r>
      <w:r w:rsidR="000F0562" w:rsidRPr="00A27483">
        <w:t xml:space="preserve"> access arrangement </w:t>
      </w:r>
      <w:proofErr w:type="gramStart"/>
      <w:r w:rsidR="000F0562" w:rsidRPr="00A27483">
        <w:t>period</w:t>
      </w:r>
      <w:proofErr w:type="gramEnd"/>
      <w:r w:rsidR="000F0562" w:rsidRPr="00A27483">
        <w:t>.</w:t>
      </w:r>
      <w:r w:rsidR="000F0562">
        <w:t xml:space="preserve"> The exception </w:t>
      </w:r>
      <w:r>
        <w:t xml:space="preserve">to this </w:t>
      </w:r>
      <w:r w:rsidR="000F0562">
        <w:t>is meters</w:t>
      </w:r>
      <w:r>
        <w:t xml:space="preserve">, but </w:t>
      </w:r>
      <w:r w:rsidR="000F0562">
        <w:t xml:space="preserve">we accept </w:t>
      </w:r>
      <w:r>
        <w:t>AusNet's</w:t>
      </w:r>
      <w:r w:rsidR="000F0562">
        <w:t xml:space="preserve"> </w:t>
      </w:r>
      <w:r w:rsidR="00EF1FAE">
        <w:t xml:space="preserve">update </w:t>
      </w:r>
      <w:r>
        <w:t xml:space="preserve">to </w:t>
      </w:r>
      <w:r w:rsidR="00EF1FAE">
        <w:t xml:space="preserve">its </w:t>
      </w:r>
      <w:r>
        <w:t>metering asset lives is</w:t>
      </w:r>
      <w:r w:rsidR="000F0562">
        <w:t xml:space="preserve"> reasonable and consistent with other gas service providers. The standard asset lives</w:t>
      </w:r>
      <w:r w:rsidR="000F0562" w:rsidRPr="00A27483">
        <w:t xml:space="preserve"> </w:t>
      </w:r>
      <w:r w:rsidR="000F0562">
        <w:t xml:space="preserve">across all asset classes </w:t>
      </w:r>
      <w:r w:rsidR="000F0562" w:rsidRPr="00A27483">
        <w:t xml:space="preserve">are </w:t>
      </w:r>
      <w:r w:rsidR="000F0562">
        <w:t xml:space="preserve">broadly </w:t>
      </w:r>
      <w:r w:rsidR="000F0562" w:rsidRPr="00A27483">
        <w:t>comparable with the standard asset lives approved in our recent determinations for other gas service providers.</w:t>
      </w:r>
      <w:r w:rsidR="000F0562" w:rsidRPr="00B07FFE">
        <w:rPr>
          <w:rStyle w:val="FootnoteReference"/>
        </w:rPr>
        <w:footnoteReference w:id="40"/>
      </w:r>
      <w:r w:rsidR="000F0562" w:rsidRPr="00B07FFE">
        <w:rPr>
          <w:rStyle w:val="FootnoteReference"/>
        </w:rPr>
        <w:t xml:space="preserve"> </w:t>
      </w:r>
    </w:p>
    <w:p w:rsidR="000F0562" w:rsidRDefault="000F0562" w:rsidP="000F0562">
      <w:r>
        <w:t xml:space="preserve">We </w:t>
      </w:r>
      <w:r w:rsidR="0071454E">
        <w:t xml:space="preserve">also </w:t>
      </w:r>
      <w:r>
        <w:t>accept</w:t>
      </w:r>
      <w:r w:rsidR="0071454E">
        <w:t xml:space="preserve"> AusNet’s proposal to move to a </w:t>
      </w:r>
      <w:r>
        <w:t>year by year tracking approach to determining depreciation.</w:t>
      </w:r>
      <w:r>
        <w:rPr>
          <w:rStyle w:val="FootnoteReference"/>
        </w:rPr>
        <w:footnoteReference w:id="41"/>
      </w:r>
      <w:r>
        <w:t xml:space="preserve"> While not our preferred weighted average remaining life (WARL) approach,</w:t>
      </w:r>
      <w:r>
        <w:rPr>
          <w:rStyle w:val="FootnoteReference"/>
        </w:rPr>
        <w:footnoteReference w:id="42"/>
      </w:r>
      <w:r>
        <w:t xml:space="preserve"> we accept that a year by year approach can meet the criteria of having the depreciation schedule reflect the asset's economic life, where it tracks the asset's technical life. In deciding to accept this element of AusNet's proposal, we have assessed the new approach against the other criteria in the NGR, in particular, whether the approach leads to efficient development in the market for reference services. Under this criterion we also need to consider the impact of the change in the long run and any significant disruption in the short to medium term from a change in previous practice. The proposed change to year by year tracking does increase depreciation (and prices) over short to medium term,</w:t>
      </w:r>
      <w:r w:rsidRPr="00152B99">
        <w:t xml:space="preserve"> </w:t>
      </w:r>
      <w:r>
        <w:t>other things being equal. CCP11 has raised this potential impact as a concern.</w:t>
      </w:r>
      <w:r>
        <w:rPr>
          <w:rStyle w:val="FootnoteReference"/>
        </w:rPr>
        <w:footnoteReference w:id="43"/>
      </w:r>
      <w:r>
        <w:t xml:space="preserve">  However, our analysis suggests the impact in this case to be modest and therefore unlikely to have a significant impact on the efficient growth in the market for reference services.</w:t>
      </w:r>
      <w:r w:rsidRPr="001510DB">
        <w:t xml:space="preserve"> </w:t>
      </w:r>
    </w:p>
    <w:p w:rsidR="00BE78FB" w:rsidRDefault="0071454E" w:rsidP="0071454E">
      <w:r>
        <w:t>While we have accepted these approache</w:t>
      </w:r>
      <w:r w:rsidR="00D73B8B">
        <w:t>s</w:t>
      </w:r>
      <w:r>
        <w:t>, our draft decision reduces AusNet's proposed depreciation allowance by $</w:t>
      </w:r>
      <w:r w:rsidR="00D73B8B">
        <w:t>64.1</w:t>
      </w:r>
      <w:r>
        <w:t xml:space="preserve"> ($nominal), or </w:t>
      </w:r>
      <w:r w:rsidR="00D73B8B">
        <w:t>24.7</w:t>
      </w:r>
      <w:r>
        <w:t xml:space="preserve"> per cent. This reduction flows from our draft decisions on </w:t>
      </w:r>
      <w:r w:rsidRPr="001C0783">
        <w:t xml:space="preserve">forecast </w:t>
      </w:r>
      <w:r>
        <w:t>cap</w:t>
      </w:r>
      <w:r w:rsidRPr="001C0783">
        <w:t>ex</w:t>
      </w:r>
      <w:r w:rsidR="00D73B8B">
        <w:t xml:space="preserve"> and expected inflation</w:t>
      </w:r>
      <w:r>
        <w:t>—which are inputs to the depreciation allowance.</w:t>
      </w:r>
    </w:p>
    <w:p w:rsidR="00BE78FB" w:rsidRDefault="00BE78FB" w:rsidP="00BE78FB">
      <w:pPr>
        <w:pStyle w:val="Heading2"/>
      </w:pPr>
      <w:bookmarkStart w:id="141" w:name="_Toc487017922"/>
      <w:r>
        <w:t>Capital expenditure (capex)</w:t>
      </w:r>
      <w:bookmarkEnd w:id="141"/>
    </w:p>
    <w:p w:rsidR="00BE78FB" w:rsidRDefault="00BE78FB" w:rsidP="00BE78FB">
      <w:r>
        <w:t xml:space="preserve">Capital expenditure (capex) refers to the capital </w:t>
      </w:r>
      <w:r w:rsidRPr="00F745EE">
        <w:t xml:space="preserve">costs and expenditure incurred </w:t>
      </w:r>
      <w:r>
        <w:t>in the provision of</w:t>
      </w:r>
      <w:r w:rsidRPr="00F745EE">
        <w:t xml:space="preserve"> pipeline services</w:t>
      </w:r>
      <w:r>
        <w:t>.</w:t>
      </w:r>
      <w:r>
        <w:rPr>
          <w:rStyle w:val="FootnoteReference"/>
        </w:rPr>
        <w:footnoteReference w:id="44"/>
      </w:r>
      <w:r>
        <w:t xml:space="preserve"> This investment mostly relates to assets with long lives</w:t>
      </w:r>
      <w:r w:rsidR="007A5CAB">
        <w:t>, and these costs are recovered over several access arrangement periods</w:t>
      </w:r>
      <w:r>
        <w:t xml:space="preserve">. </w:t>
      </w:r>
      <w:r w:rsidR="005C418E">
        <w:t>AusNet</w:t>
      </w:r>
      <w:r>
        <w:t xml:space="preserve"> recovers the costs of these assets through the return on capital and depreciation building blocks that form part of its total revenue. In this way </w:t>
      </w:r>
      <w:r w:rsidR="005C418E">
        <w:t>AusNet</w:t>
      </w:r>
      <w:r>
        <w:t xml:space="preserve"> recovers the financing cost and depreciation associated with these assets over the expected life of these assets.</w:t>
      </w:r>
    </w:p>
    <w:p w:rsidR="00BE78FB" w:rsidRDefault="00BE78FB" w:rsidP="00BE78FB">
      <w:r>
        <w:t xml:space="preserve">Our draft decision includes an </w:t>
      </w:r>
      <w:r w:rsidRPr="00EE386B">
        <w:t xml:space="preserve">assessment of </w:t>
      </w:r>
      <w:r>
        <w:t>AusNet‘s actual capex</w:t>
      </w:r>
      <w:r w:rsidRPr="00EE386B">
        <w:t xml:space="preserve"> </w:t>
      </w:r>
      <w:r>
        <w:t>in the current period, which forms part of its opening capital base.</w:t>
      </w:r>
      <w:r>
        <w:rPr>
          <w:rStyle w:val="FootnoteReference"/>
        </w:rPr>
        <w:footnoteReference w:id="45"/>
      </w:r>
      <w:r>
        <w:t xml:space="preserve"> It also includes an assessment of AusNet's </w:t>
      </w:r>
      <w:r w:rsidRPr="00EE386B">
        <w:t>forecast capex for the 20</w:t>
      </w:r>
      <w:r>
        <w:t>18</w:t>
      </w:r>
      <w:r w:rsidRPr="00EE386B">
        <w:t>–</w:t>
      </w:r>
      <w:r>
        <w:t>22</w:t>
      </w:r>
      <w:r w:rsidRPr="00EE386B">
        <w:t xml:space="preserve"> access arrangement </w:t>
      </w:r>
      <w:proofErr w:type="gramStart"/>
      <w:r w:rsidRPr="00EE386B">
        <w:t>period</w:t>
      </w:r>
      <w:proofErr w:type="gramEnd"/>
      <w:r>
        <w:t>, which forms part of its projected capital base.</w:t>
      </w:r>
      <w:r>
        <w:rPr>
          <w:rStyle w:val="FootnoteReference"/>
        </w:rPr>
        <w:footnoteReference w:id="46"/>
      </w:r>
      <w:r>
        <w:t xml:space="preserve"> </w:t>
      </w:r>
    </w:p>
    <w:p w:rsidR="00BE78FB" w:rsidRDefault="00BE78FB" w:rsidP="00BE78FB">
      <w:r>
        <w:fldChar w:fldCharType="begin"/>
      </w:r>
      <w:r>
        <w:instrText xml:space="preserve"> REF _Ref481075699 \h </w:instrText>
      </w:r>
      <w:r>
        <w:fldChar w:fldCharType="separate"/>
      </w:r>
      <w:r w:rsidR="00EE5745">
        <w:t xml:space="preserve">Figure </w:t>
      </w:r>
      <w:r w:rsidR="00EE5745">
        <w:rPr>
          <w:noProof/>
        </w:rPr>
        <w:t>5</w:t>
      </w:r>
      <w:r w:rsidR="00EE5745">
        <w:noBreakHyphen/>
      </w:r>
      <w:r w:rsidR="00EE5745">
        <w:rPr>
          <w:noProof/>
        </w:rPr>
        <w:t>2</w:t>
      </w:r>
      <w:r>
        <w:fldChar w:fldCharType="end"/>
      </w:r>
      <w:r>
        <w:t xml:space="preserve"> compares AusNet's past and proposed forecast capex, and the forecasts we have approved in our previous decision for 2013–17 and this draft decision for 2018–22. </w:t>
      </w:r>
    </w:p>
    <w:p w:rsidR="00BE78FB" w:rsidRDefault="00BE78FB" w:rsidP="00BE78FB">
      <w:pPr>
        <w:pStyle w:val="Caption"/>
      </w:pPr>
      <w:bookmarkStart w:id="142" w:name="_Ref481075699"/>
      <w:r>
        <w:t xml:space="preserve">Figure </w:t>
      </w:r>
      <w:fldSimple w:instr=" STYLEREF 1 \s ">
        <w:r w:rsidR="00EE5745">
          <w:rPr>
            <w:noProof/>
          </w:rPr>
          <w:t>5</w:t>
        </w:r>
      </w:fldSimple>
      <w:r w:rsidR="002B4532">
        <w:noBreakHyphen/>
      </w:r>
      <w:fldSimple w:instr=" SEQ Figure \* ARABIC \s 1 ">
        <w:r w:rsidR="00EE5745">
          <w:rPr>
            <w:noProof/>
          </w:rPr>
          <w:t>2</w:t>
        </w:r>
      </w:fldSimple>
      <w:bookmarkEnd w:id="142"/>
      <w:r>
        <w:tab/>
        <w:t xml:space="preserve">AER draft decision compared to </w:t>
      </w:r>
      <w:r w:rsidR="005C418E">
        <w:t>AusNet</w:t>
      </w:r>
      <w:r>
        <w:t>'s past and proposed capex ($million, 2017)</w:t>
      </w:r>
    </w:p>
    <w:p w:rsidR="00BE78FB" w:rsidRDefault="006C3557" w:rsidP="00BE78FB">
      <w:r w:rsidRPr="006C3557">
        <w:rPr>
          <w:noProof/>
          <w:lang w:eastAsia="en-AU"/>
        </w:rPr>
        <w:drawing>
          <wp:inline distT="0" distB="0" distL="0" distR="0" wp14:anchorId="35CB6A61" wp14:editId="57BCCCB9">
            <wp:extent cx="5382895" cy="3412543"/>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3412543"/>
                    </a:xfrm>
                    <a:prstGeom prst="rect">
                      <a:avLst/>
                    </a:prstGeom>
                    <a:noFill/>
                    <a:ln>
                      <a:noFill/>
                    </a:ln>
                  </pic:spPr>
                </pic:pic>
              </a:graphicData>
            </a:graphic>
          </wp:inline>
        </w:drawing>
      </w:r>
    </w:p>
    <w:p w:rsidR="00BE78FB" w:rsidRDefault="0036695A" w:rsidP="00F04988">
      <w:pPr>
        <w:pStyle w:val="AERtablesource"/>
      </w:pPr>
      <w:r>
        <w:t xml:space="preserve">Source: </w:t>
      </w:r>
      <w:r w:rsidR="00BF5EB0">
        <w:tab/>
        <w:t>AER analysis.</w:t>
      </w:r>
    </w:p>
    <w:p w:rsidR="00BE78FB" w:rsidRDefault="00BE78FB" w:rsidP="0093698F">
      <w:pPr>
        <w:pStyle w:val="Heading3"/>
        <w:ind w:left="720"/>
      </w:pPr>
      <w:bookmarkStart w:id="143" w:name="_Toc481056457"/>
      <w:bookmarkStart w:id="144" w:name="_Toc487017923"/>
      <w:r>
        <w:t xml:space="preserve">Conforming capex for </w:t>
      </w:r>
      <w:bookmarkEnd w:id="143"/>
      <w:r w:rsidR="0036695A">
        <w:t>the current period</w:t>
      </w:r>
      <w:bookmarkEnd w:id="144"/>
    </w:p>
    <w:p w:rsidR="0036695A" w:rsidRDefault="00D835DF" w:rsidP="00D835DF">
      <w:r>
        <w:t>AusNet</w:t>
      </w:r>
      <w:r w:rsidRPr="005529A4">
        <w:t xml:space="preserve"> expects </w:t>
      </w:r>
      <w:r>
        <w:t xml:space="preserve">its actual capex in the current (2013–17) access arrangement period to be </w:t>
      </w:r>
      <w:r w:rsidR="00D130CC">
        <w:t>14.3</w:t>
      </w:r>
      <w:r>
        <w:t xml:space="preserve"> per cent less than that </w:t>
      </w:r>
      <w:r w:rsidRPr="005529A4">
        <w:t xml:space="preserve">contemplated in our </w:t>
      </w:r>
      <w:r w:rsidR="001729CB">
        <w:t>final decision on the 2013–17 access arrangement.</w:t>
      </w:r>
      <w:r w:rsidR="001729CB">
        <w:rPr>
          <w:rStyle w:val="FootnoteReference"/>
        </w:rPr>
        <w:footnoteReference w:id="47"/>
      </w:r>
      <w:r w:rsidR="00647820">
        <w:t>.</w:t>
      </w:r>
    </w:p>
    <w:p w:rsidR="00982C8F" w:rsidRDefault="00982C8F" w:rsidP="00982C8F">
      <w:r>
        <w:t xml:space="preserve">As part of this draft decision, we have reviewed AusNet's capex for the first four years of the current period (2013 to 2016), for which actual data is available. Our review also covered AusNet's actual capex in 2012 (the final year of the previous access arrangement period), </w:t>
      </w:r>
      <w:r w:rsidR="007A5CAB">
        <w:t xml:space="preserve">for which </w:t>
      </w:r>
      <w:r>
        <w:t xml:space="preserve">actual data was not available </w:t>
      </w:r>
      <w:r w:rsidR="001729CB">
        <w:t>when we made our final decision for 2013–17</w:t>
      </w:r>
      <w:r w:rsidR="00647820">
        <w:t>.</w:t>
      </w:r>
      <w:r w:rsidR="001729CB">
        <w:rPr>
          <w:rStyle w:val="FootnoteReference"/>
        </w:rPr>
        <w:footnoteReference w:id="48"/>
      </w:r>
    </w:p>
    <w:p w:rsidR="00982C8F" w:rsidRDefault="00982C8F" w:rsidP="00D835DF">
      <w:r>
        <w:t>Our draft decision is that AusNet's actual capex of $</w:t>
      </w:r>
      <w:r w:rsidR="006C3557">
        <w:t>463.4</w:t>
      </w:r>
      <w:r>
        <w:t xml:space="preserve"> million ($2017) for the years 2012 to 2016 is appropriately included in the opening capital base from 1 January 2018. We will review AusNet's actual capex for 2017 as part of our next review of its access arrangement in 2022.</w:t>
      </w:r>
    </w:p>
    <w:p w:rsidR="00BE78FB" w:rsidRDefault="00BE78FB" w:rsidP="004E2567">
      <w:pPr>
        <w:pStyle w:val="Heading3"/>
        <w:keepNext/>
        <w:ind w:left="720"/>
      </w:pPr>
      <w:bookmarkStart w:id="145" w:name="_Toc483488985"/>
      <w:bookmarkStart w:id="146" w:name="_Toc481056458"/>
      <w:bookmarkStart w:id="147" w:name="_Toc487017924"/>
      <w:bookmarkEnd w:id="145"/>
      <w:r>
        <w:t>Conforming capex for 2018-22</w:t>
      </w:r>
      <w:bookmarkEnd w:id="146"/>
      <w:bookmarkEnd w:id="147"/>
    </w:p>
    <w:p w:rsidR="00CE183C" w:rsidRPr="00CE183C" w:rsidRDefault="00CE183C" w:rsidP="004E2567">
      <w:pPr>
        <w:keepNext/>
      </w:pPr>
      <w:r>
        <w:t>AusNet</w:t>
      </w:r>
      <w:r w:rsidR="005529A4">
        <w:t>'s</w:t>
      </w:r>
      <w:r>
        <w:t xml:space="preserve"> proposed total (net) forecast capex of $</w:t>
      </w:r>
      <w:r w:rsidR="00030F87" w:rsidRPr="00CE183C">
        <w:t>4</w:t>
      </w:r>
      <w:r w:rsidR="00030F87">
        <w:t>87</w:t>
      </w:r>
      <w:r w:rsidRPr="00CE183C">
        <w:t>.</w:t>
      </w:r>
      <w:r w:rsidR="00F5617D">
        <w:t>7</w:t>
      </w:r>
      <w:r w:rsidR="00030F87">
        <w:t xml:space="preserve"> </w:t>
      </w:r>
      <w:r>
        <w:t xml:space="preserve">million ($2017) for the 2018–22 access arrangement </w:t>
      </w:r>
      <w:proofErr w:type="gramStart"/>
      <w:r>
        <w:t>period</w:t>
      </w:r>
      <w:proofErr w:type="gramEnd"/>
      <w:r w:rsidR="005529A4">
        <w:t xml:space="preserve"> is </w:t>
      </w:r>
      <w:r w:rsidR="00030F87">
        <w:t>5.</w:t>
      </w:r>
      <w:r w:rsidR="00F5617D">
        <w:t>7</w:t>
      </w:r>
      <w:r w:rsidR="00030F87">
        <w:t xml:space="preserve"> </w:t>
      </w:r>
      <w:r w:rsidR="005529A4">
        <w:t xml:space="preserve">per cent </w:t>
      </w:r>
      <w:r w:rsidR="00030F87">
        <w:t xml:space="preserve">greater </w:t>
      </w:r>
      <w:r w:rsidR="005529A4">
        <w:t xml:space="preserve">than </w:t>
      </w:r>
      <w:r>
        <w:t>its current period expenditure. Our draft decision accepts most of AusNet's forecast, and approves total forecast capex of $</w:t>
      </w:r>
      <w:r w:rsidR="00F5617D">
        <w:t>460</w:t>
      </w:r>
      <w:r w:rsidR="00030F87">
        <w:t>.</w:t>
      </w:r>
      <w:r w:rsidR="00F5617D">
        <w:t>0</w:t>
      </w:r>
      <w:r w:rsidR="00030F87">
        <w:t xml:space="preserve"> </w:t>
      </w:r>
      <w:r>
        <w:t xml:space="preserve">million. This is </w:t>
      </w:r>
      <w:r w:rsidR="00030F87">
        <w:t xml:space="preserve">5.7 </w:t>
      </w:r>
      <w:r>
        <w:t xml:space="preserve">per cent lower than AusNet's proposal, and </w:t>
      </w:r>
      <w:r w:rsidR="00030F87">
        <w:t>is in line with its actual expenditure over the current access arrangement period.</w:t>
      </w:r>
    </w:p>
    <w:p w:rsidR="00BE78FB" w:rsidRDefault="007D2992" w:rsidP="00CE183C">
      <w:r>
        <w:t xml:space="preserve">The difference between our draft decision and AusNet's proposal primarily </w:t>
      </w:r>
      <w:r w:rsidR="00634E44">
        <w:t xml:space="preserve">relates to </w:t>
      </w:r>
      <w:r>
        <w:t xml:space="preserve">the </w:t>
      </w:r>
      <w:r w:rsidR="00C30AAD">
        <w:t>following elements of its</w:t>
      </w:r>
      <w:r>
        <w:t xml:space="preserve"> forecast:</w:t>
      </w:r>
    </w:p>
    <w:p w:rsidR="002A3A55" w:rsidRDefault="002A3A55" w:rsidP="001729CB">
      <w:pPr>
        <w:pStyle w:val="AERbulletlistfirststyle"/>
      </w:pPr>
      <w:r>
        <w:t>AusNet</w:t>
      </w:r>
      <w:r w:rsidRPr="006709D9">
        <w:t xml:space="preserve">’s forecast </w:t>
      </w:r>
      <w:r w:rsidRPr="001B4FAA">
        <w:rPr>
          <w:rStyle w:val="Strong"/>
          <w:b w:val="0"/>
          <w:bCs w:val="0"/>
        </w:rPr>
        <w:t>mains replacement capex</w:t>
      </w:r>
      <w:r>
        <w:t xml:space="preserve"> </w:t>
      </w:r>
      <w:r w:rsidRPr="006709D9">
        <w:t>ma</w:t>
      </w:r>
      <w:r>
        <w:t>de</w:t>
      </w:r>
      <w:r w:rsidRPr="006709D9">
        <w:t xml:space="preserve"> up around </w:t>
      </w:r>
      <w:r w:rsidR="0097484B">
        <w:t>28</w:t>
      </w:r>
      <w:r w:rsidR="00E0160B">
        <w:t xml:space="preserve"> </w:t>
      </w:r>
      <w:r>
        <w:t>per cent</w:t>
      </w:r>
      <w:r w:rsidRPr="006709D9">
        <w:t xml:space="preserve"> of its total forecast capex. </w:t>
      </w:r>
      <w:r>
        <w:t xml:space="preserve">Its proposed expenditure of </w:t>
      </w:r>
      <w:r w:rsidRPr="006709D9">
        <w:t>$</w:t>
      </w:r>
      <w:r w:rsidR="0097484B">
        <w:t>130.</w:t>
      </w:r>
      <w:r w:rsidR="00F5617D">
        <w:t>6</w:t>
      </w:r>
      <w:r>
        <w:t xml:space="preserve"> </w:t>
      </w:r>
      <w:r w:rsidRPr="006709D9">
        <w:t>m</w:t>
      </w:r>
      <w:r>
        <w:t>illion</w:t>
      </w:r>
      <w:r w:rsidRPr="006709D9">
        <w:t xml:space="preserve"> is $</w:t>
      </w:r>
      <w:r>
        <w:t>2</w:t>
      </w:r>
      <w:r w:rsidR="0097484B">
        <w:t>2</w:t>
      </w:r>
      <w:r>
        <w:t>.</w:t>
      </w:r>
      <w:r w:rsidR="00F5617D">
        <w:t>3</w:t>
      </w:r>
      <w:r>
        <w:t xml:space="preserve"> </w:t>
      </w:r>
      <w:r w:rsidRPr="006709D9">
        <w:t>m</w:t>
      </w:r>
      <w:r>
        <w:t>illion</w:t>
      </w:r>
      <w:r w:rsidRPr="006709D9">
        <w:t xml:space="preserve"> </w:t>
      </w:r>
      <w:r>
        <w:t>(</w:t>
      </w:r>
      <w:r w:rsidRPr="006709D9">
        <w:t xml:space="preserve">or </w:t>
      </w:r>
      <w:r w:rsidR="0097484B">
        <w:t>20</w:t>
      </w:r>
      <w:r w:rsidR="00BB506C">
        <w:t>.</w:t>
      </w:r>
      <w:r w:rsidR="00F5617D">
        <w:t xml:space="preserve">6 </w:t>
      </w:r>
      <w:r>
        <w:t>per cent)</w:t>
      </w:r>
      <w:r w:rsidRPr="006709D9">
        <w:t xml:space="preserve"> higher than </w:t>
      </w:r>
      <w:r w:rsidR="007A5CAB">
        <w:t xml:space="preserve">its </w:t>
      </w:r>
      <w:r w:rsidRPr="006709D9">
        <w:t>actual mains replacement expenditure in the current period</w:t>
      </w:r>
      <w:r>
        <w:t>, reflecting the higher unit rates that come with AusNet's plan to replace mains in higher density areas over the 2018–22 access arrangement period</w:t>
      </w:r>
      <w:r w:rsidRPr="006709D9">
        <w:t>.</w:t>
      </w:r>
      <w:r>
        <w:t xml:space="preserve"> On the information before us we are not satisfied that this increase in mains replacement expenditure is required. The total capex forecast in our draft decision includes a lower mains replacement forecast of $11</w:t>
      </w:r>
      <w:r w:rsidR="0097484B">
        <w:t>4</w:t>
      </w:r>
      <w:r>
        <w:t>.</w:t>
      </w:r>
      <w:r w:rsidR="00F5617D">
        <w:t>5</w:t>
      </w:r>
      <w:r>
        <w:t xml:space="preserve"> million.</w:t>
      </w:r>
    </w:p>
    <w:p w:rsidR="00C30AAD" w:rsidRPr="006709D9" w:rsidRDefault="00C30AAD" w:rsidP="001729CB">
      <w:pPr>
        <w:pStyle w:val="AERbulletlistfirststyle"/>
      </w:pPr>
      <w:r>
        <w:t xml:space="preserve">We have not accepted AusNet's forecast of $32.4 million for </w:t>
      </w:r>
      <w:r w:rsidRPr="001B4FAA">
        <w:rPr>
          <w:rStyle w:val="Strong"/>
          <w:b w:val="0"/>
          <w:bCs w:val="0"/>
        </w:rPr>
        <w:t>meter replacement</w:t>
      </w:r>
      <w:r>
        <w:t>, and have substituted a lower forecast of $28.3 million. Our lower forecast removes $1.6 million AusNet proposed for a digital metering program</w:t>
      </w:r>
      <w:r w:rsidR="00184CA3">
        <w:t xml:space="preserve"> (and an additional $2.1 million for </w:t>
      </w:r>
      <w:r w:rsidR="00184CA3" w:rsidRPr="001729CB">
        <w:t xml:space="preserve">related </w:t>
      </w:r>
      <w:r w:rsidR="00184CA3" w:rsidRPr="001B4FAA">
        <w:rPr>
          <w:rStyle w:val="Strong"/>
          <w:b w:val="0"/>
          <w:bCs w:val="0"/>
        </w:rPr>
        <w:t>IT capex)</w:t>
      </w:r>
      <w:r>
        <w:t>, which we do not consider AusNet has justified in its proposal. We have reduced the meter replacement forecast by a further $2.4 million, by adopting a lower unit rate that takes into account AusNet's opportunity to reduce costs by using a combination of both new and refurbished meters.</w:t>
      </w:r>
    </w:p>
    <w:p w:rsidR="002A3A55" w:rsidRPr="006709D9" w:rsidRDefault="00C30AAD" w:rsidP="001729CB">
      <w:pPr>
        <w:pStyle w:val="AERbulletlistfirststyle"/>
      </w:pPr>
      <w:r>
        <w:t xml:space="preserve">Our draft decision reduces </w:t>
      </w:r>
      <w:r w:rsidR="002A3A55">
        <w:t>AusNet's</w:t>
      </w:r>
      <w:r w:rsidR="002A3A55" w:rsidRPr="006709D9">
        <w:t xml:space="preserve"> forecast </w:t>
      </w:r>
      <w:r w:rsidR="002A3A55" w:rsidRPr="001B4FAA">
        <w:rPr>
          <w:rStyle w:val="Strong"/>
          <w:b w:val="0"/>
          <w:bCs w:val="0"/>
        </w:rPr>
        <w:t>connections capex</w:t>
      </w:r>
      <w:r w:rsidR="002A3A55" w:rsidRPr="006709D9">
        <w:t xml:space="preserve"> of </w:t>
      </w:r>
      <w:r w:rsidR="002A3A55">
        <w:t>$1</w:t>
      </w:r>
      <w:r w:rsidR="00103C9B">
        <w:t>93.8</w:t>
      </w:r>
      <w:r w:rsidR="002A3A55">
        <w:t xml:space="preserve"> million by 1.</w:t>
      </w:r>
      <w:r w:rsidR="00B96FE0">
        <w:t>4</w:t>
      </w:r>
      <w:r w:rsidR="002A3A55">
        <w:t xml:space="preserve"> per cent (to $19</w:t>
      </w:r>
      <w:r w:rsidR="00103C9B">
        <w:t>1.2</w:t>
      </w:r>
      <w:r w:rsidR="002A3A55">
        <w:t xml:space="preserve"> million) as a consequence of our decision not to accept AusNet's opex step change for marketing expenditure, </w:t>
      </w:r>
      <w:r w:rsidR="00103C9B">
        <w:t xml:space="preserve">and the associated increase in </w:t>
      </w:r>
      <w:r>
        <w:t>its demand forecast</w:t>
      </w:r>
      <w:r w:rsidR="002A3A55">
        <w:t>.</w:t>
      </w:r>
    </w:p>
    <w:p w:rsidR="007D2992" w:rsidRPr="007D2992" w:rsidRDefault="007D2992" w:rsidP="007D2992">
      <w:r w:rsidRPr="007D2992">
        <w:fldChar w:fldCharType="begin"/>
      </w:r>
      <w:r w:rsidRPr="007D2992">
        <w:instrText xml:space="preserve"> REF _Ref482970747 \h </w:instrText>
      </w:r>
      <w:r>
        <w:instrText xml:space="preserve"> \* MERGEFORMAT </w:instrText>
      </w:r>
      <w:r w:rsidRPr="007D2992">
        <w:fldChar w:fldCharType="separate"/>
      </w:r>
      <w:r w:rsidR="00EE5745" w:rsidRPr="007D2992">
        <w:t xml:space="preserve">Table </w:t>
      </w:r>
      <w:r w:rsidR="00EE5745">
        <w:t>5</w:t>
      </w:r>
      <w:r w:rsidR="00EE5745">
        <w:noBreakHyphen/>
        <w:t>7</w:t>
      </w:r>
      <w:r w:rsidRPr="007D2992">
        <w:fldChar w:fldCharType="end"/>
      </w:r>
      <w:r w:rsidRPr="007D2992">
        <w:t xml:space="preserve"> compares </w:t>
      </w:r>
      <w:r>
        <w:t>AusNet</w:t>
      </w:r>
      <w:r w:rsidRPr="007D2992">
        <w:t>'s proposed capex forecast to that approved in our draft decision.</w:t>
      </w:r>
    </w:p>
    <w:p w:rsidR="007D2992" w:rsidRPr="007D2992" w:rsidRDefault="007D2992" w:rsidP="0093698F">
      <w:pPr>
        <w:pStyle w:val="Caption"/>
      </w:pPr>
      <w:bookmarkStart w:id="148" w:name="_Ref482970747"/>
      <w:r w:rsidRPr="007D2992">
        <w:t xml:space="preserve">Table </w:t>
      </w:r>
      <w:fldSimple w:instr=" STYLEREF 1 \s ">
        <w:r w:rsidR="00EE5745">
          <w:rPr>
            <w:noProof/>
          </w:rPr>
          <w:t>5</w:t>
        </w:r>
      </w:fldSimple>
      <w:r w:rsidR="00391B74">
        <w:noBreakHyphen/>
      </w:r>
      <w:fldSimple w:instr=" SEQ Table \* ARABIC \s 1 ">
        <w:r w:rsidR="00EE5745">
          <w:rPr>
            <w:noProof/>
          </w:rPr>
          <w:t>7</w:t>
        </w:r>
      </w:fldSimple>
      <w:bookmarkEnd w:id="148"/>
      <w:r w:rsidRPr="007D2992">
        <w:t xml:space="preserve"> Comparison of forecast capex in </w:t>
      </w:r>
      <w:r>
        <w:t>AusNet</w:t>
      </w:r>
      <w:r w:rsidRPr="007D2992">
        <w:t>'s proposal and this draft decision ($million, 2017)</w:t>
      </w:r>
    </w:p>
    <w:tbl>
      <w:tblPr>
        <w:tblStyle w:val="AERtable-numbers"/>
        <w:tblW w:w="5000" w:type="pct"/>
        <w:tblLook w:val="04A0" w:firstRow="1" w:lastRow="0" w:firstColumn="1" w:lastColumn="0" w:noHBand="0" w:noVBand="1"/>
      </w:tblPr>
      <w:tblGrid>
        <w:gridCol w:w="4118"/>
        <w:gridCol w:w="1525"/>
        <w:gridCol w:w="1525"/>
        <w:gridCol w:w="1525"/>
      </w:tblGrid>
      <w:tr w:rsidR="00732CC0" w:rsidRPr="006D2B8B" w:rsidTr="004039E8">
        <w:trPr>
          <w:cnfStyle w:val="100000000000" w:firstRow="1" w:lastRow="0" w:firstColumn="0" w:lastColumn="0" w:oddVBand="0" w:evenVBand="0" w:oddHBand="0" w:evenHBand="0" w:firstRowFirstColumn="0" w:firstRowLastColumn="0" w:lastRowFirstColumn="0" w:lastRowLastColumn="0"/>
          <w:trHeight w:val="705"/>
          <w:tblHeader/>
        </w:trPr>
        <w:tc>
          <w:tcPr>
            <w:cnfStyle w:val="001000000000" w:firstRow="0" w:lastRow="0" w:firstColumn="1" w:lastColumn="0" w:oddVBand="0" w:evenVBand="0" w:oddHBand="0" w:evenHBand="0" w:firstRowFirstColumn="0" w:firstRowLastColumn="0" w:lastRowFirstColumn="0" w:lastRowLastColumn="0"/>
            <w:tcW w:w="2369" w:type="pct"/>
            <w:hideMark/>
          </w:tcPr>
          <w:p w:rsidR="00732CC0" w:rsidRPr="007D2992" w:rsidRDefault="00732CC0" w:rsidP="0093698F">
            <w:pPr>
              <w:keepNext/>
            </w:pPr>
            <w:r w:rsidRPr="006D2B8B">
              <w:t> Category</w:t>
            </w:r>
          </w:p>
        </w:tc>
        <w:tc>
          <w:tcPr>
            <w:tcW w:w="877" w:type="pct"/>
            <w:hideMark/>
          </w:tcPr>
          <w:p w:rsidR="00732CC0" w:rsidRPr="007D2992" w:rsidRDefault="00732CC0" w:rsidP="0093698F">
            <w:pPr>
              <w:keepNext/>
              <w:cnfStyle w:val="100000000000" w:firstRow="1" w:lastRow="0" w:firstColumn="0" w:lastColumn="0" w:oddVBand="0" w:evenVBand="0" w:oddHBand="0" w:evenHBand="0" w:firstRowFirstColumn="0" w:firstRowLastColumn="0" w:lastRowFirstColumn="0" w:lastRowLastColumn="0"/>
            </w:pPr>
            <w:r>
              <w:t>AusNet's proposal</w:t>
            </w:r>
          </w:p>
        </w:tc>
        <w:tc>
          <w:tcPr>
            <w:tcW w:w="877" w:type="pct"/>
            <w:hideMark/>
          </w:tcPr>
          <w:p w:rsidR="00732CC0" w:rsidRPr="007D2992" w:rsidRDefault="00732CC0" w:rsidP="0093698F">
            <w:pPr>
              <w:keepNext/>
              <w:cnfStyle w:val="100000000000" w:firstRow="1" w:lastRow="0" w:firstColumn="0" w:lastColumn="0" w:oddVBand="0" w:evenVBand="0" w:oddHBand="0" w:evenHBand="0" w:firstRowFirstColumn="0" w:firstRowLastColumn="0" w:lastRowFirstColumn="0" w:lastRowLastColumn="0"/>
            </w:pPr>
            <w:r>
              <w:t>Draft  decision</w:t>
            </w:r>
          </w:p>
        </w:tc>
        <w:tc>
          <w:tcPr>
            <w:tcW w:w="877" w:type="pct"/>
            <w:hideMark/>
          </w:tcPr>
          <w:p w:rsidR="00732CC0" w:rsidRPr="007D2992" w:rsidRDefault="00732CC0" w:rsidP="0093698F">
            <w:pPr>
              <w:keepNext/>
              <w:cnfStyle w:val="100000000000" w:firstRow="1" w:lastRow="0" w:firstColumn="0" w:lastColumn="0" w:oddVBand="0" w:evenVBand="0" w:oddHBand="0" w:evenHBand="0" w:firstRowFirstColumn="0" w:firstRowLastColumn="0" w:lastRowFirstColumn="0" w:lastRowLastColumn="0"/>
            </w:pPr>
            <w:r w:rsidRPr="006D2B8B">
              <w:t>Difference ($millions)</w:t>
            </w:r>
          </w:p>
        </w:tc>
      </w:tr>
      <w:tr w:rsidR="00030F87" w:rsidRPr="006D2B8B" w:rsidTr="004039E8">
        <w:trPr>
          <w:trHeight w:val="450"/>
        </w:trPr>
        <w:tc>
          <w:tcPr>
            <w:cnfStyle w:val="001000000000" w:firstRow="0" w:lastRow="0" w:firstColumn="1" w:lastColumn="0" w:oddVBand="0" w:evenVBand="0" w:oddHBand="0" w:evenHBand="0" w:firstRowFirstColumn="0" w:firstRowLastColumn="0" w:lastRowFirstColumn="0" w:lastRowLastColumn="0"/>
            <w:tcW w:w="2369" w:type="pct"/>
            <w:vAlign w:val="bottom"/>
            <w:hideMark/>
          </w:tcPr>
          <w:p w:rsidR="00030F87" w:rsidRPr="00030F87" w:rsidRDefault="00030F87" w:rsidP="0093698F">
            <w:pPr>
              <w:keepNext/>
            </w:pPr>
            <w:r w:rsidRPr="00030F87">
              <w:t>Mains replacement</w:t>
            </w:r>
          </w:p>
        </w:tc>
        <w:tc>
          <w:tcPr>
            <w:tcW w:w="877" w:type="pct"/>
            <w:vAlign w:val="bottom"/>
          </w:tcPr>
          <w:p w:rsidR="00030F87" w:rsidRPr="00030F87" w:rsidRDefault="00030F87" w:rsidP="0093698F">
            <w:pPr>
              <w:keepNext/>
              <w:cnfStyle w:val="000000000000" w:firstRow="0" w:lastRow="0" w:firstColumn="0" w:lastColumn="0" w:oddVBand="0" w:evenVBand="0" w:oddHBand="0" w:evenHBand="0" w:firstRowFirstColumn="0" w:firstRowLastColumn="0" w:lastRowFirstColumn="0" w:lastRowLastColumn="0"/>
            </w:pPr>
            <w:r w:rsidRPr="00030F87">
              <w:t>130.</w:t>
            </w:r>
            <w:r w:rsidR="00F5617D">
              <w:t>6</w:t>
            </w:r>
          </w:p>
        </w:tc>
        <w:tc>
          <w:tcPr>
            <w:tcW w:w="877" w:type="pct"/>
            <w:vAlign w:val="bottom"/>
          </w:tcPr>
          <w:p w:rsidR="00030F87" w:rsidRPr="00030F87" w:rsidRDefault="00030F87" w:rsidP="0093698F">
            <w:pPr>
              <w:keepNext/>
              <w:cnfStyle w:val="000000000000" w:firstRow="0" w:lastRow="0" w:firstColumn="0" w:lastColumn="0" w:oddVBand="0" w:evenVBand="0" w:oddHBand="0" w:evenHBand="0" w:firstRowFirstColumn="0" w:firstRowLastColumn="0" w:lastRowFirstColumn="0" w:lastRowLastColumn="0"/>
            </w:pPr>
            <w:r w:rsidRPr="00030F87">
              <w:t>114.</w:t>
            </w:r>
            <w:r w:rsidR="00F5617D">
              <w:t>5</w:t>
            </w:r>
          </w:p>
        </w:tc>
        <w:tc>
          <w:tcPr>
            <w:tcW w:w="877" w:type="pct"/>
            <w:vAlign w:val="bottom"/>
          </w:tcPr>
          <w:p w:rsidR="00030F87" w:rsidRPr="00030F87" w:rsidRDefault="00030F87" w:rsidP="0093698F">
            <w:pPr>
              <w:keepNext/>
              <w:cnfStyle w:val="000000000000" w:firstRow="0" w:lastRow="0" w:firstColumn="0" w:lastColumn="0" w:oddVBand="0" w:evenVBand="0" w:oddHBand="0" w:evenHBand="0" w:firstRowFirstColumn="0" w:firstRowLastColumn="0" w:lastRowFirstColumn="0" w:lastRowLastColumn="0"/>
            </w:pPr>
            <w:r w:rsidRPr="00030F87">
              <w:t>-16.1</w:t>
            </w:r>
          </w:p>
        </w:tc>
      </w:tr>
      <w:tr w:rsidR="00030F87" w:rsidRPr="006D2B8B" w:rsidTr="004039E8">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369" w:type="pct"/>
            <w:vAlign w:val="bottom"/>
            <w:hideMark/>
          </w:tcPr>
          <w:p w:rsidR="00030F87" w:rsidRPr="00030F87" w:rsidRDefault="00B96FE0" w:rsidP="0093698F">
            <w:pPr>
              <w:keepNext/>
            </w:pPr>
            <w:r>
              <w:t>N</w:t>
            </w:r>
            <w:r w:rsidR="00030F87" w:rsidRPr="00030F87">
              <w:t>ew customer connections</w:t>
            </w:r>
          </w:p>
        </w:tc>
        <w:tc>
          <w:tcPr>
            <w:tcW w:w="877" w:type="pct"/>
            <w:vAlign w:val="bottom"/>
          </w:tcPr>
          <w:p w:rsidR="00030F87" w:rsidRPr="00030F87" w:rsidRDefault="00B96FE0" w:rsidP="0093698F">
            <w:pPr>
              <w:keepNext/>
              <w:cnfStyle w:val="000000010000" w:firstRow="0" w:lastRow="0" w:firstColumn="0" w:lastColumn="0" w:oddVBand="0" w:evenVBand="0" w:oddHBand="0" w:evenHBand="1" w:firstRowFirstColumn="0" w:firstRowLastColumn="0" w:lastRowFirstColumn="0" w:lastRowLastColumn="0"/>
            </w:pPr>
            <w:r>
              <w:t>193.8</w:t>
            </w:r>
          </w:p>
        </w:tc>
        <w:tc>
          <w:tcPr>
            <w:tcW w:w="877" w:type="pct"/>
            <w:vAlign w:val="bottom"/>
          </w:tcPr>
          <w:p w:rsidR="00030F87" w:rsidRPr="00030F87" w:rsidRDefault="00B96FE0" w:rsidP="0093698F">
            <w:pPr>
              <w:keepNext/>
              <w:cnfStyle w:val="000000010000" w:firstRow="0" w:lastRow="0" w:firstColumn="0" w:lastColumn="0" w:oddVBand="0" w:evenVBand="0" w:oddHBand="0" w:evenHBand="1" w:firstRowFirstColumn="0" w:firstRowLastColumn="0" w:lastRowFirstColumn="0" w:lastRowLastColumn="0"/>
            </w:pPr>
            <w:r>
              <w:t>191.2</w:t>
            </w:r>
          </w:p>
        </w:tc>
        <w:tc>
          <w:tcPr>
            <w:tcW w:w="877" w:type="pct"/>
            <w:vAlign w:val="bottom"/>
          </w:tcPr>
          <w:p w:rsidR="00030F87" w:rsidRPr="00030F87" w:rsidRDefault="00030F87" w:rsidP="0093698F">
            <w:pPr>
              <w:keepNext/>
              <w:cnfStyle w:val="000000010000" w:firstRow="0" w:lastRow="0" w:firstColumn="0" w:lastColumn="0" w:oddVBand="0" w:evenVBand="0" w:oddHBand="0" w:evenHBand="1" w:firstRowFirstColumn="0" w:firstRowLastColumn="0" w:lastRowFirstColumn="0" w:lastRowLastColumn="0"/>
            </w:pPr>
            <w:r w:rsidRPr="00030F87">
              <w:t>-2.6</w:t>
            </w:r>
          </w:p>
        </w:tc>
      </w:tr>
      <w:tr w:rsidR="00030F87" w:rsidRPr="006D2B8B" w:rsidTr="004039E8">
        <w:trPr>
          <w:trHeight w:val="450"/>
        </w:trPr>
        <w:tc>
          <w:tcPr>
            <w:cnfStyle w:val="001000000000" w:firstRow="0" w:lastRow="0" w:firstColumn="1" w:lastColumn="0" w:oddVBand="0" w:evenVBand="0" w:oddHBand="0" w:evenHBand="0" w:firstRowFirstColumn="0" w:firstRowLastColumn="0" w:lastRowFirstColumn="0" w:lastRowLastColumn="0"/>
            <w:tcW w:w="2369" w:type="pct"/>
            <w:vAlign w:val="bottom"/>
            <w:hideMark/>
          </w:tcPr>
          <w:p w:rsidR="00030F87" w:rsidRPr="00030F87" w:rsidRDefault="00B96FE0" w:rsidP="0093698F">
            <w:pPr>
              <w:keepNext/>
            </w:pPr>
            <w:r>
              <w:t>M</w:t>
            </w:r>
            <w:r w:rsidR="00030F87" w:rsidRPr="00030F87">
              <w:t>eter replacement</w:t>
            </w:r>
          </w:p>
        </w:tc>
        <w:tc>
          <w:tcPr>
            <w:tcW w:w="877" w:type="pct"/>
            <w:vAlign w:val="bottom"/>
          </w:tcPr>
          <w:p w:rsidR="00030F87" w:rsidRPr="00030F87" w:rsidRDefault="00B96FE0" w:rsidP="0093698F">
            <w:pPr>
              <w:keepNext/>
              <w:cnfStyle w:val="000000000000" w:firstRow="0" w:lastRow="0" w:firstColumn="0" w:lastColumn="0" w:oddVBand="0" w:evenVBand="0" w:oddHBand="0" w:evenHBand="0" w:firstRowFirstColumn="0" w:firstRowLastColumn="0" w:lastRowFirstColumn="0" w:lastRowLastColumn="0"/>
            </w:pPr>
            <w:r>
              <w:t>32.4</w:t>
            </w:r>
          </w:p>
        </w:tc>
        <w:tc>
          <w:tcPr>
            <w:tcW w:w="877" w:type="pct"/>
            <w:vAlign w:val="bottom"/>
          </w:tcPr>
          <w:p w:rsidR="00030F87" w:rsidRPr="00030F87" w:rsidRDefault="00B96FE0" w:rsidP="0093698F">
            <w:pPr>
              <w:keepNext/>
              <w:cnfStyle w:val="000000000000" w:firstRow="0" w:lastRow="0" w:firstColumn="0" w:lastColumn="0" w:oddVBand="0" w:evenVBand="0" w:oddHBand="0" w:evenHBand="0" w:firstRowFirstColumn="0" w:firstRowLastColumn="0" w:lastRowFirstColumn="0" w:lastRowLastColumn="0"/>
            </w:pPr>
            <w:r>
              <w:t>28.3</w:t>
            </w:r>
          </w:p>
        </w:tc>
        <w:tc>
          <w:tcPr>
            <w:tcW w:w="877" w:type="pct"/>
            <w:vAlign w:val="bottom"/>
          </w:tcPr>
          <w:p w:rsidR="00030F87" w:rsidRPr="00030F87" w:rsidRDefault="00030F87" w:rsidP="0093698F">
            <w:pPr>
              <w:keepNext/>
              <w:cnfStyle w:val="000000000000" w:firstRow="0" w:lastRow="0" w:firstColumn="0" w:lastColumn="0" w:oddVBand="0" w:evenVBand="0" w:oddHBand="0" w:evenHBand="0" w:firstRowFirstColumn="0" w:firstRowLastColumn="0" w:lastRowFirstColumn="0" w:lastRowLastColumn="0"/>
            </w:pPr>
            <w:r w:rsidRPr="00030F87">
              <w:t>-4.1</w:t>
            </w:r>
          </w:p>
        </w:tc>
      </w:tr>
      <w:tr w:rsidR="00030F87" w:rsidRPr="006D2B8B" w:rsidTr="004039E8">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369" w:type="pct"/>
            <w:vAlign w:val="bottom"/>
            <w:hideMark/>
          </w:tcPr>
          <w:p w:rsidR="00030F87" w:rsidRPr="00030F87" w:rsidRDefault="00030F87" w:rsidP="0093698F">
            <w:pPr>
              <w:keepNext/>
            </w:pPr>
            <w:r w:rsidRPr="00030F87">
              <w:t>Augmentation</w:t>
            </w:r>
          </w:p>
        </w:tc>
        <w:tc>
          <w:tcPr>
            <w:tcW w:w="877" w:type="pct"/>
            <w:vAlign w:val="bottom"/>
          </w:tcPr>
          <w:p w:rsidR="00030F87" w:rsidRPr="00030F87" w:rsidRDefault="00030F87" w:rsidP="0093698F">
            <w:pPr>
              <w:keepNext/>
              <w:cnfStyle w:val="000000010000" w:firstRow="0" w:lastRow="0" w:firstColumn="0" w:lastColumn="0" w:oddVBand="0" w:evenVBand="0" w:oddHBand="0" w:evenHBand="1" w:firstRowFirstColumn="0" w:firstRowLastColumn="0" w:lastRowFirstColumn="0" w:lastRowLastColumn="0"/>
            </w:pPr>
            <w:r w:rsidRPr="00030F87">
              <w:t>15.2</w:t>
            </w:r>
          </w:p>
        </w:tc>
        <w:tc>
          <w:tcPr>
            <w:tcW w:w="877" w:type="pct"/>
            <w:vAlign w:val="bottom"/>
          </w:tcPr>
          <w:p w:rsidR="00030F87" w:rsidRPr="00030F87" w:rsidRDefault="00030F87" w:rsidP="0093698F">
            <w:pPr>
              <w:keepNext/>
              <w:cnfStyle w:val="000000010000" w:firstRow="0" w:lastRow="0" w:firstColumn="0" w:lastColumn="0" w:oddVBand="0" w:evenVBand="0" w:oddHBand="0" w:evenHBand="1" w:firstRowFirstColumn="0" w:firstRowLastColumn="0" w:lastRowFirstColumn="0" w:lastRowLastColumn="0"/>
            </w:pPr>
            <w:r w:rsidRPr="00030F87">
              <w:t>13.1</w:t>
            </w:r>
          </w:p>
        </w:tc>
        <w:tc>
          <w:tcPr>
            <w:tcW w:w="877" w:type="pct"/>
            <w:vAlign w:val="bottom"/>
          </w:tcPr>
          <w:p w:rsidR="00030F87" w:rsidRPr="00030F87" w:rsidRDefault="00030F87" w:rsidP="0093698F">
            <w:pPr>
              <w:keepNext/>
              <w:cnfStyle w:val="000000010000" w:firstRow="0" w:lastRow="0" w:firstColumn="0" w:lastColumn="0" w:oddVBand="0" w:evenVBand="0" w:oddHBand="0" w:evenHBand="1" w:firstRowFirstColumn="0" w:firstRowLastColumn="0" w:lastRowFirstColumn="0" w:lastRowLastColumn="0"/>
            </w:pPr>
            <w:r w:rsidRPr="00030F87">
              <w:t>-2.1</w:t>
            </w:r>
          </w:p>
        </w:tc>
      </w:tr>
      <w:tr w:rsidR="00030F87" w:rsidRPr="006D2B8B" w:rsidTr="004039E8">
        <w:trPr>
          <w:trHeight w:val="450"/>
        </w:trPr>
        <w:tc>
          <w:tcPr>
            <w:cnfStyle w:val="001000000000" w:firstRow="0" w:lastRow="0" w:firstColumn="1" w:lastColumn="0" w:oddVBand="0" w:evenVBand="0" w:oddHBand="0" w:evenHBand="0" w:firstRowFirstColumn="0" w:firstRowLastColumn="0" w:lastRowFirstColumn="0" w:lastRowLastColumn="0"/>
            <w:tcW w:w="2369" w:type="pct"/>
            <w:vAlign w:val="bottom"/>
            <w:hideMark/>
          </w:tcPr>
          <w:p w:rsidR="00030F87" w:rsidRPr="00030F87" w:rsidRDefault="00030F87" w:rsidP="0093698F">
            <w:pPr>
              <w:keepNext/>
            </w:pPr>
            <w:r w:rsidRPr="00030F87">
              <w:t>IT capex</w:t>
            </w:r>
          </w:p>
        </w:tc>
        <w:tc>
          <w:tcPr>
            <w:tcW w:w="877" w:type="pct"/>
            <w:vAlign w:val="bottom"/>
          </w:tcPr>
          <w:p w:rsidR="00030F87" w:rsidRPr="00030F87" w:rsidRDefault="00030F87" w:rsidP="0093698F">
            <w:pPr>
              <w:keepNext/>
              <w:cnfStyle w:val="000000000000" w:firstRow="0" w:lastRow="0" w:firstColumn="0" w:lastColumn="0" w:oddVBand="0" w:evenVBand="0" w:oddHBand="0" w:evenHBand="0" w:firstRowFirstColumn="0" w:firstRowLastColumn="0" w:lastRowFirstColumn="0" w:lastRowLastColumn="0"/>
            </w:pPr>
            <w:r w:rsidRPr="00030F87">
              <w:t>57.0</w:t>
            </w:r>
          </w:p>
        </w:tc>
        <w:tc>
          <w:tcPr>
            <w:tcW w:w="877" w:type="pct"/>
            <w:vAlign w:val="bottom"/>
          </w:tcPr>
          <w:p w:rsidR="00030F87" w:rsidRPr="00030F87" w:rsidRDefault="00030F87" w:rsidP="0093698F">
            <w:pPr>
              <w:keepNext/>
              <w:cnfStyle w:val="000000000000" w:firstRow="0" w:lastRow="0" w:firstColumn="0" w:lastColumn="0" w:oddVBand="0" w:evenVBand="0" w:oddHBand="0" w:evenHBand="0" w:firstRowFirstColumn="0" w:firstRowLastColumn="0" w:lastRowFirstColumn="0" w:lastRowLastColumn="0"/>
            </w:pPr>
            <w:r w:rsidRPr="00030F87">
              <w:t>54.9</w:t>
            </w:r>
          </w:p>
        </w:tc>
        <w:tc>
          <w:tcPr>
            <w:tcW w:w="877" w:type="pct"/>
            <w:vAlign w:val="bottom"/>
          </w:tcPr>
          <w:p w:rsidR="00030F87" w:rsidRPr="00030F87" w:rsidRDefault="00030F87" w:rsidP="0093698F">
            <w:pPr>
              <w:keepNext/>
              <w:cnfStyle w:val="000000000000" w:firstRow="0" w:lastRow="0" w:firstColumn="0" w:lastColumn="0" w:oddVBand="0" w:evenVBand="0" w:oddHBand="0" w:evenHBand="0" w:firstRowFirstColumn="0" w:firstRowLastColumn="0" w:lastRowFirstColumn="0" w:lastRowLastColumn="0"/>
            </w:pPr>
            <w:r w:rsidRPr="00030F87">
              <w:t>-2.1</w:t>
            </w:r>
          </w:p>
        </w:tc>
      </w:tr>
      <w:tr w:rsidR="00030F87" w:rsidRPr="006D2B8B" w:rsidTr="004039E8">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369" w:type="pct"/>
            <w:vAlign w:val="bottom"/>
            <w:hideMark/>
          </w:tcPr>
          <w:p w:rsidR="00030F87" w:rsidRPr="00030F87" w:rsidRDefault="00030F87" w:rsidP="0093698F">
            <w:pPr>
              <w:keepNext/>
            </w:pPr>
            <w:r w:rsidRPr="00030F87">
              <w:t>Other</w:t>
            </w:r>
            <w:r w:rsidR="00F5617D">
              <w:t xml:space="preserve"> (incl. SCADA)</w:t>
            </w:r>
          </w:p>
        </w:tc>
        <w:tc>
          <w:tcPr>
            <w:tcW w:w="877" w:type="pct"/>
            <w:vAlign w:val="bottom"/>
          </w:tcPr>
          <w:p w:rsidR="00030F87" w:rsidRPr="00030F87" w:rsidRDefault="00F5617D" w:rsidP="00D14F2A">
            <w:pPr>
              <w:keepNext/>
              <w:cnfStyle w:val="000000010000" w:firstRow="0" w:lastRow="0" w:firstColumn="0" w:lastColumn="0" w:oddVBand="0" w:evenVBand="0" w:oddHBand="0" w:evenHBand="1" w:firstRowFirstColumn="0" w:firstRowLastColumn="0" w:lastRowFirstColumn="0" w:lastRowLastColumn="0"/>
            </w:pPr>
            <w:r>
              <w:t>34.0</w:t>
            </w:r>
          </w:p>
        </w:tc>
        <w:tc>
          <w:tcPr>
            <w:tcW w:w="877" w:type="pct"/>
            <w:vAlign w:val="bottom"/>
          </w:tcPr>
          <w:p w:rsidR="00030F87" w:rsidRPr="00030F87" w:rsidRDefault="00F5617D" w:rsidP="0093698F">
            <w:pPr>
              <w:keepNext/>
              <w:cnfStyle w:val="000000010000" w:firstRow="0" w:lastRow="0" w:firstColumn="0" w:lastColumn="0" w:oddVBand="0" w:evenVBand="0" w:oddHBand="0" w:evenHBand="1" w:firstRowFirstColumn="0" w:firstRowLastColumn="0" w:lastRowFirstColumn="0" w:lastRowLastColumn="0"/>
            </w:pPr>
            <w:r>
              <w:t>34.0</w:t>
            </w:r>
          </w:p>
        </w:tc>
        <w:tc>
          <w:tcPr>
            <w:tcW w:w="877" w:type="pct"/>
            <w:vAlign w:val="bottom"/>
          </w:tcPr>
          <w:p w:rsidR="00030F87" w:rsidRPr="00030F87" w:rsidRDefault="00030F87" w:rsidP="0093698F">
            <w:pPr>
              <w:keepNext/>
              <w:cnfStyle w:val="000000010000" w:firstRow="0" w:lastRow="0" w:firstColumn="0" w:lastColumn="0" w:oddVBand="0" w:evenVBand="0" w:oddHBand="0" w:evenHBand="1" w:firstRowFirstColumn="0" w:firstRowLastColumn="0" w:lastRowFirstColumn="0" w:lastRowLastColumn="0"/>
            </w:pPr>
            <w:r w:rsidRPr="00030F87">
              <w:t>0.0</w:t>
            </w:r>
          </w:p>
        </w:tc>
      </w:tr>
      <w:tr w:rsidR="004039E8" w:rsidRPr="006D2B8B" w:rsidTr="004039E8">
        <w:trPr>
          <w:trHeight w:val="450"/>
        </w:trPr>
        <w:tc>
          <w:tcPr>
            <w:cnfStyle w:val="001000000000" w:firstRow="0" w:lastRow="0" w:firstColumn="1" w:lastColumn="0" w:oddVBand="0" w:evenVBand="0" w:oddHBand="0" w:evenHBand="0" w:firstRowFirstColumn="0" w:firstRowLastColumn="0" w:lastRowFirstColumn="0" w:lastRowLastColumn="0"/>
            <w:tcW w:w="2369" w:type="pct"/>
            <w:vAlign w:val="bottom"/>
            <w:hideMark/>
          </w:tcPr>
          <w:p w:rsidR="004039E8" w:rsidRPr="004039E8" w:rsidRDefault="004039E8" w:rsidP="0093698F">
            <w:pPr>
              <w:keepNext/>
            </w:pPr>
            <w:r w:rsidRPr="004039E8">
              <w:t>Escalation</w:t>
            </w:r>
          </w:p>
        </w:tc>
        <w:tc>
          <w:tcPr>
            <w:tcW w:w="877" w:type="pct"/>
            <w:vAlign w:val="bottom"/>
          </w:tcPr>
          <w:p w:rsidR="004039E8" w:rsidRPr="004039E8" w:rsidRDefault="004039E8" w:rsidP="00D14F2A">
            <w:pPr>
              <w:keepNext/>
              <w:cnfStyle w:val="000000000000" w:firstRow="0" w:lastRow="0" w:firstColumn="0" w:lastColumn="0" w:oddVBand="0" w:evenVBand="0" w:oddHBand="0" w:evenHBand="0" w:firstRowFirstColumn="0" w:firstRowLastColumn="0" w:lastRowFirstColumn="0" w:lastRowLastColumn="0"/>
            </w:pPr>
            <w:r w:rsidRPr="004039E8">
              <w:t>10.</w:t>
            </w:r>
            <w:r w:rsidR="00D14F2A">
              <w:t>6</w:t>
            </w:r>
          </w:p>
        </w:tc>
        <w:tc>
          <w:tcPr>
            <w:tcW w:w="877" w:type="pct"/>
            <w:vAlign w:val="bottom"/>
          </w:tcPr>
          <w:p w:rsidR="004039E8" w:rsidRPr="004039E8" w:rsidRDefault="004039E8" w:rsidP="00D14F2A">
            <w:pPr>
              <w:keepNext/>
              <w:cnfStyle w:val="000000000000" w:firstRow="0" w:lastRow="0" w:firstColumn="0" w:lastColumn="0" w:oddVBand="0" w:evenVBand="0" w:oddHBand="0" w:evenHBand="0" w:firstRowFirstColumn="0" w:firstRowLastColumn="0" w:lastRowFirstColumn="0" w:lastRowLastColumn="0"/>
            </w:pPr>
            <w:r w:rsidRPr="004039E8">
              <w:t>10.</w:t>
            </w:r>
            <w:r w:rsidR="00D14F2A">
              <w:t>0</w:t>
            </w:r>
          </w:p>
        </w:tc>
        <w:tc>
          <w:tcPr>
            <w:tcW w:w="877" w:type="pct"/>
            <w:vAlign w:val="bottom"/>
          </w:tcPr>
          <w:p w:rsidR="004039E8" w:rsidRPr="004039E8" w:rsidRDefault="004039E8" w:rsidP="0093698F">
            <w:pPr>
              <w:keepNext/>
              <w:cnfStyle w:val="000000000000" w:firstRow="0" w:lastRow="0" w:firstColumn="0" w:lastColumn="0" w:oddVBand="0" w:evenVBand="0" w:oddHBand="0" w:evenHBand="0" w:firstRowFirstColumn="0" w:firstRowLastColumn="0" w:lastRowFirstColumn="0" w:lastRowLastColumn="0"/>
            </w:pPr>
            <w:r w:rsidRPr="004039E8">
              <w:t>-0.6</w:t>
            </w:r>
          </w:p>
        </w:tc>
      </w:tr>
      <w:tr w:rsidR="004039E8" w:rsidRPr="006D2B8B" w:rsidTr="004039E8">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369" w:type="pct"/>
            <w:vAlign w:val="bottom"/>
            <w:hideMark/>
          </w:tcPr>
          <w:p w:rsidR="004039E8" w:rsidRPr="004039E8" w:rsidRDefault="004039E8" w:rsidP="0093698F">
            <w:pPr>
              <w:keepNext/>
            </w:pPr>
            <w:r w:rsidRPr="004039E8">
              <w:t>Overheads</w:t>
            </w:r>
          </w:p>
        </w:tc>
        <w:tc>
          <w:tcPr>
            <w:tcW w:w="877" w:type="pct"/>
            <w:vAlign w:val="bottom"/>
          </w:tcPr>
          <w:p w:rsidR="004039E8" w:rsidRPr="004039E8" w:rsidRDefault="004039E8" w:rsidP="00D14F2A">
            <w:pPr>
              <w:keepNext/>
              <w:cnfStyle w:val="000000010000" w:firstRow="0" w:lastRow="0" w:firstColumn="0" w:lastColumn="0" w:oddVBand="0" w:evenVBand="0" w:oddHBand="0" w:evenHBand="1" w:firstRowFirstColumn="0" w:firstRowLastColumn="0" w:lastRowFirstColumn="0" w:lastRowLastColumn="0"/>
            </w:pPr>
            <w:r w:rsidRPr="004039E8">
              <w:t>34.</w:t>
            </w:r>
            <w:r w:rsidR="00F5617D">
              <w:t>6</w:t>
            </w:r>
          </w:p>
        </w:tc>
        <w:tc>
          <w:tcPr>
            <w:tcW w:w="877" w:type="pct"/>
            <w:vAlign w:val="bottom"/>
          </w:tcPr>
          <w:p w:rsidR="004039E8" w:rsidRPr="004039E8" w:rsidRDefault="004039E8" w:rsidP="00F5617D">
            <w:pPr>
              <w:keepNext/>
              <w:cnfStyle w:val="000000010000" w:firstRow="0" w:lastRow="0" w:firstColumn="0" w:lastColumn="0" w:oddVBand="0" w:evenVBand="0" w:oddHBand="0" w:evenHBand="1" w:firstRowFirstColumn="0" w:firstRowLastColumn="0" w:lastRowFirstColumn="0" w:lastRowLastColumn="0"/>
            </w:pPr>
            <w:r w:rsidRPr="004039E8">
              <w:t>34.</w:t>
            </w:r>
            <w:r w:rsidR="00F5617D">
              <w:t>6</w:t>
            </w:r>
          </w:p>
        </w:tc>
        <w:tc>
          <w:tcPr>
            <w:tcW w:w="877" w:type="pct"/>
            <w:vAlign w:val="bottom"/>
          </w:tcPr>
          <w:p w:rsidR="004039E8" w:rsidRPr="004039E8" w:rsidRDefault="004039E8" w:rsidP="0093698F">
            <w:pPr>
              <w:keepNext/>
              <w:cnfStyle w:val="000000010000" w:firstRow="0" w:lastRow="0" w:firstColumn="0" w:lastColumn="0" w:oddVBand="0" w:evenVBand="0" w:oddHBand="0" w:evenHBand="1" w:firstRowFirstColumn="0" w:firstRowLastColumn="0" w:lastRowFirstColumn="0" w:lastRowLastColumn="0"/>
            </w:pPr>
            <w:r w:rsidRPr="004039E8">
              <w:t>0.0</w:t>
            </w:r>
          </w:p>
        </w:tc>
      </w:tr>
      <w:tr w:rsidR="004039E8" w:rsidRPr="006D2B8B" w:rsidTr="004039E8">
        <w:trPr>
          <w:trHeight w:val="450"/>
        </w:trPr>
        <w:tc>
          <w:tcPr>
            <w:cnfStyle w:val="001000000000" w:firstRow="0" w:lastRow="0" w:firstColumn="1" w:lastColumn="0" w:oddVBand="0" w:evenVBand="0" w:oddHBand="0" w:evenHBand="0" w:firstRowFirstColumn="0" w:firstRowLastColumn="0" w:lastRowFirstColumn="0" w:lastRowLastColumn="0"/>
            <w:tcW w:w="2369" w:type="pct"/>
            <w:vAlign w:val="bottom"/>
            <w:hideMark/>
          </w:tcPr>
          <w:p w:rsidR="004039E8" w:rsidRPr="004039E8" w:rsidRDefault="004039E8" w:rsidP="0093698F">
            <w:pPr>
              <w:keepNext/>
            </w:pPr>
            <w:r w:rsidRPr="004039E8">
              <w:t>GROSS TOTAL CAPITAL EXPENDITURE</w:t>
            </w:r>
          </w:p>
        </w:tc>
        <w:tc>
          <w:tcPr>
            <w:tcW w:w="877" w:type="pct"/>
            <w:vAlign w:val="bottom"/>
          </w:tcPr>
          <w:p w:rsidR="004039E8" w:rsidRPr="004039E8" w:rsidRDefault="00D14F2A" w:rsidP="00F5617D">
            <w:pPr>
              <w:keepNext/>
              <w:cnfStyle w:val="000000000000" w:firstRow="0" w:lastRow="0" w:firstColumn="0" w:lastColumn="0" w:oddVBand="0" w:evenVBand="0" w:oddHBand="0" w:evenHBand="0" w:firstRowFirstColumn="0" w:firstRowLastColumn="0" w:lastRowFirstColumn="0" w:lastRowLastColumn="0"/>
            </w:pPr>
            <w:r>
              <w:t>50</w:t>
            </w:r>
            <w:r w:rsidR="00F5617D">
              <w:t>8.4</w:t>
            </w:r>
          </w:p>
        </w:tc>
        <w:tc>
          <w:tcPr>
            <w:tcW w:w="877" w:type="pct"/>
            <w:vAlign w:val="bottom"/>
          </w:tcPr>
          <w:p w:rsidR="004039E8" w:rsidRPr="004039E8" w:rsidRDefault="00D14F2A" w:rsidP="00F5617D">
            <w:pPr>
              <w:keepNext/>
              <w:cnfStyle w:val="000000000000" w:firstRow="0" w:lastRow="0" w:firstColumn="0" w:lastColumn="0" w:oddVBand="0" w:evenVBand="0" w:oddHBand="0" w:evenHBand="0" w:firstRowFirstColumn="0" w:firstRowLastColumn="0" w:lastRowFirstColumn="0" w:lastRowLastColumn="0"/>
            </w:pPr>
            <w:r>
              <w:t>480.</w:t>
            </w:r>
            <w:r w:rsidR="00F5617D">
              <w:t>8</w:t>
            </w:r>
          </w:p>
        </w:tc>
        <w:tc>
          <w:tcPr>
            <w:tcW w:w="877" w:type="pct"/>
            <w:vAlign w:val="bottom"/>
          </w:tcPr>
          <w:p w:rsidR="004039E8" w:rsidRPr="004039E8" w:rsidRDefault="004039E8" w:rsidP="0093698F">
            <w:pPr>
              <w:keepNext/>
              <w:cnfStyle w:val="000000000000" w:firstRow="0" w:lastRow="0" w:firstColumn="0" w:lastColumn="0" w:oddVBand="0" w:evenVBand="0" w:oddHBand="0" w:evenHBand="0" w:firstRowFirstColumn="0" w:firstRowLastColumn="0" w:lastRowFirstColumn="0" w:lastRowLastColumn="0"/>
            </w:pPr>
            <w:r w:rsidRPr="004039E8">
              <w:t>-27.6</w:t>
            </w:r>
          </w:p>
        </w:tc>
      </w:tr>
      <w:tr w:rsidR="004039E8" w:rsidRPr="006D2B8B" w:rsidTr="004039E8">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369" w:type="pct"/>
            <w:vAlign w:val="bottom"/>
            <w:hideMark/>
          </w:tcPr>
          <w:p w:rsidR="004039E8" w:rsidRPr="004039E8" w:rsidRDefault="004039E8" w:rsidP="0093698F">
            <w:pPr>
              <w:keepNext/>
            </w:pPr>
            <w:r w:rsidRPr="004039E8">
              <w:t>Customer contributions</w:t>
            </w:r>
          </w:p>
        </w:tc>
        <w:tc>
          <w:tcPr>
            <w:tcW w:w="877" w:type="pct"/>
            <w:vAlign w:val="bottom"/>
          </w:tcPr>
          <w:p w:rsidR="004039E8" w:rsidRPr="004039E8" w:rsidRDefault="00D14F2A" w:rsidP="0093698F">
            <w:pPr>
              <w:keepNext/>
              <w:cnfStyle w:val="000000010000" w:firstRow="0" w:lastRow="0" w:firstColumn="0" w:lastColumn="0" w:oddVBand="0" w:evenVBand="0" w:oddHBand="0" w:evenHBand="1" w:firstRowFirstColumn="0" w:firstRowLastColumn="0" w:lastRowFirstColumn="0" w:lastRowLastColumn="0"/>
            </w:pPr>
            <w:r>
              <w:t>20.</w:t>
            </w:r>
            <w:r w:rsidR="00F5617D">
              <w:t>7</w:t>
            </w:r>
          </w:p>
        </w:tc>
        <w:tc>
          <w:tcPr>
            <w:tcW w:w="877" w:type="pct"/>
            <w:vAlign w:val="bottom"/>
          </w:tcPr>
          <w:p w:rsidR="004039E8" w:rsidRPr="004039E8" w:rsidRDefault="00D14F2A" w:rsidP="0093698F">
            <w:pPr>
              <w:keepNext/>
              <w:cnfStyle w:val="000000010000" w:firstRow="0" w:lastRow="0" w:firstColumn="0" w:lastColumn="0" w:oddVBand="0" w:evenVBand="0" w:oddHBand="0" w:evenHBand="1" w:firstRowFirstColumn="0" w:firstRowLastColumn="0" w:lastRowFirstColumn="0" w:lastRowLastColumn="0"/>
            </w:pPr>
            <w:r>
              <w:t>20.8</w:t>
            </w:r>
          </w:p>
        </w:tc>
        <w:tc>
          <w:tcPr>
            <w:tcW w:w="877" w:type="pct"/>
            <w:vAlign w:val="bottom"/>
          </w:tcPr>
          <w:p w:rsidR="004039E8" w:rsidRPr="004039E8" w:rsidRDefault="00D14F2A" w:rsidP="00F5617D">
            <w:pPr>
              <w:keepNext/>
              <w:cnfStyle w:val="000000010000" w:firstRow="0" w:lastRow="0" w:firstColumn="0" w:lastColumn="0" w:oddVBand="0" w:evenVBand="0" w:oddHBand="0" w:evenHBand="1" w:firstRowFirstColumn="0" w:firstRowLastColumn="0" w:lastRowFirstColumn="0" w:lastRowLastColumn="0"/>
            </w:pPr>
            <w:r>
              <w:t>0.</w:t>
            </w:r>
            <w:r w:rsidR="00F5617D">
              <w:t>1</w:t>
            </w:r>
          </w:p>
        </w:tc>
      </w:tr>
      <w:tr w:rsidR="004039E8" w:rsidRPr="006D2B8B" w:rsidTr="004039E8">
        <w:trPr>
          <w:trHeight w:val="450"/>
        </w:trPr>
        <w:tc>
          <w:tcPr>
            <w:cnfStyle w:val="001000000000" w:firstRow="0" w:lastRow="0" w:firstColumn="1" w:lastColumn="0" w:oddVBand="0" w:evenVBand="0" w:oddHBand="0" w:evenHBand="0" w:firstRowFirstColumn="0" w:firstRowLastColumn="0" w:lastRowFirstColumn="0" w:lastRowLastColumn="0"/>
            <w:tcW w:w="2369" w:type="pct"/>
            <w:vAlign w:val="bottom"/>
            <w:hideMark/>
          </w:tcPr>
          <w:p w:rsidR="004039E8" w:rsidRPr="004039E8" w:rsidRDefault="004039E8" w:rsidP="0093698F">
            <w:pPr>
              <w:keepNext/>
            </w:pPr>
            <w:r w:rsidRPr="004039E8">
              <w:t>NET TOTAL CAPITAL EXPENDITURE</w:t>
            </w:r>
          </w:p>
        </w:tc>
        <w:tc>
          <w:tcPr>
            <w:tcW w:w="877" w:type="pct"/>
            <w:vAlign w:val="bottom"/>
          </w:tcPr>
          <w:p w:rsidR="004039E8" w:rsidRPr="004039E8" w:rsidRDefault="004039E8" w:rsidP="00D14F2A">
            <w:pPr>
              <w:keepNext/>
              <w:cnfStyle w:val="000000000000" w:firstRow="0" w:lastRow="0" w:firstColumn="0" w:lastColumn="0" w:oddVBand="0" w:evenVBand="0" w:oddHBand="0" w:evenHBand="0" w:firstRowFirstColumn="0" w:firstRowLastColumn="0" w:lastRowFirstColumn="0" w:lastRowLastColumn="0"/>
            </w:pPr>
            <w:r w:rsidRPr="004039E8">
              <w:t>487.</w:t>
            </w:r>
            <w:r w:rsidR="00F5617D">
              <w:t>7</w:t>
            </w:r>
          </w:p>
        </w:tc>
        <w:tc>
          <w:tcPr>
            <w:tcW w:w="877" w:type="pct"/>
            <w:vAlign w:val="bottom"/>
          </w:tcPr>
          <w:p w:rsidR="004039E8" w:rsidRPr="004039E8" w:rsidRDefault="004039E8" w:rsidP="00F5617D">
            <w:pPr>
              <w:keepNext/>
              <w:cnfStyle w:val="000000000000" w:firstRow="0" w:lastRow="0" w:firstColumn="0" w:lastColumn="0" w:oddVBand="0" w:evenVBand="0" w:oddHBand="0" w:evenHBand="0" w:firstRowFirstColumn="0" w:firstRowLastColumn="0" w:lastRowFirstColumn="0" w:lastRowLastColumn="0"/>
            </w:pPr>
            <w:r w:rsidRPr="004039E8">
              <w:t>4</w:t>
            </w:r>
            <w:r w:rsidR="00F5617D">
              <w:t>60.0</w:t>
            </w:r>
          </w:p>
        </w:tc>
        <w:tc>
          <w:tcPr>
            <w:tcW w:w="877" w:type="pct"/>
            <w:vAlign w:val="bottom"/>
          </w:tcPr>
          <w:p w:rsidR="004039E8" w:rsidRPr="004039E8" w:rsidRDefault="004039E8" w:rsidP="00F5617D">
            <w:pPr>
              <w:keepNext/>
              <w:cnfStyle w:val="000000000000" w:firstRow="0" w:lastRow="0" w:firstColumn="0" w:lastColumn="0" w:oddVBand="0" w:evenVBand="0" w:oddHBand="0" w:evenHBand="0" w:firstRowFirstColumn="0" w:firstRowLastColumn="0" w:lastRowFirstColumn="0" w:lastRowLastColumn="0"/>
            </w:pPr>
            <w:r w:rsidRPr="004039E8">
              <w:t>-27.</w:t>
            </w:r>
            <w:r w:rsidR="00F5617D">
              <w:t>7</w:t>
            </w:r>
          </w:p>
        </w:tc>
      </w:tr>
    </w:tbl>
    <w:p w:rsidR="007D2992" w:rsidRPr="007D2992" w:rsidRDefault="004039E8" w:rsidP="0093698F">
      <w:pPr>
        <w:pStyle w:val="AERtablesource"/>
        <w:keepNext/>
      </w:pPr>
      <w:r>
        <w:t xml:space="preserve">Source: </w:t>
      </w:r>
      <w:r w:rsidR="000E61C3">
        <w:tab/>
      </w:r>
      <w:r>
        <w:t>AusNet's capex model; AER analysis</w:t>
      </w:r>
      <w:r w:rsidR="0067088F">
        <w:t>.</w:t>
      </w:r>
    </w:p>
    <w:p w:rsidR="00BE78FB" w:rsidRDefault="00BE78FB" w:rsidP="00BE78FB">
      <w:pPr>
        <w:pStyle w:val="Heading2"/>
      </w:pPr>
      <w:bookmarkStart w:id="149" w:name="_Toc483488987"/>
      <w:bookmarkStart w:id="150" w:name="_Ref483314672"/>
      <w:bookmarkStart w:id="151" w:name="_Toc487017925"/>
      <w:bookmarkEnd w:id="149"/>
      <w:r>
        <w:t>Operating expenditure (opex)</w:t>
      </w:r>
      <w:bookmarkEnd w:id="150"/>
      <w:bookmarkEnd w:id="151"/>
    </w:p>
    <w:p w:rsidR="00851049" w:rsidRPr="00AE792F" w:rsidRDefault="00851049" w:rsidP="00851049">
      <w:r w:rsidRPr="00AE792F">
        <w:t xml:space="preserve">Operating expenditure (opex) is the operating, maintenance and other non-capital expenses incurred in the </w:t>
      </w:r>
      <w:r w:rsidRPr="00AE792F">
        <w:rPr>
          <w:rStyle w:val="AERbody"/>
        </w:rPr>
        <w:t>provision</w:t>
      </w:r>
      <w:r w:rsidRPr="00AE792F">
        <w:t xml:space="preserve"> of reference services for a pipeline. Forecast opex is one of the building blocks we use to determine a service provider's total revenue requirement.</w:t>
      </w:r>
    </w:p>
    <w:p w:rsidR="00903C1C" w:rsidRPr="00ED08EA" w:rsidRDefault="00903C1C" w:rsidP="00903C1C">
      <w:r>
        <w:t>AusNet proposed an</w:t>
      </w:r>
      <w:r w:rsidRPr="00ED08EA">
        <w:t xml:space="preserve"> opex forecast of $</w:t>
      </w:r>
      <w:r w:rsidR="00362FDD">
        <w:t>304.8</w:t>
      </w:r>
      <w:r w:rsidRPr="00ED08EA">
        <w:t xml:space="preserve"> million ($</w:t>
      </w:r>
      <w:r>
        <w:t>2017) over the 2018</w:t>
      </w:r>
      <w:r w:rsidRPr="00ED08EA">
        <w:t>–22 access arrangement period</w:t>
      </w:r>
      <w:r w:rsidR="002E1F53">
        <w:t>—</w:t>
      </w:r>
      <w:r>
        <w:t xml:space="preserve">an increase of </w:t>
      </w:r>
      <w:r w:rsidR="008F120B">
        <w:t>17.5</w:t>
      </w:r>
      <w:r>
        <w:t xml:space="preserve"> per cent from the current period</w:t>
      </w:r>
      <w:r w:rsidRPr="00ED08EA">
        <w:t>.</w:t>
      </w:r>
      <w:r>
        <w:rPr>
          <w:rStyle w:val="FootnoteReference"/>
        </w:rPr>
        <w:footnoteReference w:id="49"/>
      </w:r>
      <w:r w:rsidR="002E1F53">
        <w:t xml:space="preserve"> </w:t>
      </w:r>
      <w:r>
        <w:t xml:space="preserve">Our draft decision </w:t>
      </w:r>
      <w:r w:rsidR="00F44E67">
        <w:t>does</w:t>
      </w:r>
      <w:r>
        <w:t xml:space="preserve"> </w:t>
      </w:r>
      <w:r w:rsidR="002E1F53">
        <w:t>not accept</w:t>
      </w:r>
      <w:r>
        <w:t xml:space="preserve"> this forecast and substitute</w:t>
      </w:r>
      <w:r w:rsidR="00634E44">
        <w:t>s</w:t>
      </w:r>
      <w:r>
        <w:t xml:space="preserve"> a lower forecast of $</w:t>
      </w:r>
      <w:r w:rsidR="00362FDD">
        <w:t>268.7</w:t>
      </w:r>
      <w:r w:rsidR="002E1F53">
        <w:t> </w:t>
      </w:r>
      <w:r>
        <w:t>million ($2017).</w:t>
      </w:r>
      <w:r>
        <w:rPr>
          <w:rStyle w:val="FootnoteReference"/>
        </w:rPr>
        <w:footnoteReference w:id="50"/>
      </w:r>
      <w:r>
        <w:t xml:space="preserve"> This is a reduction of </w:t>
      </w:r>
      <w:r w:rsidR="00362FDD">
        <w:t>11.</w:t>
      </w:r>
      <w:r w:rsidR="004B43D1">
        <w:t>9</w:t>
      </w:r>
      <w:r>
        <w:t xml:space="preserve"> per cent from AusNet</w:t>
      </w:r>
      <w:r w:rsidR="00F44E67">
        <w:t>'s</w:t>
      </w:r>
      <w:r>
        <w:t xml:space="preserve"> proposal, and </w:t>
      </w:r>
      <w:r w:rsidR="002A0438">
        <w:t xml:space="preserve">allows forecast opex </w:t>
      </w:r>
      <w:r w:rsidR="008F120B">
        <w:t>3.6</w:t>
      </w:r>
      <w:r>
        <w:t xml:space="preserve"> per cent </w:t>
      </w:r>
      <w:r w:rsidR="001729CB">
        <w:t xml:space="preserve">higher than </w:t>
      </w:r>
      <w:r>
        <w:t>AusNet</w:t>
      </w:r>
      <w:r w:rsidR="00F44E67">
        <w:t>'s</w:t>
      </w:r>
      <w:r>
        <w:t xml:space="preserve"> current period </w:t>
      </w:r>
      <w:r w:rsidR="007A5CAB">
        <w:t>opex</w:t>
      </w:r>
      <w:r>
        <w:t>.</w:t>
      </w:r>
    </w:p>
    <w:p w:rsidR="00851049" w:rsidRDefault="00851049" w:rsidP="00851049">
      <w:r>
        <w:fldChar w:fldCharType="begin"/>
      </w:r>
      <w:r>
        <w:instrText xml:space="preserve"> REF _Ref481761624 \h </w:instrText>
      </w:r>
      <w:r>
        <w:fldChar w:fldCharType="separate"/>
      </w:r>
      <w:r w:rsidR="00EE5745">
        <w:t xml:space="preserve">Table </w:t>
      </w:r>
      <w:r w:rsidR="00EE5745">
        <w:rPr>
          <w:noProof/>
        </w:rPr>
        <w:t>5</w:t>
      </w:r>
      <w:r w:rsidR="00EE5745">
        <w:noBreakHyphen/>
      </w:r>
      <w:r w:rsidR="00EE5745">
        <w:rPr>
          <w:noProof/>
        </w:rPr>
        <w:t>8</w:t>
      </w:r>
      <w:r>
        <w:fldChar w:fldCharType="end"/>
      </w:r>
      <w:r w:rsidR="0001670D">
        <w:t xml:space="preserve"> compares our draft decision to AusNet</w:t>
      </w:r>
      <w:r w:rsidR="00F44E67">
        <w:t>'s</w:t>
      </w:r>
      <w:r w:rsidR="0001670D">
        <w:t xml:space="preserve"> proposal</w:t>
      </w:r>
      <w:r w:rsidRPr="00ED08EA">
        <w:t>.</w:t>
      </w:r>
    </w:p>
    <w:p w:rsidR="00851049" w:rsidRDefault="00851049" w:rsidP="0093698F">
      <w:pPr>
        <w:pStyle w:val="Caption"/>
      </w:pPr>
      <w:bookmarkStart w:id="152" w:name="_Ref481761624"/>
      <w:r>
        <w:t xml:space="preserve">Table </w:t>
      </w:r>
      <w:fldSimple w:instr=" STYLEREF 1 \s ">
        <w:r w:rsidR="00EE5745">
          <w:rPr>
            <w:noProof/>
          </w:rPr>
          <w:t>5</w:t>
        </w:r>
      </w:fldSimple>
      <w:r w:rsidR="00391B74">
        <w:noBreakHyphen/>
      </w:r>
      <w:fldSimple w:instr=" SEQ Table \* ARABIC \s 1 ">
        <w:r w:rsidR="00EE5745">
          <w:rPr>
            <w:noProof/>
          </w:rPr>
          <w:t>8</w:t>
        </w:r>
      </w:fldSimple>
      <w:bookmarkEnd w:id="152"/>
      <w:r>
        <w:tab/>
      </w:r>
      <w:proofErr w:type="gramStart"/>
      <w:r>
        <w:t>Our</w:t>
      </w:r>
      <w:proofErr w:type="gramEnd"/>
      <w:r>
        <w:t xml:space="preserve"> draft decision on total opex ($million, 20</w:t>
      </w:r>
      <w:r w:rsidRPr="00ED08EA">
        <w:t>17)</w:t>
      </w:r>
    </w:p>
    <w:tbl>
      <w:tblPr>
        <w:tblStyle w:val="AERtable-numbers"/>
        <w:tblW w:w="0" w:type="auto"/>
        <w:tblLook w:val="04A0" w:firstRow="1" w:lastRow="0" w:firstColumn="1" w:lastColumn="0" w:noHBand="0" w:noVBand="1"/>
      </w:tblPr>
      <w:tblGrid>
        <w:gridCol w:w="2469"/>
        <w:gridCol w:w="1037"/>
        <w:gridCol w:w="1037"/>
        <w:gridCol w:w="1038"/>
        <w:gridCol w:w="1037"/>
        <w:gridCol w:w="1037"/>
        <w:gridCol w:w="1038"/>
      </w:tblGrid>
      <w:tr w:rsidR="00851049" w:rsidTr="001F62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9" w:type="dxa"/>
          </w:tcPr>
          <w:p w:rsidR="00851049" w:rsidRDefault="00851049" w:rsidP="0093698F">
            <w:pPr>
              <w:keepNext/>
            </w:pPr>
          </w:p>
        </w:tc>
        <w:tc>
          <w:tcPr>
            <w:tcW w:w="1037" w:type="dxa"/>
          </w:tcPr>
          <w:p w:rsidR="00851049" w:rsidRPr="00851049" w:rsidRDefault="00851049" w:rsidP="0093698F">
            <w:pPr>
              <w:keepNext/>
              <w:cnfStyle w:val="100000000000" w:firstRow="1" w:lastRow="0" w:firstColumn="0" w:lastColumn="0" w:oddVBand="0" w:evenVBand="0" w:oddHBand="0" w:evenHBand="0" w:firstRowFirstColumn="0" w:firstRowLastColumn="0" w:lastRowFirstColumn="0" w:lastRowLastColumn="0"/>
            </w:pPr>
            <w:r>
              <w:t>2018</w:t>
            </w:r>
          </w:p>
        </w:tc>
        <w:tc>
          <w:tcPr>
            <w:tcW w:w="1037" w:type="dxa"/>
          </w:tcPr>
          <w:p w:rsidR="00851049" w:rsidRPr="00851049" w:rsidRDefault="00851049" w:rsidP="0093698F">
            <w:pPr>
              <w:keepNext/>
              <w:cnfStyle w:val="100000000000" w:firstRow="1" w:lastRow="0" w:firstColumn="0" w:lastColumn="0" w:oddVBand="0" w:evenVBand="0" w:oddHBand="0" w:evenHBand="0" w:firstRowFirstColumn="0" w:firstRowLastColumn="0" w:lastRowFirstColumn="0" w:lastRowLastColumn="0"/>
            </w:pPr>
            <w:r>
              <w:t>2019</w:t>
            </w:r>
          </w:p>
        </w:tc>
        <w:tc>
          <w:tcPr>
            <w:tcW w:w="1038" w:type="dxa"/>
          </w:tcPr>
          <w:p w:rsidR="00851049" w:rsidRPr="00851049" w:rsidRDefault="00851049" w:rsidP="0093698F">
            <w:pPr>
              <w:keepNext/>
              <w:cnfStyle w:val="100000000000" w:firstRow="1" w:lastRow="0" w:firstColumn="0" w:lastColumn="0" w:oddVBand="0" w:evenVBand="0" w:oddHBand="0" w:evenHBand="0" w:firstRowFirstColumn="0" w:firstRowLastColumn="0" w:lastRowFirstColumn="0" w:lastRowLastColumn="0"/>
            </w:pPr>
            <w:r>
              <w:t>2020</w:t>
            </w:r>
          </w:p>
        </w:tc>
        <w:tc>
          <w:tcPr>
            <w:tcW w:w="1037" w:type="dxa"/>
          </w:tcPr>
          <w:p w:rsidR="00851049" w:rsidRPr="00851049" w:rsidRDefault="00851049" w:rsidP="0093698F">
            <w:pPr>
              <w:keepNext/>
              <w:cnfStyle w:val="100000000000" w:firstRow="1" w:lastRow="0" w:firstColumn="0" w:lastColumn="0" w:oddVBand="0" w:evenVBand="0" w:oddHBand="0" w:evenHBand="0" w:firstRowFirstColumn="0" w:firstRowLastColumn="0" w:lastRowFirstColumn="0" w:lastRowLastColumn="0"/>
            </w:pPr>
            <w:r>
              <w:t>2021</w:t>
            </w:r>
          </w:p>
        </w:tc>
        <w:tc>
          <w:tcPr>
            <w:tcW w:w="1037" w:type="dxa"/>
          </w:tcPr>
          <w:p w:rsidR="00851049" w:rsidRPr="00851049" w:rsidRDefault="00851049" w:rsidP="0093698F">
            <w:pPr>
              <w:keepNext/>
              <w:cnfStyle w:val="100000000000" w:firstRow="1" w:lastRow="0" w:firstColumn="0" w:lastColumn="0" w:oddVBand="0" w:evenVBand="0" w:oddHBand="0" w:evenHBand="0" w:firstRowFirstColumn="0" w:firstRowLastColumn="0" w:lastRowFirstColumn="0" w:lastRowLastColumn="0"/>
            </w:pPr>
            <w:r>
              <w:t>2022</w:t>
            </w:r>
          </w:p>
        </w:tc>
        <w:tc>
          <w:tcPr>
            <w:tcW w:w="1038" w:type="dxa"/>
          </w:tcPr>
          <w:p w:rsidR="00851049" w:rsidRPr="00851049" w:rsidRDefault="00851049" w:rsidP="0093698F">
            <w:pPr>
              <w:keepNext/>
              <w:cnfStyle w:val="100000000000" w:firstRow="1" w:lastRow="0" w:firstColumn="0" w:lastColumn="0" w:oddVBand="0" w:evenVBand="0" w:oddHBand="0" w:evenHBand="0" w:firstRowFirstColumn="0" w:firstRowLastColumn="0" w:lastRowFirstColumn="0" w:lastRowLastColumn="0"/>
            </w:pPr>
            <w:r>
              <w:t>Total</w:t>
            </w:r>
          </w:p>
        </w:tc>
      </w:tr>
      <w:tr w:rsidR="00586278" w:rsidTr="001F6233">
        <w:tc>
          <w:tcPr>
            <w:cnfStyle w:val="001000000000" w:firstRow="0" w:lastRow="0" w:firstColumn="1" w:lastColumn="0" w:oddVBand="0" w:evenVBand="0" w:oddHBand="0" w:evenHBand="0" w:firstRowFirstColumn="0" w:firstRowLastColumn="0" w:lastRowFirstColumn="0" w:lastRowLastColumn="0"/>
            <w:tcW w:w="2469" w:type="dxa"/>
          </w:tcPr>
          <w:p w:rsidR="00586278" w:rsidRPr="00586278" w:rsidRDefault="00586278" w:rsidP="00586278">
            <w:r>
              <w:t>A</w:t>
            </w:r>
            <w:r w:rsidRPr="00586278">
              <w:t>usNet's proposal</w:t>
            </w:r>
          </w:p>
        </w:tc>
        <w:tc>
          <w:tcPr>
            <w:tcW w:w="1037" w:type="dxa"/>
          </w:tcPr>
          <w:p w:rsidR="00586278" w:rsidRPr="00586278" w:rsidRDefault="00586278" w:rsidP="00586278">
            <w:pPr>
              <w:cnfStyle w:val="000000000000" w:firstRow="0" w:lastRow="0" w:firstColumn="0" w:lastColumn="0" w:oddVBand="0" w:evenVBand="0" w:oddHBand="0" w:evenHBand="0" w:firstRowFirstColumn="0" w:firstRowLastColumn="0" w:lastRowFirstColumn="0" w:lastRowLastColumn="0"/>
            </w:pPr>
            <w:r>
              <w:t>58.4</w:t>
            </w:r>
          </w:p>
        </w:tc>
        <w:tc>
          <w:tcPr>
            <w:tcW w:w="1037" w:type="dxa"/>
          </w:tcPr>
          <w:p w:rsidR="00586278" w:rsidRPr="00586278" w:rsidRDefault="00586278" w:rsidP="00586278">
            <w:pPr>
              <w:cnfStyle w:val="000000000000" w:firstRow="0" w:lastRow="0" w:firstColumn="0" w:lastColumn="0" w:oddVBand="0" w:evenVBand="0" w:oddHBand="0" w:evenHBand="0" w:firstRowFirstColumn="0" w:firstRowLastColumn="0" w:lastRowFirstColumn="0" w:lastRowLastColumn="0"/>
            </w:pPr>
            <w:r>
              <w:t>59.6</w:t>
            </w:r>
          </w:p>
        </w:tc>
        <w:tc>
          <w:tcPr>
            <w:tcW w:w="1038" w:type="dxa"/>
          </w:tcPr>
          <w:p w:rsidR="00586278" w:rsidRPr="00586278" w:rsidRDefault="00586278" w:rsidP="00586278">
            <w:pPr>
              <w:cnfStyle w:val="000000000000" w:firstRow="0" w:lastRow="0" w:firstColumn="0" w:lastColumn="0" w:oddVBand="0" w:evenVBand="0" w:oddHBand="0" w:evenHBand="0" w:firstRowFirstColumn="0" w:firstRowLastColumn="0" w:lastRowFirstColumn="0" w:lastRowLastColumn="0"/>
            </w:pPr>
            <w:r>
              <w:t>60.8</w:t>
            </w:r>
          </w:p>
        </w:tc>
        <w:tc>
          <w:tcPr>
            <w:tcW w:w="1037" w:type="dxa"/>
          </w:tcPr>
          <w:p w:rsidR="00586278" w:rsidRPr="00586278" w:rsidRDefault="00586278" w:rsidP="00586278">
            <w:pPr>
              <w:cnfStyle w:val="000000000000" w:firstRow="0" w:lastRow="0" w:firstColumn="0" w:lastColumn="0" w:oddVBand="0" w:evenVBand="0" w:oddHBand="0" w:evenHBand="0" w:firstRowFirstColumn="0" w:firstRowLastColumn="0" w:lastRowFirstColumn="0" w:lastRowLastColumn="0"/>
            </w:pPr>
            <w:r>
              <w:t>62.6</w:t>
            </w:r>
          </w:p>
        </w:tc>
        <w:tc>
          <w:tcPr>
            <w:tcW w:w="1037" w:type="dxa"/>
          </w:tcPr>
          <w:p w:rsidR="00586278" w:rsidRPr="00586278" w:rsidRDefault="00586278" w:rsidP="00586278">
            <w:pPr>
              <w:cnfStyle w:val="000000000000" w:firstRow="0" w:lastRow="0" w:firstColumn="0" w:lastColumn="0" w:oddVBand="0" w:evenVBand="0" w:oddHBand="0" w:evenHBand="0" w:firstRowFirstColumn="0" w:firstRowLastColumn="0" w:lastRowFirstColumn="0" w:lastRowLastColumn="0"/>
            </w:pPr>
            <w:r>
              <w:t>63.4</w:t>
            </w:r>
          </w:p>
        </w:tc>
        <w:tc>
          <w:tcPr>
            <w:tcW w:w="1038" w:type="dxa"/>
          </w:tcPr>
          <w:p w:rsidR="00586278" w:rsidRPr="00586278" w:rsidRDefault="00586278" w:rsidP="00586278">
            <w:pPr>
              <w:cnfStyle w:val="000000000000" w:firstRow="0" w:lastRow="0" w:firstColumn="0" w:lastColumn="0" w:oddVBand="0" w:evenVBand="0" w:oddHBand="0" w:evenHBand="0" w:firstRowFirstColumn="0" w:firstRowLastColumn="0" w:lastRowFirstColumn="0" w:lastRowLastColumn="0"/>
            </w:pPr>
            <w:r>
              <w:t>304.</w:t>
            </w:r>
            <w:r w:rsidRPr="00586278">
              <w:t>8</w:t>
            </w:r>
          </w:p>
        </w:tc>
      </w:tr>
      <w:tr w:rsidR="00586278" w:rsidTr="002424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9" w:type="dxa"/>
          </w:tcPr>
          <w:p w:rsidR="00586278" w:rsidRPr="00586278" w:rsidRDefault="00586278" w:rsidP="00586278">
            <w:r>
              <w:t>AER draft decision</w:t>
            </w:r>
          </w:p>
        </w:tc>
        <w:tc>
          <w:tcPr>
            <w:tcW w:w="1037" w:type="dxa"/>
            <w:vAlign w:val="top"/>
          </w:tcPr>
          <w:p w:rsidR="00586278" w:rsidRPr="00586278" w:rsidRDefault="00586278" w:rsidP="00586278">
            <w:pPr>
              <w:cnfStyle w:val="000000010000" w:firstRow="0" w:lastRow="0" w:firstColumn="0" w:lastColumn="0" w:oddVBand="0" w:evenVBand="0" w:oddHBand="0" w:evenHBand="1" w:firstRowFirstColumn="0" w:firstRowLastColumn="0" w:lastRowFirstColumn="0" w:lastRowLastColumn="0"/>
            </w:pPr>
            <w:r w:rsidRPr="00B02A4F">
              <w:t>51.8</w:t>
            </w:r>
          </w:p>
        </w:tc>
        <w:tc>
          <w:tcPr>
            <w:tcW w:w="1037" w:type="dxa"/>
            <w:vAlign w:val="top"/>
          </w:tcPr>
          <w:p w:rsidR="00586278" w:rsidRPr="00586278" w:rsidRDefault="00586278" w:rsidP="00586278">
            <w:pPr>
              <w:cnfStyle w:val="000000010000" w:firstRow="0" w:lastRow="0" w:firstColumn="0" w:lastColumn="0" w:oddVBand="0" w:evenVBand="0" w:oddHBand="0" w:evenHBand="1" w:firstRowFirstColumn="0" w:firstRowLastColumn="0" w:lastRowFirstColumn="0" w:lastRowLastColumn="0"/>
            </w:pPr>
            <w:r w:rsidRPr="00B02A4F">
              <w:t>52.7</w:t>
            </w:r>
          </w:p>
        </w:tc>
        <w:tc>
          <w:tcPr>
            <w:tcW w:w="1038" w:type="dxa"/>
            <w:vAlign w:val="top"/>
          </w:tcPr>
          <w:p w:rsidR="00586278" w:rsidRPr="00586278" w:rsidRDefault="00586278" w:rsidP="00586278">
            <w:pPr>
              <w:cnfStyle w:val="000000010000" w:firstRow="0" w:lastRow="0" w:firstColumn="0" w:lastColumn="0" w:oddVBand="0" w:evenVBand="0" w:oddHBand="0" w:evenHBand="1" w:firstRowFirstColumn="0" w:firstRowLastColumn="0" w:lastRowFirstColumn="0" w:lastRowLastColumn="0"/>
            </w:pPr>
            <w:r w:rsidRPr="00B02A4F">
              <w:t>53.7</w:t>
            </w:r>
          </w:p>
        </w:tc>
        <w:tc>
          <w:tcPr>
            <w:tcW w:w="1037" w:type="dxa"/>
            <w:vAlign w:val="top"/>
          </w:tcPr>
          <w:p w:rsidR="00586278" w:rsidRPr="00586278" w:rsidRDefault="00586278" w:rsidP="00586278">
            <w:pPr>
              <w:cnfStyle w:val="000000010000" w:firstRow="0" w:lastRow="0" w:firstColumn="0" w:lastColumn="0" w:oddVBand="0" w:evenVBand="0" w:oddHBand="0" w:evenHBand="1" w:firstRowFirstColumn="0" w:firstRowLastColumn="0" w:lastRowFirstColumn="0" w:lastRowLastColumn="0"/>
            </w:pPr>
            <w:r w:rsidRPr="00B02A4F">
              <w:t>54.</w:t>
            </w:r>
            <w:r w:rsidRPr="00586278">
              <w:t>7</w:t>
            </w:r>
          </w:p>
        </w:tc>
        <w:tc>
          <w:tcPr>
            <w:tcW w:w="1037" w:type="dxa"/>
            <w:vAlign w:val="top"/>
          </w:tcPr>
          <w:p w:rsidR="00586278" w:rsidRPr="00586278" w:rsidRDefault="00586278" w:rsidP="00586278">
            <w:pPr>
              <w:cnfStyle w:val="000000010000" w:firstRow="0" w:lastRow="0" w:firstColumn="0" w:lastColumn="0" w:oddVBand="0" w:evenVBand="0" w:oddHBand="0" w:evenHBand="1" w:firstRowFirstColumn="0" w:firstRowLastColumn="0" w:lastRowFirstColumn="0" w:lastRowLastColumn="0"/>
            </w:pPr>
            <w:r w:rsidRPr="00B02A4F">
              <w:t>55.</w:t>
            </w:r>
            <w:r w:rsidRPr="00586278">
              <w:t>6</w:t>
            </w:r>
          </w:p>
        </w:tc>
        <w:tc>
          <w:tcPr>
            <w:tcW w:w="1038" w:type="dxa"/>
            <w:vAlign w:val="top"/>
          </w:tcPr>
          <w:p w:rsidR="00586278" w:rsidRPr="00586278" w:rsidRDefault="00586278" w:rsidP="00586278">
            <w:pPr>
              <w:cnfStyle w:val="000000010000" w:firstRow="0" w:lastRow="0" w:firstColumn="0" w:lastColumn="0" w:oddVBand="0" w:evenVBand="0" w:oddHBand="0" w:evenHBand="1" w:firstRowFirstColumn="0" w:firstRowLastColumn="0" w:lastRowFirstColumn="0" w:lastRowLastColumn="0"/>
            </w:pPr>
            <w:r w:rsidRPr="00B02A4F">
              <w:t>268.</w:t>
            </w:r>
            <w:r w:rsidRPr="00586278">
              <w:t>6</w:t>
            </w:r>
          </w:p>
        </w:tc>
      </w:tr>
      <w:tr w:rsidR="00586278" w:rsidTr="002424DF">
        <w:tc>
          <w:tcPr>
            <w:cnfStyle w:val="001000000000" w:firstRow="0" w:lastRow="0" w:firstColumn="1" w:lastColumn="0" w:oddVBand="0" w:evenVBand="0" w:oddHBand="0" w:evenHBand="0" w:firstRowFirstColumn="0" w:firstRowLastColumn="0" w:lastRowFirstColumn="0" w:lastRowLastColumn="0"/>
            <w:tcW w:w="2469" w:type="dxa"/>
          </w:tcPr>
          <w:p w:rsidR="00586278" w:rsidRPr="00586278" w:rsidRDefault="00586278" w:rsidP="00586278">
            <w:r>
              <w:t>Difference</w:t>
            </w:r>
          </w:p>
        </w:tc>
        <w:tc>
          <w:tcPr>
            <w:tcW w:w="1037" w:type="dxa"/>
            <w:vAlign w:val="top"/>
          </w:tcPr>
          <w:p w:rsidR="00586278" w:rsidRPr="00586278" w:rsidRDefault="00586278" w:rsidP="0058627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Pr="00586278">
              <w:rPr>
                <w:rStyle w:val="Strong"/>
              </w:rPr>
              <w:t>6.6</w:t>
            </w:r>
          </w:p>
        </w:tc>
        <w:tc>
          <w:tcPr>
            <w:tcW w:w="1037" w:type="dxa"/>
            <w:vAlign w:val="top"/>
          </w:tcPr>
          <w:p w:rsidR="00586278" w:rsidRPr="00586278" w:rsidRDefault="00586278" w:rsidP="0058627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Pr="00586278">
              <w:rPr>
                <w:rStyle w:val="Strong"/>
              </w:rPr>
              <w:t>6.8</w:t>
            </w:r>
          </w:p>
        </w:tc>
        <w:tc>
          <w:tcPr>
            <w:tcW w:w="1038" w:type="dxa"/>
            <w:vAlign w:val="top"/>
          </w:tcPr>
          <w:p w:rsidR="00586278" w:rsidRPr="00586278" w:rsidRDefault="00586278" w:rsidP="0058627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Pr="00586278">
              <w:rPr>
                <w:rStyle w:val="Strong"/>
              </w:rPr>
              <w:t>7.1</w:t>
            </w:r>
          </w:p>
        </w:tc>
        <w:tc>
          <w:tcPr>
            <w:tcW w:w="1037" w:type="dxa"/>
            <w:vAlign w:val="top"/>
          </w:tcPr>
          <w:p w:rsidR="00586278" w:rsidRPr="00586278" w:rsidRDefault="00586278" w:rsidP="0058627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Pr="00586278">
              <w:rPr>
                <w:rStyle w:val="Strong"/>
              </w:rPr>
              <w:t>7.8</w:t>
            </w:r>
          </w:p>
        </w:tc>
        <w:tc>
          <w:tcPr>
            <w:tcW w:w="1037" w:type="dxa"/>
            <w:vAlign w:val="top"/>
          </w:tcPr>
          <w:p w:rsidR="00586278" w:rsidRPr="00586278" w:rsidRDefault="00586278" w:rsidP="0058627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Pr="00586278">
              <w:rPr>
                <w:rStyle w:val="Strong"/>
              </w:rPr>
              <w:t>7.8</w:t>
            </w:r>
          </w:p>
        </w:tc>
        <w:tc>
          <w:tcPr>
            <w:tcW w:w="1038" w:type="dxa"/>
            <w:vAlign w:val="top"/>
          </w:tcPr>
          <w:p w:rsidR="00586278" w:rsidRPr="00586278" w:rsidRDefault="00586278" w:rsidP="0058627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Pr="00586278">
              <w:rPr>
                <w:rStyle w:val="Strong"/>
              </w:rPr>
              <w:t>36.2</w:t>
            </w:r>
          </w:p>
        </w:tc>
      </w:tr>
    </w:tbl>
    <w:p w:rsidR="00851049" w:rsidRPr="00B82F5E" w:rsidRDefault="00851049" w:rsidP="0093698F">
      <w:pPr>
        <w:pStyle w:val="AERtablesource"/>
        <w:keepNext/>
      </w:pPr>
      <w:r w:rsidRPr="00B82F5E">
        <w:t xml:space="preserve">Source: </w:t>
      </w:r>
      <w:r w:rsidR="000E61C3">
        <w:tab/>
      </w:r>
      <w:r w:rsidRPr="00B82F5E">
        <w:t>AusNet</w:t>
      </w:r>
      <w:r w:rsidR="000E61C3">
        <w:t xml:space="preserve"> Services, </w:t>
      </w:r>
      <w:r w:rsidR="000E61C3" w:rsidRPr="000E61C3">
        <w:rPr>
          <w:rStyle w:val="AERtextitalic"/>
        </w:rPr>
        <w:t>Distribution gas access arrangement proposal post tax revenue model (PTRM)</w:t>
      </w:r>
      <w:r w:rsidRPr="000E61C3">
        <w:rPr>
          <w:rStyle w:val="AERtextitalic"/>
        </w:rPr>
        <w:t>,</w:t>
      </w:r>
      <w:r w:rsidRPr="00B82F5E">
        <w:t xml:space="preserve"> 16 December 2016; AER analysis.</w:t>
      </w:r>
    </w:p>
    <w:p w:rsidR="00851049" w:rsidRPr="00B82F5E" w:rsidRDefault="00851049" w:rsidP="0093698F">
      <w:pPr>
        <w:pStyle w:val="AERtablesource"/>
        <w:keepNext/>
      </w:pPr>
      <w:r w:rsidRPr="00B82F5E">
        <w:t xml:space="preserve">Note: </w:t>
      </w:r>
      <w:r w:rsidR="000E61C3">
        <w:tab/>
      </w:r>
      <w:r w:rsidRPr="00B82F5E">
        <w:t>Includes debt raising costs.</w:t>
      </w:r>
    </w:p>
    <w:p w:rsidR="00BF6A50" w:rsidRDefault="00BF6A50" w:rsidP="00BF6A50">
      <w:r>
        <w:t>T</w:t>
      </w:r>
      <w:r w:rsidRPr="00271376">
        <w:t>he key difference</w:t>
      </w:r>
      <w:r>
        <w:t>s</w:t>
      </w:r>
      <w:r w:rsidRPr="00271376">
        <w:t xml:space="preserve"> between our </w:t>
      </w:r>
      <w:r w:rsidR="0001670D">
        <w:t>draft decision</w:t>
      </w:r>
      <w:r w:rsidR="0001670D" w:rsidRPr="00271376">
        <w:t xml:space="preserve"> </w:t>
      </w:r>
      <w:r w:rsidRPr="00271376">
        <w:t xml:space="preserve">and </w:t>
      </w:r>
      <w:r>
        <w:t>AusNet's</w:t>
      </w:r>
      <w:r w:rsidRPr="00271376">
        <w:t xml:space="preserve"> proposal </w:t>
      </w:r>
      <w:r>
        <w:t>are</w:t>
      </w:r>
      <w:r w:rsidR="007A5CAB">
        <w:t xml:space="preserve"> that</w:t>
      </w:r>
      <w:r>
        <w:t>:</w:t>
      </w:r>
    </w:p>
    <w:p w:rsidR="00BF6A50" w:rsidRPr="00232F50" w:rsidRDefault="00BF6A50" w:rsidP="00BF6A50">
      <w:pPr>
        <w:pStyle w:val="AERbulletlistfirststyle"/>
      </w:pPr>
      <w:proofErr w:type="gramStart"/>
      <w:r>
        <w:t>we</w:t>
      </w:r>
      <w:proofErr w:type="gramEnd"/>
      <w:r>
        <w:t xml:space="preserve"> corrected AusNet's proposed base year to adjust</w:t>
      </w:r>
      <w:r w:rsidRPr="005004A2">
        <w:t xml:space="preserve"> </w:t>
      </w:r>
      <w:r w:rsidR="00056A9F" w:rsidRPr="005004A2">
        <w:t>for movement</w:t>
      </w:r>
      <w:r w:rsidRPr="005004A2">
        <w:t xml:space="preserve"> in provisions and </w:t>
      </w:r>
      <w:r w:rsidR="0001670D">
        <w:t>unaccounted for gas</w:t>
      </w:r>
      <w:r w:rsidR="0001670D" w:rsidRPr="005004A2">
        <w:t xml:space="preserve"> </w:t>
      </w:r>
      <w:r w:rsidRPr="005004A2">
        <w:t xml:space="preserve">payments </w:t>
      </w:r>
      <w:r>
        <w:t>(–</w:t>
      </w:r>
      <w:r w:rsidRPr="00232F50">
        <w:t>$</w:t>
      </w:r>
      <w:r>
        <w:t>11.7</w:t>
      </w:r>
      <w:r w:rsidRPr="00232F50">
        <w:t xml:space="preserve"> million)</w:t>
      </w:r>
      <w:r w:rsidR="00647820">
        <w:t>.</w:t>
      </w:r>
      <w:r w:rsidRPr="00232F50">
        <w:t xml:space="preserve"> </w:t>
      </w:r>
    </w:p>
    <w:p w:rsidR="000F2900" w:rsidRDefault="00BF6A50" w:rsidP="00EF1FAE">
      <w:pPr>
        <w:pStyle w:val="AERbulletlistfirststyle"/>
      </w:pPr>
      <w:proofErr w:type="gramStart"/>
      <w:r>
        <w:t>we</w:t>
      </w:r>
      <w:proofErr w:type="gramEnd"/>
      <w:r>
        <w:t xml:space="preserve"> did not </w:t>
      </w:r>
      <w:r w:rsidRPr="00232F50">
        <w:t xml:space="preserve">include </w:t>
      </w:r>
      <w:r>
        <w:t>AusNet's</w:t>
      </w:r>
      <w:r w:rsidRPr="00232F50">
        <w:t xml:space="preserve"> </w:t>
      </w:r>
      <w:r>
        <w:t xml:space="preserve">proposed </w:t>
      </w:r>
      <w:r w:rsidRPr="00232F50">
        <w:t>step change</w:t>
      </w:r>
      <w:r>
        <w:t>s (–</w:t>
      </w:r>
      <w:r w:rsidRPr="00232F50">
        <w:t>$</w:t>
      </w:r>
      <w:r>
        <w:t>22.3</w:t>
      </w:r>
      <w:r w:rsidRPr="00232F50">
        <w:t xml:space="preserve"> million)</w:t>
      </w:r>
      <w:r>
        <w:t xml:space="preserve">, </w:t>
      </w:r>
      <w:r w:rsidR="007A5CAB">
        <w:t xml:space="preserve">the largest </w:t>
      </w:r>
      <w:r>
        <w:t xml:space="preserve">of which </w:t>
      </w:r>
      <w:r w:rsidR="007A5CAB">
        <w:t>was</w:t>
      </w:r>
      <w:r>
        <w:t xml:space="preserve"> for marketing</w:t>
      </w:r>
      <w:r w:rsidR="00B82F5E">
        <w:t>. AusNet's proposed marketing step change of $21.8 million was the key driver of its proposed increase in opex from the current period.</w:t>
      </w:r>
      <w:r w:rsidR="002E1F53">
        <w:t xml:space="preserve"> </w:t>
      </w:r>
      <w:r w:rsidR="000F2900">
        <w:t xml:space="preserve">We consider marketing is a 'business-as-usual' expense for AusNet to prioritise within its existing base opex forecast, if it is prudent and efficient to do so in the current operating environment. </w:t>
      </w:r>
    </w:p>
    <w:p w:rsidR="00BF6A50" w:rsidRDefault="00BF6A50" w:rsidP="00EF1FAE">
      <w:pPr>
        <w:pStyle w:val="AERbulletlistfirststyle"/>
      </w:pPr>
      <w:proofErr w:type="gramStart"/>
      <w:r>
        <w:t>we</w:t>
      </w:r>
      <w:proofErr w:type="gramEnd"/>
      <w:r>
        <w:t xml:space="preserve"> included a lower rate of change (–$9.8 million)</w:t>
      </w:r>
      <w:r w:rsidR="003278D4">
        <w:t xml:space="preserve">. </w:t>
      </w:r>
      <w:r w:rsidR="00EF1FAE" w:rsidRPr="00EF1FAE">
        <w:t xml:space="preserve">Our forecast of total gas throughput takes into account large industrial throughput, which AusNet excluded from its calculation. </w:t>
      </w:r>
    </w:p>
    <w:p w:rsidR="00BF6A50" w:rsidRDefault="00F633B6" w:rsidP="00BF6A50">
      <w:pPr>
        <w:pStyle w:val="AERbulletlistfirststyle"/>
      </w:pPr>
      <w:proofErr w:type="gramStart"/>
      <w:r>
        <w:t>we</w:t>
      </w:r>
      <w:proofErr w:type="gramEnd"/>
      <w:r>
        <w:t xml:space="preserve"> did not apply the rate of change to the base year; rather we forecast 2017 opex to reflect the difference in the allowance</w:t>
      </w:r>
      <w:r>
        <w:rPr>
          <w:rStyle w:val="FootnoteReference"/>
        </w:rPr>
        <w:footnoteReference w:id="51"/>
      </w:r>
      <w:r>
        <w:t xml:space="preserve"> between 2015 and 2017 ($7.6 million).</w:t>
      </w:r>
    </w:p>
    <w:p w:rsidR="00851049" w:rsidRPr="00285945" w:rsidRDefault="00851049" w:rsidP="00851049">
      <w:r>
        <w:fldChar w:fldCharType="begin"/>
      </w:r>
      <w:r>
        <w:instrText xml:space="preserve"> REF _Ref481761661 \h </w:instrText>
      </w:r>
      <w:r>
        <w:fldChar w:fldCharType="separate"/>
      </w:r>
      <w:r w:rsidR="00EE5745">
        <w:t xml:space="preserve">Figure </w:t>
      </w:r>
      <w:r w:rsidR="00EE5745">
        <w:rPr>
          <w:noProof/>
        </w:rPr>
        <w:t>5</w:t>
      </w:r>
      <w:r w:rsidR="00EE5745">
        <w:noBreakHyphen/>
      </w:r>
      <w:r w:rsidR="00EE5745">
        <w:rPr>
          <w:noProof/>
        </w:rPr>
        <w:t>3</w:t>
      </w:r>
      <w:r>
        <w:fldChar w:fldCharType="end"/>
      </w:r>
      <w:r>
        <w:t xml:space="preserve"> shows our draft decision and AusNet</w:t>
      </w:r>
      <w:r w:rsidR="00BF6A50">
        <w:t>'</w:t>
      </w:r>
      <w:r>
        <w:t>s proposal in the context of its past allowances and actual expenditure.</w:t>
      </w:r>
    </w:p>
    <w:p w:rsidR="00851049" w:rsidRPr="00717324" w:rsidRDefault="00851049" w:rsidP="00851049">
      <w:pPr>
        <w:pStyle w:val="Caption"/>
      </w:pPr>
      <w:bookmarkStart w:id="153" w:name="_Ref481761661"/>
      <w:r>
        <w:t xml:space="preserve">Figure </w:t>
      </w:r>
      <w:fldSimple w:instr=" STYLEREF 1 \s ">
        <w:r w:rsidR="00EE5745">
          <w:rPr>
            <w:noProof/>
          </w:rPr>
          <w:t>5</w:t>
        </w:r>
      </w:fldSimple>
      <w:r w:rsidR="002B4532">
        <w:noBreakHyphen/>
      </w:r>
      <w:fldSimple w:instr=" SEQ Figure \* ARABIC \s 1 ">
        <w:r w:rsidR="00EE5745">
          <w:rPr>
            <w:noProof/>
          </w:rPr>
          <w:t>3</w:t>
        </w:r>
      </w:fldSimple>
      <w:bookmarkEnd w:id="153"/>
      <w:r>
        <w:tab/>
      </w:r>
      <w:proofErr w:type="gramStart"/>
      <w:r>
        <w:t>Our</w:t>
      </w:r>
      <w:proofErr w:type="gramEnd"/>
      <w:r>
        <w:t xml:space="preserve"> draft decision compared to AusNet</w:t>
      </w:r>
      <w:r w:rsidR="00BF6A50">
        <w:t>'s</w:t>
      </w:r>
      <w:r>
        <w:t xml:space="preserve"> past and proposed opex ($ million, 2017)</w:t>
      </w:r>
    </w:p>
    <w:p w:rsidR="00851049" w:rsidRDefault="00637B49" w:rsidP="00851049">
      <w:pPr>
        <w:pStyle w:val="AERtablesource"/>
      </w:pPr>
      <w:r w:rsidRPr="00637B49">
        <w:rPr>
          <w:noProof/>
          <w:lang w:eastAsia="en-AU"/>
        </w:rPr>
        <w:drawing>
          <wp:inline distT="0" distB="0" distL="0" distR="0" wp14:anchorId="433862AC" wp14:editId="652E4350">
            <wp:extent cx="5382895" cy="3696773"/>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82895" cy="3696773"/>
                    </a:xfrm>
                    <a:prstGeom prst="rect">
                      <a:avLst/>
                    </a:prstGeom>
                    <a:noFill/>
                    <a:ln>
                      <a:noFill/>
                    </a:ln>
                  </pic:spPr>
                </pic:pic>
              </a:graphicData>
            </a:graphic>
          </wp:inline>
        </w:drawing>
      </w:r>
    </w:p>
    <w:p w:rsidR="00851049" w:rsidRDefault="00851049" w:rsidP="00851049">
      <w:pPr>
        <w:pStyle w:val="AERtablesource"/>
      </w:pPr>
      <w:r>
        <w:t xml:space="preserve">Source: </w:t>
      </w:r>
      <w:r w:rsidR="009822BD">
        <w:tab/>
      </w:r>
      <w:r>
        <w:t xml:space="preserve">AusNet Services, </w:t>
      </w:r>
      <w:r w:rsidR="009822BD">
        <w:rPr>
          <w:rStyle w:val="AERtextitalic"/>
        </w:rPr>
        <w:t>Gas access arrangement review 2018–22 regulatory templates</w:t>
      </w:r>
      <w:r>
        <w:t xml:space="preserve">, 16 December 2016; AER analysis. </w:t>
      </w:r>
    </w:p>
    <w:p w:rsidR="00851049" w:rsidRPr="00C57E0B" w:rsidRDefault="00851049" w:rsidP="00851049">
      <w:pPr>
        <w:pStyle w:val="AERtablesource"/>
      </w:pPr>
      <w:r w:rsidRPr="00C57E0B">
        <w:t xml:space="preserve">Note: </w:t>
      </w:r>
      <w:r w:rsidR="009822BD">
        <w:tab/>
      </w:r>
      <w:r w:rsidRPr="00C57E0B">
        <w:t>Includes debt raising costs.</w:t>
      </w:r>
      <w:r w:rsidR="008C35B4">
        <w:t xml:space="preserve"> Excludes movements in provisions and unaccounted for gas.</w:t>
      </w:r>
    </w:p>
    <w:p w:rsidR="00BE78FB" w:rsidRDefault="00BE78FB" w:rsidP="00BE78FB">
      <w:pPr>
        <w:pStyle w:val="Heading2"/>
      </w:pPr>
      <w:bookmarkStart w:id="154" w:name="_Toc487017926"/>
      <w:r>
        <w:t>Efficiency carryover mechanism</w:t>
      </w:r>
      <w:bookmarkEnd w:id="154"/>
    </w:p>
    <w:p w:rsidR="00DF404D" w:rsidRPr="0082272C" w:rsidRDefault="00DF404D" w:rsidP="00DF404D">
      <w:pPr>
        <w:rPr>
          <w:rStyle w:val="AERbody"/>
        </w:rPr>
      </w:pPr>
      <w:r>
        <w:rPr>
          <w:rStyle w:val="AERbody"/>
        </w:rPr>
        <w:t>The opex</w:t>
      </w:r>
      <w:r w:rsidRPr="0082272C">
        <w:rPr>
          <w:rStyle w:val="AERbody"/>
        </w:rPr>
        <w:t xml:space="preserve"> efficiency carryover mechanism </w:t>
      </w:r>
      <w:r>
        <w:rPr>
          <w:rStyle w:val="AERbody"/>
        </w:rPr>
        <w:t xml:space="preserve">in AusNet's access arrangement </w:t>
      </w:r>
      <w:r w:rsidRPr="0082272C">
        <w:rPr>
          <w:rStyle w:val="AERbody"/>
        </w:rPr>
        <w:t xml:space="preserve">provides an additional incentive for </w:t>
      </w:r>
      <w:r>
        <w:rPr>
          <w:rStyle w:val="AERbody"/>
        </w:rPr>
        <w:t>AusNet</w:t>
      </w:r>
      <w:r w:rsidRPr="0082272C">
        <w:rPr>
          <w:rStyle w:val="AERbody"/>
        </w:rPr>
        <w:t xml:space="preserve"> to pursue efficiency improvements in </w:t>
      </w:r>
      <w:r>
        <w:rPr>
          <w:rStyle w:val="AERbody"/>
        </w:rPr>
        <w:t>its opex over an access arrangement period</w:t>
      </w:r>
      <w:r w:rsidRPr="0082272C">
        <w:rPr>
          <w:rStyle w:val="AERbody"/>
        </w:rPr>
        <w:t xml:space="preserve">.  </w:t>
      </w:r>
    </w:p>
    <w:p w:rsidR="00B82F5E" w:rsidRDefault="00B82F5E" w:rsidP="00B82F5E">
      <w:r>
        <w:rPr>
          <w:rStyle w:val="AERbody"/>
        </w:rPr>
        <w:t xml:space="preserve">Our draft decision is to </w:t>
      </w:r>
      <w:r w:rsidRPr="0060237E">
        <w:rPr>
          <w:rStyle w:val="AERbody"/>
        </w:rPr>
        <w:t>appro</w:t>
      </w:r>
      <w:r>
        <w:rPr>
          <w:rStyle w:val="AERbody"/>
        </w:rPr>
        <w:t xml:space="preserve">ve a positive carryover amount of </w:t>
      </w:r>
      <w:r w:rsidRPr="0060237E">
        <w:rPr>
          <w:rStyle w:val="AERbody"/>
        </w:rPr>
        <w:t>$</w:t>
      </w:r>
      <w:r w:rsidR="005F7A41">
        <w:t>8</w:t>
      </w:r>
      <w:r w:rsidR="00E431C0">
        <w:t>.6</w:t>
      </w:r>
      <w:r>
        <w:rPr>
          <w:rStyle w:val="AERbody"/>
        </w:rPr>
        <w:t xml:space="preserve"> million ($2017</w:t>
      </w:r>
      <w:r w:rsidRPr="0060237E">
        <w:rPr>
          <w:rStyle w:val="AERbody"/>
        </w:rPr>
        <w:t>) from the app</w:t>
      </w:r>
      <w:r>
        <w:rPr>
          <w:rStyle w:val="AERbody"/>
        </w:rPr>
        <w:t>lication of the efficiency carryover mechanism in the 2013–17</w:t>
      </w:r>
      <w:r w:rsidRPr="0060237E">
        <w:rPr>
          <w:rStyle w:val="AERbody"/>
        </w:rPr>
        <w:t xml:space="preserve"> </w:t>
      </w:r>
      <w:r>
        <w:rPr>
          <w:rStyle w:val="AERbody"/>
        </w:rPr>
        <w:t>access arrangement</w:t>
      </w:r>
      <w:r w:rsidRPr="0060237E">
        <w:rPr>
          <w:rStyle w:val="AERbody"/>
        </w:rPr>
        <w:t xml:space="preserve"> </w:t>
      </w:r>
      <w:proofErr w:type="gramStart"/>
      <w:r w:rsidRPr="0060237E">
        <w:rPr>
          <w:rStyle w:val="AERbody"/>
        </w:rPr>
        <w:t>period</w:t>
      </w:r>
      <w:proofErr w:type="gramEnd"/>
      <w:r w:rsidRPr="0060237E">
        <w:rPr>
          <w:rStyle w:val="AERbody"/>
        </w:rPr>
        <w:t xml:space="preserve">. </w:t>
      </w:r>
      <w:r w:rsidRPr="00883854">
        <w:rPr>
          <w:rStyle w:val="AERbody"/>
        </w:rPr>
        <w:t>This is $</w:t>
      </w:r>
      <w:r w:rsidR="005F7A41">
        <w:rPr>
          <w:rStyle w:val="AERbody"/>
        </w:rPr>
        <w:t>2</w:t>
      </w:r>
      <w:r w:rsidR="00E431C0">
        <w:rPr>
          <w:rStyle w:val="AERbody"/>
        </w:rPr>
        <w:t>.7</w:t>
      </w:r>
      <w:r>
        <w:rPr>
          <w:rStyle w:val="AERbody"/>
        </w:rPr>
        <w:t xml:space="preserve"> million ($20</w:t>
      </w:r>
      <w:r w:rsidRPr="00883854">
        <w:rPr>
          <w:rStyle w:val="AERbody"/>
        </w:rPr>
        <w:t xml:space="preserve">17) </w:t>
      </w:r>
      <w:r>
        <w:rPr>
          <w:rStyle w:val="AERbody"/>
        </w:rPr>
        <w:t>more</w:t>
      </w:r>
      <w:r w:rsidRPr="00883854">
        <w:rPr>
          <w:rStyle w:val="AERbody"/>
        </w:rPr>
        <w:t xml:space="preserve"> than </w:t>
      </w:r>
      <w:r w:rsidR="00E431C0">
        <w:rPr>
          <w:rStyle w:val="AERbody"/>
        </w:rPr>
        <w:t xml:space="preserve">AusNet's </w:t>
      </w:r>
      <w:r w:rsidRPr="00883854">
        <w:rPr>
          <w:rStyle w:val="AERbody"/>
        </w:rPr>
        <w:t xml:space="preserve">proposal. The primary reason for this difference is that </w:t>
      </w:r>
      <w:r w:rsidR="00E431C0">
        <w:rPr>
          <w:rStyle w:val="AERbody"/>
        </w:rPr>
        <w:t>AusNet</w:t>
      </w:r>
      <w:r>
        <w:rPr>
          <w:rStyle w:val="AERbody"/>
        </w:rPr>
        <w:t>'</w:t>
      </w:r>
      <w:r w:rsidR="00E431C0">
        <w:rPr>
          <w:rStyle w:val="AERbody"/>
        </w:rPr>
        <w:t>s</w:t>
      </w:r>
      <w:r w:rsidRPr="00883854">
        <w:rPr>
          <w:rStyle w:val="AERbody"/>
        </w:rPr>
        <w:t xml:space="preserve"> </w:t>
      </w:r>
      <w:r w:rsidR="00112C7A">
        <w:rPr>
          <w:rStyle w:val="AERbody"/>
        </w:rPr>
        <w:t xml:space="preserve">proposal used </w:t>
      </w:r>
      <w:r w:rsidR="00634E44">
        <w:rPr>
          <w:rStyle w:val="AERbody"/>
        </w:rPr>
        <w:t xml:space="preserve">a </w:t>
      </w:r>
      <w:r w:rsidR="00112C7A">
        <w:rPr>
          <w:rStyle w:val="AERbody"/>
        </w:rPr>
        <w:t>different base year to calculate its opex forecast (2015</w:t>
      </w:r>
      <w:r w:rsidR="001B4FAA">
        <w:rPr>
          <w:rStyle w:val="AERbody"/>
        </w:rPr>
        <w:t xml:space="preserve">) </w:t>
      </w:r>
      <w:r w:rsidR="00634E44">
        <w:rPr>
          <w:rStyle w:val="AERbody"/>
        </w:rPr>
        <w:t>to the base year it used to calculate its</w:t>
      </w:r>
      <w:r w:rsidR="00112C7A">
        <w:rPr>
          <w:rStyle w:val="AERbody"/>
        </w:rPr>
        <w:t xml:space="preserve"> benefits under </w:t>
      </w:r>
      <w:r>
        <w:rPr>
          <w:rStyle w:val="AERbody"/>
        </w:rPr>
        <w:t>the efficiency carryover mechanism (20</w:t>
      </w:r>
      <w:r w:rsidRPr="00883854">
        <w:rPr>
          <w:rStyle w:val="AERbody"/>
        </w:rPr>
        <w:t>16).</w:t>
      </w:r>
      <w:r>
        <w:t xml:space="preserve"> </w:t>
      </w:r>
      <w:r w:rsidR="00112C7A">
        <w:t>Our draft decision uses 201</w:t>
      </w:r>
      <w:r w:rsidR="00E431C0">
        <w:t>5</w:t>
      </w:r>
      <w:r w:rsidR="00112C7A">
        <w:t xml:space="preserve"> as the base year for both calculations</w:t>
      </w:r>
      <w:r w:rsidR="001B4FAA">
        <w:t xml:space="preserve"> so that our decision is internally consistent</w:t>
      </w:r>
      <w:r w:rsidR="00112C7A">
        <w:t>.</w:t>
      </w:r>
    </w:p>
    <w:p w:rsidR="00DF404D" w:rsidRPr="004664BA" w:rsidRDefault="00DF404D" w:rsidP="00DF404D">
      <w:r>
        <w:t xml:space="preserve"> </w:t>
      </w:r>
      <w:r>
        <w:fldChar w:fldCharType="begin"/>
      </w:r>
      <w:r>
        <w:instrText xml:space="preserve"> REF _Ref482693669 \h </w:instrText>
      </w:r>
      <w:r>
        <w:fldChar w:fldCharType="separate"/>
      </w:r>
      <w:r w:rsidR="00EE5745">
        <w:t xml:space="preserve">Table </w:t>
      </w:r>
      <w:r w:rsidR="00EE5745">
        <w:rPr>
          <w:noProof/>
        </w:rPr>
        <w:t>5</w:t>
      </w:r>
      <w:r w:rsidR="00EE5745">
        <w:noBreakHyphen/>
      </w:r>
      <w:r w:rsidR="00EE5745">
        <w:rPr>
          <w:noProof/>
        </w:rPr>
        <w:t>9</w:t>
      </w:r>
      <w:r>
        <w:fldChar w:fldCharType="end"/>
      </w:r>
      <w:r w:rsidRPr="004664BA">
        <w:t xml:space="preserve"> shows our draft decision on </w:t>
      </w:r>
      <w:r w:rsidR="00D04762">
        <w:t>AusNet's</w:t>
      </w:r>
      <w:r w:rsidR="00D04762" w:rsidRPr="004664BA">
        <w:t xml:space="preserve"> </w:t>
      </w:r>
      <w:r w:rsidRPr="004664BA">
        <w:t>proposed carryover amounts.</w:t>
      </w:r>
    </w:p>
    <w:p w:rsidR="00DF404D" w:rsidRPr="004664BA" w:rsidRDefault="00DF404D" w:rsidP="0093698F">
      <w:pPr>
        <w:pStyle w:val="Caption"/>
      </w:pPr>
      <w:bookmarkStart w:id="155" w:name="_Ref482693642"/>
      <w:bookmarkStart w:id="156" w:name="_Ref482693669"/>
      <w:r>
        <w:t>Table</w:t>
      </w:r>
      <w:bookmarkEnd w:id="155"/>
      <w:r>
        <w:t xml:space="preserve"> </w:t>
      </w:r>
      <w:fldSimple w:instr=" STYLEREF 1 \s ">
        <w:r w:rsidR="00EE5745">
          <w:rPr>
            <w:noProof/>
          </w:rPr>
          <w:t>5</w:t>
        </w:r>
      </w:fldSimple>
      <w:r w:rsidR="00391B74">
        <w:noBreakHyphen/>
      </w:r>
      <w:fldSimple w:instr=" SEQ Table \* ARABIC \s 1 ">
        <w:r w:rsidR="00EE5745">
          <w:rPr>
            <w:noProof/>
          </w:rPr>
          <w:t>9</w:t>
        </w:r>
      </w:fldSimple>
      <w:bookmarkEnd w:id="156"/>
      <w:r>
        <w:tab/>
      </w:r>
      <w:r w:rsidRPr="004664BA">
        <w:t>AER draft decision on carryover amounts ($million, $201</w:t>
      </w:r>
      <w:r>
        <w:t>7</w:t>
      </w:r>
      <w:r w:rsidRPr="004664BA">
        <w:t>)</w:t>
      </w:r>
    </w:p>
    <w:tbl>
      <w:tblPr>
        <w:tblStyle w:val="AERtable-numbers"/>
        <w:tblW w:w="0" w:type="auto"/>
        <w:tblLook w:val="04A0" w:firstRow="1" w:lastRow="0" w:firstColumn="1" w:lastColumn="0" w:noHBand="0" w:noVBand="1"/>
      </w:tblPr>
      <w:tblGrid>
        <w:gridCol w:w="2943"/>
        <w:gridCol w:w="958"/>
        <w:gridCol w:w="958"/>
        <w:gridCol w:w="959"/>
        <w:gridCol w:w="958"/>
        <w:gridCol w:w="958"/>
        <w:gridCol w:w="959"/>
      </w:tblGrid>
      <w:tr w:rsidR="00B82F5E" w:rsidTr="00E43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B82F5E" w:rsidRDefault="00B82F5E" w:rsidP="0093698F">
            <w:pPr>
              <w:keepNext/>
            </w:pPr>
          </w:p>
        </w:tc>
        <w:tc>
          <w:tcPr>
            <w:tcW w:w="958" w:type="dxa"/>
          </w:tcPr>
          <w:p w:rsidR="00B82F5E" w:rsidRPr="00B82F5E" w:rsidRDefault="00B82F5E" w:rsidP="0093698F">
            <w:pPr>
              <w:keepNext/>
              <w:cnfStyle w:val="100000000000" w:firstRow="1" w:lastRow="0" w:firstColumn="0" w:lastColumn="0" w:oddVBand="0" w:evenVBand="0" w:oddHBand="0" w:evenHBand="0" w:firstRowFirstColumn="0" w:firstRowLastColumn="0" w:lastRowFirstColumn="0" w:lastRowLastColumn="0"/>
            </w:pPr>
            <w:r>
              <w:t>2018</w:t>
            </w:r>
          </w:p>
        </w:tc>
        <w:tc>
          <w:tcPr>
            <w:tcW w:w="958" w:type="dxa"/>
          </w:tcPr>
          <w:p w:rsidR="00B82F5E" w:rsidRPr="00B82F5E" w:rsidRDefault="00B82F5E" w:rsidP="0093698F">
            <w:pPr>
              <w:keepNext/>
              <w:cnfStyle w:val="100000000000" w:firstRow="1" w:lastRow="0" w:firstColumn="0" w:lastColumn="0" w:oddVBand="0" w:evenVBand="0" w:oddHBand="0" w:evenHBand="0" w:firstRowFirstColumn="0" w:firstRowLastColumn="0" w:lastRowFirstColumn="0" w:lastRowLastColumn="0"/>
            </w:pPr>
            <w:r>
              <w:t>2019</w:t>
            </w:r>
          </w:p>
        </w:tc>
        <w:tc>
          <w:tcPr>
            <w:tcW w:w="959" w:type="dxa"/>
          </w:tcPr>
          <w:p w:rsidR="00B82F5E" w:rsidRPr="00B82F5E" w:rsidRDefault="00B82F5E" w:rsidP="0093698F">
            <w:pPr>
              <w:keepNext/>
              <w:cnfStyle w:val="100000000000" w:firstRow="1" w:lastRow="0" w:firstColumn="0" w:lastColumn="0" w:oddVBand="0" w:evenVBand="0" w:oddHBand="0" w:evenHBand="0" w:firstRowFirstColumn="0" w:firstRowLastColumn="0" w:lastRowFirstColumn="0" w:lastRowLastColumn="0"/>
            </w:pPr>
            <w:r>
              <w:t>2020</w:t>
            </w:r>
          </w:p>
        </w:tc>
        <w:tc>
          <w:tcPr>
            <w:tcW w:w="958" w:type="dxa"/>
          </w:tcPr>
          <w:p w:rsidR="00B82F5E" w:rsidRPr="00B82F5E" w:rsidRDefault="00B82F5E" w:rsidP="0093698F">
            <w:pPr>
              <w:keepNext/>
              <w:cnfStyle w:val="100000000000" w:firstRow="1" w:lastRow="0" w:firstColumn="0" w:lastColumn="0" w:oddVBand="0" w:evenVBand="0" w:oddHBand="0" w:evenHBand="0" w:firstRowFirstColumn="0" w:firstRowLastColumn="0" w:lastRowFirstColumn="0" w:lastRowLastColumn="0"/>
            </w:pPr>
            <w:r>
              <w:t>2021</w:t>
            </w:r>
          </w:p>
        </w:tc>
        <w:tc>
          <w:tcPr>
            <w:tcW w:w="958" w:type="dxa"/>
          </w:tcPr>
          <w:p w:rsidR="00B82F5E" w:rsidRPr="00B82F5E" w:rsidRDefault="00B82F5E" w:rsidP="0093698F">
            <w:pPr>
              <w:keepNext/>
              <w:cnfStyle w:val="100000000000" w:firstRow="1" w:lastRow="0" w:firstColumn="0" w:lastColumn="0" w:oddVBand="0" w:evenVBand="0" w:oddHBand="0" w:evenHBand="0" w:firstRowFirstColumn="0" w:firstRowLastColumn="0" w:lastRowFirstColumn="0" w:lastRowLastColumn="0"/>
            </w:pPr>
            <w:r>
              <w:t>2022</w:t>
            </w:r>
          </w:p>
        </w:tc>
        <w:tc>
          <w:tcPr>
            <w:tcW w:w="959" w:type="dxa"/>
          </w:tcPr>
          <w:p w:rsidR="00B82F5E" w:rsidRPr="00B82F5E" w:rsidRDefault="00B82F5E" w:rsidP="0093698F">
            <w:pPr>
              <w:keepNext/>
              <w:cnfStyle w:val="100000000000" w:firstRow="1" w:lastRow="0" w:firstColumn="0" w:lastColumn="0" w:oddVBand="0" w:evenVBand="0" w:oddHBand="0" w:evenHBand="0" w:firstRowFirstColumn="0" w:firstRowLastColumn="0" w:lastRowFirstColumn="0" w:lastRowLastColumn="0"/>
            </w:pPr>
            <w:r>
              <w:t>Total</w:t>
            </w:r>
          </w:p>
        </w:tc>
      </w:tr>
      <w:tr w:rsidR="00B82F5E" w:rsidTr="00E431C0">
        <w:tc>
          <w:tcPr>
            <w:cnfStyle w:val="001000000000" w:firstRow="0" w:lastRow="0" w:firstColumn="1" w:lastColumn="0" w:oddVBand="0" w:evenVBand="0" w:oddHBand="0" w:evenHBand="0" w:firstRowFirstColumn="0" w:firstRowLastColumn="0" w:lastRowFirstColumn="0" w:lastRowLastColumn="0"/>
            <w:tcW w:w="2943" w:type="dxa"/>
          </w:tcPr>
          <w:p w:rsidR="00B82F5E" w:rsidRPr="00B82F5E" w:rsidRDefault="00B82F5E" w:rsidP="0093698F">
            <w:pPr>
              <w:keepNext/>
            </w:pPr>
            <w:r w:rsidRPr="000E633E">
              <w:t>AusNet Services' proposed carryover</w:t>
            </w:r>
          </w:p>
        </w:tc>
        <w:tc>
          <w:tcPr>
            <w:tcW w:w="958" w:type="dxa"/>
            <w:vAlign w:val="top"/>
          </w:tcPr>
          <w:p w:rsidR="00B82F5E" w:rsidRPr="00B82F5E" w:rsidRDefault="00B82F5E" w:rsidP="0093698F">
            <w:pPr>
              <w:keepNext/>
              <w:cnfStyle w:val="000000000000" w:firstRow="0" w:lastRow="0" w:firstColumn="0" w:lastColumn="0" w:oddVBand="0" w:evenVBand="0" w:oddHBand="0" w:evenHBand="0" w:firstRowFirstColumn="0" w:firstRowLastColumn="0" w:lastRowFirstColumn="0" w:lastRowLastColumn="0"/>
            </w:pPr>
            <w:r w:rsidRPr="000E633E">
              <w:t>3.9</w:t>
            </w:r>
          </w:p>
        </w:tc>
        <w:tc>
          <w:tcPr>
            <w:tcW w:w="958" w:type="dxa"/>
            <w:vAlign w:val="top"/>
          </w:tcPr>
          <w:p w:rsidR="00B82F5E" w:rsidRPr="00B82F5E" w:rsidRDefault="00B82F5E" w:rsidP="0093698F">
            <w:pPr>
              <w:keepNext/>
              <w:cnfStyle w:val="000000000000" w:firstRow="0" w:lastRow="0" w:firstColumn="0" w:lastColumn="0" w:oddVBand="0" w:evenVBand="0" w:oddHBand="0" w:evenHBand="0" w:firstRowFirstColumn="0" w:firstRowLastColumn="0" w:lastRowFirstColumn="0" w:lastRowLastColumn="0"/>
            </w:pPr>
            <w:r>
              <w:t>-</w:t>
            </w:r>
            <w:r w:rsidRPr="00B82F5E">
              <w:t>0.3</w:t>
            </w:r>
          </w:p>
        </w:tc>
        <w:tc>
          <w:tcPr>
            <w:tcW w:w="959" w:type="dxa"/>
            <w:vAlign w:val="top"/>
          </w:tcPr>
          <w:p w:rsidR="00B82F5E" w:rsidRPr="00B82F5E" w:rsidRDefault="00B82F5E" w:rsidP="0093698F">
            <w:pPr>
              <w:keepNext/>
              <w:cnfStyle w:val="000000000000" w:firstRow="0" w:lastRow="0" w:firstColumn="0" w:lastColumn="0" w:oddVBand="0" w:evenVBand="0" w:oddHBand="0" w:evenHBand="0" w:firstRowFirstColumn="0" w:firstRowLastColumn="0" w:lastRowFirstColumn="0" w:lastRowLastColumn="0"/>
            </w:pPr>
            <w:r w:rsidRPr="000E633E">
              <w:t>1.2</w:t>
            </w:r>
          </w:p>
        </w:tc>
        <w:tc>
          <w:tcPr>
            <w:tcW w:w="958" w:type="dxa"/>
            <w:vAlign w:val="top"/>
          </w:tcPr>
          <w:p w:rsidR="00B82F5E" w:rsidRPr="00B82F5E" w:rsidRDefault="00B82F5E" w:rsidP="0093698F">
            <w:pPr>
              <w:keepNext/>
              <w:cnfStyle w:val="000000000000" w:firstRow="0" w:lastRow="0" w:firstColumn="0" w:lastColumn="0" w:oddVBand="0" w:evenVBand="0" w:oddHBand="0" w:evenHBand="0" w:firstRowFirstColumn="0" w:firstRowLastColumn="0" w:lastRowFirstColumn="0" w:lastRowLastColumn="0"/>
            </w:pPr>
            <w:r w:rsidRPr="000E633E">
              <w:t>1.0</w:t>
            </w:r>
          </w:p>
        </w:tc>
        <w:tc>
          <w:tcPr>
            <w:tcW w:w="958" w:type="dxa"/>
            <w:vAlign w:val="top"/>
          </w:tcPr>
          <w:p w:rsidR="00B82F5E" w:rsidRPr="00B82F5E" w:rsidRDefault="00D04762" w:rsidP="0093698F">
            <w:pPr>
              <w:keepNext/>
              <w:cnfStyle w:val="000000000000" w:firstRow="0" w:lastRow="0" w:firstColumn="0" w:lastColumn="0" w:oddVBand="0" w:evenVBand="0" w:oddHBand="0" w:evenHBand="0" w:firstRowFirstColumn="0" w:firstRowLastColumn="0" w:lastRowFirstColumn="0" w:lastRowLastColumn="0"/>
            </w:pPr>
            <w:r>
              <w:t>–</w:t>
            </w:r>
          </w:p>
        </w:tc>
        <w:tc>
          <w:tcPr>
            <w:tcW w:w="959" w:type="dxa"/>
            <w:vAlign w:val="top"/>
          </w:tcPr>
          <w:p w:rsidR="00B82F5E" w:rsidRPr="00B82F5E" w:rsidRDefault="00B82F5E" w:rsidP="0093698F">
            <w:pPr>
              <w:keepNext/>
              <w:cnfStyle w:val="000000000000" w:firstRow="0" w:lastRow="0" w:firstColumn="0" w:lastColumn="0" w:oddVBand="0" w:evenVBand="0" w:oddHBand="0" w:evenHBand="0" w:firstRowFirstColumn="0" w:firstRowLastColumn="0" w:lastRowFirstColumn="0" w:lastRowLastColumn="0"/>
            </w:pPr>
            <w:r w:rsidRPr="000E633E">
              <w:t>5.9</w:t>
            </w:r>
          </w:p>
        </w:tc>
      </w:tr>
      <w:tr w:rsidR="00B82F5E" w:rsidTr="00E431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B82F5E" w:rsidRPr="00B82F5E" w:rsidRDefault="00B82F5E" w:rsidP="0093698F">
            <w:pPr>
              <w:keepNext/>
            </w:pPr>
            <w:r w:rsidRPr="000E633E">
              <w:t>Draft decision</w:t>
            </w:r>
          </w:p>
        </w:tc>
        <w:tc>
          <w:tcPr>
            <w:tcW w:w="958" w:type="dxa"/>
            <w:vAlign w:val="top"/>
          </w:tcPr>
          <w:p w:rsidR="00B82F5E" w:rsidRPr="00B82F5E" w:rsidRDefault="00E431C0" w:rsidP="0093698F">
            <w:pPr>
              <w:keepNext/>
              <w:cnfStyle w:val="000000010000" w:firstRow="0" w:lastRow="0" w:firstColumn="0" w:lastColumn="0" w:oddVBand="0" w:evenVBand="0" w:oddHBand="0" w:evenHBand="1" w:firstRowFirstColumn="0" w:firstRowLastColumn="0" w:lastRowFirstColumn="0" w:lastRowLastColumn="0"/>
            </w:pPr>
            <w:r>
              <w:t>3.3</w:t>
            </w:r>
            <w:r w:rsidR="00B82F5E" w:rsidRPr="000E633E">
              <w:t xml:space="preserve"> </w:t>
            </w:r>
          </w:p>
        </w:tc>
        <w:tc>
          <w:tcPr>
            <w:tcW w:w="958" w:type="dxa"/>
            <w:vAlign w:val="top"/>
          </w:tcPr>
          <w:p w:rsidR="00B82F5E" w:rsidRPr="00B82F5E" w:rsidRDefault="005F7A41" w:rsidP="0093698F">
            <w:pPr>
              <w:keepNext/>
              <w:cnfStyle w:val="000000010000" w:firstRow="0" w:lastRow="0" w:firstColumn="0" w:lastColumn="0" w:oddVBand="0" w:evenVBand="0" w:oddHBand="0" w:evenHBand="1" w:firstRowFirstColumn="0" w:firstRowLastColumn="0" w:lastRowFirstColumn="0" w:lastRowLastColumn="0"/>
            </w:pPr>
            <w:r>
              <w:t>1</w:t>
            </w:r>
            <w:r w:rsidR="00E431C0">
              <w:t>.6</w:t>
            </w:r>
            <w:r w:rsidR="00B82F5E" w:rsidRPr="000E633E">
              <w:t xml:space="preserve"> </w:t>
            </w:r>
          </w:p>
        </w:tc>
        <w:tc>
          <w:tcPr>
            <w:tcW w:w="959" w:type="dxa"/>
            <w:vAlign w:val="top"/>
          </w:tcPr>
          <w:p w:rsidR="00B82F5E" w:rsidRPr="00B82F5E" w:rsidRDefault="005F7A41" w:rsidP="0093698F">
            <w:pPr>
              <w:keepNext/>
              <w:cnfStyle w:val="000000010000" w:firstRow="0" w:lastRow="0" w:firstColumn="0" w:lastColumn="0" w:oddVBand="0" w:evenVBand="0" w:oddHBand="0" w:evenHBand="1" w:firstRowFirstColumn="0" w:firstRowLastColumn="0" w:lastRowFirstColumn="0" w:lastRowLastColumn="0"/>
            </w:pPr>
            <w:r>
              <w:t>3.0</w:t>
            </w:r>
            <w:r w:rsidR="00B82F5E" w:rsidRPr="000E633E">
              <w:t xml:space="preserve"> </w:t>
            </w:r>
          </w:p>
        </w:tc>
        <w:tc>
          <w:tcPr>
            <w:tcW w:w="958" w:type="dxa"/>
            <w:vAlign w:val="top"/>
          </w:tcPr>
          <w:p w:rsidR="00B82F5E" w:rsidRPr="00B82F5E" w:rsidRDefault="00D04762" w:rsidP="0093698F">
            <w:pPr>
              <w:keepNext/>
              <w:cnfStyle w:val="000000010000" w:firstRow="0" w:lastRow="0" w:firstColumn="0" w:lastColumn="0" w:oddVBand="0" w:evenVBand="0" w:oddHBand="0" w:evenHBand="1" w:firstRowFirstColumn="0" w:firstRowLastColumn="0" w:lastRowFirstColumn="0" w:lastRowLastColumn="0"/>
            </w:pPr>
            <w:r>
              <w:t>–</w:t>
            </w:r>
            <w:r w:rsidR="00B82F5E" w:rsidRPr="000E633E">
              <w:t xml:space="preserve"> </w:t>
            </w:r>
          </w:p>
        </w:tc>
        <w:tc>
          <w:tcPr>
            <w:tcW w:w="958" w:type="dxa"/>
            <w:vAlign w:val="top"/>
          </w:tcPr>
          <w:p w:rsidR="00B82F5E" w:rsidRPr="00B82F5E" w:rsidRDefault="005F7A41" w:rsidP="0093698F">
            <w:pPr>
              <w:keepNext/>
              <w:cnfStyle w:val="000000010000" w:firstRow="0" w:lastRow="0" w:firstColumn="0" w:lastColumn="0" w:oddVBand="0" w:evenVBand="0" w:oddHBand="0" w:evenHBand="1" w:firstRowFirstColumn="0" w:firstRowLastColumn="0" w:lastRowFirstColumn="0" w:lastRowLastColumn="0"/>
            </w:pPr>
            <w:r>
              <w:t>0.6</w:t>
            </w:r>
            <w:r w:rsidR="00B82F5E" w:rsidRPr="000E633E">
              <w:t xml:space="preserve"> </w:t>
            </w:r>
          </w:p>
        </w:tc>
        <w:tc>
          <w:tcPr>
            <w:tcW w:w="959" w:type="dxa"/>
            <w:vAlign w:val="top"/>
          </w:tcPr>
          <w:p w:rsidR="00B82F5E" w:rsidRPr="00B82F5E" w:rsidRDefault="005F7A41" w:rsidP="0093698F">
            <w:pPr>
              <w:keepNext/>
              <w:cnfStyle w:val="000000010000" w:firstRow="0" w:lastRow="0" w:firstColumn="0" w:lastColumn="0" w:oddVBand="0" w:evenVBand="0" w:oddHBand="0" w:evenHBand="1" w:firstRowFirstColumn="0" w:firstRowLastColumn="0" w:lastRowFirstColumn="0" w:lastRowLastColumn="0"/>
            </w:pPr>
            <w:r>
              <w:t>8</w:t>
            </w:r>
            <w:r w:rsidR="00E431C0">
              <w:t>.6</w:t>
            </w:r>
            <w:r w:rsidR="00B82F5E" w:rsidRPr="000E633E">
              <w:t xml:space="preserve"> </w:t>
            </w:r>
          </w:p>
        </w:tc>
      </w:tr>
      <w:tr w:rsidR="00B82F5E" w:rsidTr="00E431C0">
        <w:tc>
          <w:tcPr>
            <w:cnfStyle w:val="001000000000" w:firstRow="0" w:lastRow="0" w:firstColumn="1" w:lastColumn="0" w:oddVBand="0" w:evenVBand="0" w:oddHBand="0" w:evenHBand="0" w:firstRowFirstColumn="0" w:firstRowLastColumn="0" w:lastRowFirstColumn="0" w:lastRowLastColumn="0"/>
            <w:tcW w:w="2943" w:type="dxa"/>
          </w:tcPr>
          <w:p w:rsidR="00B82F5E" w:rsidRPr="00B82F5E" w:rsidRDefault="00B82F5E" w:rsidP="0093698F">
            <w:pPr>
              <w:keepNext/>
            </w:pPr>
            <w:r>
              <w:t>Difference</w:t>
            </w:r>
          </w:p>
        </w:tc>
        <w:tc>
          <w:tcPr>
            <w:tcW w:w="958" w:type="dxa"/>
            <w:vAlign w:val="top"/>
          </w:tcPr>
          <w:p w:rsidR="00B82F5E" w:rsidRPr="00671DFD" w:rsidRDefault="00E431C0" w:rsidP="0093698F">
            <w:pPr>
              <w:keepNext/>
              <w:cnfStyle w:val="000000000000" w:firstRow="0" w:lastRow="0" w:firstColumn="0" w:lastColumn="0" w:oddVBand="0" w:evenVBand="0" w:oddHBand="0" w:evenHBand="0" w:firstRowFirstColumn="0" w:firstRowLastColumn="0" w:lastRowFirstColumn="0" w:lastRowLastColumn="0"/>
            </w:pPr>
            <w:r>
              <w:t>-0.6</w:t>
            </w:r>
          </w:p>
        </w:tc>
        <w:tc>
          <w:tcPr>
            <w:tcW w:w="958" w:type="dxa"/>
            <w:vAlign w:val="top"/>
          </w:tcPr>
          <w:p w:rsidR="00B82F5E" w:rsidRPr="00671DFD" w:rsidRDefault="005F7A41" w:rsidP="0093698F">
            <w:pPr>
              <w:keepNext/>
              <w:cnfStyle w:val="000000000000" w:firstRow="0" w:lastRow="0" w:firstColumn="0" w:lastColumn="0" w:oddVBand="0" w:evenVBand="0" w:oddHBand="0" w:evenHBand="0" w:firstRowFirstColumn="0" w:firstRowLastColumn="0" w:lastRowFirstColumn="0" w:lastRowLastColumn="0"/>
            </w:pPr>
            <w:r>
              <w:t>1</w:t>
            </w:r>
            <w:r w:rsidR="00E431C0">
              <w:t>.9</w:t>
            </w:r>
          </w:p>
        </w:tc>
        <w:tc>
          <w:tcPr>
            <w:tcW w:w="959" w:type="dxa"/>
            <w:vAlign w:val="top"/>
          </w:tcPr>
          <w:p w:rsidR="00B82F5E" w:rsidRPr="00671DFD" w:rsidRDefault="005F7A41" w:rsidP="0093698F">
            <w:pPr>
              <w:keepNext/>
              <w:cnfStyle w:val="000000000000" w:firstRow="0" w:lastRow="0" w:firstColumn="0" w:lastColumn="0" w:oddVBand="0" w:evenVBand="0" w:oddHBand="0" w:evenHBand="0" w:firstRowFirstColumn="0" w:firstRowLastColumn="0" w:lastRowFirstColumn="0" w:lastRowLastColumn="0"/>
            </w:pPr>
            <w:r>
              <w:t>1.8</w:t>
            </w:r>
          </w:p>
        </w:tc>
        <w:tc>
          <w:tcPr>
            <w:tcW w:w="958" w:type="dxa"/>
            <w:vAlign w:val="top"/>
          </w:tcPr>
          <w:p w:rsidR="00B82F5E" w:rsidRPr="00671DFD" w:rsidRDefault="00E431C0" w:rsidP="0093698F">
            <w:pPr>
              <w:keepNext/>
              <w:cnfStyle w:val="000000000000" w:firstRow="0" w:lastRow="0" w:firstColumn="0" w:lastColumn="0" w:oddVBand="0" w:evenVBand="0" w:oddHBand="0" w:evenHBand="0" w:firstRowFirstColumn="0" w:firstRowLastColumn="0" w:lastRowFirstColumn="0" w:lastRowLastColumn="0"/>
            </w:pPr>
            <w:r>
              <w:t>-</w:t>
            </w:r>
            <w:r w:rsidR="005F7A41">
              <w:t>1.0</w:t>
            </w:r>
          </w:p>
        </w:tc>
        <w:tc>
          <w:tcPr>
            <w:tcW w:w="958" w:type="dxa"/>
            <w:vAlign w:val="top"/>
          </w:tcPr>
          <w:p w:rsidR="00B82F5E" w:rsidRPr="00671DFD" w:rsidRDefault="005F7A41" w:rsidP="0093698F">
            <w:pPr>
              <w:keepNext/>
              <w:cnfStyle w:val="000000000000" w:firstRow="0" w:lastRow="0" w:firstColumn="0" w:lastColumn="0" w:oddVBand="0" w:evenVBand="0" w:oddHBand="0" w:evenHBand="0" w:firstRowFirstColumn="0" w:firstRowLastColumn="0" w:lastRowFirstColumn="0" w:lastRowLastColumn="0"/>
            </w:pPr>
            <w:r>
              <w:t>0.6</w:t>
            </w:r>
          </w:p>
        </w:tc>
        <w:tc>
          <w:tcPr>
            <w:tcW w:w="959" w:type="dxa"/>
            <w:vAlign w:val="top"/>
          </w:tcPr>
          <w:p w:rsidR="00B82F5E" w:rsidRPr="00671DFD" w:rsidRDefault="005F7A41" w:rsidP="0093698F">
            <w:pPr>
              <w:keepNext/>
              <w:cnfStyle w:val="000000000000" w:firstRow="0" w:lastRow="0" w:firstColumn="0" w:lastColumn="0" w:oddVBand="0" w:evenVBand="0" w:oddHBand="0" w:evenHBand="0" w:firstRowFirstColumn="0" w:firstRowLastColumn="0" w:lastRowFirstColumn="0" w:lastRowLastColumn="0"/>
            </w:pPr>
            <w:r>
              <w:t>2</w:t>
            </w:r>
            <w:r w:rsidR="00E431C0">
              <w:t>.7</w:t>
            </w:r>
          </w:p>
        </w:tc>
      </w:tr>
    </w:tbl>
    <w:p w:rsidR="00DF404D" w:rsidRPr="00140111" w:rsidRDefault="00B82F5E" w:rsidP="0093698F">
      <w:pPr>
        <w:pStyle w:val="AERtablesource"/>
        <w:keepNext/>
      </w:pPr>
      <w:r>
        <w:t>Note</w:t>
      </w:r>
      <w:r w:rsidR="00DF404D" w:rsidRPr="00140111">
        <w:t>:</w:t>
      </w:r>
      <w:r w:rsidR="00DF404D" w:rsidRPr="00140111">
        <w:tab/>
      </w:r>
      <w:r>
        <w:t>Numbers may not add up due to rounding</w:t>
      </w:r>
      <w:r w:rsidR="00DF404D" w:rsidRPr="00140111">
        <w:t>.</w:t>
      </w:r>
    </w:p>
    <w:p w:rsidR="00141640" w:rsidRDefault="00DF404D" w:rsidP="00DF404D">
      <w:r>
        <w:t xml:space="preserve">We accept AusNet's proposal to retain </w:t>
      </w:r>
      <w:r w:rsidR="00E431C0">
        <w:t>an</w:t>
      </w:r>
      <w:r>
        <w:t xml:space="preserve"> efficiency carryover mechanism for the 20</w:t>
      </w:r>
      <w:r w:rsidR="00E4511E">
        <w:t>18–22 access arrangement period</w:t>
      </w:r>
      <w:r w:rsidR="00141640">
        <w:t xml:space="preserve">. </w:t>
      </w:r>
      <w:r w:rsidR="00141640" w:rsidRPr="00141640">
        <w:t>However, we have amended AusNet’s proposed efficiency carryover mechanism to reflect improvements included in the efficiency benefit sharing scheme (EBSS) we released in November 2013 for electricity service providers.</w:t>
      </w:r>
      <w:r w:rsidR="00141640">
        <w:rPr>
          <w:rStyle w:val="FootnoteReference"/>
        </w:rPr>
        <w:footnoteReference w:id="52"/>
      </w:r>
      <w:r w:rsidR="00141640" w:rsidRPr="00141640">
        <w:t xml:space="preserve"> Importantly, the amendments will give AusNet more flexibility in the choice of base year it uses to forecast opex in the following period. We have also reduced the number of costs categories we will exclude from the mechanism.</w:t>
      </w:r>
    </w:p>
    <w:p w:rsidR="00DF404D" w:rsidRDefault="00DF404D" w:rsidP="00DF404D">
      <w:r>
        <w:t>The total opex forecasts we will use to calculate efficiency gains and losses for the 2018–22 access arrangement period are</w:t>
      </w:r>
      <w:r w:rsidR="00E431C0">
        <w:t xml:space="preserve"> set out in table 9.2 of attachment 9.</w:t>
      </w:r>
      <w:r>
        <w:t xml:space="preserve"> </w:t>
      </w:r>
    </w:p>
    <w:p w:rsidR="00BE78FB" w:rsidRDefault="00BE78FB" w:rsidP="00BE78FB">
      <w:pPr>
        <w:pStyle w:val="Heading2"/>
      </w:pPr>
      <w:bookmarkStart w:id="157" w:name="_Toc487017927"/>
      <w:r>
        <w:t>Corporate income tax</w:t>
      </w:r>
      <w:bookmarkEnd w:id="157"/>
    </w:p>
    <w:p w:rsidR="00DF404D" w:rsidRDefault="008736BB" w:rsidP="00DF404D">
      <w:r>
        <w:t xml:space="preserve">Our draft decision is to </w:t>
      </w:r>
      <w:r w:rsidR="00DF404D">
        <w:t xml:space="preserve">approve AusNet's proposed approach to calculate its forecast corporate income tax allowance. AusNet's proposed </w:t>
      </w:r>
      <w:r w:rsidR="00DF404D" w:rsidRPr="00167CF1">
        <w:t>approach i</w:t>
      </w:r>
      <w:r w:rsidR="00DF404D">
        <w:t>s consistent with the AER’s post-tax revenue model (PTRM) for electricity service providers and the approach previously approved in gas access arrangement decisions. However, w</w:t>
      </w:r>
      <w:r w:rsidR="00DF404D" w:rsidRPr="00FD50DB">
        <w:t xml:space="preserve">e do not </w:t>
      </w:r>
      <w:r w:rsidR="00DF404D">
        <w:t>accept</w:t>
      </w:r>
      <w:r w:rsidR="00DF404D" w:rsidRPr="00FD50DB">
        <w:t xml:space="preserve"> </w:t>
      </w:r>
      <w:r w:rsidR="00DF404D">
        <w:t>AusNet's</w:t>
      </w:r>
      <w:r w:rsidR="00DF404D" w:rsidRPr="00FD50DB">
        <w:t xml:space="preserve"> proposed corporate income tax allowance of $</w:t>
      </w:r>
      <w:r w:rsidR="00DF404D">
        <w:t>80.9</w:t>
      </w:r>
      <w:r w:rsidR="00DF404D" w:rsidRPr="00FD50DB">
        <w:t xml:space="preserve"> million ($</w:t>
      </w:r>
      <w:r w:rsidR="00D73B8B">
        <w:t> </w:t>
      </w:r>
      <w:r w:rsidR="00DF404D" w:rsidRPr="00FD50DB">
        <w:t xml:space="preserve">nominal) for the </w:t>
      </w:r>
      <w:r w:rsidR="00DF404D">
        <w:rPr>
          <w:rStyle w:val="AERbody"/>
        </w:rPr>
        <w:t>2018–22</w:t>
      </w:r>
      <w:r w:rsidR="00DF404D" w:rsidRPr="00FD50DB">
        <w:rPr>
          <w:rStyle w:val="AERbody"/>
        </w:rPr>
        <w:t xml:space="preserve"> </w:t>
      </w:r>
      <w:r w:rsidR="00DF404D" w:rsidRPr="00FD50DB">
        <w:t xml:space="preserve">access arrangement period. </w:t>
      </w:r>
    </w:p>
    <w:p w:rsidR="00DF404D" w:rsidRDefault="00DF404D" w:rsidP="00DF404D">
      <w:r>
        <w:t>Our</w:t>
      </w:r>
      <w:r w:rsidRPr="009C2602">
        <w:t xml:space="preserve"> draft decision on </w:t>
      </w:r>
      <w:r>
        <w:t>AusNet's</w:t>
      </w:r>
      <w:r w:rsidRPr="009C2602">
        <w:t xml:space="preserve"> </w:t>
      </w:r>
      <w:r>
        <w:t>corporate income tax</w:t>
      </w:r>
      <w:r w:rsidRPr="009C2602">
        <w:t xml:space="preserve"> allowance over the </w:t>
      </w:r>
      <w:r>
        <w:rPr>
          <w:rStyle w:val="AERbody"/>
        </w:rPr>
        <w:t>2018–22</w:t>
      </w:r>
      <w:r w:rsidRPr="00B077E0">
        <w:rPr>
          <w:rStyle w:val="AERbody"/>
        </w:rPr>
        <w:t xml:space="preserve"> </w:t>
      </w:r>
      <w:r w:rsidRPr="009C2602">
        <w:t>access arrangement period is $</w:t>
      </w:r>
      <w:r w:rsidR="00D73B8B">
        <w:t>4</w:t>
      </w:r>
      <w:r w:rsidR="00AF2960">
        <w:t>6.1</w:t>
      </w:r>
      <w:r w:rsidRPr="00FD50DB">
        <w:t xml:space="preserve"> </w:t>
      </w:r>
      <w:r>
        <w:t>million ($</w:t>
      </w:r>
      <w:r w:rsidR="00D73B8B">
        <w:t> </w:t>
      </w:r>
      <w:r>
        <w:t xml:space="preserve">nominal). </w:t>
      </w:r>
      <w:r w:rsidRPr="009C2602">
        <w:t>This represents a reduction of $</w:t>
      </w:r>
      <w:r w:rsidR="00D73B8B">
        <w:t>3</w:t>
      </w:r>
      <w:r w:rsidR="00AF2960">
        <w:t>4.8</w:t>
      </w:r>
      <w:r w:rsidRPr="00FD50DB">
        <w:t xml:space="preserve"> </w:t>
      </w:r>
      <w:r w:rsidRPr="009C2602">
        <w:t>million (</w:t>
      </w:r>
      <w:r>
        <w:t>$</w:t>
      </w:r>
      <w:r w:rsidR="00D73B8B">
        <w:t> </w:t>
      </w:r>
      <w:r w:rsidRPr="009C2602">
        <w:t xml:space="preserve">nominal) or </w:t>
      </w:r>
      <w:r w:rsidR="00D73B8B">
        <w:t>4</w:t>
      </w:r>
      <w:r w:rsidR="00AF2960">
        <w:t>3.1</w:t>
      </w:r>
      <w:r w:rsidRPr="00FD50DB">
        <w:t xml:space="preserve"> </w:t>
      </w:r>
      <w:r w:rsidRPr="009C2602">
        <w:t xml:space="preserve">per cent </w:t>
      </w:r>
      <w:r w:rsidR="00E0160B">
        <w:t xml:space="preserve">compared </w:t>
      </w:r>
      <w:r w:rsidR="00F633B6">
        <w:t xml:space="preserve">to </w:t>
      </w:r>
      <w:r w:rsidR="00F633B6" w:rsidRPr="009C2602">
        <w:t>AusNet’s</w:t>
      </w:r>
      <w:r w:rsidRPr="009C2602">
        <w:t xml:space="preserve"> proposed </w:t>
      </w:r>
      <w:r>
        <w:t xml:space="preserve">forecast corporate income tax allowance. </w:t>
      </w:r>
      <w:r w:rsidR="008736BB">
        <w:t>We have amended</w:t>
      </w:r>
      <w:r w:rsidRPr="00FD50DB">
        <w:t xml:space="preserve"> </w:t>
      </w:r>
      <w:r>
        <w:t>AusNet's</w:t>
      </w:r>
      <w:r w:rsidRPr="00FD50DB">
        <w:t xml:space="preserve"> </w:t>
      </w:r>
      <w:r>
        <w:t xml:space="preserve">proposed inputs for forecasting the cost of corporate income tax, including: </w:t>
      </w:r>
    </w:p>
    <w:p w:rsidR="00DF404D" w:rsidRDefault="00DF404D" w:rsidP="00DF404D">
      <w:pPr>
        <w:pStyle w:val="AERbulletlistfirststyle"/>
      </w:pPr>
      <w:r>
        <w:t xml:space="preserve">the opening tax asset base </w:t>
      </w:r>
    </w:p>
    <w:p w:rsidR="00DF404D" w:rsidRDefault="00362D74" w:rsidP="00DF404D">
      <w:pPr>
        <w:pStyle w:val="AERbulletlistfirststyle"/>
      </w:pPr>
      <w:r>
        <w:t xml:space="preserve">the </w:t>
      </w:r>
      <w:r w:rsidR="00DF404D">
        <w:t xml:space="preserve">remaining tax asset lives </w:t>
      </w:r>
    </w:p>
    <w:p w:rsidR="00DF404D" w:rsidRDefault="00DF404D" w:rsidP="00DF404D">
      <w:pPr>
        <w:pStyle w:val="AERbulletlistfirststyle"/>
        <w:rPr>
          <w:rStyle w:val="AERbody"/>
        </w:rPr>
      </w:pPr>
      <w:proofErr w:type="gramStart"/>
      <w:r>
        <w:t>the</w:t>
      </w:r>
      <w:proofErr w:type="gramEnd"/>
      <w:r>
        <w:t xml:space="preserve"> </w:t>
      </w:r>
      <w:r w:rsidRPr="00F17F59">
        <w:rPr>
          <w:rStyle w:val="AERbody"/>
        </w:rPr>
        <w:t>value of imputation cr</w:t>
      </w:r>
      <w:r>
        <w:rPr>
          <w:rStyle w:val="AERbody"/>
        </w:rPr>
        <w:t xml:space="preserve">edits (gamma). </w:t>
      </w:r>
    </w:p>
    <w:p w:rsidR="00DF404D" w:rsidRDefault="00DF404D" w:rsidP="00DF404D">
      <w:pPr>
        <w:rPr>
          <w:rStyle w:val="AERbody"/>
        </w:rPr>
      </w:pPr>
      <w:r>
        <w:rPr>
          <w:rStyle w:val="AERbody"/>
        </w:rPr>
        <w:t>Our adjustments to the rate of return on capital</w:t>
      </w:r>
      <w:r>
        <w:rPr>
          <w:rStyle w:val="FootnoteReference"/>
        </w:rPr>
        <w:footnoteReference w:id="53"/>
      </w:r>
      <w:r>
        <w:rPr>
          <w:rStyle w:val="AERbody"/>
        </w:rPr>
        <w:t>, return of capital (</w:t>
      </w:r>
      <w:r w:rsidR="004E6BE2">
        <w:rPr>
          <w:rStyle w:val="AERbody"/>
        </w:rPr>
        <w:t>regulatory depreciation</w:t>
      </w:r>
      <w:r>
        <w:rPr>
          <w:rStyle w:val="AERbody"/>
        </w:rPr>
        <w:t>) and forecast opex also affect revenues, which in turn impact the tax calculation</w:t>
      </w:r>
      <w:r w:rsidRPr="00F17F59">
        <w:rPr>
          <w:rStyle w:val="AERbody"/>
        </w:rPr>
        <w:t>.</w:t>
      </w:r>
      <w:r>
        <w:rPr>
          <w:rStyle w:val="FootnoteReference"/>
        </w:rPr>
        <w:footnoteReference w:id="54"/>
      </w:r>
    </w:p>
    <w:p w:rsidR="00DF404D" w:rsidRDefault="000F1DA7" w:rsidP="00DF404D">
      <w:pPr>
        <w:rPr>
          <w:rStyle w:val="AERbody"/>
        </w:rPr>
      </w:pPr>
      <w:r>
        <w:rPr>
          <w:rStyle w:val="AERbody"/>
        </w:rPr>
        <w:fldChar w:fldCharType="begin"/>
      </w:r>
      <w:r>
        <w:rPr>
          <w:rStyle w:val="AERbody"/>
        </w:rPr>
        <w:instrText xml:space="preserve"> REF _Ref482785901 \h </w:instrText>
      </w:r>
      <w:r>
        <w:rPr>
          <w:rStyle w:val="AERbody"/>
        </w:rPr>
      </w:r>
      <w:r>
        <w:rPr>
          <w:rStyle w:val="AERbody"/>
        </w:rPr>
        <w:fldChar w:fldCharType="separate"/>
      </w:r>
      <w:r w:rsidR="00EE5745">
        <w:t xml:space="preserve">Table </w:t>
      </w:r>
      <w:r w:rsidR="00EE5745">
        <w:rPr>
          <w:noProof/>
        </w:rPr>
        <w:t>5</w:t>
      </w:r>
      <w:r w:rsidR="00EE5745">
        <w:noBreakHyphen/>
      </w:r>
      <w:r w:rsidR="00EE5745">
        <w:rPr>
          <w:noProof/>
        </w:rPr>
        <w:t>10</w:t>
      </w:r>
      <w:r>
        <w:rPr>
          <w:rStyle w:val="AERbody"/>
        </w:rPr>
        <w:fldChar w:fldCharType="end"/>
      </w:r>
      <w:r>
        <w:rPr>
          <w:rStyle w:val="AERbody"/>
        </w:rPr>
        <w:t xml:space="preserve"> </w:t>
      </w:r>
      <w:r w:rsidR="00DF404D" w:rsidRPr="001D04F8">
        <w:rPr>
          <w:rStyle w:val="AERbody"/>
        </w:rPr>
        <w:t xml:space="preserve">sets out our </w:t>
      </w:r>
      <w:r w:rsidR="00DF404D">
        <w:rPr>
          <w:rStyle w:val="AERbody"/>
        </w:rPr>
        <w:t>draft</w:t>
      </w:r>
      <w:r w:rsidR="00DF404D" w:rsidRPr="001D04F8">
        <w:rPr>
          <w:rStyle w:val="AERbody"/>
        </w:rPr>
        <w:t xml:space="preserve"> decision on the estimated cost of corporate income tax allowance for </w:t>
      </w:r>
      <w:r w:rsidR="00DF404D">
        <w:rPr>
          <w:rStyle w:val="AERbody"/>
        </w:rPr>
        <w:t>AusNet</w:t>
      </w:r>
      <w:r w:rsidR="00DF404D" w:rsidRPr="001D04F8">
        <w:rPr>
          <w:rStyle w:val="AERbody"/>
        </w:rPr>
        <w:t>.</w:t>
      </w:r>
    </w:p>
    <w:p w:rsidR="00DF404D" w:rsidRDefault="000F1DA7" w:rsidP="000F1DA7">
      <w:pPr>
        <w:pStyle w:val="Caption"/>
      </w:pPr>
      <w:bookmarkStart w:id="158" w:name="_Ref482785901"/>
      <w:r>
        <w:t xml:space="preserve">Table </w:t>
      </w:r>
      <w:fldSimple w:instr=" STYLEREF 1 \s ">
        <w:r w:rsidR="00EE5745">
          <w:rPr>
            <w:noProof/>
          </w:rPr>
          <w:t>5</w:t>
        </w:r>
      </w:fldSimple>
      <w:r w:rsidR="00391B74">
        <w:noBreakHyphen/>
      </w:r>
      <w:fldSimple w:instr=" SEQ Table \* ARABIC \s 1 ">
        <w:r w:rsidR="00EE5745">
          <w:rPr>
            <w:noProof/>
          </w:rPr>
          <w:t>10</w:t>
        </w:r>
      </w:fldSimple>
      <w:bookmarkEnd w:id="158"/>
      <w:r w:rsidR="00DF404D">
        <w:tab/>
        <w:t>AER's draft decision on corporate income tax allowance for AusNet ($million, nominal)</w:t>
      </w:r>
    </w:p>
    <w:tbl>
      <w:tblPr>
        <w:tblStyle w:val="AERtable-numbers"/>
        <w:tblW w:w="8688" w:type="dxa"/>
        <w:tblLayout w:type="fixed"/>
        <w:tblLook w:val="01E0" w:firstRow="1" w:lastRow="1" w:firstColumn="1" w:lastColumn="1" w:noHBand="0" w:noVBand="0"/>
      </w:tblPr>
      <w:tblGrid>
        <w:gridCol w:w="3085"/>
        <w:gridCol w:w="933"/>
        <w:gridCol w:w="934"/>
        <w:gridCol w:w="934"/>
        <w:gridCol w:w="934"/>
        <w:gridCol w:w="934"/>
        <w:gridCol w:w="934"/>
      </w:tblGrid>
      <w:tr w:rsidR="00DF404D" w:rsidRPr="00AB7791" w:rsidTr="00DF404D">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5" w:type="dxa"/>
          </w:tcPr>
          <w:p w:rsidR="00DF404D" w:rsidRPr="00DF404D" w:rsidRDefault="00DF404D" w:rsidP="00DF404D"/>
        </w:tc>
        <w:tc>
          <w:tcPr>
            <w:tcW w:w="933" w:type="dxa"/>
          </w:tcPr>
          <w:p w:rsidR="00DF404D" w:rsidRPr="00DF404D" w:rsidRDefault="00DF404D" w:rsidP="00DF404D">
            <w:pPr>
              <w:cnfStyle w:val="100000000000" w:firstRow="1" w:lastRow="0" w:firstColumn="0" w:lastColumn="0" w:oddVBand="0" w:evenVBand="0" w:oddHBand="0" w:evenHBand="0" w:firstRowFirstColumn="0" w:firstRowLastColumn="0" w:lastRowFirstColumn="0" w:lastRowLastColumn="0"/>
            </w:pPr>
            <w:r w:rsidRPr="00522E09">
              <w:t>2018</w:t>
            </w:r>
          </w:p>
        </w:tc>
        <w:tc>
          <w:tcPr>
            <w:tcW w:w="934" w:type="dxa"/>
          </w:tcPr>
          <w:p w:rsidR="00DF404D" w:rsidRPr="00DF404D" w:rsidRDefault="00DF404D" w:rsidP="00DF404D">
            <w:pPr>
              <w:cnfStyle w:val="100000000000" w:firstRow="1" w:lastRow="0" w:firstColumn="0" w:lastColumn="0" w:oddVBand="0" w:evenVBand="0" w:oddHBand="0" w:evenHBand="0" w:firstRowFirstColumn="0" w:firstRowLastColumn="0" w:lastRowFirstColumn="0" w:lastRowLastColumn="0"/>
            </w:pPr>
            <w:r w:rsidRPr="001816AF">
              <w:t>2019</w:t>
            </w:r>
          </w:p>
        </w:tc>
        <w:tc>
          <w:tcPr>
            <w:tcW w:w="934" w:type="dxa"/>
          </w:tcPr>
          <w:p w:rsidR="00DF404D" w:rsidRPr="00DF404D" w:rsidRDefault="00DF404D" w:rsidP="00DF404D">
            <w:pPr>
              <w:cnfStyle w:val="100000000000" w:firstRow="1" w:lastRow="0" w:firstColumn="0" w:lastColumn="0" w:oddVBand="0" w:evenVBand="0" w:oddHBand="0" w:evenHBand="0" w:firstRowFirstColumn="0" w:firstRowLastColumn="0" w:lastRowFirstColumn="0" w:lastRowLastColumn="0"/>
            </w:pPr>
            <w:r w:rsidRPr="000715C4">
              <w:t>2020</w:t>
            </w:r>
          </w:p>
        </w:tc>
        <w:tc>
          <w:tcPr>
            <w:tcW w:w="934" w:type="dxa"/>
          </w:tcPr>
          <w:p w:rsidR="00DF404D" w:rsidRPr="00DF404D" w:rsidRDefault="00DF404D" w:rsidP="00DF404D">
            <w:pPr>
              <w:cnfStyle w:val="100000000000" w:firstRow="1" w:lastRow="0" w:firstColumn="0" w:lastColumn="0" w:oddVBand="0" w:evenVBand="0" w:oddHBand="0" w:evenHBand="0" w:firstRowFirstColumn="0" w:firstRowLastColumn="0" w:lastRowFirstColumn="0" w:lastRowLastColumn="0"/>
            </w:pPr>
            <w:r w:rsidRPr="000715C4">
              <w:t>2021</w:t>
            </w:r>
          </w:p>
        </w:tc>
        <w:tc>
          <w:tcPr>
            <w:tcW w:w="934" w:type="dxa"/>
          </w:tcPr>
          <w:p w:rsidR="00DF404D" w:rsidRPr="00DF404D" w:rsidRDefault="00DF404D" w:rsidP="00DF404D">
            <w:pPr>
              <w:cnfStyle w:val="100000000000" w:firstRow="1" w:lastRow="0" w:firstColumn="0" w:lastColumn="0" w:oddVBand="0" w:evenVBand="0" w:oddHBand="0" w:evenHBand="0" w:firstRowFirstColumn="0" w:firstRowLastColumn="0" w:lastRowFirstColumn="0" w:lastRowLastColumn="0"/>
            </w:pPr>
            <w:r w:rsidRPr="000715C4">
              <w:t>2022</w:t>
            </w:r>
          </w:p>
        </w:tc>
        <w:tc>
          <w:tcPr>
            <w:tcW w:w="934" w:type="dxa"/>
          </w:tcPr>
          <w:p w:rsidR="00DF404D" w:rsidRPr="00DF404D" w:rsidRDefault="00DF404D" w:rsidP="00DF404D">
            <w:pPr>
              <w:cnfStyle w:val="100000000000" w:firstRow="1" w:lastRow="0" w:firstColumn="0" w:lastColumn="0" w:oddVBand="0" w:evenVBand="0" w:oddHBand="0" w:evenHBand="0" w:firstRowFirstColumn="0" w:firstRowLastColumn="0" w:lastRowFirstColumn="0" w:lastRowLastColumn="0"/>
            </w:pPr>
            <w:r w:rsidRPr="000715C4">
              <w:t>Total</w:t>
            </w:r>
          </w:p>
        </w:tc>
      </w:tr>
      <w:tr w:rsidR="00AF2960" w:rsidRPr="00AB7791" w:rsidTr="00F04988">
        <w:trPr>
          <w:trHeight w:val="278"/>
        </w:trPr>
        <w:tc>
          <w:tcPr>
            <w:cnfStyle w:val="001000000000" w:firstRow="0" w:lastRow="0" w:firstColumn="1" w:lastColumn="0" w:oddVBand="0" w:evenVBand="0" w:oddHBand="0" w:evenHBand="0" w:firstRowFirstColumn="0" w:firstRowLastColumn="0" w:lastRowFirstColumn="0" w:lastRowLastColumn="0"/>
            <w:tcW w:w="3085" w:type="dxa"/>
          </w:tcPr>
          <w:p w:rsidR="00AF2960" w:rsidRPr="00AF2960" w:rsidRDefault="00AF2960" w:rsidP="00AF2960">
            <w:r w:rsidRPr="00AF2960">
              <w:t>Tax payable</w:t>
            </w:r>
          </w:p>
        </w:tc>
        <w:tc>
          <w:tcPr>
            <w:tcW w:w="933" w:type="dxa"/>
            <w:vAlign w:val="bottom"/>
          </w:tcPr>
          <w:p w:rsidR="00AF2960" w:rsidRPr="00AF2960" w:rsidRDefault="00AF2960" w:rsidP="00AF2960">
            <w:pPr>
              <w:cnfStyle w:val="000000000000" w:firstRow="0" w:lastRow="0" w:firstColumn="0" w:lastColumn="0" w:oddVBand="0" w:evenVBand="0" w:oddHBand="0" w:evenHBand="0" w:firstRowFirstColumn="0" w:firstRowLastColumn="0" w:lastRowFirstColumn="0" w:lastRowLastColumn="0"/>
            </w:pPr>
            <w:r w:rsidRPr="00AF2960">
              <w:t>16.7</w:t>
            </w:r>
          </w:p>
        </w:tc>
        <w:tc>
          <w:tcPr>
            <w:tcW w:w="934" w:type="dxa"/>
            <w:vAlign w:val="bottom"/>
          </w:tcPr>
          <w:p w:rsidR="00AF2960" w:rsidRPr="00AF2960" w:rsidRDefault="00AF2960" w:rsidP="00AF2960">
            <w:pPr>
              <w:cnfStyle w:val="000000000000" w:firstRow="0" w:lastRow="0" w:firstColumn="0" w:lastColumn="0" w:oddVBand="0" w:evenVBand="0" w:oddHBand="0" w:evenHBand="0" w:firstRowFirstColumn="0" w:firstRowLastColumn="0" w:lastRowFirstColumn="0" w:lastRowLastColumn="0"/>
            </w:pPr>
            <w:r w:rsidRPr="00AF2960">
              <w:t>11.1</w:t>
            </w:r>
          </w:p>
        </w:tc>
        <w:tc>
          <w:tcPr>
            <w:tcW w:w="934" w:type="dxa"/>
            <w:vAlign w:val="bottom"/>
          </w:tcPr>
          <w:p w:rsidR="00AF2960" w:rsidRPr="00AF2960" w:rsidRDefault="00AF2960" w:rsidP="00AF2960">
            <w:pPr>
              <w:cnfStyle w:val="000000000000" w:firstRow="0" w:lastRow="0" w:firstColumn="0" w:lastColumn="0" w:oddVBand="0" w:evenVBand="0" w:oddHBand="0" w:evenHBand="0" w:firstRowFirstColumn="0" w:firstRowLastColumn="0" w:lastRowFirstColumn="0" w:lastRowLastColumn="0"/>
            </w:pPr>
            <w:r w:rsidRPr="00AF2960">
              <w:t>11.5</w:t>
            </w:r>
          </w:p>
        </w:tc>
        <w:tc>
          <w:tcPr>
            <w:tcW w:w="934" w:type="dxa"/>
            <w:vAlign w:val="bottom"/>
          </w:tcPr>
          <w:p w:rsidR="00AF2960" w:rsidRPr="00AF2960" w:rsidRDefault="00AF2960" w:rsidP="00AF2960">
            <w:pPr>
              <w:cnfStyle w:val="000000000000" w:firstRow="0" w:lastRow="0" w:firstColumn="0" w:lastColumn="0" w:oddVBand="0" w:evenVBand="0" w:oddHBand="0" w:evenHBand="0" w:firstRowFirstColumn="0" w:firstRowLastColumn="0" w:lastRowFirstColumn="0" w:lastRowLastColumn="0"/>
            </w:pPr>
            <w:r w:rsidRPr="00AF2960">
              <w:t>18.8</w:t>
            </w:r>
          </w:p>
        </w:tc>
        <w:tc>
          <w:tcPr>
            <w:tcW w:w="934" w:type="dxa"/>
            <w:vAlign w:val="bottom"/>
          </w:tcPr>
          <w:p w:rsidR="00AF2960" w:rsidRPr="00AF2960" w:rsidRDefault="00AF2960" w:rsidP="00AF2960">
            <w:pPr>
              <w:cnfStyle w:val="000000000000" w:firstRow="0" w:lastRow="0" w:firstColumn="0" w:lastColumn="0" w:oddVBand="0" w:evenVBand="0" w:oddHBand="0" w:evenHBand="0" w:firstRowFirstColumn="0" w:firstRowLastColumn="0" w:lastRowFirstColumn="0" w:lastRowLastColumn="0"/>
            </w:pPr>
            <w:r w:rsidRPr="00AF2960">
              <w:t>18.8</w:t>
            </w:r>
          </w:p>
        </w:tc>
        <w:tc>
          <w:tcPr>
            <w:tcW w:w="934" w:type="dxa"/>
            <w:vAlign w:val="bottom"/>
          </w:tcPr>
          <w:p w:rsidR="00AF2960" w:rsidRPr="00AF2960" w:rsidRDefault="00AF2960" w:rsidP="00AF2960">
            <w:pPr>
              <w:cnfStyle w:val="000000000000" w:firstRow="0" w:lastRow="0" w:firstColumn="0" w:lastColumn="0" w:oddVBand="0" w:evenVBand="0" w:oddHBand="0" w:evenHBand="0" w:firstRowFirstColumn="0" w:firstRowLastColumn="0" w:lastRowFirstColumn="0" w:lastRowLastColumn="0"/>
            </w:pPr>
            <w:r w:rsidRPr="00AF2960">
              <w:t>76.8</w:t>
            </w:r>
          </w:p>
        </w:tc>
      </w:tr>
      <w:tr w:rsidR="00AF2960" w:rsidRPr="00AB7791" w:rsidTr="00F04988">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085" w:type="dxa"/>
          </w:tcPr>
          <w:p w:rsidR="00AF2960" w:rsidRPr="00AF2960" w:rsidRDefault="00AF2960" w:rsidP="00AF2960">
            <w:r w:rsidRPr="00AF2960">
              <w:rPr>
                <w:rStyle w:val="AERtextitalic"/>
              </w:rPr>
              <w:t>Less</w:t>
            </w:r>
            <w:r w:rsidRPr="00AF2960">
              <w:t>: value of imputation credits</w:t>
            </w:r>
          </w:p>
        </w:tc>
        <w:tc>
          <w:tcPr>
            <w:tcW w:w="933" w:type="dxa"/>
            <w:vAlign w:val="bottom"/>
          </w:tcPr>
          <w:p w:rsidR="00AF2960" w:rsidRPr="00AF2960" w:rsidRDefault="00AF2960" w:rsidP="00AF2960">
            <w:pPr>
              <w:cnfStyle w:val="000000010000" w:firstRow="0" w:lastRow="0" w:firstColumn="0" w:lastColumn="0" w:oddVBand="0" w:evenVBand="0" w:oddHBand="0" w:evenHBand="1" w:firstRowFirstColumn="0" w:firstRowLastColumn="0" w:lastRowFirstColumn="0" w:lastRowLastColumn="0"/>
            </w:pPr>
            <w:r w:rsidRPr="00AF2960">
              <w:t>6.7</w:t>
            </w:r>
          </w:p>
        </w:tc>
        <w:tc>
          <w:tcPr>
            <w:tcW w:w="934" w:type="dxa"/>
            <w:vAlign w:val="bottom"/>
          </w:tcPr>
          <w:p w:rsidR="00AF2960" w:rsidRPr="00AF2960" w:rsidRDefault="00AF2960" w:rsidP="00AF2960">
            <w:pPr>
              <w:cnfStyle w:val="000000010000" w:firstRow="0" w:lastRow="0" w:firstColumn="0" w:lastColumn="0" w:oddVBand="0" w:evenVBand="0" w:oddHBand="0" w:evenHBand="1" w:firstRowFirstColumn="0" w:firstRowLastColumn="0" w:lastRowFirstColumn="0" w:lastRowLastColumn="0"/>
            </w:pPr>
            <w:r w:rsidRPr="00AF2960">
              <w:t>4.4</w:t>
            </w:r>
          </w:p>
        </w:tc>
        <w:tc>
          <w:tcPr>
            <w:tcW w:w="934" w:type="dxa"/>
            <w:vAlign w:val="bottom"/>
          </w:tcPr>
          <w:p w:rsidR="00AF2960" w:rsidRPr="00AF2960" w:rsidRDefault="00AF2960" w:rsidP="00AF2960">
            <w:pPr>
              <w:cnfStyle w:val="000000010000" w:firstRow="0" w:lastRow="0" w:firstColumn="0" w:lastColumn="0" w:oddVBand="0" w:evenVBand="0" w:oddHBand="0" w:evenHBand="1" w:firstRowFirstColumn="0" w:firstRowLastColumn="0" w:lastRowFirstColumn="0" w:lastRowLastColumn="0"/>
            </w:pPr>
            <w:r w:rsidRPr="00AF2960">
              <w:t>4.6</w:t>
            </w:r>
          </w:p>
        </w:tc>
        <w:tc>
          <w:tcPr>
            <w:tcW w:w="934" w:type="dxa"/>
            <w:vAlign w:val="bottom"/>
          </w:tcPr>
          <w:p w:rsidR="00AF2960" w:rsidRPr="00AF2960" w:rsidRDefault="00AF2960" w:rsidP="00AF2960">
            <w:pPr>
              <w:cnfStyle w:val="000000010000" w:firstRow="0" w:lastRow="0" w:firstColumn="0" w:lastColumn="0" w:oddVBand="0" w:evenVBand="0" w:oddHBand="0" w:evenHBand="1" w:firstRowFirstColumn="0" w:firstRowLastColumn="0" w:lastRowFirstColumn="0" w:lastRowLastColumn="0"/>
            </w:pPr>
            <w:r w:rsidRPr="00AF2960">
              <w:t>7.5</w:t>
            </w:r>
          </w:p>
        </w:tc>
        <w:tc>
          <w:tcPr>
            <w:tcW w:w="934" w:type="dxa"/>
            <w:vAlign w:val="bottom"/>
          </w:tcPr>
          <w:p w:rsidR="00AF2960" w:rsidRPr="00AF2960" w:rsidRDefault="00AF2960" w:rsidP="00AF2960">
            <w:pPr>
              <w:cnfStyle w:val="000000010000" w:firstRow="0" w:lastRow="0" w:firstColumn="0" w:lastColumn="0" w:oddVBand="0" w:evenVBand="0" w:oddHBand="0" w:evenHBand="1" w:firstRowFirstColumn="0" w:firstRowLastColumn="0" w:lastRowFirstColumn="0" w:lastRowLastColumn="0"/>
            </w:pPr>
            <w:r w:rsidRPr="00AF2960">
              <w:t>7.5</w:t>
            </w:r>
          </w:p>
        </w:tc>
        <w:tc>
          <w:tcPr>
            <w:tcW w:w="934" w:type="dxa"/>
            <w:vAlign w:val="bottom"/>
          </w:tcPr>
          <w:p w:rsidR="00AF2960" w:rsidRPr="00AF2960" w:rsidRDefault="00AF2960" w:rsidP="00AF2960">
            <w:pPr>
              <w:cnfStyle w:val="000000010000" w:firstRow="0" w:lastRow="0" w:firstColumn="0" w:lastColumn="0" w:oddVBand="0" w:evenVBand="0" w:oddHBand="0" w:evenHBand="1" w:firstRowFirstColumn="0" w:firstRowLastColumn="0" w:lastRowFirstColumn="0" w:lastRowLastColumn="0"/>
            </w:pPr>
            <w:r w:rsidRPr="00AF2960">
              <w:t>30.7</w:t>
            </w:r>
          </w:p>
        </w:tc>
      </w:tr>
      <w:tr w:rsidR="00AF2960" w:rsidRPr="00AF2960" w:rsidTr="00F04988">
        <w:trPr>
          <w:trHeight w:val="467"/>
        </w:trPr>
        <w:tc>
          <w:tcPr>
            <w:cnfStyle w:val="001000000000" w:firstRow="0" w:lastRow="0" w:firstColumn="1" w:lastColumn="0" w:oddVBand="0" w:evenVBand="0" w:oddHBand="0" w:evenHBand="0" w:firstRowFirstColumn="0" w:firstRowLastColumn="0" w:lastRowFirstColumn="0" w:lastRowLastColumn="0"/>
            <w:tcW w:w="3085" w:type="dxa"/>
          </w:tcPr>
          <w:p w:rsidR="00AF2960" w:rsidRPr="00AF2960" w:rsidRDefault="00AF2960" w:rsidP="00AF2960">
            <w:pPr>
              <w:rPr>
                <w:rStyle w:val="Strong"/>
              </w:rPr>
            </w:pPr>
            <w:r w:rsidRPr="00AF2960">
              <w:rPr>
                <w:rStyle w:val="Strong"/>
              </w:rPr>
              <w:t>Net corporate income tax allowance</w:t>
            </w:r>
          </w:p>
        </w:tc>
        <w:tc>
          <w:tcPr>
            <w:tcW w:w="933" w:type="dxa"/>
            <w:vAlign w:val="bottom"/>
          </w:tcPr>
          <w:p w:rsidR="00AF2960" w:rsidRPr="00AF2960" w:rsidRDefault="00AF2960" w:rsidP="00AF2960">
            <w:pPr>
              <w:cnfStyle w:val="000000000000" w:firstRow="0" w:lastRow="0" w:firstColumn="0" w:lastColumn="0" w:oddVBand="0" w:evenVBand="0" w:oddHBand="0" w:evenHBand="0" w:firstRowFirstColumn="0" w:firstRowLastColumn="0" w:lastRowFirstColumn="0" w:lastRowLastColumn="0"/>
              <w:rPr>
                <w:rStyle w:val="Strong"/>
              </w:rPr>
            </w:pPr>
            <w:r w:rsidRPr="00AF2960">
              <w:rPr>
                <w:rStyle w:val="Strong"/>
              </w:rPr>
              <w:t>10.0</w:t>
            </w:r>
          </w:p>
        </w:tc>
        <w:tc>
          <w:tcPr>
            <w:tcW w:w="934" w:type="dxa"/>
            <w:vAlign w:val="bottom"/>
          </w:tcPr>
          <w:p w:rsidR="00AF2960" w:rsidRPr="00AF2960" w:rsidRDefault="00AF2960" w:rsidP="00AF2960">
            <w:pPr>
              <w:cnfStyle w:val="000000000000" w:firstRow="0" w:lastRow="0" w:firstColumn="0" w:lastColumn="0" w:oddVBand="0" w:evenVBand="0" w:oddHBand="0" w:evenHBand="0" w:firstRowFirstColumn="0" w:firstRowLastColumn="0" w:lastRowFirstColumn="0" w:lastRowLastColumn="0"/>
              <w:rPr>
                <w:rStyle w:val="Strong"/>
              </w:rPr>
            </w:pPr>
            <w:r w:rsidRPr="00AF2960">
              <w:rPr>
                <w:rStyle w:val="Strong"/>
              </w:rPr>
              <w:t>6.6</w:t>
            </w:r>
          </w:p>
        </w:tc>
        <w:tc>
          <w:tcPr>
            <w:tcW w:w="934" w:type="dxa"/>
            <w:vAlign w:val="bottom"/>
          </w:tcPr>
          <w:p w:rsidR="00AF2960" w:rsidRPr="00AF2960" w:rsidRDefault="00AF2960" w:rsidP="00AF2960">
            <w:pPr>
              <w:cnfStyle w:val="000000000000" w:firstRow="0" w:lastRow="0" w:firstColumn="0" w:lastColumn="0" w:oddVBand="0" w:evenVBand="0" w:oddHBand="0" w:evenHBand="0" w:firstRowFirstColumn="0" w:firstRowLastColumn="0" w:lastRowFirstColumn="0" w:lastRowLastColumn="0"/>
              <w:rPr>
                <w:rStyle w:val="Strong"/>
              </w:rPr>
            </w:pPr>
            <w:r w:rsidRPr="00AF2960">
              <w:rPr>
                <w:rStyle w:val="Strong"/>
              </w:rPr>
              <w:t>6.9</w:t>
            </w:r>
          </w:p>
        </w:tc>
        <w:tc>
          <w:tcPr>
            <w:tcW w:w="934" w:type="dxa"/>
            <w:vAlign w:val="bottom"/>
          </w:tcPr>
          <w:p w:rsidR="00AF2960" w:rsidRPr="00AF2960" w:rsidRDefault="00AF2960" w:rsidP="00AF2960">
            <w:pPr>
              <w:cnfStyle w:val="000000000000" w:firstRow="0" w:lastRow="0" w:firstColumn="0" w:lastColumn="0" w:oddVBand="0" w:evenVBand="0" w:oddHBand="0" w:evenHBand="0" w:firstRowFirstColumn="0" w:firstRowLastColumn="0" w:lastRowFirstColumn="0" w:lastRowLastColumn="0"/>
              <w:rPr>
                <w:rStyle w:val="Strong"/>
              </w:rPr>
            </w:pPr>
            <w:r w:rsidRPr="00AF2960">
              <w:rPr>
                <w:rStyle w:val="Strong"/>
              </w:rPr>
              <w:t>11.3</w:t>
            </w:r>
          </w:p>
        </w:tc>
        <w:tc>
          <w:tcPr>
            <w:tcW w:w="934" w:type="dxa"/>
            <w:vAlign w:val="bottom"/>
          </w:tcPr>
          <w:p w:rsidR="00AF2960" w:rsidRPr="00AF2960" w:rsidRDefault="00AF2960" w:rsidP="00AF2960">
            <w:pPr>
              <w:cnfStyle w:val="000000000000" w:firstRow="0" w:lastRow="0" w:firstColumn="0" w:lastColumn="0" w:oddVBand="0" w:evenVBand="0" w:oddHBand="0" w:evenHBand="0" w:firstRowFirstColumn="0" w:firstRowLastColumn="0" w:lastRowFirstColumn="0" w:lastRowLastColumn="0"/>
              <w:rPr>
                <w:rStyle w:val="Strong"/>
              </w:rPr>
            </w:pPr>
            <w:r w:rsidRPr="00AF2960">
              <w:rPr>
                <w:rStyle w:val="Strong"/>
              </w:rPr>
              <w:t>11.3</w:t>
            </w:r>
          </w:p>
        </w:tc>
        <w:tc>
          <w:tcPr>
            <w:tcW w:w="934" w:type="dxa"/>
            <w:vAlign w:val="bottom"/>
          </w:tcPr>
          <w:p w:rsidR="00AF2960" w:rsidRPr="00AF2960" w:rsidRDefault="00AF2960" w:rsidP="00AF2960">
            <w:pPr>
              <w:cnfStyle w:val="000000000000" w:firstRow="0" w:lastRow="0" w:firstColumn="0" w:lastColumn="0" w:oddVBand="0" w:evenVBand="0" w:oddHBand="0" w:evenHBand="0" w:firstRowFirstColumn="0" w:firstRowLastColumn="0" w:lastRowFirstColumn="0" w:lastRowLastColumn="0"/>
              <w:rPr>
                <w:rStyle w:val="Strong"/>
              </w:rPr>
            </w:pPr>
            <w:r w:rsidRPr="00AF2960">
              <w:rPr>
                <w:rStyle w:val="Strong"/>
              </w:rPr>
              <w:t>46.1</w:t>
            </w:r>
          </w:p>
        </w:tc>
      </w:tr>
    </w:tbl>
    <w:p w:rsidR="00DF404D" w:rsidRPr="00FD50DB" w:rsidRDefault="00DF404D" w:rsidP="00DF404D">
      <w:pPr>
        <w:pStyle w:val="AERtablesource"/>
      </w:pPr>
      <w:r w:rsidRPr="00FD50DB">
        <w:t xml:space="preserve">Source: </w:t>
      </w:r>
      <w:r w:rsidRPr="00FD50DB">
        <w:tab/>
        <w:t>AER analysis.</w:t>
      </w:r>
    </w:p>
    <w:p w:rsidR="00BE78FB" w:rsidRDefault="00BE78FB" w:rsidP="00132D43"/>
    <w:p w:rsidR="00BE78FB" w:rsidRDefault="00BE78FB" w:rsidP="00BE78FB">
      <w:pPr>
        <w:pStyle w:val="Heading1"/>
      </w:pPr>
      <w:bookmarkStart w:id="159" w:name="_Ref483324247"/>
      <w:bookmarkStart w:id="160" w:name="_Toc487017928"/>
      <w:r>
        <w:t>New incentive schemes to apply from 2018</w:t>
      </w:r>
      <w:bookmarkEnd w:id="159"/>
      <w:bookmarkEnd w:id="160"/>
    </w:p>
    <w:p w:rsidR="000E79B6" w:rsidRDefault="000E79B6" w:rsidP="000E79B6">
      <w:r>
        <w:t xml:space="preserve">AusNet proposed two new incentive schemes to apply for the 2018-22 access arrangement period: </w:t>
      </w:r>
      <w:r w:rsidR="00EF1FAE" w:rsidRPr="00EF1FAE">
        <w:t>a capital expenditure sharing scheme (CESS) and a network innovation scheme (NIS).</w:t>
      </w:r>
    </w:p>
    <w:p w:rsidR="00EF1FAE" w:rsidRPr="00EF1FAE" w:rsidRDefault="00EF1FAE" w:rsidP="00EF1FAE">
      <w:pPr>
        <w:rPr>
          <w:rStyle w:val="AERbody"/>
        </w:rPr>
      </w:pPr>
      <w:r w:rsidRPr="00EF1FAE">
        <w:t xml:space="preserve">Our draft decision accepts the introduction of a CESS, to encourage appropriate and efficient investment in the network and provide continuous incentives </w:t>
      </w:r>
      <w:r w:rsidR="008736BB">
        <w:t xml:space="preserve">to </w:t>
      </w:r>
      <w:r w:rsidRPr="00EF1FAE">
        <w:t xml:space="preserve">seek efficiencies throughout the access arrangement period. We consider a CESS could lead to significant benefits for consumers, particularly </w:t>
      </w:r>
      <w:r w:rsidRPr="00EF1FAE">
        <w:rPr>
          <w:rStyle w:val="AERbody"/>
        </w:rPr>
        <w:t xml:space="preserve">in limiting the growth of the capital base by providing a greater incentive for </w:t>
      </w:r>
      <w:r>
        <w:rPr>
          <w:rStyle w:val="AERbody"/>
        </w:rPr>
        <w:t>AusNet</w:t>
      </w:r>
      <w:r w:rsidRPr="00EF1FAE">
        <w:rPr>
          <w:rStyle w:val="AERbody"/>
        </w:rPr>
        <w:t xml:space="preserve"> to incur only efficient capex. </w:t>
      </w:r>
    </w:p>
    <w:p w:rsidR="00EF1FAE" w:rsidRPr="00EF1FAE" w:rsidRDefault="00EF1FAE" w:rsidP="00EF1FAE">
      <w:r w:rsidRPr="00EF1FAE">
        <w:t xml:space="preserve">The CESS that will be included in </w:t>
      </w:r>
      <w:r>
        <w:t>AusNet</w:t>
      </w:r>
      <w:r w:rsidRPr="00EF1FAE">
        <w:t>'s access arrangement is based on</w:t>
      </w:r>
      <w:r w:rsidR="001B4FAA">
        <w:t xml:space="preserve"> the CESS we developed under the National Electricity Rules</w:t>
      </w:r>
      <w:r w:rsidR="008736BB">
        <w:t xml:space="preserve"> (NER)</w:t>
      </w:r>
      <w:r w:rsidR="001B4FAA">
        <w:t>.</w:t>
      </w:r>
      <w:r w:rsidR="001B4FAA">
        <w:rPr>
          <w:rStyle w:val="FootnoteReference"/>
        </w:rPr>
        <w:footnoteReference w:id="55"/>
      </w:r>
      <w:r w:rsidR="001B4FAA" w:rsidRPr="00EF1FAE" w:rsidDel="001B4FAA">
        <w:t xml:space="preserve"> </w:t>
      </w:r>
      <w:r w:rsidRPr="00EF1FAE">
        <w:t xml:space="preserve">We are conscious of the risk that increased incentives could lead to inefficient deferral of capex in the interests of reducing costs within an access arrangement period. </w:t>
      </w:r>
      <w:r w:rsidR="008736BB">
        <w:t>Recognising</w:t>
      </w:r>
      <w:r w:rsidRPr="00EF1FAE">
        <w:t xml:space="preserve"> that there is no balancing service quality scheme like the STPIS </w:t>
      </w:r>
      <w:r w:rsidR="008736BB">
        <w:t>under the NER</w:t>
      </w:r>
      <w:r w:rsidRPr="00EF1FAE">
        <w:t xml:space="preserve">, </w:t>
      </w:r>
      <w:r w:rsidR="001B4FAA">
        <w:t xml:space="preserve">any reward to AusNet under the </w:t>
      </w:r>
      <w:r w:rsidRPr="00EF1FAE">
        <w:t xml:space="preserve">CESS will be contingent on </w:t>
      </w:r>
      <w:r w:rsidR="001B4FAA">
        <w:t xml:space="preserve">AusNet </w:t>
      </w:r>
      <w:r w:rsidRPr="00EF1FAE">
        <w:t>maintaining current service standards</w:t>
      </w:r>
      <w:r w:rsidR="008E76C2">
        <w:t>. Service standards will be</w:t>
      </w:r>
      <w:r w:rsidRPr="00EF1FAE">
        <w:t xml:space="preserve"> measured through a new network health index</w:t>
      </w:r>
      <w:r w:rsidR="008E76C2">
        <w:t xml:space="preserve"> incorporating leaks on mains, services and meters, and system average interruption frequency and duration indices (SAIFI and SAIDI)</w:t>
      </w:r>
      <w:r w:rsidRPr="00EF1FAE">
        <w:t xml:space="preserve">. If service standards decline, then </w:t>
      </w:r>
      <w:r>
        <w:t>AusNet</w:t>
      </w:r>
      <w:r w:rsidRPr="00EF1FAE">
        <w:t xml:space="preserve"> will receive reduced CESS reward or </w:t>
      </w:r>
      <w:r w:rsidR="00443693">
        <w:t>no reward at all</w:t>
      </w:r>
      <w:r w:rsidRPr="00EF1FAE">
        <w:t>.</w:t>
      </w:r>
    </w:p>
    <w:p w:rsidR="00E56961" w:rsidRDefault="00EF1FAE" w:rsidP="00E56961">
      <w:r w:rsidRPr="00EF1FAE">
        <w:t>Our draft decision does not accept the introduction of a NIS</w:t>
      </w:r>
      <w:r w:rsidR="008736BB">
        <w:t xml:space="preserve">. </w:t>
      </w:r>
      <w:r w:rsidR="00E76BE3">
        <w:t xml:space="preserve">AusNet proposed </w:t>
      </w:r>
      <w:r w:rsidR="008736BB">
        <w:t>a NIS in</w:t>
      </w:r>
      <w:r w:rsidR="00E76BE3">
        <w:t xml:space="preserve"> </w:t>
      </w:r>
      <w:r>
        <w:t xml:space="preserve">the form of an allowance </w:t>
      </w:r>
      <w:r w:rsidR="008736BB">
        <w:t>(a</w:t>
      </w:r>
      <w:r w:rsidR="00E76BE3" w:rsidRPr="00E76BE3">
        <w:t xml:space="preserve"> fixed percentage of </w:t>
      </w:r>
      <w:r w:rsidR="00E76BE3">
        <w:t>its</w:t>
      </w:r>
      <w:r w:rsidR="00E76BE3" w:rsidRPr="00E76BE3">
        <w:t xml:space="preserve"> forecast revenue requirement</w:t>
      </w:r>
      <w:r w:rsidR="008736BB">
        <w:t>)</w:t>
      </w:r>
      <w:r w:rsidR="00E76BE3">
        <w:t xml:space="preserve"> </w:t>
      </w:r>
      <w:r w:rsidRPr="00EF1FAE">
        <w:t xml:space="preserve">to fund projects that comply with pre-determined innovation criteria. </w:t>
      </w:r>
    </w:p>
    <w:p w:rsidR="00E56961" w:rsidRPr="00F02476" w:rsidRDefault="00E56961" w:rsidP="00E56961">
      <w:r w:rsidRPr="00F02476">
        <w:t xml:space="preserve">We understand that, in general, regulated monopolistic businesses face a reduced incentive to innovate when compared to competitive businesses. For a regulated network business, any savings resulting from innovation in one period may lead to a lower revenue allowance in the next period. Therefore, businesses may avoid investments that could have a significant social benefit but would ultimately result in decreased revenue allowance in the subsequent period. </w:t>
      </w:r>
      <w:r>
        <w:t xml:space="preserve">However, our assessment is that </w:t>
      </w:r>
      <w:r w:rsidRPr="00F02476">
        <w:t>Aus</w:t>
      </w:r>
      <w:r>
        <w:t>N</w:t>
      </w:r>
      <w:r w:rsidRPr="00F02476">
        <w:t>et</w:t>
      </w:r>
      <w:r>
        <w:t xml:space="preserve">'s proposed NIS </w:t>
      </w:r>
      <w:r w:rsidRPr="00F02476">
        <w:t xml:space="preserve">does not address the incentive problem </w:t>
      </w:r>
      <w:r>
        <w:t>for</w:t>
      </w:r>
      <w:r w:rsidRPr="00F02476">
        <w:t xml:space="preserve"> the following reasons:</w:t>
      </w:r>
    </w:p>
    <w:p w:rsidR="00883B22" w:rsidRDefault="00883B22" w:rsidP="00883B22">
      <w:pPr>
        <w:pStyle w:val="AERbulletlistfirststyle"/>
      </w:pPr>
      <w:r>
        <w:t>Consumer</w:t>
      </w:r>
      <w:r w:rsidRPr="00F02476">
        <w:t xml:space="preserve">s bear 100 per cent </w:t>
      </w:r>
      <w:r>
        <w:t xml:space="preserve">of </w:t>
      </w:r>
      <w:r w:rsidRPr="00F02476">
        <w:t>the cost of the investment</w:t>
      </w:r>
      <w:r>
        <w:t>, and therefore 100 per cent of the risk that the innovation project is unsuccessful.</w:t>
      </w:r>
      <w:r w:rsidRPr="00F02476">
        <w:t xml:space="preserve"> </w:t>
      </w:r>
    </w:p>
    <w:p w:rsidR="00883B22" w:rsidRPr="00F02476" w:rsidRDefault="00883B22" w:rsidP="00883B22">
      <w:pPr>
        <w:pStyle w:val="AERbulletlistfirststyle"/>
      </w:pPr>
      <w:r w:rsidRPr="00F02476">
        <w:t>It is not clear how the benefits</w:t>
      </w:r>
      <w:r>
        <w:t xml:space="preserve"> of innovation</w:t>
      </w:r>
      <w:r w:rsidRPr="00F02476">
        <w:t xml:space="preserve"> would be shared between</w:t>
      </w:r>
      <w:r>
        <w:t xml:space="preserve"> consumers and AusNet</w:t>
      </w:r>
      <w:r w:rsidRPr="00F02476">
        <w:t xml:space="preserve">. </w:t>
      </w:r>
    </w:p>
    <w:p w:rsidR="00883B22" w:rsidRPr="00F02476" w:rsidRDefault="00883B22" w:rsidP="00883B22">
      <w:pPr>
        <w:pStyle w:val="AERbulletlistfirststyle"/>
      </w:pPr>
      <w:r>
        <w:t>AusNet's</w:t>
      </w:r>
      <w:r w:rsidRPr="00F02476">
        <w:t xml:space="preserve"> propos</w:t>
      </w:r>
      <w:r>
        <w:t xml:space="preserve">al for a NIS </w:t>
      </w:r>
      <w:r w:rsidRPr="00F02476">
        <w:t>is not targeted at a specific social</w:t>
      </w:r>
      <w:r>
        <w:t xml:space="preserve"> or economic</w:t>
      </w:r>
      <w:r w:rsidRPr="00F02476">
        <w:t xml:space="preserve"> problem (such as emissions reduction</w:t>
      </w:r>
      <w:r>
        <w:t xml:space="preserve"> as the scheme is in Great Britain</w:t>
      </w:r>
      <w:r w:rsidRPr="00F02476">
        <w:t>)</w:t>
      </w:r>
      <w:r>
        <w:t>.</w:t>
      </w:r>
      <w:r>
        <w:rPr>
          <w:rStyle w:val="FootnoteReference"/>
        </w:rPr>
        <w:footnoteReference w:id="56"/>
      </w:r>
    </w:p>
    <w:p w:rsidR="00883B22" w:rsidRDefault="00883B22" w:rsidP="00883B22">
      <w:r>
        <w:t xml:space="preserve">We also consider that AusNet has sufficient incentives and opportunities to invest in innovation efficiency enhancements under the current regulatory framework. Our revenue determinations provide total allowances for specific purposes, such as capex and opex investment. Service providers then decide how to spend those allowances as they consider most appropriate, which could include innovative projects that assist service providers to </w:t>
      </w:r>
      <w:r w:rsidRPr="00023739">
        <w:t>provide cost efficient and customer focused services.</w:t>
      </w:r>
    </w:p>
    <w:p w:rsidR="00883B22" w:rsidRPr="00F53FED" w:rsidRDefault="00883B22" w:rsidP="00883B22">
      <w:r w:rsidRPr="00F02476">
        <w:t>On bal</w:t>
      </w:r>
      <w:r>
        <w:t>ance, we do not believe that a NIS</w:t>
      </w:r>
      <w:r w:rsidRPr="00F02476">
        <w:t xml:space="preserve"> will encourage efficiency in the provision of services by </w:t>
      </w:r>
      <w:r>
        <w:t>AusNet</w:t>
      </w:r>
      <w:r w:rsidRPr="00F02476">
        <w:t xml:space="preserve"> </w:t>
      </w:r>
      <w:r>
        <w:t xml:space="preserve">in </w:t>
      </w:r>
      <w:r w:rsidRPr="00F02476">
        <w:t>the long term interests of consumers. We think that</w:t>
      </w:r>
      <w:r>
        <w:t xml:space="preserve">, particularly with the addition of a CESS, </w:t>
      </w:r>
      <w:r w:rsidRPr="00F02476">
        <w:t xml:space="preserve">the current framework provides sufficient opportunity to invest in innovation while allowing businesses to retain any efficiency benefits. </w:t>
      </w:r>
    </w:p>
    <w:p w:rsidR="00E56961" w:rsidRDefault="00E56961" w:rsidP="00E56961"/>
    <w:p w:rsidR="00EF1FAE" w:rsidRPr="00EF1FAE" w:rsidRDefault="00EF1FAE" w:rsidP="00EF1FAE"/>
    <w:p w:rsidR="00BE78FB" w:rsidRDefault="00BE78FB" w:rsidP="00BE78FB">
      <w:pPr>
        <w:pStyle w:val="Heading1"/>
      </w:pPr>
      <w:bookmarkStart w:id="161" w:name="_Ref483324257"/>
      <w:bookmarkStart w:id="162" w:name="_Toc487017929"/>
      <w:r>
        <w:t>Non-tariff components</w:t>
      </w:r>
      <w:bookmarkEnd w:id="161"/>
      <w:bookmarkEnd w:id="162"/>
    </w:p>
    <w:p w:rsidR="00667242" w:rsidRPr="00522972" w:rsidRDefault="00667242" w:rsidP="00667242">
      <w:r w:rsidRPr="00522972">
        <w:t xml:space="preserve">The non-tariff components </w:t>
      </w:r>
      <w:r>
        <w:t>of an access arrangement include</w:t>
      </w:r>
      <w:r w:rsidRPr="00522972">
        <w:t>:</w:t>
      </w:r>
    </w:p>
    <w:p w:rsidR="00667242" w:rsidRPr="00522972" w:rsidRDefault="00667242" w:rsidP="00667242">
      <w:pPr>
        <w:pStyle w:val="AERbulletlistfirststyle"/>
      </w:pPr>
      <w:r w:rsidRPr="00522972">
        <w:t xml:space="preserve">the terms and conditions for the supply of reference services </w:t>
      </w:r>
    </w:p>
    <w:p w:rsidR="00667242" w:rsidRPr="00522972" w:rsidRDefault="00667242" w:rsidP="00667242">
      <w:pPr>
        <w:pStyle w:val="AERbulletlistfirststyle"/>
      </w:pPr>
      <w:r w:rsidRPr="00522972">
        <w:t>extension and expansion requirements—the method for determining whether an extension or expansion is a part of the covered pipeline and the effect this will have on tariffs</w:t>
      </w:r>
    </w:p>
    <w:p w:rsidR="00667242" w:rsidRPr="00522972" w:rsidRDefault="00667242" w:rsidP="00667242">
      <w:pPr>
        <w:pStyle w:val="AERbulletlistfirststyle"/>
      </w:pPr>
      <w:r w:rsidRPr="00522972">
        <w:t xml:space="preserve">capacity trading requirements—the arrangements for users to assign contracted capacity and change delivery and receipt points </w:t>
      </w:r>
    </w:p>
    <w:p w:rsidR="00667242" w:rsidRPr="00522972" w:rsidRDefault="00667242" w:rsidP="00667242">
      <w:pPr>
        <w:pStyle w:val="AERbulletlistfirststyle"/>
      </w:pPr>
      <w:r w:rsidRPr="00522972">
        <w:t>provisions for receipt and delivery point changes, and</w:t>
      </w:r>
    </w:p>
    <w:p w:rsidR="00667242" w:rsidRPr="00522972" w:rsidRDefault="00667242" w:rsidP="00667242">
      <w:pPr>
        <w:pStyle w:val="AERbulletlistfirststyle"/>
      </w:pPr>
      <w:r w:rsidRPr="00522972">
        <w:t>a review submission date and a revision commencement date.</w:t>
      </w:r>
      <w:r w:rsidRPr="00522972">
        <w:rPr>
          <w:rStyle w:val="FootnoteReference"/>
        </w:rPr>
        <w:footnoteReference w:id="57"/>
      </w:r>
    </w:p>
    <w:p w:rsidR="00BE78FB" w:rsidRDefault="00667242" w:rsidP="00132D43">
      <w:r>
        <w:t xml:space="preserve">Our draft decision is to accept AusNet's proposed non-tariff components, subject to one minor </w:t>
      </w:r>
      <w:r w:rsidR="001928D6">
        <w:t>refinement—suggested by AusNet</w:t>
      </w:r>
      <w:r w:rsidR="00395E62">
        <w:rPr>
          <w:rStyle w:val="FootnoteReference"/>
        </w:rPr>
        <w:footnoteReference w:id="58"/>
      </w:r>
      <w:r w:rsidR="001928D6">
        <w:t>—</w:t>
      </w:r>
      <w:r>
        <w:t xml:space="preserve">to </w:t>
      </w:r>
      <w:r w:rsidR="001928D6">
        <w:t>clarify</w:t>
      </w:r>
      <w:r>
        <w:t xml:space="preserve"> </w:t>
      </w:r>
      <w:r w:rsidR="001928D6">
        <w:t>the interaction o</w:t>
      </w:r>
      <w:r>
        <w:t>f its extensions and expansions policy</w:t>
      </w:r>
      <w:r w:rsidR="001928D6">
        <w:t xml:space="preserve"> and tariff control formula</w:t>
      </w:r>
      <w:r>
        <w:t>.</w:t>
      </w:r>
    </w:p>
    <w:p w:rsidR="0093698F" w:rsidRDefault="0093698F" w:rsidP="00132D43">
      <w:r>
        <w:t xml:space="preserve">AusNet initially proposed </w:t>
      </w:r>
      <w:r w:rsidRPr="00874FB4">
        <w:t xml:space="preserve">a review submission date of </w:t>
      </w:r>
      <w:r>
        <w:t xml:space="preserve">1 January 2022, but then indicated it would be prepared to bring this date forward by one month to </w:t>
      </w:r>
      <w:r w:rsidRPr="00874FB4">
        <w:t>1 December 2021</w:t>
      </w:r>
      <w:r>
        <w:t xml:space="preserve"> to avoid the administrative difficulties of submitting in the holiday season.</w:t>
      </w:r>
      <w:r>
        <w:rPr>
          <w:rStyle w:val="FootnoteReference"/>
        </w:rPr>
        <w:footnoteReference w:id="59"/>
      </w:r>
      <w:r>
        <w:t xml:space="preserve"> Our draft decision is to accept AusNet's amended review submission date of 1 December 2021.</w:t>
      </w:r>
    </w:p>
    <w:p w:rsidR="00BE78FB" w:rsidRDefault="00BE78FB" w:rsidP="00BE78FB">
      <w:pPr>
        <w:pStyle w:val="Heading1"/>
      </w:pPr>
      <w:bookmarkStart w:id="163" w:name="_Toc481056464"/>
      <w:bookmarkStart w:id="164" w:name="_Ref481056671"/>
      <w:bookmarkStart w:id="165" w:name="_Toc487017930"/>
      <w:r>
        <w:t>Understanding the NGO</w:t>
      </w:r>
      <w:bookmarkEnd w:id="163"/>
      <w:bookmarkEnd w:id="164"/>
      <w:bookmarkEnd w:id="165"/>
    </w:p>
    <w:p w:rsidR="00BE78FB" w:rsidRDefault="00BE78FB" w:rsidP="00BE78FB">
      <w:pPr>
        <w:numPr>
          <w:ilvl w:val="0"/>
          <w:numId w:val="24"/>
        </w:numPr>
      </w:pPr>
      <w:r w:rsidRPr="006C7462">
        <w:t>The N</w:t>
      </w:r>
      <w:r>
        <w:t>G</w:t>
      </w:r>
      <w:r w:rsidRPr="006C7462">
        <w:t xml:space="preserve">O is the central feature of the </w:t>
      </w:r>
      <w:r>
        <w:t>regulatory</w:t>
      </w:r>
      <w:r w:rsidRPr="006C7462">
        <w:t xml:space="preserve"> framework. The N</w:t>
      </w:r>
      <w:r>
        <w:t>G</w:t>
      </w:r>
      <w:r w:rsidRPr="006C7462">
        <w:t>O is</w:t>
      </w:r>
    </w:p>
    <w:p w:rsidR="00BE78FB" w:rsidRDefault="00BE78FB" w:rsidP="00BE78FB">
      <w:pPr>
        <w:pStyle w:val="AERquoteindent2"/>
      </w:pPr>
      <w:r w:rsidRPr="006C7462">
        <w:t xml:space="preserve">to promote efficient investment in, and efficient operation and use of, </w:t>
      </w:r>
      <w:r>
        <w:t xml:space="preserve">natural gas </w:t>
      </w:r>
      <w:r w:rsidRPr="006C7462">
        <w:t xml:space="preserve">services for the long term interests of consumers of </w:t>
      </w:r>
      <w:r>
        <w:t>natural gas</w:t>
      </w:r>
      <w:r w:rsidRPr="006C7462">
        <w:t xml:space="preserve"> with respect to</w:t>
      </w:r>
      <w:r w:rsidRPr="00C5352F">
        <w:t xml:space="preserve"> </w:t>
      </w:r>
      <w:r w:rsidRPr="006C7462">
        <w:t xml:space="preserve">price, quality, safety, reliability and security of supply of </w:t>
      </w:r>
      <w:r>
        <w:t>natural gas.</w:t>
      </w:r>
      <w:r w:rsidRPr="006C7462">
        <w:rPr>
          <w:rStyle w:val="FootnoteReference"/>
        </w:rPr>
        <w:footnoteReference w:id="60"/>
      </w:r>
      <w:r w:rsidRPr="006C7462">
        <w:t xml:space="preserve">  </w:t>
      </w:r>
    </w:p>
    <w:p w:rsidR="00BE78FB" w:rsidRPr="006C7462" w:rsidRDefault="00BE78FB" w:rsidP="00BE78FB">
      <w:pPr>
        <w:pStyle w:val="ListParagraph"/>
        <w:numPr>
          <w:ilvl w:val="0"/>
          <w:numId w:val="24"/>
        </w:numPr>
      </w:pPr>
      <w:r w:rsidRPr="006C7462">
        <w:t>Energy Ministers have provided us with</w:t>
      </w:r>
      <w:r>
        <w:t xml:space="preserve"> a substantial body of explanatory material</w:t>
      </w:r>
      <w:r w:rsidRPr="006C7462">
        <w:t xml:space="preserve"> that guides our </w:t>
      </w:r>
      <w:r>
        <w:t>understanding of the NG</w:t>
      </w:r>
      <w:r w:rsidRPr="006C7462">
        <w:t>O.</w:t>
      </w:r>
      <w:r w:rsidRPr="006C7462">
        <w:rPr>
          <w:rStyle w:val="FootnoteReference"/>
        </w:rPr>
        <w:footnoteReference w:id="61"/>
      </w:r>
      <w:r>
        <w:t xml:space="preserve"> </w:t>
      </w:r>
      <w:r w:rsidRPr="006C7462">
        <w:t>The long term interests of consumers are no</w:t>
      </w:r>
      <w:r>
        <w:t>t delivered by any one of the NG</w:t>
      </w:r>
      <w:r w:rsidRPr="006C7462">
        <w:t>O's factors in isolation, but rather by balancing them</w:t>
      </w:r>
      <w:r>
        <w:t xml:space="preserve"> in reaching a regulatory decision</w:t>
      </w:r>
      <w:r w:rsidRPr="006C7462">
        <w:t>.</w:t>
      </w:r>
      <w:r w:rsidRPr="006C7462">
        <w:rPr>
          <w:rStyle w:val="FootnoteReference"/>
        </w:rPr>
        <w:footnoteReference w:id="62"/>
      </w:r>
    </w:p>
    <w:p w:rsidR="00BE78FB" w:rsidRPr="00F853E0" w:rsidRDefault="00BE78FB" w:rsidP="00BE78FB">
      <w:r w:rsidRPr="006C7462">
        <w:t>In general, we consider that we will achieve this balance and, therefore, contrib</w:t>
      </w:r>
      <w:r>
        <w:t>ute to the achievement of the NG</w:t>
      </w:r>
      <w:r w:rsidRPr="006C7462">
        <w:t>O</w:t>
      </w:r>
      <w:r>
        <w:t>,</w:t>
      </w:r>
      <w:r w:rsidRPr="006C7462">
        <w:t xml:space="preserve"> where consumers </w:t>
      </w:r>
      <w:r>
        <w:t>are provided</w:t>
      </w:r>
      <w:r w:rsidRPr="006C7462">
        <w:t xml:space="preserve"> a reasonable level of </w:t>
      </w:r>
      <w:r>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63"/>
      </w:r>
      <w:r>
        <w:t xml:space="preserve"> </w:t>
      </w:r>
      <w:r w:rsidRPr="00F853E0">
        <w:t xml:space="preserve">We have also considered the quality and reliability of services provided to consumers. For example, the opex allowance and pass through mechanism approved in this draft decision has been set so that </w:t>
      </w:r>
      <w:r w:rsidR="005C418E">
        <w:t>AusNet</w:t>
      </w:r>
      <w:r w:rsidRPr="00F853E0">
        <w:t xml:space="preserve"> can meet existing and new regulatory requirements. Our approved capex forecast includes expenditure to replace assets that are aged or in unacceptable condition.</w:t>
      </w:r>
    </w:p>
    <w:p w:rsidR="00BE78FB" w:rsidRDefault="00BE78FB" w:rsidP="00BE78FB">
      <w:pPr>
        <w:pStyle w:val="ListParagraph"/>
        <w:numPr>
          <w:ilvl w:val="0"/>
          <w:numId w:val="24"/>
        </w:numPr>
      </w:pPr>
      <w:r w:rsidRPr="006C7462">
        <w:t xml:space="preserve">The nature of decisions </w:t>
      </w:r>
      <w:r>
        <w:t>under the NGR</w:t>
      </w:r>
      <w:r w:rsidRPr="006C7462">
        <w:t xml:space="preserve"> is such that there may be a range of economically efficient decisions, with different implications for the long term interests of consumers.</w:t>
      </w:r>
      <w:r w:rsidRPr="006C7462">
        <w:rPr>
          <w:rStyle w:val="FootnoteReference"/>
        </w:rPr>
        <w:footnoteReference w:id="64"/>
      </w:r>
      <w:r w:rsidRPr="006C7462">
        <w:t xml:space="preserve"> At the same time, however, there are a range of outcomes tha</w:t>
      </w:r>
      <w:r>
        <w:t>t are unlikely to advance the NG</w:t>
      </w:r>
      <w:r w:rsidRPr="006C7462">
        <w:t>O</w:t>
      </w:r>
      <w:r>
        <w:t>, or not advance the NGO</w:t>
      </w:r>
      <w:r w:rsidRPr="006C7462">
        <w:t xml:space="preserve"> to </w:t>
      </w:r>
      <w:r>
        <w:t>the degree that others would</w:t>
      </w:r>
      <w:r w:rsidRPr="006C7462">
        <w:t xml:space="preserve">. </w:t>
      </w:r>
    </w:p>
    <w:p w:rsidR="00BE78FB" w:rsidRDefault="00BE78FB" w:rsidP="00BE78FB">
      <w:pPr>
        <w:pStyle w:val="ListParagraph"/>
        <w:numPr>
          <w:ilvl w:val="0"/>
          <w:numId w:val="24"/>
        </w:numPr>
      </w:pPr>
      <w:r w:rsidRPr="006C7462">
        <w:t>For example</w:t>
      </w:r>
      <w:r>
        <w:t>, we do not consider that the NG</w:t>
      </w:r>
      <w:r w:rsidRPr="006C7462">
        <w:t>O would be advanced if allowed revenues encourage overinvestment and result in prices so high that consumers are unwilling or unable to efficiently use the network.</w:t>
      </w:r>
      <w:r w:rsidRPr="006C7462">
        <w:rPr>
          <w:rStyle w:val="FootnoteReference"/>
        </w:rPr>
        <w:footnoteReference w:id="65"/>
      </w:r>
      <w:r w:rsidRPr="006C7462">
        <w:t xml:space="preserve"> This could have significant longer term pricing implications for those consumers who continue to use network services.</w:t>
      </w:r>
    </w:p>
    <w:p w:rsidR="00BE78FB" w:rsidRDefault="00BE78FB" w:rsidP="00BE78FB">
      <w:pPr>
        <w:pStyle w:val="ListParagraph"/>
        <w:numPr>
          <w:ilvl w:val="0"/>
          <w:numId w:val="24"/>
        </w:numPr>
      </w:pPr>
      <w:r w:rsidRPr="006C7462">
        <w:t>Eq</w:t>
      </w:r>
      <w:r>
        <w:t>ually, we do not consider the NG</w:t>
      </w:r>
      <w:r w:rsidRPr="006C7462">
        <w:t xml:space="preserv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66"/>
      </w:r>
      <w:r w:rsidRPr="006C7462">
        <w:t xml:space="preserve"> </w:t>
      </w:r>
      <w:r>
        <w:t>and</w:t>
      </w:r>
      <w:r w:rsidRPr="006C7462">
        <w:t xml:space="preserve"> </w:t>
      </w:r>
      <w:r>
        <w:t>could</w:t>
      </w:r>
      <w:r w:rsidRPr="006C7462">
        <w:t xml:space="preserve"> have adverse consequences for safety, security and reliability of the network. </w:t>
      </w:r>
    </w:p>
    <w:p w:rsidR="00BE78FB" w:rsidRPr="003B504B" w:rsidRDefault="00BE78FB" w:rsidP="00BE78FB">
      <w:r w:rsidRPr="006C7462">
        <w:t>The N</w:t>
      </w:r>
      <w:r>
        <w:t>G</w:t>
      </w:r>
      <w:r w:rsidRPr="006C7462">
        <w:t>L also includes the revenue and pricing principles (RPP), which support the N</w:t>
      </w:r>
      <w:r>
        <w:t>G</w:t>
      </w:r>
      <w:r w:rsidRPr="006C7462">
        <w:t>O.</w:t>
      </w:r>
      <w:r w:rsidRPr="006C7462">
        <w:rPr>
          <w:rStyle w:val="FootnoteReference"/>
        </w:rPr>
        <w:footnoteReference w:id="67"/>
      </w:r>
      <w:r w:rsidRPr="006C7462">
        <w:t xml:space="preserve"> As the N</w:t>
      </w:r>
      <w:r>
        <w:t>G</w:t>
      </w:r>
      <w:r w:rsidRPr="006C7462">
        <w:t>L requires,</w:t>
      </w:r>
      <w:r w:rsidRPr="006C7462">
        <w:rPr>
          <w:rStyle w:val="FootnoteReference"/>
        </w:rPr>
        <w:footnoteReference w:id="68"/>
      </w:r>
      <w:r w:rsidRPr="006C7462">
        <w:t xml:space="preserve"> we have taken the RPPs into account throughout our analysis</w:t>
      </w:r>
      <w:r w:rsidR="0044055D">
        <w:t xml:space="preserve"> under the NGR</w:t>
      </w:r>
      <w:r w:rsidRPr="006C7462">
        <w:t xml:space="preserve">. The RPPs are: </w:t>
      </w:r>
    </w:p>
    <w:p w:rsidR="00BE78FB" w:rsidRPr="00AF78C7" w:rsidRDefault="00BE78FB" w:rsidP="00BE78FB">
      <w:pPr>
        <w:pStyle w:val="AERquote"/>
      </w:pPr>
      <w:bookmarkStart w:id="166" w:name="id3d9e0c67_2587_487c_84b5_232488295210_a"/>
      <w:r w:rsidRPr="00AF78C7">
        <w:t xml:space="preserve">A service provider should be provided with a reasonable opportunity to recover at least the efficient costs the </w:t>
      </w:r>
      <w:r>
        <w:t>service provider</w:t>
      </w:r>
      <w:r w:rsidRPr="00AF78C7">
        <w:t xml:space="preserve"> incurs in—</w:t>
      </w:r>
      <w:bookmarkEnd w:id="166"/>
    </w:p>
    <w:p w:rsidR="00BE78FB" w:rsidRPr="00AF78C7" w:rsidRDefault="00BE78FB" w:rsidP="00BE78FB">
      <w:pPr>
        <w:pStyle w:val="AERquotebullet1"/>
      </w:pPr>
      <w:r w:rsidRPr="00AF78C7">
        <w:t xml:space="preserve">providing </w:t>
      </w:r>
      <w:r>
        <w:t>reference</w:t>
      </w:r>
      <w:r w:rsidRPr="00AF78C7">
        <w:t xml:space="preserve"> services; and</w:t>
      </w:r>
    </w:p>
    <w:p w:rsidR="00BE78FB" w:rsidRPr="00AF78C7" w:rsidRDefault="00BE78FB" w:rsidP="00BE78FB">
      <w:pPr>
        <w:pStyle w:val="AERquotebullet1"/>
      </w:pPr>
      <w:bookmarkStart w:id="167" w:name="id39d95c28_3773_4662_b32f_fead85a8dc26_0"/>
      <w:r w:rsidRPr="00AF78C7">
        <w:t>complying with a regulatory obligation or requirement or making a regulatory payment.</w:t>
      </w:r>
      <w:bookmarkEnd w:id="167"/>
    </w:p>
    <w:p w:rsidR="00BE78FB" w:rsidRPr="00AF78C7" w:rsidRDefault="00BE78FB" w:rsidP="00BE78FB">
      <w:pPr>
        <w:pStyle w:val="AERquote"/>
      </w:pPr>
      <w:r w:rsidRPr="00AF78C7">
        <w:t xml:space="preserve">A service provider should be provided with effective incentives in order to promote economic efficiency with respect to </w:t>
      </w:r>
      <w:r>
        <w:t>reference</w:t>
      </w:r>
      <w:r w:rsidRPr="00AF78C7">
        <w:t xml:space="preserve"> services the </w:t>
      </w:r>
      <w:r>
        <w:t>service provider</w:t>
      </w:r>
      <w:r w:rsidRPr="00AF78C7">
        <w:t xml:space="preserve"> provides. The economic efficiency that should be promoted includes—</w:t>
      </w:r>
    </w:p>
    <w:p w:rsidR="00BE78FB" w:rsidRPr="00AF78C7" w:rsidRDefault="00BE78FB" w:rsidP="00BE78FB">
      <w:pPr>
        <w:pStyle w:val="AERquotebullet1"/>
      </w:pPr>
      <w:r w:rsidRPr="00AF78C7">
        <w:t>efficient investment in</w:t>
      </w:r>
      <w:r>
        <w:t>, or in connection with, a pipeline</w:t>
      </w:r>
      <w:r w:rsidRPr="00AF78C7">
        <w:t xml:space="preserve"> with which the </w:t>
      </w:r>
      <w:r>
        <w:t>service provider</w:t>
      </w:r>
      <w:r w:rsidRPr="00AF78C7">
        <w:t xml:space="preserve"> provides </w:t>
      </w:r>
      <w:r>
        <w:t>reference</w:t>
      </w:r>
      <w:r w:rsidRPr="00AF78C7">
        <w:t xml:space="preserve"> services; and</w:t>
      </w:r>
    </w:p>
    <w:p w:rsidR="00BE78FB" w:rsidRPr="003B504B" w:rsidRDefault="00BE78FB" w:rsidP="00BE78FB">
      <w:pPr>
        <w:pStyle w:val="AERquotebullet1"/>
      </w:pPr>
      <w:r w:rsidRPr="00AF78C7">
        <w:t xml:space="preserve">the efficient provision of </w:t>
      </w:r>
      <w:r>
        <w:t>pipeline</w:t>
      </w:r>
      <w:r w:rsidRPr="00AF78C7">
        <w:t xml:space="preserve"> services; and</w:t>
      </w:r>
    </w:p>
    <w:p w:rsidR="00BE78FB" w:rsidRPr="00AF78C7" w:rsidRDefault="00BE78FB" w:rsidP="00BE78FB">
      <w:pPr>
        <w:pStyle w:val="AERquotebullet1"/>
      </w:pPr>
      <w:r w:rsidRPr="00AF78C7">
        <w:t xml:space="preserve">the efficient use of the </w:t>
      </w:r>
      <w:r>
        <w:t>pipeline</w:t>
      </w:r>
      <w:r w:rsidRPr="00AF78C7">
        <w:t>.</w:t>
      </w:r>
    </w:p>
    <w:p w:rsidR="00BE78FB" w:rsidRPr="00AF78C7" w:rsidRDefault="00BE78FB" w:rsidP="00BE78FB">
      <w:pPr>
        <w:pStyle w:val="AERquote"/>
      </w:pPr>
      <w:r w:rsidRPr="00AF78C7">
        <w:t xml:space="preserve">Regard should be had to the </w:t>
      </w:r>
      <w:r>
        <w:t>capital</w:t>
      </w:r>
      <w:r w:rsidRPr="00AF78C7">
        <w:t xml:space="preserve"> base with respect to a </w:t>
      </w:r>
      <w:r>
        <w:t>pipeline</w:t>
      </w:r>
      <w:r w:rsidRPr="00AF78C7">
        <w:t xml:space="preserve"> adopted—</w:t>
      </w:r>
    </w:p>
    <w:p w:rsidR="00BE78FB" w:rsidRPr="00AF78C7" w:rsidRDefault="00BE78FB" w:rsidP="00BE78FB">
      <w:pPr>
        <w:pStyle w:val="AERquotebullet1"/>
      </w:pPr>
      <w:r w:rsidRPr="00AF78C7">
        <w:t>in any previous—</w:t>
      </w:r>
    </w:p>
    <w:p w:rsidR="00BE78FB" w:rsidRPr="005766DB" w:rsidRDefault="00BE78FB" w:rsidP="00BE78FB">
      <w:pPr>
        <w:pStyle w:val="AERquotebullet1"/>
      </w:pPr>
      <w:r>
        <w:t>full access arrangement</w:t>
      </w:r>
      <w:r w:rsidRPr="005766DB">
        <w:t>; or</w:t>
      </w:r>
    </w:p>
    <w:p w:rsidR="00BE78FB" w:rsidRPr="005766DB" w:rsidRDefault="00BE78FB" w:rsidP="00BE78FB">
      <w:pPr>
        <w:pStyle w:val="AERquotebullet1"/>
      </w:pPr>
      <w:r>
        <w:t>decision of a relevant regulator under section 2 of the Gas Code</w:t>
      </w:r>
      <w:r w:rsidRPr="005766DB">
        <w:t>; or</w:t>
      </w:r>
    </w:p>
    <w:p w:rsidR="00BE78FB" w:rsidRPr="00AF78C7" w:rsidRDefault="00BE78FB" w:rsidP="00BE78FB">
      <w:pPr>
        <w:pStyle w:val="AERquotebullet1"/>
      </w:pPr>
      <w:r w:rsidRPr="00AF78C7">
        <w:t>in the Rules.</w:t>
      </w:r>
    </w:p>
    <w:p w:rsidR="00BE78FB" w:rsidRPr="00AF78C7" w:rsidRDefault="00BE78FB" w:rsidP="00BE78FB">
      <w:pPr>
        <w:pStyle w:val="AERquote"/>
      </w:pPr>
      <w:r>
        <w:t>A reference tariff</w:t>
      </w:r>
      <w:r w:rsidRPr="00AF78C7">
        <w:t xml:space="preserve"> should allow for a return commensurate with the regulatory and commercial risks involved in providing the </w:t>
      </w:r>
      <w:r>
        <w:t>reference</w:t>
      </w:r>
      <w:r w:rsidRPr="00AF78C7">
        <w:t xml:space="preserve"> service to which that </w:t>
      </w:r>
      <w:r>
        <w:t>tariff</w:t>
      </w:r>
      <w:r w:rsidRPr="00AF78C7">
        <w:t xml:space="preserve"> relates.</w:t>
      </w:r>
    </w:p>
    <w:p w:rsidR="00BE78FB" w:rsidRPr="00AF78C7" w:rsidRDefault="00BE78FB" w:rsidP="00BE78FB">
      <w:pPr>
        <w:pStyle w:val="AERquote"/>
      </w:pPr>
      <w:r w:rsidRPr="00AF78C7">
        <w:t>Regard should be had to the economic costs and risks of the potential for under and over investment by a service provider in</w:t>
      </w:r>
      <w:r>
        <w:t xml:space="preserve"> a pipeline</w:t>
      </w:r>
      <w:r w:rsidRPr="00AF78C7">
        <w:t xml:space="preserve"> with which the </w:t>
      </w:r>
      <w:r>
        <w:t>service provider</w:t>
      </w:r>
      <w:r w:rsidRPr="00AF78C7">
        <w:t xml:space="preserve"> provides </w:t>
      </w:r>
      <w:r>
        <w:t>pipeline</w:t>
      </w:r>
      <w:r w:rsidRPr="00AF78C7">
        <w:t xml:space="preserve"> services.</w:t>
      </w:r>
    </w:p>
    <w:p w:rsidR="00BE78FB" w:rsidRDefault="00BE78FB" w:rsidP="00BE78FB">
      <w:pPr>
        <w:pStyle w:val="AERquote"/>
      </w:pPr>
      <w:r w:rsidRPr="006C7462">
        <w:t xml:space="preserve">Regard should be had to the economic costs and risks of the potential for under and over utilisation of a </w:t>
      </w:r>
      <w:r>
        <w:t>pipeline</w:t>
      </w:r>
      <w:r w:rsidRPr="006C7462">
        <w:t xml:space="preserve"> with which a service provider provides </w:t>
      </w:r>
      <w:r>
        <w:t>pipeline</w:t>
      </w:r>
      <w:r w:rsidRPr="006C7462">
        <w:t xml:space="preserve"> services. </w:t>
      </w:r>
    </w:p>
    <w:p w:rsidR="00BE78FB" w:rsidRDefault="00BE78FB" w:rsidP="00BE78FB">
      <w:pPr>
        <w:numPr>
          <w:ilvl w:val="0"/>
          <w:numId w:val="24"/>
        </w:numPr>
      </w:pPr>
      <w:r>
        <w:t>Consistent with Energy Ministers' views, we set the amount of revenue that service providers can recover from customers to balance all of the elements of the NGO and consider each of the RPPs.</w:t>
      </w:r>
      <w:r>
        <w:rPr>
          <w:rStyle w:val="FootnoteReference"/>
        </w:rPr>
        <w:footnoteReference w:id="69"/>
      </w:r>
      <w:r>
        <w:t xml:space="preserve"> For example:</w:t>
      </w:r>
    </w:p>
    <w:p w:rsidR="00BE78FB" w:rsidRPr="00524603" w:rsidRDefault="00BE78FB" w:rsidP="00BE78FB">
      <w:pPr>
        <w:pStyle w:val="AERbulletlistfirststyle"/>
      </w:pPr>
      <w:r w:rsidRPr="00232478">
        <w:t xml:space="preserve">In determining forecast opex and capex that reasonably reflects the opex and capex </w:t>
      </w:r>
      <w:r w:rsidRPr="00524603">
        <w:t xml:space="preserve">criteria, we take into account the revenue and pricing principle that we should provide </w:t>
      </w:r>
      <w:r w:rsidR="005C418E">
        <w:t>AusNet</w:t>
      </w:r>
      <w:r w:rsidRPr="00524603">
        <w:t xml:space="preserve"> with a reasonable opportunity to recover at least efficient costs (refer to capex attachment 6 and opex attachment 7). </w:t>
      </w:r>
    </w:p>
    <w:p w:rsidR="00BE78FB" w:rsidRPr="00524603" w:rsidRDefault="00BE78FB" w:rsidP="00BE78FB">
      <w:pPr>
        <w:pStyle w:val="AERbulletlistfirststyle"/>
      </w:pPr>
      <w:r w:rsidRPr="00A35C7A">
        <w:t xml:space="preserve">We take into account the economic costs and risks of the potential for under and over investment by a service provider in our assessment </w:t>
      </w:r>
      <w:r w:rsidRPr="00524603">
        <w:t xml:space="preserve">of </w:t>
      </w:r>
      <w:r w:rsidR="005C418E">
        <w:t>AusNet</w:t>
      </w:r>
      <w:r w:rsidRPr="00524603">
        <w:t>’s forecast capex and opex proposals (refer to capex attachment 6 and opex attachment 7).</w:t>
      </w:r>
    </w:p>
    <w:p w:rsidR="00BE78FB" w:rsidRPr="00524603" w:rsidRDefault="00BE78FB" w:rsidP="00BE78FB">
      <w:pPr>
        <w:pStyle w:val="AERbulletlistfirststyle"/>
      </w:pPr>
      <w:r w:rsidRPr="00A35C7A">
        <w:t xml:space="preserve">We consider the economic costs and risks of the potential for under and over utilisation of </w:t>
      </w:r>
      <w:r w:rsidR="005C418E">
        <w:t>AusNet</w:t>
      </w:r>
      <w:r w:rsidRPr="00524603">
        <w:t>’s network in our decisions on demand forecasting and forecast augmentation capex (refer to capex attachment 6 and demand attachment 13).</w:t>
      </w:r>
    </w:p>
    <w:p w:rsidR="00BE78FB" w:rsidRPr="00524603" w:rsidRDefault="00BC175A" w:rsidP="00BE78FB">
      <w:pPr>
        <w:pStyle w:val="AERbulletlistfirststyle"/>
      </w:pPr>
      <w:r>
        <w:t>The</w:t>
      </w:r>
      <w:r w:rsidR="00BE78FB" w:rsidRPr="00524603">
        <w:t xml:space="preserve"> </w:t>
      </w:r>
      <w:r w:rsidR="00FF34F5">
        <w:t xml:space="preserve">opex and capex </w:t>
      </w:r>
      <w:r w:rsidR="00BE78FB" w:rsidRPr="00524603">
        <w:t>efficiency carryover mechanism</w:t>
      </w:r>
      <w:r>
        <w:t xml:space="preserve">s </w:t>
      </w:r>
      <w:r w:rsidR="00BE78FB" w:rsidRPr="00524603">
        <w:t xml:space="preserve">in this decision provide </w:t>
      </w:r>
      <w:r w:rsidR="005C418E">
        <w:t>AusNet</w:t>
      </w:r>
      <w:r w:rsidR="00BE78FB" w:rsidRPr="00524603">
        <w:t xml:space="preserve"> with effective incentives which we consider will promote economic efficiency with respect to the reference service that </w:t>
      </w:r>
      <w:r w:rsidR="005C418E">
        <w:t>AusNet</w:t>
      </w:r>
      <w:r w:rsidR="00BE78FB" w:rsidRPr="00524603">
        <w:t xml:space="preserve"> provides throughout the access arrangement period (refer to efficiency carryover mechanism attachment 9</w:t>
      </w:r>
      <w:r>
        <w:t>, and other incentive schemes attachment 14</w:t>
      </w:r>
      <w:r w:rsidR="00BE78FB" w:rsidRPr="00524603">
        <w:t xml:space="preserve">). </w:t>
      </w:r>
    </w:p>
    <w:p w:rsidR="00BE78FB" w:rsidRPr="00524603" w:rsidRDefault="00BE78FB" w:rsidP="00BE78FB">
      <w:pPr>
        <w:pStyle w:val="AERbulletlistfirststyle"/>
      </w:pPr>
      <w:r w:rsidRPr="00E90ACB">
        <w:t xml:space="preserve">We have determined </w:t>
      </w:r>
      <w:r w:rsidR="005C418E">
        <w:t>AusNet</w:t>
      </w:r>
      <w:r w:rsidRPr="00524603">
        <w:t>’s opening capital base taking into account the capital adopted in the previous access arrangement (refer to capital base attachment 2).</w:t>
      </w:r>
    </w:p>
    <w:p w:rsidR="00BE78FB" w:rsidRPr="00524603" w:rsidRDefault="00BE78FB" w:rsidP="00BE78FB">
      <w:pPr>
        <w:pStyle w:val="AERbulletlistfirststyle"/>
      </w:pPr>
      <w:r w:rsidRPr="00D46ABC">
        <w:t>The allowed rate of return objective reflects the revenue and pricing principle in s.</w:t>
      </w:r>
      <w:r w:rsidRPr="00524603">
        <w:t xml:space="preserve"> 24(5). We have determined a rate of return that we consider will provide </w:t>
      </w:r>
      <w:r w:rsidR="005C418E">
        <w:t>AusNet</w:t>
      </w:r>
      <w:r w:rsidRPr="00524603">
        <w:t xml:space="preserve"> with a return commensurate with the regulatory and commercial risks involved in providing pipeline services (refer to rate of return attachment 3).</w:t>
      </w:r>
    </w:p>
    <w:p w:rsidR="00BE78FB" w:rsidRPr="00524603" w:rsidRDefault="00BE78FB" w:rsidP="00BE78FB">
      <w:pPr>
        <w:pStyle w:val="AERbulletlistfirststyle"/>
      </w:pPr>
      <w:r w:rsidRPr="00D46ABC">
        <w:t xml:space="preserve">Our financing determinations provide </w:t>
      </w:r>
      <w:r w:rsidR="005C418E">
        <w:t>AusNet</w:t>
      </w:r>
      <w:r w:rsidRPr="00524603">
        <w:t xml:space="preserve"> with a reasonable opportunity to recover at least the efficient costs of accessing debt and capital (refer to rate of return attachment 3).</w:t>
      </w:r>
    </w:p>
    <w:p w:rsidR="00BE78FB" w:rsidRPr="001B46C8" w:rsidRDefault="00BE78FB" w:rsidP="00BE78FB">
      <w:pPr>
        <w:rPr>
          <w:rStyle w:val="AERbody"/>
        </w:rPr>
      </w:pPr>
      <w:r w:rsidRPr="001B46C8">
        <w:rPr>
          <w:rStyle w:val="AERbody"/>
        </w:rPr>
        <w:t xml:space="preserve">In </w:t>
      </w:r>
      <w:r>
        <w:rPr>
          <w:rStyle w:val="AERbody"/>
        </w:rPr>
        <w:t xml:space="preserve">some </w:t>
      </w:r>
      <w:r w:rsidRPr="001B46C8">
        <w:rPr>
          <w:rStyle w:val="AERbody"/>
        </w:rPr>
        <w:t xml:space="preserve">cases, our approach to a particular component (or part thereof) results in an outcome towards the end of the range of options </w:t>
      </w:r>
      <w:r>
        <w:rPr>
          <w:rStyle w:val="AERbody"/>
        </w:rPr>
        <w:t xml:space="preserve">that </w:t>
      </w:r>
      <w:r w:rsidR="0044055D">
        <w:rPr>
          <w:rStyle w:val="AERbody"/>
        </w:rPr>
        <w:t>results in higher revenue than another option</w:t>
      </w:r>
      <w:r w:rsidRPr="001B46C8">
        <w:rPr>
          <w:rStyle w:val="AERbody"/>
        </w:rPr>
        <w:t>.</w:t>
      </w:r>
      <w:r w:rsidRPr="00FF25A5">
        <w:rPr>
          <w:rStyle w:val="AERsuperscript"/>
        </w:rPr>
        <w:t xml:space="preserve"> </w:t>
      </w:r>
      <w:r w:rsidRPr="001B46C8">
        <w:rPr>
          <w:rStyle w:val="AERbody"/>
        </w:rPr>
        <w:t>Some of these decisions include:</w:t>
      </w:r>
    </w:p>
    <w:p w:rsidR="00BE78FB" w:rsidRPr="00A06587" w:rsidRDefault="00BE78FB" w:rsidP="00BE78FB">
      <w:pPr>
        <w:pStyle w:val="AERbulletlistfirststyle"/>
        <w:rPr>
          <w:rStyle w:val="AERbody"/>
        </w:rPr>
      </w:pPr>
      <w:r w:rsidRPr="00A06587">
        <w:rPr>
          <w:rStyle w:val="AERbody"/>
        </w:rPr>
        <w:t>selecting at the top of the range for the equity beta</w:t>
      </w:r>
    </w:p>
    <w:p w:rsidR="00BE78FB" w:rsidRPr="00E90ACB" w:rsidRDefault="00BE78FB" w:rsidP="00BE78FB">
      <w:pPr>
        <w:pStyle w:val="AERbulletlistfirststyle"/>
        <w:rPr>
          <w:rStyle w:val="AERbody"/>
        </w:rPr>
      </w:pPr>
      <w:r w:rsidRPr="00E90ACB">
        <w:rPr>
          <w:rStyle w:val="AERbody"/>
        </w:rPr>
        <w:t>setting the return on debt by reference to data for a BBB broad band credit rating, when the benchmark is BBB+</w:t>
      </w:r>
    </w:p>
    <w:p w:rsidR="00BE78FB" w:rsidRPr="00524603" w:rsidRDefault="00BE78FB" w:rsidP="00BE78FB">
      <w:pPr>
        <w:pStyle w:val="AERbulletlistfirststyle"/>
        <w:rPr>
          <w:rStyle w:val="AERbody"/>
        </w:rPr>
      </w:pPr>
      <w:r w:rsidRPr="00E90ACB">
        <w:rPr>
          <w:rStyle w:val="AERbody"/>
        </w:rPr>
        <w:t>the cash flow</w:t>
      </w:r>
      <w:r w:rsidRPr="00524603">
        <w:rPr>
          <w:rStyle w:val="AERbody"/>
        </w:rPr>
        <w:t xml:space="preserve"> timing assumptions in the post-tax revenue model. </w:t>
      </w:r>
    </w:p>
    <w:p w:rsidR="00BE78FB" w:rsidRDefault="00BE78FB" w:rsidP="00BE78FB">
      <w:pPr>
        <w:rPr>
          <w:rStyle w:val="AERbody"/>
        </w:rPr>
      </w:pPr>
      <w:r>
        <w:t>We</w:t>
      </w:r>
      <w:r w:rsidRPr="00A34B93">
        <w:t xml:space="preserve"> take into account the RPPs when exercising discretion </w:t>
      </w:r>
      <w:r>
        <w:t xml:space="preserve">about an appropriate estimate. </w:t>
      </w:r>
      <w:r w:rsidRPr="00A34B93">
        <w:t xml:space="preserve">The legislative framework recognises the complexity of this task by providing </w:t>
      </w:r>
      <w:r>
        <w:t>us</w:t>
      </w:r>
      <w:r w:rsidRPr="00A34B93">
        <w:t xml:space="preserve"> with significant discretion in many aspects of the decision-making process to make judgements on these matters.</w:t>
      </w:r>
    </w:p>
    <w:p w:rsidR="00BE78FB" w:rsidRDefault="00BE78FB" w:rsidP="00BE78FB">
      <w:pPr>
        <w:numPr>
          <w:ilvl w:val="0"/>
          <w:numId w:val="24"/>
        </w:numPr>
      </w:pPr>
      <w:r>
        <w:t>Part 9</w:t>
      </w:r>
      <w:r w:rsidRPr="00892ECD">
        <w:t xml:space="preserve"> of the N</w:t>
      </w:r>
      <w:r>
        <w:t>G</w:t>
      </w:r>
      <w:r w:rsidRPr="00892ECD">
        <w:t xml:space="preserve">R provides </w:t>
      </w:r>
      <w:r>
        <w:t xml:space="preserve">specifically for the </w:t>
      </w:r>
      <w:r w:rsidRPr="00892ECD">
        <w:t xml:space="preserve">economic regulation of </w:t>
      </w:r>
      <w:r>
        <w:t>covered pipelines. It includes detailed rules about the individual components of our decisions. These are intended to contribute to the achievement of the NGO</w:t>
      </w:r>
      <w:r w:rsidRPr="00715EF7">
        <w:t>.</w:t>
      </w:r>
    </w:p>
    <w:p w:rsidR="00BE78FB" w:rsidRDefault="00BE78FB" w:rsidP="00BE78FB">
      <w:pPr>
        <w:pStyle w:val="Heading2"/>
      </w:pPr>
      <w:bookmarkStart w:id="168" w:name="_Toc481056465"/>
      <w:bookmarkStart w:id="169" w:name="_Toc487017931"/>
      <w:r>
        <w:t>Achieving the NGO to the greatest degree</w:t>
      </w:r>
      <w:bookmarkEnd w:id="168"/>
      <w:bookmarkEnd w:id="169"/>
    </w:p>
    <w:p w:rsidR="00BE78FB" w:rsidRDefault="00BE78FB" w:rsidP="00BE78FB">
      <w:pPr>
        <w:numPr>
          <w:ilvl w:val="0"/>
          <w:numId w:val="24"/>
        </w:numPr>
      </w:pPr>
      <w:bookmarkStart w:id="170" w:name="_Toc409422588"/>
      <w:bookmarkStart w:id="171" w:name="_Ref409431158"/>
      <w:bookmarkStart w:id="172" w:name="_Toc411428071"/>
      <w:r w:rsidRPr="00C362C1">
        <w:t>A</w:t>
      </w:r>
      <w:r>
        <w:t>n access arrangement decision is</w:t>
      </w:r>
      <w:r w:rsidRPr="00C362C1">
        <w:t xml:space="preserve"> complex.</w:t>
      </w:r>
      <w:r>
        <w:t xml:space="preserve"> In most instances, the provisions of the NGR do not point to a single answer, either for our decision as a whole or in respect of particular components. They require us to exercise our regulatory judgment. For example, Part 9 of the NGR requires us to prepare forecasts, which are predictions about unknown future circumstances. </w:t>
      </w:r>
      <w:r w:rsidR="003028F4">
        <w:t>T</w:t>
      </w:r>
      <w:r>
        <w:t xml:space="preserve">here </w:t>
      </w:r>
      <w:r w:rsidR="003028F4">
        <w:t>may</w:t>
      </w:r>
      <w:r>
        <w:t xml:space="preserve"> be more than one plausible forecast</w:t>
      </w:r>
      <w:r w:rsidR="003028F4">
        <w:t xml:space="preserve"> </w:t>
      </w:r>
      <w:r>
        <w:t xml:space="preserve">supported by expert opinion. As a result, for certain components of our decision there may be several plausible answers or several plausible point estimates. </w:t>
      </w:r>
    </w:p>
    <w:p w:rsidR="00BE78FB" w:rsidRDefault="00BE78FB" w:rsidP="00BE78FB">
      <w:pPr>
        <w:numPr>
          <w:ilvl w:val="0"/>
          <w:numId w:val="24"/>
        </w:numPr>
      </w:pPr>
      <w:r>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NGO, we have selected what we are satisfied would result in an overall decision that contributes to the achievement of the NGO to the greatest degree.</w:t>
      </w:r>
      <w:r w:rsidR="0044055D">
        <w:rPr>
          <w:rStyle w:val="FootnoteReference"/>
        </w:rPr>
        <w:footnoteReference w:id="70"/>
      </w:r>
      <w:r>
        <w:t xml:space="preserve"> </w:t>
      </w:r>
    </w:p>
    <w:p w:rsidR="00BE78FB" w:rsidRDefault="00BE78FB" w:rsidP="00BE78FB">
      <w:r>
        <w:t xml:space="preserve">In </w:t>
      </w:r>
      <w:r w:rsidR="006D71AB">
        <w:t>reaching</w:t>
      </w:r>
      <w:r>
        <w:t xml:space="preserve"> this draft decision we have considered </w:t>
      </w:r>
      <w:r w:rsidR="005C418E">
        <w:t>AusNet</w:t>
      </w:r>
      <w:r>
        <w:t>’s proposal</w:t>
      </w:r>
      <w:r w:rsidR="006D71AB">
        <w:t xml:space="preserve">, and </w:t>
      </w:r>
      <w:r>
        <w:t xml:space="preserve">examined each of the building block components of the forecast revenue requirement, and the incentive mechanisms that should apply across the next access arrangement period. We have considered submissions we received in regard to </w:t>
      </w:r>
      <w:r w:rsidR="005C418E">
        <w:t>AusNet</w:t>
      </w:r>
      <w:r>
        <w:t xml:space="preserve">’s proposal. We have conducted our own analysis and engaged expert consultants to help us better understand if and how </w:t>
      </w:r>
      <w:r w:rsidR="005C418E">
        <w:t>AusNet</w:t>
      </w:r>
      <w:r>
        <w:t>’s proposal contributes to the achievement of the NGO. We have also considered how the individual components of our decision relate to each other, the impact that particular components of our decision have on others, and have described these interrelationships in this draft decision. We have had regard to and weighed up all of the information assembled before us in making this draft decision, and have made as much of this information publicly available as practicable for the purposes of consultation.</w:t>
      </w:r>
    </w:p>
    <w:p w:rsidR="00BE78FB" w:rsidRPr="00366D90" w:rsidRDefault="00BE78FB" w:rsidP="00BE78FB">
      <w:r>
        <w:t xml:space="preserve">Therefore, we are satisfied that among the options before us, our draft decision on </w:t>
      </w:r>
      <w:r w:rsidR="005C418E">
        <w:t>AusNet</w:t>
      </w:r>
      <w:r>
        <w:t>’s access arrangement for the 201</w:t>
      </w:r>
      <w:r w:rsidR="00117D76">
        <w:t>8</w:t>
      </w:r>
      <w:r>
        <w:t>–2</w:t>
      </w:r>
      <w:r w:rsidR="00117D76">
        <w:t>2</w:t>
      </w:r>
      <w:r>
        <w:t xml:space="preserve"> access arrangement period contributes to achieving the NGO to the greatest degree.</w:t>
      </w:r>
    </w:p>
    <w:p w:rsidR="00BE78FB" w:rsidRDefault="00BE78FB" w:rsidP="0093698F">
      <w:pPr>
        <w:pStyle w:val="Heading3"/>
        <w:ind w:left="720"/>
      </w:pPr>
      <w:bookmarkStart w:id="173" w:name="_Toc481056466"/>
      <w:bookmarkStart w:id="174" w:name="_Toc487017932"/>
      <w:bookmarkEnd w:id="170"/>
      <w:bookmarkEnd w:id="171"/>
      <w:bookmarkEnd w:id="172"/>
      <w:r>
        <w:t>Interrelationships between individual components</w:t>
      </w:r>
      <w:bookmarkEnd w:id="173"/>
      <w:bookmarkEnd w:id="174"/>
    </w:p>
    <w:p w:rsidR="00BE78FB" w:rsidRPr="00C362C1" w:rsidRDefault="00BE78FB" w:rsidP="00BE78FB">
      <w:r w:rsidRPr="009D2C84">
        <w:t xml:space="preserve">Considering </w:t>
      </w:r>
      <w:r>
        <w:t>individual</w:t>
      </w:r>
      <w:r w:rsidRPr="009D2C84">
        <w:t xml:space="preserve"> components in isolation ignores the importance of interrelationships between components </w:t>
      </w:r>
      <w:r>
        <w:t xml:space="preserve">of the overall decision, </w:t>
      </w:r>
      <w:r w:rsidRPr="009D2C84">
        <w:t>and would not contribute to the achievement of the N</w:t>
      </w:r>
      <w:r>
        <w:t>G</w:t>
      </w:r>
      <w:r w:rsidRPr="009D2C84">
        <w:t>O. As outlined by Energy Ministers, considering the elements in isolation has resulted in regulatory failures in the past.</w:t>
      </w:r>
      <w:r w:rsidRPr="009D2C84">
        <w:rPr>
          <w:rStyle w:val="FootnoteReference"/>
        </w:rPr>
        <w:footnoteReference w:id="71"/>
      </w:r>
      <w:r w:rsidRPr="009D2C84">
        <w:t xml:space="preserve"> Interrelationships can take various forms, including:</w:t>
      </w:r>
    </w:p>
    <w:p w:rsidR="00BE78FB" w:rsidRPr="00524603" w:rsidRDefault="00BE78FB" w:rsidP="00BE78FB">
      <w:pPr>
        <w:pStyle w:val="AERbulletlistfirststyle"/>
      </w:pPr>
      <w:r w:rsidRPr="00C362C1">
        <w:t xml:space="preserve">underlying drivers and context which are likely to affect many constituent components of our decision. For example, forecast demand affects the </w:t>
      </w:r>
      <w:r w:rsidRPr="00524603">
        <w:t>forecasts of efficient levels of capex and opex in the access arrangement period (see attachments 6, 7 and 13).</w:t>
      </w:r>
    </w:p>
    <w:p w:rsidR="00BE78FB" w:rsidRPr="00524603" w:rsidRDefault="00BE78FB" w:rsidP="00BE78FB">
      <w:pPr>
        <w:pStyle w:val="AERbulletlistfirststyle"/>
      </w:pPr>
      <w:r w:rsidRPr="00C362C1">
        <w:t xml:space="preserve">direct mathematical links between different components of a decision. For example, the </w:t>
      </w:r>
      <w:r w:rsidRPr="00524603">
        <w:t>value of imputation credits (gamma) has an impact on the appropriate tax allowance; the benchmark efficient entity's debt to equity ratio has a direct effect on the cost of equity, the cost of debt, and the overall vanilla rate of return (see attachments 3, 4 and 8).</w:t>
      </w:r>
    </w:p>
    <w:p w:rsidR="00BE78FB" w:rsidRPr="00524603" w:rsidRDefault="00BE78FB" w:rsidP="00BE78FB">
      <w:pPr>
        <w:pStyle w:val="AERbulletlistfirststyle"/>
      </w:pPr>
      <w:r w:rsidRPr="00C362C1">
        <w:t>trade-offs between different components of revenue. For example, undertaking a particular capex project may affect the need for opex and vice versa</w:t>
      </w:r>
      <w:r w:rsidRPr="00524603">
        <w:t xml:space="preserve"> (see attachments 6 and 7).</w:t>
      </w:r>
    </w:p>
    <w:p w:rsidR="00BE78FB" w:rsidRPr="00524603" w:rsidRDefault="00BE78FB" w:rsidP="00BE78FB">
      <w:pPr>
        <w:pStyle w:val="AERbulletlistfirststyle"/>
      </w:pPr>
      <w:r w:rsidRPr="00C362C1">
        <w:t xml:space="preserve">trade-offs between forecast and actual regulatory measures. The reasons </w:t>
      </w:r>
      <w:r w:rsidR="006D71AB">
        <w:t>supporting</w:t>
      </w:r>
      <w:r w:rsidR="006D71AB" w:rsidRPr="00C362C1">
        <w:t xml:space="preserve"> </w:t>
      </w:r>
      <w:r w:rsidRPr="00C362C1">
        <w:t xml:space="preserve">one part of a proposal may have impacts on other parts of a proposal. For example, </w:t>
      </w:r>
      <w:r w:rsidRPr="00524603">
        <w:t>completion of forecast augmentation (capex) to the network will mean the service provider has more assets to maintain, leading to higher opex requirements (see attachments 6 and 7).</w:t>
      </w:r>
    </w:p>
    <w:p w:rsidR="00BE78FB" w:rsidRPr="00524603" w:rsidRDefault="00BE78FB" w:rsidP="00BE78FB">
      <w:pPr>
        <w:pStyle w:val="AERbulletlistfirststyle"/>
      </w:pPr>
      <w:r w:rsidRPr="00C362C1">
        <w:t xml:space="preserve">the </w:t>
      </w:r>
      <w:r w:rsidRPr="00524603">
        <w:t>service provider's approach to managing its network. The service provider's governance arrangements and its approach to risk management will influence most aspects of the proposal, including capex/opex trade-offs (see attachments 6 and 7).</w:t>
      </w:r>
    </w:p>
    <w:p w:rsidR="00BE78FB" w:rsidRDefault="00BE78FB" w:rsidP="00BE78FB">
      <w:r w:rsidRPr="009D2C84">
        <w:t>We have considered interrelationships</w:t>
      </w:r>
      <w:r>
        <w:t>, including those above,</w:t>
      </w:r>
      <w:r w:rsidRPr="009D2C84">
        <w:t xml:space="preserve"> in our analysis of the </w:t>
      </w:r>
      <w:r>
        <w:t>individual</w:t>
      </w:r>
      <w:r w:rsidRPr="009D2C84">
        <w:t xml:space="preserve"> components of our </w:t>
      </w:r>
      <w:r>
        <w:t xml:space="preserve">draft </w:t>
      </w:r>
      <w:r w:rsidRPr="009D2C84">
        <w:t xml:space="preserve">decision. </w:t>
      </w:r>
      <w:r>
        <w:t>These considerations are explored in the relevant attachments</w:t>
      </w:r>
      <w:r w:rsidRPr="009D2C84">
        <w:t>.</w:t>
      </w:r>
    </w:p>
    <w:p w:rsidR="00BE78FB" w:rsidRDefault="00BE78FB" w:rsidP="00BE78FB"/>
    <w:p w:rsidR="00BE78FB" w:rsidRDefault="00BE78FB" w:rsidP="00BE78FB">
      <w:pPr>
        <w:pStyle w:val="Heading1"/>
      </w:pPr>
      <w:bookmarkStart w:id="175" w:name="_Toc481056467"/>
      <w:bookmarkStart w:id="176" w:name="_Ref481056678"/>
      <w:bookmarkStart w:id="177" w:name="_Toc487017933"/>
      <w:r>
        <w:t>Consultation</w:t>
      </w:r>
      <w:bookmarkEnd w:id="175"/>
      <w:bookmarkEnd w:id="176"/>
      <w:bookmarkEnd w:id="177"/>
    </w:p>
    <w:p w:rsidR="00BE78FB" w:rsidRPr="00E75F4D" w:rsidRDefault="00BE78FB" w:rsidP="00BE78FB">
      <w:r w:rsidRPr="00E75F4D">
        <w:t>Stakeholder participation is important to informed decision making under the NGL and NGR. It allows us to take a range of views into account when considering how a proposal or decision contributes to the NGO. Effective consultation and engagement provide confidence in our processes and are good regulatory practice. This is reflected in the consultation process set out in the NGR, under which we have:</w:t>
      </w:r>
    </w:p>
    <w:p w:rsidR="00BE78FB" w:rsidRPr="00524603" w:rsidRDefault="00BE78FB" w:rsidP="00BE78FB">
      <w:pPr>
        <w:pStyle w:val="AERbulletlistfirststyle"/>
      </w:pPr>
      <w:r w:rsidRPr="00E75F4D">
        <w:t xml:space="preserve">published </w:t>
      </w:r>
      <w:r w:rsidR="005C418E">
        <w:t>AusNet</w:t>
      </w:r>
      <w:r w:rsidRPr="00524603">
        <w:t xml:space="preserve">'s access arrangement revision proposal and the material </w:t>
      </w:r>
      <w:r w:rsidR="005C418E">
        <w:t>AusNet</w:t>
      </w:r>
      <w:r w:rsidRPr="00524603">
        <w:t xml:space="preserve"> provided in support of that proposal</w:t>
      </w:r>
    </w:p>
    <w:p w:rsidR="00BE78FB" w:rsidRPr="00524603" w:rsidRDefault="00BE78FB" w:rsidP="00BE78FB">
      <w:pPr>
        <w:pStyle w:val="AERbulletlistfirststyle"/>
      </w:pPr>
      <w:r w:rsidRPr="00E75F4D">
        <w:t xml:space="preserve">invited and had regard to submissions on </w:t>
      </w:r>
      <w:r w:rsidR="005C418E">
        <w:t>AusNet</w:t>
      </w:r>
      <w:r w:rsidRPr="00524603">
        <w:t xml:space="preserve">'s proposal </w:t>
      </w:r>
    </w:p>
    <w:p w:rsidR="00BE78FB" w:rsidRPr="00524603" w:rsidRDefault="00BE78FB" w:rsidP="00BE78FB">
      <w:pPr>
        <w:pStyle w:val="AERbulletlistfirststyle"/>
      </w:pPr>
      <w:r>
        <w:t xml:space="preserve">held a public forum on </w:t>
      </w:r>
      <w:r w:rsidR="005C418E">
        <w:t>AusNet</w:t>
      </w:r>
      <w:r>
        <w:t>'s proposal</w:t>
      </w:r>
    </w:p>
    <w:p w:rsidR="00BE78FB" w:rsidRPr="00524603" w:rsidRDefault="00BE78FB" w:rsidP="00BE78FB">
      <w:pPr>
        <w:pStyle w:val="AERbulletlistfirststyle"/>
      </w:pPr>
      <w:r w:rsidRPr="00E75F4D">
        <w:t xml:space="preserve">published </w:t>
      </w:r>
      <w:r w:rsidRPr="00524603">
        <w:t>this draft decision and reasoning</w:t>
      </w:r>
    </w:p>
    <w:p w:rsidR="00BE78FB" w:rsidRDefault="00BE78FB" w:rsidP="00BE78FB">
      <w:pPr>
        <w:pStyle w:val="AERbulletlistfirststyle"/>
      </w:pPr>
      <w:r w:rsidRPr="00E75F4D">
        <w:t xml:space="preserve">invited written submissions on </w:t>
      </w:r>
      <w:r w:rsidRPr="00524603">
        <w:t>this draft decision.</w:t>
      </w:r>
    </w:p>
    <w:p w:rsidR="00412763" w:rsidRPr="00524603" w:rsidRDefault="00412763" w:rsidP="00412763">
      <w:r w:rsidRPr="00412763">
        <w:t xml:space="preserve">We have also consulted on our approaches to these reviews: our 2013 Better Regulation Program brought a wide range of views to our development of assessment tools and techniques and our approaches to decision making. More recently, we have commenced consultation on approaches to forecasting inflation for the purposes of modelling regulated revenues. Our continued engagement on these processes </w:t>
      </w:r>
      <w:r w:rsidR="006D71AB">
        <w:t>enables us to identify and</w:t>
      </w:r>
      <w:r w:rsidRPr="00412763">
        <w:t xml:space="preserve"> reflect stakeholder priorities and </w:t>
      </w:r>
      <w:r w:rsidRPr="00412763">
        <w:rPr>
          <w:rStyle w:val="AERbody"/>
        </w:rPr>
        <w:t>will result in decisions that will or are likely to contribute to the achievement of the NGO to the greatest degree.</w:t>
      </w:r>
    </w:p>
    <w:p w:rsidR="00BE78FB" w:rsidRDefault="005C418E" w:rsidP="0093698F">
      <w:pPr>
        <w:pStyle w:val="Heading2"/>
        <w:keepNext/>
      </w:pPr>
      <w:bookmarkStart w:id="178" w:name="_Toc481056468"/>
      <w:bookmarkStart w:id="179" w:name="_Toc487017934"/>
      <w:r>
        <w:t>AusN</w:t>
      </w:r>
      <w:r w:rsidR="00BE78FB">
        <w:t>et's engagement with customers</w:t>
      </w:r>
      <w:bookmarkEnd w:id="178"/>
      <w:bookmarkEnd w:id="179"/>
    </w:p>
    <w:p w:rsidR="001216CB" w:rsidRPr="00CB2978" w:rsidRDefault="005C418E" w:rsidP="0093698F">
      <w:pPr>
        <w:keepNext/>
      </w:pPr>
      <w:r>
        <w:t>AusNet undertook its own engagement process in the development of its proposal, and provided a summary of activities and outcomes in support of that proposal.</w:t>
      </w:r>
      <w:r>
        <w:rPr>
          <w:rStyle w:val="FootnoteReference"/>
        </w:rPr>
        <w:footnoteReference w:id="72"/>
      </w:r>
      <w:r w:rsidR="00CB2978">
        <w:t xml:space="preserve"> </w:t>
      </w:r>
      <w:r>
        <w:t xml:space="preserve">AusNet also </w:t>
      </w:r>
      <w:r w:rsidRPr="003550CC">
        <w:t>consulted jointly with other Victorian gas distributors on incentive arrangements for gas distributors</w:t>
      </w:r>
      <w:r>
        <w:t>, with that consultation i</w:t>
      </w:r>
      <w:r w:rsidRPr="003550CC">
        <w:t>nform</w:t>
      </w:r>
      <w:r>
        <w:t xml:space="preserve">ing </w:t>
      </w:r>
      <w:r w:rsidRPr="003550CC">
        <w:t>it</w:t>
      </w:r>
      <w:r>
        <w:t>s proposed</w:t>
      </w:r>
      <w:r w:rsidRPr="003550CC">
        <w:t xml:space="preserve"> </w:t>
      </w:r>
      <w:r>
        <w:t xml:space="preserve">CESS and </w:t>
      </w:r>
      <w:r w:rsidRPr="003550CC">
        <w:t>NIS.</w:t>
      </w:r>
      <w:r w:rsidR="00907A07">
        <w:rPr>
          <w:rStyle w:val="FootnoteReference"/>
        </w:rPr>
        <w:footnoteReference w:id="73"/>
      </w:r>
      <w:r>
        <w:t xml:space="preserve"> </w:t>
      </w:r>
    </w:p>
    <w:p w:rsidR="005C418E" w:rsidRDefault="005C418E" w:rsidP="005C418E">
      <w:r w:rsidRPr="003550CC">
        <w:t xml:space="preserve">We tasked the AER Consumer Challenge Panel (CCP11) specifically with advising the AER on the effectiveness of </w:t>
      </w:r>
      <w:r>
        <w:t>AusNet</w:t>
      </w:r>
      <w:r w:rsidRPr="003550CC">
        <w:t xml:space="preserve">'s engagement activities with its customers and how this was reflected in the development of its proposal. </w:t>
      </w:r>
    </w:p>
    <w:p w:rsidR="00907A07" w:rsidRDefault="00907A07" w:rsidP="005C418E">
      <w:r>
        <w:t xml:space="preserve">CCP11 </w:t>
      </w:r>
      <w:r w:rsidR="004450EB">
        <w:t>found</w:t>
      </w:r>
      <w:r>
        <w:t xml:space="preserve"> that AusNet had undertaken a well-planned, well-designed and reasonably comprehensive customer engagement process.</w:t>
      </w:r>
      <w:r>
        <w:rPr>
          <w:rStyle w:val="FootnoteReference"/>
        </w:rPr>
        <w:footnoteReference w:id="74"/>
      </w:r>
      <w:r>
        <w:t xml:space="preserve"> Its advice notes in particular that </w:t>
      </w:r>
      <w:r w:rsidR="00AE5E1C">
        <w:t xml:space="preserve">AusNet had built on its experience with engagement </w:t>
      </w:r>
      <w:r w:rsidR="00A4788E">
        <w:t>on its recent</w:t>
      </w:r>
      <w:r w:rsidR="00AE5E1C">
        <w:t xml:space="preserve"> electricity distribution determination process,</w:t>
      </w:r>
      <w:r w:rsidR="00AE5E1C">
        <w:rPr>
          <w:rStyle w:val="FootnoteReference"/>
        </w:rPr>
        <w:footnoteReference w:id="75"/>
      </w:r>
      <w:r w:rsidR="00AE5E1C">
        <w:t xml:space="preserve"> and had set itself a sound objective for consumer engagement:</w:t>
      </w:r>
      <w:r w:rsidR="00AE5E1C">
        <w:rPr>
          <w:rStyle w:val="FootnoteReference"/>
        </w:rPr>
        <w:footnoteReference w:id="76"/>
      </w:r>
    </w:p>
    <w:p w:rsidR="00AE5E1C" w:rsidRPr="003550CC" w:rsidRDefault="00AE5E1C" w:rsidP="00AE5E1C">
      <w:pPr>
        <w:pStyle w:val="AERquote"/>
      </w:pPr>
      <w:r>
        <w:t>[T]o deliver authentic, customer priority-driven engagement that will meet external stakeholder expectations and inform the development of the GAAR proposal and business planning.</w:t>
      </w:r>
      <w:r>
        <w:rPr>
          <w:rStyle w:val="FootnoteReference"/>
        </w:rPr>
        <w:footnoteReference w:id="77"/>
      </w:r>
    </w:p>
    <w:p w:rsidR="00DF3942" w:rsidRDefault="00DF3942" w:rsidP="001216CB">
      <w:r>
        <w:t>CCP11 also identified the joint consultation on gas incentive arrangements as 'a proactive, transparent and effective initiative'.</w:t>
      </w:r>
      <w:r>
        <w:rPr>
          <w:rStyle w:val="FootnoteReference"/>
        </w:rPr>
        <w:footnoteReference w:id="78"/>
      </w:r>
    </w:p>
    <w:p w:rsidR="001216CB" w:rsidRPr="001216CB" w:rsidRDefault="001216CB" w:rsidP="001216CB">
      <w:r w:rsidRPr="001216CB">
        <w:t>We received positive feedback from stakeholders on both processes:</w:t>
      </w:r>
    </w:p>
    <w:p w:rsidR="001216CB" w:rsidRPr="001216CB" w:rsidRDefault="001216CB" w:rsidP="001216CB">
      <w:pPr>
        <w:pStyle w:val="AERquote"/>
      </w:pPr>
      <w:r w:rsidRPr="001216CB">
        <w:t>…AusNet Services has undertaken a robust stakeholder engagement program, which demonstrates its commitment to making genuine efforts to effectively engage with customers and to increase stakeholder transparency in the development of access arrangements proposals.</w:t>
      </w:r>
      <w:r w:rsidRPr="001216CB">
        <w:rPr>
          <w:rStyle w:val="FootnoteReference"/>
        </w:rPr>
        <w:footnoteReference w:id="79"/>
      </w:r>
    </w:p>
    <w:p w:rsidR="005C418E" w:rsidRDefault="001216CB" w:rsidP="001216CB">
      <w:pPr>
        <w:pStyle w:val="AERquote"/>
      </w:pPr>
      <w:r w:rsidRPr="001216CB">
        <w:t>[AGN and] AusNet appear to have consulted extensively with industry peers and consumers on the design of the proposed incentive mechanisms. In particular, they have sought feedback on the proposed CESS to ensure that it is fit for purpose, delivers benefits to customers and would not compromise the quality of services.</w:t>
      </w:r>
      <w:r w:rsidRPr="001216CB">
        <w:rPr>
          <w:rStyle w:val="FootnoteReference"/>
        </w:rPr>
        <w:footnoteReference w:id="80"/>
      </w:r>
    </w:p>
    <w:p w:rsidR="001216CB" w:rsidRDefault="00A4788E" w:rsidP="001216CB">
      <w:r>
        <w:t xml:space="preserve">As part of its review </w:t>
      </w:r>
      <w:r w:rsidR="001216CB">
        <w:t xml:space="preserve">CCP11 also sought views from consumer advocates who had participated in AusNet's consumer engagement process. That feedback was also positive in terms of AusNet's openness in publishing detail of consumer engagement on its website, </w:t>
      </w:r>
      <w:r>
        <w:t xml:space="preserve">its </w:t>
      </w:r>
      <w:r w:rsidR="001216CB">
        <w:t>use of independent chairs for meetings and the good faith participants feel AusNet showed in meetings.</w:t>
      </w:r>
      <w:r w:rsidR="001216CB">
        <w:rPr>
          <w:rStyle w:val="FootnoteReference"/>
        </w:rPr>
        <w:footnoteReference w:id="81"/>
      </w:r>
      <w:r w:rsidR="001216CB">
        <w:t xml:space="preserve"> </w:t>
      </w:r>
    </w:p>
    <w:p w:rsidR="00A4788E" w:rsidRDefault="004450EB" w:rsidP="001216CB">
      <w:r>
        <w:t xml:space="preserve">CCP11's advice </w:t>
      </w:r>
      <w:r w:rsidR="00A4263F">
        <w:t>identified</w:t>
      </w:r>
      <w:r w:rsidR="005C2422">
        <w:t xml:space="preserve"> </w:t>
      </w:r>
      <w:r>
        <w:t xml:space="preserve">a number of areas </w:t>
      </w:r>
      <w:r w:rsidR="008736BB">
        <w:t>where</w:t>
      </w:r>
      <w:r>
        <w:t xml:space="preserve"> it suggests AusNet could further improve its engagement, which we encourage AusNet to </w:t>
      </w:r>
      <w:r w:rsidR="008736BB">
        <w:t>do</w:t>
      </w:r>
      <w:r>
        <w:t xml:space="preserve"> in future processes. That advice</w:t>
      </w:r>
      <w:r>
        <w:rPr>
          <w:rStyle w:val="FootnoteReference"/>
        </w:rPr>
        <w:footnoteReference w:id="82"/>
      </w:r>
      <w:r>
        <w:t xml:space="preserve"> is available on our website for the benefit of other businesses as well as AusNet. </w:t>
      </w:r>
      <w:r w:rsidR="00727BE6">
        <w:t>Two key themes emerged.</w:t>
      </w:r>
    </w:p>
    <w:p w:rsidR="00CD1BE7" w:rsidRPr="00CD1BE7" w:rsidRDefault="00CD1BE7" w:rsidP="00CD1BE7">
      <w:r>
        <w:t>First</w:t>
      </w:r>
      <w:r w:rsidRPr="00CD1BE7">
        <w:t>, AusNet's proposal could do more to explain how consumer engagement outcomes were considered in relation to the key aspects of the proposal.</w:t>
      </w:r>
      <w:r w:rsidRPr="00CD1BE7">
        <w:rPr>
          <w:rStyle w:val="FootnoteReference"/>
        </w:rPr>
        <w:footnoteReference w:id="83"/>
      </w:r>
      <w:r w:rsidRPr="00CD1BE7">
        <w:t xml:space="preserve"> For example, in response to AusNet's comment that '[c]ustomers' views on pricing, reliability and safety were taken into account in designing AusNet's proposed investment program </w:t>
      </w:r>
      <w:r w:rsidRPr="00CD1BE7">
        <w:rPr>
          <w:rStyle w:val="AERtextitalic"/>
        </w:rPr>
        <w:t>where it was feasible to do so</w:t>
      </w:r>
      <w:r w:rsidRPr="00CD1BE7">
        <w:t>',</w:t>
      </w:r>
      <w:r w:rsidRPr="00CD1BE7">
        <w:rPr>
          <w:rStyle w:val="FootnoteReference"/>
        </w:rPr>
        <w:footnoteReference w:id="84"/>
      </w:r>
      <w:r w:rsidRPr="00CD1BE7">
        <w:t xml:space="preserve"> CCP11 suggested that:</w:t>
      </w:r>
    </w:p>
    <w:p w:rsidR="00CD1BE7" w:rsidRPr="00CD1BE7" w:rsidRDefault="00CD1BE7" w:rsidP="00CD1BE7">
      <w:pPr>
        <w:pStyle w:val="AERquote"/>
      </w:pPr>
      <w:r w:rsidRPr="00CD1BE7">
        <w:t>It would be helpful to see more information on how consumers' views have been considered, particularly consumers' concerns about price increases, and some of the considerations which are made to determine whether it is "feasible" to take these into account.</w:t>
      </w:r>
      <w:r w:rsidRPr="00CD1BE7">
        <w:rPr>
          <w:rStyle w:val="FootnoteReference"/>
        </w:rPr>
        <w:footnoteReference w:id="85"/>
      </w:r>
    </w:p>
    <w:p w:rsidR="00727BE6" w:rsidRDefault="00CD1BE7" w:rsidP="00727BE6">
      <w:r>
        <w:t>Second</w:t>
      </w:r>
      <w:r w:rsidR="00727BE6">
        <w:t xml:space="preserve">, </w:t>
      </w:r>
      <w:r w:rsidR="008736BB">
        <w:t xml:space="preserve">what </w:t>
      </w:r>
      <w:r w:rsidR="00FE1B17">
        <w:t>AusNet's learn</w:t>
      </w:r>
      <w:r w:rsidR="008736BB">
        <w:t>t</w:t>
      </w:r>
      <w:r w:rsidR="00FE1B17">
        <w:t xml:space="preserve"> from its consumer engagement </w:t>
      </w:r>
      <w:r w:rsidR="008736BB">
        <w:t xml:space="preserve">was </w:t>
      </w:r>
      <w:r w:rsidR="00FE1B17">
        <w:t>likely limited by the fact that engagement did not involve consulting on the proposal itself or a preliminary set of key features. Absent this, 'the learnings are much more an extrapolation from principles or issues identified in the engagement process'.</w:t>
      </w:r>
      <w:r w:rsidR="00FE1B17" w:rsidRPr="00FE1B17">
        <w:rPr>
          <w:rStyle w:val="FootnoteReference"/>
        </w:rPr>
        <w:t xml:space="preserve"> </w:t>
      </w:r>
      <w:r w:rsidR="00FE1B17" w:rsidRPr="00FE1B17">
        <w:rPr>
          <w:rStyle w:val="FootnoteReference"/>
        </w:rPr>
        <w:footnoteReference w:id="86"/>
      </w:r>
      <w:r w:rsidR="00FE1B17">
        <w:t xml:space="preserve"> For example, CCP11 considered AusNet's drawing support for complex incentive schemes from sentiment for strengthening incentives and concern for potential price increases to be a simplification.</w:t>
      </w:r>
      <w:r w:rsidR="00FE1B17">
        <w:rPr>
          <w:rStyle w:val="FootnoteReference"/>
        </w:rPr>
        <w:footnoteReference w:id="87"/>
      </w:r>
      <w:r w:rsidR="00727BE6">
        <w:t xml:space="preserve"> </w:t>
      </w:r>
      <w:r w:rsidR="00FE1B17">
        <w:t xml:space="preserve"> </w:t>
      </w:r>
    </w:p>
    <w:p w:rsidR="00FE1B17" w:rsidRDefault="00FE1B17" w:rsidP="00727BE6">
      <w:pPr>
        <w:pStyle w:val="AERquote"/>
      </w:pPr>
      <w:r>
        <w:t>It would be a  leap forward</w:t>
      </w:r>
      <w:r w:rsidR="00727BE6">
        <w:t xml:space="preserve"> for </w:t>
      </w:r>
      <w:r>
        <w:t>AusNet</w:t>
      </w:r>
      <w:r w:rsidR="00727BE6">
        <w:t xml:space="preserve"> in future consumer engagements to share with consumers some detail of what the Company is thinking of proposing to the AER, or indeed to share a draft of its Access Arrangement proposal, and listen to customer reactions, and then to integrate these into the proposal that it submits to the AER.</w:t>
      </w:r>
      <w:r>
        <w:rPr>
          <w:rStyle w:val="FootnoteReference"/>
        </w:rPr>
        <w:footnoteReference w:id="88"/>
      </w:r>
    </w:p>
    <w:p w:rsidR="004450EB" w:rsidRPr="001216CB" w:rsidRDefault="004450EB" w:rsidP="001216CB">
      <w:r>
        <w:t>In concluding, CCP11 noted that AusNet has established a permanent Customer Consultative Committee, which meets regularly and could provide a foundation for further improvement of AusNet's engagement with its customers.</w:t>
      </w:r>
      <w:r>
        <w:rPr>
          <w:rStyle w:val="FootnoteReference"/>
        </w:rPr>
        <w:footnoteReference w:id="89"/>
      </w:r>
      <w:r w:rsidR="00DF3942">
        <w:t xml:space="preserve"> In particular, this Committee provides an opportunity for AusNet to explore how consumers feel their concerns were addressed in AusNet's proposal: a useful basis for an assessment of the program</w:t>
      </w:r>
      <w:r w:rsidR="00CD1BE7">
        <w:t>'</w:t>
      </w:r>
      <w:r w:rsidR="00DF3942">
        <w:t>s effectiveness and plans for future engagement.</w:t>
      </w:r>
      <w:r w:rsidR="00DF3942">
        <w:rPr>
          <w:rStyle w:val="FootnoteReference"/>
        </w:rPr>
        <w:footnoteReference w:id="90"/>
      </w:r>
    </w:p>
    <w:p w:rsidR="00BE78FB" w:rsidRDefault="00BE78FB" w:rsidP="00BE78FB">
      <w:pPr>
        <w:pStyle w:val="Heading7"/>
      </w:pPr>
      <w:bookmarkStart w:id="180" w:name="_Toc481056469"/>
      <w:bookmarkStart w:id="181" w:name="_Ref481056687"/>
      <w:bookmarkStart w:id="182" w:name="_Toc487017935"/>
      <w:r>
        <w:t>List of submissions</w:t>
      </w:r>
      <w:bookmarkEnd w:id="180"/>
      <w:bookmarkEnd w:id="181"/>
      <w:bookmarkEnd w:id="182"/>
    </w:p>
    <w:p w:rsidR="00BE78FB" w:rsidRDefault="00BE78FB" w:rsidP="00BE78FB">
      <w:r>
        <w:t xml:space="preserve">This draft decision has been made with regard to submissions from the following stakeholders on </w:t>
      </w:r>
      <w:r w:rsidR="005C418E">
        <w:t>AusNet</w:t>
      </w:r>
      <w:r w:rsidR="00112C7A">
        <w:t>'s proposal:</w:t>
      </w:r>
    </w:p>
    <w:p w:rsidR="00DA2B6F" w:rsidRDefault="00DA2B6F" w:rsidP="00BE78FB"/>
    <w:tbl>
      <w:tblPr>
        <w:tblStyle w:val="AERtable-text0"/>
        <w:tblW w:w="0" w:type="auto"/>
        <w:tblLook w:val="04A0" w:firstRow="1" w:lastRow="0" w:firstColumn="1" w:lastColumn="0" w:noHBand="0" w:noVBand="1"/>
      </w:tblPr>
      <w:tblGrid>
        <w:gridCol w:w="5920"/>
        <w:gridCol w:w="2773"/>
      </w:tblGrid>
      <w:tr w:rsidR="00BE78FB" w:rsidTr="006E4D1A">
        <w:trPr>
          <w:cnfStyle w:val="100000000000" w:firstRow="1" w:lastRow="0" w:firstColumn="0" w:lastColumn="0" w:oddVBand="0" w:evenVBand="0" w:oddHBand="0" w:evenHBand="0" w:firstRowFirstColumn="0" w:firstRowLastColumn="0" w:lastRowFirstColumn="0" w:lastRowLastColumn="0"/>
        </w:trPr>
        <w:tc>
          <w:tcPr>
            <w:tcW w:w="5920" w:type="dxa"/>
          </w:tcPr>
          <w:p w:rsidR="00BE78FB" w:rsidRPr="00BE78FB" w:rsidRDefault="00BE78FB" w:rsidP="00BE78FB">
            <w:r>
              <w:t>Submission from:</w:t>
            </w:r>
          </w:p>
        </w:tc>
        <w:tc>
          <w:tcPr>
            <w:tcW w:w="2773" w:type="dxa"/>
          </w:tcPr>
          <w:p w:rsidR="00BE78FB" w:rsidRPr="00BE78FB" w:rsidRDefault="00BE78FB" w:rsidP="00BE78FB">
            <w:r>
              <w:t>Date received</w:t>
            </w:r>
            <w:r w:rsidRPr="00BE78FB">
              <w:t>*</w:t>
            </w:r>
          </w:p>
        </w:tc>
      </w:tr>
      <w:tr w:rsidR="00BE78FB" w:rsidTr="006E4D1A">
        <w:tc>
          <w:tcPr>
            <w:tcW w:w="5920" w:type="dxa"/>
          </w:tcPr>
          <w:p w:rsidR="00BE78FB" w:rsidRDefault="00112C7A" w:rsidP="00BE78FB">
            <w:r>
              <w:t>Jemena Gas Networks</w:t>
            </w:r>
          </w:p>
        </w:tc>
        <w:tc>
          <w:tcPr>
            <w:tcW w:w="2773" w:type="dxa"/>
          </w:tcPr>
          <w:p w:rsidR="00BE78FB" w:rsidRDefault="00112C7A" w:rsidP="00BE78FB">
            <w:r>
              <w:t>2 March 2017</w:t>
            </w:r>
          </w:p>
        </w:tc>
      </w:tr>
      <w:tr w:rsidR="00BE78FB" w:rsidTr="006E4D1A">
        <w:trPr>
          <w:cnfStyle w:val="000000010000" w:firstRow="0" w:lastRow="0" w:firstColumn="0" w:lastColumn="0" w:oddVBand="0" w:evenVBand="0" w:oddHBand="0" w:evenHBand="1" w:firstRowFirstColumn="0" w:firstRowLastColumn="0" w:lastRowFirstColumn="0" w:lastRowLastColumn="0"/>
        </w:trPr>
        <w:tc>
          <w:tcPr>
            <w:tcW w:w="5920" w:type="dxa"/>
          </w:tcPr>
          <w:p w:rsidR="00BE78FB" w:rsidRDefault="00112C7A" w:rsidP="00BE78FB">
            <w:r>
              <w:t>ATCO Gas Australia</w:t>
            </w:r>
          </w:p>
        </w:tc>
        <w:tc>
          <w:tcPr>
            <w:tcW w:w="2773" w:type="dxa"/>
          </w:tcPr>
          <w:p w:rsidR="00BE78FB" w:rsidRDefault="00112C7A" w:rsidP="00BE78FB">
            <w:r>
              <w:t>3 March 2017</w:t>
            </w:r>
          </w:p>
        </w:tc>
      </w:tr>
      <w:tr w:rsidR="00BE78FB" w:rsidTr="006E4D1A">
        <w:tc>
          <w:tcPr>
            <w:tcW w:w="5920" w:type="dxa"/>
          </w:tcPr>
          <w:p w:rsidR="00BE78FB" w:rsidRDefault="00112C7A" w:rsidP="00BE78FB">
            <w:r>
              <w:t>Consumer Challenge Panel (CCP11)</w:t>
            </w:r>
          </w:p>
        </w:tc>
        <w:tc>
          <w:tcPr>
            <w:tcW w:w="2773" w:type="dxa"/>
          </w:tcPr>
          <w:p w:rsidR="00BE78FB" w:rsidRDefault="00112C7A" w:rsidP="00BE78FB">
            <w:r>
              <w:t>3 March 2017</w:t>
            </w:r>
          </w:p>
        </w:tc>
      </w:tr>
      <w:tr w:rsidR="00112C7A" w:rsidTr="006E4D1A">
        <w:trPr>
          <w:cnfStyle w:val="000000010000" w:firstRow="0" w:lastRow="0" w:firstColumn="0" w:lastColumn="0" w:oddVBand="0" w:evenVBand="0" w:oddHBand="0" w:evenHBand="1" w:firstRowFirstColumn="0" w:firstRowLastColumn="0" w:lastRowFirstColumn="0" w:lastRowLastColumn="0"/>
        </w:trPr>
        <w:tc>
          <w:tcPr>
            <w:tcW w:w="5920" w:type="dxa"/>
          </w:tcPr>
          <w:p w:rsidR="00112C7A" w:rsidRDefault="00112C7A" w:rsidP="00BE78FB">
            <w:r>
              <w:t>Energy Networks Australia</w:t>
            </w:r>
          </w:p>
        </w:tc>
        <w:tc>
          <w:tcPr>
            <w:tcW w:w="2773" w:type="dxa"/>
          </w:tcPr>
          <w:p w:rsidR="00112C7A" w:rsidRDefault="00112C7A" w:rsidP="00BE78FB">
            <w:r>
              <w:t>3 March 2017</w:t>
            </w:r>
          </w:p>
        </w:tc>
      </w:tr>
      <w:tr w:rsidR="00112C7A" w:rsidTr="006E4D1A">
        <w:tc>
          <w:tcPr>
            <w:tcW w:w="5920" w:type="dxa"/>
          </w:tcPr>
          <w:p w:rsidR="00112C7A" w:rsidRDefault="00112C7A" w:rsidP="00BE78FB">
            <w:r>
              <w:t>Origin Energy</w:t>
            </w:r>
          </w:p>
        </w:tc>
        <w:tc>
          <w:tcPr>
            <w:tcW w:w="2773" w:type="dxa"/>
          </w:tcPr>
          <w:p w:rsidR="00112C7A" w:rsidRDefault="00112C7A" w:rsidP="00BE78FB">
            <w:r>
              <w:t>10 March 2017</w:t>
            </w:r>
          </w:p>
        </w:tc>
      </w:tr>
      <w:tr w:rsidR="00112C7A" w:rsidTr="006E4D1A">
        <w:trPr>
          <w:cnfStyle w:val="000000010000" w:firstRow="0" w:lastRow="0" w:firstColumn="0" w:lastColumn="0" w:oddVBand="0" w:evenVBand="0" w:oddHBand="0" w:evenHBand="1" w:firstRowFirstColumn="0" w:firstRowLastColumn="0" w:lastRowFirstColumn="0" w:lastRowLastColumn="0"/>
        </w:trPr>
        <w:tc>
          <w:tcPr>
            <w:tcW w:w="5920" w:type="dxa"/>
          </w:tcPr>
          <w:p w:rsidR="00112C7A" w:rsidRDefault="00112C7A" w:rsidP="00BE78FB">
            <w:r>
              <w:t>AGL Energy Limited</w:t>
            </w:r>
          </w:p>
        </w:tc>
        <w:tc>
          <w:tcPr>
            <w:tcW w:w="2773" w:type="dxa"/>
          </w:tcPr>
          <w:p w:rsidR="00112C7A" w:rsidRDefault="00112C7A" w:rsidP="00BE78FB">
            <w:r>
              <w:t>21 March 2017</w:t>
            </w:r>
          </w:p>
        </w:tc>
      </w:tr>
      <w:tr w:rsidR="00112C7A" w:rsidTr="006E4D1A">
        <w:tc>
          <w:tcPr>
            <w:tcW w:w="5920" w:type="dxa"/>
          </w:tcPr>
          <w:p w:rsidR="00112C7A" w:rsidRDefault="00112C7A" w:rsidP="00BE78FB">
            <w:r>
              <w:t>Beverly Hughson</w:t>
            </w:r>
          </w:p>
        </w:tc>
        <w:tc>
          <w:tcPr>
            <w:tcW w:w="2773" w:type="dxa"/>
          </w:tcPr>
          <w:p w:rsidR="00112C7A" w:rsidRDefault="00112C7A" w:rsidP="00BE78FB">
            <w:r>
              <w:t>22 March 2017</w:t>
            </w:r>
          </w:p>
        </w:tc>
      </w:tr>
    </w:tbl>
    <w:p w:rsidR="00BE78FB" w:rsidRDefault="00BE78FB" w:rsidP="00BE78FB">
      <w:pPr>
        <w:pStyle w:val="AERtablesource"/>
      </w:pPr>
      <w:r>
        <w:t>*</w:t>
      </w:r>
      <w:r>
        <w:tab/>
        <w:t xml:space="preserve">This column lists the date on which submissions were </w:t>
      </w:r>
      <w:r w:rsidRPr="00A726D2">
        <w:rPr>
          <w:rStyle w:val="AERtextitalic"/>
        </w:rPr>
        <w:t>received</w:t>
      </w:r>
      <w:r>
        <w:t xml:space="preserve"> by the AER, which may differ from the date on the submission itself. </w:t>
      </w:r>
    </w:p>
    <w:sectPr w:rsidR="00BE78FB" w:rsidSect="00F66400">
      <w:headerReference w:type="default" r:id="rId25"/>
      <w:footerReference w:type="even" r:id="rId26"/>
      <w:footerReference w:type="default" r:id="rId27"/>
      <w:footerReference w:type="first" r:id="rId28"/>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866" w:rsidRPr="00290C63" w:rsidRDefault="00AE7866" w:rsidP="00290C63">
      <w:r>
        <w:separator/>
      </w:r>
    </w:p>
    <w:p w:rsidR="00AE7866" w:rsidRDefault="00AE7866"/>
  </w:endnote>
  <w:endnote w:type="continuationSeparator" w:id="0">
    <w:p w:rsidR="00AE7866" w:rsidRPr="00290C63" w:rsidRDefault="00AE7866" w:rsidP="00290C63">
      <w:r>
        <w:continuationSeparator/>
      </w:r>
    </w:p>
    <w:p w:rsidR="00AE7866" w:rsidRDefault="00AE7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66" w:rsidRPr="00290C63" w:rsidRDefault="00AE786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AE7866" w:rsidRDefault="00AE7866"/>
  <w:p w:rsidR="00AE7866" w:rsidRDefault="00AE7866"/>
  <w:p w:rsidR="00AE7866" w:rsidRDefault="00AE7866"/>
  <w:p w:rsidR="00AE7866" w:rsidRDefault="00AE7866"/>
  <w:p w:rsidR="00AE7866" w:rsidRDefault="00AE7866"/>
  <w:p w:rsidR="00AE7866" w:rsidRDefault="00AE7866"/>
  <w:p w:rsidR="00AE7866" w:rsidRDefault="00AE78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AE7866" w:rsidRPr="009B6F84" w:rsidRDefault="00AE7866">
        <w:pPr>
          <w:pStyle w:val="Footer"/>
          <w:rPr>
            <w:sz w:val="20"/>
          </w:rPr>
        </w:pPr>
        <w:r>
          <w:fldChar w:fldCharType="begin"/>
        </w:r>
        <w:r>
          <w:instrText xml:space="preserve"> PAGE   \* MERGEFORMAT </w:instrText>
        </w:r>
        <w:r>
          <w:fldChar w:fldCharType="separate"/>
        </w:r>
        <w:r w:rsidR="00EE5745">
          <w:rPr>
            <w:noProof/>
          </w:rPr>
          <w:t>0</w:t>
        </w:r>
        <w:r>
          <w:rPr>
            <w:noProof/>
          </w:rPr>
          <w:fldChar w:fldCharType="end"/>
        </w:r>
        <w:r>
          <w:rPr>
            <w:noProof/>
          </w:rPr>
          <w:t xml:space="preserve">          </w:t>
        </w:r>
        <w:r>
          <w:t>Overview</w:t>
        </w:r>
        <w:r w:rsidRPr="009B6F84">
          <w:rPr>
            <w:rFonts w:cs="Gautami"/>
            <w:noProof/>
            <w:szCs w:val="16"/>
          </w:rPr>
          <w:t xml:space="preserve"> | </w:t>
        </w:r>
        <w:r>
          <w:t>Draft decision - AusNet Services gas access arrangement</w:t>
        </w:r>
        <w:r w:rsidRPr="009B6F84">
          <w:rPr>
            <w:sz w:val="20"/>
          </w:rPr>
          <w:t xml:space="preserve"> </w:t>
        </w:r>
        <w:r w:rsidRPr="009B6F84">
          <w:rPr>
            <w:rFonts w:cs="Gautami"/>
            <w:noProof/>
            <w:szCs w:val="16"/>
          </w:rPr>
          <w:t>201</w:t>
        </w:r>
        <w:r>
          <w:t>8</w:t>
        </w:r>
        <w:r>
          <w:rPr>
            <w:rFonts w:cs="Gautami"/>
            <w:noProof/>
            <w:szCs w:val="16"/>
          </w:rPr>
          <w:t>–</w:t>
        </w:r>
        <w:r>
          <w:t>22</w:t>
        </w:r>
      </w:p>
    </w:sdtContent>
  </w:sdt>
  <w:p w:rsidR="00AE7866" w:rsidRDefault="00AE78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66" w:rsidRPr="00290C63" w:rsidRDefault="00AE786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AE7866" w:rsidRDefault="00AE7866">
    <w:pPr>
      <w:pStyle w:val="Footer"/>
    </w:pPr>
  </w:p>
  <w:p w:rsidR="00AE7866" w:rsidRDefault="00AE7866"/>
  <w:p w:rsidR="00AE7866" w:rsidRDefault="00AE7866"/>
  <w:p w:rsidR="00AE7866" w:rsidRDefault="00AE7866"/>
  <w:p w:rsidR="00AE7866" w:rsidRDefault="00AE7866"/>
  <w:p w:rsidR="00AE7866" w:rsidRDefault="00AE7866"/>
  <w:p w:rsidR="00AE7866" w:rsidRDefault="00AE7866"/>
  <w:p w:rsidR="00AE7866" w:rsidRDefault="00AE786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66" w:rsidRPr="00290C63" w:rsidRDefault="00AE786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AE7866" w:rsidRDefault="00AE7866"/>
  <w:p w:rsidR="00AE7866" w:rsidRDefault="00AE7866"/>
  <w:p w:rsidR="00AE7866" w:rsidRDefault="00AE7866"/>
  <w:p w:rsidR="00AE7866" w:rsidRDefault="00AE7866"/>
  <w:p w:rsidR="00AE7866" w:rsidRDefault="00AE7866"/>
  <w:p w:rsidR="00AE7866" w:rsidRDefault="00AE7866"/>
  <w:p w:rsidR="00AE7866" w:rsidRDefault="00AE786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AE7866" w:rsidRPr="009B6F84" w:rsidRDefault="00AE7866">
        <w:pPr>
          <w:pStyle w:val="Footer"/>
          <w:rPr>
            <w:sz w:val="20"/>
          </w:rPr>
        </w:pPr>
        <w:r>
          <w:fldChar w:fldCharType="begin"/>
        </w:r>
        <w:r>
          <w:instrText xml:space="preserve"> PAGE   \* MERGEFORMAT </w:instrText>
        </w:r>
        <w:r>
          <w:fldChar w:fldCharType="separate"/>
        </w:r>
        <w:r w:rsidR="00EE5745">
          <w:rPr>
            <w:noProof/>
          </w:rPr>
          <w:t>4</w:t>
        </w:r>
        <w:r>
          <w:rPr>
            <w:noProof/>
          </w:rPr>
          <w:fldChar w:fldCharType="end"/>
        </w:r>
        <w:r>
          <w:rPr>
            <w:noProof/>
          </w:rPr>
          <w:t xml:space="preserve">          </w:t>
        </w:r>
        <w:r>
          <w:t>Overview</w:t>
        </w:r>
        <w:r w:rsidRPr="00132D43">
          <w:t xml:space="preserve"> | </w:t>
        </w:r>
        <w:r>
          <w:t>Draft decision - AusNet Services gas access arrangement</w:t>
        </w:r>
        <w:r w:rsidRPr="00A51022">
          <w:t xml:space="preserve"> 201</w:t>
        </w:r>
        <w:r>
          <w:t>8</w:t>
        </w:r>
        <w:r w:rsidRPr="00A51022">
          <w:t>–</w:t>
        </w:r>
        <w:r>
          <w:t>22</w:t>
        </w:r>
      </w:p>
    </w:sdtContent>
  </w:sdt>
  <w:p w:rsidR="00AE7866" w:rsidRDefault="00AE78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66" w:rsidRPr="00290C63" w:rsidRDefault="00AE786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AE7866" w:rsidRDefault="00AE7866">
    <w:pPr>
      <w:pStyle w:val="Footer"/>
    </w:pPr>
  </w:p>
  <w:p w:rsidR="00AE7866" w:rsidRDefault="00AE7866"/>
  <w:p w:rsidR="00AE7866" w:rsidRDefault="00AE7866"/>
  <w:p w:rsidR="00AE7866" w:rsidRDefault="00AE7866"/>
  <w:p w:rsidR="00AE7866" w:rsidRDefault="00AE7866"/>
  <w:p w:rsidR="00AE7866" w:rsidRDefault="00AE7866"/>
  <w:p w:rsidR="00AE7866" w:rsidRDefault="00AE7866"/>
  <w:p w:rsidR="00AE7866" w:rsidRDefault="00AE78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866" w:rsidRPr="00290C63" w:rsidRDefault="00AE7866" w:rsidP="00290C63">
      <w:r>
        <w:separator/>
      </w:r>
    </w:p>
    <w:p w:rsidR="00AE7866" w:rsidRDefault="00AE7866"/>
  </w:footnote>
  <w:footnote w:type="continuationSeparator" w:id="0">
    <w:p w:rsidR="00AE7866" w:rsidRPr="00290C63" w:rsidRDefault="00AE7866" w:rsidP="00290C63">
      <w:r>
        <w:continuationSeparator/>
      </w:r>
    </w:p>
    <w:p w:rsidR="00AE7866" w:rsidRDefault="00AE7866"/>
  </w:footnote>
  <w:footnote w:id="1">
    <w:p w:rsidR="00AE7866" w:rsidRDefault="00AE7866" w:rsidP="00467918">
      <w:pPr>
        <w:pStyle w:val="FootnoteText"/>
      </w:pPr>
      <w:r>
        <w:rPr>
          <w:rStyle w:val="FootnoteReference"/>
        </w:rPr>
        <w:footnoteRef/>
      </w:r>
      <w:r>
        <w:t xml:space="preserve"> </w:t>
      </w:r>
      <w:r>
        <w:tab/>
      </w:r>
      <w:r w:rsidRPr="00AB66ED">
        <w:t>https://www.aer.gov.au/publications/corporate-documents/accc-and-aer-information-policy-collection-and-disclosure-of-information</w:t>
      </w:r>
    </w:p>
  </w:footnote>
  <w:footnote w:id="2">
    <w:p w:rsidR="00AE7866" w:rsidRDefault="00AE7866" w:rsidP="00412763">
      <w:pPr>
        <w:pStyle w:val="FootnoteText"/>
      </w:pPr>
      <w:r>
        <w:rPr>
          <w:rStyle w:val="FootnoteReference"/>
        </w:rPr>
        <w:footnoteRef/>
      </w:r>
      <w:r>
        <w:t xml:space="preserve"> </w:t>
      </w:r>
      <w:r>
        <w:tab/>
        <w:t xml:space="preserve">NGL, s. 23. </w:t>
      </w:r>
    </w:p>
  </w:footnote>
  <w:footnote w:id="3">
    <w:p w:rsidR="00AE7866" w:rsidRDefault="00AE7866" w:rsidP="00FF34F5">
      <w:pPr>
        <w:pStyle w:val="FootnoteText"/>
      </w:pPr>
      <w:r>
        <w:rPr>
          <w:rStyle w:val="FootnoteReference"/>
        </w:rPr>
        <w:footnoteRef/>
      </w:r>
      <w:r>
        <w:t xml:space="preserve"> </w:t>
      </w:r>
      <w:r>
        <w:tab/>
        <w:t xml:space="preserve">The NGL provides for different types of regulation to apply to gas pipelines, based on competition and significance criteria. A 'full regulation' pipeline must periodically submit an access arrangement to the AER, setting out pricing for a reference service sought by a significant part of the market (see section </w:t>
      </w:r>
      <w:r>
        <w:fldChar w:fldCharType="begin"/>
      </w:r>
      <w:r>
        <w:instrText xml:space="preserve"> REF _Ref481056630 \r \h </w:instrText>
      </w:r>
      <w:r>
        <w:fldChar w:fldCharType="separate"/>
      </w:r>
      <w:r w:rsidR="00EE5745">
        <w:t>3</w:t>
      </w:r>
      <w:r>
        <w:fldChar w:fldCharType="end"/>
      </w:r>
      <w:r>
        <w:t xml:space="preserve"> of this Overview). 'Light regulation' pipelines are not subject to upfront price regulation. The light regulation model is more a negotiate-arbitrate approach, placing greater emphasis on commercial negotiation and information disclosure. The AER plays a role only if dispute resolution mechanisms are triggered.</w:t>
      </w:r>
    </w:p>
  </w:footnote>
  <w:footnote w:id="4">
    <w:p w:rsidR="00AE7866" w:rsidRDefault="00AE7866">
      <w:pPr>
        <w:pStyle w:val="FootnoteText"/>
      </w:pPr>
      <w:r>
        <w:rPr>
          <w:rStyle w:val="FootnoteReference"/>
        </w:rPr>
        <w:footnoteRef/>
      </w:r>
      <w:r>
        <w:t xml:space="preserve"> </w:t>
      </w:r>
      <w:r>
        <w:tab/>
      </w:r>
      <w:r w:rsidRPr="002C6CA1">
        <w:t xml:space="preserve">This difference includes the impact on inflation between periods. In real 2017 dollar terms the revenue approved in this draft decision is </w:t>
      </w:r>
      <w:r>
        <w:t>0.2</w:t>
      </w:r>
      <w:r w:rsidRPr="002C6CA1">
        <w:t xml:space="preserve"> per cent higher revenue than its 2013–17 allowance.</w:t>
      </w:r>
    </w:p>
  </w:footnote>
  <w:footnote w:id="5">
    <w:p w:rsidR="00AE7866" w:rsidRDefault="00AE7866" w:rsidP="004E2567">
      <w:pPr>
        <w:pStyle w:val="FootnoteText"/>
      </w:pPr>
      <w:r>
        <w:rPr>
          <w:rStyle w:val="FootnoteReference"/>
        </w:rPr>
        <w:footnoteRef/>
      </w:r>
      <w:r>
        <w:t xml:space="preserve"> </w:t>
      </w:r>
      <w:r>
        <w:tab/>
        <w:t xml:space="preserve">The comparison of average annual revenues between the 2018–22 and 2013–17 access arrangement periods is based on smoothed revenues. In nominal dollar terms, our final decision average annual revenues for the 2018–22 </w:t>
      </w:r>
      <w:r w:rsidRPr="004E2567">
        <w:t>access arrangement period is about $</w:t>
      </w:r>
      <w:r w:rsidRPr="004E2567">
        <w:rPr>
          <w:rStyle w:val="AERtexthighlight"/>
          <w:shd w:val="clear" w:color="auto" w:fill="auto"/>
        </w:rPr>
        <w:t>92.4</w:t>
      </w:r>
      <w:r w:rsidRPr="004E2567">
        <w:t xml:space="preserve"> million (or </w:t>
      </w:r>
      <w:r w:rsidRPr="004E2567">
        <w:rPr>
          <w:rStyle w:val="AERtexthighlight"/>
          <w:shd w:val="clear" w:color="auto" w:fill="auto"/>
        </w:rPr>
        <w:t>9.7</w:t>
      </w:r>
      <w:r w:rsidRPr="004E2567">
        <w:t xml:space="preserve"> per cent) higher than the average annual revenues</w:t>
      </w:r>
      <w:r>
        <w:t xml:space="preserve"> approved for the 2013–17 access arrangement period.</w:t>
      </w:r>
    </w:p>
  </w:footnote>
  <w:footnote w:id="6">
    <w:p w:rsidR="00AE7866" w:rsidRDefault="00AE7866">
      <w:pPr>
        <w:pStyle w:val="FootnoteText"/>
      </w:pPr>
      <w:r>
        <w:rPr>
          <w:rStyle w:val="FootnoteReference"/>
        </w:rPr>
        <w:footnoteRef/>
      </w:r>
      <w:r>
        <w:t xml:space="preserve"> </w:t>
      </w:r>
      <w:r>
        <w:tab/>
        <w:t>Proportions b</w:t>
      </w:r>
      <w:r w:rsidRPr="00255CAF">
        <w:t xml:space="preserve">ased on average annual distribution charges calculated within the PTRM and average standing residential offers at June 2017 on Switch On comparison tool using average annual consumption </w:t>
      </w:r>
      <w:r>
        <w:t>from</w:t>
      </w:r>
      <w:r w:rsidRPr="00255CAF">
        <w:t xml:space="preserve"> the PTRM for each of </w:t>
      </w:r>
      <w:r>
        <w:t>AusNet</w:t>
      </w:r>
      <w:r w:rsidRPr="00255CAF">
        <w:t xml:space="preserve">'s tariff </w:t>
      </w:r>
      <w:r>
        <w:t>zones</w:t>
      </w:r>
      <w:r w:rsidRPr="00255CAF">
        <w:t xml:space="preserve"> (postcodes </w:t>
      </w:r>
      <w:r>
        <w:t>3011</w:t>
      </w:r>
      <w:r w:rsidRPr="00255CAF">
        <w:t xml:space="preserve">, </w:t>
      </w:r>
      <w:r>
        <w:t>3249</w:t>
      </w:r>
      <w:r w:rsidRPr="00255CAF">
        <w:t xml:space="preserve">, </w:t>
      </w:r>
      <w:r>
        <w:t>3227 and 3260</w:t>
      </w:r>
      <w:r w:rsidRPr="00255CAF">
        <w:t>).</w:t>
      </w:r>
    </w:p>
  </w:footnote>
  <w:footnote w:id="7">
    <w:p w:rsidR="00AE7866" w:rsidRDefault="00AE7866" w:rsidP="00AD31AB">
      <w:pPr>
        <w:pStyle w:val="FootnoteText"/>
      </w:pPr>
      <w:r>
        <w:rPr>
          <w:rStyle w:val="FootnoteReference"/>
        </w:rPr>
        <w:footnoteRef/>
      </w:r>
      <w:r>
        <w:t xml:space="preserve"> </w:t>
      </w:r>
      <w:r>
        <w:tab/>
        <w:t xml:space="preserve">AEMO, </w:t>
      </w:r>
      <w:r w:rsidRPr="004B43D1">
        <w:rPr>
          <w:rStyle w:val="AERtextitalic"/>
        </w:rPr>
        <w:t>National Gas Forecasting Report for Eastern and Southern Australia, December 2016</w:t>
      </w:r>
      <w:r>
        <w:t>, p. 26.</w:t>
      </w:r>
    </w:p>
  </w:footnote>
  <w:footnote w:id="8">
    <w:p w:rsidR="00AE7866" w:rsidRDefault="00AE7866" w:rsidP="004B2D82">
      <w:pPr>
        <w:pStyle w:val="FootnoteText"/>
      </w:pPr>
      <w:r>
        <w:rPr>
          <w:rStyle w:val="FootnoteReference"/>
        </w:rPr>
        <w:footnoteRef/>
      </w:r>
      <w:r>
        <w:t xml:space="preserve"> </w:t>
      </w:r>
      <w:r>
        <w:tab/>
        <w:t xml:space="preserve">AEMO, </w:t>
      </w:r>
      <w:r w:rsidRPr="004B43D1">
        <w:rPr>
          <w:rStyle w:val="AERtextitalic"/>
        </w:rPr>
        <w:t>National Gas Forecasting Report for Eastern and Southern Australia, December 2016</w:t>
      </w:r>
      <w:r>
        <w:t>, p. 7</w:t>
      </w:r>
    </w:p>
  </w:footnote>
  <w:footnote w:id="9">
    <w:p w:rsidR="00AE7866" w:rsidRDefault="00AE7866" w:rsidP="00DB01C8">
      <w:pPr>
        <w:pStyle w:val="FootnoteText"/>
      </w:pPr>
      <w:r>
        <w:rPr>
          <w:rStyle w:val="FootnoteReference"/>
        </w:rPr>
        <w:footnoteRef/>
      </w:r>
      <w:r>
        <w:t xml:space="preserve"> </w:t>
      </w:r>
      <w:r>
        <w:tab/>
        <w:t>NGR, r. 48.</w:t>
      </w:r>
    </w:p>
  </w:footnote>
  <w:footnote w:id="10">
    <w:p w:rsidR="00AE7866" w:rsidRDefault="00AE7866" w:rsidP="008E72AE">
      <w:pPr>
        <w:pStyle w:val="FootnoteText"/>
      </w:pPr>
      <w:r>
        <w:rPr>
          <w:rStyle w:val="FootnoteReference"/>
        </w:rPr>
        <w:footnoteRef/>
      </w:r>
      <w:r>
        <w:t xml:space="preserve"> </w:t>
      </w:r>
      <w:r>
        <w:tab/>
        <w:t>NGL, Chapter 6.</w:t>
      </w:r>
    </w:p>
  </w:footnote>
  <w:footnote w:id="11">
    <w:p w:rsidR="00AE7866" w:rsidRDefault="00AE7866" w:rsidP="00FA0211">
      <w:pPr>
        <w:pStyle w:val="FootnoteText"/>
      </w:pPr>
      <w:r>
        <w:rPr>
          <w:rStyle w:val="FootnoteReference"/>
        </w:rPr>
        <w:footnoteRef/>
      </w:r>
      <w:r>
        <w:t xml:space="preserve"> </w:t>
      </w:r>
      <w:r>
        <w:tab/>
      </w:r>
      <w:r w:rsidRPr="008D2A40">
        <w:t>AER Analysis of the AusNet's usage model. See AusNet Services, Response to Information Request #15, 19 April 2017</w:t>
      </w:r>
    </w:p>
  </w:footnote>
  <w:footnote w:id="12">
    <w:p w:rsidR="00AE7866" w:rsidRDefault="00AE7866" w:rsidP="00FA0211">
      <w:pPr>
        <w:pStyle w:val="FootnoteText"/>
      </w:pPr>
      <w:r>
        <w:rPr>
          <w:rStyle w:val="FootnoteReference"/>
        </w:rPr>
        <w:footnoteRef/>
      </w:r>
      <w:r>
        <w:t xml:space="preserve"> </w:t>
      </w:r>
      <w:r>
        <w:tab/>
        <w:t>Note that figures in the current period include estimated values for 2017.</w:t>
      </w:r>
    </w:p>
  </w:footnote>
  <w:footnote w:id="13">
    <w:p w:rsidR="00AE7866" w:rsidRDefault="00AE7866" w:rsidP="00FA0211">
      <w:pPr>
        <w:pStyle w:val="FootnoteText"/>
      </w:pPr>
      <w:r>
        <w:rPr>
          <w:rStyle w:val="FootnoteReference"/>
        </w:rPr>
        <w:footnoteRef/>
      </w:r>
      <w:r>
        <w:t xml:space="preserve"> </w:t>
      </w:r>
      <w:r>
        <w:tab/>
      </w:r>
      <w:r w:rsidRPr="008D2A40">
        <w:t>This compares to actual growth of 1.</w:t>
      </w:r>
      <w:r>
        <w:t>1</w:t>
      </w:r>
      <w:r w:rsidRPr="008D2A40">
        <w:t>3 per cent for residential consumption per connection and a 2.16 per cent per year growth in customer numbers in the current access arrangement period.</w:t>
      </w:r>
    </w:p>
  </w:footnote>
  <w:footnote w:id="14">
    <w:p w:rsidR="00AE7866" w:rsidRDefault="00AE7866" w:rsidP="00FA0211">
      <w:pPr>
        <w:pStyle w:val="FootnoteText"/>
      </w:pPr>
      <w:r>
        <w:rPr>
          <w:rStyle w:val="FootnoteReference"/>
        </w:rPr>
        <w:footnoteRef/>
      </w:r>
      <w:r>
        <w:t xml:space="preserve"> </w:t>
      </w:r>
      <w:r>
        <w:tab/>
      </w:r>
      <w:r w:rsidRPr="008D2A40">
        <w:t>AER Analysis of the AusNet's usage model. See AusNet Services, Response to Information Request #15, 19 April 2017</w:t>
      </w:r>
    </w:p>
  </w:footnote>
  <w:footnote w:id="15">
    <w:p w:rsidR="00AE7866" w:rsidRDefault="00AE7866" w:rsidP="00FA0211">
      <w:pPr>
        <w:pStyle w:val="FootnoteText"/>
      </w:pPr>
      <w:r>
        <w:rPr>
          <w:rStyle w:val="FootnoteReference"/>
        </w:rPr>
        <w:footnoteRef/>
      </w:r>
      <w:r>
        <w:t xml:space="preserve"> </w:t>
      </w:r>
      <w:r>
        <w:tab/>
      </w:r>
      <w:r w:rsidRPr="008D2A40">
        <w:t>This compares to actual growth of 1.3 per cent for commercial consumption per connection and a 1.4 per cent per year growth in net commercial customer numbers in the current access arrangement period.</w:t>
      </w:r>
    </w:p>
  </w:footnote>
  <w:footnote w:id="16">
    <w:p w:rsidR="00AE7866" w:rsidRDefault="00AE7866" w:rsidP="008E72AE">
      <w:pPr>
        <w:pStyle w:val="FootnoteText"/>
      </w:pPr>
      <w:r>
        <w:rPr>
          <w:rStyle w:val="FootnoteReference"/>
        </w:rPr>
        <w:footnoteRef/>
      </w:r>
      <w:r>
        <w:t xml:space="preserve"> </w:t>
      </w:r>
      <w:r>
        <w:tab/>
        <w:t>Where actual demand across the 2017–22 access arrangement period varies from the demand forecast in the access arrangement, AusNet's actual revenue will vary from the revenue allowance determined in our decision. In general, if actual demand is above forecast demand, AusNet's actual revenue will be above forecast revenue, and vice versa.</w:t>
      </w:r>
    </w:p>
  </w:footnote>
  <w:footnote w:id="17">
    <w:p w:rsidR="00AE7866" w:rsidRDefault="00AE7866" w:rsidP="008E72AE">
      <w:pPr>
        <w:pStyle w:val="FootnoteText"/>
      </w:pPr>
      <w:r>
        <w:rPr>
          <w:rStyle w:val="FootnoteReference"/>
        </w:rPr>
        <w:footnoteRef/>
      </w:r>
      <w:r>
        <w:t xml:space="preserve"> </w:t>
      </w:r>
      <w:r>
        <w:tab/>
        <w:t>NGR, r. 76.</w:t>
      </w:r>
    </w:p>
  </w:footnote>
  <w:footnote w:id="18">
    <w:p w:rsidR="00AE7866" w:rsidRDefault="00AE7866">
      <w:pPr>
        <w:pStyle w:val="FootnoteText"/>
      </w:pPr>
      <w:r>
        <w:rPr>
          <w:rStyle w:val="FootnoteReference"/>
        </w:rPr>
        <w:footnoteRef/>
      </w:r>
      <w:r>
        <w:t xml:space="preserve"> </w:t>
      </w:r>
      <w:r>
        <w:tab/>
        <w:t>NGR, r. 76.</w:t>
      </w:r>
    </w:p>
  </w:footnote>
  <w:footnote w:id="19">
    <w:p w:rsidR="00AE7866" w:rsidRDefault="00AE7866" w:rsidP="008E72AE">
      <w:pPr>
        <w:pStyle w:val="FootnoteText"/>
      </w:pPr>
      <w:r>
        <w:rPr>
          <w:rStyle w:val="FootnoteReference"/>
        </w:rPr>
        <w:footnoteRef/>
      </w:r>
      <w:r>
        <w:t xml:space="preserve"> </w:t>
      </w:r>
      <w:r>
        <w:tab/>
      </w:r>
      <w:r w:rsidRPr="002D4706">
        <w:t xml:space="preserve">This is calculated by smoothing </w:t>
      </w:r>
      <w:r>
        <w:t xml:space="preserve">the unsmoothed </w:t>
      </w:r>
      <w:r w:rsidRPr="002D4706">
        <w:t xml:space="preserve">building block revenue </w:t>
      </w:r>
      <w:r>
        <w:t>for the 2018–22 access arrangement period as set in this draft decision.</w:t>
      </w:r>
    </w:p>
  </w:footnote>
  <w:footnote w:id="20">
    <w:p w:rsidR="00AE7866" w:rsidRDefault="00AE7866" w:rsidP="00A778F0">
      <w:pPr>
        <w:pStyle w:val="FootnoteText"/>
      </w:pPr>
      <w:r>
        <w:rPr>
          <w:rStyle w:val="FootnoteReference"/>
        </w:rPr>
        <w:footnoteRef/>
      </w:r>
      <w:r>
        <w:t xml:space="preserve"> </w:t>
      </w:r>
      <w:r>
        <w:tab/>
        <w:t xml:space="preserve">This process of smoothing revenues is described in the NGR as 'revenue equalisation'. NGR, r. 92. </w:t>
      </w:r>
    </w:p>
  </w:footnote>
  <w:footnote w:id="21">
    <w:p w:rsidR="00AE7866" w:rsidRDefault="00AE7866" w:rsidP="008E72AE">
      <w:pPr>
        <w:pStyle w:val="FootnoteText"/>
      </w:pPr>
      <w:r>
        <w:rPr>
          <w:rStyle w:val="FootnoteReference"/>
        </w:rPr>
        <w:footnoteRef/>
      </w:r>
      <w:r>
        <w:t xml:space="preserve"> </w:t>
      </w:r>
      <w:r>
        <w:tab/>
        <w:t>The tariff path for 2013–22 uses actual inflation outcomes for the 2013–17 period, and expected inflation for 2018–22.</w:t>
      </w:r>
    </w:p>
  </w:footnote>
  <w:footnote w:id="22">
    <w:p w:rsidR="00AE7866" w:rsidRDefault="00AE7866">
      <w:pPr>
        <w:pStyle w:val="FootnoteText"/>
      </w:pPr>
      <w:r>
        <w:rPr>
          <w:rStyle w:val="FootnoteReference"/>
        </w:rPr>
        <w:footnoteRef/>
      </w:r>
      <w:r>
        <w:t xml:space="preserve"> </w:t>
      </w:r>
      <w:r>
        <w:tab/>
        <w:t>AusNet's proposed nominal tariff path also reflects its proposed expected inflation of 1.65 per cent.</w:t>
      </w:r>
    </w:p>
  </w:footnote>
  <w:footnote w:id="23">
    <w:p w:rsidR="00AE7866" w:rsidRDefault="00AE7866" w:rsidP="008E72AE">
      <w:pPr>
        <w:pStyle w:val="FootnoteText"/>
      </w:pPr>
      <w:r>
        <w:rPr>
          <w:rStyle w:val="FootnoteReference"/>
        </w:rPr>
        <w:footnoteRef/>
      </w:r>
      <w:r>
        <w:t xml:space="preserve"> </w:t>
      </w:r>
      <w:r>
        <w:tab/>
        <w:t>The revenue equalisation occurs in NPV terms, discounting the yearly cash flows at the rate of return to reflect the time value of money.</w:t>
      </w:r>
    </w:p>
  </w:footnote>
  <w:footnote w:id="24">
    <w:p w:rsidR="00AE7866" w:rsidRDefault="00AE7866" w:rsidP="008E72AE">
      <w:pPr>
        <w:pStyle w:val="FootnoteText"/>
      </w:pPr>
      <w:r>
        <w:rPr>
          <w:rStyle w:val="FootnoteReference"/>
        </w:rPr>
        <w:footnoteRef/>
      </w:r>
      <w:r>
        <w:t xml:space="preserve"> </w:t>
      </w:r>
      <w:r>
        <w:tab/>
        <w:t>NGL, rr. 23, 24.</w:t>
      </w:r>
    </w:p>
  </w:footnote>
  <w:footnote w:id="25">
    <w:p w:rsidR="00AE7866" w:rsidRDefault="00AE7866" w:rsidP="00906F00">
      <w:pPr>
        <w:pStyle w:val="FootnoteText"/>
      </w:pPr>
      <w:r>
        <w:rPr>
          <w:rStyle w:val="FootnoteReference"/>
        </w:rPr>
        <w:footnoteRef/>
      </w:r>
      <w:r>
        <w:t xml:space="preserve"> </w:t>
      </w:r>
      <w:r>
        <w:tab/>
      </w:r>
      <w:r w:rsidRPr="0089542E">
        <w:t>The term 'rolled forward' means the process of carrying over the value of the capital base from one regulatory year to the next.</w:t>
      </w:r>
    </w:p>
  </w:footnote>
  <w:footnote w:id="26">
    <w:p w:rsidR="00AE7866" w:rsidRDefault="00AE7866">
      <w:pPr>
        <w:pStyle w:val="FootnoteText"/>
      </w:pPr>
      <w:r>
        <w:rPr>
          <w:rStyle w:val="FootnoteReference"/>
        </w:rPr>
        <w:footnoteRef/>
      </w:r>
      <w:r>
        <w:t xml:space="preserve"> </w:t>
      </w:r>
      <w:r>
        <w:tab/>
        <w:t>This calculation includes estimated capex for 2016 and 2017. We will update this with actual capex for 2016 and an updated estimate of 2017 capex in our final decision.</w:t>
      </w:r>
    </w:p>
  </w:footnote>
  <w:footnote w:id="27">
    <w:p w:rsidR="00AE7866" w:rsidRDefault="00AE7866">
      <w:pPr>
        <w:pStyle w:val="FootnoteText"/>
      </w:pPr>
      <w:r>
        <w:rPr>
          <w:rStyle w:val="FootnoteReference"/>
        </w:rPr>
        <w:footnoteRef/>
      </w:r>
      <w:r>
        <w:t xml:space="preserve"> </w:t>
      </w:r>
      <w:r>
        <w:tab/>
        <w:t xml:space="preserve">The inflation on the opening capital base is removed from the regulatory depreciation allowance. See section 5.4 and attachment 5 for further details.  </w:t>
      </w:r>
    </w:p>
  </w:footnote>
  <w:footnote w:id="28">
    <w:p w:rsidR="00AE7866" w:rsidRDefault="00AE7866" w:rsidP="001B1CDC">
      <w:pPr>
        <w:pStyle w:val="FootnoteText"/>
      </w:pPr>
      <w:r>
        <w:rPr>
          <w:rStyle w:val="FootnoteReference"/>
        </w:rPr>
        <w:footnoteRef/>
      </w:r>
      <w:r>
        <w:t xml:space="preserve"> </w:t>
      </w:r>
      <w:r>
        <w:tab/>
      </w:r>
      <w:r w:rsidRPr="00E71176">
        <w:t>NGR, cl. 87(2).</w:t>
      </w:r>
    </w:p>
  </w:footnote>
  <w:footnote w:id="29">
    <w:p w:rsidR="00AE7866" w:rsidRDefault="00AE7866" w:rsidP="001B1CDC">
      <w:pPr>
        <w:pStyle w:val="FootnoteText"/>
      </w:pPr>
      <w:r>
        <w:rPr>
          <w:rStyle w:val="FootnoteReference"/>
        </w:rPr>
        <w:footnoteRef/>
      </w:r>
      <w:r>
        <w:t xml:space="preserve"> </w:t>
      </w:r>
      <w:r>
        <w:tab/>
      </w:r>
      <w:r w:rsidRPr="00E71176">
        <w:t>NGR r. 87(3).</w:t>
      </w:r>
    </w:p>
  </w:footnote>
  <w:footnote w:id="30">
    <w:p w:rsidR="00AE7866" w:rsidRDefault="00AE7866" w:rsidP="001B1CDC">
      <w:pPr>
        <w:pStyle w:val="FootnoteText"/>
      </w:pPr>
      <w:r>
        <w:rPr>
          <w:rStyle w:val="FootnoteReference"/>
        </w:rPr>
        <w:footnoteRef/>
      </w:r>
      <w:r>
        <w:t xml:space="preserve"> </w:t>
      </w:r>
      <w:r>
        <w:tab/>
        <w:t xml:space="preserve">AusNet, </w:t>
      </w:r>
      <w:r w:rsidRPr="000C05A5">
        <w:rPr>
          <w:rStyle w:val="AERtextitalic"/>
        </w:rPr>
        <w:t>Gas Access Arrangement Review 2018–2022: Access Arrangement Information</w:t>
      </w:r>
      <w:r>
        <w:t>, 16 December 2016. p. 202, 207, 235.</w:t>
      </w:r>
    </w:p>
  </w:footnote>
  <w:footnote w:id="31">
    <w:p w:rsidR="00AE7866" w:rsidRDefault="00AE7866" w:rsidP="001B1CDC">
      <w:pPr>
        <w:pStyle w:val="FootnoteText"/>
      </w:pPr>
      <w:r>
        <w:rPr>
          <w:rStyle w:val="FootnoteReference"/>
        </w:rPr>
        <w:footnoteRef/>
      </w:r>
      <w:r>
        <w:t xml:space="preserve"> </w:t>
      </w:r>
      <w:r>
        <w:tab/>
        <w:t xml:space="preserve">For example, see AER, </w:t>
      </w:r>
      <w:r>
        <w:rPr>
          <w:rStyle w:val="AERtextitalic"/>
        </w:rPr>
        <w:t>Final decision: AusNet Services</w:t>
      </w:r>
      <w:r w:rsidRPr="00371F2A">
        <w:rPr>
          <w:rStyle w:val="AERtextitalic"/>
        </w:rPr>
        <w:t xml:space="preserve"> determination 2015 -16 to 2019–</w:t>
      </w:r>
      <w:r>
        <w:rPr>
          <w:rStyle w:val="AERtextitalic"/>
        </w:rPr>
        <w:t xml:space="preserve">20, </w:t>
      </w:r>
      <w:r w:rsidRPr="00371F2A">
        <w:rPr>
          <w:rStyle w:val="AERtextitalic"/>
        </w:rPr>
        <w:t>Attachment 3―Rate of</w:t>
      </w:r>
      <w:r>
        <w:rPr>
          <w:rStyle w:val="AERtextitalic"/>
        </w:rPr>
        <w:t xml:space="preserve"> return</w:t>
      </w:r>
      <w:r>
        <w:t>, May 2016.</w:t>
      </w:r>
    </w:p>
  </w:footnote>
  <w:footnote w:id="32">
    <w:p w:rsidR="00AE7866" w:rsidRDefault="00AE7866" w:rsidP="001B1CDC">
      <w:pPr>
        <w:pStyle w:val="FootnoteText"/>
      </w:pPr>
      <w:r>
        <w:rPr>
          <w:rStyle w:val="FootnoteReference"/>
        </w:rPr>
        <w:footnoteRef/>
      </w:r>
      <w:r>
        <w:t xml:space="preserve"> </w:t>
      </w:r>
      <w:r>
        <w:tab/>
        <w:t>NGR, cl. 87(18)</w:t>
      </w:r>
    </w:p>
  </w:footnote>
  <w:footnote w:id="33">
    <w:p w:rsidR="00AE7866" w:rsidRDefault="00AE7866" w:rsidP="001C2AF9">
      <w:pPr>
        <w:pStyle w:val="FootnoteText"/>
      </w:pPr>
      <w:r>
        <w:rPr>
          <w:rStyle w:val="FootnoteReference"/>
        </w:rPr>
        <w:footnoteRef/>
      </w:r>
      <w:r>
        <w:t xml:space="preserve"> </w:t>
      </w:r>
      <w:r>
        <w:tab/>
      </w:r>
      <w:r w:rsidRPr="00F7105C">
        <w:rPr>
          <w:rStyle w:val="AERtextitalic"/>
        </w:rPr>
        <w:t>Income Tax Assessment Act 1997,</w:t>
      </w:r>
      <w:r>
        <w:t xml:space="preserve"> parts 3–6.</w:t>
      </w:r>
    </w:p>
  </w:footnote>
  <w:footnote w:id="34">
    <w:p w:rsidR="00AE7866" w:rsidRDefault="00AE7866" w:rsidP="001C2AF9">
      <w:pPr>
        <w:pStyle w:val="FootnoteText"/>
      </w:pPr>
      <w:r>
        <w:rPr>
          <w:rStyle w:val="FootnoteReference"/>
        </w:rPr>
        <w:footnoteRef/>
      </w:r>
      <w:r>
        <w:t xml:space="preserve"> </w:t>
      </w:r>
      <w:r>
        <w:tab/>
        <w:t>Post-tax refers to after company tax and before personal tax.</w:t>
      </w:r>
    </w:p>
  </w:footnote>
  <w:footnote w:id="35">
    <w:p w:rsidR="00AE7866" w:rsidRDefault="00AE7866" w:rsidP="001C2AF9">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36">
    <w:p w:rsidR="00AE7866" w:rsidRDefault="00AE7866" w:rsidP="001C2AF9">
      <w:pPr>
        <w:pStyle w:val="FootnoteText"/>
      </w:pPr>
      <w:r>
        <w:rPr>
          <w:rStyle w:val="FootnoteReference"/>
        </w:rPr>
        <w:footnoteRef/>
      </w:r>
      <w:r>
        <w:t xml:space="preserve"> </w:t>
      </w:r>
      <w:r>
        <w:tab/>
      </w:r>
      <w:r w:rsidRPr="00672176">
        <w:t>In finance, the consistency principle requires that the definition of the cash flows in the numerator of a net present value (NPV) calculation must match the definition of the discount rate (or rate of return / cost of capital) in the denominator of the calculation (see Peirson, Brown, Easton, Howard, Pinder, Business Finance, McGraw-Hill, Ed. 10, 2009, p. 427). By maintaining this consistency principle, we provide a benchmark efficient entity with an ex ante total return (inclusive of the value of imputation credits) commensurate with the efficient financing costs of a benchmark efficient entity.</w:t>
      </w:r>
    </w:p>
  </w:footnote>
  <w:footnote w:id="37">
    <w:p w:rsidR="00AE7866" w:rsidRDefault="00AE7866" w:rsidP="001C2AF9">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38">
    <w:p w:rsidR="00AE7866" w:rsidRDefault="00AE7866" w:rsidP="000F0562">
      <w:pPr>
        <w:pStyle w:val="FootnoteText"/>
      </w:pPr>
      <w:r>
        <w:rPr>
          <w:rStyle w:val="FootnoteReference"/>
        </w:rPr>
        <w:footnoteRef/>
      </w:r>
      <w:r>
        <w:t xml:space="preserve"> </w:t>
      </w:r>
      <w:r>
        <w:tab/>
        <w:t>NGR, r. 76(b).</w:t>
      </w:r>
    </w:p>
  </w:footnote>
  <w:footnote w:id="39">
    <w:p w:rsidR="00AE7866" w:rsidRDefault="00AE7866" w:rsidP="000F0562">
      <w:pPr>
        <w:pStyle w:val="FootnoteText"/>
      </w:pPr>
      <w:r>
        <w:rPr>
          <w:rStyle w:val="FootnoteReference"/>
        </w:rPr>
        <w:footnoteRef/>
      </w:r>
      <w:r>
        <w:t xml:space="preserve"> </w:t>
      </w:r>
      <w:r>
        <w:tab/>
        <w:t>Regulatory depreciation allowance is the net total</w:t>
      </w:r>
      <w:r w:rsidRPr="003A447F">
        <w:t xml:space="preserve"> of the straight-line depreciation (negative) and the annual inflation indexation (positive) on the projected capital base</w:t>
      </w:r>
      <w:r>
        <w:t>.</w:t>
      </w:r>
    </w:p>
  </w:footnote>
  <w:footnote w:id="40">
    <w:p w:rsidR="00AE7866" w:rsidRPr="009A55A7" w:rsidRDefault="00AE7866" w:rsidP="000F0562">
      <w:pPr>
        <w:pStyle w:val="FootnoteText"/>
        <w:rPr>
          <w:rFonts w:eastAsia="Calibri"/>
        </w:rPr>
      </w:pPr>
      <w:r>
        <w:rPr>
          <w:rStyle w:val="FootnoteReference"/>
        </w:rPr>
        <w:footnoteRef/>
      </w:r>
      <w:r>
        <w:t xml:space="preserve"> </w:t>
      </w:r>
      <w:r>
        <w:tab/>
        <w:t>For example,</w:t>
      </w:r>
      <w:r>
        <w:rPr>
          <w:rStyle w:val="AERtextitalic"/>
          <w:rFonts w:eastAsia="Calibri"/>
        </w:rPr>
        <w:t xml:space="preserve"> AER: Access arrangement final decision APA GasNet Australia (Operations) Pty Ltd 2013–17 Part 2: Attachments, </w:t>
      </w:r>
      <w:r w:rsidRPr="003926B2">
        <w:rPr>
          <w:rStyle w:val="AERtextitalic"/>
          <w:rFonts w:eastAsia="Calibri"/>
          <w:i w:val="0"/>
        </w:rPr>
        <w:t>March 2013</w:t>
      </w:r>
      <w:r>
        <w:rPr>
          <w:rStyle w:val="AERtextitalic"/>
          <w:rFonts w:eastAsia="Calibri"/>
          <w:i w:val="0"/>
        </w:rPr>
        <w:t>, p. 149</w:t>
      </w:r>
      <w:r>
        <w:rPr>
          <w:rStyle w:val="AERtextitalic"/>
        </w:rPr>
        <w:t xml:space="preserve">; </w:t>
      </w:r>
      <w:r w:rsidRPr="0019286D">
        <w:rPr>
          <w:rStyle w:val="AERtextitalic"/>
          <w:i w:val="0"/>
        </w:rPr>
        <w:t>AER:</w:t>
      </w:r>
      <w:r w:rsidRPr="0094226D">
        <w:rPr>
          <w:rStyle w:val="AERtextitalic"/>
        </w:rPr>
        <w:t xml:space="preserve"> Final decision Amadeus Gas Pipeline access arrangement attachment 5 — Regulatory depreciation, </w:t>
      </w:r>
      <w:r w:rsidRPr="0094226D">
        <w:rPr>
          <w:rStyle w:val="AERtextitalic"/>
          <w:i w:val="0"/>
        </w:rPr>
        <w:t>May 2016, p. 9.</w:t>
      </w:r>
    </w:p>
  </w:footnote>
  <w:footnote w:id="41">
    <w:p w:rsidR="00AE7866" w:rsidRDefault="00AE7866" w:rsidP="000F0562">
      <w:pPr>
        <w:pStyle w:val="FootnoteText"/>
      </w:pPr>
      <w:r>
        <w:rPr>
          <w:rStyle w:val="FootnoteReference"/>
        </w:rPr>
        <w:footnoteRef/>
      </w:r>
      <w:r>
        <w:t xml:space="preserve">      </w:t>
      </w:r>
      <w:r w:rsidRPr="009E1948">
        <w:rPr>
          <w:rFonts w:eastAsia="Calibri"/>
        </w:rPr>
        <w:t>We note that the capex determined in this draft decision for 201</w:t>
      </w:r>
      <w:r>
        <w:rPr>
          <w:rFonts w:eastAsia="Calibri"/>
        </w:rPr>
        <w:t>6</w:t>
      </w:r>
      <w:r>
        <w:t xml:space="preserve"> and 2017</w:t>
      </w:r>
      <w:r w:rsidRPr="009E1948">
        <w:rPr>
          <w:rFonts w:eastAsia="Calibri"/>
        </w:rPr>
        <w:t xml:space="preserve"> are estimates. As part of the final decision, we expect the estimate of capex for 201</w:t>
      </w:r>
      <w:r>
        <w:rPr>
          <w:rFonts w:eastAsia="Calibri"/>
        </w:rPr>
        <w:t>6</w:t>
      </w:r>
      <w:r w:rsidRPr="009E1948">
        <w:rPr>
          <w:rFonts w:eastAsia="Calibri"/>
        </w:rPr>
        <w:t xml:space="preserve"> to be </w:t>
      </w:r>
      <w:r>
        <w:t xml:space="preserve">replaced by actuals and the estimate of capex for 2017 may be </w:t>
      </w:r>
      <w:r w:rsidRPr="009E1948">
        <w:rPr>
          <w:rFonts w:eastAsia="Calibri"/>
        </w:rPr>
        <w:t xml:space="preserve">revised based on more up to date information </w:t>
      </w:r>
      <w:r>
        <w:t>by</w:t>
      </w:r>
      <w:r w:rsidRPr="009E1948">
        <w:rPr>
          <w:rFonts w:eastAsia="Calibri"/>
        </w:rPr>
        <w:t xml:space="preserve"> </w:t>
      </w:r>
      <w:r>
        <w:t>AusNet</w:t>
      </w:r>
      <w:r>
        <w:rPr>
          <w:rFonts w:eastAsia="Calibri"/>
        </w:rPr>
        <w:t xml:space="preserve"> </w:t>
      </w:r>
      <w:r w:rsidRPr="009E1948">
        <w:rPr>
          <w:rFonts w:eastAsia="Calibri"/>
        </w:rPr>
        <w:t>in its revised proposal.</w:t>
      </w:r>
      <w:r w:rsidRPr="00EF647F">
        <w:rPr>
          <w:rFonts w:eastAsia="Calibri"/>
        </w:rPr>
        <w:t xml:space="preserve"> The capex </w:t>
      </w:r>
      <w:r>
        <w:t>values</w:t>
      </w:r>
      <w:r w:rsidRPr="00EF647F">
        <w:rPr>
          <w:rFonts w:eastAsia="Calibri"/>
        </w:rPr>
        <w:t xml:space="preserve"> are used to calculate the weighted average remaining asset lives. Therefore, </w:t>
      </w:r>
      <w:r>
        <w:rPr>
          <w:rFonts w:eastAsia="Calibri"/>
        </w:rPr>
        <w:t>we</w:t>
      </w:r>
      <w:r w:rsidRPr="00EF647F">
        <w:rPr>
          <w:rFonts w:eastAsia="Calibri"/>
        </w:rPr>
        <w:t xml:space="preserve"> </w:t>
      </w:r>
      <w:r>
        <w:rPr>
          <w:rFonts w:eastAsia="Calibri"/>
        </w:rPr>
        <w:t>may</w:t>
      </w:r>
      <w:r w:rsidRPr="00EF647F">
        <w:rPr>
          <w:rFonts w:eastAsia="Calibri"/>
        </w:rPr>
        <w:t xml:space="preserve"> recalculate </w:t>
      </w:r>
      <w:r>
        <w:t>AusNet</w:t>
      </w:r>
      <w:r>
        <w:rPr>
          <w:rFonts w:eastAsia="Calibri"/>
        </w:rPr>
        <w:t xml:space="preserve">’s remaining </w:t>
      </w:r>
      <w:r w:rsidRPr="00EF647F">
        <w:rPr>
          <w:rFonts w:eastAsia="Calibri"/>
        </w:rPr>
        <w:t>asset lives using the method approved in this draft decision to</w:t>
      </w:r>
      <w:r w:rsidRPr="008914BF">
        <w:t xml:space="preserve"> reflect </w:t>
      </w:r>
      <w:r>
        <w:t>revisions to the 2016</w:t>
      </w:r>
      <w:r w:rsidRPr="008914BF">
        <w:t xml:space="preserve"> </w:t>
      </w:r>
      <w:r>
        <w:t xml:space="preserve">and 2017 </w:t>
      </w:r>
      <w:r w:rsidRPr="008914BF">
        <w:t>capex</w:t>
      </w:r>
      <w:r>
        <w:t xml:space="preserve"> values</w:t>
      </w:r>
      <w:r w:rsidRPr="008914BF">
        <w:t xml:space="preserve"> for the final decision.</w:t>
      </w:r>
    </w:p>
  </w:footnote>
  <w:footnote w:id="42">
    <w:p w:rsidR="00AE7866" w:rsidRDefault="00AE7866" w:rsidP="000F0562">
      <w:pPr>
        <w:pStyle w:val="FootnoteText"/>
      </w:pPr>
      <w:r>
        <w:rPr>
          <w:rStyle w:val="FootnoteReference"/>
        </w:rPr>
        <w:footnoteRef/>
      </w:r>
      <w:r>
        <w:t xml:space="preserve"> </w:t>
      </w:r>
      <w:r>
        <w:tab/>
        <w:t>Year by year tracking is administratively more complex and costly, and can increase revenue fluctuations as depreciation depends more on when individual assets expire. A change of approach between access arrangement periods can also cause revenue (and price spikes) which may not be helpful to efficient development in the market for reference services.</w:t>
      </w:r>
    </w:p>
  </w:footnote>
  <w:footnote w:id="43">
    <w:p w:rsidR="00AE7866" w:rsidRDefault="00AE7866" w:rsidP="000F0562">
      <w:pPr>
        <w:pStyle w:val="FootnoteText"/>
      </w:pPr>
      <w:r>
        <w:rPr>
          <w:rStyle w:val="FootnoteReference"/>
        </w:rPr>
        <w:footnoteRef/>
      </w:r>
      <w:r>
        <w:t xml:space="preserve"> </w:t>
      </w:r>
      <w:r>
        <w:tab/>
        <w:t xml:space="preserve">CCP11, </w:t>
      </w:r>
      <w:r w:rsidRPr="006E25DF">
        <w:rPr>
          <w:rStyle w:val="AERtextitalic"/>
        </w:rPr>
        <w:t xml:space="preserve">Submission </w:t>
      </w:r>
      <w:r w:rsidRPr="005F2453">
        <w:rPr>
          <w:rStyle w:val="AERtextitalic"/>
        </w:rPr>
        <w:t>on AGN, AusNet and Multinet proposals</w:t>
      </w:r>
      <w:r>
        <w:t>, 3 March 2017, p.53.</w:t>
      </w:r>
    </w:p>
  </w:footnote>
  <w:footnote w:id="44">
    <w:p w:rsidR="00AE7866" w:rsidRDefault="00AE7866" w:rsidP="00BE78FB">
      <w:pPr>
        <w:pStyle w:val="FootnoteText"/>
      </w:pPr>
      <w:r>
        <w:rPr>
          <w:rStyle w:val="FootnoteReference"/>
        </w:rPr>
        <w:footnoteRef/>
      </w:r>
      <w:r>
        <w:t xml:space="preserve"> </w:t>
      </w:r>
      <w:r>
        <w:tab/>
        <w:t>NGR, r. 69.</w:t>
      </w:r>
    </w:p>
  </w:footnote>
  <w:footnote w:id="45">
    <w:p w:rsidR="00AE7866" w:rsidRDefault="00AE7866" w:rsidP="00BE78FB">
      <w:pPr>
        <w:pStyle w:val="FootnoteText"/>
      </w:pPr>
      <w:r>
        <w:rPr>
          <w:rStyle w:val="FootnoteReference"/>
        </w:rPr>
        <w:footnoteRef/>
      </w:r>
      <w:r>
        <w:t xml:space="preserve"> </w:t>
      </w:r>
      <w:r>
        <w:tab/>
        <w:t>NGR, r. 77.</w:t>
      </w:r>
    </w:p>
  </w:footnote>
  <w:footnote w:id="46">
    <w:p w:rsidR="00AE7866" w:rsidRDefault="00AE7866" w:rsidP="00BE78FB">
      <w:pPr>
        <w:pStyle w:val="FootnoteText"/>
      </w:pPr>
      <w:r>
        <w:rPr>
          <w:rStyle w:val="FootnoteReference"/>
        </w:rPr>
        <w:footnoteRef/>
      </w:r>
      <w:r>
        <w:t xml:space="preserve"> </w:t>
      </w:r>
      <w:r>
        <w:tab/>
        <w:t>NGR, r. 78(b)</w:t>
      </w:r>
    </w:p>
  </w:footnote>
  <w:footnote w:id="47">
    <w:p w:rsidR="00AE7866" w:rsidRDefault="00AE7866" w:rsidP="001729CB">
      <w:pPr>
        <w:pStyle w:val="FootnoteText"/>
      </w:pPr>
      <w:r>
        <w:rPr>
          <w:rStyle w:val="FootnoteReference"/>
        </w:rPr>
        <w:footnoteRef/>
      </w:r>
      <w:r>
        <w:t xml:space="preserve"> </w:t>
      </w:r>
      <w:r>
        <w:tab/>
      </w:r>
      <w:hyperlink r:id="rId1" w:history="1">
        <w:r w:rsidRPr="00F07661">
          <w:rPr>
            <w:rStyle w:val="Hyperlink"/>
            <w:color w:val="auto"/>
            <w:sz w:val="16"/>
            <w:u w:val="none"/>
          </w:rPr>
          <w:t>AER - Access arrangement final decision - SP AusNet - Part 1 - March 2013</w:t>
        </w:r>
      </w:hyperlink>
    </w:p>
  </w:footnote>
  <w:footnote w:id="48">
    <w:p w:rsidR="00AE7866" w:rsidRDefault="00AE7866" w:rsidP="001729CB">
      <w:pPr>
        <w:pStyle w:val="FootnoteText"/>
      </w:pPr>
      <w:r>
        <w:rPr>
          <w:rStyle w:val="FootnoteReference"/>
        </w:rPr>
        <w:footnoteRef/>
      </w:r>
      <w:r>
        <w:t xml:space="preserve"> </w:t>
      </w:r>
      <w:r>
        <w:tab/>
      </w:r>
      <w:hyperlink r:id="rId2" w:history="1">
        <w:r w:rsidRPr="00F07661">
          <w:rPr>
            <w:rStyle w:val="Hyperlink"/>
            <w:color w:val="auto"/>
            <w:sz w:val="16"/>
            <w:u w:val="none"/>
          </w:rPr>
          <w:t>AER - Access arrangement final decision - SP AusNet - Part 1 - March 2013</w:t>
        </w:r>
      </w:hyperlink>
    </w:p>
  </w:footnote>
  <w:footnote w:id="49">
    <w:p w:rsidR="00AE7866" w:rsidRDefault="00AE7866" w:rsidP="00903C1C">
      <w:pPr>
        <w:pStyle w:val="FootnoteText"/>
      </w:pPr>
      <w:r>
        <w:rPr>
          <w:rStyle w:val="FootnoteReference"/>
        </w:rPr>
        <w:footnoteRef/>
      </w:r>
      <w:r>
        <w:t xml:space="preserve"> </w:t>
      </w:r>
      <w:r>
        <w:tab/>
        <w:t>Increase above AusNet's actual and estimated 2013–17 operating expenditure. Includes ancillary reference services and debt raising costs.</w:t>
      </w:r>
    </w:p>
  </w:footnote>
  <w:footnote w:id="50">
    <w:p w:rsidR="00AE7866" w:rsidRDefault="00AE7866" w:rsidP="00903C1C">
      <w:pPr>
        <w:pStyle w:val="FootnoteText"/>
      </w:pPr>
      <w:r>
        <w:rPr>
          <w:rStyle w:val="FootnoteReference"/>
        </w:rPr>
        <w:footnoteRef/>
      </w:r>
      <w:r>
        <w:t xml:space="preserve"> </w:t>
      </w:r>
      <w:r>
        <w:tab/>
        <w:t>Includes ancillary reference services and debt raising costs.</w:t>
      </w:r>
    </w:p>
  </w:footnote>
  <w:footnote w:id="51">
    <w:p w:rsidR="00AE7866" w:rsidRDefault="00AE7866" w:rsidP="00BF6A50">
      <w:pPr>
        <w:pStyle w:val="FootnoteText"/>
      </w:pPr>
      <w:r>
        <w:rPr>
          <w:rStyle w:val="FootnoteReference"/>
        </w:rPr>
        <w:footnoteRef/>
      </w:r>
      <w:r>
        <w:t xml:space="preserve"> </w:t>
      </w:r>
      <w:r>
        <w:tab/>
        <w:t>As determined in the AER Final decision for AusNet Services (SP AusNet) access arrangement 2013–17.</w:t>
      </w:r>
    </w:p>
  </w:footnote>
  <w:footnote w:id="52">
    <w:p w:rsidR="00AE7866" w:rsidRDefault="00AE7866">
      <w:pPr>
        <w:pStyle w:val="FootnoteText"/>
      </w:pPr>
      <w:r>
        <w:rPr>
          <w:rStyle w:val="FootnoteReference"/>
        </w:rPr>
        <w:footnoteRef/>
      </w:r>
      <w:r>
        <w:t xml:space="preserve"> </w:t>
      </w:r>
      <w:r>
        <w:tab/>
        <w:t>AER,</w:t>
      </w:r>
      <w:r w:rsidRPr="000501E8">
        <w:t xml:space="preserve"> </w:t>
      </w:r>
      <w:r w:rsidRPr="002776CB">
        <w:rPr>
          <w:rStyle w:val="AERtextitalic"/>
        </w:rPr>
        <w:t>Efficiency Benefit Sharing Scheme for Electricity Network Service Providers</w:t>
      </w:r>
      <w:r>
        <w:t>, November 2013, pp. 7–9.</w:t>
      </w:r>
    </w:p>
  </w:footnote>
  <w:footnote w:id="53">
    <w:p w:rsidR="00AE7866" w:rsidRDefault="00AE7866" w:rsidP="00DF404D">
      <w:pPr>
        <w:pStyle w:val="FootnoteText"/>
      </w:pPr>
      <w:r>
        <w:rPr>
          <w:rStyle w:val="FootnoteReference"/>
        </w:rPr>
        <w:footnoteRef/>
      </w:r>
      <w:r>
        <w:t xml:space="preserve"> </w:t>
      </w:r>
      <w:r>
        <w:tab/>
      </w:r>
      <w:r w:rsidRPr="00167CF1">
        <w:t xml:space="preserve">The forecast capex amount is a key input for calculating the return of and return on capital building blocks. Attachment 6 sets out our draft decision on </w:t>
      </w:r>
      <w:r>
        <w:t>AusNet</w:t>
      </w:r>
      <w:r w:rsidRPr="00167CF1">
        <w:t>'s forecast capex.</w:t>
      </w:r>
    </w:p>
  </w:footnote>
  <w:footnote w:id="54">
    <w:p w:rsidR="00AE7866" w:rsidRDefault="00AE7866" w:rsidP="00DF404D">
      <w:pPr>
        <w:pStyle w:val="FootnoteText"/>
      </w:pPr>
      <w:r>
        <w:rPr>
          <w:rStyle w:val="FootnoteReference"/>
        </w:rPr>
        <w:footnoteRef/>
      </w:r>
      <w:r>
        <w:t xml:space="preserve"> </w:t>
      </w:r>
      <w:r>
        <w:tab/>
        <w:t>The changes affecting revenues are discussed in the overview.</w:t>
      </w:r>
    </w:p>
  </w:footnote>
  <w:footnote w:id="55">
    <w:p w:rsidR="00AE7866" w:rsidRDefault="00AE7866">
      <w:pPr>
        <w:pStyle w:val="FootnoteText"/>
      </w:pPr>
      <w:r>
        <w:rPr>
          <w:rStyle w:val="FootnoteReference"/>
        </w:rPr>
        <w:footnoteRef/>
      </w:r>
      <w:r>
        <w:t xml:space="preserve"> </w:t>
      </w:r>
      <w:r>
        <w:tab/>
      </w:r>
      <w:r w:rsidRPr="001B4FAA">
        <w:t xml:space="preserve">AER, </w:t>
      </w:r>
      <w:r w:rsidRPr="001B4FAA">
        <w:rPr>
          <w:rStyle w:val="Emphasis"/>
        </w:rPr>
        <w:t>Capital expenditure incentive guideline for electricity network service providers</w:t>
      </w:r>
      <w:r w:rsidRPr="001B4FAA">
        <w:t>,</w:t>
      </w:r>
      <w:r>
        <w:t xml:space="preserve"> November 2013.</w:t>
      </w:r>
    </w:p>
  </w:footnote>
  <w:footnote w:id="56">
    <w:p w:rsidR="00AE7866" w:rsidRDefault="00AE7866" w:rsidP="00883B22">
      <w:pPr>
        <w:pStyle w:val="FootnoteText"/>
      </w:pPr>
      <w:r>
        <w:rPr>
          <w:rStyle w:val="FootnoteReference"/>
        </w:rPr>
        <w:footnoteRef/>
      </w:r>
      <w:r>
        <w:t xml:space="preserve"> </w:t>
      </w:r>
      <w:r>
        <w:tab/>
        <w:t xml:space="preserve">See: </w:t>
      </w:r>
      <w:hyperlink r:id="rId3" w:history="1">
        <w:r w:rsidRPr="00630CD1">
          <w:rPr>
            <w:rStyle w:val="Hyperlink"/>
            <w:sz w:val="16"/>
          </w:rPr>
          <w:t>https://www.ofgem.gov.uk/gas/distribution-networks/network-innovation</w:t>
        </w:r>
      </w:hyperlink>
      <w:r>
        <w:t xml:space="preserve"> </w:t>
      </w:r>
    </w:p>
  </w:footnote>
  <w:footnote w:id="57">
    <w:p w:rsidR="00AE7866" w:rsidRDefault="00AE7866" w:rsidP="00667242">
      <w:pPr>
        <w:pStyle w:val="FootnoteText"/>
      </w:pPr>
      <w:r>
        <w:rPr>
          <w:rStyle w:val="FootnoteReference"/>
        </w:rPr>
        <w:footnoteRef/>
      </w:r>
      <w:r>
        <w:t xml:space="preserve"> </w:t>
      </w:r>
      <w:r>
        <w:tab/>
        <w:t>Although not required in the present case, all transmission pipelines and some distribution pipelines are also required to set out how any spare or developable capacity will be allocated among prospective users ('queuing requirements' - see NGR r. 103.</w:t>
      </w:r>
    </w:p>
  </w:footnote>
  <w:footnote w:id="58">
    <w:p w:rsidR="00AE7866" w:rsidRDefault="00AE7866">
      <w:pPr>
        <w:pStyle w:val="FootnoteText"/>
      </w:pPr>
      <w:r>
        <w:rPr>
          <w:rStyle w:val="FootnoteReference"/>
        </w:rPr>
        <w:footnoteRef/>
      </w:r>
      <w:r>
        <w:t xml:space="preserve"> </w:t>
      </w:r>
      <w:r>
        <w:tab/>
        <w:t>AusNet, Response to AER Information Request #9, 3 March 2017.</w:t>
      </w:r>
    </w:p>
  </w:footnote>
  <w:footnote w:id="59">
    <w:p w:rsidR="00AE7866" w:rsidRDefault="00AE7866" w:rsidP="0093698F">
      <w:pPr>
        <w:pStyle w:val="FootnoteText"/>
      </w:pPr>
      <w:r>
        <w:rPr>
          <w:rStyle w:val="FootnoteReference"/>
        </w:rPr>
        <w:footnoteRef/>
      </w:r>
      <w:r>
        <w:t xml:space="preserve"> </w:t>
      </w:r>
      <w:r>
        <w:tab/>
        <w:t>AusNet, Response to AER Information Request #9, 3 March 2017.</w:t>
      </w:r>
    </w:p>
  </w:footnote>
  <w:footnote w:id="60">
    <w:p w:rsidR="00AE7866" w:rsidRDefault="00AE7866" w:rsidP="00BE78FB">
      <w:pPr>
        <w:pStyle w:val="FootnoteText"/>
      </w:pPr>
      <w:r>
        <w:rPr>
          <w:rStyle w:val="FootnoteReference"/>
        </w:rPr>
        <w:footnoteRef/>
      </w:r>
      <w:r>
        <w:t xml:space="preserve"> </w:t>
      </w:r>
      <w:r>
        <w:tab/>
        <w:t>NGL, s. 23.</w:t>
      </w:r>
    </w:p>
  </w:footnote>
  <w:footnote w:id="61">
    <w:p w:rsidR="00AE7866" w:rsidRDefault="00AE7866" w:rsidP="00BE78FB">
      <w:pPr>
        <w:pStyle w:val="FootnoteText"/>
      </w:pPr>
      <w:r>
        <w:rPr>
          <w:rStyle w:val="FootnoteReference"/>
        </w:rPr>
        <w:footnoteRef/>
      </w:r>
      <w:r>
        <w:t xml:space="preserve"> </w:t>
      </w:r>
      <w:r>
        <w:tab/>
        <w:t xml:space="preserve">Hansard, </w:t>
      </w:r>
      <w:r w:rsidRPr="00A12D0C">
        <w:rPr>
          <w:rStyle w:val="AERtextitalic"/>
        </w:rPr>
        <w:t>SA House of Assembly</w:t>
      </w:r>
      <w:r>
        <w:t>, 9 February 2005, pp. 1451</w:t>
      </w:r>
      <w:r>
        <w:rPr>
          <w:rFonts w:cs="Gautami"/>
        </w:rPr>
        <w:t>–</w:t>
      </w:r>
      <w:r>
        <w:t>1460.</w:t>
      </w:r>
    </w:p>
    <w:p w:rsidR="00AE7866" w:rsidRDefault="00AE7866" w:rsidP="00BE78FB">
      <w:pPr>
        <w:pStyle w:val="FootnoteText"/>
      </w:pPr>
      <w:r>
        <w:tab/>
        <w:t xml:space="preserve">Hansard, </w:t>
      </w:r>
      <w:r w:rsidRPr="00A12D0C">
        <w:rPr>
          <w:rStyle w:val="AERtextitalic"/>
        </w:rPr>
        <w:t>SA House of Assembly</w:t>
      </w:r>
      <w:r>
        <w:t>, 27 September 2007, pp. 963</w:t>
      </w:r>
      <w:r>
        <w:rPr>
          <w:rFonts w:cs="Gautami"/>
        </w:rPr>
        <w:t>–</w:t>
      </w:r>
      <w:r>
        <w:t xml:space="preserve">972. </w:t>
      </w:r>
    </w:p>
    <w:p w:rsidR="00AE7866" w:rsidRDefault="00AE7866" w:rsidP="00BE78FB">
      <w:pPr>
        <w:pStyle w:val="FootnoteText"/>
      </w:pPr>
      <w:r>
        <w:tab/>
        <w:t xml:space="preserve">Hansard, </w:t>
      </w:r>
      <w:r w:rsidRPr="00A12D0C">
        <w:rPr>
          <w:rStyle w:val="AERtextitalic"/>
        </w:rPr>
        <w:t>SA House of Assembly</w:t>
      </w:r>
      <w:r>
        <w:t>, 26 September 2013, pp. 7171</w:t>
      </w:r>
      <w:r>
        <w:rPr>
          <w:rFonts w:cs="Gautami"/>
        </w:rPr>
        <w:t>–</w:t>
      </w:r>
      <w:r>
        <w:t>7176.</w:t>
      </w:r>
    </w:p>
  </w:footnote>
  <w:footnote w:id="62">
    <w:p w:rsidR="00AE7866" w:rsidRDefault="00AE7866" w:rsidP="00BE78FB">
      <w:pPr>
        <w:pStyle w:val="FootnoteText"/>
      </w:pPr>
      <w:r>
        <w:rPr>
          <w:rStyle w:val="FootnoteReference"/>
        </w:rPr>
        <w:footnoteRef/>
      </w:r>
      <w:r>
        <w:tab/>
        <w:t xml:space="preserve">Hansard, </w:t>
      </w:r>
      <w:r w:rsidRPr="00A12D0C">
        <w:rPr>
          <w:rStyle w:val="AERtextitalic"/>
        </w:rPr>
        <w:t>SA House of Assembly</w:t>
      </w:r>
      <w:r>
        <w:t>, 26 September 2013, p. 7173.</w:t>
      </w:r>
    </w:p>
  </w:footnote>
  <w:footnote w:id="63">
    <w:p w:rsidR="00AE7866" w:rsidRDefault="00AE7866" w:rsidP="00BE78FB">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64">
    <w:p w:rsidR="00AE7866" w:rsidRPr="001114AA" w:rsidRDefault="00AE7866" w:rsidP="00BE78FB">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AE7866" w:rsidRDefault="00AE7866" w:rsidP="00BE78FB">
      <w:pPr>
        <w:pStyle w:val="FootnoteText"/>
      </w:pPr>
      <w:r>
        <w:tab/>
        <w:t>Energy Ministers also accept this view – see Hansard, SA House of Assembly, 26 September 2013 p. 7172.</w:t>
      </w:r>
    </w:p>
    <w:p w:rsidR="00AE7866" w:rsidRDefault="00AE7866" w:rsidP="00BE78FB">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65">
    <w:p w:rsidR="00AE7866" w:rsidRDefault="00AE7866" w:rsidP="00BE78FB">
      <w:pPr>
        <w:pStyle w:val="FootnoteText"/>
      </w:pPr>
      <w:r>
        <w:rPr>
          <w:rStyle w:val="FootnoteReference"/>
        </w:rPr>
        <w:footnoteRef/>
      </w:r>
      <w:r>
        <w:t xml:space="preserve"> </w:t>
      </w:r>
      <w:r>
        <w:tab/>
        <w:t>NGL, s. 24(7).</w:t>
      </w:r>
    </w:p>
  </w:footnote>
  <w:footnote w:id="66">
    <w:p w:rsidR="00AE7866" w:rsidRDefault="00AE7866" w:rsidP="00BE78FB">
      <w:pPr>
        <w:pStyle w:val="FootnoteText"/>
      </w:pPr>
      <w:r>
        <w:rPr>
          <w:rStyle w:val="FootnoteReference"/>
        </w:rPr>
        <w:footnoteRef/>
      </w:r>
      <w:r>
        <w:t xml:space="preserve"> </w:t>
      </w:r>
      <w:r>
        <w:tab/>
        <w:t>NGL, s. 24(6).</w:t>
      </w:r>
    </w:p>
  </w:footnote>
  <w:footnote w:id="67">
    <w:p w:rsidR="00AE7866" w:rsidRDefault="00AE7866" w:rsidP="00BE78FB">
      <w:pPr>
        <w:pStyle w:val="FootnoteText"/>
      </w:pPr>
      <w:r>
        <w:rPr>
          <w:rStyle w:val="FootnoteReference"/>
        </w:rPr>
        <w:footnoteRef/>
      </w:r>
      <w:r>
        <w:t xml:space="preserve"> </w:t>
      </w:r>
      <w:r>
        <w:tab/>
        <w:t>NGL, s. 24.</w:t>
      </w:r>
    </w:p>
  </w:footnote>
  <w:footnote w:id="68">
    <w:p w:rsidR="00AE7866" w:rsidRDefault="00AE7866" w:rsidP="00BE78FB">
      <w:pPr>
        <w:pStyle w:val="FootnoteText"/>
      </w:pPr>
      <w:r>
        <w:rPr>
          <w:rStyle w:val="FootnoteReference"/>
        </w:rPr>
        <w:footnoteRef/>
      </w:r>
      <w:r>
        <w:t xml:space="preserve"> </w:t>
      </w:r>
      <w:r>
        <w:tab/>
        <w:t>NGL, s. 28(2).</w:t>
      </w:r>
    </w:p>
  </w:footnote>
  <w:footnote w:id="69">
    <w:p w:rsidR="00AE7866" w:rsidRDefault="00AE7866" w:rsidP="00BE78FB">
      <w:pPr>
        <w:pStyle w:val="FootnoteText"/>
      </w:pPr>
      <w:r>
        <w:rPr>
          <w:rStyle w:val="FootnoteReference"/>
        </w:rPr>
        <w:footnoteRef/>
      </w:r>
      <w:r>
        <w:t xml:space="preserve"> </w:t>
      </w:r>
      <w:r>
        <w:tab/>
        <w:t>Hansard, SA House of Assembly, 27 September 2007 pp. 965, Hansard, SA House of Assembly, 9 April 2008 p. 2886, Hansard, SA House of Assembly, 26 September 2013, p. 7173.</w:t>
      </w:r>
    </w:p>
  </w:footnote>
  <w:footnote w:id="70">
    <w:p w:rsidR="00AE7866" w:rsidRDefault="00AE7866">
      <w:pPr>
        <w:pStyle w:val="FootnoteText"/>
      </w:pPr>
      <w:r>
        <w:rPr>
          <w:rStyle w:val="FootnoteReference"/>
        </w:rPr>
        <w:footnoteRef/>
      </w:r>
      <w:r>
        <w:t xml:space="preserve"> </w:t>
      </w:r>
      <w:r>
        <w:tab/>
        <w:t>NGL, s. 28(1)(b)(iii).</w:t>
      </w:r>
    </w:p>
  </w:footnote>
  <w:footnote w:id="71">
    <w:p w:rsidR="00AE7866" w:rsidRDefault="00AE7866" w:rsidP="00BE78FB">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r>
        <w:t>.</w:t>
      </w:r>
    </w:p>
  </w:footnote>
  <w:footnote w:id="72">
    <w:p w:rsidR="00AE7866" w:rsidRDefault="00AE7866">
      <w:pPr>
        <w:pStyle w:val="FootnoteText"/>
      </w:pPr>
      <w:r>
        <w:rPr>
          <w:rStyle w:val="FootnoteReference"/>
        </w:rPr>
        <w:footnoteRef/>
      </w:r>
      <w:r>
        <w:t xml:space="preserve"> </w:t>
      </w:r>
      <w:r>
        <w:tab/>
      </w:r>
      <w:r w:rsidRPr="005C418E">
        <w:t>AusNet Services - Access Arrangement Information 2018-2022 - 20161221</w:t>
      </w:r>
      <w:r>
        <w:t>, p. 77; See also appendices 5A-5E of AusNet's proposal.</w:t>
      </w:r>
    </w:p>
  </w:footnote>
  <w:footnote w:id="73">
    <w:p w:rsidR="00AE7866" w:rsidRDefault="00AE7866">
      <w:pPr>
        <w:pStyle w:val="FootnoteText"/>
      </w:pPr>
      <w:r>
        <w:rPr>
          <w:rStyle w:val="FootnoteReference"/>
        </w:rPr>
        <w:footnoteRef/>
      </w:r>
      <w:r>
        <w:t xml:space="preserve"> </w:t>
      </w:r>
      <w:r>
        <w:tab/>
      </w:r>
      <w:r w:rsidRPr="00907A07">
        <w:t>AusNet Services - Access Arrangement Information 2018-2022 - 20161221</w:t>
      </w:r>
      <w:r>
        <w:t>, p. 266.</w:t>
      </w:r>
    </w:p>
  </w:footnote>
  <w:footnote w:id="74">
    <w:p w:rsidR="00AE7866" w:rsidRDefault="00AE7866">
      <w:pPr>
        <w:pStyle w:val="FootnoteText"/>
      </w:pPr>
      <w:r>
        <w:rPr>
          <w:rStyle w:val="FootnoteReference"/>
        </w:rPr>
        <w:footnoteRef/>
      </w:r>
      <w:r>
        <w:t xml:space="preserve"> </w:t>
      </w:r>
      <w:r>
        <w:tab/>
      </w:r>
      <w:r w:rsidRPr="00907A07">
        <w:t>Consumer Challenge Panel (CCP 11) - Response to proposals from AGN, AusNet and Multinet for the 2018-2022 Access Arrangements - 3 March 2017</w:t>
      </w:r>
      <w:r>
        <w:t>, pp. 23, 30.</w:t>
      </w:r>
    </w:p>
  </w:footnote>
  <w:footnote w:id="75">
    <w:p w:rsidR="00AE7866" w:rsidRDefault="00AE7866">
      <w:pPr>
        <w:pStyle w:val="FootnoteText"/>
      </w:pPr>
      <w:r>
        <w:rPr>
          <w:rStyle w:val="FootnoteReference"/>
        </w:rPr>
        <w:footnoteRef/>
      </w:r>
      <w:r>
        <w:t xml:space="preserve"> </w:t>
      </w:r>
      <w:r>
        <w:tab/>
      </w:r>
      <w:r w:rsidRPr="00AE5E1C">
        <w:t>Consumer Challenge Panel (CCP 11) - Response to proposals from AGN, AusNet and Multinet for the 2018-2022 Access Arrangements - 3 March 2017</w:t>
      </w:r>
      <w:r>
        <w:t>, p. 6.</w:t>
      </w:r>
    </w:p>
  </w:footnote>
  <w:footnote w:id="76">
    <w:p w:rsidR="00AE7866" w:rsidRDefault="00AE7866">
      <w:pPr>
        <w:pStyle w:val="FootnoteText"/>
      </w:pPr>
      <w:r>
        <w:rPr>
          <w:rStyle w:val="FootnoteReference"/>
        </w:rPr>
        <w:footnoteRef/>
      </w:r>
      <w:r>
        <w:t xml:space="preserve"> </w:t>
      </w:r>
      <w:r>
        <w:tab/>
      </w:r>
      <w:r w:rsidRPr="00AE5E1C">
        <w:t>Consumer Challenge Panel (CCP 11) - Response to proposals from AGN, AusNet and Multinet for the 2018-2022 Access Arrangements - 3 March 2017</w:t>
      </w:r>
      <w:r>
        <w:t>, p. 23.</w:t>
      </w:r>
    </w:p>
  </w:footnote>
  <w:footnote w:id="77">
    <w:p w:rsidR="00AE7866" w:rsidRDefault="00AE7866">
      <w:pPr>
        <w:pStyle w:val="FootnoteText"/>
      </w:pPr>
      <w:r>
        <w:rPr>
          <w:rStyle w:val="FootnoteReference"/>
        </w:rPr>
        <w:footnoteRef/>
      </w:r>
      <w:r>
        <w:t xml:space="preserve"> </w:t>
      </w:r>
      <w:r>
        <w:tab/>
      </w:r>
      <w:r w:rsidRPr="00AE5E1C">
        <w:t>AusNet Services - Access Arrangement Information 2018-2022 - 20161221</w:t>
      </w:r>
      <w:r>
        <w:t>, p. 79.</w:t>
      </w:r>
    </w:p>
  </w:footnote>
  <w:footnote w:id="78">
    <w:p w:rsidR="00AE7866" w:rsidRDefault="00AE7866">
      <w:pPr>
        <w:pStyle w:val="FootnoteText"/>
      </w:pPr>
      <w:r>
        <w:rPr>
          <w:rStyle w:val="FootnoteReference"/>
        </w:rPr>
        <w:footnoteRef/>
      </w:r>
      <w:r>
        <w:t xml:space="preserve"> </w:t>
      </w:r>
      <w:r>
        <w:tab/>
      </w:r>
      <w:r w:rsidRPr="00DF3942">
        <w:t>Consumer Challenge Panel (CCP 11) - Response to proposals from AGN, AusNet and Multinet for the 2018-2022 Access Arrangements - 3 March 2017</w:t>
      </w:r>
      <w:r>
        <w:t>, p. 26.</w:t>
      </w:r>
    </w:p>
  </w:footnote>
  <w:footnote w:id="79">
    <w:p w:rsidR="00AE7866" w:rsidRDefault="00AE7866" w:rsidP="001216CB">
      <w:pPr>
        <w:pStyle w:val="FootnoteText"/>
      </w:pPr>
      <w:r>
        <w:rPr>
          <w:rStyle w:val="FootnoteReference"/>
        </w:rPr>
        <w:footnoteRef/>
      </w:r>
      <w:r>
        <w:t xml:space="preserve"> </w:t>
      </w:r>
      <w:r>
        <w:tab/>
      </w:r>
      <w:r w:rsidRPr="00CB2978">
        <w:t>Energy Networks Australia - AusNet Services Access Arrangement Proposal 2018-22 – Energy Networks Australia’s comments - 3 March 2017</w:t>
      </w:r>
      <w:r>
        <w:t>, p. 2.</w:t>
      </w:r>
    </w:p>
  </w:footnote>
  <w:footnote w:id="80">
    <w:p w:rsidR="00AE7866" w:rsidRDefault="00AE7866" w:rsidP="001216CB">
      <w:pPr>
        <w:pStyle w:val="FootnoteText"/>
      </w:pPr>
      <w:r>
        <w:rPr>
          <w:rStyle w:val="FootnoteReference"/>
        </w:rPr>
        <w:footnoteRef/>
      </w:r>
      <w:r>
        <w:t xml:space="preserve"> </w:t>
      </w:r>
      <w:r>
        <w:tab/>
      </w:r>
      <w:r w:rsidRPr="00907A07">
        <w:t>ATCO Gas Australia - Submission to Victorian Gas Networks (AGN and AusNet Services) Access Arrangement 2018-22 - 3 March 2017</w:t>
      </w:r>
      <w:r>
        <w:t>, p. 2.</w:t>
      </w:r>
    </w:p>
  </w:footnote>
  <w:footnote w:id="81">
    <w:p w:rsidR="00AE7866" w:rsidRDefault="00AE7866">
      <w:pPr>
        <w:pStyle w:val="FootnoteText"/>
      </w:pPr>
      <w:r>
        <w:rPr>
          <w:rStyle w:val="FootnoteReference"/>
        </w:rPr>
        <w:footnoteRef/>
      </w:r>
      <w:r>
        <w:t xml:space="preserve"> </w:t>
      </w:r>
      <w:r>
        <w:tab/>
      </w:r>
      <w:r w:rsidRPr="001216CB">
        <w:t>Consumer Challenge Panel (CCP 11) - Response to proposals from AGN, AusNet and Multinet for the 2018-2022 Access Arrangements - 3 March 2017</w:t>
      </w:r>
      <w:r>
        <w:t>, p. 28.</w:t>
      </w:r>
    </w:p>
  </w:footnote>
  <w:footnote w:id="82">
    <w:p w:rsidR="00AE7866" w:rsidRDefault="00AE7866">
      <w:pPr>
        <w:pStyle w:val="FootnoteText"/>
      </w:pPr>
      <w:r>
        <w:rPr>
          <w:rStyle w:val="FootnoteReference"/>
        </w:rPr>
        <w:footnoteRef/>
      </w:r>
      <w:r>
        <w:t xml:space="preserve"> </w:t>
      </w:r>
      <w:r>
        <w:tab/>
      </w:r>
      <w:r w:rsidRPr="004450EB">
        <w:t>Consumer Challenge Panel (CCP 11) - Response to proposals from AGN, AusNet and Multinet for the 2018-2022 Access Arrangements - 3 March 2017</w:t>
      </w:r>
      <w:r>
        <w:t>, pp. 25-30.</w:t>
      </w:r>
    </w:p>
  </w:footnote>
  <w:footnote w:id="83">
    <w:p w:rsidR="00AE7866" w:rsidRDefault="00AE7866" w:rsidP="00CD1BE7">
      <w:pPr>
        <w:pStyle w:val="FootnoteText"/>
      </w:pPr>
      <w:r>
        <w:rPr>
          <w:rStyle w:val="FootnoteReference"/>
        </w:rPr>
        <w:footnoteRef/>
      </w:r>
      <w:r>
        <w:t xml:space="preserve"> </w:t>
      </w:r>
      <w:r>
        <w:tab/>
      </w:r>
      <w:r w:rsidRPr="00727BE6">
        <w:t>Consumer Challenge Panel (CCP 11) - Response to proposals from AGN, AusNet and Multinet for the 2018-2022 Access Arrangements - 3 March 2017</w:t>
      </w:r>
      <w:r>
        <w:t>, p. 28.</w:t>
      </w:r>
    </w:p>
  </w:footnote>
  <w:footnote w:id="84">
    <w:p w:rsidR="00AE7866" w:rsidRDefault="00AE7866" w:rsidP="00CD1BE7">
      <w:pPr>
        <w:pStyle w:val="FootnoteText"/>
      </w:pPr>
      <w:r>
        <w:rPr>
          <w:rStyle w:val="FootnoteReference"/>
        </w:rPr>
        <w:footnoteRef/>
      </w:r>
      <w:r>
        <w:t xml:space="preserve"> </w:t>
      </w:r>
      <w:r>
        <w:tab/>
      </w:r>
      <w:r w:rsidRPr="00CD1BE7">
        <w:t>AusNet Services - Access Arrangement Information 2018-2022 - 20161221</w:t>
      </w:r>
      <w:r>
        <w:t>, p. 105.</w:t>
      </w:r>
    </w:p>
  </w:footnote>
  <w:footnote w:id="85">
    <w:p w:rsidR="00AE7866" w:rsidRDefault="00AE7866" w:rsidP="00CD1BE7">
      <w:pPr>
        <w:pStyle w:val="FootnoteText"/>
      </w:pPr>
      <w:r>
        <w:rPr>
          <w:rStyle w:val="FootnoteReference"/>
        </w:rPr>
        <w:footnoteRef/>
      </w:r>
      <w:r>
        <w:t xml:space="preserve"> </w:t>
      </w:r>
      <w:r>
        <w:tab/>
      </w:r>
      <w:r w:rsidRPr="00727BE6">
        <w:t>Consumer Challenge Panel (CCP 11) - Response to proposals from AGN, AusNet and Multinet for the 2018-2022 Access Arrangements - 3 March 2017</w:t>
      </w:r>
      <w:r>
        <w:t>, p. 30.</w:t>
      </w:r>
    </w:p>
  </w:footnote>
  <w:footnote w:id="86">
    <w:p w:rsidR="00AE7866" w:rsidRDefault="00AE7866" w:rsidP="00FE1B17">
      <w:pPr>
        <w:pStyle w:val="FootnoteText"/>
      </w:pPr>
      <w:r>
        <w:rPr>
          <w:rStyle w:val="FootnoteReference"/>
        </w:rPr>
        <w:footnoteRef/>
      </w:r>
      <w:r>
        <w:t xml:space="preserve"> </w:t>
      </w:r>
      <w:r>
        <w:tab/>
      </w:r>
      <w:r w:rsidRPr="00FE1B17">
        <w:t>Consumer Challenge Panel (CCP 11) - Response to proposals from AGN, AusNet and Multinet for the 2018-2022 Access Arrangements - 3 March 2017</w:t>
      </w:r>
      <w:r>
        <w:t>, p. 28.</w:t>
      </w:r>
    </w:p>
  </w:footnote>
  <w:footnote w:id="87">
    <w:p w:rsidR="00AE7866" w:rsidRDefault="00AE7866">
      <w:pPr>
        <w:pStyle w:val="FootnoteText"/>
      </w:pPr>
      <w:r>
        <w:rPr>
          <w:rStyle w:val="FootnoteReference"/>
        </w:rPr>
        <w:footnoteRef/>
      </w:r>
      <w:r>
        <w:t xml:space="preserve"> </w:t>
      </w:r>
      <w:r>
        <w:tab/>
      </w:r>
      <w:r w:rsidRPr="00FE1B17">
        <w:t>Consumer Challenge Panel (CCP 11) - Response to proposals from AGN, AusNet and Multinet for the 2018-2022 Access Arrangements - 3 March 2017</w:t>
      </w:r>
      <w:r>
        <w:t>, p. 29.</w:t>
      </w:r>
    </w:p>
  </w:footnote>
  <w:footnote w:id="88">
    <w:p w:rsidR="00AE7866" w:rsidRDefault="00AE7866">
      <w:pPr>
        <w:pStyle w:val="FootnoteText"/>
      </w:pPr>
      <w:r>
        <w:rPr>
          <w:rStyle w:val="FootnoteReference"/>
        </w:rPr>
        <w:footnoteRef/>
      </w:r>
      <w:r>
        <w:t xml:space="preserve"> </w:t>
      </w:r>
      <w:r>
        <w:tab/>
      </w:r>
      <w:r w:rsidRPr="00FE1B17">
        <w:t>Consumer Challenge Panel (CCP 11) - Response to proposals from AGN, AusNet and Multinet for the 2018-2022 Access Arrangements - 3 March 2017</w:t>
      </w:r>
      <w:r>
        <w:t>, p. 28.</w:t>
      </w:r>
    </w:p>
  </w:footnote>
  <w:footnote w:id="89">
    <w:p w:rsidR="00AE7866" w:rsidRDefault="00AE7866">
      <w:pPr>
        <w:pStyle w:val="FootnoteText"/>
      </w:pPr>
      <w:r>
        <w:rPr>
          <w:rStyle w:val="FootnoteReference"/>
        </w:rPr>
        <w:footnoteRef/>
      </w:r>
      <w:r>
        <w:t xml:space="preserve"> </w:t>
      </w:r>
      <w:r>
        <w:tab/>
      </w:r>
      <w:r w:rsidRPr="004450EB">
        <w:t>Consumer Challenge Panel (CCP 11) - Response to proposals from AGN, AusNet and Multinet for the 2018-2022 Access Arrangements - 3 March 2017</w:t>
      </w:r>
      <w:r>
        <w:t>, p. 30.</w:t>
      </w:r>
    </w:p>
  </w:footnote>
  <w:footnote w:id="90">
    <w:p w:rsidR="00AE7866" w:rsidRDefault="00AE7866">
      <w:pPr>
        <w:pStyle w:val="FootnoteText"/>
      </w:pPr>
      <w:r>
        <w:rPr>
          <w:rStyle w:val="FootnoteReference"/>
        </w:rPr>
        <w:footnoteRef/>
      </w:r>
      <w:r>
        <w:t xml:space="preserve"> </w:t>
      </w:r>
      <w:r>
        <w:tab/>
      </w:r>
      <w:r w:rsidRPr="00DF3942">
        <w:t>Consumer Challenge Panel (CCP 11) - Response to proposals from AGN, AusNet and Multinet for the 2018-2022 Access Arrangements - 3 March 2017</w:t>
      </w:r>
      <w:r>
        <w:t>, p.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66" w:rsidRDefault="00AE78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36522A6"/>
    <w:multiLevelType w:val="hybridMultilevel"/>
    <w:tmpl w:val="10B0AD16"/>
    <w:lvl w:ilvl="0" w:tplc="0C090003">
      <w:start w:val="1"/>
      <w:numFmt w:val="bullet"/>
      <w:lvlText w:val="o"/>
      <w:lvlJc w:val="left"/>
      <w:pPr>
        <w:ind w:left="700" w:hanging="360"/>
      </w:pPr>
      <w:rPr>
        <w:rFonts w:ascii="Courier New" w:hAnsi="Courier New" w:cs="Courier New" w:hint="default"/>
      </w:rPr>
    </w:lvl>
    <w:lvl w:ilvl="1" w:tplc="0C090003">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0"/>
  </w:num>
  <w:num w:numId="14">
    <w:abstractNumId w:val="11"/>
  </w:num>
  <w:num w:numId="15">
    <w:abstractNumId w:val="14"/>
  </w:num>
  <w:num w:numId="16">
    <w:abstractNumId w:val="22"/>
  </w:num>
  <w:num w:numId="17">
    <w:abstractNumId w:val="10"/>
  </w:num>
  <w:num w:numId="18">
    <w:abstractNumId w:val="17"/>
  </w:num>
  <w:num w:numId="19">
    <w:abstractNumId w:val="23"/>
  </w:num>
  <w:num w:numId="20">
    <w:abstractNumId w:val="29"/>
  </w:num>
  <w:num w:numId="21">
    <w:abstractNumId w:val="26"/>
  </w:num>
  <w:num w:numId="22">
    <w:abstractNumId w:val="24"/>
  </w:num>
  <w:num w:numId="23">
    <w:abstractNumId w:val="18"/>
  </w:num>
  <w:num w:numId="24">
    <w:abstractNumId w:val="25"/>
  </w:num>
  <w:num w:numId="25">
    <w:abstractNumId w:val="27"/>
  </w:num>
  <w:num w:numId="26">
    <w:abstractNumId w:val="19"/>
  </w:num>
  <w:num w:numId="27">
    <w:abstractNumId w:val="16"/>
  </w:num>
  <w:num w:numId="28">
    <w:abstractNumId w:val="31"/>
  </w:num>
  <w:num w:numId="29">
    <w:abstractNumId w:val="21"/>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8"/>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5"/>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N3ji6tPrqu0+uWXHt8Y03DJhGA5Xn49n/Jlg/p3Dq1U=" w:saltValue="x6NoUDhr564bgCHSh2Bo/Q==" w:algorithmName="SHA-256"/>
  <w:defaultTabStop w:val="340"/>
  <w:characterSpacingControl w:val="doNotCompress"/>
  <w:hdrShapeDefaults>
    <o:shapedefaults v:ext="edit" spidmax="432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024\D16 9531  AER - Draft decision ElectraNet transmission determination - Overview.DOCX"/>
  </w:docVars>
  <w:rsids>
    <w:rsidRoot w:val="00961A4A"/>
    <w:rsid w:val="00002A45"/>
    <w:rsid w:val="000051DC"/>
    <w:rsid w:val="0000658F"/>
    <w:rsid w:val="00011F79"/>
    <w:rsid w:val="0001507B"/>
    <w:rsid w:val="0001618F"/>
    <w:rsid w:val="0001670D"/>
    <w:rsid w:val="00020016"/>
    <w:rsid w:val="00021202"/>
    <w:rsid w:val="00021C2B"/>
    <w:rsid w:val="0002498B"/>
    <w:rsid w:val="0002517F"/>
    <w:rsid w:val="00026187"/>
    <w:rsid w:val="000266FC"/>
    <w:rsid w:val="000273B3"/>
    <w:rsid w:val="00027E2D"/>
    <w:rsid w:val="00030F87"/>
    <w:rsid w:val="0003578C"/>
    <w:rsid w:val="00037F2A"/>
    <w:rsid w:val="00041DEA"/>
    <w:rsid w:val="00044DA3"/>
    <w:rsid w:val="000474DF"/>
    <w:rsid w:val="00055A67"/>
    <w:rsid w:val="00056A9F"/>
    <w:rsid w:val="00063247"/>
    <w:rsid w:val="0006624E"/>
    <w:rsid w:val="00070355"/>
    <w:rsid w:val="00070F9F"/>
    <w:rsid w:val="0007137B"/>
    <w:rsid w:val="00071C18"/>
    <w:rsid w:val="00073B74"/>
    <w:rsid w:val="00076416"/>
    <w:rsid w:val="000805A8"/>
    <w:rsid w:val="0008190B"/>
    <w:rsid w:val="00081C38"/>
    <w:rsid w:val="000836D9"/>
    <w:rsid w:val="00085663"/>
    <w:rsid w:val="00085EBF"/>
    <w:rsid w:val="00091B15"/>
    <w:rsid w:val="00095186"/>
    <w:rsid w:val="000A0E71"/>
    <w:rsid w:val="000A1C0C"/>
    <w:rsid w:val="000A3020"/>
    <w:rsid w:val="000A4840"/>
    <w:rsid w:val="000A62C1"/>
    <w:rsid w:val="000A6895"/>
    <w:rsid w:val="000A6A79"/>
    <w:rsid w:val="000A6C7B"/>
    <w:rsid w:val="000B0A7B"/>
    <w:rsid w:val="000B1173"/>
    <w:rsid w:val="000B5827"/>
    <w:rsid w:val="000B7037"/>
    <w:rsid w:val="000C02D1"/>
    <w:rsid w:val="000C0C63"/>
    <w:rsid w:val="000C2B40"/>
    <w:rsid w:val="000C5255"/>
    <w:rsid w:val="000C7582"/>
    <w:rsid w:val="000D07A7"/>
    <w:rsid w:val="000D122C"/>
    <w:rsid w:val="000D75B0"/>
    <w:rsid w:val="000E1819"/>
    <w:rsid w:val="000E204B"/>
    <w:rsid w:val="000E4821"/>
    <w:rsid w:val="000E4AA9"/>
    <w:rsid w:val="000E61C3"/>
    <w:rsid w:val="000E6C72"/>
    <w:rsid w:val="000E79B6"/>
    <w:rsid w:val="000E7F39"/>
    <w:rsid w:val="000E7F81"/>
    <w:rsid w:val="000F0562"/>
    <w:rsid w:val="000F1CC0"/>
    <w:rsid w:val="000F1DA7"/>
    <w:rsid w:val="000F2900"/>
    <w:rsid w:val="000F446D"/>
    <w:rsid w:val="00100EA2"/>
    <w:rsid w:val="00101AA1"/>
    <w:rsid w:val="00102338"/>
    <w:rsid w:val="00103C9B"/>
    <w:rsid w:val="00104566"/>
    <w:rsid w:val="00104FF6"/>
    <w:rsid w:val="001114AA"/>
    <w:rsid w:val="001123CA"/>
    <w:rsid w:val="00112C7A"/>
    <w:rsid w:val="00115743"/>
    <w:rsid w:val="00116EB2"/>
    <w:rsid w:val="00117D76"/>
    <w:rsid w:val="00120134"/>
    <w:rsid w:val="0012132C"/>
    <w:rsid w:val="001216CB"/>
    <w:rsid w:val="00124609"/>
    <w:rsid w:val="00126A4C"/>
    <w:rsid w:val="001270E3"/>
    <w:rsid w:val="00132D43"/>
    <w:rsid w:val="00133366"/>
    <w:rsid w:val="00133F47"/>
    <w:rsid w:val="00134029"/>
    <w:rsid w:val="00141640"/>
    <w:rsid w:val="00142C2D"/>
    <w:rsid w:val="00144B21"/>
    <w:rsid w:val="00144C96"/>
    <w:rsid w:val="0014573B"/>
    <w:rsid w:val="001463A3"/>
    <w:rsid w:val="0014725D"/>
    <w:rsid w:val="0015073A"/>
    <w:rsid w:val="00153A04"/>
    <w:rsid w:val="001573E4"/>
    <w:rsid w:val="00160756"/>
    <w:rsid w:val="00161DC8"/>
    <w:rsid w:val="001653B4"/>
    <w:rsid w:val="00166760"/>
    <w:rsid w:val="0017232E"/>
    <w:rsid w:val="001725EB"/>
    <w:rsid w:val="001729CB"/>
    <w:rsid w:val="00174102"/>
    <w:rsid w:val="001754EE"/>
    <w:rsid w:val="00180157"/>
    <w:rsid w:val="001809BC"/>
    <w:rsid w:val="00180E97"/>
    <w:rsid w:val="001820B4"/>
    <w:rsid w:val="00184351"/>
    <w:rsid w:val="00184AC8"/>
    <w:rsid w:val="00184CA3"/>
    <w:rsid w:val="0018567A"/>
    <w:rsid w:val="00185BA5"/>
    <w:rsid w:val="00185CB9"/>
    <w:rsid w:val="00185DBE"/>
    <w:rsid w:val="00186ADC"/>
    <w:rsid w:val="00186F77"/>
    <w:rsid w:val="001877A4"/>
    <w:rsid w:val="001903CC"/>
    <w:rsid w:val="001904F7"/>
    <w:rsid w:val="001926A4"/>
    <w:rsid w:val="001928D6"/>
    <w:rsid w:val="00192AD5"/>
    <w:rsid w:val="00194597"/>
    <w:rsid w:val="00194E00"/>
    <w:rsid w:val="0019745E"/>
    <w:rsid w:val="00197B16"/>
    <w:rsid w:val="001A530D"/>
    <w:rsid w:val="001A5AF3"/>
    <w:rsid w:val="001A5FB3"/>
    <w:rsid w:val="001A7155"/>
    <w:rsid w:val="001B1CDC"/>
    <w:rsid w:val="001B40A5"/>
    <w:rsid w:val="001B45A0"/>
    <w:rsid w:val="001B4FAA"/>
    <w:rsid w:val="001B680E"/>
    <w:rsid w:val="001B6D64"/>
    <w:rsid w:val="001C2AF9"/>
    <w:rsid w:val="001C577D"/>
    <w:rsid w:val="001C6A24"/>
    <w:rsid w:val="001D055E"/>
    <w:rsid w:val="001E1B3F"/>
    <w:rsid w:val="001E7161"/>
    <w:rsid w:val="001F05A4"/>
    <w:rsid w:val="001F3D4A"/>
    <w:rsid w:val="001F492E"/>
    <w:rsid w:val="001F6233"/>
    <w:rsid w:val="001F64EF"/>
    <w:rsid w:val="001F6DA3"/>
    <w:rsid w:val="002010BC"/>
    <w:rsid w:val="002016E7"/>
    <w:rsid w:val="00202E03"/>
    <w:rsid w:val="002033B9"/>
    <w:rsid w:val="002043D0"/>
    <w:rsid w:val="0020492C"/>
    <w:rsid w:val="00204EC9"/>
    <w:rsid w:val="00206505"/>
    <w:rsid w:val="0020743F"/>
    <w:rsid w:val="0021131D"/>
    <w:rsid w:val="00216C93"/>
    <w:rsid w:val="002212D8"/>
    <w:rsid w:val="0022202F"/>
    <w:rsid w:val="00223051"/>
    <w:rsid w:val="00224DB9"/>
    <w:rsid w:val="0022569A"/>
    <w:rsid w:val="00226B4D"/>
    <w:rsid w:val="0023005C"/>
    <w:rsid w:val="00231012"/>
    <w:rsid w:val="00233775"/>
    <w:rsid w:val="0023414B"/>
    <w:rsid w:val="00235419"/>
    <w:rsid w:val="002424DF"/>
    <w:rsid w:val="00243635"/>
    <w:rsid w:val="00244F90"/>
    <w:rsid w:val="00247079"/>
    <w:rsid w:val="00251745"/>
    <w:rsid w:val="002552BA"/>
    <w:rsid w:val="00255CAF"/>
    <w:rsid w:val="00260016"/>
    <w:rsid w:val="00263AC0"/>
    <w:rsid w:val="00264264"/>
    <w:rsid w:val="0026689B"/>
    <w:rsid w:val="0026772D"/>
    <w:rsid w:val="00272E2D"/>
    <w:rsid w:val="002730B2"/>
    <w:rsid w:val="00273664"/>
    <w:rsid w:val="00274B74"/>
    <w:rsid w:val="00274C7E"/>
    <w:rsid w:val="002777CF"/>
    <w:rsid w:val="002810F2"/>
    <w:rsid w:val="00284E9D"/>
    <w:rsid w:val="00286874"/>
    <w:rsid w:val="00290C63"/>
    <w:rsid w:val="00291A99"/>
    <w:rsid w:val="00293B6D"/>
    <w:rsid w:val="00294B08"/>
    <w:rsid w:val="0029518C"/>
    <w:rsid w:val="002963DD"/>
    <w:rsid w:val="00296B65"/>
    <w:rsid w:val="002A0438"/>
    <w:rsid w:val="002A3A55"/>
    <w:rsid w:val="002A7DEF"/>
    <w:rsid w:val="002B0696"/>
    <w:rsid w:val="002B4532"/>
    <w:rsid w:val="002B773B"/>
    <w:rsid w:val="002C0222"/>
    <w:rsid w:val="002C1499"/>
    <w:rsid w:val="002C233C"/>
    <w:rsid w:val="002C3D05"/>
    <w:rsid w:val="002C517B"/>
    <w:rsid w:val="002C6CA1"/>
    <w:rsid w:val="002D3509"/>
    <w:rsid w:val="002D5457"/>
    <w:rsid w:val="002D72E8"/>
    <w:rsid w:val="002D79AD"/>
    <w:rsid w:val="002E1F53"/>
    <w:rsid w:val="002E268F"/>
    <w:rsid w:val="002E78DD"/>
    <w:rsid w:val="002E7B22"/>
    <w:rsid w:val="002F12EC"/>
    <w:rsid w:val="002F7986"/>
    <w:rsid w:val="00301B40"/>
    <w:rsid w:val="00301C82"/>
    <w:rsid w:val="003028F4"/>
    <w:rsid w:val="003029EE"/>
    <w:rsid w:val="00303EFB"/>
    <w:rsid w:val="00304D38"/>
    <w:rsid w:val="00305CC8"/>
    <w:rsid w:val="00307F6D"/>
    <w:rsid w:val="0031388F"/>
    <w:rsid w:val="00314D83"/>
    <w:rsid w:val="0031571F"/>
    <w:rsid w:val="003177A2"/>
    <w:rsid w:val="00317E02"/>
    <w:rsid w:val="003271B5"/>
    <w:rsid w:val="003278D4"/>
    <w:rsid w:val="00327A1E"/>
    <w:rsid w:val="00327E28"/>
    <w:rsid w:val="00331264"/>
    <w:rsid w:val="00334C8D"/>
    <w:rsid w:val="003378BD"/>
    <w:rsid w:val="003424EA"/>
    <w:rsid w:val="00342C2F"/>
    <w:rsid w:val="003436EB"/>
    <w:rsid w:val="00343A18"/>
    <w:rsid w:val="00345744"/>
    <w:rsid w:val="003518B3"/>
    <w:rsid w:val="00352AED"/>
    <w:rsid w:val="00353E79"/>
    <w:rsid w:val="00362D74"/>
    <w:rsid w:val="00362FDD"/>
    <w:rsid w:val="00364EA0"/>
    <w:rsid w:val="0036695A"/>
    <w:rsid w:val="00366981"/>
    <w:rsid w:val="00370678"/>
    <w:rsid w:val="00371606"/>
    <w:rsid w:val="0037214E"/>
    <w:rsid w:val="00372C85"/>
    <w:rsid w:val="00373845"/>
    <w:rsid w:val="003744E3"/>
    <w:rsid w:val="00375F71"/>
    <w:rsid w:val="00376219"/>
    <w:rsid w:val="0037663E"/>
    <w:rsid w:val="0037699E"/>
    <w:rsid w:val="00377A29"/>
    <w:rsid w:val="00377C69"/>
    <w:rsid w:val="00381396"/>
    <w:rsid w:val="0038415D"/>
    <w:rsid w:val="0038461C"/>
    <w:rsid w:val="003846F1"/>
    <w:rsid w:val="00387A2D"/>
    <w:rsid w:val="00390E6A"/>
    <w:rsid w:val="00391B74"/>
    <w:rsid w:val="00393ABE"/>
    <w:rsid w:val="00395B73"/>
    <w:rsid w:val="00395DB6"/>
    <w:rsid w:val="00395E62"/>
    <w:rsid w:val="00397398"/>
    <w:rsid w:val="003A371A"/>
    <w:rsid w:val="003A574D"/>
    <w:rsid w:val="003A59CD"/>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4ED"/>
    <w:rsid w:val="003E3AAB"/>
    <w:rsid w:val="003E7FE9"/>
    <w:rsid w:val="003F07D4"/>
    <w:rsid w:val="003F174D"/>
    <w:rsid w:val="003F2329"/>
    <w:rsid w:val="00400FD2"/>
    <w:rsid w:val="00403711"/>
    <w:rsid w:val="004039E8"/>
    <w:rsid w:val="00404C52"/>
    <w:rsid w:val="00412763"/>
    <w:rsid w:val="0041327A"/>
    <w:rsid w:val="004156D5"/>
    <w:rsid w:val="00415BA9"/>
    <w:rsid w:val="00415F31"/>
    <w:rsid w:val="00415FE8"/>
    <w:rsid w:val="0041691D"/>
    <w:rsid w:val="0042000C"/>
    <w:rsid w:val="0042090E"/>
    <w:rsid w:val="00420B15"/>
    <w:rsid w:val="00421F27"/>
    <w:rsid w:val="004238D8"/>
    <w:rsid w:val="00423A77"/>
    <w:rsid w:val="00424CE2"/>
    <w:rsid w:val="004316EF"/>
    <w:rsid w:val="004324F4"/>
    <w:rsid w:val="00434544"/>
    <w:rsid w:val="00434852"/>
    <w:rsid w:val="0044055D"/>
    <w:rsid w:val="00442EA6"/>
    <w:rsid w:val="00443693"/>
    <w:rsid w:val="004450EB"/>
    <w:rsid w:val="00445D43"/>
    <w:rsid w:val="00446CD2"/>
    <w:rsid w:val="0045777E"/>
    <w:rsid w:val="00462421"/>
    <w:rsid w:val="00465258"/>
    <w:rsid w:val="00467918"/>
    <w:rsid w:val="00471BC6"/>
    <w:rsid w:val="004733AC"/>
    <w:rsid w:val="00476221"/>
    <w:rsid w:val="004766F5"/>
    <w:rsid w:val="00476AF6"/>
    <w:rsid w:val="004806DE"/>
    <w:rsid w:val="00480B4B"/>
    <w:rsid w:val="004838D8"/>
    <w:rsid w:val="00485DC4"/>
    <w:rsid w:val="00487E22"/>
    <w:rsid w:val="0049290A"/>
    <w:rsid w:val="004933A3"/>
    <w:rsid w:val="00494D04"/>
    <w:rsid w:val="0049733F"/>
    <w:rsid w:val="004A0730"/>
    <w:rsid w:val="004A40BA"/>
    <w:rsid w:val="004A43D1"/>
    <w:rsid w:val="004A492B"/>
    <w:rsid w:val="004B2D82"/>
    <w:rsid w:val="004B43D1"/>
    <w:rsid w:val="004B4412"/>
    <w:rsid w:val="004C348C"/>
    <w:rsid w:val="004C462E"/>
    <w:rsid w:val="004C6CA3"/>
    <w:rsid w:val="004C7F5E"/>
    <w:rsid w:val="004D343C"/>
    <w:rsid w:val="004D372A"/>
    <w:rsid w:val="004D55BA"/>
    <w:rsid w:val="004D720C"/>
    <w:rsid w:val="004E0FA7"/>
    <w:rsid w:val="004E22EC"/>
    <w:rsid w:val="004E2567"/>
    <w:rsid w:val="004E6BE2"/>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29A4"/>
    <w:rsid w:val="00554ED4"/>
    <w:rsid w:val="00556B1E"/>
    <w:rsid w:val="00564A4D"/>
    <w:rsid w:val="0056598C"/>
    <w:rsid w:val="00566E0B"/>
    <w:rsid w:val="00567BA5"/>
    <w:rsid w:val="00571B35"/>
    <w:rsid w:val="00571B43"/>
    <w:rsid w:val="00571D57"/>
    <w:rsid w:val="0057285C"/>
    <w:rsid w:val="00573A3B"/>
    <w:rsid w:val="00577716"/>
    <w:rsid w:val="00577A09"/>
    <w:rsid w:val="005829C2"/>
    <w:rsid w:val="00584D8F"/>
    <w:rsid w:val="00586278"/>
    <w:rsid w:val="00587A18"/>
    <w:rsid w:val="00587ADE"/>
    <w:rsid w:val="005A0BEC"/>
    <w:rsid w:val="005A404D"/>
    <w:rsid w:val="005B1E3C"/>
    <w:rsid w:val="005B5FD8"/>
    <w:rsid w:val="005B6518"/>
    <w:rsid w:val="005B704A"/>
    <w:rsid w:val="005B72D7"/>
    <w:rsid w:val="005C045F"/>
    <w:rsid w:val="005C16FE"/>
    <w:rsid w:val="005C1FAB"/>
    <w:rsid w:val="005C21A4"/>
    <w:rsid w:val="005C2422"/>
    <w:rsid w:val="005C26CC"/>
    <w:rsid w:val="005C418E"/>
    <w:rsid w:val="005C4463"/>
    <w:rsid w:val="005D3D88"/>
    <w:rsid w:val="005D48C4"/>
    <w:rsid w:val="005D6208"/>
    <w:rsid w:val="005D6366"/>
    <w:rsid w:val="005D7BA2"/>
    <w:rsid w:val="005E36C2"/>
    <w:rsid w:val="005E4AF4"/>
    <w:rsid w:val="005E6AEC"/>
    <w:rsid w:val="005F2401"/>
    <w:rsid w:val="005F387E"/>
    <w:rsid w:val="005F7A41"/>
    <w:rsid w:val="00601E0B"/>
    <w:rsid w:val="0060258B"/>
    <w:rsid w:val="00610EF9"/>
    <w:rsid w:val="00612F4F"/>
    <w:rsid w:val="00614EA0"/>
    <w:rsid w:val="00615ABD"/>
    <w:rsid w:val="00615C6B"/>
    <w:rsid w:val="00617D4C"/>
    <w:rsid w:val="00621DCE"/>
    <w:rsid w:val="00621FC5"/>
    <w:rsid w:val="00624F2C"/>
    <w:rsid w:val="00632D6D"/>
    <w:rsid w:val="006335BB"/>
    <w:rsid w:val="00634E44"/>
    <w:rsid w:val="00636569"/>
    <w:rsid w:val="00636EF9"/>
    <w:rsid w:val="00637B49"/>
    <w:rsid w:val="00642C3E"/>
    <w:rsid w:val="00644A01"/>
    <w:rsid w:val="00647820"/>
    <w:rsid w:val="0065160D"/>
    <w:rsid w:val="00651E2D"/>
    <w:rsid w:val="00652324"/>
    <w:rsid w:val="006577FB"/>
    <w:rsid w:val="0066104A"/>
    <w:rsid w:val="00662BD5"/>
    <w:rsid w:val="00663066"/>
    <w:rsid w:val="00663DAD"/>
    <w:rsid w:val="00664206"/>
    <w:rsid w:val="006649E7"/>
    <w:rsid w:val="00666634"/>
    <w:rsid w:val="00667242"/>
    <w:rsid w:val="0067088F"/>
    <w:rsid w:val="00671692"/>
    <w:rsid w:val="00675E20"/>
    <w:rsid w:val="00676679"/>
    <w:rsid w:val="00683C89"/>
    <w:rsid w:val="006848C0"/>
    <w:rsid w:val="00691B53"/>
    <w:rsid w:val="00691FED"/>
    <w:rsid w:val="00693A56"/>
    <w:rsid w:val="006956E0"/>
    <w:rsid w:val="00697D0B"/>
    <w:rsid w:val="006A12BA"/>
    <w:rsid w:val="006A4739"/>
    <w:rsid w:val="006A66A1"/>
    <w:rsid w:val="006B032D"/>
    <w:rsid w:val="006B2395"/>
    <w:rsid w:val="006B3D1B"/>
    <w:rsid w:val="006B40AC"/>
    <w:rsid w:val="006B4CF9"/>
    <w:rsid w:val="006B797C"/>
    <w:rsid w:val="006B7AC8"/>
    <w:rsid w:val="006C1736"/>
    <w:rsid w:val="006C329B"/>
    <w:rsid w:val="006C3557"/>
    <w:rsid w:val="006C5F54"/>
    <w:rsid w:val="006C6303"/>
    <w:rsid w:val="006D550F"/>
    <w:rsid w:val="006D6146"/>
    <w:rsid w:val="006D71AB"/>
    <w:rsid w:val="006D7F7E"/>
    <w:rsid w:val="006E0CFF"/>
    <w:rsid w:val="006E4D1A"/>
    <w:rsid w:val="006F0D92"/>
    <w:rsid w:val="006F267D"/>
    <w:rsid w:val="0070011E"/>
    <w:rsid w:val="00700A9E"/>
    <w:rsid w:val="007018F2"/>
    <w:rsid w:val="00701CAB"/>
    <w:rsid w:val="007023BB"/>
    <w:rsid w:val="00704DD7"/>
    <w:rsid w:val="00707563"/>
    <w:rsid w:val="0071454E"/>
    <w:rsid w:val="00715F61"/>
    <w:rsid w:val="00722132"/>
    <w:rsid w:val="007228F7"/>
    <w:rsid w:val="0072348C"/>
    <w:rsid w:val="00724A37"/>
    <w:rsid w:val="00724B9F"/>
    <w:rsid w:val="00727BE6"/>
    <w:rsid w:val="007303C3"/>
    <w:rsid w:val="00731188"/>
    <w:rsid w:val="00732CC0"/>
    <w:rsid w:val="007356CC"/>
    <w:rsid w:val="007368E6"/>
    <w:rsid w:val="007375DF"/>
    <w:rsid w:val="007379EB"/>
    <w:rsid w:val="007429BE"/>
    <w:rsid w:val="00743223"/>
    <w:rsid w:val="00743349"/>
    <w:rsid w:val="0074403A"/>
    <w:rsid w:val="00746E01"/>
    <w:rsid w:val="00751622"/>
    <w:rsid w:val="00751DCD"/>
    <w:rsid w:val="007542CC"/>
    <w:rsid w:val="00755084"/>
    <w:rsid w:val="00757364"/>
    <w:rsid w:val="00757BDF"/>
    <w:rsid w:val="007609D0"/>
    <w:rsid w:val="00761454"/>
    <w:rsid w:val="0076193D"/>
    <w:rsid w:val="00763E5D"/>
    <w:rsid w:val="00767740"/>
    <w:rsid w:val="00767B5E"/>
    <w:rsid w:val="00775460"/>
    <w:rsid w:val="00777EE6"/>
    <w:rsid w:val="00780339"/>
    <w:rsid w:val="00782EEA"/>
    <w:rsid w:val="00785AEC"/>
    <w:rsid w:val="007909B4"/>
    <w:rsid w:val="00790E86"/>
    <w:rsid w:val="007949D7"/>
    <w:rsid w:val="0079617A"/>
    <w:rsid w:val="007A0143"/>
    <w:rsid w:val="007A34C2"/>
    <w:rsid w:val="007A396C"/>
    <w:rsid w:val="007A4B02"/>
    <w:rsid w:val="007A5CAB"/>
    <w:rsid w:val="007B0BE3"/>
    <w:rsid w:val="007B1816"/>
    <w:rsid w:val="007B186E"/>
    <w:rsid w:val="007B25DC"/>
    <w:rsid w:val="007B2C72"/>
    <w:rsid w:val="007B3789"/>
    <w:rsid w:val="007B651F"/>
    <w:rsid w:val="007B7BB5"/>
    <w:rsid w:val="007C1C53"/>
    <w:rsid w:val="007C2175"/>
    <w:rsid w:val="007C284C"/>
    <w:rsid w:val="007C4B82"/>
    <w:rsid w:val="007C74BB"/>
    <w:rsid w:val="007C7F64"/>
    <w:rsid w:val="007D0A95"/>
    <w:rsid w:val="007D0EB5"/>
    <w:rsid w:val="007D2992"/>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06C5"/>
    <w:rsid w:val="008344F6"/>
    <w:rsid w:val="0083510F"/>
    <w:rsid w:val="00837BF3"/>
    <w:rsid w:val="008415DE"/>
    <w:rsid w:val="008420DE"/>
    <w:rsid w:val="00845865"/>
    <w:rsid w:val="0084799B"/>
    <w:rsid w:val="00850C90"/>
    <w:rsid w:val="00851049"/>
    <w:rsid w:val="00851209"/>
    <w:rsid w:val="0085171F"/>
    <w:rsid w:val="00853DD1"/>
    <w:rsid w:val="008658A1"/>
    <w:rsid w:val="0086716A"/>
    <w:rsid w:val="00870613"/>
    <w:rsid w:val="008736BB"/>
    <w:rsid w:val="0087380F"/>
    <w:rsid w:val="0087648F"/>
    <w:rsid w:val="00876612"/>
    <w:rsid w:val="00876E2F"/>
    <w:rsid w:val="0087710A"/>
    <w:rsid w:val="00882BB1"/>
    <w:rsid w:val="008837AC"/>
    <w:rsid w:val="00883B22"/>
    <w:rsid w:val="008909DC"/>
    <w:rsid w:val="00894255"/>
    <w:rsid w:val="008945AD"/>
    <w:rsid w:val="00896BDA"/>
    <w:rsid w:val="008A0645"/>
    <w:rsid w:val="008A1C02"/>
    <w:rsid w:val="008A370D"/>
    <w:rsid w:val="008A587D"/>
    <w:rsid w:val="008B16B0"/>
    <w:rsid w:val="008B1BD5"/>
    <w:rsid w:val="008B35CD"/>
    <w:rsid w:val="008B4093"/>
    <w:rsid w:val="008B5FCC"/>
    <w:rsid w:val="008B7439"/>
    <w:rsid w:val="008B7F36"/>
    <w:rsid w:val="008C00AB"/>
    <w:rsid w:val="008C2BCE"/>
    <w:rsid w:val="008C357F"/>
    <w:rsid w:val="008C35B4"/>
    <w:rsid w:val="008C5486"/>
    <w:rsid w:val="008C6404"/>
    <w:rsid w:val="008D1661"/>
    <w:rsid w:val="008D27E0"/>
    <w:rsid w:val="008D2A40"/>
    <w:rsid w:val="008D5F90"/>
    <w:rsid w:val="008D6800"/>
    <w:rsid w:val="008D72F1"/>
    <w:rsid w:val="008E4089"/>
    <w:rsid w:val="008E5AFF"/>
    <w:rsid w:val="008E7031"/>
    <w:rsid w:val="008E72AE"/>
    <w:rsid w:val="008E76C2"/>
    <w:rsid w:val="008E77DE"/>
    <w:rsid w:val="008F040C"/>
    <w:rsid w:val="008F07A3"/>
    <w:rsid w:val="008F120B"/>
    <w:rsid w:val="008F3322"/>
    <w:rsid w:val="008F3519"/>
    <w:rsid w:val="008F3A0D"/>
    <w:rsid w:val="008F50A9"/>
    <w:rsid w:val="009001B6"/>
    <w:rsid w:val="00900E1B"/>
    <w:rsid w:val="0090131F"/>
    <w:rsid w:val="00901443"/>
    <w:rsid w:val="00903C1C"/>
    <w:rsid w:val="00906F00"/>
    <w:rsid w:val="00907683"/>
    <w:rsid w:val="00907A07"/>
    <w:rsid w:val="009132B7"/>
    <w:rsid w:val="00913D4A"/>
    <w:rsid w:val="009163A0"/>
    <w:rsid w:val="00916A2C"/>
    <w:rsid w:val="00920572"/>
    <w:rsid w:val="009233EE"/>
    <w:rsid w:val="00925869"/>
    <w:rsid w:val="00930B1A"/>
    <w:rsid w:val="00932612"/>
    <w:rsid w:val="009327DC"/>
    <w:rsid w:val="009338D9"/>
    <w:rsid w:val="009339BD"/>
    <w:rsid w:val="009356CF"/>
    <w:rsid w:val="0093698F"/>
    <w:rsid w:val="00941C82"/>
    <w:rsid w:val="00941E43"/>
    <w:rsid w:val="00942CD9"/>
    <w:rsid w:val="00945E53"/>
    <w:rsid w:val="009460AA"/>
    <w:rsid w:val="00951978"/>
    <w:rsid w:val="00952C8B"/>
    <w:rsid w:val="00961A4A"/>
    <w:rsid w:val="009620B6"/>
    <w:rsid w:val="009661DE"/>
    <w:rsid w:val="00972C7C"/>
    <w:rsid w:val="0097484B"/>
    <w:rsid w:val="009776F4"/>
    <w:rsid w:val="00980CBF"/>
    <w:rsid w:val="009822BD"/>
    <w:rsid w:val="00982662"/>
    <w:rsid w:val="00982C8F"/>
    <w:rsid w:val="00982DA2"/>
    <w:rsid w:val="00983C25"/>
    <w:rsid w:val="0098466D"/>
    <w:rsid w:val="009856B7"/>
    <w:rsid w:val="009859D6"/>
    <w:rsid w:val="00985C86"/>
    <w:rsid w:val="009867EA"/>
    <w:rsid w:val="009A34C7"/>
    <w:rsid w:val="009A5FC3"/>
    <w:rsid w:val="009B3D14"/>
    <w:rsid w:val="009B6F84"/>
    <w:rsid w:val="009B74B0"/>
    <w:rsid w:val="009C0152"/>
    <w:rsid w:val="009C1342"/>
    <w:rsid w:val="009C1A74"/>
    <w:rsid w:val="009C3381"/>
    <w:rsid w:val="009C3D42"/>
    <w:rsid w:val="009C491E"/>
    <w:rsid w:val="009D0DF1"/>
    <w:rsid w:val="009D22D6"/>
    <w:rsid w:val="009D2C84"/>
    <w:rsid w:val="009D3906"/>
    <w:rsid w:val="009D6B46"/>
    <w:rsid w:val="009E35B6"/>
    <w:rsid w:val="009E5ABC"/>
    <w:rsid w:val="009F0CA6"/>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63F"/>
    <w:rsid w:val="00A428EE"/>
    <w:rsid w:val="00A443C2"/>
    <w:rsid w:val="00A4478A"/>
    <w:rsid w:val="00A44852"/>
    <w:rsid w:val="00A4788E"/>
    <w:rsid w:val="00A50502"/>
    <w:rsid w:val="00A51022"/>
    <w:rsid w:val="00A52C17"/>
    <w:rsid w:val="00A53409"/>
    <w:rsid w:val="00A53796"/>
    <w:rsid w:val="00A53848"/>
    <w:rsid w:val="00A56945"/>
    <w:rsid w:val="00A56A6E"/>
    <w:rsid w:val="00A57D04"/>
    <w:rsid w:val="00A60A26"/>
    <w:rsid w:val="00A61598"/>
    <w:rsid w:val="00A61777"/>
    <w:rsid w:val="00A63646"/>
    <w:rsid w:val="00A63914"/>
    <w:rsid w:val="00A661CE"/>
    <w:rsid w:val="00A67EBD"/>
    <w:rsid w:val="00A778F0"/>
    <w:rsid w:val="00A8169B"/>
    <w:rsid w:val="00A84A99"/>
    <w:rsid w:val="00A84F46"/>
    <w:rsid w:val="00A85E87"/>
    <w:rsid w:val="00A86AEA"/>
    <w:rsid w:val="00A86B26"/>
    <w:rsid w:val="00A871F4"/>
    <w:rsid w:val="00A92988"/>
    <w:rsid w:val="00A9431A"/>
    <w:rsid w:val="00A95988"/>
    <w:rsid w:val="00A959DF"/>
    <w:rsid w:val="00A97A1B"/>
    <w:rsid w:val="00AA2927"/>
    <w:rsid w:val="00AA7308"/>
    <w:rsid w:val="00AB2CB8"/>
    <w:rsid w:val="00AB4272"/>
    <w:rsid w:val="00AB4617"/>
    <w:rsid w:val="00AC1B2C"/>
    <w:rsid w:val="00AC3264"/>
    <w:rsid w:val="00AC46AD"/>
    <w:rsid w:val="00AC4D2D"/>
    <w:rsid w:val="00AC58EC"/>
    <w:rsid w:val="00AC7282"/>
    <w:rsid w:val="00AC7961"/>
    <w:rsid w:val="00AD20A0"/>
    <w:rsid w:val="00AD314E"/>
    <w:rsid w:val="00AD31AB"/>
    <w:rsid w:val="00AD5FCD"/>
    <w:rsid w:val="00AD6B48"/>
    <w:rsid w:val="00AD6DD5"/>
    <w:rsid w:val="00AD7A3A"/>
    <w:rsid w:val="00AE0462"/>
    <w:rsid w:val="00AE1BF1"/>
    <w:rsid w:val="00AE22E2"/>
    <w:rsid w:val="00AE23AB"/>
    <w:rsid w:val="00AE58FB"/>
    <w:rsid w:val="00AE5AF0"/>
    <w:rsid w:val="00AE5E1C"/>
    <w:rsid w:val="00AE663D"/>
    <w:rsid w:val="00AE73B3"/>
    <w:rsid w:val="00AE7866"/>
    <w:rsid w:val="00AF07E7"/>
    <w:rsid w:val="00AF0DD2"/>
    <w:rsid w:val="00AF2960"/>
    <w:rsid w:val="00AF31E1"/>
    <w:rsid w:val="00AF376B"/>
    <w:rsid w:val="00AF3BBA"/>
    <w:rsid w:val="00AF4231"/>
    <w:rsid w:val="00AF4E2E"/>
    <w:rsid w:val="00B00B0E"/>
    <w:rsid w:val="00B00B26"/>
    <w:rsid w:val="00B01625"/>
    <w:rsid w:val="00B02385"/>
    <w:rsid w:val="00B02F9D"/>
    <w:rsid w:val="00B05766"/>
    <w:rsid w:val="00B13048"/>
    <w:rsid w:val="00B13883"/>
    <w:rsid w:val="00B1716D"/>
    <w:rsid w:val="00B17A1D"/>
    <w:rsid w:val="00B207A0"/>
    <w:rsid w:val="00B21C21"/>
    <w:rsid w:val="00B22EF7"/>
    <w:rsid w:val="00B22F54"/>
    <w:rsid w:val="00B24A7E"/>
    <w:rsid w:val="00B25C0C"/>
    <w:rsid w:val="00B26107"/>
    <w:rsid w:val="00B304B5"/>
    <w:rsid w:val="00B308A9"/>
    <w:rsid w:val="00B31047"/>
    <w:rsid w:val="00B33148"/>
    <w:rsid w:val="00B35CDF"/>
    <w:rsid w:val="00B403C2"/>
    <w:rsid w:val="00B405A1"/>
    <w:rsid w:val="00B437B4"/>
    <w:rsid w:val="00B4438A"/>
    <w:rsid w:val="00B45AA2"/>
    <w:rsid w:val="00B479CA"/>
    <w:rsid w:val="00B5084F"/>
    <w:rsid w:val="00B514DD"/>
    <w:rsid w:val="00B52628"/>
    <w:rsid w:val="00B52AF0"/>
    <w:rsid w:val="00B53D5F"/>
    <w:rsid w:val="00B54051"/>
    <w:rsid w:val="00B561BD"/>
    <w:rsid w:val="00B56E03"/>
    <w:rsid w:val="00B572CD"/>
    <w:rsid w:val="00B60153"/>
    <w:rsid w:val="00B6216B"/>
    <w:rsid w:val="00B62765"/>
    <w:rsid w:val="00B65DF5"/>
    <w:rsid w:val="00B7679F"/>
    <w:rsid w:val="00B77159"/>
    <w:rsid w:val="00B8080B"/>
    <w:rsid w:val="00B81A05"/>
    <w:rsid w:val="00B82223"/>
    <w:rsid w:val="00B82F5E"/>
    <w:rsid w:val="00B87BA5"/>
    <w:rsid w:val="00B87C39"/>
    <w:rsid w:val="00B93891"/>
    <w:rsid w:val="00B9562D"/>
    <w:rsid w:val="00B95807"/>
    <w:rsid w:val="00B96FE0"/>
    <w:rsid w:val="00B97DC0"/>
    <w:rsid w:val="00BA21DA"/>
    <w:rsid w:val="00BA2B60"/>
    <w:rsid w:val="00BA3C93"/>
    <w:rsid w:val="00BA4665"/>
    <w:rsid w:val="00BA701D"/>
    <w:rsid w:val="00BA7FD7"/>
    <w:rsid w:val="00BB1681"/>
    <w:rsid w:val="00BB2FB2"/>
    <w:rsid w:val="00BB3304"/>
    <w:rsid w:val="00BB3942"/>
    <w:rsid w:val="00BB506C"/>
    <w:rsid w:val="00BB6551"/>
    <w:rsid w:val="00BC175A"/>
    <w:rsid w:val="00BC2D47"/>
    <w:rsid w:val="00BC4A10"/>
    <w:rsid w:val="00BC5055"/>
    <w:rsid w:val="00BD30F4"/>
    <w:rsid w:val="00BD3446"/>
    <w:rsid w:val="00BD59CF"/>
    <w:rsid w:val="00BE1312"/>
    <w:rsid w:val="00BE1F1B"/>
    <w:rsid w:val="00BE3F89"/>
    <w:rsid w:val="00BE4048"/>
    <w:rsid w:val="00BE47B5"/>
    <w:rsid w:val="00BE5FCE"/>
    <w:rsid w:val="00BE7898"/>
    <w:rsid w:val="00BE78FB"/>
    <w:rsid w:val="00BF56FD"/>
    <w:rsid w:val="00BF5EB0"/>
    <w:rsid w:val="00BF6A50"/>
    <w:rsid w:val="00C0079E"/>
    <w:rsid w:val="00C03AF1"/>
    <w:rsid w:val="00C0572A"/>
    <w:rsid w:val="00C06C86"/>
    <w:rsid w:val="00C1162D"/>
    <w:rsid w:val="00C13EBD"/>
    <w:rsid w:val="00C1631B"/>
    <w:rsid w:val="00C163AB"/>
    <w:rsid w:val="00C170F0"/>
    <w:rsid w:val="00C25962"/>
    <w:rsid w:val="00C25FA6"/>
    <w:rsid w:val="00C3099D"/>
    <w:rsid w:val="00C30AAD"/>
    <w:rsid w:val="00C314C4"/>
    <w:rsid w:val="00C33011"/>
    <w:rsid w:val="00C362C1"/>
    <w:rsid w:val="00C41950"/>
    <w:rsid w:val="00C42C3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5DDC"/>
    <w:rsid w:val="00C76178"/>
    <w:rsid w:val="00C81EB2"/>
    <w:rsid w:val="00C84560"/>
    <w:rsid w:val="00C86679"/>
    <w:rsid w:val="00C875ED"/>
    <w:rsid w:val="00C8792F"/>
    <w:rsid w:val="00C90472"/>
    <w:rsid w:val="00C91D6E"/>
    <w:rsid w:val="00CA0E5E"/>
    <w:rsid w:val="00CA1BD8"/>
    <w:rsid w:val="00CA489E"/>
    <w:rsid w:val="00CA49EB"/>
    <w:rsid w:val="00CB0279"/>
    <w:rsid w:val="00CB2978"/>
    <w:rsid w:val="00CB61A1"/>
    <w:rsid w:val="00CB666B"/>
    <w:rsid w:val="00CB734B"/>
    <w:rsid w:val="00CC41B6"/>
    <w:rsid w:val="00CC43F0"/>
    <w:rsid w:val="00CC7ADA"/>
    <w:rsid w:val="00CC7F1D"/>
    <w:rsid w:val="00CD0A88"/>
    <w:rsid w:val="00CD125D"/>
    <w:rsid w:val="00CD183B"/>
    <w:rsid w:val="00CD1BE7"/>
    <w:rsid w:val="00CD283C"/>
    <w:rsid w:val="00CD3641"/>
    <w:rsid w:val="00CD38B9"/>
    <w:rsid w:val="00CD66EA"/>
    <w:rsid w:val="00CD7432"/>
    <w:rsid w:val="00CE0FA5"/>
    <w:rsid w:val="00CE183C"/>
    <w:rsid w:val="00CE2A23"/>
    <w:rsid w:val="00CE2A59"/>
    <w:rsid w:val="00CE31C8"/>
    <w:rsid w:val="00CE484B"/>
    <w:rsid w:val="00CE7CBA"/>
    <w:rsid w:val="00CF0DEE"/>
    <w:rsid w:val="00CF40AD"/>
    <w:rsid w:val="00CF42AA"/>
    <w:rsid w:val="00CF5EAA"/>
    <w:rsid w:val="00CF6AE3"/>
    <w:rsid w:val="00CF77BB"/>
    <w:rsid w:val="00D006AE"/>
    <w:rsid w:val="00D00905"/>
    <w:rsid w:val="00D010C1"/>
    <w:rsid w:val="00D01CF0"/>
    <w:rsid w:val="00D0442A"/>
    <w:rsid w:val="00D04762"/>
    <w:rsid w:val="00D05198"/>
    <w:rsid w:val="00D1119A"/>
    <w:rsid w:val="00D12A7B"/>
    <w:rsid w:val="00D12ADB"/>
    <w:rsid w:val="00D130CC"/>
    <w:rsid w:val="00D14F2A"/>
    <w:rsid w:val="00D15E63"/>
    <w:rsid w:val="00D2478D"/>
    <w:rsid w:val="00D25A39"/>
    <w:rsid w:val="00D27CFA"/>
    <w:rsid w:val="00D310FA"/>
    <w:rsid w:val="00D325C6"/>
    <w:rsid w:val="00D37213"/>
    <w:rsid w:val="00D410A5"/>
    <w:rsid w:val="00D4360D"/>
    <w:rsid w:val="00D5607F"/>
    <w:rsid w:val="00D61388"/>
    <w:rsid w:val="00D61A54"/>
    <w:rsid w:val="00D62108"/>
    <w:rsid w:val="00D636F1"/>
    <w:rsid w:val="00D638D4"/>
    <w:rsid w:val="00D64AA4"/>
    <w:rsid w:val="00D64DEA"/>
    <w:rsid w:val="00D64F84"/>
    <w:rsid w:val="00D663CD"/>
    <w:rsid w:val="00D6726A"/>
    <w:rsid w:val="00D7001B"/>
    <w:rsid w:val="00D7160D"/>
    <w:rsid w:val="00D7168E"/>
    <w:rsid w:val="00D71E57"/>
    <w:rsid w:val="00D72D27"/>
    <w:rsid w:val="00D73B8B"/>
    <w:rsid w:val="00D73D94"/>
    <w:rsid w:val="00D7786B"/>
    <w:rsid w:val="00D80893"/>
    <w:rsid w:val="00D82519"/>
    <w:rsid w:val="00D82D4D"/>
    <w:rsid w:val="00D835DF"/>
    <w:rsid w:val="00D84854"/>
    <w:rsid w:val="00D87CDB"/>
    <w:rsid w:val="00D9064F"/>
    <w:rsid w:val="00D924AE"/>
    <w:rsid w:val="00D92CF1"/>
    <w:rsid w:val="00D92D38"/>
    <w:rsid w:val="00D950F5"/>
    <w:rsid w:val="00D97379"/>
    <w:rsid w:val="00DA2B6F"/>
    <w:rsid w:val="00DA4752"/>
    <w:rsid w:val="00DA4C09"/>
    <w:rsid w:val="00DA61F3"/>
    <w:rsid w:val="00DA76DE"/>
    <w:rsid w:val="00DA79BD"/>
    <w:rsid w:val="00DA7CB3"/>
    <w:rsid w:val="00DB01C8"/>
    <w:rsid w:val="00DB0D00"/>
    <w:rsid w:val="00DB0F93"/>
    <w:rsid w:val="00DB1A67"/>
    <w:rsid w:val="00DB357C"/>
    <w:rsid w:val="00DB3721"/>
    <w:rsid w:val="00DB5074"/>
    <w:rsid w:val="00DC0281"/>
    <w:rsid w:val="00DC1930"/>
    <w:rsid w:val="00DC1C76"/>
    <w:rsid w:val="00DC4DBF"/>
    <w:rsid w:val="00DC4E19"/>
    <w:rsid w:val="00DC65FE"/>
    <w:rsid w:val="00DC6B4F"/>
    <w:rsid w:val="00DC7981"/>
    <w:rsid w:val="00DD4C07"/>
    <w:rsid w:val="00DD577D"/>
    <w:rsid w:val="00DD5ADC"/>
    <w:rsid w:val="00DE1093"/>
    <w:rsid w:val="00DE4EFA"/>
    <w:rsid w:val="00DE512D"/>
    <w:rsid w:val="00DE5520"/>
    <w:rsid w:val="00DE563D"/>
    <w:rsid w:val="00DE7AB5"/>
    <w:rsid w:val="00DF0152"/>
    <w:rsid w:val="00DF1958"/>
    <w:rsid w:val="00DF3942"/>
    <w:rsid w:val="00DF404D"/>
    <w:rsid w:val="00E0160B"/>
    <w:rsid w:val="00E04818"/>
    <w:rsid w:val="00E06442"/>
    <w:rsid w:val="00E06952"/>
    <w:rsid w:val="00E11E61"/>
    <w:rsid w:val="00E13AD9"/>
    <w:rsid w:val="00E157B2"/>
    <w:rsid w:val="00E16055"/>
    <w:rsid w:val="00E2332D"/>
    <w:rsid w:val="00E23993"/>
    <w:rsid w:val="00E2574F"/>
    <w:rsid w:val="00E25951"/>
    <w:rsid w:val="00E25B8C"/>
    <w:rsid w:val="00E31CF6"/>
    <w:rsid w:val="00E34A4A"/>
    <w:rsid w:val="00E34E44"/>
    <w:rsid w:val="00E35AFC"/>
    <w:rsid w:val="00E37CCF"/>
    <w:rsid w:val="00E41D39"/>
    <w:rsid w:val="00E431C0"/>
    <w:rsid w:val="00E4511E"/>
    <w:rsid w:val="00E50A02"/>
    <w:rsid w:val="00E54106"/>
    <w:rsid w:val="00E54697"/>
    <w:rsid w:val="00E549B0"/>
    <w:rsid w:val="00E56961"/>
    <w:rsid w:val="00E57A08"/>
    <w:rsid w:val="00E60622"/>
    <w:rsid w:val="00E63631"/>
    <w:rsid w:val="00E64C2A"/>
    <w:rsid w:val="00E65C85"/>
    <w:rsid w:val="00E65E47"/>
    <w:rsid w:val="00E66199"/>
    <w:rsid w:val="00E70526"/>
    <w:rsid w:val="00E754B4"/>
    <w:rsid w:val="00E755EC"/>
    <w:rsid w:val="00E7624D"/>
    <w:rsid w:val="00E76BE3"/>
    <w:rsid w:val="00E81724"/>
    <w:rsid w:val="00E819A4"/>
    <w:rsid w:val="00E833FA"/>
    <w:rsid w:val="00E84B74"/>
    <w:rsid w:val="00E87066"/>
    <w:rsid w:val="00E95393"/>
    <w:rsid w:val="00E966BF"/>
    <w:rsid w:val="00EA0C04"/>
    <w:rsid w:val="00EA3D42"/>
    <w:rsid w:val="00EA6B1B"/>
    <w:rsid w:val="00EB0503"/>
    <w:rsid w:val="00EB1B68"/>
    <w:rsid w:val="00EB1CBD"/>
    <w:rsid w:val="00EB3A34"/>
    <w:rsid w:val="00EB3C3F"/>
    <w:rsid w:val="00EC04F1"/>
    <w:rsid w:val="00EC15B7"/>
    <w:rsid w:val="00EC237F"/>
    <w:rsid w:val="00EC573A"/>
    <w:rsid w:val="00ED35C8"/>
    <w:rsid w:val="00ED3968"/>
    <w:rsid w:val="00ED7323"/>
    <w:rsid w:val="00EE28F3"/>
    <w:rsid w:val="00EE50D1"/>
    <w:rsid w:val="00EE5745"/>
    <w:rsid w:val="00EE7614"/>
    <w:rsid w:val="00EF1FAE"/>
    <w:rsid w:val="00EF5110"/>
    <w:rsid w:val="00EF5890"/>
    <w:rsid w:val="00EF64F0"/>
    <w:rsid w:val="00EF76BA"/>
    <w:rsid w:val="00F0231A"/>
    <w:rsid w:val="00F03463"/>
    <w:rsid w:val="00F036B7"/>
    <w:rsid w:val="00F04988"/>
    <w:rsid w:val="00F0700F"/>
    <w:rsid w:val="00F07661"/>
    <w:rsid w:val="00F07F1F"/>
    <w:rsid w:val="00F10403"/>
    <w:rsid w:val="00F10411"/>
    <w:rsid w:val="00F10A9A"/>
    <w:rsid w:val="00F11B2D"/>
    <w:rsid w:val="00F121C2"/>
    <w:rsid w:val="00F126E0"/>
    <w:rsid w:val="00F1485B"/>
    <w:rsid w:val="00F15882"/>
    <w:rsid w:val="00F170C7"/>
    <w:rsid w:val="00F171E0"/>
    <w:rsid w:val="00F20919"/>
    <w:rsid w:val="00F20BD3"/>
    <w:rsid w:val="00F218D0"/>
    <w:rsid w:val="00F322E9"/>
    <w:rsid w:val="00F3231B"/>
    <w:rsid w:val="00F33808"/>
    <w:rsid w:val="00F373A5"/>
    <w:rsid w:val="00F37864"/>
    <w:rsid w:val="00F404F9"/>
    <w:rsid w:val="00F42052"/>
    <w:rsid w:val="00F44B0A"/>
    <w:rsid w:val="00F44E67"/>
    <w:rsid w:val="00F47559"/>
    <w:rsid w:val="00F50B30"/>
    <w:rsid w:val="00F51F5F"/>
    <w:rsid w:val="00F52D75"/>
    <w:rsid w:val="00F55582"/>
    <w:rsid w:val="00F5617D"/>
    <w:rsid w:val="00F57647"/>
    <w:rsid w:val="00F608ED"/>
    <w:rsid w:val="00F62A14"/>
    <w:rsid w:val="00F633B6"/>
    <w:rsid w:val="00F644AB"/>
    <w:rsid w:val="00F64C7B"/>
    <w:rsid w:val="00F66400"/>
    <w:rsid w:val="00F676DD"/>
    <w:rsid w:val="00F67AB6"/>
    <w:rsid w:val="00F70028"/>
    <w:rsid w:val="00F70434"/>
    <w:rsid w:val="00F759C9"/>
    <w:rsid w:val="00F75A26"/>
    <w:rsid w:val="00F76706"/>
    <w:rsid w:val="00F77D6D"/>
    <w:rsid w:val="00F80206"/>
    <w:rsid w:val="00F83034"/>
    <w:rsid w:val="00F83FAD"/>
    <w:rsid w:val="00F844C6"/>
    <w:rsid w:val="00F92FA6"/>
    <w:rsid w:val="00F9353B"/>
    <w:rsid w:val="00F937F1"/>
    <w:rsid w:val="00F952A0"/>
    <w:rsid w:val="00F97C70"/>
    <w:rsid w:val="00FA0211"/>
    <w:rsid w:val="00FA31B1"/>
    <w:rsid w:val="00FA3320"/>
    <w:rsid w:val="00FA3C7F"/>
    <w:rsid w:val="00FA4C1D"/>
    <w:rsid w:val="00FA5C34"/>
    <w:rsid w:val="00FA6246"/>
    <w:rsid w:val="00FB0D2E"/>
    <w:rsid w:val="00FB24ED"/>
    <w:rsid w:val="00FB3304"/>
    <w:rsid w:val="00FB5005"/>
    <w:rsid w:val="00FB60FE"/>
    <w:rsid w:val="00FB74E2"/>
    <w:rsid w:val="00FB778B"/>
    <w:rsid w:val="00FD5614"/>
    <w:rsid w:val="00FD5E78"/>
    <w:rsid w:val="00FE0BE1"/>
    <w:rsid w:val="00FE11BB"/>
    <w:rsid w:val="00FE1B17"/>
    <w:rsid w:val="00FE1DE9"/>
    <w:rsid w:val="00FE21E0"/>
    <w:rsid w:val="00FE36AF"/>
    <w:rsid w:val="00FE39C2"/>
    <w:rsid w:val="00FE3C32"/>
    <w:rsid w:val="00FE64AE"/>
    <w:rsid w:val="00FF2F37"/>
    <w:rsid w:val="00FF3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2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Body Tex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Body Tex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5685">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74053768">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852961369">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22061443">
      <w:bodyDiv w:val="1"/>
      <w:marLeft w:val="0"/>
      <w:marRight w:val="0"/>
      <w:marTop w:val="0"/>
      <w:marBottom w:val="0"/>
      <w:divBdr>
        <w:top w:val="none" w:sz="0" w:space="0" w:color="auto"/>
        <w:left w:val="none" w:sz="0" w:space="0" w:color="auto"/>
        <w:bottom w:val="none" w:sz="0" w:space="0" w:color="auto"/>
        <w:right w:val="none" w:sz="0" w:space="0" w:color="auto"/>
      </w:divBdr>
    </w:div>
    <w:div w:id="1943222131">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0.emf"/><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hyperlink" Target="http://www.compare.switchon.vic.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footer" Target="foot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fgem.gov.uk/gas/distribution-networks/network-innovation" TargetMode="External"/><Relationship Id="rId2" Type="http://schemas.openxmlformats.org/officeDocument/2006/relationships/hyperlink" Target="https://www.aer.gov.au/system/files/SP%20AusNet%20-%20Final%20decision%20-%20Part%201.doc" TargetMode="External"/><Relationship Id="rId1" Type="http://schemas.openxmlformats.org/officeDocument/2006/relationships/hyperlink" Target="https://www.aer.gov.au/system/files/SP%20AusNet%20-%20Final%20decision%20-%20Part%201.doc"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2F240B-C6DF-4328-8CBA-27FA0B95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6AD94A17</Template>
  <TotalTime>0</TotalTime>
  <Pages>56</Pages>
  <Words>13765</Words>
  <Characters>78463</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2017-07-05T01:36:00Z</dcterms:created>
  <dcterms:modified xsi:type="dcterms:W3CDTF">2017-07-05T01:37:00Z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