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14:paraId="076FF2B0" w14:textId="77777777"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39759AE" wp14:editId="3C0A8DD4">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6520E3C" wp14:editId="5AE0C13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14:paraId="6CBDF2C5" w14:textId="77777777" w:rsidR="00F171E0" w:rsidRDefault="00F171E0" w:rsidP="00F171E0"/>
        <w:p w14:paraId="4E176F8B" w14:textId="77777777" w:rsidR="00F171E0" w:rsidRDefault="00F171E0" w:rsidP="00F171E0"/>
        <w:p w14:paraId="741F0AA0" w14:textId="77777777" w:rsidR="00F171E0" w:rsidRDefault="00F171E0" w:rsidP="00F171E0"/>
        <w:p w14:paraId="65E781E0" w14:textId="77777777" w:rsidR="00F171E0" w:rsidRDefault="00F171E0" w:rsidP="00F171E0"/>
        <w:p w14:paraId="7D6E61FC" w14:textId="77777777" w:rsidR="00F171E0" w:rsidRDefault="00F171E0" w:rsidP="00F171E0"/>
        <w:p w14:paraId="0EB20B2B" w14:textId="77777777" w:rsidR="005C16FE" w:rsidRDefault="005C16FE" w:rsidP="00F171E0"/>
        <w:p w14:paraId="5F632598" w14:textId="77777777" w:rsidR="002725AD" w:rsidRDefault="002725AD" w:rsidP="00D5015C">
          <w:pPr>
            <w:pStyle w:val="ReportSubtitle"/>
          </w:pPr>
          <w:r w:rsidRPr="002725AD">
            <w:t>DRAFT DECISION</w:t>
          </w:r>
        </w:p>
        <w:p w14:paraId="79A6222A" w14:textId="5D49B1FF" w:rsidR="00E211DA" w:rsidRDefault="00F214A0" w:rsidP="00D5015C">
          <w:pPr>
            <w:pStyle w:val="ReportSubtitle"/>
          </w:pPr>
          <w:r>
            <w:t>APA VTS Australia</w:t>
          </w:r>
          <w:r w:rsidR="00D5015C">
            <w:t xml:space="preserve"> </w:t>
          </w:r>
        </w:p>
        <w:p w14:paraId="75799F50" w14:textId="77777777" w:rsidR="00D5015C" w:rsidRDefault="00E211DA" w:rsidP="00D5015C">
          <w:pPr>
            <w:pStyle w:val="ReportSubtitle"/>
          </w:pPr>
          <w:r>
            <w:t>G</w:t>
          </w:r>
          <w:r w:rsidR="00D5015C">
            <w:t>as access arrangement</w:t>
          </w:r>
        </w:p>
        <w:p w14:paraId="55E1BC38" w14:textId="77777777" w:rsidR="00D5015C" w:rsidRDefault="00D5015C" w:rsidP="00D5015C">
          <w:pPr>
            <w:pStyle w:val="ReportSubtitle"/>
          </w:pPr>
          <w:r>
            <w:t xml:space="preserve"> 2018 to 2022</w:t>
          </w:r>
        </w:p>
        <w:p w14:paraId="4FFE896F" w14:textId="77777777" w:rsidR="008F07A3" w:rsidRPr="000A6C7B" w:rsidRDefault="008F07A3" w:rsidP="00D5015C">
          <w:pPr>
            <w:pStyle w:val="ReportSubtitle"/>
            <w:tabs>
              <w:tab w:val="left" w:pos="1122"/>
              <w:tab w:val="center" w:pos="4238"/>
            </w:tabs>
            <w:jc w:val="left"/>
          </w:pPr>
        </w:p>
        <w:p w14:paraId="72EB4009" w14:textId="77777777" w:rsidR="000A6C7B" w:rsidRDefault="0037699E" w:rsidP="008F07A3">
          <w:pPr>
            <w:pStyle w:val="ReportSubtitle"/>
          </w:pPr>
          <w:r>
            <w:t xml:space="preserve">Attachment </w:t>
          </w:r>
          <w:r w:rsidR="00D4375F">
            <w:t>6</w:t>
          </w:r>
          <w:r w:rsidR="000474DF">
            <w:t xml:space="preserve"> </w:t>
          </w:r>
          <w:r w:rsidR="00185BA5">
            <w:t>–</w:t>
          </w:r>
          <w:r w:rsidR="000474DF">
            <w:t xml:space="preserve"> </w:t>
          </w:r>
          <w:r w:rsidR="00D4375F">
            <w:t>Capital expenditure</w:t>
          </w:r>
        </w:p>
        <w:p w14:paraId="46049BDF" w14:textId="77777777" w:rsidR="00D5015C" w:rsidRDefault="00D5015C" w:rsidP="00327A1E">
          <w:pPr>
            <w:pStyle w:val="ReportDate"/>
          </w:pPr>
        </w:p>
        <w:p w14:paraId="39DC8491" w14:textId="77777777" w:rsidR="00D5015C" w:rsidRDefault="00D5015C" w:rsidP="00327A1E">
          <w:pPr>
            <w:pStyle w:val="ReportDate"/>
          </w:pPr>
        </w:p>
        <w:p w14:paraId="5BD67E40" w14:textId="752084CD" w:rsidR="000A6C7B" w:rsidRPr="00327A1E" w:rsidRDefault="00A43BA0" w:rsidP="00327A1E">
          <w:pPr>
            <w:pStyle w:val="ReportDate"/>
          </w:pPr>
          <w:r>
            <w:t xml:space="preserve">July </w:t>
          </w:r>
          <w:r w:rsidR="00F22A8C">
            <w:t>2017</w:t>
          </w:r>
        </w:p>
      </w:sdtContent>
    </w:sdt>
    <w:p w14:paraId="4EB63358" w14:textId="77777777" w:rsidR="00327A1E" w:rsidRPr="00290C63" w:rsidRDefault="00327A1E" w:rsidP="00290C63">
      <w:r>
        <w:br w:type="page"/>
      </w:r>
    </w:p>
    <w:p w14:paraId="3EDC857E" w14:textId="77777777" w:rsidR="00CE2A23" w:rsidRDefault="00CE2A23" w:rsidP="00761454">
      <w:bookmarkStart w:id="0" w:name="_Toc411428008"/>
      <w:r>
        <w:lastRenderedPageBreak/>
        <w:t>© Commonwealth of Australia 201</w:t>
      </w:r>
      <w:r w:rsidR="00D4375F">
        <w:t>7</w:t>
      </w:r>
    </w:p>
    <w:p w14:paraId="2CFA1A67" w14:textId="77777777"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14:paraId="11D39CEA" w14:textId="77777777" w:rsidR="00CE2A23" w:rsidRPr="00CE2A23" w:rsidRDefault="00CE2A23" w:rsidP="00CE2A23">
      <w:pPr>
        <w:pStyle w:val="AERbulletlistfirststyle"/>
      </w:pPr>
      <w:r w:rsidRPr="00CE2A23">
        <w:t>the Commonwealth Coat of Arms</w:t>
      </w:r>
    </w:p>
    <w:p w14:paraId="7E377906" w14:textId="77777777" w:rsidR="00CE2A23" w:rsidRPr="00CB734B" w:rsidRDefault="00CE2A23" w:rsidP="00CE2A23">
      <w:pPr>
        <w:pStyle w:val="AERbulletlistfirststyle"/>
      </w:pPr>
      <w:r w:rsidRPr="00CE2A23">
        <w:t>the ACCC and AER logos</w:t>
      </w:r>
    </w:p>
    <w:p w14:paraId="312AC7FA" w14:textId="77777777"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514691C5" w14:textId="77777777" w:rsidR="00CE2A23" w:rsidRDefault="00CE2A23" w:rsidP="00761454">
      <w:r>
        <w:t>Requests and inquiries concerning reproduction and rights should be addressed to the:</w:t>
      </w:r>
    </w:p>
    <w:p w14:paraId="1B530524" w14:textId="77777777" w:rsidR="00CE2A23" w:rsidRDefault="00CE2A23" w:rsidP="00761454">
      <w:r>
        <w:t>Director, Corporate Communications</w:t>
      </w:r>
      <w:r>
        <w:br/>
        <w:t xml:space="preserve">Australian Competition and Consumer Commission </w:t>
      </w:r>
      <w:r>
        <w:br/>
        <w:t>GPO Box 4141, Canberra ACT 2601</w:t>
      </w:r>
    </w:p>
    <w:p w14:paraId="5AF8EFFF" w14:textId="77777777" w:rsidR="00CE2A23" w:rsidRDefault="00CE2A23" w:rsidP="00761454">
      <w:r>
        <w:t>or publishing.unit@accc.gov.au.</w:t>
      </w:r>
    </w:p>
    <w:p w14:paraId="1B1BF323" w14:textId="77777777" w:rsidR="00CE2A23" w:rsidRDefault="00CE2A23" w:rsidP="00761454">
      <w:r>
        <w:t>Inquiries about this publication should be addressed to:</w:t>
      </w:r>
    </w:p>
    <w:p w14:paraId="1A4B55F7" w14:textId="77777777" w:rsidR="00CE2A23" w:rsidRDefault="00CE2A23" w:rsidP="00761454">
      <w:r>
        <w:t xml:space="preserve">Australian Energy </w:t>
      </w:r>
      <w:r w:rsidRPr="00F171E0">
        <w:t>Regulator</w:t>
      </w:r>
      <w:r>
        <w:br/>
        <w:t>GPO Box 520</w:t>
      </w:r>
      <w:r>
        <w:br/>
      </w:r>
      <w:r w:rsidR="008658A1">
        <w:t>Melbourne Vic 3001</w:t>
      </w:r>
    </w:p>
    <w:p w14:paraId="572DACCF" w14:textId="6729CA7F" w:rsidR="00CE2A23" w:rsidRDefault="00CE2A23" w:rsidP="00761454">
      <w:r>
        <w:t xml:space="preserve">Tel: </w:t>
      </w:r>
      <w:r w:rsidR="00A43BA0">
        <w:t>1300 585 165</w:t>
      </w:r>
    </w:p>
    <w:p w14:paraId="0E4B775D" w14:textId="77777777" w:rsidR="00CE2A23" w:rsidRDefault="00CE2A23" w:rsidP="00761454">
      <w:r>
        <w:t xml:space="preserve">Email: </w:t>
      </w:r>
      <w:hyperlink r:id="rId12" w:history="1">
        <w:r w:rsidRPr="00D64888">
          <w:rPr>
            <w:rStyle w:val="Hyperlink"/>
          </w:rPr>
          <w:t>AERInquiry@aer.gov.au</w:t>
        </w:r>
      </w:hyperlink>
      <w:r>
        <w:rPr>
          <w:rStyle w:val="Hyperlink"/>
        </w:rPr>
        <w:br/>
      </w:r>
    </w:p>
    <w:p w14:paraId="002EEF6C" w14:textId="77777777" w:rsidR="00291A99" w:rsidRDefault="00291A99" w:rsidP="00761454"/>
    <w:p w14:paraId="23A3C466" w14:textId="77777777" w:rsidR="00761454" w:rsidRDefault="00761454">
      <w:pPr>
        <w:spacing w:line="240" w:lineRule="auto"/>
      </w:pPr>
      <w:r>
        <w:br w:type="page"/>
      </w:r>
    </w:p>
    <w:p w14:paraId="5CB23F71" w14:textId="77777777" w:rsidR="00761454" w:rsidRDefault="00761454" w:rsidP="00761454">
      <w:pPr>
        <w:pStyle w:val="UnnumberedHeading"/>
        <w:numPr>
          <w:ilvl w:val="0"/>
          <w:numId w:val="23"/>
        </w:numPr>
      </w:pPr>
      <w:bookmarkStart w:id="1" w:name="_Toc404153950"/>
      <w:bookmarkStart w:id="2" w:name="_Toc404437593"/>
      <w:bookmarkStart w:id="3" w:name="_Toc486855290"/>
      <w:r>
        <w:lastRenderedPageBreak/>
        <w:t>Note</w:t>
      </w:r>
      <w:bookmarkEnd w:id="1"/>
      <w:bookmarkEnd w:id="2"/>
      <w:bookmarkEnd w:id="3"/>
    </w:p>
    <w:p w14:paraId="3D38B7BB" w14:textId="41FF88AF" w:rsidR="00D5015C" w:rsidRDefault="00D5015C" w:rsidP="00D5015C">
      <w:pPr>
        <w:numPr>
          <w:ilvl w:val="0"/>
          <w:numId w:val="23"/>
        </w:numPr>
      </w:pPr>
      <w:r>
        <w:t xml:space="preserve">This attachment forms part of the AER's draft decision on the access arrangement for </w:t>
      </w:r>
      <w:r w:rsidR="008B73C0">
        <w:t>APA</w:t>
      </w:r>
      <w:r>
        <w:t xml:space="preserve"> </w:t>
      </w:r>
      <w:r w:rsidR="00F214A0">
        <w:t xml:space="preserve">Australia </w:t>
      </w:r>
      <w:r>
        <w:t>for 2018</w:t>
      </w:r>
      <w:r w:rsidR="00ED2C66">
        <w:t>–</w:t>
      </w:r>
      <w:r>
        <w:t>22. It should be read with all other parts of the draft decision.</w:t>
      </w:r>
    </w:p>
    <w:p w14:paraId="43ED4711" w14:textId="77777777" w:rsidR="00D5015C" w:rsidRDefault="00D5015C" w:rsidP="00D5015C">
      <w:pPr>
        <w:numPr>
          <w:ilvl w:val="0"/>
          <w:numId w:val="23"/>
        </w:numPr>
      </w:pPr>
      <w:r>
        <w:t>The draft decision includes the following documents:</w:t>
      </w:r>
    </w:p>
    <w:p w14:paraId="00CC319E" w14:textId="77777777" w:rsidR="00D5015C" w:rsidRDefault="00D5015C" w:rsidP="00D5015C">
      <w:pPr>
        <w:numPr>
          <w:ilvl w:val="0"/>
          <w:numId w:val="23"/>
        </w:numPr>
      </w:pPr>
      <w:r>
        <w:t>Overview</w:t>
      </w:r>
    </w:p>
    <w:p w14:paraId="34983717" w14:textId="77777777" w:rsidR="00D5015C" w:rsidRDefault="00D5015C" w:rsidP="00D5015C">
      <w:r>
        <w:t>Attachment 1 - Services covered by the access arrangement</w:t>
      </w:r>
    </w:p>
    <w:p w14:paraId="4E864C24" w14:textId="77777777" w:rsidR="00D5015C" w:rsidRDefault="00D5015C" w:rsidP="00D5015C">
      <w:r>
        <w:t>Attachment 2 - Capital base</w:t>
      </w:r>
    </w:p>
    <w:p w14:paraId="1123DDCE" w14:textId="77777777" w:rsidR="00D5015C" w:rsidRDefault="00D5015C" w:rsidP="00D5015C">
      <w:r>
        <w:t>Attachment 3 - Rate of return</w:t>
      </w:r>
    </w:p>
    <w:p w14:paraId="2800E607" w14:textId="77777777" w:rsidR="00D5015C" w:rsidRDefault="00D5015C" w:rsidP="00D5015C">
      <w:r>
        <w:t>Attachment 4 - Value of imputation credits</w:t>
      </w:r>
    </w:p>
    <w:p w14:paraId="45856B3E" w14:textId="77777777" w:rsidR="00D5015C" w:rsidRDefault="00D5015C" w:rsidP="00D5015C">
      <w:r>
        <w:t>Attachment 5 - Regulatory depreciation</w:t>
      </w:r>
    </w:p>
    <w:p w14:paraId="2A6FF50E" w14:textId="77777777" w:rsidR="00D5015C" w:rsidRDefault="00D5015C" w:rsidP="00D5015C">
      <w:r>
        <w:t xml:space="preserve">Attachment 6 - Capital expenditure </w:t>
      </w:r>
    </w:p>
    <w:p w14:paraId="2418D129" w14:textId="77777777" w:rsidR="00D5015C" w:rsidRDefault="00D5015C" w:rsidP="00D5015C">
      <w:r>
        <w:t>Attachment 7 - Operating expenditure</w:t>
      </w:r>
    </w:p>
    <w:p w14:paraId="671CD8C6" w14:textId="77777777" w:rsidR="00D5015C" w:rsidRDefault="00D5015C" w:rsidP="00D5015C">
      <w:r>
        <w:t>Attachment 8 - Corporate income tax</w:t>
      </w:r>
    </w:p>
    <w:p w14:paraId="58B51DB0" w14:textId="77777777" w:rsidR="00D5015C" w:rsidRDefault="00D5015C" w:rsidP="00D5015C">
      <w:r>
        <w:t>Attachment 9 - Efficiency carryover mechanism</w:t>
      </w:r>
    </w:p>
    <w:p w14:paraId="3740C925" w14:textId="77777777" w:rsidR="00D5015C" w:rsidRDefault="00D5015C" w:rsidP="00D5015C">
      <w:r>
        <w:t>Attachment 10 - Reference tariff setting</w:t>
      </w:r>
    </w:p>
    <w:p w14:paraId="4B7172F9" w14:textId="77777777" w:rsidR="00D5015C" w:rsidRDefault="00D5015C" w:rsidP="00D5015C">
      <w:r>
        <w:t>Attachment 11 - Reference tariff variation mechanism</w:t>
      </w:r>
    </w:p>
    <w:p w14:paraId="5A548ED3" w14:textId="77777777" w:rsidR="00D5015C" w:rsidRDefault="00D5015C" w:rsidP="00D5015C">
      <w:r>
        <w:t>Attachment 12 - Non-tariff components</w:t>
      </w:r>
    </w:p>
    <w:p w14:paraId="78F822B8" w14:textId="77777777" w:rsidR="00D5015C" w:rsidRDefault="00D5015C" w:rsidP="00D5015C">
      <w:r>
        <w:t>Attachment 13 - Demand</w:t>
      </w:r>
    </w:p>
    <w:p w14:paraId="52AE8ACF" w14:textId="45F867A0"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14:paraId="0D0FFB33" w14:textId="77777777"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14:paraId="39247865" w14:textId="77777777" w:rsidR="00CE2A23" w:rsidRPr="00A72B34" w:rsidRDefault="00CE2A23" w:rsidP="00CE2A23">
      <w:pPr>
        <w:pStyle w:val="UnnumberedHeading"/>
        <w:numPr>
          <w:ilvl w:val="0"/>
          <w:numId w:val="23"/>
        </w:numPr>
      </w:pPr>
      <w:bookmarkStart w:id="8" w:name="_Toc403144133"/>
      <w:bookmarkStart w:id="9" w:name="_Toc486855291"/>
      <w:r>
        <w:t>Contents</w:t>
      </w:r>
      <w:bookmarkEnd w:id="8"/>
      <w:bookmarkEnd w:id="9"/>
    </w:p>
    <w:p w14:paraId="472B7C41" w14:textId="77777777"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14:paraId="13C07244" w14:textId="77777777" w:rsidR="008736D7" w:rsidRDefault="00DD61C0">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55290" w:history="1">
            <w:r w:rsidR="008736D7" w:rsidRPr="009E798C">
              <w:rPr>
                <w:rStyle w:val="Hyperlink"/>
              </w:rPr>
              <w:t>Note</w:t>
            </w:r>
            <w:r w:rsidR="008736D7">
              <w:rPr>
                <w:webHidden/>
              </w:rPr>
              <w:tab/>
            </w:r>
            <w:r w:rsidR="008736D7">
              <w:rPr>
                <w:webHidden/>
              </w:rPr>
              <w:fldChar w:fldCharType="begin"/>
            </w:r>
            <w:r w:rsidR="008736D7">
              <w:rPr>
                <w:webHidden/>
              </w:rPr>
              <w:instrText xml:space="preserve"> PAGEREF _Toc486855290 \h </w:instrText>
            </w:r>
            <w:r w:rsidR="008736D7">
              <w:rPr>
                <w:webHidden/>
              </w:rPr>
            </w:r>
            <w:r w:rsidR="008736D7">
              <w:rPr>
                <w:webHidden/>
              </w:rPr>
              <w:fldChar w:fldCharType="separate"/>
            </w:r>
            <w:r w:rsidR="00724747">
              <w:rPr>
                <w:webHidden/>
              </w:rPr>
              <w:t>6-2</w:t>
            </w:r>
            <w:r w:rsidR="008736D7">
              <w:rPr>
                <w:webHidden/>
              </w:rPr>
              <w:fldChar w:fldCharType="end"/>
            </w:r>
          </w:hyperlink>
        </w:p>
        <w:p w14:paraId="58EC5572" w14:textId="77777777" w:rsidR="008736D7" w:rsidRDefault="008736D7">
          <w:pPr>
            <w:pStyle w:val="TOC1"/>
            <w:rPr>
              <w:rFonts w:asciiTheme="minorHAnsi" w:eastAsiaTheme="minorEastAsia" w:hAnsiTheme="minorHAnsi"/>
              <w:b w:val="0"/>
              <w:color w:val="auto"/>
              <w:sz w:val="22"/>
              <w:lang w:val="en-AU" w:eastAsia="en-AU"/>
            </w:rPr>
          </w:pPr>
          <w:hyperlink w:anchor="_Toc486855291" w:history="1">
            <w:r w:rsidRPr="009E798C">
              <w:rPr>
                <w:rStyle w:val="Hyperlink"/>
              </w:rPr>
              <w:t>Contents</w:t>
            </w:r>
            <w:r>
              <w:rPr>
                <w:webHidden/>
              </w:rPr>
              <w:tab/>
            </w:r>
            <w:r>
              <w:rPr>
                <w:webHidden/>
              </w:rPr>
              <w:fldChar w:fldCharType="begin"/>
            </w:r>
            <w:r>
              <w:rPr>
                <w:webHidden/>
              </w:rPr>
              <w:instrText xml:space="preserve"> PAGEREF _Toc486855291 \h </w:instrText>
            </w:r>
            <w:r>
              <w:rPr>
                <w:webHidden/>
              </w:rPr>
            </w:r>
            <w:r>
              <w:rPr>
                <w:webHidden/>
              </w:rPr>
              <w:fldChar w:fldCharType="separate"/>
            </w:r>
            <w:r w:rsidR="00724747">
              <w:rPr>
                <w:webHidden/>
              </w:rPr>
              <w:t>6-3</w:t>
            </w:r>
            <w:r>
              <w:rPr>
                <w:webHidden/>
              </w:rPr>
              <w:fldChar w:fldCharType="end"/>
            </w:r>
          </w:hyperlink>
        </w:p>
        <w:p w14:paraId="7D96DFD6" w14:textId="77777777" w:rsidR="008736D7" w:rsidRDefault="008736D7">
          <w:pPr>
            <w:pStyle w:val="TOC1"/>
            <w:rPr>
              <w:rFonts w:asciiTheme="minorHAnsi" w:eastAsiaTheme="minorEastAsia" w:hAnsiTheme="minorHAnsi"/>
              <w:b w:val="0"/>
              <w:color w:val="auto"/>
              <w:sz w:val="22"/>
              <w:lang w:val="en-AU" w:eastAsia="en-AU"/>
            </w:rPr>
          </w:pPr>
          <w:hyperlink w:anchor="_Toc486855292" w:history="1">
            <w:r w:rsidRPr="009E798C">
              <w:rPr>
                <w:rStyle w:val="Hyperlink"/>
              </w:rPr>
              <w:t>Shortened forms</w:t>
            </w:r>
            <w:r>
              <w:rPr>
                <w:webHidden/>
              </w:rPr>
              <w:tab/>
            </w:r>
            <w:r>
              <w:rPr>
                <w:webHidden/>
              </w:rPr>
              <w:fldChar w:fldCharType="begin"/>
            </w:r>
            <w:r>
              <w:rPr>
                <w:webHidden/>
              </w:rPr>
              <w:instrText xml:space="preserve"> PAGEREF _Toc486855292 \h </w:instrText>
            </w:r>
            <w:r>
              <w:rPr>
                <w:webHidden/>
              </w:rPr>
            </w:r>
            <w:r>
              <w:rPr>
                <w:webHidden/>
              </w:rPr>
              <w:fldChar w:fldCharType="separate"/>
            </w:r>
            <w:r w:rsidR="00724747">
              <w:rPr>
                <w:webHidden/>
              </w:rPr>
              <w:t>6-4</w:t>
            </w:r>
            <w:r>
              <w:rPr>
                <w:webHidden/>
              </w:rPr>
              <w:fldChar w:fldCharType="end"/>
            </w:r>
          </w:hyperlink>
        </w:p>
        <w:p w14:paraId="20160463" w14:textId="77777777" w:rsidR="008736D7" w:rsidRDefault="008736D7">
          <w:pPr>
            <w:pStyle w:val="TOC1"/>
            <w:rPr>
              <w:rFonts w:asciiTheme="minorHAnsi" w:eastAsiaTheme="minorEastAsia" w:hAnsiTheme="minorHAnsi"/>
              <w:b w:val="0"/>
              <w:color w:val="auto"/>
              <w:sz w:val="22"/>
              <w:lang w:val="en-AU" w:eastAsia="en-AU"/>
            </w:rPr>
          </w:pPr>
          <w:hyperlink w:anchor="_Toc486855293" w:history="1">
            <w:r w:rsidRPr="009E798C">
              <w:rPr>
                <w:rStyle w:val="Hyperlink"/>
              </w:rPr>
              <w:t>6</w:t>
            </w:r>
            <w:r>
              <w:rPr>
                <w:rFonts w:asciiTheme="minorHAnsi" w:eastAsiaTheme="minorEastAsia" w:hAnsiTheme="minorHAnsi"/>
                <w:b w:val="0"/>
                <w:color w:val="auto"/>
                <w:sz w:val="22"/>
                <w:lang w:val="en-AU" w:eastAsia="en-AU"/>
              </w:rPr>
              <w:tab/>
            </w:r>
            <w:r w:rsidRPr="009E798C">
              <w:rPr>
                <w:rStyle w:val="Hyperlink"/>
              </w:rPr>
              <w:t>Capital expenditure</w:t>
            </w:r>
            <w:r>
              <w:rPr>
                <w:webHidden/>
              </w:rPr>
              <w:tab/>
            </w:r>
            <w:r>
              <w:rPr>
                <w:webHidden/>
              </w:rPr>
              <w:fldChar w:fldCharType="begin"/>
            </w:r>
            <w:r>
              <w:rPr>
                <w:webHidden/>
              </w:rPr>
              <w:instrText xml:space="preserve"> PAGEREF _Toc486855293 \h </w:instrText>
            </w:r>
            <w:r>
              <w:rPr>
                <w:webHidden/>
              </w:rPr>
            </w:r>
            <w:r>
              <w:rPr>
                <w:webHidden/>
              </w:rPr>
              <w:fldChar w:fldCharType="separate"/>
            </w:r>
            <w:r w:rsidR="00724747">
              <w:rPr>
                <w:webHidden/>
              </w:rPr>
              <w:t>6-5</w:t>
            </w:r>
            <w:r>
              <w:rPr>
                <w:webHidden/>
              </w:rPr>
              <w:fldChar w:fldCharType="end"/>
            </w:r>
          </w:hyperlink>
        </w:p>
        <w:p w14:paraId="07B3162C" w14:textId="77777777" w:rsidR="008736D7" w:rsidRDefault="008736D7">
          <w:pPr>
            <w:pStyle w:val="TOC2"/>
            <w:rPr>
              <w:rFonts w:asciiTheme="minorHAnsi" w:eastAsiaTheme="minorEastAsia" w:hAnsiTheme="minorHAnsi"/>
              <w:b w:val="0"/>
              <w:color w:val="auto"/>
              <w:sz w:val="22"/>
              <w:lang w:eastAsia="en-AU"/>
            </w:rPr>
          </w:pPr>
          <w:hyperlink w:anchor="_Toc486855294" w:history="1">
            <w:r w:rsidRPr="009E798C">
              <w:rPr>
                <w:rStyle w:val="Hyperlink"/>
              </w:rPr>
              <w:t>6.1</w:t>
            </w:r>
            <w:r>
              <w:rPr>
                <w:rFonts w:asciiTheme="minorHAnsi" w:eastAsiaTheme="minorEastAsia" w:hAnsiTheme="minorHAnsi"/>
                <w:b w:val="0"/>
                <w:color w:val="auto"/>
                <w:sz w:val="22"/>
                <w:lang w:eastAsia="en-AU"/>
              </w:rPr>
              <w:tab/>
            </w:r>
            <w:r w:rsidRPr="009E798C">
              <w:rPr>
                <w:rStyle w:val="Hyperlink"/>
              </w:rPr>
              <w:t>Draft decision</w:t>
            </w:r>
            <w:r>
              <w:rPr>
                <w:webHidden/>
              </w:rPr>
              <w:tab/>
            </w:r>
            <w:r>
              <w:rPr>
                <w:webHidden/>
              </w:rPr>
              <w:fldChar w:fldCharType="begin"/>
            </w:r>
            <w:r>
              <w:rPr>
                <w:webHidden/>
              </w:rPr>
              <w:instrText xml:space="preserve"> PAGEREF _Toc486855294 \h </w:instrText>
            </w:r>
            <w:r>
              <w:rPr>
                <w:webHidden/>
              </w:rPr>
            </w:r>
            <w:r>
              <w:rPr>
                <w:webHidden/>
              </w:rPr>
              <w:fldChar w:fldCharType="separate"/>
            </w:r>
            <w:r w:rsidR="00724747">
              <w:rPr>
                <w:webHidden/>
              </w:rPr>
              <w:t>6-6</w:t>
            </w:r>
            <w:r>
              <w:rPr>
                <w:webHidden/>
              </w:rPr>
              <w:fldChar w:fldCharType="end"/>
            </w:r>
          </w:hyperlink>
        </w:p>
        <w:p w14:paraId="7C663F0B" w14:textId="77777777" w:rsidR="008736D7" w:rsidRDefault="008736D7">
          <w:pPr>
            <w:pStyle w:val="TOC3"/>
            <w:rPr>
              <w:rFonts w:asciiTheme="minorHAnsi" w:eastAsiaTheme="minorEastAsia" w:hAnsiTheme="minorHAnsi"/>
              <w:lang w:eastAsia="en-AU"/>
            </w:rPr>
          </w:pPr>
          <w:hyperlink w:anchor="_Toc486855295" w:history="1">
            <w:r w:rsidRPr="009E798C">
              <w:rPr>
                <w:rStyle w:val="Hyperlink"/>
              </w:rPr>
              <w:t>6.1.1</w:t>
            </w:r>
            <w:r>
              <w:rPr>
                <w:rFonts w:asciiTheme="minorHAnsi" w:eastAsiaTheme="minorEastAsia" w:hAnsiTheme="minorHAnsi"/>
                <w:lang w:eastAsia="en-AU"/>
              </w:rPr>
              <w:tab/>
            </w:r>
            <w:r w:rsidRPr="009E798C">
              <w:rPr>
                <w:rStyle w:val="Hyperlink"/>
              </w:rPr>
              <w:t>Conforming capex for 2013–17</w:t>
            </w:r>
            <w:r>
              <w:rPr>
                <w:webHidden/>
              </w:rPr>
              <w:tab/>
            </w:r>
            <w:r>
              <w:rPr>
                <w:webHidden/>
              </w:rPr>
              <w:fldChar w:fldCharType="begin"/>
            </w:r>
            <w:r>
              <w:rPr>
                <w:webHidden/>
              </w:rPr>
              <w:instrText xml:space="preserve"> PAGEREF _Toc486855295 \h </w:instrText>
            </w:r>
            <w:r>
              <w:rPr>
                <w:webHidden/>
              </w:rPr>
            </w:r>
            <w:r>
              <w:rPr>
                <w:webHidden/>
              </w:rPr>
              <w:fldChar w:fldCharType="separate"/>
            </w:r>
            <w:r w:rsidR="00724747">
              <w:rPr>
                <w:webHidden/>
              </w:rPr>
              <w:t>6-6</w:t>
            </w:r>
            <w:r>
              <w:rPr>
                <w:webHidden/>
              </w:rPr>
              <w:fldChar w:fldCharType="end"/>
            </w:r>
          </w:hyperlink>
        </w:p>
        <w:p w14:paraId="798D7783" w14:textId="77777777" w:rsidR="008736D7" w:rsidRDefault="008736D7">
          <w:pPr>
            <w:pStyle w:val="TOC3"/>
            <w:rPr>
              <w:rFonts w:asciiTheme="minorHAnsi" w:eastAsiaTheme="minorEastAsia" w:hAnsiTheme="minorHAnsi"/>
              <w:lang w:eastAsia="en-AU"/>
            </w:rPr>
          </w:pPr>
          <w:hyperlink w:anchor="_Toc486855296" w:history="1">
            <w:r w:rsidRPr="009E798C">
              <w:rPr>
                <w:rStyle w:val="Hyperlink"/>
              </w:rPr>
              <w:t>6.1.2</w:t>
            </w:r>
            <w:r>
              <w:rPr>
                <w:rFonts w:asciiTheme="minorHAnsi" w:eastAsiaTheme="minorEastAsia" w:hAnsiTheme="minorHAnsi"/>
                <w:lang w:eastAsia="en-AU"/>
              </w:rPr>
              <w:tab/>
            </w:r>
            <w:r w:rsidRPr="009E798C">
              <w:rPr>
                <w:rStyle w:val="Hyperlink"/>
              </w:rPr>
              <w:t>Conforming capex for the 2018–22 access arrangement period</w:t>
            </w:r>
            <w:r>
              <w:rPr>
                <w:webHidden/>
              </w:rPr>
              <w:tab/>
            </w:r>
            <w:r>
              <w:rPr>
                <w:webHidden/>
              </w:rPr>
              <w:fldChar w:fldCharType="begin"/>
            </w:r>
            <w:r>
              <w:rPr>
                <w:webHidden/>
              </w:rPr>
              <w:instrText xml:space="preserve"> PAGEREF _Toc486855296 \h </w:instrText>
            </w:r>
            <w:r>
              <w:rPr>
                <w:webHidden/>
              </w:rPr>
            </w:r>
            <w:r>
              <w:rPr>
                <w:webHidden/>
              </w:rPr>
              <w:fldChar w:fldCharType="separate"/>
            </w:r>
            <w:r w:rsidR="00724747">
              <w:rPr>
                <w:webHidden/>
              </w:rPr>
              <w:t>6-6</w:t>
            </w:r>
            <w:r>
              <w:rPr>
                <w:webHidden/>
              </w:rPr>
              <w:fldChar w:fldCharType="end"/>
            </w:r>
          </w:hyperlink>
        </w:p>
        <w:p w14:paraId="432ED9CC" w14:textId="77777777" w:rsidR="008736D7" w:rsidRDefault="008736D7">
          <w:pPr>
            <w:pStyle w:val="TOC2"/>
            <w:rPr>
              <w:rFonts w:asciiTheme="minorHAnsi" w:eastAsiaTheme="minorEastAsia" w:hAnsiTheme="minorHAnsi"/>
              <w:b w:val="0"/>
              <w:color w:val="auto"/>
              <w:sz w:val="22"/>
              <w:lang w:eastAsia="en-AU"/>
            </w:rPr>
          </w:pPr>
          <w:hyperlink w:anchor="_Toc486855297" w:history="1">
            <w:r w:rsidRPr="009E798C">
              <w:rPr>
                <w:rStyle w:val="Hyperlink"/>
              </w:rPr>
              <w:t>6.2</w:t>
            </w:r>
            <w:r>
              <w:rPr>
                <w:rFonts w:asciiTheme="minorHAnsi" w:eastAsiaTheme="minorEastAsia" w:hAnsiTheme="minorHAnsi"/>
                <w:b w:val="0"/>
                <w:color w:val="auto"/>
                <w:sz w:val="22"/>
                <w:lang w:eastAsia="en-AU"/>
              </w:rPr>
              <w:tab/>
            </w:r>
            <w:r w:rsidRPr="009E798C">
              <w:rPr>
                <w:rStyle w:val="Hyperlink"/>
              </w:rPr>
              <w:t>APA’s proposal</w:t>
            </w:r>
            <w:r>
              <w:rPr>
                <w:webHidden/>
              </w:rPr>
              <w:tab/>
            </w:r>
            <w:r>
              <w:rPr>
                <w:webHidden/>
              </w:rPr>
              <w:fldChar w:fldCharType="begin"/>
            </w:r>
            <w:r>
              <w:rPr>
                <w:webHidden/>
              </w:rPr>
              <w:instrText xml:space="preserve"> PAGEREF _Toc486855297 \h </w:instrText>
            </w:r>
            <w:r>
              <w:rPr>
                <w:webHidden/>
              </w:rPr>
            </w:r>
            <w:r>
              <w:rPr>
                <w:webHidden/>
              </w:rPr>
              <w:fldChar w:fldCharType="separate"/>
            </w:r>
            <w:r w:rsidR="00724747">
              <w:rPr>
                <w:webHidden/>
              </w:rPr>
              <w:t>6-7</w:t>
            </w:r>
            <w:r>
              <w:rPr>
                <w:webHidden/>
              </w:rPr>
              <w:fldChar w:fldCharType="end"/>
            </w:r>
          </w:hyperlink>
        </w:p>
        <w:p w14:paraId="77662EAA" w14:textId="77777777" w:rsidR="008736D7" w:rsidRDefault="008736D7">
          <w:pPr>
            <w:pStyle w:val="TOC3"/>
            <w:rPr>
              <w:rFonts w:asciiTheme="minorHAnsi" w:eastAsiaTheme="minorEastAsia" w:hAnsiTheme="minorHAnsi"/>
              <w:lang w:eastAsia="en-AU"/>
            </w:rPr>
          </w:pPr>
          <w:hyperlink w:anchor="_Toc486855298" w:history="1">
            <w:r w:rsidRPr="009E798C">
              <w:rPr>
                <w:rStyle w:val="Hyperlink"/>
              </w:rPr>
              <w:t>6.2.1</w:t>
            </w:r>
            <w:r>
              <w:rPr>
                <w:rFonts w:asciiTheme="minorHAnsi" w:eastAsiaTheme="minorEastAsia" w:hAnsiTheme="minorHAnsi"/>
                <w:lang w:eastAsia="en-AU"/>
              </w:rPr>
              <w:tab/>
            </w:r>
            <w:r w:rsidRPr="009E798C">
              <w:rPr>
                <w:rStyle w:val="Hyperlink"/>
              </w:rPr>
              <w:t>Capex over the 2013–17 access arrangement period</w:t>
            </w:r>
            <w:r>
              <w:rPr>
                <w:webHidden/>
              </w:rPr>
              <w:tab/>
            </w:r>
            <w:r>
              <w:rPr>
                <w:webHidden/>
              </w:rPr>
              <w:fldChar w:fldCharType="begin"/>
            </w:r>
            <w:r>
              <w:rPr>
                <w:webHidden/>
              </w:rPr>
              <w:instrText xml:space="preserve"> PAGEREF _Toc486855298 \h </w:instrText>
            </w:r>
            <w:r>
              <w:rPr>
                <w:webHidden/>
              </w:rPr>
            </w:r>
            <w:r>
              <w:rPr>
                <w:webHidden/>
              </w:rPr>
              <w:fldChar w:fldCharType="separate"/>
            </w:r>
            <w:r w:rsidR="00724747">
              <w:rPr>
                <w:webHidden/>
              </w:rPr>
              <w:t>6-7</w:t>
            </w:r>
            <w:r>
              <w:rPr>
                <w:webHidden/>
              </w:rPr>
              <w:fldChar w:fldCharType="end"/>
            </w:r>
          </w:hyperlink>
        </w:p>
        <w:p w14:paraId="26191B82" w14:textId="77777777" w:rsidR="008736D7" w:rsidRDefault="008736D7">
          <w:pPr>
            <w:pStyle w:val="TOC3"/>
            <w:rPr>
              <w:rFonts w:asciiTheme="minorHAnsi" w:eastAsiaTheme="minorEastAsia" w:hAnsiTheme="minorHAnsi"/>
              <w:lang w:eastAsia="en-AU"/>
            </w:rPr>
          </w:pPr>
          <w:hyperlink w:anchor="_Toc486855299" w:history="1">
            <w:r w:rsidRPr="009E798C">
              <w:rPr>
                <w:rStyle w:val="Hyperlink"/>
              </w:rPr>
              <w:t>6.2.2</w:t>
            </w:r>
            <w:r>
              <w:rPr>
                <w:rFonts w:asciiTheme="minorHAnsi" w:eastAsiaTheme="minorEastAsia" w:hAnsiTheme="minorHAnsi"/>
                <w:lang w:eastAsia="en-AU"/>
              </w:rPr>
              <w:tab/>
            </w:r>
            <w:r w:rsidRPr="009E798C">
              <w:rPr>
                <w:rStyle w:val="Hyperlink"/>
              </w:rPr>
              <w:t>Proposed capex for the 2018–22 access arrangement period</w:t>
            </w:r>
            <w:r>
              <w:rPr>
                <w:webHidden/>
              </w:rPr>
              <w:tab/>
            </w:r>
            <w:r>
              <w:rPr>
                <w:webHidden/>
              </w:rPr>
              <w:fldChar w:fldCharType="begin"/>
            </w:r>
            <w:r>
              <w:rPr>
                <w:webHidden/>
              </w:rPr>
              <w:instrText xml:space="preserve"> PAGEREF _Toc486855299 \h </w:instrText>
            </w:r>
            <w:r>
              <w:rPr>
                <w:webHidden/>
              </w:rPr>
            </w:r>
            <w:r>
              <w:rPr>
                <w:webHidden/>
              </w:rPr>
              <w:fldChar w:fldCharType="separate"/>
            </w:r>
            <w:r w:rsidR="00724747">
              <w:rPr>
                <w:webHidden/>
              </w:rPr>
              <w:t>6-8</w:t>
            </w:r>
            <w:r>
              <w:rPr>
                <w:webHidden/>
              </w:rPr>
              <w:fldChar w:fldCharType="end"/>
            </w:r>
          </w:hyperlink>
        </w:p>
        <w:p w14:paraId="2C410559" w14:textId="77777777" w:rsidR="008736D7" w:rsidRDefault="008736D7">
          <w:pPr>
            <w:pStyle w:val="TOC2"/>
            <w:rPr>
              <w:rFonts w:asciiTheme="minorHAnsi" w:eastAsiaTheme="minorEastAsia" w:hAnsiTheme="minorHAnsi"/>
              <w:b w:val="0"/>
              <w:color w:val="auto"/>
              <w:sz w:val="22"/>
              <w:lang w:eastAsia="en-AU"/>
            </w:rPr>
          </w:pPr>
          <w:hyperlink w:anchor="_Toc486855300" w:history="1">
            <w:r w:rsidRPr="009E798C">
              <w:rPr>
                <w:rStyle w:val="Hyperlink"/>
              </w:rPr>
              <w:t>6.3</w:t>
            </w:r>
            <w:r>
              <w:rPr>
                <w:rFonts w:asciiTheme="minorHAnsi" w:eastAsiaTheme="minorEastAsia" w:hAnsiTheme="minorHAnsi"/>
                <w:b w:val="0"/>
                <w:color w:val="auto"/>
                <w:sz w:val="22"/>
                <w:lang w:eastAsia="en-AU"/>
              </w:rPr>
              <w:tab/>
            </w:r>
            <w:r w:rsidRPr="009E798C">
              <w:rPr>
                <w:rStyle w:val="Hyperlink"/>
              </w:rPr>
              <w:t>Assessment approach</w:t>
            </w:r>
            <w:r>
              <w:rPr>
                <w:webHidden/>
              </w:rPr>
              <w:tab/>
            </w:r>
            <w:r>
              <w:rPr>
                <w:webHidden/>
              </w:rPr>
              <w:fldChar w:fldCharType="begin"/>
            </w:r>
            <w:r>
              <w:rPr>
                <w:webHidden/>
              </w:rPr>
              <w:instrText xml:space="preserve"> PAGEREF _Toc486855300 \h </w:instrText>
            </w:r>
            <w:r>
              <w:rPr>
                <w:webHidden/>
              </w:rPr>
            </w:r>
            <w:r>
              <w:rPr>
                <w:webHidden/>
              </w:rPr>
              <w:fldChar w:fldCharType="separate"/>
            </w:r>
            <w:r w:rsidR="00724747">
              <w:rPr>
                <w:webHidden/>
              </w:rPr>
              <w:t>6-9</w:t>
            </w:r>
            <w:r>
              <w:rPr>
                <w:webHidden/>
              </w:rPr>
              <w:fldChar w:fldCharType="end"/>
            </w:r>
          </w:hyperlink>
        </w:p>
        <w:p w14:paraId="5576E6DF" w14:textId="77777777" w:rsidR="008736D7" w:rsidRDefault="008736D7">
          <w:pPr>
            <w:pStyle w:val="TOC3"/>
            <w:rPr>
              <w:rFonts w:asciiTheme="minorHAnsi" w:eastAsiaTheme="minorEastAsia" w:hAnsiTheme="minorHAnsi"/>
              <w:lang w:eastAsia="en-AU"/>
            </w:rPr>
          </w:pPr>
          <w:hyperlink w:anchor="_Toc486855301" w:history="1">
            <w:r w:rsidRPr="009E798C">
              <w:rPr>
                <w:rStyle w:val="Hyperlink"/>
              </w:rPr>
              <w:t>6.3.1</w:t>
            </w:r>
            <w:r>
              <w:rPr>
                <w:rFonts w:asciiTheme="minorHAnsi" w:eastAsiaTheme="minorEastAsia" w:hAnsiTheme="minorHAnsi"/>
                <w:lang w:eastAsia="en-AU"/>
              </w:rPr>
              <w:tab/>
            </w:r>
            <w:r w:rsidRPr="009E798C">
              <w:rPr>
                <w:rStyle w:val="Hyperlink"/>
              </w:rPr>
              <w:t>Capex in the 2013–17 Access Arrangement period</w:t>
            </w:r>
            <w:r>
              <w:rPr>
                <w:webHidden/>
              </w:rPr>
              <w:tab/>
            </w:r>
            <w:r>
              <w:rPr>
                <w:webHidden/>
              </w:rPr>
              <w:fldChar w:fldCharType="begin"/>
            </w:r>
            <w:r>
              <w:rPr>
                <w:webHidden/>
              </w:rPr>
              <w:instrText xml:space="preserve"> PAGEREF _Toc486855301 \h </w:instrText>
            </w:r>
            <w:r>
              <w:rPr>
                <w:webHidden/>
              </w:rPr>
            </w:r>
            <w:r>
              <w:rPr>
                <w:webHidden/>
              </w:rPr>
              <w:fldChar w:fldCharType="separate"/>
            </w:r>
            <w:r w:rsidR="00724747">
              <w:rPr>
                <w:webHidden/>
              </w:rPr>
              <w:t>6-9</w:t>
            </w:r>
            <w:r>
              <w:rPr>
                <w:webHidden/>
              </w:rPr>
              <w:fldChar w:fldCharType="end"/>
            </w:r>
          </w:hyperlink>
        </w:p>
        <w:p w14:paraId="4D83D40D" w14:textId="77777777" w:rsidR="008736D7" w:rsidRDefault="008736D7">
          <w:pPr>
            <w:pStyle w:val="TOC3"/>
            <w:rPr>
              <w:rFonts w:asciiTheme="minorHAnsi" w:eastAsiaTheme="minorEastAsia" w:hAnsiTheme="minorHAnsi"/>
              <w:lang w:eastAsia="en-AU"/>
            </w:rPr>
          </w:pPr>
          <w:hyperlink w:anchor="_Toc486855302" w:history="1">
            <w:r w:rsidRPr="009E798C">
              <w:rPr>
                <w:rStyle w:val="Hyperlink"/>
              </w:rPr>
              <w:t>6.3.2</w:t>
            </w:r>
            <w:r>
              <w:rPr>
                <w:rFonts w:asciiTheme="minorHAnsi" w:eastAsiaTheme="minorEastAsia" w:hAnsiTheme="minorHAnsi"/>
                <w:lang w:eastAsia="en-AU"/>
              </w:rPr>
              <w:tab/>
            </w:r>
            <w:r w:rsidRPr="009E798C">
              <w:rPr>
                <w:rStyle w:val="Hyperlink"/>
              </w:rPr>
              <w:t>Capex for the 2018–22 access arrangement period</w:t>
            </w:r>
            <w:r>
              <w:rPr>
                <w:webHidden/>
              </w:rPr>
              <w:tab/>
            </w:r>
            <w:r>
              <w:rPr>
                <w:webHidden/>
              </w:rPr>
              <w:fldChar w:fldCharType="begin"/>
            </w:r>
            <w:r>
              <w:rPr>
                <w:webHidden/>
              </w:rPr>
              <w:instrText xml:space="preserve"> PAGEREF _Toc486855302 \h </w:instrText>
            </w:r>
            <w:r>
              <w:rPr>
                <w:webHidden/>
              </w:rPr>
            </w:r>
            <w:r>
              <w:rPr>
                <w:webHidden/>
              </w:rPr>
              <w:fldChar w:fldCharType="separate"/>
            </w:r>
            <w:r w:rsidR="00724747">
              <w:rPr>
                <w:webHidden/>
              </w:rPr>
              <w:t>6-10</w:t>
            </w:r>
            <w:r>
              <w:rPr>
                <w:webHidden/>
              </w:rPr>
              <w:fldChar w:fldCharType="end"/>
            </w:r>
          </w:hyperlink>
        </w:p>
        <w:p w14:paraId="556AC4CC" w14:textId="77777777" w:rsidR="008736D7" w:rsidRDefault="008736D7">
          <w:pPr>
            <w:pStyle w:val="TOC3"/>
            <w:rPr>
              <w:rFonts w:asciiTheme="minorHAnsi" w:eastAsiaTheme="minorEastAsia" w:hAnsiTheme="minorHAnsi"/>
              <w:lang w:eastAsia="en-AU"/>
            </w:rPr>
          </w:pPr>
          <w:hyperlink w:anchor="_Toc486855303" w:history="1">
            <w:r w:rsidRPr="009E798C">
              <w:rPr>
                <w:rStyle w:val="Hyperlink"/>
              </w:rPr>
              <w:t>6.3.3</w:t>
            </w:r>
            <w:r>
              <w:rPr>
                <w:rFonts w:asciiTheme="minorHAnsi" w:eastAsiaTheme="minorEastAsia" w:hAnsiTheme="minorHAnsi"/>
                <w:lang w:eastAsia="en-AU"/>
              </w:rPr>
              <w:tab/>
            </w:r>
            <w:r w:rsidRPr="009E798C">
              <w:rPr>
                <w:rStyle w:val="Hyperlink"/>
              </w:rPr>
              <w:t>Interrelationships</w:t>
            </w:r>
            <w:r>
              <w:rPr>
                <w:webHidden/>
              </w:rPr>
              <w:tab/>
            </w:r>
            <w:r>
              <w:rPr>
                <w:webHidden/>
              </w:rPr>
              <w:fldChar w:fldCharType="begin"/>
            </w:r>
            <w:r>
              <w:rPr>
                <w:webHidden/>
              </w:rPr>
              <w:instrText xml:space="preserve"> PAGEREF _Toc486855303 \h </w:instrText>
            </w:r>
            <w:r>
              <w:rPr>
                <w:webHidden/>
              </w:rPr>
            </w:r>
            <w:r>
              <w:rPr>
                <w:webHidden/>
              </w:rPr>
              <w:fldChar w:fldCharType="separate"/>
            </w:r>
            <w:r w:rsidR="00724747">
              <w:rPr>
                <w:webHidden/>
              </w:rPr>
              <w:t>6-11</w:t>
            </w:r>
            <w:r>
              <w:rPr>
                <w:webHidden/>
              </w:rPr>
              <w:fldChar w:fldCharType="end"/>
            </w:r>
          </w:hyperlink>
        </w:p>
        <w:p w14:paraId="7C0CAA49" w14:textId="77777777" w:rsidR="008736D7" w:rsidRDefault="008736D7">
          <w:pPr>
            <w:pStyle w:val="TOC2"/>
            <w:rPr>
              <w:rFonts w:asciiTheme="minorHAnsi" w:eastAsiaTheme="minorEastAsia" w:hAnsiTheme="minorHAnsi"/>
              <w:b w:val="0"/>
              <w:color w:val="auto"/>
              <w:sz w:val="22"/>
              <w:lang w:eastAsia="en-AU"/>
            </w:rPr>
          </w:pPr>
          <w:hyperlink w:anchor="_Toc486855304" w:history="1">
            <w:r w:rsidRPr="009E798C">
              <w:rPr>
                <w:rStyle w:val="Hyperlink"/>
              </w:rPr>
              <w:t>6.4</w:t>
            </w:r>
            <w:r>
              <w:rPr>
                <w:rFonts w:asciiTheme="minorHAnsi" w:eastAsiaTheme="minorEastAsia" w:hAnsiTheme="minorHAnsi"/>
                <w:b w:val="0"/>
                <w:color w:val="auto"/>
                <w:sz w:val="22"/>
                <w:lang w:eastAsia="en-AU"/>
              </w:rPr>
              <w:tab/>
            </w:r>
            <w:r w:rsidRPr="009E798C">
              <w:rPr>
                <w:rStyle w:val="Hyperlink"/>
              </w:rPr>
              <w:t>Reasons for draft decision</w:t>
            </w:r>
            <w:r>
              <w:rPr>
                <w:webHidden/>
              </w:rPr>
              <w:tab/>
            </w:r>
            <w:r>
              <w:rPr>
                <w:webHidden/>
              </w:rPr>
              <w:fldChar w:fldCharType="begin"/>
            </w:r>
            <w:r>
              <w:rPr>
                <w:webHidden/>
              </w:rPr>
              <w:instrText xml:space="preserve"> PAGEREF _Toc486855304 \h </w:instrText>
            </w:r>
            <w:r>
              <w:rPr>
                <w:webHidden/>
              </w:rPr>
            </w:r>
            <w:r>
              <w:rPr>
                <w:webHidden/>
              </w:rPr>
              <w:fldChar w:fldCharType="separate"/>
            </w:r>
            <w:r w:rsidR="00724747">
              <w:rPr>
                <w:webHidden/>
              </w:rPr>
              <w:t>6-11</w:t>
            </w:r>
            <w:r>
              <w:rPr>
                <w:webHidden/>
              </w:rPr>
              <w:fldChar w:fldCharType="end"/>
            </w:r>
          </w:hyperlink>
        </w:p>
        <w:p w14:paraId="0CEDAD1B" w14:textId="77777777" w:rsidR="008736D7" w:rsidRDefault="008736D7">
          <w:pPr>
            <w:pStyle w:val="TOC3"/>
            <w:rPr>
              <w:rFonts w:asciiTheme="minorHAnsi" w:eastAsiaTheme="minorEastAsia" w:hAnsiTheme="minorHAnsi"/>
              <w:lang w:eastAsia="en-AU"/>
            </w:rPr>
          </w:pPr>
          <w:hyperlink w:anchor="_Toc486855305" w:history="1">
            <w:r w:rsidRPr="009E798C">
              <w:rPr>
                <w:rStyle w:val="Hyperlink"/>
              </w:rPr>
              <w:t>6.4.1</w:t>
            </w:r>
            <w:r>
              <w:rPr>
                <w:rFonts w:asciiTheme="minorHAnsi" w:eastAsiaTheme="minorEastAsia" w:hAnsiTheme="minorHAnsi"/>
                <w:lang w:eastAsia="en-AU"/>
              </w:rPr>
              <w:tab/>
            </w:r>
            <w:r w:rsidRPr="009E798C">
              <w:rPr>
                <w:rStyle w:val="Hyperlink"/>
              </w:rPr>
              <w:t>Capital expenditure over the 2013–17 access arrangement period</w:t>
            </w:r>
            <w:r>
              <w:rPr>
                <w:webHidden/>
              </w:rPr>
              <w:tab/>
            </w:r>
            <w:r>
              <w:rPr>
                <w:webHidden/>
              </w:rPr>
              <w:fldChar w:fldCharType="begin"/>
            </w:r>
            <w:r>
              <w:rPr>
                <w:webHidden/>
              </w:rPr>
              <w:instrText xml:space="preserve"> PAGEREF _Toc486855305 \h </w:instrText>
            </w:r>
            <w:r>
              <w:rPr>
                <w:webHidden/>
              </w:rPr>
            </w:r>
            <w:r>
              <w:rPr>
                <w:webHidden/>
              </w:rPr>
              <w:fldChar w:fldCharType="separate"/>
            </w:r>
            <w:r w:rsidR="00724747">
              <w:rPr>
                <w:webHidden/>
              </w:rPr>
              <w:t>6-11</w:t>
            </w:r>
            <w:r>
              <w:rPr>
                <w:webHidden/>
              </w:rPr>
              <w:fldChar w:fldCharType="end"/>
            </w:r>
          </w:hyperlink>
        </w:p>
        <w:p w14:paraId="15169E95" w14:textId="77777777" w:rsidR="008736D7" w:rsidRDefault="008736D7">
          <w:pPr>
            <w:pStyle w:val="TOC3"/>
            <w:rPr>
              <w:rFonts w:asciiTheme="minorHAnsi" w:eastAsiaTheme="minorEastAsia" w:hAnsiTheme="minorHAnsi"/>
              <w:lang w:eastAsia="en-AU"/>
            </w:rPr>
          </w:pPr>
          <w:hyperlink w:anchor="_Toc486855306" w:history="1">
            <w:r w:rsidRPr="009E798C">
              <w:rPr>
                <w:rStyle w:val="Hyperlink"/>
              </w:rPr>
              <w:t>6.4.2</w:t>
            </w:r>
            <w:r>
              <w:rPr>
                <w:rFonts w:asciiTheme="minorHAnsi" w:eastAsiaTheme="minorEastAsia" w:hAnsiTheme="minorHAnsi"/>
                <w:lang w:eastAsia="en-AU"/>
              </w:rPr>
              <w:tab/>
            </w:r>
            <w:r w:rsidRPr="009E798C">
              <w:rPr>
                <w:rStyle w:val="Hyperlink"/>
              </w:rPr>
              <w:t>Capital expenditure over the 2018–22 access arrangement period</w:t>
            </w:r>
            <w:r>
              <w:rPr>
                <w:webHidden/>
              </w:rPr>
              <w:tab/>
            </w:r>
            <w:r>
              <w:rPr>
                <w:webHidden/>
              </w:rPr>
              <w:fldChar w:fldCharType="begin"/>
            </w:r>
            <w:r>
              <w:rPr>
                <w:webHidden/>
              </w:rPr>
              <w:instrText xml:space="preserve"> PAGEREF _Toc486855306 \h </w:instrText>
            </w:r>
            <w:r>
              <w:rPr>
                <w:webHidden/>
              </w:rPr>
            </w:r>
            <w:r>
              <w:rPr>
                <w:webHidden/>
              </w:rPr>
              <w:fldChar w:fldCharType="separate"/>
            </w:r>
            <w:r w:rsidR="00724747">
              <w:rPr>
                <w:webHidden/>
              </w:rPr>
              <w:t>6-17</w:t>
            </w:r>
            <w:r>
              <w:rPr>
                <w:webHidden/>
              </w:rPr>
              <w:fldChar w:fldCharType="end"/>
            </w:r>
          </w:hyperlink>
        </w:p>
        <w:p w14:paraId="1FCE6F55" w14:textId="77777777" w:rsidR="008736D7" w:rsidRDefault="008736D7">
          <w:pPr>
            <w:pStyle w:val="TOC2"/>
            <w:rPr>
              <w:rFonts w:asciiTheme="minorHAnsi" w:eastAsiaTheme="minorEastAsia" w:hAnsiTheme="minorHAnsi"/>
              <w:b w:val="0"/>
              <w:color w:val="auto"/>
              <w:sz w:val="22"/>
              <w:lang w:eastAsia="en-AU"/>
            </w:rPr>
          </w:pPr>
          <w:hyperlink w:anchor="_Toc486855307" w:history="1">
            <w:r w:rsidRPr="009E798C">
              <w:rPr>
                <w:rStyle w:val="Hyperlink"/>
              </w:rPr>
              <w:t>6.5</w:t>
            </w:r>
            <w:r>
              <w:rPr>
                <w:rFonts w:asciiTheme="minorHAnsi" w:eastAsiaTheme="minorEastAsia" w:hAnsiTheme="minorHAnsi"/>
                <w:b w:val="0"/>
                <w:color w:val="auto"/>
                <w:sz w:val="22"/>
                <w:lang w:eastAsia="en-AU"/>
              </w:rPr>
              <w:tab/>
            </w:r>
            <w:r w:rsidRPr="009E798C">
              <w:rPr>
                <w:rStyle w:val="Hyperlink"/>
              </w:rPr>
              <w:t>Revisions</w:t>
            </w:r>
            <w:r>
              <w:rPr>
                <w:webHidden/>
              </w:rPr>
              <w:tab/>
            </w:r>
            <w:r>
              <w:rPr>
                <w:webHidden/>
              </w:rPr>
              <w:fldChar w:fldCharType="begin"/>
            </w:r>
            <w:r>
              <w:rPr>
                <w:webHidden/>
              </w:rPr>
              <w:instrText xml:space="preserve"> PAGEREF _Toc486855307 \h </w:instrText>
            </w:r>
            <w:r>
              <w:rPr>
                <w:webHidden/>
              </w:rPr>
            </w:r>
            <w:r>
              <w:rPr>
                <w:webHidden/>
              </w:rPr>
              <w:fldChar w:fldCharType="separate"/>
            </w:r>
            <w:r w:rsidR="00724747">
              <w:rPr>
                <w:webHidden/>
              </w:rPr>
              <w:t>6-31</w:t>
            </w:r>
            <w:r>
              <w:rPr>
                <w:webHidden/>
              </w:rPr>
              <w:fldChar w:fldCharType="end"/>
            </w:r>
          </w:hyperlink>
        </w:p>
        <w:p w14:paraId="1870AAF6" w14:textId="77777777" w:rsidR="00CE2A23" w:rsidRDefault="00DD61C0" w:rsidP="00DD61C0">
          <w:pPr>
            <w:pStyle w:val="TOC1"/>
          </w:pPr>
          <w:r>
            <w:fldChar w:fldCharType="end"/>
          </w:r>
        </w:p>
      </w:sdtContent>
    </w:sdt>
    <w:p w14:paraId="355B5FBB" w14:textId="77777777" w:rsidR="00CE2A23" w:rsidRPr="00CE2A23" w:rsidRDefault="00CE2A23" w:rsidP="00CE2A23">
      <w:r>
        <w:t xml:space="preserve"> </w:t>
      </w:r>
    </w:p>
    <w:p w14:paraId="0D7463E6" w14:textId="77777777" w:rsidR="000352EE" w:rsidRDefault="00CE2A23" w:rsidP="00CE2A23">
      <w:pPr>
        <w:pStyle w:val="UnnumberedHeading"/>
        <w:numPr>
          <w:ilvl w:val="0"/>
          <w:numId w:val="23"/>
        </w:numPr>
      </w:pPr>
      <w:bookmarkStart w:id="11" w:name="_Toc404700925"/>
      <w:bookmarkStart w:id="12" w:name="_Toc486855292"/>
      <w:r>
        <w:t>Shortened forms</w:t>
      </w:r>
      <w:bookmarkEnd w:id="11"/>
      <w:bookmarkEnd w:id="12"/>
    </w:p>
    <w:tbl>
      <w:tblPr>
        <w:tblStyle w:val="AERtable-numbers"/>
        <w:tblW w:w="0" w:type="auto"/>
        <w:tblLook w:val="04A0" w:firstRow="1" w:lastRow="0" w:firstColumn="1" w:lastColumn="0" w:noHBand="0" w:noVBand="1"/>
      </w:tblPr>
      <w:tblGrid>
        <w:gridCol w:w="3652"/>
        <w:gridCol w:w="5040"/>
      </w:tblGrid>
      <w:tr w:rsidR="00A43BA0" w14:paraId="3374681D" w14:textId="77777777" w:rsidTr="00A43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9323A4A" w14:textId="77777777" w:rsidR="00A43BA0" w:rsidRDefault="00A43BA0" w:rsidP="00A43BA0">
            <w:pPr>
              <w:numPr>
                <w:ilvl w:val="0"/>
                <w:numId w:val="24"/>
              </w:numPr>
            </w:pPr>
            <w:r>
              <w:t>Shortened form</w:t>
            </w:r>
          </w:p>
        </w:tc>
        <w:tc>
          <w:tcPr>
            <w:tcW w:w="5040" w:type="dxa"/>
          </w:tcPr>
          <w:p w14:paraId="06F300DA" w14:textId="77777777" w:rsidR="00A43BA0" w:rsidRDefault="00A43BA0" w:rsidP="00A43BA0">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A43BA0" w14:paraId="78BCEE81"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13CAEDDD" w14:textId="77777777" w:rsidR="00A43BA0" w:rsidRDefault="00A43BA0" w:rsidP="00A43BA0">
            <w:pPr>
              <w:numPr>
                <w:ilvl w:val="0"/>
                <w:numId w:val="24"/>
              </w:numPr>
            </w:pPr>
            <w:r>
              <w:t>AER</w:t>
            </w:r>
          </w:p>
        </w:tc>
        <w:tc>
          <w:tcPr>
            <w:tcW w:w="5040" w:type="dxa"/>
          </w:tcPr>
          <w:p w14:paraId="6B13FC24"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43BA0" w14:paraId="12B17A61"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316CD9E" w14:textId="77777777" w:rsidR="00A43BA0" w:rsidRDefault="00A43BA0" w:rsidP="00A43BA0">
            <w:pPr>
              <w:numPr>
                <w:ilvl w:val="0"/>
                <w:numId w:val="24"/>
              </w:numPr>
            </w:pPr>
            <w:r>
              <w:t>ATO</w:t>
            </w:r>
          </w:p>
        </w:tc>
        <w:tc>
          <w:tcPr>
            <w:tcW w:w="5040" w:type="dxa"/>
          </w:tcPr>
          <w:p w14:paraId="1CDAD887" w14:textId="77777777" w:rsidR="00A43BA0" w:rsidRPr="00A43BA0" w:rsidRDefault="00A43BA0" w:rsidP="00A43BA0">
            <w:pPr>
              <w:cnfStyle w:val="000000010000" w:firstRow="0" w:lastRow="0" w:firstColumn="0" w:lastColumn="0" w:oddVBand="0" w:evenVBand="0" w:oddHBand="0" w:evenHBand="1" w:firstRowFirstColumn="0" w:firstRowLastColumn="0" w:lastRowFirstColumn="0" w:lastRowLastColumn="0"/>
            </w:pPr>
            <w:r>
              <w:t>Australian Tax Office</w:t>
            </w:r>
          </w:p>
        </w:tc>
      </w:tr>
      <w:tr w:rsidR="00A43BA0" w14:paraId="2FCB265E"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3DB0A2B8" w14:textId="77777777" w:rsidR="00A43BA0" w:rsidRDefault="00A43BA0" w:rsidP="00A43BA0">
            <w:pPr>
              <w:numPr>
                <w:ilvl w:val="0"/>
                <w:numId w:val="24"/>
              </w:numPr>
            </w:pPr>
            <w:r>
              <w:t>capex</w:t>
            </w:r>
          </w:p>
        </w:tc>
        <w:tc>
          <w:tcPr>
            <w:tcW w:w="5040" w:type="dxa"/>
          </w:tcPr>
          <w:p w14:paraId="3C5F519F"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A43BA0" w14:paraId="1CA84072"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F8BA351" w14:textId="77777777" w:rsidR="00A43BA0" w:rsidRDefault="00A43BA0" w:rsidP="00A43BA0">
            <w:pPr>
              <w:numPr>
                <w:ilvl w:val="0"/>
                <w:numId w:val="24"/>
              </w:numPr>
            </w:pPr>
            <w:r>
              <w:t>CAPM</w:t>
            </w:r>
          </w:p>
        </w:tc>
        <w:tc>
          <w:tcPr>
            <w:tcW w:w="5040" w:type="dxa"/>
          </w:tcPr>
          <w:p w14:paraId="4B05129F"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A43BA0" w14:paraId="7F4C78C9"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726ECED5" w14:textId="77777777" w:rsidR="00A43BA0" w:rsidRDefault="00A43BA0" w:rsidP="00A43BA0">
            <w:pPr>
              <w:numPr>
                <w:ilvl w:val="0"/>
                <w:numId w:val="24"/>
              </w:numPr>
            </w:pPr>
            <w:r>
              <w:t>CPI</w:t>
            </w:r>
          </w:p>
        </w:tc>
        <w:tc>
          <w:tcPr>
            <w:tcW w:w="5040" w:type="dxa"/>
          </w:tcPr>
          <w:p w14:paraId="2001C76E"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A43BA0" w14:paraId="74143B53"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3C2AF35" w14:textId="77777777" w:rsidR="00A43BA0" w:rsidRDefault="00A43BA0" w:rsidP="00A43BA0">
            <w:pPr>
              <w:numPr>
                <w:ilvl w:val="0"/>
                <w:numId w:val="24"/>
              </w:numPr>
            </w:pPr>
            <w:r>
              <w:t>DRP</w:t>
            </w:r>
          </w:p>
        </w:tc>
        <w:tc>
          <w:tcPr>
            <w:tcW w:w="5040" w:type="dxa"/>
          </w:tcPr>
          <w:p w14:paraId="4EC84537"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A43BA0" w14:paraId="063059A9"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4734D204" w14:textId="77777777" w:rsidR="00A43BA0" w:rsidRDefault="00A43BA0" w:rsidP="00A43BA0">
            <w:pPr>
              <w:numPr>
                <w:ilvl w:val="0"/>
                <w:numId w:val="24"/>
              </w:numPr>
            </w:pPr>
            <w:r>
              <w:t>ECM</w:t>
            </w:r>
          </w:p>
        </w:tc>
        <w:tc>
          <w:tcPr>
            <w:tcW w:w="5040" w:type="dxa"/>
          </w:tcPr>
          <w:p w14:paraId="5069CED3" w14:textId="77777777" w:rsidR="00A43BA0" w:rsidRPr="00A43BA0" w:rsidRDefault="00A43BA0" w:rsidP="00A43BA0">
            <w:pPr>
              <w:cnfStyle w:val="000000000000" w:firstRow="0" w:lastRow="0" w:firstColumn="0" w:lastColumn="0" w:oddVBand="0" w:evenVBand="0" w:oddHBand="0" w:evenHBand="0" w:firstRowFirstColumn="0" w:firstRowLastColumn="0" w:lastRowFirstColumn="0" w:lastRowLastColumn="0"/>
            </w:pPr>
            <w:r>
              <w:t xml:space="preserve">(Opex) Efficiency </w:t>
            </w:r>
            <w:r w:rsidRPr="00A43BA0">
              <w:t>Carryover Mechanism</w:t>
            </w:r>
          </w:p>
        </w:tc>
      </w:tr>
      <w:tr w:rsidR="00A43BA0" w14:paraId="37B5E246"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7EC562E" w14:textId="77777777" w:rsidR="00A43BA0" w:rsidRDefault="00A43BA0" w:rsidP="00A43BA0">
            <w:pPr>
              <w:numPr>
                <w:ilvl w:val="0"/>
                <w:numId w:val="24"/>
              </w:numPr>
            </w:pPr>
            <w:r>
              <w:t>ERP</w:t>
            </w:r>
          </w:p>
        </w:tc>
        <w:tc>
          <w:tcPr>
            <w:tcW w:w="5040" w:type="dxa"/>
          </w:tcPr>
          <w:p w14:paraId="10B2D584"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A43BA0" w14:paraId="58DAE990"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57B66F8B" w14:textId="77777777" w:rsidR="00A43BA0" w:rsidRDefault="00A43BA0" w:rsidP="00A43BA0">
            <w:pPr>
              <w:numPr>
                <w:ilvl w:val="0"/>
                <w:numId w:val="24"/>
              </w:numPr>
            </w:pPr>
            <w:r>
              <w:t>Expenditure Guideline</w:t>
            </w:r>
          </w:p>
        </w:tc>
        <w:tc>
          <w:tcPr>
            <w:tcW w:w="5040" w:type="dxa"/>
          </w:tcPr>
          <w:p w14:paraId="0CE218B7" w14:textId="77777777" w:rsidR="00A43BA0" w:rsidRPr="00A43BA0" w:rsidRDefault="00A43BA0" w:rsidP="00A43BA0">
            <w:pPr>
              <w:cnfStyle w:val="000000000000" w:firstRow="0" w:lastRow="0" w:firstColumn="0" w:lastColumn="0" w:oddVBand="0" w:evenVBand="0" w:oddHBand="0" w:evenHBand="0" w:firstRowFirstColumn="0" w:firstRowLastColumn="0" w:lastRowFirstColumn="0" w:lastRowLastColumn="0"/>
            </w:pPr>
            <w:r>
              <w:t xml:space="preserve">Expenditure Forecast </w:t>
            </w:r>
            <w:r w:rsidRPr="00A43BA0">
              <w:t>Assessment Guideline</w:t>
            </w:r>
          </w:p>
        </w:tc>
      </w:tr>
      <w:tr w:rsidR="00A43BA0" w14:paraId="0D277B0A"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13F2548" w14:textId="77777777" w:rsidR="00A43BA0" w:rsidRDefault="00A43BA0" w:rsidP="00A43BA0">
            <w:pPr>
              <w:numPr>
                <w:ilvl w:val="0"/>
                <w:numId w:val="24"/>
              </w:numPr>
            </w:pPr>
            <w:r>
              <w:t>gamma</w:t>
            </w:r>
          </w:p>
        </w:tc>
        <w:tc>
          <w:tcPr>
            <w:tcW w:w="5040" w:type="dxa"/>
          </w:tcPr>
          <w:p w14:paraId="4E86318B" w14:textId="77777777" w:rsidR="00A43BA0" w:rsidRPr="00A43BA0" w:rsidRDefault="00A43BA0" w:rsidP="00A43BA0">
            <w:pPr>
              <w:cnfStyle w:val="000000010000" w:firstRow="0" w:lastRow="0" w:firstColumn="0" w:lastColumn="0" w:oddVBand="0" w:evenVBand="0" w:oddHBand="0" w:evenHBand="1" w:firstRowFirstColumn="0" w:firstRowLastColumn="0" w:lastRowFirstColumn="0" w:lastRowLastColumn="0"/>
            </w:pPr>
            <w:r>
              <w:t>Value of Imputation Credits</w:t>
            </w:r>
          </w:p>
        </w:tc>
      </w:tr>
      <w:tr w:rsidR="00A43BA0" w14:paraId="12FE9379"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3EA7E46F" w14:textId="77777777" w:rsidR="00A43BA0" w:rsidRDefault="00A43BA0" w:rsidP="00A43BA0">
            <w:pPr>
              <w:numPr>
                <w:ilvl w:val="0"/>
                <w:numId w:val="24"/>
              </w:numPr>
            </w:pPr>
            <w:r>
              <w:t>MRP</w:t>
            </w:r>
          </w:p>
        </w:tc>
        <w:tc>
          <w:tcPr>
            <w:tcW w:w="5040" w:type="dxa"/>
          </w:tcPr>
          <w:p w14:paraId="49F339D6"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A43BA0" w14:paraId="383EF307"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B6C3C6F" w14:textId="77777777" w:rsidR="00A43BA0" w:rsidRDefault="00A43BA0" w:rsidP="00A43BA0">
            <w:pPr>
              <w:numPr>
                <w:ilvl w:val="0"/>
                <w:numId w:val="24"/>
              </w:numPr>
            </w:pPr>
            <w:r>
              <w:t>NGL</w:t>
            </w:r>
          </w:p>
        </w:tc>
        <w:tc>
          <w:tcPr>
            <w:tcW w:w="5040" w:type="dxa"/>
          </w:tcPr>
          <w:p w14:paraId="12574000"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A43BA0" w14:paraId="6F636BC4"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61FE21C4" w14:textId="77777777" w:rsidR="00A43BA0" w:rsidRDefault="00A43BA0" w:rsidP="00A43BA0">
            <w:pPr>
              <w:numPr>
                <w:ilvl w:val="0"/>
                <w:numId w:val="24"/>
              </w:numPr>
            </w:pPr>
            <w:r>
              <w:t>NGO</w:t>
            </w:r>
          </w:p>
        </w:tc>
        <w:tc>
          <w:tcPr>
            <w:tcW w:w="5040" w:type="dxa"/>
          </w:tcPr>
          <w:p w14:paraId="6D624E51"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A43BA0" w14:paraId="23B44E1B"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42A1F16" w14:textId="77777777" w:rsidR="00A43BA0" w:rsidRDefault="00A43BA0" w:rsidP="00A43BA0">
            <w:pPr>
              <w:numPr>
                <w:ilvl w:val="0"/>
                <w:numId w:val="24"/>
              </w:numPr>
            </w:pPr>
            <w:r>
              <w:t>NGR</w:t>
            </w:r>
          </w:p>
        </w:tc>
        <w:tc>
          <w:tcPr>
            <w:tcW w:w="5040" w:type="dxa"/>
          </w:tcPr>
          <w:p w14:paraId="6EF76395"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A43BA0" w14:paraId="70A3B3C3"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572528C4" w14:textId="77777777" w:rsidR="00A43BA0" w:rsidRDefault="00A43BA0" w:rsidP="00A43BA0">
            <w:pPr>
              <w:numPr>
                <w:ilvl w:val="0"/>
                <w:numId w:val="24"/>
              </w:numPr>
            </w:pPr>
            <w:r>
              <w:t>NPV</w:t>
            </w:r>
          </w:p>
        </w:tc>
        <w:tc>
          <w:tcPr>
            <w:tcW w:w="5040" w:type="dxa"/>
          </w:tcPr>
          <w:p w14:paraId="4799C191" w14:textId="77777777" w:rsidR="00A43BA0" w:rsidRPr="00A43BA0" w:rsidRDefault="00A43BA0" w:rsidP="00A43BA0">
            <w:pPr>
              <w:cnfStyle w:val="000000000000" w:firstRow="0" w:lastRow="0" w:firstColumn="0" w:lastColumn="0" w:oddVBand="0" w:evenVBand="0" w:oddHBand="0" w:evenHBand="0" w:firstRowFirstColumn="0" w:firstRowLastColumn="0" w:lastRowFirstColumn="0" w:lastRowLastColumn="0"/>
            </w:pPr>
            <w:r>
              <w:t xml:space="preserve">net </w:t>
            </w:r>
            <w:r w:rsidRPr="00A43BA0">
              <w:t>present value</w:t>
            </w:r>
          </w:p>
        </w:tc>
      </w:tr>
      <w:tr w:rsidR="00A43BA0" w14:paraId="4ECC3943"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33422BF" w14:textId="77777777" w:rsidR="00A43BA0" w:rsidRDefault="00A43BA0" w:rsidP="00A43BA0">
            <w:pPr>
              <w:numPr>
                <w:ilvl w:val="0"/>
                <w:numId w:val="24"/>
              </w:numPr>
            </w:pPr>
            <w:r>
              <w:t>opex</w:t>
            </w:r>
          </w:p>
        </w:tc>
        <w:tc>
          <w:tcPr>
            <w:tcW w:w="5040" w:type="dxa"/>
          </w:tcPr>
          <w:p w14:paraId="1225CA3D"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A43BA0" w14:paraId="020D22C6"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0BBD9489" w14:textId="77777777" w:rsidR="00A43BA0" w:rsidRDefault="00A43BA0" w:rsidP="00A43BA0">
            <w:pPr>
              <w:numPr>
                <w:ilvl w:val="0"/>
                <w:numId w:val="24"/>
              </w:numPr>
            </w:pPr>
            <w:r>
              <w:t>PTRM</w:t>
            </w:r>
          </w:p>
        </w:tc>
        <w:tc>
          <w:tcPr>
            <w:tcW w:w="5040" w:type="dxa"/>
          </w:tcPr>
          <w:p w14:paraId="02F81368"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A43BA0" w14:paraId="3E52A2AF"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CFBBCEE" w14:textId="77777777" w:rsidR="00A43BA0" w:rsidRDefault="00A43BA0" w:rsidP="00A43BA0">
            <w:pPr>
              <w:numPr>
                <w:ilvl w:val="0"/>
                <w:numId w:val="24"/>
              </w:numPr>
            </w:pPr>
            <w:r>
              <w:t>RBA</w:t>
            </w:r>
          </w:p>
        </w:tc>
        <w:tc>
          <w:tcPr>
            <w:tcW w:w="5040" w:type="dxa"/>
          </w:tcPr>
          <w:p w14:paraId="708BCD5F"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A43BA0" w14:paraId="2E259691"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0337E014" w14:textId="77777777" w:rsidR="00A43BA0" w:rsidRDefault="00A43BA0" w:rsidP="00A43BA0">
            <w:pPr>
              <w:numPr>
                <w:ilvl w:val="0"/>
                <w:numId w:val="24"/>
              </w:numPr>
            </w:pPr>
            <w:r>
              <w:t>RFM</w:t>
            </w:r>
          </w:p>
        </w:tc>
        <w:tc>
          <w:tcPr>
            <w:tcW w:w="5040" w:type="dxa"/>
          </w:tcPr>
          <w:p w14:paraId="119C2434"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A43BA0" w14:paraId="19DF0F3A"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30E0194" w14:textId="77777777" w:rsidR="00A43BA0" w:rsidRDefault="00A43BA0" w:rsidP="00A43BA0">
            <w:pPr>
              <w:numPr>
                <w:ilvl w:val="0"/>
                <w:numId w:val="24"/>
              </w:numPr>
            </w:pPr>
            <w:r>
              <w:t>RIN</w:t>
            </w:r>
          </w:p>
        </w:tc>
        <w:tc>
          <w:tcPr>
            <w:tcW w:w="5040" w:type="dxa"/>
          </w:tcPr>
          <w:p w14:paraId="7B5F80D9"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43BA0" w14:paraId="54B3623E"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1D57EA6E" w14:textId="77777777" w:rsidR="00A43BA0" w:rsidRDefault="00A43BA0" w:rsidP="00A43BA0">
            <w:pPr>
              <w:numPr>
                <w:ilvl w:val="0"/>
                <w:numId w:val="24"/>
              </w:numPr>
            </w:pPr>
            <w:r>
              <w:t>RPP</w:t>
            </w:r>
          </w:p>
        </w:tc>
        <w:tc>
          <w:tcPr>
            <w:tcW w:w="5040" w:type="dxa"/>
          </w:tcPr>
          <w:p w14:paraId="50C946F1" w14:textId="77777777" w:rsidR="00A43BA0" w:rsidRDefault="00A43BA0" w:rsidP="00A43BA0">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A43BA0" w14:paraId="5BCB2E09"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0CCC470" w14:textId="77777777" w:rsidR="00A43BA0" w:rsidRDefault="00A43BA0" w:rsidP="00A43BA0">
            <w:pPr>
              <w:numPr>
                <w:ilvl w:val="0"/>
                <w:numId w:val="24"/>
              </w:numPr>
            </w:pPr>
            <w:r>
              <w:t>SLCAPM</w:t>
            </w:r>
          </w:p>
        </w:tc>
        <w:tc>
          <w:tcPr>
            <w:tcW w:w="5040" w:type="dxa"/>
          </w:tcPr>
          <w:p w14:paraId="4A989CFB"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A43BA0" w14:paraId="475AF1CC"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1CB2074F" w14:textId="77777777" w:rsidR="00A43BA0" w:rsidRDefault="00A43BA0" w:rsidP="00A43BA0">
            <w:pPr>
              <w:numPr>
                <w:ilvl w:val="0"/>
                <w:numId w:val="24"/>
              </w:numPr>
            </w:pPr>
            <w:r>
              <w:t>STTM</w:t>
            </w:r>
          </w:p>
        </w:tc>
        <w:tc>
          <w:tcPr>
            <w:tcW w:w="5040" w:type="dxa"/>
          </w:tcPr>
          <w:p w14:paraId="74CF14B9" w14:textId="77777777" w:rsidR="00A43BA0" w:rsidRPr="00A43BA0" w:rsidRDefault="00A43BA0" w:rsidP="00A43BA0">
            <w:pPr>
              <w:cnfStyle w:val="000000000000" w:firstRow="0" w:lastRow="0" w:firstColumn="0" w:lastColumn="0" w:oddVBand="0" w:evenVBand="0" w:oddHBand="0" w:evenHBand="0" w:firstRowFirstColumn="0" w:firstRowLastColumn="0" w:lastRowFirstColumn="0" w:lastRowLastColumn="0"/>
            </w:pPr>
            <w:r>
              <w:t>Short Term Trading Market</w:t>
            </w:r>
          </w:p>
        </w:tc>
      </w:tr>
      <w:tr w:rsidR="00A43BA0" w14:paraId="1B44A73A"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6FAEADE" w14:textId="77777777" w:rsidR="00A43BA0" w:rsidRDefault="00A43BA0" w:rsidP="00A43BA0">
            <w:pPr>
              <w:numPr>
                <w:ilvl w:val="0"/>
                <w:numId w:val="24"/>
              </w:numPr>
            </w:pPr>
            <w:r>
              <w:t>TAB</w:t>
            </w:r>
          </w:p>
        </w:tc>
        <w:tc>
          <w:tcPr>
            <w:tcW w:w="5040" w:type="dxa"/>
          </w:tcPr>
          <w:p w14:paraId="6310EC43" w14:textId="77777777" w:rsidR="00A43BA0" w:rsidRPr="00A43BA0" w:rsidRDefault="00A43BA0" w:rsidP="00A43BA0">
            <w:pPr>
              <w:cnfStyle w:val="000000010000" w:firstRow="0" w:lastRow="0" w:firstColumn="0" w:lastColumn="0" w:oddVBand="0" w:evenVBand="0" w:oddHBand="0" w:evenHBand="1" w:firstRowFirstColumn="0" w:firstRowLastColumn="0" w:lastRowFirstColumn="0" w:lastRowLastColumn="0"/>
            </w:pPr>
            <w:r>
              <w:t>Tax asset base</w:t>
            </w:r>
          </w:p>
        </w:tc>
      </w:tr>
      <w:tr w:rsidR="00A43BA0" w14:paraId="5F97BF8F"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33D00A3A" w14:textId="77777777" w:rsidR="00A43BA0" w:rsidRDefault="00A43BA0" w:rsidP="00A43BA0">
            <w:pPr>
              <w:numPr>
                <w:ilvl w:val="0"/>
                <w:numId w:val="24"/>
              </w:numPr>
            </w:pPr>
            <w:r>
              <w:t>UAFG</w:t>
            </w:r>
          </w:p>
        </w:tc>
        <w:tc>
          <w:tcPr>
            <w:tcW w:w="5040" w:type="dxa"/>
          </w:tcPr>
          <w:p w14:paraId="4F2528B6" w14:textId="77777777" w:rsidR="00A43BA0" w:rsidRPr="00A43BA0" w:rsidRDefault="00A43BA0" w:rsidP="00A43BA0">
            <w:pPr>
              <w:cnfStyle w:val="000000000000" w:firstRow="0" w:lastRow="0" w:firstColumn="0" w:lastColumn="0" w:oddVBand="0" w:evenVBand="0" w:oddHBand="0" w:evenHBand="0" w:firstRowFirstColumn="0" w:firstRowLastColumn="0" w:lastRowFirstColumn="0" w:lastRowLastColumn="0"/>
            </w:pPr>
            <w:r>
              <w:t>Unaccounted for gas</w:t>
            </w:r>
          </w:p>
        </w:tc>
      </w:tr>
      <w:tr w:rsidR="00A43BA0" w14:paraId="29309B42" w14:textId="77777777" w:rsidTr="00A43B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B9CAAF0" w14:textId="77777777" w:rsidR="00A43BA0" w:rsidRDefault="00A43BA0" w:rsidP="00A43BA0">
            <w:pPr>
              <w:numPr>
                <w:ilvl w:val="0"/>
                <w:numId w:val="24"/>
              </w:numPr>
            </w:pPr>
            <w:r>
              <w:t>WACC</w:t>
            </w:r>
          </w:p>
        </w:tc>
        <w:tc>
          <w:tcPr>
            <w:tcW w:w="5040" w:type="dxa"/>
          </w:tcPr>
          <w:p w14:paraId="245698CC" w14:textId="77777777" w:rsidR="00A43BA0" w:rsidRDefault="00A43BA0" w:rsidP="00A43BA0">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A43BA0" w14:paraId="2AEAEFD4" w14:textId="77777777" w:rsidTr="00A43BA0">
        <w:tc>
          <w:tcPr>
            <w:cnfStyle w:val="001000000000" w:firstRow="0" w:lastRow="0" w:firstColumn="1" w:lastColumn="0" w:oddVBand="0" w:evenVBand="0" w:oddHBand="0" w:evenHBand="0" w:firstRowFirstColumn="0" w:firstRowLastColumn="0" w:lastRowFirstColumn="0" w:lastRowLastColumn="0"/>
            <w:tcW w:w="3652" w:type="dxa"/>
          </w:tcPr>
          <w:p w14:paraId="48C101F3" w14:textId="77777777" w:rsidR="00A43BA0" w:rsidRDefault="00A43BA0" w:rsidP="00A43BA0">
            <w:pPr>
              <w:numPr>
                <w:ilvl w:val="0"/>
                <w:numId w:val="24"/>
              </w:numPr>
            </w:pPr>
            <w:r>
              <w:t>WPI</w:t>
            </w:r>
          </w:p>
        </w:tc>
        <w:tc>
          <w:tcPr>
            <w:tcW w:w="5040" w:type="dxa"/>
          </w:tcPr>
          <w:p w14:paraId="2F74B25A" w14:textId="77777777" w:rsidR="00A43BA0" w:rsidRPr="00A43BA0" w:rsidRDefault="00A43BA0" w:rsidP="00A43BA0">
            <w:pPr>
              <w:cnfStyle w:val="000000000000" w:firstRow="0" w:lastRow="0" w:firstColumn="0" w:lastColumn="0" w:oddVBand="0" w:evenVBand="0" w:oddHBand="0" w:evenHBand="0" w:firstRowFirstColumn="0" w:firstRowLastColumn="0" w:lastRowFirstColumn="0" w:lastRowLastColumn="0"/>
            </w:pPr>
            <w:r>
              <w:t>Wage Price Index</w:t>
            </w:r>
          </w:p>
        </w:tc>
      </w:tr>
    </w:tbl>
    <w:p w14:paraId="4FCDA061" w14:textId="77777777" w:rsidR="00546EAA" w:rsidRPr="00546EAA" w:rsidRDefault="00546EAA" w:rsidP="00546EA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855293"/>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546EAA">
        <w:t>Capital expenditure</w:t>
      </w:r>
      <w:bookmarkEnd w:id="71"/>
    </w:p>
    <w:p w14:paraId="3DFBE83C" w14:textId="68BD59B5" w:rsidR="006A1C48" w:rsidRDefault="00546EAA" w:rsidP="00546EAA">
      <w:r w:rsidRPr="00546EAA">
        <w:t>Capital expenditure (capex) refers to the capital costs and expenditure incurred in the provision of pipeline services.</w:t>
      </w:r>
      <w:r w:rsidRPr="00546EAA">
        <w:rPr>
          <w:rStyle w:val="FootnoteReference"/>
        </w:rPr>
        <w:footnoteReference w:id="1"/>
      </w:r>
      <w:r w:rsidRPr="00546EAA">
        <w:t xml:space="preserve"> This investment mostly relates to assets with long lives</w:t>
      </w:r>
      <w:r w:rsidR="00B60444">
        <w:t xml:space="preserve"> and these costs are recovered over several </w:t>
      </w:r>
      <w:r w:rsidR="00A43BA0">
        <w:t xml:space="preserve">access arrangement </w:t>
      </w:r>
      <w:r w:rsidR="00B60444">
        <w:t>periods. Annually,</w:t>
      </w:r>
      <w:r w:rsidRPr="00546EAA">
        <w:t xml:space="preserve"> APA recovers the costs of these assets through the return on capital and depreciation building blocks that form part of its total revenue</w:t>
      </w:r>
      <w:r w:rsidR="00A43BA0">
        <w:t xml:space="preserve"> for the VTS</w:t>
      </w:r>
      <w:r w:rsidRPr="00546EAA">
        <w:t>. In this way APA recovers the financing cost</w:t>
      </w:r>
      <w:r w:rsidR="00B60444">
        <w:t>s of its asset base</w:t>
      </w:r>
      <w:r w:rsidRPr="00546EAA">
        <w:t xml:space="preserve"> and </w:t>
      </w:r>
      <w:r w:rsidR="00B60444">
        <w:t xml:space="preserve">the </w:t>
      </w:r>
      <w:r w:rsidRPr="00546EAA">
        <w:t>depreciation associated with these assets over the</w:t>
      </w:r>
      <w:r w:rsidR="002705CD">
        <w:t>ir</w:t>
      </w:r>
      <w:r w:rsidRPr="00546EAA">
        <w:t xml:space="preserve"> expected life</w:t>
      </w:r>
      <w:r w:rsidR="002705CD">
        <w:t>.</w:t>
      </w:r>
      <w:r w:rsidRPr="00546EAA">
        <w:t xml:space="preserve"> </w:t>
      </w:r>
    </w:p>
    <w:p w14:paraId="51BAE94E" w14:textId="42F7934D" w:rsidR="00973E98" w:rsidRDefault="00546EAA" w:rsidP="006A1C48">
      <w:r w:rsidRPr="00546EAA">
        <w:t>This attachment outlines our assessment of APA</w:t>
      </w:r>
      <w:r w:rsidR="00013748">
        <w:t>'</w:t>
      </w:r>
      <w:r w:rsidRPr="00546EAA">
        <w:t xml:space="preserve">s proposed conforming capex for </w:t>
      </w:r>
      <w:r w:rsidR="00A43BA0">
        <w:t xml:space="preserve">the VTS for the </w:t>
      </w:r>
      <w:r w:rsidRPr="00546EAA">
        <w:rPr>
          <w:rStyle w:val="AERbody"/>
        </w:rPr>
        <w:t>2013–17</w:t>
      </w:r>
      <w:r w:rsidR="00A43BA0">
        <w:rPr>
          <w:rStyle w:val="AERbody"/>
        </w:rPr>
        <w:t>,</w:t>
      </w:r>
      <w:r w:rsidRPr="00546EAA">
        <w:rPr>
          <w:rStyle w:val="AERbody"/>
        </w:rPr>
        <w:t xml:space="preserve"> and forecast capex </w:t>
      </w:r>
      <w:r w:rsidR="00A43BA0">
        <w:rPr>
          <w:rStyle w:val="AERbody"/>
        </w:rPr>
        <w:t xml:space="preserve">for the VTS </w:t>
      </w:r>
      <w:r w:rsidRPr="00546EAA">
        <w:rPr>
          <w:rStyle w:val="AERbody"/>
        </w:rPr>
        <w:t>for the 2018–22</w:t>
      </w:r>
      <w:r w:rsidRPr="00546EAA">
        <w:t xml:space="preserve"> access arrangement </w:t>
      </w:r>
      <w:r w:rsidR="00013748">
        <w:t>period</w:t>
      </w:r>
      <w:r w:rsidR="006A1C48">
        <w:t xml:space="preserve">. </w:t>
      </w:r>
    </w:p>
    <w:p w14:paraId="1A3F4C01" w14:textId="6CC2538A" w:rsidR="00973E98" w:rsidRDefault="00973E98" w:rsidP="006A1C48">
      <w:r>
        <w:t>The proposal APA submitted in January 2017 set out the capex it considered it would require over the 2018–22 access arrangement period. Submissions on that proposal from APA's users and the Australian Energy Market Operator (AEMO)—the operator of the VTS—suggested that additional capex would be necessary to address system security concerns. These views were supported by AEMO's Victorian Gas Planning Report</w:t>
      </w:r>
      <w:r w:rsidR="00166EDB">
        <w:t>,</w:t>
      </w:r>
      <w:r w:rsidR="00166EDB">
        <w:rPr>
          <w:rStyle w:val="FootnoteReference"/>
        </w:rPr>
        <w:footnoteReference w:id="2"/>
      </w:r>
      <w:r>
        <w:t xml:space="preserve"> and Gas Statement of Opportunities</w:t>
      </w:r>
      <w:r w:rsidR="00166EDB">
        <w:t>,</w:t>
      </w:r>
      <w:r w:rsidR="00166EDB">
        <w:rPr>
          <w:rStyle w:val="FootnoteReference"/>
        </w:rPr>
        <w:footnoteReference w:id="3"/>
      </w:r>
      <w:r>
        <w:t xml:space="preserve"> (both released in late March 2017) and in its system security notices</w:t>
      </w:r>
      <w:r w:rsidR="00166EDB">
        <w:t>.</w:t>
      </w:r>
      <w:r w:rsidR="00166EDB">
        <w:rPr>
          <w:rStyle w:val="FootnoteReference"/>
        </w:rPr>
        <w:footnoteReference w:id="4"/>
      </w:r>
      <w:r w:rsidR="00A147DC">
        <w:t xml:space="preserve"> </w:t>
      </w:r>
      <w:r>
        <w:t>In response, APA provided additional information on the capex required to address the tightening of the supply/demand balance in the VTS forecast by AEMO in March 2017.</w:t>
      </w:r>
      <w:r w:rsidRPr="00973E98">
        <w:rPr>
          <w:rStyle w:val="FootnoteReference"/>
        </w:rPr>
        <w:t xml:space="preserve"> </w:t>
      </w:r>
      <w:r>
        <w:rPr>
          <w:rStyle w:val="FootnoteReference"/>
        </w:rPr>
        <w:footnoteReference w:id="5"/>
      </w:r>
      <w:r>
        <w:t xml:space="preserve"> Specifically, it proposed to bring forward the planned construction of the Western Outer Ring Main (WORM). </w:t>
      </w:r>
      <w:r w:rsidR="00B60444">
        <w:t xml:space="preserve">In support of its proposal APA provided a Business Case for the WORM, a supplementary submission on capital expenditure, and revised modelling. </w:t>
      </w:r>
      <w:r>
        <w:t>Our draft decision considers this updated information together with the other capex items included in APA's January proposal.</w:t>
      </w:r>
    </w:p>
    <w:p w14:paraId="504FF122" w14:textId="77777777" w:rsidR="00546EAA" w:rsidRPr="00546EAA" w:rsidRDefault="00546EAA" w:rsidP="00D24DD7">
      <w:pPr>
        <w:pStyle w:val="Heading2"/>
        <w:keepNext/>
      </w:pPr>
      <w:bookmarkStart w:id="72" w:name="_Toc486855294"/>
      <w:r w:rsidRPr="00546EAA">
        <w:t>Draft decision</w:t>
      </w:r>
      <w:bookmarkEnd w:id="72"/>
    </w:p>
    <w:p w14:paraId="25E291DA" w14:textId="77777777" w:rsidR="00546EAA" w:rsidRPr="00546EAA" w:rsidRDefault="00546EAA" w:rsidP="00D24DD7">
      <w:pPr>
        <w:pStyle w:val="Heading3"/>
        <w:keepNext/>
        <w:ind w:left="720"/>
      </w:pPr>
      <w:bookmarkStart w:id="73" w:name="_Toc486855295"/>
      <w:r w:rsidRPr="00546EAA">
        <w:t>Conforming capex for 2013–17</w:t>
      </w:r>
      <w:bookmarkEnd w:id="73"/>
    </w:p>
    <w:p w14:paraId="699D961F" w14:textId="45654428" w:rsidR="00546EAA" w:rsidRDefault="00546EAA" w:rsidP="00302FEB">
      <w:pPr>
        <w:keepNext/>
      </w:pPr>
      <w:r w:rsidRPr="00546EAA">
        <w:t>We approve $</w:t>
      </w:r>
      <w:r w:rsidR="0098613E">
        <w:t>402.</w:t>
      </w:r>
      <w:r w:rsidR="00E436EF">
        <w:t>3</w:t>
      </w:r>
      <w:r w:rsidRPr="00546EAA">
        <w:t xml:space="preserve"> million ($2017) of APA's proposed total net capex of $408.3 million ($2017) for the 2013–17 </w:t>
      </w:r>
      <w:r w:rsidR="00013748">
        <w:t xml:space="preserve">access arrangement </w:t>
      </w:r>
      <w:proofErr w:type="gramStart"/>
      <w:r w:rsidRPr="00546EAA">
        <w:t>period</w:t>
      </w:r>
      <w:proofErr w:type="gramEnd"/>
      <w:r w:rsidRPr="00546EAA">
        <w:t xml:space="preserve"> as conforming capex.</w:t>
      </w:r>
      <w:r w:rsidRPr="00546EAA">
        <w:rPr>
          <w:rStyle w:val="FootnoteReference"/>
        </w:rPr>
        <w:footnoteReference w:id="6"/>
      </w:r>
      <w:r w:rsidRPr="00546EAA">
        <w:t xml:space="preserve"> </w:t>
      </w:r>
      <w:r w:rsidR="00F44436">
        <w:t>This is shown by</w:t>
      </w:r>
      <w:r w:rsidRPr="00546EAA">
        <w:t xml:space="preserve"> capex category in</w:t>
      </w:r>
      <w:r w:rsidR="00EE7E97">
        <w:t xml:space="preserve"> </w:t>
      </w:r>
      <w:r w:rsidR="00EE7E97">
        <w:fldChar w:fldCharType="begin"/>
      </w:r>
      <w:r w:rsidR="00EE7E97">
        <w:instrText xml:space="preserve"> REF _Ref484670013 \h </w:instrText>
      </w:r>
      <w:r w:rsidR="00EE7E97">
        <w:fldChar w:fldCharType="separate"/>
      </w:r>
      <w:r w:rsidR="00724747">
        <w:t xml:space="preserve">Table </w:t>
      </w:r>
      <w:r w:rsidR="00724747">
        <w:rPr>
          <w:noProof/>
        </w:rPr>
        <w:t>6</w:t>
      </w:r>
      <w:r w:rsidR="00724747">
        <w:t>.</w:t>
      </w:r>
      <w:r w:rsidR="00724747">
        <w:rPr>
          <w:noProof/>
        </w:rPr>
        <w:t>1</w:t>
      </w:r>
      <w:r w:rsidR="00EE7E97">
        <w:fldChar w:fldCharType="end"/>
      </w:r>
      <w:r w:rsidRPr="00546EAA">
        <w:t xml:space="preserve">. </w:t>
      </w:r>
    </w:p>
    <w:p w14:paraId="5D95020C" w14:textId="386389FC" w:rsidR="00546EAA" w:rsidRPr="0054200B" w:rsidRDefault="00EE7E97" w:rsidP="00EE7E97">
      <w:pPr>
        <w:pStyle w:val="Caption"/>
        <w:rPr>
          <w:rStyle w:val="AERbody"/>
          <w:color w:val="076A92" w:themeColor="text1"/>
          <w:sz w:val="24"/>
        </w:rPr>
      </w:pPr>
      <w:bookmarkStart w:id="74" w:name="_Ref484670013"/>
      <w:proofErr w:type="gramStart"/>
      <w:r>
        <w:t xml:space="preserve">Table </w:t>
      </w:r>
      <w:proofErr w:type="gramEnd"/>
      <w:r w:rsidR="00D24DD7">
        <w:fldChar w:fldCharType="begin"/>
      </w:r>
      <w:r w:rsidR="00D24DD7">
        <w:instrText xml:space="preserve"> STYLEREF 1 \s </w:instrText>
      </w:r>
      <w:r w:rsidR="00D24DD7">
        <w:fldChar w:fldCharType="separate"/>
      </w:r>
      <w:r w:rsidR="00724747">
        <w:rPr>
          <w:noProof/>
        </w:rPr>
        <w:t>6</w:t>
      </w:r>
      <w:r w:rsidR="00D24DD7">
        <w:rPr>
          <w:noProof/>
        </w:rPr>
        <w:fldChar w:fldCharType="end"/>
      </w:r>
      <w:proofErr w:type="gramStart"/>
      <w:r>
        <w:t>.</w:t>
      </w:r>
      <w:proofErr w:type="gramEnd"/>
      <w:fldSimple w:instr=" SEQ Table \* ARABIC \s 1 ">
        <w:r w:rsidR="00724747">
          <w:rPr>
            <w:noProof/>
          </w:rPr>
          <w:t>1</w:t>
        </w:r>
      </w:fldSimple>
      <w:bookmarkEnd w:id="74"/>
      <w:r>
        <w:tab/>
      </w:r>
      <w:r w:rsidR="0054200B" w:rsidRPr="0054200B">
        <w:rPr>
          <w:rStyle w:val="AERbody"/>
          <w:color w:val="076A92" w:themeColor="text1"/>
          <w:sz w:val="24"/>
        </w:rPr>
        <w:t>AER a</w:t>
      </w:r>
      <w:r w:rsidR="00546EAA" w:rsidRPr="0054200B">
        <w:rPr>
          <w:rStyle w:val="AERbody"/>
          <w:color w:val="076A92" w:themeColor="text1"/>
          <w:sz w:val="24"/>
        </w:rPr>
        <w:t>pproved capex, 2013 to 2017 ($million</w:t>
      </w:r>
      <w:r w:rsidR="0054200B">
        <w:rPr>
          <w:rStyle w:val="AERbody"/>
        </w:rPr>
        <w:t xml:space="preserve">, </w:t>
      </w:r>
      <w:r w:rsidR="0054200B" w:rsidRPr="0054200B">
        <w:rPr>
          <w:rStyle w:val="AERbody"/>
          <w:color w:val="076A92" w:themeColor="text1"/>
          <w:sz w:val="24"/>
        </w:rPr>
        <w:t>2017</w:t>
      </w:r>
      <w:r w:rsidR="00546EAA" w:rsidRPr="0054200B">
        <w:rPr>
          <w:rStyle w:val="AERbody"/>
          <w:color w:val="076A92" w:themeColor="text1"/>
          <w:sz w:val="24"/>
        </w:rPr>
        <w:t>)</w:t>
      </w:r>
    </w:p>
    <w:tbl>
      <w:tblPr>
        <w:tblStyle w:val="AERtable-numbers"/>
        <w:tblW w:w="5000" w:type="pct"/>
        <w:tblLayout w:type="fixed"/>
        <w:tblLook w:val="04A0" w:firstRow="1" w:lastRow="0" w:firstColumn="1" w:lastColumn="0" w:noHBand="0" w:noVBand="1"/>
      </w:tblPr>
      <w:tblGrid>
        <w:gridCol w:w="2360"/>
        <w:gridCol w:w="1026"/>
        <w:gridCol w:w="1026"/>
        <w:gridCol w:w="1026"/>
        <w:gridCol w:w="1026"/>
        <w:gridCol w:w="1026"/>
        <w:gridCol w:w="1203"/>
      </w:tblGrid>
      <w:tr w:rsidR="00546EAA" w:rsidRPr="004F416F" w14:paraId="2F35C31D" w14:textId="77777777" w:rsidTr="00D24D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6" w:type="pct"/>
            <w:hideMark/>
          </w:tcPr>
          <w:p w14:paraId="387C6572" w14:textId="77777777" w:rsidR="00546EAA" w:rsidRPr="00546EAA" w:rsidRDefault="00546EAA" w:rsidP="00546EAA">
            <w:r w:rsidRPr="00546EAA">
              <w:t> Category</w:t>
            </w:r>
          </w:p>
        </w:tc>
        <w:tc>
          <w:tcPr>
            <w:tcW w:w="590" w:type="pct"/>
            <w:hideMark/>
          </w:tcPr>
          <w:p w14:paraId="174C8D26" w14:textId="77777777" w:rsidR="00546EAA" w:rsidRPr="00546EAA" w:rsidRDefault="00546EAA" w:rsidP="00546EAA">
            <w:pPr>
              <w:cnfStyle w:val="100000000000" w:firstRow="1" w:lastRow="0" w:firstColumn="0" w:lastColumn="0" w:oddVBand="0" w:evenVBand="0" w:oddHBand="0" w:evenHBand="0" w:firstRowFirstColumn="0" w:firstRowLastColumn="0" w:lastRowFirstColumn="0" w:lastRowLastColumn="0"/>
            </w:pPr>
            <w:r w:rsidRPr="00546EAA">
              <w:t>2013</w:t>
            </w:r>
          </w:p>
        </w:tc>
        <w:tc>
          <w:tcPr>
            <w:tcW w:w="590" w:type="pct"/>
            <w:hideMark/>
          </w:tcPr>
          <w:p w14:paraId="6ECFB043" w14:textId="77777777" w:rsidR="00546EAA" w:rsidRPr="00546EAA" w:rsidRDefault="00546EAA" w:rsidP="00546EAA">
            <w:pPr>
              <w:cnfStyle w:val="100000000000" w:firstRow="1" w:lastRow="0" w:firstColumn="0" w:lastColumn="0" w:oddVBand="0" w:evenVBand="0" w:oddHBand="0" w:evenHBand="0" w:firstRowFirstColumn="0" w:firstRowLastColumn="0" w:lastRowFirstColumn="0" w:lastRowLastColumn="0"/>
            </w:pPr>
            <w:r w:rsidRPr="00546EAA">
              <w:t>2014</w:t>
            </w:r>
          </w:p>
        </w:tc>
        <w:tc>
          <w:tcPr>
            <w:tcW w:w="590" w:type="pct"/>
            <w:hideMark/>
          </w:tcPr>
          <w:p w14:paraId="30A9E2CB" w14:textId="77777777" w:rsidR="00546EAA" w:rsidRPr="00546EAA" w:rsidRDefault="00546EAA" w:rsidP="00546EAA">
            <w:pPr>
              <w:cnfStyle w:val="100000000000" w:firstRow="1" w:lastRow="0" w:firstColumn="0" w:lastColumn="0" w:oddVBand="0" w:evenVBand="0" w:oddHBand="0" w:evenHBand="0" w:firstRowFirstColumn="0" w:firstRowLastColumn="0" w:lastRowFirstColumn="0" w:lastRowLastColumn="0"/>
            </w:pPr>
            <w:r w:rsidRPr="00546EAA">
              <w:t>2015</w:t>
            </w:r>
          </w:p>
        </w:tc>
        <w:tc>
          <w:tcPr>
            <w:tcW w:w="590" w:type="pct"/>
            <w:hideMark/>
          </w:tcPr>
          <w:p w14:paraId="006E4151" w14:textId="77777777" w:rsidR="00546EAA" w:rsidRPr="00546EAA" w:rsidRDefault="00546EAA" w:rsidP="00546EAA">
            <w:pPr>
              <w:cnfStyle w:val="100000000000" w:firstRow="1" w:lastRow="0" w:firstColumn="0" w:lastColumn="0" w:oddVBand="0" w:evenVBand="0" w:oddHBand="0" w:evenHBand="0" w:firstRowFirstColumn="0" w:firstRowLastColumn="0" w:lastRowFirstColumn="0" w:lastRowLastColumn="0"/>
            </w:pPr>
            <w:r w:rsidRPr="00546EAA">
              <w:t>2016</w:t>
            </w:r>
          </w:p>
        </w:tc>
        <w:tc>
          <w:tcPr>
            <w:tcW w:w="590" w:type="pct"/>
          </w:tcPr>
          <w:p w14:paraId="20CC836A" w14:textId="04E489F0" w:rsidR="00546EAA" w:rsidRPr="0040038E" w:rsidRDefault="00546EAA" w:rsidP="00546EAA">
            <w:pPr>
              <w:cnfStyle w:val="100000000000" w:firstRow="1" w:lastRow="0" w:firstColumn="0" w:lastColumn="0" w:oddVBand="0" w:evenVBand="0" w:oddHBand="0" w:evenHBand="0" w:firstRowFirstColumn="0" w:firstRowLastColumn="0" w:lastRowFirstColumn="0" w:lastRowLastColumn="0"/>
              <w:rPr>
                <w:rStyle w:val="AERsuperscript"/>
              </w:rPr>
            </w:pPr>
            <w:r w:rsidRPr="00546EAA">
              <w:t>2017</w:t>
            </w:r>
            <w:r w:rsidR="0040038E">
              <w:rPr>
                <w:rStyle w:val="AERsuperscript"/>
              </w:rPr>
              <w:t>(f)</w:t>
            </w:r>
          </w:p>
        </w:tc>
        <w:tc>
          <w:tcPr>
            <w:tcW w:w="692" w:type="pct"/>
          </w:tcPr>
          <w:p w14:paraId="60DA3BD2" w14:textId="77777777" w:rsidR="00546EAA" w:rsidRPr="00546EAA" w:rsidRDefault="00546EAA" w:rsidP="00546EAA">
            <w:pPr>
              <w:cnfStyle w:val="100000000000" w:firstRow="1" w:lastRow="0" w:firstColumn="0" w:lastColumn="0" w:oddVBand="0" w:evenVBand="0" w:oddHBand="0" w:evenHBand="0" w:firstRowFirstColumn="0" w:firstRowLastColumn="0" w:lastRowFirstColumn="0" w:lastRowLastColumn="0"/>
            </w:pPr>
            <w:r w:rsidRPr="00546EAA">
              <w:t xml:space="preserve">Total </w:t>
            </w:r>
            <w:r w:rsidRPr="00546EAA">
              <w:br/>
              <w:t>(2013–17)</w:t>
            </w:r>
          </w:p>
        </w:tc>
      </w:tr>
      <w:tr w:rsidR="00546EAA" w:rsidRPr="004F416F" w14:paraId="3D5C055C" w14:textId="77777777" w:rsidTr="00D24DD7">
        <w:trPr>
          <w:trHeight w:val="300"/>
        </w:trPr>
        <w:tc>
          <w:tcPr>
            <w:cnfStyle w:val="001000000000" w:firstRow="0" w:lastRow="0" w:firstColumn="1" w:lastColumn="0" w:oddVBand="0" w:evenVBand="0" w:oddHBand="0" w:evenHBand="0" w:firstRowFirstColumn="0" w:firstRowLastColumn="0" w:lastRowFirstColumn="0" w:lastRowLastColumn="0"/>
            <w:tcW w:w="1356" w:type="pct"/>
            <w:hideMark/>
          </w:tcPr>
          <w:p w14:paraId="3C8B0D32" w14:textId="77777777" w:rsidR="00546EAA" w:rsidRPr="00546EAA" w:rsidRDefault="00546EAA" w:rsidP="00546EAA">
            <w:r w:rsidRPr="00546EAA">
              <w:t xml:space="preserve">Augmentation </w:t>
            </w:r>
          </w:p>
        </w:tc>
        <w:tc>
          <w:tcPr>
            <w:tcW w:w="590" w:type="pct"/>
            <w:vAlign w:val="top"/>
          </w:tcPr>
          <w:p w14:paraId="3D8612F4" w14:textId="769FAA5C"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12.3</w:t>
            </w:r>
          </w:p>
        </w:tc>
        <w:tc>
          <w:tcPr>
            <w:tcW w:w="590" w:type="pct"/>
            <w:vAlign w:val="top"/>
          </w:tcPr>
          <w:p w14:paraId="5B91E1AC" w14:textId="66578028"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112.4</w:t>
            </w:r>
          </w:p>
        </w:tc>
        <w:tc>
          <w:tcPr>
            <w:tcW w:w="590" w:type="pct"/>
            <w:vAlign w:val="top"/>
          </w:tcPr>
          <w:p w14:paraId="068B64D2" w14:textId="45DC7E95"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74.6</w:t>
            </w:r>
          </w:p>
        </w:tc>
        <w:tc>
          <w:tcPr>
            <w:tcW w:w="590" w:type="pct"/>
            <w:vAlign w:val="top"/>
          </w:tcPr>
          <w:p w14:paraId="2CA77DE5" w14:textId="36F1043A"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92.1</w:t>
            </w:r>
          </w:p>
        </w:tc>
        <w:tc>
          <w:tcPr>
            <w:tcW w:w="590" w:type="pct"/>
            <w:vAlign w:val="top"/>
          </w:tcPr>
          <w:p w14:paraId="3095771C" w14:textId="573C06B3"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52.3</w:t>
            </w:r>
          </w:p>
        </w:tc>
        <w:tc>
          <w:tcPr>
            <w:tcW w:w="692" w:type="pct"/>
            <w:vAlign w:val="top"/>
          </w:tcPr>
          <w:p w14:paraId="71073A7F" w14:textId="34D9F4DE" w:rsidR="00546EAA" w:rsidRPr="00431611" w:rsidRDefault="0098613E" w:rsidP="00546EAA">
            <w:pPr>
              <w:cnfStyle w:val="000000000000" w:firstRow="0" w:lastRow="0" w:firstColumn="0" w:lastColumn="0" w:oddVBand="0" w:evenVBand="0" w:oddHBand="0" w:evenHBand="0" w:firstRowFirstColumn="0" w:firstRowLastColumn="0" w:lastRowFirstColumn="0" w:lastRowLastColumn="0"/>
              <w:rPr>
                <w:rStyle w:val="Strong"/>
              </w:rPr>
            </w:pPr>
            <w:r w:rsidRPr="00431611">
              <w:rPr>
                <w:rStyle w:val="Strong"/>
              </w:rPr>
              <w:t>343.8</w:t>
            </w:r>
          </w:p>
        </w:tc>
      </w:tr>
      <w:tr w:rsidR="00546EAA" w:rsidRPr="004F416F" w14:paraId="11E412AC" w14:textId="77777777" w:rsidTr="00D24D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6" w:type="pct"/>
            <w:hideMark/>
          </w:tcPr>
          <w:p w14:paraId="0E467191" w14:textId="77777777" w:rsidR="00546EAA" w:rsidRPr="00546EAA" w:rsidRDefault="00546EAA" w:rsidP="00546EAA">
            <w:r w:rsidRPr="00546EAA">
              <w:t>Replacement &amp; Upgrade</w:t>
            </w:r>
          </w:p>
        </w:tc>
        <w:tc>
          <w:tcPr>
            <w:tcW w:w="590" w:type="pct"/>
            <w:vAlign w:val="top"/>
          </w:tcPr>
          <w:p w14:paraId="3F7F84AB" w14:textId="2893BB72" w:rsidR="00546EAA" w:rsidRPr="00546EAA" w:rsidRDefault="0098613E" w:rsidP="00546EAA">
            <w:pPr>
              <w:cnfStyle w:val="000000010000" w:firstRow="0" w:lastRow="0" w:firstColumn="0" w:lastColumn="0" w:oddVBand="0" w:evenVBand="0" w:oddHBand="0" w:evenHBand="1" w:firstRowFirstColumn="0" w:firstRowLastColumn="0" w:lastRowFirstColumn="0" w:lastRowLastColumn="0"/>
            </w:pPr>
            <w:r>
              <w:t>1.6</w:t>
            </w:r>
          </w:p>
        </w:tc>
        <w:tc>
          <w:tcPr>
            <w:tcW w:w="590" w:type="pct"/>
            <w:vAlign w:val="top"/>
          </w:tcPr>
          <w:p w14:paraId="1A11686B" w14:textId="468AD33D" w:rsidR="00546EAA" w:rsidRPr="00546EAA" w:rsidRDefault="0098613E" w:rsidP="00546EAA">
            <w:pPr>
              <w:cnfStyle w:val="000000010000" w:firstRow="0" w:lastRow="0" w:firstColumn="0" w:lastColumn="0" w:oddVBand="0" w:evenVBand="0" w:oddHBand="0" w:evenHBand="1" w:firstRowFirstColumn="0" w:firstRowLastColumn="0" w:lastRowFirstColumn="0" w:lastRowLastColumn="0"/>
            </w:pPr>
            <w:r>
              <w:t>7.5</w:t>
            </w:r>
          </w:p>
        </w:tc>
        <w:tc>
          <w:tcPr>
            <w:tcW w:w="590" w:type="pct"/>
            <w:vAlign w:val="top"/>
          </w:tcPr>
          <w:p w14:paraId="28DF919C" w14:textId="56D6A84C" w:rsidR="00546EAA" w:rsidRPr="00546EAA" w:rsidRDefault="0098613E" w:rsidP="00546EAA">
            <w:pPr>
              <w:cnfStyle w:val="000000010000" w:firstRow="0" w:lastRow="0" w:firstColumn="0" w:lastColumn="0" w:oddVBand="0" w:evenVBand="0" w:oddHBand="0" w:evenHBand="1" w:firstRowFirstColumn="0" w:firstRowLastColumn="0" w:lastRowFirstColumn="0" w:lastRowLastColumn="0"/>
            </w:pPr>
            <w:r>
              <w:t>14.2</w:t>
            </w:r>
          </w:p>
        </w:tc>
        <w:tc>
          <w:tcPr>
            <w:tcW w:w="590" w:type="pct"/>
            <w:vAlign w:val="top"/>
          </w:tcPr>
          <w:p w14:paraId="23E1E51D" w14:textId="7CDB7B63" w:rsidR="00546EAA" w:rsidRPr="00546EAA" w:rsidRDefault="0098613E" w:rsidP="00E436EF">
            <w:pPr>
              <w:cnfStyle w:val="000000010000" w:firstRow="0" w:lastRow="0" w:firstColumn="0" w:lastColumn="0" w:oddVBand="0" w:evenVBand="0" w:oddHBand="0" w:evenHBand="1" w:firstRowFirstColumn="0" w:firstRowLastColumn="0" w:lastRowFirstColumn="0" w:lastRowLastColumn="0"/>
            </w:pPr>
            <w:r>
              <w:t>10.</w:t>
            </w:r>
            <w:r w:rsidR="00E436EF">
              <w:t>5</w:t>
            </w:r>
          </w:p>
        </w:tc>
        <w:tc>
          <w:tcPr>
            <w:tcW w:w="590" w:type="pct"/>
            <w:vAlign w:val="top"/>
          </w:tcPr>
          <w:p w14:paraId="2C1F6267" w14:textId="0B474D11" w:rsidR="00546EAA" w:rsidRPr="00546EAA" w:rsidRDefault="0098613E" w:rsidP="00546EAA">
            <w:pPr>
              <w:cnfStyle w:val="000000010000" w:firstRow="0" w:lastRow="0" w:firstColumn="0" w:lastColumn="0" w:oddVBand="0" w:evenVBand="0" w:oddHBand="0" w:evenHBand="1" w:firstRowFirstColumn="0" w:firstRowLastColumn="0" w:lastRowFirstColumn="0" w:lastRowLastColumn="0"/>
            </w:pPr>
            <w:r>
              <w:t>2.1</w:t>
            </w:r>
          </w:p>
        </w:tc>
        <w:tc>
          <w:tcPr>
            <w:tcW w:w="692" w:type="pct"/>
            <w:vAlign w:val="top"/>
          </w:tcPr>
          <w:p w14:paraId="4B0ECD3A" w14:textId="6CFF9566" w:rsidR="00546EAA" w:rsidRPr="00431611" w:rsidRDefault="0098613E" w:rsidP="00E436EF">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35.</w:t>
            </w:r>
            <w:r w:rsidR="00E436EF">
              <w:rPr>
                <w:rStyle w:val="Strong"/>
              </w:rPr>
              <w:t>9</w:t>
            </w:r>
          </w:p>
        </w:tc>
      </w:tr>
      <w:tr w:rsidR="00546EAA" w:rsidRPr="004F416F" w14:paraId="5D1D7737" w14:textId="77777777" w:rsidTr="00D24DD7">
        <w:trPr>
          <w:trHeight w:val="300"/>
        </w:trPr>
        <w:tc>
          <w:tcPr>
            <w:cnfStyle w:val="001000000000" w:firstRow="0" w:lastRow="0" w:firstColumn="1" w:lastColumn="0" w:oddVBand="0" w:evenVBand="0" w:oddHBand="0" w:evenHBand="0" w:firstRowFirstColumn="0" w:firstRowLastColumn="0" w:lastRowFirstColumn="0" w:lastRowLastColumn="0"/>
            <w:tcW w:w="1356" w:type="pct"/>
            <w:hideMark/>
          </w:tcPr>
          <w:p w14:paraId="75AD19D6" w14:textId="77777777" w:rsidR="00546EAA" w:rsidRPr="00546EAA" w:rsidRDefault="00546EAA" w:rsidP="00546EAA">
            <w:r w:rsidRPr="00546EAA">
              <w:t xml:space="preserve">Non-System </w:t>
            </w:r>
          </w:p>
        </w:tc>
        <w:tc>
          <w:tcPr>
            <w:tcW w:w="590" w:type="pct"/>
            <w:vAlign w:val="top"/>
          </w:tcPr>
          <w:p w14:paraId="0CC52048" w14:textId="259907F0"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1.7</w:t>
            </w:r>
          </w:p>
        </w:tc>
        <w:tc>
          <w:tcPr>
            <w:tcW w:w="590" w:type="pct"/>
            <w:vAlign w:val="top"/>
          </w:tcPr>
          <w:p w14:paraId="01740F40" w14:textId="7AD235E2"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4.2</w:t>
            </w:r>
          </w:p>
        </w:tc>
        <w:tc>
          <w:tcPr>
            <w:tcW w:w="590" w:type="pct"/>
            <w:vAlign w:val="top"/>
          </w:tcPr>
          <w:p w14:paraId="5C79BA5A" w14:textId="6D6A2C0A"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5.7</w:t>
            </w:r>
          </w:p>
        </w:tc>
        <w:tc>
          <w:tcPr>
            <w:tcW w:w="590" w:type="pct"/>
            <w:vAlign w:val="top"/>
          </w:tcPr>
          <w:p w14:paraId="44EF0010" w14:textId="1D286F1A"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2.3</w:t>
            </w:r>
          </w:p>
        </w:tc>
        <w:tc>
          <w:tcPr>
            <w:tcW w:w="590" w:type="pct"/>
            <w:vAlign w:val="top"/>
          </w:tcPr>
          <w:p w14:paraId="1FE2444D" w14:textId="333AE87A" w:rsidR="00546EAA" w:rsidRPr="00546EAA" w:rsidRDefault="0098613E" w:rsidP="00546EAA">
            <w:pPr>
              <w:cnfStyle w:val="000000000000" w:firstRow="0" w:lastRow="0" w:firstColumn="0" w:lastColumn="0" w:oddVBand="0" w:evenVBand="0" w:oddHBand="0" w:evenHBand="0" w:firstRowFirstColumn="0" w:firstRowLastColumn="0" w:lastRowFirstColumn="0" w:lastRowLastColumn="0"/>
            </w:pPr>
            <w:r>
              <w:t>8.6</w:t>
            </w:r>
          </w:p>
        </w:tc>
        <w:tc>
          <w:tcPr>
            <w:tcW w:w="692" w:type="pct"/>
            <w:vAlign w:val="top"/>
          </w:tcPr>
          <w:p w14:paraId="4662F352" w14:textId="75F5545A" w:rsidR="00546EAA" w:rsidRPr="00431611" w:rsidRDefault="0098613E" w:rsidP="00546EAA">
            <w:pPr>
              <w:cnfStyle w:val="000000000000" w:firstRow="0" w:lastRow="0" w:firstColumn="0" w:lastColumn="0" w:oddVBand="0" w:evenVBand="0" w:oddHBand="0" w:evenHBand="0" w:firstRowFirstColumn="0" w:firstRowLastColumn="0" w:lastRowFirstColumn="0" w:lastRowLastColumn="0"/>
              <w:rPr>
                <w:rStyle w:val="Strong"/>
              </w:rPr>
            </w:pPr>
            <w:r w:rsidRPr="00431611">
              <w:rPr>
                <w:rStyle w:val="Strong"/>
              </w:rPr>
              <w:t>22.6</w:t>
            </w:r>
          </w:p>
        </w:tc>
      </w:tr>
      <w:tr w:rsidR="00546EAA" w:rsidRPr="004F416F" w14:paraId="5D7279B6" w14:textId="77777777" w:rsidTr="00D24D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6" w:type="pct"/>
          </w:tcPr>
          <w:p w14:paraId="4E735E6F" w14:textId="77777777" w:rsidR="00546EAA" w:rsidRPr="00546EAA" w:rsidRDefault="00546EAA" w:rsidP="00546EAA">
            <w:pPr>
              <w:rPr>
                <w:rStyle w:val="Strong"/>
              </w:rPr>
            </w:pPr>
            <w:r w:rsidRPr="00546EAA">
              <w:rPr>
                <w:rStyle w:val="Strong"/>
              </w:rPr>
              <w:t>TOTAL CAPEX</w:t>
            </w:r>
          </w:p>
        </w:tc>
        <w:tc>
          <w:tcPr>
            <w:tcW w:w="590" w:type="pct"/>
            <w:vAlign w:val="top"/>
          </w:tcPr>
          <w:p w14:paraId="3AFA9FEB" w14:textId="5FB1FE33" w:rsidR="00546EAA" w:rsidRPr="00431611" w:rsidRDefault="0098613E" w:rsidP="00546EAA">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15.6</w:t>
            </w:r>
          </w:p>
        </w:tc>
        <w:tc>
          <w:tcPr>
            <w:tcW w:w="590" w:type="pct"/>
            <w:vAlign w:val="top"/>
          </w:tcPr>
          <w:p w14:paraId="3BD5BACF" w14:textId="4A71CDF5" w:rsidR="00546EAA" w:rsidRPr="00431611" w:rsidRDefault="0098613E" w:rsidP="00546EAA">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124.2</w:t>
            </w:r>
          </w:p>
        </w:tc>
        <w:tc>
          <w:tcPr>
            <w:tcW w:w="590" w:type="pct"/>
            <w:vAlign w:val="top"/>
          </w:tcPr>
          <w:p w14:paraId="116C7922" w14:textId="0AF70B45" w:rsidR="00546EAA" w:rsidRPr="00431611" w:rsidRDefault="0098613E" w:rsidP="00546EAA">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94.5</w:t>
            </w:r>
          </w:p>
        </w:tc>
        <w:tc>
          <w:tcPr>
            <w:tcW w:w="590" w:type="pct"/>
            <w:vAlign w:val="top"/>
          </w:tcPr>
          <w:p w14:paraId="096FD057" w14:textId="137091EF" w:rsidR="00546EAA" w:rsidRPr="00431611" w:rsidRDefault="0098613E" w:rsidP="00E436EF">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10</w:t>
            </w:r>
            <w:r w:rsidR="00E436EF">
              <w:rPr>
                <w:rStyle w:val="Strong"/>
              </w:rPr>
              <w:t>5.0</w:t>
            </w:r>
          </w:p>
        </w:tc>
        <w:tc>
          <w:tcPr>
            <w:tcW w:w="590" w:type="pct"/>
            <w:vAlign w:val="top"/>
          </w:tcPr>
          <w:p w14:paraId="21985BEB" w14:textId="13719B65" w:rsidR="00546EAA" w:rsidRPr="00431611" w:rsidRDefault="0098613E" w:rsidP="00546EAA">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63.0</w:t>
            </w:r>
          </w:p>
        </w:tc>
        <w:tc>
          <w:tcPr>
            <w:tcW w:w="692" w:type="pct"/>
            <w:vAlign w:val="top"/>
          </w:tcPr>
          <w:p w14:paraId="6D0B16B1" w14:textId="3E37B7B4" w:rsidR="00546EAA" w:rsidRPr="00431611" w:rsidRDefault="0098613E" w:rsidP="00E436EF">
            <w:pPr>
              <w:cnfStyle w:val="000000010000" w:firstRow="0" w:lastRow="0" w:firstColumn="0" w:lastColumn="0" w:oddVBand="0" w:evenVBand="0" w:oddHBand="0" w:evenHBand="1" w:firstRowFirstColumn="0" w:firstRowLastColumn="0" w:lastRowFirstColumn="0" w:lastRowLastColumn="0"/>
              <w:rPr>
                <w:rStyle w:val="Strong"/>
              </w:rPr>
            </w:pPr>
            <w:r w:rsidRPr="00431611">
              <w:rPr>
                <w:rStyle w:val="Strong"/>
              </w:rPr>
              <w:t>402.</w:t>
            </w:r>
            <w:r w:rsidR="00E436EF">
              <w:rPr>
                <w:rStyle w:val="Strong"/>
              </w:rPr>
              <w:t>3</w:t>
            </w:r>
          </w:p>
        </w:tc>
      </w:tr>
    </w:tbl>
    <w:p w14:paraId="693466BC" w14:textId="77777777" w:rsidR="00A147DC" w:rsidRDefault="007A4260" w:rsidP="003A6CD9">
      <w:pPr>
        <w:pStyle w:val="AERtablesource"/>
        <w:rPr>
          <w:rStyle w:val="AERbody"/>
        </w:rPr>
      </w:pPr>
      <w:r w:rsidRPr="003A6CD9">
        <w:rPr>
          <w:rStyle w:val="AERbody"/>
          <w:sz w:val="16"/>
        </w:rPr>
        <w:t xml:space="preserve">Source: AER analysis. </w:t>
      </w:r>
    </w:p>
    <w:p w14:paraId="28632BA5" w14:textId="1A563329" w:rsidR="007A4260" w:rsidRPr="003A6CD9" w:rsidRDefault="007A4260" w:rsidP="003A6CD9">
      <w:pPr>
        <w:pStyle w:val="AERtablesource"/>
        <w:rPr>
          <w:rStyle w:val="AERbody"/>
          <w:sz w:val="16"/>
        </w:rPr>
      </w:pPr>
      <w:r w:rsidRPr="003A6CD9">
        <w:rPr>
          <w:rStyle w:val="AERbody"/>
          <w:sz w:val="16"/>
        </w:rPr>
        <w:t>Totals may not add due to rounding.</w:t>
      </w:r>
    </w:p>
    <w:p w14:paraId="0BB42D3D" w14:textId="4A103C4E" w:rsidR="00546EAA" w:rsidRPr="00546EAA" w:rsidRDefault="00F44436" w:rsidP="00546EAA">
      <w:r>
        <w:t xml:space="preserve">Notably, APA did not undertake several augmentation, replacement and upgrade projects that were included in the 2013–17 </w:t>
      </w:r>
      <w:r w:rsidR="00687663">
        <w:t>access arrangement</w:t>
      </w:r>
      <w:r>
        <w:t xml:space="preserve"> forecast. However, this reduced expenditure has been offset by APA incurring significantly more capex on other projects that were included in the 2013–17 </w:t>
      </w:r>
      <w:r w:rsidR="00687663">
        <w:t>access arrangement</w:t>
      </w:r>
      <w:r>
        <w:t xml:space="preserve"> forecast than was contemplated</w:t>
      </w:r>
      <w:r w:rsidR="00A147DC">
        <w:t>,</w:t>
      </w:r>
      <w:r>
        <w:t xml:space="preserve"> and several corporate IT and business management projects that were not included in the 2013–17 </w:t>
      </w:r>
      <w:r w:rsidR="00687663">
        <w:t>access arrangement</w:t>
      </w:r>
      <w:r>
        <w:t xml:space="preserve"> forecast.</w:t>
      </w:r>
    </w:p>
    <w:p w14:paraId="769AE6CF" w14:textId="650F15E0" w:rsidR="00546EAA" w:rsidRPr="00546EAA" w:rsidRDefault="00546EAA" w:rsidP="00D24DD7">
      <w:pPr>
        <w:pStyle w:val="Heading3"/>
        <w:ind w:left="720"/>
      </w:pPr>
      <w:bookmarkStart w:id="75" w:name="_Toc476651832"/>
      <w:bookmarkStart w:id="76" w:name="_Toc486855296"/>
      <w:r w:rsidRPr="00546EAA">
        <w:t xml:space="preserve">Conforming capex for the </w:t>
      </w:r>
      <w:r w:rsidR="0063287E" w:rsidRPr="00546EAA">
        <w:t>201</w:t>
      </w:r>
      <w:r w:rsidR="0063287E">
        <w:t>8</w:t>
      </w:r>
      <w:r w:rsidRPr="00546EAA">
        <w:t>–22 access arrangement period</w:t>
      </w:r>
      <w:bookmarkEnd w:id="75"/>
      <w:bookmarkEnd w:id="76"/>
    </w:p>
    <w:p w14:paraId="17789146" w14:textId="2336FB18" w:rsidR="00546EAA" w:rsidRPr="00546EAA" w:rsidRDefault="00546EAA" w:rsidP="007A4260">
      <w:r w:rsidRPr="00546EAA">
        <w:t xml:space="preserve">We approve </w:t>
      </w:r>
      <w:r w:rsidRPr="00546EAA">
        <w:rPr>
          <w:rStyle w:val="AERbody"/>
        </w:rPr>
        <w:t>$</w:t>
      </w:r>
      <w:r w:rsidR="003B2C5C">
        <w:rPr>
          <w:rStyle w:val="AERbody"/>
        </w:rPr>
        <w:t>21</w:t>
      </w:r>
      <w:r w:rsidR="005071F3">
        <w:rPr>
          <w:rStyle w:val="AERbody"/>
        </w:rPr>
        <w:t>5</w:t>
      </w:r>
      <w:r w:rsidR="003B2C5C">
        <w:rPr>
          <w:rStyle w:val="AERbody"/>
        </w:rPr>
        <w:t>.</w:t>
      </w:r>
      <w:r w:rsidR="00D2082C">
        <w:rPr>
          <w:rStyle w:val="AERbody"/>
        </w:rPr>
        <w:t>0</w:t>
      </w:r>
      <w:r w:rsidRPr="00546EAA">
        <w:rPr>
          <w:rStyle w:val="AERbody"/>
        </w:rPr>
        <w:t xml:space="preserve"> million ($2017</w:t>
      </w:r>
      <w:r w:rsidRPr="00546EAA">
        <w:t xml:space="preserve">) of </w:t>
      </w:r>
      <w:r w:rsidR="008B73C0">
        <w:t>APA</w:t>
      </w:r>
      <w:r w:rsidRPr="00546EAA">
        <w:t>'s proposed $</w:t>
      </w:r>
      <w:r w:rsidR="003B2C5C">
        <w:t>256.1</w:t>
      </w:r>
      <w:r w:rsidRPr="00546EAA">
        <w:t xml:space="preserve"> million ($2017) total net capex for the 2018–22 access arrangement period as conforming capex.</w:t>
      </w:r>
      <w:r w:rsidRPr="00546EAA">
        <w:rPr>
          <w:rStyle w:val="FootnoteReference"/>
        </w:rPr>
        <w:footnoteReference w:id="7"/>
      </w:r>
      <w:r w:rsidRPr="00546EAA">
        <w:t xml:space="preserve"> This is $</w:t>
      </w:r>
      <w:r w:rsidR="005071F3">
        <w:t>4</w:t>
      </w:r>
      <w:r w:rsidR="00D2082C">
        <w:t>1.1</w:t>
      </w:r>
      <w:r w:rsidRPr="00546EAA">
        <w:t xml:space="preserve"> million, or </w:t>
      </w:r>
      <w:r w:rsidR="005071F3">
        <w:t>16</w:t>
      </w:r>
      <w:r w:rsidRPr="00546EAA">
        <w:t xml:space="preserve"> per cent, less than that proposed by APA. </w:t>
      </w:r>
      <w:r w:rsidR="007A4260">
        <w:t>This is shown by capex category</w:t>
      </w:r>
      <w:r w:rsidRPr="00546EAA">
        <w:t xml:space="preserve"> in </w:t>
      </w:r>
      <w:r w:rsidR="00EE7E97">
        <w:fldChar w:fldCharType="begin"/>
      </w:r>
      <w:r w:rsidR="00EE7E97">
        <w:instrText xml:space="preserve"> REF _Ref484670043 \h </w:instrText>
      </w:r>
      <w:r w:rsidR="00EE7E97">
        <w:fldChar w:fldCharType="separate"/>
      </w:r>
      <w:r w:rsidR="00724747">
        <w:t xml:space="preserve">Table </w:t>
      </w:r>
      <w:r w:rsidR="00724747">
        <w:rPr>
          <w:noProof/>
        </w:rPr>
        <w:t>6</w:t>
      </w:r>
      <w:r w:rsidR="00724747">
        <w:t>.</w:t>
      </w:r>
      <w:r w:rsidR="00724747">
        <w:rPr>
          <w:noProof/>
        </w:rPr>
        <w:t>2</w:t>
      </w:r>
      <w:r w:rsidR="00EE7E97">
        <w:fldChar w:fldCharType="end"/>
      </w:r>
      <w:r w:rsidR="00EE7E97">
        <w:t>.</w:t>
      </w:r>
    </w:p>
    <w:p w14:paraId="0769F583" w14:textId="3B8D0997" w:rsidR="00546EAA" w:rsidRPr="00F44436" w:rsidRDefault="00EE7E97" w:rsidP="00A43BA0">
      <w:pPr>
        <w:pStyle w:val="Caption"/>
      </w:pPr>
      <w:bookmarkStart w:id="77" w:name="_Ref484670043"/>
      <w:r>
        <w:t xml:space="preserve">Table </w:t>
      </w:r>
      <w:fldSimple w:instr=" STYLEREF 1 \s ">
        <w:r w:rsidR="00724747">
          <w:rPr>
            <w:noProof/>
          </w:rPr>
          <w:t>6</w:t>
        </w:r>
      </w:fldSimple>
      <w:r>
        <w:t>.</w:t>
      </w:r>
      <w:fldSimple w:instr=" SEQ Table \* ARABIC \s 1 ">
        <w:r w:rsidR="00724747">
          <w:rPr>
            <w:noProof/>
          </w:rPr>
          <w:t>2</w:t>
        </w:r>
      </w:fldSimple>
      <w:bookmarkEnd w:id="77"/>
      <w:r>
        <w:tab/>
      </w:r>
      <w:r w:rsidR="00546EAA" w:rsidRPr="00F44436">
        <w:t>AER approved capex</w:t>
      </w:r>
      <w:r w:rsidR="0054200B">
        <w:t>,</w:t>
      </w:r>
      <w:r w:rsidR="00546EAA" w:rsidRPr="00F44436">
        <w:t xml:space="preserve"> 2018–22 ($million, 2017)</w:t>
      </w:r>
    </w:p>
    <w:tbl>
      <w:tblPr>
        <w:tblStyle w:val="AERtable-numbers"/>
        <w:tblW w:w="5000" w:type="pct"/>
        <w:tblLook w:val="04A0" w:firstRow="1" w:lastRow="0" w:firstColumn="1" w:lastColumn="0" w:noHBand="0" w:noVBand="1"/>
      </w:tblPr>
      <w:tblGrid>
        <w:gridCol w:w="3370"/>
        <w:gridCol w:w="1135"/>
        <w:gridCol w:w="848"/>
        <w:gridCol w:w="852"/>
        <w:gridCol w:w="850"/>
        <w:gridCol w:w="843"/>
        <w:gridCol w:w="795"/>
      </w:tblGrid>
      <w:tr w:rsidR="00546EAA" w:rsidRPr="004F416F" w14:paraId="22D1D5A6" w14:textId="77777777" w:rsidTr="00566B3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38" w:type="pct"/>
            <w:hideMark/>
          </w:tcPr>
          <w:p w14:paraId="06FC5638" w14:textId="77777777" w:rsidR="00546EAA" w:rsidRPr="00546EAA" w:rsidRDefault="00546EAA" w:rsidP="00D24DD7">
            <w:pPr>
              <w:keepNext/>
              <w:rPr>
                <w:rFonts w:eastAsiaTheme="minorHAnsi" w:cstheme="minorBidi"/>
                <w:b w:val="0"/>
                <w:color w:val="auto"/>
                <w:sz w:val="22"/>
                <w:szCs w:val="22"/>
                <w:lang w:eastAsia="en-US"/>
              </w:rPr>
            </w:pPr>
            <w:r w:rsidRPr="00546EAA">
              <w:t> Category</w:t>
            </w:r>
          </w:p>
        </w:tc>
        <w:tc>
          <w:tcPr>
            <w:tcW w:w="653" w:type="pct"/>
            <w:hideMark/>
          </w:tcPr>
          <w:p w14:paraId="19845B97" w14:textId="71F7B7D5"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2018</w:t>
            </w:r>
          </w:p>
        </w:tc>
        <w:tc>
          <w:tcPr>
            <w:tcW w:w="488" w:type="pct"/>
            <w:hideMark/>
          </w:tcPr>
          <w:p w14:paraId="05BA8102" w14:textId="01B3D38B"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2019</w:t>
            </w:r>
          </w:p>
        </w:tc>
        <w:tc>
          <w:tcPr>
            <w:tcW w:w="490" w:type="pct"/>
            <w:hideMark/>
          </w:tcPr>
          <w:p w14:paraId="5EF3D256" w14:textId="52065356"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2020</w:t>
            </w:r>
          </w:p>
        </w:tc>
        <w:tc>
          <w:tcPr>
            <w:tcW w:w="489" w:type="pct"/>
            <w:hideMark/>
          </w:tcPr>
          <w:p w14:paraId="4AD91850" w14:textId="019D8FC5"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2021</w:t>
            </w:r>
          </w:p>
        </w:tc>
        <w:tc>
          <w:tcPr>
            <w:tcW w:w="485" w:type="pct"/>
            <w:hideMark/>
          </w:tcPr>
          <w:p w14:paraId="0586A48F" w14:textId="270519FF"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2022</w:t>
            </w:r>
          </w:p>
        </w:tc>
        <w:tc>
          <w:tcPr>
            <w:tcW w:w="457" w:type="pct"/>
          </w:tcPr>
          <w:p w14:paraId="1963C038"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Total</w:t>
            </w:r>
          </w:p>
        </w:tc>
      </w:tr>
      <w:tr w:rsidR="003B2C5C" w:rsidRPr="004F416F" w14:paraId="1598BE5D" w14:textId="77777777" w:rsidTr="00566B39">
        <w:trPr>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14:paraId="66FE08B6" w14:textId="77777777" w:rsidR="003B2C5C" w:rsidRPr="003B2C5C" w:rsidRDefault="003B2C5C" w:rsidP="00D24DD7">
            <w:pPr>
              <w:keepNext/>
              <w:rPr>
                <w:rFonts w:eastAsiaTheme="minorHAnsi" w:cstheme="minorBidi"/>
                <w:sz w:val="22"/>
                <w:szCs w:val="22"/>
                <w:lang w:eastAsia="en-US"/>
              </w:rPr>
            </w:pPr>
            <w:r w:rsidRPr="003B2C5C">
              <w:t xml:space="preserve">Augmentation </w:t>
            </w:r>
          </w:p>
        </w:tc>
        <w:tc>
          <w:tcPr>
            <w:tcW w:w="653" w:type="pct"/>
            <w:vAlign w:val="top"/>
          </w:tcPr>
          <w:p w14:paraId="3AA10BEE" w14:textId="63391333"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44.4 </w:t>
            </w:r>
          </w:p>
        </w:tc>
        <w:tc>
          <w:tcPr>
            <w:tcW w:w="488" w:type="pct"/>
            <w:vAlign w:val="top"/>
          </w:tcPr>
          <w:p w14:paraId="4F536CD2" w14:textId="2284EEBE"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w:t>
            </w:r>
            <w:r w:rsidR="005071F3">
              <w:t>4</w:t>
            </w:r>
            <w:r w:rsidR="00D2082C">
              <w:t>6.8</w:t>
            </w:r>
            <w:r w:rsidRPr="003B2C5C">
              <w:t xml:space="preserve"> </w:t>
            </w:r>
          </w:p>
        </w:tc>
        <w:tc>
          <w:tcPr>
            <w:tcW w:w="490" w:type="pct"/>
            <w:vAlign w:val="top"/>
          </w:tcPr>
          <w:p w14:paraId="4E829971" w14:textId="7BD230A7"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w:t>
            </w:r>
            <w:r w:rsidR="00D2082C">
              <w:t>59.8</w:t>
            </w:r>
            <w:r w:rsidRPr="003B2C5C">
              <w:t xml:space="preserve"> </w:t>
            </w:r>
          </w:p>
        </w:tc>
        <w:tc>
          <w:tcPr>
            <w:tcW w:w="489" w:type="pct"/>
            <w:vAlign w:val="top"/>
          </w:tcPr>
          <w:p w14:paraId="03456623" w14:textId="4EEC82D9"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  </w:t>
            </w:r>
          </w:p>
        </w:tc>
        <w:tc>
          <w:tcPr>
            <w:tcW w:w="485" w:type="pct"/>
            <w:vAlign w:val="top"/>
          </w:tcPr>
          <w:p w14:paraId="186BF747" w14:textId="489DCC05"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  </w:t>
            </w:r>
          </w:p>
        </w:tc>
        <w:tc>
          <w:tcPr>
            <w:tcW w:w="457" w:type="pct"/>
            <w:vAlign w:val="top"/>
          </w:tcPr>
          <w:p w14:paraId="00FA18DE" w14:textId="79BAFC82"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15</w:t>
            </w:r>
            <w:r w:rsidR="005071F3">
              <w:rPr>
                <w:rStyle w:val="Strong"/>
              </w:rPr>
              <w:t>1</w:t>
            </w:r>
            <w:r w:rsidRPr="003B2C5C">
              <w:rPr>
                <w:rStyle w:val="Strong"/>
              </w:rPr>
              <w:t>.</w:t>
            </w:r>
            <w:r w:rsidR="00D2082C">
              <w:rPr>
                <w:rStyle w:val="Strong"/>
              </w:rPr>
              <w:t>0</w:t>
            </w:r>
            <w:r w:rsidRPr="003B2C5C">
              <w:rPr>
                <w:rStyle w:val="Strong"/>
              </w:rPr>
              <w:t xml:space="preserve"> </w:t>
            </w:r>
          </w:p>
        </w:tc>
      </w:tr>
      <w:tr w:rsidR="003B2C5C" w:rsidRPr="004F416F" w14:paraId="515FE23C" w14:textId="77777777" w:rsidTr="00566B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14:paraId="1FCBB4BA" w14:textId="77777777" w:rsidR="003B2C5C" w:rsidRPr="003B2C5C" w:rsidRDefault="003B2C5C" w:rsidP="00D24DD7">
            <w:pPr>
              <w:keepNext/>
              <w:rPr>
                <w:rFonts w:eastAsiaTheme="minorHAnsi" w:cstheme="minorBidi"/>
                <w:b/>
                <w:bCs/>
                <w:sz w:val="22"/>
                <w:szCs w:val="22"/>
                <w:lang w:eastAsia="en-US"/>
              </w:rPr>
            </w:pPr>
            <w:r w:rsidRPr="003B2C5C">
              <w:t>Replacement and Upgrade</w:t>
            </w:r>
          </w:p>
        </w:tc>
        <w:tc>
          <w:tcPr>
            <w:tcW w:w="653" w:type="pct"/>
            <w:vAlign w:val="top"/>
          </w:tcPr>
          <w:p w14:paraId="64E118B9" w14:textId="524BF93F"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B2C5C">
              <w:t xml:space="preserve"> 12.5 </w:t>
            </w:r>
          </w:p>
        </w:tc>
        <w:tc>
          <w:tcPr>
            <w:tcW w:w="488" w:type="pct"/>
            <w:vAlign w:val="top"/>
          </w:tcPr>
          <w:p w14:paraId="2A7E6EE7" w14:textId="3B43650E"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B2C5C">
              <w:t xml:space="preserve"> 6.5 </w:t>
            </w:r>
          </w:p>
        </w:tc>
        <w:tc>
          <w:tcPr>
            <w:tcW w:w="490" w:type="pct"/>
            <w:vAlign w:val="top"/>
          </w:tcPr>
          <w:p w14:paraId="4F714F1C" w14:textId="4BC08FDF"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B2C5C">
              <w:t xml:space="preserve"> 9.3 </w:t>
            </w:r>
          </w:p>
        </w:tc>
        <w:tc>
          <w:tcPr>
            <w:tcW w:w="489" w:type="pct"/>
            <w:vAlign w:val="top"/>
          </w:tcPr>
          <w:p w14:paraId="48F4D20B" w14:textId="3119125D"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B2C5C">
              <w:t xml:space="preserve"> 10.2 </w:t>
            </w:r>
          </w:p>
        </w:tc>
        <w:tc>
          <w:tcPr>
            <w:tcW w:w="485" w:type="pct"/>
            <w:vAlign w:val="top"/>
          </w:tcPr>
          <w:p w14:paraId="732AC6E9" w14:textId="69BD7DA8"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B2C5C">
              <w:t xml:space="preserve"> 8.6 </w:t>
            </w:r>
          </w:p>
        </w:tc>
        <w:tc>
          <w:tcPr>
            <w:tcW w:w="457" w:type="pct"/>
            <w:vAlign w:val="top"/>
          </w:tcPr>
          <w:p w14:paraId="4B1DCD75" w14:textId="50C38CB1"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47.1 </w:t>
            </w:r>
          </w:p>
        </w:tc>
      </w:tr>
      <w:tr w:rsidR="003B2C5C" w:rsidRPr="004F416F" w14:paraId="27608C2C" w14:textId="77777777" w:rsidTr="00566B39">
        <w:trPr>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14:paraId="667704BE" w14:textId="77777777" w:rsidR="003B2C5C" w:rsidRPr="003B2C5C" w:rsidRDefault="003B2C5C" w:rsidP="00D24DD7">
            <w:pPr>
              <w:keepNext/>
              <w:rPr>
                <w:rFonts w:eastAsiaTheme="minorHAnsi" w:cstheme="minorBidi"/>
                <w:b/>
                <w:bCs/>
                <w:sz w:val="22"/>
                <w:szCs w:val="22"/>
                <w:lang w:eastAsia="en-US"/>
              </w:rPr>
            </w:pPr>
            <w:r w:rsidRPr="003B2C5C">
              <w:t xml:space="preserve">Non-System </w:t>
            </w:r>
          </w:p>
        </w:tc>
        <w:tc>
          <w:tcPr>
            <w:tcW w:w="653" w:type="pct"/>
            <w:vAlign w:val="top"/>
          </w:tcPr>
          <w:p w14:paraId="7EFDCAE8" w14:textId="0E7EEBFE"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4.2 </w:t>
            </w:r>
          </w:p>
        </w:tc>
        <w:tc>
          <w:tcPr>
            <w:tcW w:w="488" w:type="pct"/>
            <w:vAlign w:val="top"/>
          </w:tcPr>
          <w:p w14:paraId="695E16F9" w14:textId="702AABFD"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3.6 </w:t>
            </w:r>
          </w:p>
        </w:tc>
        <w:tc>
          <w:tcPr>
            <w:tcW w:w="490" w:type="pct"/>
            <w:vAlign w:val="top"/>
          </w:tcPr>
          <w:p w14:paraId="59A42F7D" w14:textId="2F0911F1"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3.3 </w:t>
            </w:r>
          </w:p>
        </w:tc>
        <w:tc>
          <w:tcPr>
            <w:tcW w:w="489" w:type="pct"/>
            <w:vAlign w:val="top"/>
          </w:tcPr>
          <w:p w14:paraId="0ABEB0DF" w14:textId="0EFE84B8"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3.6 </w:t>
            </w:r>
          </w:p>
        </w:tc>
        <w:tc>
          <w:tcPr>
            <w:tcW w:w="485" w:type="pct"/>
            <w:vAlign w:val="top"/>
          </w:tcPr>
          <w:p w14:paraId="5094020C" w14:textId="1DCF7D4C"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B2C5C">
              <w:t xml:space="preserve"> 2.3 </w:t>
            </w:r>
          </w:p>
        </w:tc>
        <w:tc>
          <w:tcPr>
            <w:tcW w:w="457" w:type="pct"/>
            <w:vAlign w:val="top"/>
          </w:tcPr>
          <w:p w14:paraId="591F788D" w14:textId="63A5988C" w:rsidR="003B2C5C" w:rsidRPr="003B2C5C" w:rsidRDefault="003B2C5C" w:rsidP="00D24DD7">
            <w:pPr>
              <w:keepNext/>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16.9 </w:t>
            </w:r>
          </w:p>
        </w:tc>
      </w:tr>
      <w:tr w:rsidR="003B2C5C" w:rsidRPr="004F416F" w14:paraId="7D0A2C15" w14:textId="77777777" w:rsidTr="00566B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hideMark/>
          </w:tcPr>
          <w:p w14:paraId="3DEE2A62" w14:textId="77777777" w:rsidR="003B2C5C" w:rsidRPr="003B2C5C" w:rsidRDefault="003B2C5C" w:rsidP="00D24DD7">
            <w:pPr>
              <w:keepNext/>
              <w:rPr>
                <w:rStyle w:val="Strong"/>
                <w:rFonts w:eastAsiaTheme="minorHAnsi" w:cstheme="minorBidi"/>
                <w:sz w:val="22"/>
                <w:szCs w:val="22"/>
                <w:lang w:eastAsia="en-US"/>
              </w:rPr>
            </w:pPr>
            <w:r w:rsidRPr="003B2C5C">
              <w:rPr>
                <w:rStyle w:val="Strong"/>
              </w:rPr>
              <w:t>TOTAL CAPEX</w:t>
            </w:r>
          </w:p>
        </w:tc>
        <w:tc>
          <w:tcPr>
            <w:tcW w:w="653" w:type="pct"/>
            <w:vAlign w:val="top"/>
          </w:tcPr>
          <w:p w14:paraId="74DCC67E" w14:textId="630ED639"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61.1 </w:t>
            </w:r>
          </w:p>
        </w:tc>
        <w:tc>
          <w:tcPr>
            <w:tcW w:w="488" w:type="pct"/>
            <w:vAlign w:val="top"/>
          </w:tcPr>
          <w:p w14:paraId="54B7C842" w14:textId="38FFB7E2"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5</w:t>
            </w:r>
            <w:r w:rsidR="00D2082C">
              <w:rPr>
                <w:rStyle w:val="Strong"/>
              </w:rPr>
              <w:t>6.9</w:t>
            </w:r>
            <w:r w:rsidRPr="003B2C5C">
              <w:rPr>
                <w:rStyle w:val="Strong"/>
              </w:rPr>
              <w:t xml:space="preserve"> </w:t>
            </w:r>
          </w:p>
        </w:tc>
        <w:tc>
          <w:tcPr>
            <w:tcW w:w="490" w:type="pct"/>
            <w:vAlign w:val="top"/>
          </w:tcPr>
          <w:p w14:paraId="298A68D0" w14:textId="7E1591A5"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72.</w:t>
            </w:r>
            <w:r w:rsidR="00D2082C">
              <w:rPr>
                <w:rStyle w:val="Strong"/>
              </w:rPr>
              <w:t>3</w:t>
            </w:r>
            <w:r w:rsidRPr="003B2C5C">
              <w:rPr>
                <w:rStyle w:val="Strong"/>
              </w:rPr>
              <w:t xml:space="preserve"> </w:t>
            </w:r>
          </w:p>
        </w:tc>
        <w:tc>
          <w:tcPr>
            <w:tcW w:w="489" w:type="pct"/>
            <w:vAlign w:val="top"/>
          </w:tcPr>
          <w:p w14:paraId="3DE3CF6D" w14:textId="04342BDD"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13.7 </w:t>
            </w:r>
          </w:p>
        </w:tc>
        <w:tc>
          <w:tcPr>
            <w:tcW w:w="485" w:type="pct"/>
            <w:vAlign w:val="top"/>
          </w:tcPr>
          <w:p w14:paraId="67995699" w14:textId="2F9D8296"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10.9 </w:t>
            </w:r>
          </w:p>
        </w:tc>
        <w:tc>
          <w:tcPr>
            <w:tcW w:w="457" w:type="pct"/>
            <w:vAlign w:val="top"/>
          </w:tcPr>
          <w:p w14:paraId="009C08CC" w14:textId="497ECF80" w:rsidR="003B2C5C" w:rsidRPr="003B2C5C" w:rsidRDefault="003B2C5C"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3B2C5C">
              <w:rPr>
                <w:rStyle w:val="Strong"/>
              </w:rPr>
              <w:t xml:space="preserve"> 21</w:t>
            </w:r>
            <w:r w:rsidR="005071F3">
              <w:rPr>
                <w:rStyle w:val="Strong"/>
              </w:rPr>
              <w:t>5</w:t>
            </w:r>
            <w:r w:rsidRPr="003B2C5C">
              <w:rPr>
                <w:rStyle w:val="Strong"/>
              </w:rPr>
              <w:t>.</w:t>
            </w:r>
            <w:r w:rsidR="00D2082C">
              <w:rPr>
                <w:rStyle w:val="Strong"/>
              </w:rPr>
              <w:t>0</w:t>
            </w:r>
            <w:r w:rsidRPr="003B2C5C">
              <w:rPr>
                <w:rStyle w:val="Strong"/>
              </w:rPr>
              <w:t xml:space="preserve"> </w:t>
            </w:r>
          </w:p>
        </w:tc>
      </w:tr>
    </w:tbl>
    <w:p w14:paraId="79EA8C55" w14:textId="77777777" w:rsidR="00A147DC" w:rsidRDefault="00546EAA" w:rsidP="00D24DD7">
      <w:pPr>
        <w:pStyle w:val="AERtablesource"/>
        <w:keepNext/>
        <w:rPr>
          <w:rStyle w:val="AERbody"/>
          <w:rFonts w:eastAsiaTheme="minorHAnsi" w:cstheme="minorBidi"/>
          <w:szCs w:val="22"/>
        </w:rPr>
      </w:pPr>
      <w:r w:rsidRPr="003B2C5C">
        <w:rPr>
          <w:rStyle w:val="AERbody"/>
          <w:sz w:val="16"/>
        </w:rPr>
        <w:t xml:space="preserve">Source: AER analysis. </w:t>
      </w:r>
    </w:p>
    <w:p w14:paraId="0A4A27C1" w14:textId="36169689" w:rsidR="00546EAA" w:rsidRPr="003B2C5C" w:rsidRDefault="00546EAA" w:rsidP="00D24DD7">
      <w:pPr>
        <w:pStyle w:val="AERtablesource"/>
        <w:keepNext/>
        <w:rPr>
          <w:rStyle w:val="AERbody"/>
          <w:sz w:val="16"/>
        </w:rPr>
      </w:pPr>
      <w:r w:rsidRPr="003B2C5C">
        <w:rPr>
          <w:rStyle w:val="AERbody"/>
          <w:sz w:val="16"/>
        </w:rPr>
        <w:t>Totals may not add due to rounding.</w:t>
      </w:r>
    </w:p>
    <w:p w14:paraId="043B7BF5" w14:textId="12398ACD" w:rsidR="007A4260" w:rsidRDefault="007A4260" w:rsidP="007A4260">
      <w:pPr>
        <w:pStyle w:val="ListParagraph"/>
        <w:numPr>
          <w:ilvl w:val="0"/>
          <w:numId w:val="24"/>
        </w:numPr>
        <w:rPr>
          <w:rStyle w:val="AERbody"/>
        </w:rPr>
      </w:pPr>
      <w:r>
        <w:rPr>
          <w:rStyle w:val="AERbody"/>
        </w:rPr>
        <w:t xml:space="preserve">There are </w:t>
      </w:r>
      <w:r w:rsidR="00097FD5">
        <w:rPr>
          <w:rStyle w:val="AERbody"/>
        </w:rPr>
        <w:t>five</w:t>
      </w:r>
      <w:r>
        <w:rPr>
          <w:rStyle w:val="AERbody"/>
        </w:rPr>
        <w:t xml:space="preserve"> main reasons </w:t>
      </w:r>
      <w:r w:rsidR="00880D78">
        <w:rPr>
          <w:rStyle w:val="AERbody"/>
        </w:rPr>
        <w:t>why our</w:t>
      </w:r>
      <w:r>
        <w:rPr>
          <w:rStyle w:val="AERbody"/>
        </w:rPr>
        <w:t xml:space="preserve"> draft decision</w:t>
      </w:r>
      <w:r w:rsidR="00880D78">
        <w:rPr>
          <w:rStyle w:val="AERbody"/>
        </w:rPr>
        <w:t xml:space="preserve"> differs from the capex proposed by APA</w:t>
      </w:r>
      <w:r>
        <w:t>.</w:t>
      </w:r>
    </w:p>
    <w:p w14:paraId="790F09F7" w14:textId="5C037B91" w:rsidR="007A4260" w:rsidRPr="00546EAA" w:rsidRDefault="00097FD5" w:rsidP="007A4260">
      <w:r>
        <w:rPr>
          <w:rStyle w:val="AERbody"/>
        </w:rPr>
        <w:t>Firstly, APA’s proposed forecast capex overestimates the costs of the Warragul lateral expansion by around 105 per cent</w:t>
      </w:r>
      <w:r w:rsidRPr="00546EAA">
        <w:rPr>
          <w:rStyle w:val="AERbody"/>
        </w:rPr>
        <w:t xml:space="preserve">. </w:t>
      </w:r>
      <w:r>
        <w:rPr>
          <w:rStyle w:val="AERbody"/>
        </w:rPr>
        <w:t>Secondly, APA has not shown it to be cost-beneficial to modify short sections of pipelines to support pigging.</w:t>
      </w:r>
      <w:r w:rsidRPr="00140944">
        <w:rPr>
          <w:rStyle w:val="AERbody"/>
        </w:rPr>
        <w:t xml:space="preserve"> </w:t>
      </w:r>
      <w:r>
        <w:rPr>
          <w:rStyle w:val="AERbody"/>
        </w:rPr>
        <w:t xml:space="preserve">Thirdly, undertaking all APA's proposed slabbing program in 2018 and 2019 is not justified, as the information available to us indicates significant economic efficiencies from deferring the slabbing program along many sections of the three pipelines until closer to the time when urban development is actually likely to proceed. Fourthly, we consider that some </w:t>
      </w:r>
      <w:r w:rsidRPr="00546EAA">
        <w:rPr>
          <w:rStyle w:val="AERbody"/>
        </w:rPr>
        <w:t xml:space="preserve">items </w:t>
      </w:r>
      <w:r>
        <w:rPr>
          <w:rStyle w:val="AERbody"/>
        </w:rPr>
        <w:t xml:space="preserve">APA has proposed are opex (not capex), including </w:t>
      </w:r>
      <w:r>
        <w:t>overhaul of the</w:t>
      </w:r>
      <w:r w:rsidRPr="00546EAA">
        <w:t xml:space="preserve"> Wollert Compressor Station Turbine. </w:t>
      </w:r>
      <w:r>
        <w:t xml:space="preserve">Fifthly, </w:t>
      </w:r>
      <w:r w:rsidRPr="00546EAA">
        <w:rPr>
          <w:rStyle w:val="AERbody"/>
        </w:rPr>
        <w:t>the proposed decommissioning of the Coogee pipeline</w:t>
      </w:r>
      <w:r>
        <w:rPr>
          <w:rStyle w:val="AERbody"/>
        </w:rPr>
        <w:t xml:space="preserve"> is premature, as the future of the Laverton methanol plant that it supports has not yet been decided.</w:t>
      </w:r>
    </w:p>
    <w:p w14:paraId="50FE5020" w14:textId="4EF3BC72" w:rsidR="007A4260" w:rsidRDefault="007A4260" w:rsidP="007A4260">
      <w:pPr>
        <w:rPr>
          <w:rStyle w:val="AERbody"/>
        </w:rPr>
      </w:pPr>
      <w:r>
        <w:t xml:space="preserve">Further, we have </w:t>
      </w:r>
      <w:r w:rsidR="000F06DB">
        <w:t xml:space="preserve">included </w:t>
      </w:r>
      <w:r w:rsidR="0063287E">
        <w:t>forecast expenditure related to the Western Outer Ring Main (WOR</w:t>
      </w:r>
      <w:r w:rsidR="00880D78">
        <w:t>M) project</w:t>
      </w:r>
      <w:r w:rsidR="000F06DB" w:rsidRPr="000F06DB">
        <w:t xml:space="preserve"> </w:t>
      </w:r>
      <w:r w:rsidR="000F06DB">
        <w:t>on the basis of the information provided by APA in its amended proposal and its submission of 21 April 2017. We also took into account the views of stakeholders</w:t>
      </w:r>
      <w:r w:rsidR="00222C83">
        <w:t xml:space="preserve"> who were able to provide comment in the short time available</w:t>
      </w:r>
      <w:r w:rsidR="000F06DB">
        <w:t xml:space="preserve">. </w:t>
      </w:r>
      <w:r w:rsidR="00222C83">
        <w:t>A</w:t>
      </w:r>
      <w:r w:rsidR="000F06DB">
        <w:t xml:space="preserve">ll stakeholders </w:t>
      </w:r>
      <w:r w:rsidR="00222C83">
        <w:t>will</w:t>
      </w:r>
      <w:r w:rsidR="000F06DB">
        <w:t xml:space="preserve"> have the opportunity to comment </w:t>
      </w:r>
      <w:r w:rsidR="00222C83">
        <w:t>on our draft decision and APA's revised proposal. W</w:t>
      </w:r>
      <w:r w:rsidR="00880D78">
        <w:t>e</w:t>
      </w:r>
      <w:r>
        <w:t xml:space="preserve"> encourage stakeholder feedback on the proposed WORM which we will take into account in preparing our final decision</w:t>
      </w:r>
      <w:r w:rsidRPr="00546EAA">
        <w:rPr>
          <w:rStyle w:val="AERbody"/>
        </w:rPr>
        <w:t xml:space="preserve">. </w:t>
      </w:r>
    </w:p>
    <w:p w14:paraId="7E52AA44" w14:textId="77777777" w:rsidR="00546EAA" w:rsidRPr="00546EAA" w:rsidRDefault="00546EAA" w:rsidP="00546EAA">
      <w:pPr>
        <w:pStyle w:val="Heading2"/>
      </w:pPr>
      <w:bookmarkStart w:id="78" w:name="_Toc486855297"/>
      <w:r w:rsidRPr="00546EAA">
        <w:t>APA’s proposal</w:t>
      </w:r>
      <w:bookmarkEnd w:id="78"/>
    </w:p>
    <w:p w14:paraId="445ADC0D" w14:textId="4209920A" w:rsidR="00546EAA" w:rsidRPr="00546EAA" w:rsidRDefault="00546EAA" w:rsidP="00D24DD7">
      <w:pPr>
        <w:pStyle w:val="Heading3"/>
        <w:ind w:left="720"/>
      </w:pPr>
      <w:bookmarkStart w:id="79" w:name="_Toc486855298"/>
      <w:r w:rsidRPr="00546EAA">
        <w:t>Capex over the 2013–17 access arrangement period</w:t>
      </w:r>
      <w:bookmarkEnd w:id="79"/>
    </w:p>
    <w:p w14:paraId="6CB8C78C" w14:textId="1002EF9C" w:rsidR="00546EAA" w:rsidRPr="00546EAA" w:rsidRDefault="00546EAA" w:rsidP="00546EAA">
      <w:r w:rsidRPr="00546EAA">
        <w:t xml:space="preserve">APA </w:t>
      </w:r>
      <w:r w:rsidR="008B22C4">
        <w:t>incurred</w:t>
      </w:r>
      <w:r w:rsidR="008B22C4" w:rsidRPr="00546EAA">
        <w:t xml:space="preserve"> </w:t>
      </w:r>
      <w:r w:rsidRPr="00546EAA">
        <w:t xml:space="preserve">total </w:t>
      </w:r>
      <w:r w:rsidR="004A56FF">
        <w:t xml:space="preserve">past </w:t>
      </w:r>
      <w:r w:rsidRPr="00546EAA">
        <w:t xml:space="preserve">capex of $408.3 million ($2017) </w:t>
      </w:r>
      <w:r w:rsidR="008B22C4">
        <w:t>during</w:t>
      </w:r>
      <w:r w:rsidR="008B22C4" w:rsidRPr="00546EAA">
        <w:t xml:space="preserve"> </w:t>
      </w:r>
      <w:r w:rsidRPr="00546EAA">
        <w:t xml:space="preserve">the 2013–17 </w:t>
      </w:r>
      <w:r w:rsidR="00CD71E4">
        <w:t>access arrangement period</w:t>
      </w:r>
      <w:r w:rsidRPr="00546EAA">
        <w:t xml:space="preserve">. This is $244.6 million </w:t>
      </w:r>
      <w:r w:rsidR="00E43D6E">
        <w:t xml:space="preserve">(nominal) </w:t>
      </w:r>
      <w:r w:rsidRPr="00546EAA">
        <w:t xml:space="preserve">above </w:t>
      </w:r>
      <w:r w:rsidR="008B22C4">
        <w:t>the</w:t>
      </w:r>
      <w:r w:rsidR="008B22C4" w:rsidRPr="00546EAA">
        <w:t xml:space="preserve"> </w:t>
      </w:r>
      <w:r w:rsidRPr="00546EAA">
        <w:t xml:space="preserve">forecast </w:t>
      </w:r>
      <w:r w:rsidR="008B22C4">
        <w:t xml:space="preserve">that we approved in </w:t>
      </w:r>
      <w:r w:rsidRPr="00546EAA">
        <w:t xml:space="preserve">the 2013–17 </w:t>
      </w:r>
      <w:r w:rsidR="00013748">
        <w:t>access arrangement</w:t>
      </w:r>
      <w:r w:rsidR="0061735A">
        <w:t xml:space="preserve"> period</w:t>
      </w:r>
      <w:r w:rsidR="00013748">
        <w:t xml:space="preserve">. </w:t>
      </w:r>
      <w:r w:rsidR="007A4260">
        <w:t xml:space="preserve">This is shown by capex category in </w:t>
      </w:r>
      <w:r w:rsidR="00EE7E97">
        <w:fldChar w:fldCharType="begin"/>
      </w:r>
      <w:r w:rsidR="00EE7E97">
        <w:instrText xml:space="preserve"> REF _Ref484670072 \h </w:instrText>
      </w:r>
      <w:r w:rsidR="00EE7E97">
        <w:fldChar w:fldCharType="separate"/>
      </w:r>
      <w:r w:rsidR="00724747">
        <w:t xml:space="preserve">Table </w:t>
      </w:r>
      <w:r w:rsidR="00724747">
        <w:rPr>
          <w:noProof/>
        </w:rPr>
        <w:t>6</w:t>
      </w:r>
      <w:r w:rsidR="00724747">
        <w:t>.</w:t>
      </w:r>
      <w:r w:rsidR="00724747">
        <w:rPr>
          <w:noProof/>
        </w:rPr>
        <w:t>3</w:t>
      </w:r>
      <w:r w:rsidR="00EE7E97">
        <w:fldChar w:fldCharType="end"/>
      </w:r>
      <w:r w:rsidR="00EE7E97">
        <w:t xml:space="preserve"> </w:t>
      </w:r>
      <w:r w:rsidR="008B22C4">
        <w:t>below.</w:t>
      </w:r>
    </w:p>
    <w:p w14:paraId="199A01D8" w14:textId="2065CD61" w:rsidR="00546EAA" w:rsidRPr="00546EAA" w:rsidRDefault="00EE7E97" w:rsidP="00A43BA0">
      <w:pPr>
        <w:pStyle w:val="Caption"/>
      </w:pPr>
      <w:bookmarkStart w:id="80" w:name="_Ref484670072"/>
      <w:r>
        <w:t xml:space="preserve">Table </w:t>
      </w:r>
      <w:fldSimple w:instr=" STYLEREF 1 \s ">
        <w:r w:rsidR="00724747">
          <w:rPr>
            <w:noProof/>
          </w:rPr>
          <w:t>6</w:t>
        </w:r>
      </w:fldSimple>
      <w:r>
        <w:t>.</w:t>
      </w:r>
      <w:fldSimple w:instr=" SEQ Table \* ARABIC \s 1 ">
        <w:r w:rsidR="00724747">
          <w:rPr>
            <w:noProof/>
          </w:rPr>
          <w:t>3</w:t>
        </w:r>
      </w:fldSimple>
      <w:bookmarkEnd w:id="80"/>
      <w:r>
        <w:tab/>
      </w:r>
      <w:r w:rsidR="0054200B">
        <w:t xml:space="preserve">APA </w:t>
      </w:r>
      <w:r w:rsidR="00E43D6E">
        <w:t>incurred</w:t>
      </w:r>
      <w:r w:rsidR="00E43D6E" w:rsidRPr="00546EAA">
        <w:t xml:space="preserve"> </w:t>
      </w:r>
      <w:r w:rsidR="00546EAA" w:rsidRPr="00546EAA">
        <w:t>capex 2013–17 ($million, 2017)</w:t>
      </w:r>
    </w:p>
    <w:tbl>
      <w:tblPr>
        <w:tblStyle w:val="AERtable-numbers"/>
        <w:tblW w:w="5000" w:type="pct"/>
        <w:tblLook w:val="04A0" w:firstRow="1" w:lastRow="0" w:firstColumn="1" w:lastColumn="0" w:noHBand="0" w:noVBand="1"/>
      </w:tblPr>
      <w:tblGrid>
        <w:gridCol w:w="2036"/>
        <w:gridCol w:w="1111"/>
        <w:gridCol w:w="1111"/>
        <w:gridCol w:w="1111"/>
        <w:gridCol w:w="1109"/>
        <w:gridCol w:w="1109"/>
        <w:gridCol w:w="1106"/>
      </w:tblGrid>
      <w:tr w:rsidR="00546EAA" w:rsidRPr="004F416F" w14:paraId="45A2C20C" w14:textId="77777777" w:rsidTr="00566B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1" w:type="pct"/>
            <w:hideMark/>
          </w:tcPr>
          <w:p w14:paraId="3819DBF0" w14:textId="77777777" w:rsidR="00546EAA" w:rsidRPr="00546EAA" w:rsidRDefault="00546EAA" w:rsidP="00D24DD7">
            <w:pPr>
              <w:keepNext/>
              <w:rPr>
                <w:rFonts w:eastAsiaTheme="minorHAnsi" w:cstheme="minorBidi"/>
                <w:b w:val="0"/>
                <w:color w:val="auto"/>
                <w:sz w:val="22"/>
                <w:szCs w:val="22"/>
                <w:lang w:eastAsia="en-US"/>
              </w:rPr>
            </w:pPr>
            <w:r w:rsidRPr="00546EAA">
              <w:t> Category</w:t>
            </w:r>
          </w:p>
        </w:tc>
        <w:tc>
          <w:tcPr>
            <w:tcW w:w="639" w:type="pct"/>
            <w:hideMark/>
          </w:tcPr>
          <w:p w14:paraId="53175FA7"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2013</w:t>
            </w:r>
          </w:p>
        </w:tc>
        <w:tc>
          <w:tcPr>
            <w:tcW w:w="639" w:type="pct"/>
            <w:hideMark/>
          </w:tcPr>
          <w:p w14:paraId="42BD5EDD"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2014</w:t>
            </w:r>
          </w:p>
        </w:tc>
        <w:tc>
          <w:tcPr>
            <w:tcW w:w="639" w:type="pct"/>
            <w:hideMark/>
          </w:tcPr>
          <w:p w14:paraId="75ED0BEA"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2015</w:t>
            </w:r>
          </w:p>
        </w:tc>
        <w:tc>
          <w:tcPr>
            <w:tcW w:w="638" w:type="pct"/>
            <w:hideMark/>
          </w:tcPr>
          <w:p w14:paraId="21EF02BA"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2016</w:t>
            </w:r>
          </w:p>
        </w:tc>
        <w:tc>
          <w:tcPr>
            <w:tcW w:w="638" w:type="pct"/>
            <w:hideMark/>
          </w:tcPr>
          <w:p w14:paraId="694850A4" w14:textId="1F763469" w:rsidR="00546EAA" w:rsidRPr="0040038E" w:rsidRDefault="00546EAA" w:rsidP="00D24DD7">
            <w:pPr>
              <w:keepNext/>
              <w:cnfStyle w:val="100000000000" w:firstRow="1" w:lastRow="0" w:firstColumn="0" w:lastColumn="0" w:oddVBand="0" w:evenVBand="0" w:oddHBand="0" w:evenHBand="0" w:firstRowFirstColumn="0" w:firstRowLastColumn="0" w:lastRowFirstColumn="0" w:lastRowLastColumn="0"/>
              <w:rPr>
                <w:rStyle w:val="AERsuperscript"/>
                <w:rFonts w:eastAsiaTheme="minorHAnsi" w:cstheme="minorBidi"/>
                <w:b w:val="0"/>
                <w:color w:val="auto"/>
                <w:szCs w:val="22"/>
                <w:lang w:eastAsia="en-US"/>
              </w:rPr>
            </w:pPr>
            <w:r w:rsidRPr="00546EAA">
              <w:t>2017</w:t>
            </w:r>
            <w:r w:rsidR="0040038E">
              <w:rPr>
                <w:rStyle w:val="AERsuperscript"/>
              </w:rPr>
              <w:t>(f)</w:t>
            </w:r>
          </w:p>
        </w:tc>
        <w:tc>
          <w:tcPr>
            <w:tcW w:w="636" w:type="pct"/>
          </w:tcPr>
          <w:p w14:paraId="164A90D4"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Total</w:t>
            </w:r>
          </w:p>
        </w:tc>
      </w:tr>
      <w:tr w:rsidR="00546EAA" w:rsidRPr="004F416F" w14:paraId="5C7A4954" w14:textId="77777777" w:rsidTr="00566B39">
        <w:trPr>
          <w:trHeight w:val="300"/>
        </w:trPr>
        <w:tc>
          <w:tcPr>
            <w:cnfStyle w:val="001000000000" w:firstRow="0" w:lastRow="0" w:firstColumn="1" w:lastColumn="0" w:oddVBand="0" w:evenVBand="0" w:oddHBand="0" w:evenHBand="0" w:firstRowFirstColumn="0" w:firstRowLastColumn="0" w:lastRowFirstColumn="0" w:lastRowLastColumn="0"/>
            <w:tcW w:w="1171" w:type="pct"/>
          </w:tcPr>
          <w:p w14:paraId="0FFB2692" w14:textId="77777777" w:rsidR="00546EAA" w:rsidRPr="00546EAA" w:rsidRDefault="00546EAA" w:rsidP="00D24DD7">
            <w:pPr>
              <w:keepNext/>
              <w:rPr>
                <w:rFonts w:eastAsiaTheme="minorHAnsi" w:cstheme="minorBidi"/>
                <w:sz w:val="22"/>
                <w:szCs w:val="22"/>
                <w:lang w:eastAsia="en-US"/>
              </w:rPr>
            </w:pPr>
            <w:r w:rsidRPr="00546EAA">
              <w:t>Augmentation</w:t>
            </w:r>
          </w:p>
        </w:tc>
        <w:tc>
          <w:tcPr>
            <w:tcW w:w="639" w:type="pct"/>
          </w:tcPr>
          <w:p w14:paraId="31036B35"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12.3</w:t>
            </w:r>
          </w:p>
        </w:tc>
        <w:tc>
          <w:tcPr>
            <w:tcW w:w="639" w:type="pct"/>
          </w:tcPr>
          <w:p w14:paraId="6B34A49F"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112.4</w:t>
            </w:r>
          </w:p>
        </w:tc>
        <w:tc>
          <w:tcPr>
            <w:tcW w:w="639" w:type="pct"/>
          </w:tcPr>
          <w:p w14:paraId="5D9C55D4"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74.6</w:t>
            </w:r>
          </w:p>
        </w:tc>
        <w:tc>
          <w:tcPr>
            <w:tcW w:w="638" w:type="pct"/>
          </w:tcPr>
          <w:p w14:paraId="51959FC6"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92.1</w:t>
            </w:r>
          </w:p>
        </w:tc>
        <w:tc>
          <w:tcPr>
            <w:tcW w:w="638" w:type="pct"/>
          </w:tcPr>
          <w:p w14:paraId="741F4F22"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52.3</w:t>
            </w:r>
          </w:p>
        </w:tc>
        <w:tc>
          <w:tcPr>
            <w:tcW w:w="636" w:type="pct"/>
          </w:tcPr>
          <w:p w14:paraId="702BD43E"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546EAA">
              <w:rPr>
                <w:rStyle w:val="Strong"/>
              </w:rPr>
              <w:t>343.8</w:t>
            </w:r>
          </w:p>
        </w:tc>
      </w:tr>
      <w:tr w:rsidR="00546EAA" w:rsidRPr="004F416F" w14:paraId="1EFC42E2" w14:textId="77777777" w:rsidTr="00566B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14:paraId="5A5C10A1" w14:textId="77777777" w:rsidR="00546EAA" w:rsidRPr="00546EAA" w:rsidRDefault="00546EAA" w:rsidP="00D24DD7">
            <w:pPr>
              <w:keepNext/>
              <w:rPr>
                <w:rFonts w:eastAsiaTheme="minorHAnsi" w:cstheme="minorBidi"/>
                <w:b/>
                <w:bCs/>
                <w:sz w:val="22"/>
                <w:szCs w:val="22"/>
                <w:lang w:eastAsia="en-US"/>
              </w:rPr>
            </w:pPr>
            <w:r w:rsidRPr="00546EAA">
              <w:t>Refurbishment and Upgrade</w:t>
            </w:r>
          </w:p>
        </w:tc>
        <w:tc>
          <w:tcPr>
            <w:tcW w:w="639" w:type="pct"/>
          </w:tcPr>
          <w:p w14:paraId="18F6C6A9"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546EAA">
              <w:t>1.6</w:t>
            </w:r>
          </w:p>
        </w:tc>
        <w:tc>
          <w:tcPr>
            <w:tcW w:w="639" w:type="pct"/>
          </w:tcPr>
          <w:p w14:paraId="4E2FF086"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546EAA">
              <w:t>7.5</w:t>
            </w:r>
          </w:p>
        </w:tc>
        <w:tc>
          <w:tcPr>
            <w:tcW w:w="639" w:type="pct"/>
          </w:tcPr>
          <w:p w14:paraId="202B2830"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546EAA">
              <w:t>14.2</w:t>
            </w:r>
          </w:p>
        </w:tc>
        <w:tc>
          <w:tcPr>
            <w:tcW w:w="638" w:type="pct"/>
          </w:tcPr>
          <w:p w14:paraId="32B1754E"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546EAA">
              <w:t>10.5</w:t>
            </w:r>
          </w:p>
        </w:tc>
        <w:tc>
          <w:tcPr>
            <w:tcW w:w="638" w:type="pct"/>
          </w:tcPr>
          <w:p w14:paraId="5CEE1032"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546EAA">
              <w:t>8.1</w:t>
            </w:r>
          </w:p>
        </w:tc>
        <w:tc>
          <w:tcPr>
            <w:tcW w:w="636" w:type="pct"/>
          </w:tcPr>
          <w:p w14:paraId="33F0265B"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41.9</w:t>
            </w:r>
          </w:p>
        </w:tc>
      </w:tr>
      <w:tr w:rsidR="00546EAA" w:rsidRPr="004F416F" w14:paraId="7F09E2C7" w14:textId="77777777" w:rsidTr="00566B39">
        <w:trPr>
          <w:trHeight w:val="300"/>
        </w:trPr>
        <w:tc>
          <w:tcPr>
            <w:cnfStyle w:val="001000000000" w:firstRow="0" w:lastRow="0" w:firstColumn="1" w:lastColumn="0" w:oddVBand="0" w:evenVBand="0" w:oddHBand="0" w:evenHBand="0" w:firstRowFirstColumn="0" w:firstRowLastColumn="0" w:lastRowFirstColumn="0" w:lastRowLastColumn="0"/>
            <w:tcW w:w="1171" w:type="pct"/>
          </w:tcPr>
          <w:p w14:paraId="4E9E9910" w14:textId="77777777" w:rsidR="00546EAA" w:rsidRPr="00546EAA" w:rsidRDefault="00546EAA" w:rsidP="00D24DD7">
            <w:pPr>
              <w:keepNext/>
              <w:rPr>
                <w:rFonts w:eastAsiaTheme="minorHAnsi" w:cstheme="minorBidi"/>
                <w:b/>
                <w:bCs/>
                <w:sz w:val="22"/>
                <w:szCs w:val="22"/>
                <w:lang w:eastAsia="en-US"/>
              </w:rPr>
            </w:pPr>
            <w:r w:rsidRPr="00546EAA">
              <w:t xml:space="preserve">Non-system </w:t>
            </w:r>
          </w:p>
        </w:tc>
        <w:tc>
          <w:tcPr>
            <w:tcW w:w="639" w:type="pct"/>
          </w:tcPr>
          <w:p w14:paraId="3562E729"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1.7</w:t>
            </w:r>
          </w:p>
        </w:tc>
        <w:tc>
          <w:tcPr>
            <w:tcW w:w="639" w:type="pct"/>
          </w:tcPr>
          <w:p w14:paraId="2E4ADC66"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4.2</w:t>
            </w:r>
          </w:p>
        </w:tc>
        <w:tc>
          <w:tcPr>
            <w:tcW w:w="639" w:type="pct"/>
          </w:tcPr>
          <w:p w14:paraId="08F5F9FE"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5.7</w:t>
            </w:r>
          </w:p>
        </w:tc>
        <w:tc>
          <w:tcPr>
            <w:tcW w:w="638" w:type="pct"/>
          </w:tcPr>
          <w:p w14:paraId="5F843CF2"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2.4</w:t>
            </w:r>
          </w:p>
        </w:tc>
        <w:tc>
          <w:tcPr>
            <w:tcW w:w="638" w:type="pct"/>
          </w:tcPr>
          <w:p w14:paraId="6F22E82D"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546EAA">
              <w:t>8.6</w:t>
            </w:r>
          </w:p>
        </w:tc>
        <w:tc>
          <w:tcPr>
            <w:tcW w:w="636" w:type="pct"/>
          </w:tcPr>
          <w:p w14:paraId="29320581" w14:textId="77777777" w:rsidR="00546EAA" w:rsidRPr="00546EAA" w:rsidRDefault="00546EAA" w:rsidP="00D24DD7">
            <w:pPr>
              <w:keepNext/>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546EAA">
              <w:rPr>
                <w:rStyle w:val="Strong"/>
              </w:rPr>
              <w:t>22.6</w:t>
            </w:r>
          </w:p>
        </w:tc>
      </w:tr>
      <w:tr w:rsidR="00546EAA" w:rsidRPr="006B39E7" w14:paraId="45D7A567" w14:textId="77777777" w:rsidTr="00566B3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14:paraId="394DDFFC" w14:textId="77777777" w:rsidR="00546EAA" w:rsidRPr="00546EAA" w:rsidRDefault="00546EAA" w:rsidP="00D24DD7">
            <w:pPr>
              <w:keepNext/>
              <w:rPr>
                <w:rStyle w:val="Strong"/>
                <w:rFonts w:eastAsiaTheme="minorHAnsi" w:cstheme="minorBidi"/>
                <w:sz w:val="22"/>
                <w:szCs w:val="22"/>
                <w:lang w:eastAsia="en-US"/>
              </w:rPr>
            </w:pPr>
            <w:r w:rsidRPr="00546EAA">
              <w:rPr>
                <w:rStyle w:val="Strong"/>
              </w:rPr>
              <w:t>TOTAL CAPEX</w:t>
            </w:r>
          </w:p>
        </w:tc>
        <w:tc>
          <w:tcPr>
            <w:tcW w:w="639" w:type="pct"/>
          </w:tcPr>
          <w:p w14:paraId="7B968B67"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15.6</w:t>
            </w:r>
          </w:p>
        </w:tc>
        <w:tc>
          <w:tcPr>
            <w:tcW w:w="639" w:type="pct"/>
          </w:tcPr>
          <w:p w14:paraId="596EEBD9"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124.2</w:t>
            </w:r>
          </w:p>
        </w:tc>
        <w:tc>
          <w:tcPr>
            <w:tcW w:w="639" w:type="pct"/>
          </w:tcPr>
          <w:p w14:paraId="0F5AC05F"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94.5</w:t>
            </w:r>
          </w:p>
        </w:tc>
        <w:tc>
          <w:tcPr>
            <w:tcW w:w="638" w:type="pct"/>
          </w:tcPr>
          <w:p w14:paraId="2792BC81"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105.0</w:t>
            </w:r>
          </w:p>
        </w:tc>
        <w:tc>
          <w:tcPr>
            <w:tcW w:w="638" w:type="pct"/>
          </w:tcPr>
          <w:p w14:paraId="435658FC"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69.0</w:t>
            </w:r>
          </w:p>
        </w:tc>
        <w:tc>
          <w:tcPr>
            <w:tcW w:w="636" w:type="pct"/>
          </w:tcPr>
          <w:p w14:paraId="62A09742" w14:textId="77777777" w:rsidR="00546EAA" w:rsidRPr="00546EAA" w:rsidRDefault="00546EAA"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546EAA">
              <w:rPr>
                <w:rStyle w:val="Strong"/>
              </w:rPr>
              <w:t>408.3</w:t>
            </w:r>
          </w:p>
        </w:tc>
      </w:tr>
    </w:tbl>
    <w:p w14:paraId="14615A56" w14:textId="77777777" w:rsidR="003A6CD9" w:rsidRDefault="007A4260" w:rsidP="00D24DD7">
      <w:pPr>
        <w:pStyle w:val="AERtablesource"/>
        <w:keepNext/>
        <w:rPr>
          <w:rStyle w:val="AERbody"/>
          <w:rFonts w:eastAsiaTheme="minorHAnsi" w:cstheme="minorBidi"/>
          <w:szCs w:val="22"/>
        </w:rPr>
      </w:pPr>
      <w:r>
        <w:t xml:space="preserve">Source: APA May 2017 Victorian Transmission System </w:t>
      </w:r>
      <w:r w:rsidRPr="007A4260">
        <w:rPr>
          <w:rStyle w:val="AERtextitalic"/>
          <w:i w:val="0"/>
        </w:rPr>
        <w:t>Supplementary Capex Submission</w:t>
      </w:r>
      <w:r w:rsidR="003A6CD9">
        <w:rPr>
          <w:rStyle w:val="AERtextitalic"/>
        </w:rPr>
        <w:t>.</w:t>
      </w:r>
      <w:r w:rsidR="003A6CD9" w:rsidRPr="003A6CD9">
        <w:rPr>
          <w:rStyle w:val="AERbody"/>
        </w:rPr>
        <w:t xml:space="preserve"> </w:t>
      </w:r>
    </w:p>
    <w:p w14:paraId="04F221C5" w14:textId="75D36364" w:rsidR="007A4260" w:rsidRPr="003A6CD9" w:rsidRDefault="003A6CD9" w:rsidP="00D24DD7">
      <w:pPr>
        <w:pStyle w:val="AERtablesource"/>
        <w:keepNext/>
        <w:rPr>
          <w:rStyle w:val="AERtextitalic"/>
          <w:i w:val="0"/>
        </w:rPr>
      </w:pPr>
      <w:r w:rsidRPr="003A6CD9">
        <w:rPr>
          <w:rStyle w:val="AERbody"/>
          <w:sz w:val="16"/>
        </w:rPr>
        <w:t>Totals may not add due to rounding.</w:t>
      </w:r>
    </w:p>
    <w:p w14:paraId="1AF588F9" w14:textId="5BAEFA54" w:rsidR="003A6CD9" w:rsidRPr="00546EAA" w:rsidRDefault="00E43D6E" w:rsidP="003A6CD9">
      <w:r>
        <w:t xml:space="preserve">The reason for this large overspend is primarily due to a single project. </w:t>
      </w:r>
      <w:r w:rsidR="008B22C4" w:rsidRPr="00546EAA">
        <w:t xml:space="preserve">APA submitted that </w:t>
      </w:r>
      <w:r w:rsidR="008B22C4">
        <w:t xml:space="preserve">due to </w:t>
      </w:r>
      <w:r w:rsidR="008B22C4" w:rsidRPr="00546EAA">
        <w:t xml:space="preserve">changes in the gas market, </w:t>
      </w:r>
      <w:r w:rsidR="008B22C4">
        <w:t>including</w:t>
      </w:r>
      <w:r w:rsidR="008B22C4" w:rsidRPr="00546EAA">
        <w:t xml:space="preserve"> increased demand for the northern flow of gas from Victoria</w:t>
      </w:r>
      <w:r w:rsidR="008B22C4">
        <w:t>, it</w:t>
      </w:r>
      <w:r w:rsidR="008B22C4" w:rsidRPr="00546EAA">
        <w:t xml:space="preserve"> undertook additional expenditure to augment the Gas to Culcairn Project </w:t>
      </w:r>
      <w:r w:rsidR="003A6CD9">
        <w:t>(now referred to as</w:t>
      </w:r>
      <w:r w:rsidR="008B22C4" w:rsidRPr="00546EAA">
        <w:t xml:space="preserve"> the Victorian Northern Interconnect Expansion </w:t>
      </w:r>
      <w:r w:rsidR="003A6CD9">
        <w:t xml:space="preserve">- </w:t>
      </w:r>
      <w:r w:rsidR="008B22C4" w:rsidRPr="00546EAA">
        <w:t xml:space="preserve">VNIE). </w:t>
      </w:r>
      <w:r w:rsidR="003A6CD9" w:rsidRPr="00546EAA">
        <w:t xml:space="preserve">APA also </w:t>
      </w:r>
      <w:r w:rsidR="003A6CD9">
        <w:t>incurred</w:t>
      </w:r>
      <w:r w:rsidR="003A6CD9" w:rsidRPr="00546EAA">
        <w:t xml:space="preserve"> more </w:t>
      </w:r>
      <w:r w:rsidR="003A6CD9">
        <w:t xml:space="preserve">capex on </w:t>
      </w:r>
      <w:r w:rsidR="003A6CD9" w:rsidRPr="00546EAA">
        <w:t xml:space="preserve">non-system (corporate IT and business) projects than </w:t>
      </w:r>
      <w:r w:rsidR="003A6CD9">
        <w:t xml:space="preserve">was included in the 2013–17 </w:t>
      </w:r>
      <w:r w:rsidR="00687663">
        <w:t>access arrangement</w:t>
      </w:r>
      <w:r w:rsidR="003A6CD9">
        <w:t xml:space="preserve"> forecast, and incurred</w:t>
      </w:r>
      <w:r w:rsidR="003A6CD9" w:rsidRPr="00546EAA">
        <w:t xml:space="preserve"> less refurbishment and upgrade </w:t>
      </w:r>
      <w:r w:rsidR="003A6CD9">
        <w:t>capex,</w:t>
      </w:r>
      <w:r w:rsidR="003A6CD9" w:rsidRPr="00546EAA">
        <w:t xml:space="preserve"> </w:t>
      </w:r>
      <w:r w:rsidR="003A6CD9">
        <w:t xml:space="preserve">on the basis that it was no </w:t>
      </w:r>
      <w:r w:rsidR="003A6CD9" w:rsidRPr="00546EAA">
        <w:t>longer necessary</w:t>
      </w:r>
      <w:r w:rsidR="003A6CD9">
        <w:t>.</w:t>
      </w:r>
      <w:r w:rsidR="003A6CD9" w:rsidRPr="00546EAA">
        <w:t xml:space="preserve"> </w:t>
      </w:r>
      <w:r w:rsidR="003A6CD9">
        <w:rPr>
          <w:rStyle w:val="FootnoteReference"/>
        </w:rPr>
        <w:footnoteReference w:id="8"/>
      </w:r>
    </w:p>
    <w:p w14:paraId="4F12539A" w14:textId="516E7EE9" w:rsidR="00546EAA" w:rsidRPr="003A6CD9" w:rsidRDefault="003A6CD9" w:rsidP="00546EAA">
      <w:pPr>
        <w:rPr>
          <w:rStyle w:val="AERtexthighlight"/>
          <w:shd w:val="clear" w:color="auto" w:fill="auto"/>
        </w:rPr>
      </w:pPr>
      <w:r>
        <w:t>O</w:t>
      </w:r>
      <w:r w:rsidRPr="00546EAA">
        <w:t xml:space="preserve">ur </w:t>
      </w:r>
      <w:r>
        <w:t xml:space="preserve">reasons and </w:t>
      </w:r>
      <w:r w:rsidRPr="00546EAA">
        <w:t xml:space="preserve">analysis of the </w:t>
      </w:r>
      <w:r>
        <w:t xml:space="preserve">capex APA incurred </w:t>
      </w:r>
      <w:r w:rsidRPr="00546EAA">
        <w:t xml:space="preserve">during the 2013–17 </w:t>
      </w:r>
      <w:r w:rsidR="00687663">
        <w:t>access arrangement</w:t>
      </w:r>
      <w:r w:rsidRPr="00546EAA">
        <w:t xml:space="preserve"> period </w:t>
      </w:r>
      <w:r>
        <w:t xml:space="preserve">is set out at section </w:t>
      </w:r>
      <w:r w:rsidRPr="00546EAA">
        <w:t>6.4.1</w:t>
      </w:r>
      <w:r>
        <w:t xml:space="preserve"> below</w:t>
      </w:r>
      <w:r w:rsidRPr="00546EAA">
        <w:t xml:space="preserve">. </w:t>
      </w:r>
      <w:r w:rsidR="008B22C4" w:rsidRPr="00546EAA">
        <w:t xml:space="preserve"> </w:t>
      </w:r>
    </w:p>
    <w:p w14:paraId="0D1E21D3" w14:textId="1FF48E81" w:rsidR="00546EAA" w:rsidRPr="00546EAA" w:rsidRDefault="00546EAA" w:rsidP="00D24DD7">
      <w:pPr>
        <w:pStyle w:val="Heading3"/>
        <w:ind w:left="720"/>
      </w:pPr>
      <w:bookmarkStart w:id="81" w:name="_Toc486855299"/>
      <w:r w:rsidRPr="00546EAA">
        <w:t>Proposed capex for the 2018–22 access arrangement period</w:t>
      </w:r>
      <w:bookmarkEnd w:id="81"/>
    </w:p>
    <w:p w14:paraId="7110051E" w14:textId="6C9C0FD7" w:rsidR="003A6CD9" w:rsidRPr="003A6CD9" w:rsidRDefault="003A6CD9" w:rsidP="003A6CD9">
      <w:pPr>
        <w:rPr>
          <w:rStyle w:val="AERbody"/>
        </w:rPr>
      </w:pPr>
      <w:r w:rsidRPr="00546EAA">
        <w:t xml:space="preserve">APA </w:t>
      </w:r>
      <w:r>
        <w:t xml:space="preserve">has </w:t>
      </w:r>
      <w:r w:rsidRPr="00546EAA">
        <w:t>proposed total forecast net capex of $</w:t>
      </w:r>
      <w:r>
        <w:t>256.1</w:t>
      </w:r>
      <w:r w:rsidRPr="00546EAA">
        <w:t xml:space="preserve"> million ($2017) for the 2018–22 </w:t>
      </w:r>
      <w:r w:rsidR="00687663">
        <w:t>access arrangement</w:t>
      </w:r>
      <w:r w:rsidRPr="00546EAA">
        <w:t xml:space="preserve"> period</w:t>
      </w:r>
      <w:r>
        <w:t xml:space="preserve"> (which includes the proposed WORM project)</w:t>
      </w:r>
      <w:r w:rsidR="00CD71E4">
        <w:t>.</w:t>
      </w:r>
      <w:r w:rsidR="00276236">
        <w:rPr>
          <w:rStyle w:val="FootnoteReference"/>
        </w:rPr>
        <w:footnoteReference w:id="9"/>
      </w:r>
      <w:r w:rsidR="00546EAA" w:rsidRPr="00546EAA">
        <w:t xml:space="preserve"> </w:t>
      </w:r>
      <w:r>
        <w:t>Other than the WORM, t</w:t>
      </w:r>
      <w:r w:rsidRPr="00546EAA">
        <w:t>his largely consists of replacement and upgrad</w:t>
      </w:r>
      <w:r>
        <w:t>e</w:t>
      </w:r>
      <w:r w:rsidRPr="00546EAA">
        <w:t xml:space="preserve"> </w:t>
      </w:r>
      <w:r>
        <w:t>capex and completing</w:t>
      </w:r>
      <w:r w:rsidRPr="00546EAA">
        <w:t xml:space="preserve"> augmentation projects that </w:t>
      </w:r>
      <w:r>
        <w:t>were</w:t>
      </w:r>
      <w:r w:rsidRPr="00546EAA">
        <w:t xml:space="preserve"> delayed </w:t>
      </w:r>
      <w:r>
        <w:t xml:space="preserve">in the </w:t>
      </w:r>
      <w:r w:rsidRPr="00546EAA">
        <w:t xml:space="preserve">2013–17 </w:t>
      </w:r>
      <w:r w:rsidR="00687663">
        <w:t>access arrangement</w:t>
      </w:r>
      <w:r w:rsidRPr="00546EAA">
        <w:t xml:space="preserve"> period.</w:t>
      </w:r>
      <w:r>
        <w:t xml:space="preserve"> This is shown by</w:t>
      </w:r>
      <w:r w:rsidRPr="00546EAA">
        <w:t xml:space="preserve"> capex category in</w:t>
      </w:r>
      <w:r>
        <w:t xml:space="preserve"> </w:t>
      </w:r>
      <w:r w:rsidR="00EE7E97">
        <w:fldChar w:fldCharType="begin"/>
      </w:r>
      <w:r w:rsidR="00EE7E97">
        <w:instrText xml:space="preserve"> REF _Ref484670107 \h </w:instrText>
      </w:r>
      <w:r w:rsidR="00EE7E97">
        <w:fldChar w:fldCharType="separate"/>
      </w:r>
      <w:r w:rsidR="00724747">
        <w:t xml:space="preserve">Table </w:t>
      </w:r>
      <w:r w:rsidR="00724747">
        <w:rPr>
          <w:noProof/>
        </w:rPr>
        <w:t>6</w:t>
      </w:r>
      <w:r w:rsidR="00724747">
        <w:t>.</w:t>
      </w:r>
      <w:r w:rsidR="00724747">
        <w:rPr>
          <w:noProof/>
        </w:rPr>
        <w:t>4</w:t>
      </w:r>
      <w:r w:rsidR="00EE7E97">
        <w:fldChar w:fldCharType="end"/>
      </w:r>
      <w:r w:rsidR="00EE7E97">
        <w:t>.</w:t>
      </w:r>
    </w:p>
    <w:p w14:paraId="789848CE" w14:textId="6E5B06DE" w:rsidR="00546EAA" w:rsidRPr="00546EAA" w:rsidRDefault="00EE7E97" w:rsidP="00A43BA0">
      <w:pPr>
        <w:pStyle w:val="Caption"/>
      </w:pPr>
      <w:bookmarkStart w:id="82" w:name="_Ref484670107"/>
      <w:r>
        <w:t xml:space="preserve">Table </w:t>
      </w:r>
      <w:fldSimple w:instr=" STYLEREF 1 \s ">
        <w:r w:rsidR="00724747">
          <w:rPr>
            <w:noProof/>
          </w:rPr>
          <w:t>6</w:t>
        </w:r>
      </w:fldSimple>
      <w:r>
        <w:t>.</w:t>
      </w:r>
      <w:fldSimple w:instr=" SEQ Table \* ARABIC \s 1 ">
        <w:r w:rsidR="00724747">
          <w:rPr>
            <w:noProof/>
          </w:rPr>
          <w:t>4</w:t>
        </w:r>
      </w:fldSimple>
      <w:bookmarkEnd w:id="82"/>
      <w:r w:rsidR="00546EAA" w:rsidRPr="00546EAA">
        <w:tab/>
        <w:t xml:space="preserve">APA's </w:t>
      </w:r>
      <w:r w:rsidR="00276236">
        <w:t>p</w:t>
      </w:r>
      <w:r w:rsidR="00546EAA" w:rsidRPr="00546EAA">
        <w:t>roposed capex</w:t>
      </w:r>
      <w:r w:rsidR="00A103FD">
        <w:t>,</w:t>
      </w:r>
      <w:r w:rsidR="00546EAA" w:rsidRPr="00546EAA">
        <w:t xml:space="preserve"> 2018–22 ($million, 2017)</w:t>
      </w:r>
    </w:p>
    <w:tbl>
      <w:tblPr>
        <w:tblStyle w:val="AERtable-numbers"/>
        <w:tblW w:w="5000" w:type="pct"/>
        <w:tblLook w:val="04A0" w:firstRow="1" w:lastRow="0" w:firstColumn="1" w:lastColumn="0" w:noHBand="0" w:noVBand="1"/>
      </w:tblPr>
      <w:tblGrid>
        <w:gridCol w:w="2036"/>
        <w:gridCol w:w="1111"/>
        <w:gridCol w:w="1111"/>
        <w:gridCol w:w="1111"/>
        <w:gridCol w:w="1109"/>
        <w:gridCol w:w="1109"/>
        <w:gridCol w:w="1106"/>
      </w:tblGrid>
      <w:tr w:rsidR="00546EAA" w:rsidRPr="004F416F" w14:paraId="7EEFAFEF" w14:textId="77777777" w:rsidTr="00566B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1" w:type="pct"/>
            <w:hideMark/>
          </w:tcPr>
          <w:p w14:paraId="052DFAC1" w14:textId="77777777" w:rsidR="00546EAA" w:rsidRPr="00546EAA" w:rsidRDefault="00546EAA" w:rsidP="00D24DD7">
            <w:pPr>
              <w:keepNext/>
              <w:rPr>
                <w:rFonts w:eastAsiaTheme="minorHAnsi" w:cstheme="minorBidi"/>
                <w:b w:val="0"/>
                <w:color w:val="auto"/>
                <w:sz w:val="22"/>
                <w:szCs w:val="22"/>
                <w:lang w:eastAsia="en-US"/>
              </w:rPr>
            </w:pPr>
            <w:r w:rsidRPr="00546EAA">
              <w:t> Category</w:t>
            </w:r>
          </w:p>
        </w:tc>
        <w:tc>
          <w:tcPr>
            <w:tcW w:w="639" w:type="pct"/>
            <w:hideMark/>
          </w:tcPr>
          <w:p w14:paraId="4FF97197"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2018</w:t>
            </w:r>
          </w:p>
        </w:tc>
        <w:tc>
          <w:tcPr>
            <w:tcW w:w="639" w:type="pct"/>
            <w:hideMark/>
          </w:tcPr>
          <w:p w14:paraId="2F877F87"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2019</w:t>
            </w:r>
          </w:p>
        </w:tc>
        <w:tc>
          <w:tcPr>
            <w:tcW w:w="639" w:type="pct"/>
            <w:hideMark/>
          </w:tcPr>
          <w:p w14:paraId="7C34376E"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2020</w:t>
            </w:r>
          </w:p>
        </w:tc>
        <w:tc>
          <w:tcPr>
            <w:tcW w:w="638" w:type="pct"/>
            <w:hideMark/>
          </w:tcPr>
          <w:p w14:paraId="7A3F6B8C"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2021</w:t>
            </w:r>
          </w:p>
        </w:tc>
        <w:tc>
          <w:tcPr>
            <w:tcW w:w="638" w:type="pct"/>
            <w:hideMark/>
          </w:tcPr>
          <w:p w14:paraId="6E0DCBF9"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2022</w:t>
            </w:r>
          </w:p>
        </w:tc>
        <w:tc>
          <w:tcPr>
            <w:tcW w:w="636" w:type="pct"/>
          </w:tcPr>
          <w:p w14:paraId="225701E0" w14:textId="77777777" w:rsidR="00546EAA" w:rsidRPr="00546EAA" w:rsidRDefault="00546EAA" w:rsidP="00D24DD7">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46EAA">
              <w:t>Total</w:t>
            </w:r>
          </w:p>
        </w:tc>
      </w:tr>
      <w:tr w:rsidR="00276236" w:rsidRPr="004F416F" w14:paraId="787BC0D3" w14:textId="77777777" w:rsidTr="006A1C48">
        <w:trPr>
          <w:trHeight w:val="300"/>
        </w:trPr>
        <w:tc>
          <w:tcPr>
            <w:cnfStyle w:val="001000000000" w:firstRow="0" w:lastRow="0" w:firstColumn="1" w:lastColumn="0" w:oddVBand="0" w:evenVBand="0" w:oddHBand="0" w:evenHBand="0" w:firstRowFirstColumn="0" w:firstRowLastColumn="0" w:lastRowFirstColumn="0" w:lastRowLastColumn="0"/>
            <w:tcW w:w="1171" w:type="pct"/>
          </w:tcPr>
          <w:p w14:paraId="4C3D618E" w14:textId="77777777" w:rsidR="00276236" w:rsidRPr="00276236" w:rsidRDefault="00276236" w:rsidP="00D24DD7">
            <w:pPr>
              <w:keepNext/>
              <w:rPr>
                <w:rFonts w:eastAsiaTheme="minorHAnsi" w:cstheme="minorBidi"/>
                <w:sz w:val="22"/>
                <w:szCs w:val="22"/>
                <w:lang w:eastAsia="en-US"/>
              </w:rPr>
            </w:pPr>
            <w:r w:rsidRPr="00276236">
              <w:t>Augmentation</w:t>
            </w:r>
          </w:p>
        </w:tc>
        <w:tc>
          <w:tcPr>
            <w:tcW w:w="639" w:type="pct"/>
            <w:vAlign w:val="top"/>
          </w:tcPr>
          <w:p w14:paraId="69D456A1" w14:textId="397C9A40"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44.4 </w:t>
            </w:r>
          </w:p>
        </w:tc>
        <w:tc>
          <w:tcPr>
            <w:tcW w:w="639" w:type="pct"/>
            <w:vAlign w:val="top"/>
          </w:tcPr>
          <w:p w14:paraId="120C5AB9" w14:textId="4C22AAEF"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49.7 </w:t>
            </w:r>
          </w:p>
        </w:tc>
        <w:tc>
          <w:tcPr>
            <w:tcW w:w="639" w:type="pct"/>
            <w:vAlign w:val="top"/>
          </w:tcPr>
          <w:p w14:paraId="7F0124D3" w14:textId="6AF479FA"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60.9 </w:t>
            </w:r>
          </w:p>
        </w:tc>
        <w:tc>
          <w:tcPr>
            <w:tcW w:w="638" w:type="pct"/>
            <w:vAlign w:val="top"/>
          </w:tcPr>
          <w:p w14:paraId="69EEA6A4" w14:textId="3746C015"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  </w:t>
            </w:r>
          </w:p>
        </w:tc>
        <w:tc>
          <w:tcPr>
            <w:tcW w:w="638" w:type="pct"/>
            <w:vAlign w:val="top"/>
          </w:tcPr>
          <w:p w14:paraId="037BC251" w14:textId="339EFE8D"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  </w:t>
            </w:r>
          </w:p>
        </w:tc>
        <w:tc>
          <w:tcPr>
            <w:tcW w:w="636" w:type="pct"/>
            <w:vAlign w:val="top"/>
          </w:tcPr>
          <w:p w14:paraId="3DDA3DA5" w14:textId="68D4A4B9"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155.1 </w:t>
            </w:r>
          </w:p>
        </w:tc>
      </w:tr>
      <w:tr w:rsidR="00276236" w:rsidRPr="004F416F" w14:paraId="1845B74B" w14:textId="77777777" w:rsidTr="006A1C4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14:paraId="3EA14F58" w14:textId="77777777" w:rsidR="00276236" w:rsidRPr="00276236" w:rsidRDefault="00276236" w:rsidP="00D24DD7">
            <w:pPr>
              <w:keepNext/>
              <w:rPr>
                <w:rFonts w:eastAsiaTheme="minorHAnsi" w:cstheme="minorBidi"/>
                <w:b/>
                <w:bCs/>
                <w:sz w:val="22"/>
                <w:szCs w:val="22"/>
                <w:lang w:eastAsia="en-US"/>
              </w:rPr>
            </w:pPr>
            <w:r w:rsidRPr="00276236">
              <w:t>Refurbishment and Upgrade</w:t>
            </w:r>
          </w:p>
        </w:tc>
        <w:tc>
          <w:tcPr>
            <w:tcW w:w="639" w:type="pct"/>
            <w:vAlign w:val="top"/>
          </w:tcPr>
          <w:p w14:paraId="4D6DC400" w14:textId="26FD0527"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76236">
              <w:t xml:space="preserve"> 29.1 </w:t>
            </w:r>
          </w:p>
        </w:tc>
        <w:tc>
          <w:tcPr>
            <w:tcW w:w="639" w:type="pct"/>
            <w:vAlign w:val="top"/>
          </w:tcPr>
          <w:p w14:paraId="07051676" w14:textId="5A44C4EB"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76236">
              <w:t xml:space="preserve"> 18.6 </w:t>
            </w:r>
          </w:p>
        </w:tc>
        <w:tc>
          <w:tcPr>
            <w:tcW w:w="639" w:type="pct"/>
            <w:vAlign w:val="top"/>
          </w:tcPr>
          <w:p w14:paraId="693B53E7" w14:textId="7E10C24E"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76236">
              <w:t xml:space="preserve"> 9.5 </w:t>
            </w:r>
          </w:p>
        </w:tc>
        <w:tc>
          <w:tcPr>
            <w:tcW w:w="638" w:type="pct"/>
            <w:vAlign w:val="top"/>
          </w:tcPr>
          <w:p w14:paraId="240EB71C" w14:textId="33965929"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76236">
              <w:t xml:space="preserve"> 14.2 </w:t>
            </w:r>
          </w:p>
        </w:tc>
        <w:tc>
          <w:tcPr>
            <w:tcW w:w="638" w:type="pct"/>
            <w:vAlign w:val="top"/>
          </w:tcPr>
          <w:p w14:paraId="6393801E" w14:textId="27ACE5B1"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276236">
              <w:t xml:space="preserve"> 12.6 </w:t>
            </w:r>
          </w:p>
        </w:tc>
        <w:tc>
          <w:tcPr>
            <w:tcW w:w="636" w:type="pct"/>
            <w:vAlign w:val="top"/>
          </w:tcPr>
          <w:p w14:paraId="2CA6DBA9" w14:textId="72A57AF8"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84.1 </w:t>
            </w:r>
          </w:p>
        </w:tc>
      </w:tr>
      <w:tr w:rsidR="00276236" w:rsidRPr="004F416F" w14:paraId="75A18780" w14:textId="77777777" w:rsidTr="006A1C48">
        <w:trPr>
          <w:trHeight w:val="300"/>
        </w:trPr>
        <w:tc>
          <w:tcPr>
            <w:cnfStyle w:val="001000000000" w:firstRow="0" w:lastRow="0" w:firstColumn="1" w:lastColumn="0" w:oddVBand="0" w:evenVBand="0" w:oddHBand="0" w:evenHBand="0" w:firstRowFirstColumn="0" w:firstRowLastColumn="0" w:lastRowFirstColumn="0" w:lastRowLastColumn="0"/>
            <w:tcW w:w="1171" w:type="pct"/>
          </w:tcPr>
          <w:p w14:paraId="45956401" w14:textId="77777777" w:rsidR="00276236" w:rsidRPr="00276236" w:rsidRDefault="00276236" w:rsidP="00D24DD7">
            <w:pPr>
              <w:keepNext/>
              <w:rPr>
                <w:rFonts w:eastAsiaTheme="minorHAnsi" w:cstheme="minorBidi"/>
                <w:b/>
                <w:bCs/>
                <w:sz w:val="22"/>
                <w:szCs w:val="22"/>
                <w:lang w:eastAsia="en-US"/>
              </w:rPr>
            </w:pPr>
            <w:r w:rsidRPr="00276236">
              <w:t xml:space="preserve">Non-system </w:t>
            </w:r>
          </w:p>
        </w:tc>
        <w:tc>
          <w:tcPr>
            <w:tcW w:w="639" w:type="pct"/>
            <w:vAlign w:val="top"/>
          </w:tcPr>
          <w:p w14:paraId="0F2A5734" w14:textId="22BA6AB9"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4.2 </w:t>
            </w:r>
          </w:p>
        </w:tc>
        <w:tc>
          <w:tcPr>
            <w:tcW w:w="639" w:type="pct"/>
            <w:vAlign w:val="top"/>
          </w:tcPr>
          <w:p w14:paraId="66601B63" w14:textId="78432A48"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3.6 </w:t>
            </w:r>
          </w:p>
        </w:tc>
        <w:tc>
          <w:tcPr>
            <w:tcW w:w="639" w:type="pct"/>
            <w:vAlign w:val="top"/>
          </w:tcPr>
          <w:p w14:paraId="10079955" w14:textId="4FA4C331"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3.3 </w:t>
            </w:r>
          </w:p>
        </w:tc>
        <w:tc>
          <w:tcPr>
            <w:tcW w:w="638" w:type="pct"/>
            <w:vAlign w:val="top"/>
          </w:tcPr>
          <w:p w14:paraId="0E9208BB" w14:textId="1DA48442"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3.6 </w:t>
            </w:r>
          </w:p>
        </w:tc>
        <w:tc>
          <w:tcPr>
            <w:tcW w:w="638" w:type="pct"/>
            <w:vAlign w:val="top"/>
          </w:tcPr>
          <w:p w14:paraId="13659FEA" w14:textId="0400B6F4"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276236">
              <w:t xml:space="preserve"> 2.3 </w:t>
            </w:r>
          </w:p>
        </w:tc>
        <w:tc>
          <w:tcPr>
            <w:tcW w:w="636" w:type="pct"/>
            <w:vAlign w:val="top"/>
          </w:tcPr>
          <w:p w14:paraId="3CB48D67" w14:textId="436E8E61" w:rsidR="00276236" w:rsidRPr="00276236" w:rsidRDefault="00276236" w:rsidP="00D24DD7">
            <w:pPr>
              <w:keepNext/>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16.9 </w:t>
            </w:r>
          </w:p>
        </w:tc>
      </w:tr>
      <w:tr w:rsidR="00276236" w:rsidRPr="006B39E7" w14:paraId="1EE115A7" w14:textId="77777777" w:rsidTr="006A1C4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14:paraId="50D82698" w14:textId="77777777" w:rsidR="00276236" w:rsidRPr="00276236" w:rsidRDefault="00276236" w:rsidP="00D24DD7">
            <w:pPr>
              <w:keepNext/>
              <w:rPr>
                <w:rStyle w:val="Strong"/>
                <w:rFonts w:eastAsiaTheme="minorHAnsi" w:cstheme="minorBidi"/>
                <w:sz w:val="22"/>
                <w:szCs w:val="22"/>
                <w:lang w:eastAsia="en-US"/>
              </w:rPr>
            </w:pPr>
            <w:r w:rsidRPr="00276236">
              <w:rPr>
                <w:rStyle w:val="Strong"/>
              </w:rPr>
              <w:t>TOTAL CAPEX</w:t>
            </w:r>
          </w:p>
        </w:tc>
        <w:tc>
          <w:tcPr>
            <w:tcW w:w="639" w:type="pct"/>
            <w:vAlign w:val="top"/>
          </w:tcPr>
          <w:p w14:paraId="0F4D810B" w14:textId="04DFE265"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77.7 </w:t>
            </w:r>
          </w:p>
        </w:tc>
        <w:tc>
          <w:tcPr>
            <w:tcW w:w="639" w:type="pct"/>
            <w:vAlign w:val="top"/>
          </w:tcPr>
          <w:p w14:paraId="2B5C4516" w14:textId="4F68CC62"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71.9 </w:t>
            </w:r>
          </w:p>
        </w:tc>
        <w:tc>
          <w:tcPr>
            <w:tcW w:w="639" w:type="pct"/>
            <w:vAlign w:val="top"/>
          </w:tcPr>
          <w:p w14:paraId="0DD3186A" w14:textId="755BBD1A"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73.7 </w:t>
            </w:r>
          </w:p>
        </w:tc>
        <w:tc>
          <w:tcPr>
            <w:tcW w:w="638" w:type="pct"/>
            <w:vAlign w:val="top"/>
          </w:tcPr>
          <w:p w14:paraId="765C4F8E" w14:textId="51A143F7"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17.8 </w:t>
            </w:r>
          </w:p>
        </w:tc>
        <w:tc>
          <w:tcPr>
            <w:tcW w:w="638" w:type="pct"/>
            <w:vAlign w:val="top"/>
          </w:tcPr>
          <w:p w14:paraId="4E64EB81" w14:textId="08DD174A"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14.9 </w:t>
            </w:r>
          </w:p>
        </w:tc>
        <w:tc>
          <w:tcPr>
            <w:tcW w:w="636" w:type="pct"/>
            <w:vAlign w:val="top"/>
          </w:tcPr>
          <w:p w14:paraId="10AB8384" w14:textId="52A373B9" w:rsidR="00276236" w:rsidRPr="00276236" w:rsidRDefault="00276236" w:rsidP="00D24DD7">
            <w:pPr>
              <w:keepNext/>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276236">
              <w:rPr>
                <w:rStyle w:val="Strong"/>
              </w:rPr>
              <w:t xml:space="preserve"> 256.1 </w:t>
            </w:r>
          </w:p>
        </w:tc>
      </w:tr>
    </w:tbl>
    <w:p w14:paraId="422745B8" w14:textId="77777777" w:rsidR="003A6CD9" w:rsidRDefault="008C6C52" w:rsidP="00D24DD7">
      <w:pPr>
        <w:pStyle w:val="AERtablesource"/>
        <w:keepNext/>
        <w:rPr>
          <w:rStyle w:val="AERbody"/>
          <w:rFonts w:eastAsiaTheme="minorHAnsi" w:cstheme="minorBidi"/>
          <w:szCs w:val="22"/>
        </w:rPr>
      </w:pPr>
      <w:r w:rsidRPr="002D5654">
        <w:t xml:space="preserve">Source: </w:t>
      </w:r>
      <w:r w:rsidRPr="002D5654">
        <w:tab/>
      </w:r>
      <w:r w:rsidR="003A6CD9">
        <w:t xml:space="preserve">APA May 2017 Victorian Transmission System </w:t>
      </w:r>
      <w:r w:rsidR="003A6CD9" w:rsidRPr="003A6CD9">
        <w:rPr>
          <w:rStyle w:val="AERtextitalic"/>
        </w:rPr>
        <w:t>Supplementary Capex Submission</w:t>
      </w:r>
      <w:r w:rsidR="003A6CD9">
        <w:rPr>
          <w:rStyle w:val="AERtextitalic"/>
        </w:rPr>
        <w:t>.</w:t>
      </w:r>
      <w:r w:rsidR="003A6CD9" w:rsidRPr="003A6CD9">
        <w:rPr>
          <w:rStyle w:val="AERbody"/>
        </w:rPr>
        <w:t xml:space="preserve"> </w:t>
      </w:r>
    </w:p>
    <w:p w14:paraId="3BC3C898" w14:textId="77AA7E0E" w:rsidR="008C6C52" w:rsidRDefault="008C6C52" w:rsidP="00D24DD7">
      <w:pPr>
        <w:pStyle w:val="AERtablesource"/>
        <w:keepNext/>
      </w:pPr>
      <w:r w:rsidRPr="002D5654">
        <w:t>Totals may not add due to rounding.</w:t>
      </w:r>
    </w:p>
    <w:p w14:paraId="2D740078" w14:textId="77777777" w:rsidR="00546EAA" w:rsidRPr="00546EAA" w:rsidRDefault="00546EAA" w:rsidP="00546EAA">
      <w:pPr>
        <w:pStyle w:val="Heading2"/>
      </w:pPr>
      <w:bookmarkStart w:id="83" w:name="_Toc486855300"/>
      <w:r w:rsidRPr="00546EAA">
        <w:t>Assessment approach</w:t>
      </w:r>
      <w:bookmarkEnd w:id="83"/>
    </w:p>
    <w:p w14:paraId="5642C95E" w14:textId="6F975635" w:rsidR="00546EAA" w:rsidRPr="00546EAA" w:rsidRDefault="00546EAA" w:rsidP="00546EAA">
      <w:r w:rsidRPr="00546EAA">
        <w:t>We must make two decisions regarding APA’s capex. First, we are required to assess past capex and determine whether it is conforming capex to be added to the opening capital base.</w:t>
      </w:r>
      <w:r w:rsidRPr="00546EAA">
        <w:rPr>
          <w:rStyle w:val="FootnoteReference"/>
        </w:rPr>
        <w:footnoteReference w:id="10"/>
      </w:r>
      <w:r w:rsidRPr="00546EAA">
        <w:t xml:space="preserve"> Secondly, we are required to assess APA’s forecast of required capex for the 2018–22 </w:t>
      </w:r>
      <w:r w:rsidR="00013748" w:rsidRPr="00013748">
        <w:t xml:space="preserve">access arrangement </w:t>
      </w:r>
      <w:r w:rsidRPr="00546EAA">
        <w:t>period to determine whether it is conforming capex. Capex will be ‘conforming’ if it meets the requirements of the new capex criteria under the NGR.</w:t>
      </w:r>
      <w:r w:rsidRPr="00546EAA">
        <w:rPr>
          <w:rStyle w:val="FootnoteReference"/>
        </w:rPr>
        <w:footnoteReference w:id="11"/>
      </w:r>
      <w:r w:rsidRPr="00546EAA">
        <w:t xml:space="preserve"> We have limited discretion when deciding whether capex conf</w:t>
      </w:r>
      <w:r w:rsidR="00B91E13">
        <w:t>or</w:t>
      </w:r>
      <w:r w:rsidRPr="00546EAA">
        <w:t>ms with the new capex criteria.</w:t>
      </w:r>
      <w:r w:rsidRPr="00546EAA">
        <w:rPr>
          <w:rStyle w:val="FootnoteReference"/>
        </w:rPr>
        <w:footnoteReference w:id="12"/>
      </w:r>
      <w:r w:rsidRPr="00546EAA">
        <w:t xml:space="preserve"> This means that we must approve the capex if we are satisfied it complies with the applicable requirements of the NGR and NGL and is consistent with the criteria set out in the NGR or NGL.</w:t>
      </w:r>
      <w:r w:rsidRPr="00546EAA">
        <w:rPr>
          <w:rStyle w:val="FootnoteReference"/>
        </w:rPr>
        <w:footnoteReference w:id="13"/>
      </w:r>
    </w:p>
    <w:p w14:paraId="5B3409D1" w14:textId="416C0D8F" w:rsidR="00546EAA" w:rsidRPr="00546EAA" w:rsidRDefault="00546EAA" w:rsidP="00546EAA">
      <w:pPr>
        <w:rPr>
          <w:rStyle w:val="AERtexthighlight"/>
        </w:rPr>
      </w:pPr>
      <w:r w:rsidRPr="00546EAA">
        <w:t>The following sections set out our approach</w:t>
      </w:r>
      <w:r w:rsidR="00A103FD">
        <w:t>,</w:t>
      </w:r>
      <w:r w:rsidRPr="00546EAA">
        <w:t xml:space="preserve"> and the tools and techniques</w:t>
      </w:r>
      <w:r w:rsidR="00A103FD">
        <w:t>,</w:t>
      </w:r>
      <w:r w:rsidRPr="00546EAA">
        <w:t xml:space="preserve"> we employ in </w:t>
      </w:r>
      <w:r w:rsidR="00A103FD">
        <w:t>addressing these decision criteria</w:t>
      </w:r>
      <w:r w:rsidRPr="00546EAA">
        <w:t xml:space="preserve">. We also need to take into account timing issues associated with the lag between actual capex data being available in the last year of the 2013–17 </w:t>
      </w:r>
      <w:r w:rsidR="00013748" w:rsidRPr="00013748">
        <w:t xml:space="preserve">access arrangement </w:t>
      </w:r>
      <w:r w:rsidRPr="00546EAA">
        <w:t xml:space="preserve">period and the need to forecast an opening capital base for the 2018–22 </w:t>
      </w:r>
      <w:r w:rsidR="00CD71E4">
        <w:t>access arrangement period</w:t>
      </w:r>
      <w:r w:rsidRPr="00546EAA">
        <w:t xml:space="preserve">. This is explained in the next section. </w:t>
      </w:r>
    </w:p>
    <w:p w14:paraId="76697BA0" w14:textId="581EC33B" w:rsidR="00546EAA" w:rsidRPr="00546EAA" w:rsidRDefault="00546EAA" w:rsidP="00D24DD7">
      <w:pPr>
        <w:pStyle w:val="Heading3"/>
        <w:ind w:left="720"/>
      </w:pPr>
      <w:bookmarkStart w:id="84" w:name="_Toc476651837"/>
      <w:bookmarkStart w:id="85" w:name="_Toc486855301"/>
      <w:r w:rsidRPr="00546EAA">
        <w:t>Capex in the 2013–17</w:t>
      </w:r>
      <w:r w:rsidR="00CE01B6">
        <w:t xml:space="preserve"> </w:t>
      </w:r>
      <w:r w:rsidR="000C1660">
        <w:t>Access Arrangement</w:t>
      </w:r>
      <w:r w:rsidRPr="00546EAA">
        <w:t xml:space="preserve"> period</w:t>
      </w:r>
      <w:bookmarkEnd w:id="84"/>
      <w:bookmarkEnd w:id="85"/>
    </w:p>
    <w:p w14:paraId="47B8AE1F" w14:textId="6950F446" w:rsidR="00546EAA" w:rsidRPr="00546EAA" w:rsidRDefault="00546EAA" w:rsidP="00546EAA">
      <w:r w:rsidRPr="00546EAA">
        <w:t xml:space="preserve">We reviewed APA's submission and supporting material to assess its proposed capex for the 2013–17 </w:t>
      </w:r>
      <w:r w:rsidR="00CD71E4">
        <w:t>access arrangement period</w:t>
      </w:r>
      <w:r w:rsidRPr="00546EAA">
        <w:t xml:space="preserve">. This included information on APA's reasoning and, where relevant, business cases, responses to information requests and other relevant information. We used this information to identify whether capex over the 2013–17 </w:t>
      </w:r>
      <w:r w:rsidR="00CD71E4">
        <w:t>access arrangement period</w:t>
      </w:r>
      <w:r w:rsidRPr="00546EAA">
        <w:t xml:space="preserve"> was conforming capex and, in turn, whether that capex should be included in the opening capital base.</w:t>
      </w:r>
      <w:r w:rsidRPr="00546EAA">
        <w:rPr>
          <w:rStyle w:val="FootnoteReference"/>
        </w:rPr>
        <w:footnoteReference w:id="14"/>
      </w:r>
      <w:r w:rsidRPr="00546EAA">
        <w:t xml:space="preserve"> </w:t>
      </w:r>
    </w:p>
    <w:p w14:paraId="12FCC4FD" w14:textId="77777777" w:rsidR="00546EAA" w:rsidRPr="00546EAA" w:rsidRDefault="00546EAA" w:rsidP="00546EAA">
      <w:pPr>
        <w:rPr>
          <w:rStyle w:val="AERbody"/>
        </w:rPr>
      </w:pPr>
      <w:r w:rsidRPr="00546EAA">
        <w:rPr>
          <w:rStyle w:val="AERbody"/>
        </w:rPr>
        <w:t>We consider the following when determining the opening capital base for 2018–22:</w:t>
      </w:r>
    </w:p>
    <w:p w14:paraId="42A8A11C" w14:textId="77777777" w:rsidR="00546EAA" w:rsidRPr="00546EAA" w:rsidRDefault="00546EAA" w:rsidP="00D24DD7">
      <w:pPr>
        <w:pStyle w:val="AERbulletlistfirststyle"/>
        <w:rPr>
          <w:rStyle w:val="AERbody"/>
        </w:rPr>
      </w:pPr>
      <w:r w:rsidRPr="00546EAA">
        <w:rPr>
          <w:rStyle w:val="AERbody"/>
        </w:rPr>
        <w:t>2013–16 capex— since we have actual capex data for these years, we have assessed whether this is conforming capex under the NGR.</w:t>
      </w:r>
      <w:r w:rsidRPr="00546EAA">
        <w:rPr>
          <w:rStyle w:val="FootnoteReference"/>
        </w:rPr>
        <w:footnoteReference w:id="15"/>
      </w:r>
      <w:r w:rsidRPr="00546EAA">
        <w:rPr>
          <w:rStyle w:val="AERbody"/>
        </w:rPr>
        <w:t xml:space="preserve"> We have included conforming capex in the capital base roll forward.</w:t>
      </w:r>
      <w:r w:rsidRPr="00546EAA">
        <w:rPr>
          <w:rStyle w:val="FootnoteReference"/>
        </w:rPr>
        <w:footnoteReference w:id="16"/>
      </w:r>
    </w:p>
    <w:p w14:paraId="5A398018" w14:textId="2E5A7B8B" w:rsidR="00546EAA" w:rsidRPr="00546EAA" w:rsidRDefault="00546EAA" w:rsidP="00D24DD7">
      <w:pPr>
        <w:pStyle w:val="AERbulletlistfirststyle"/>
        <w:rPr>
          <w:rStyle w:val="AERbody"/>
        </w:rPr>
      </w:pPr>
      <w:r w:rsidRPr="00546EAA">
        <w:rPr>
          <w:rStyle w:val="AERbody"/>
        </w:rPr>
        <w:t xml:space="preserve">2017 capex—for this </w:t>
      </w:r>
      <w:r w:rsidR="00013748">
        <w:t xml:space="preserve">access </w:t>
      </w:r>
      <w:r w:rsidR="008510AD">
        <w:t>arrangement</w:t>
      </w:r>
      <w:r w:rsidR="008510AD" w:rsidRPr="00546EAA">
        <w:t xml:space="preserve"> </w:t>
      </w:r>
      <w:r w:rsidR="008510AD" w:rsidRPr="00546EAA">
        <w:rPr>
          <w:rStyle w:val="AERbody"/>
        </w:rPr>
        <w:t>review</w:t>
      </w:r>
      <w:r w:rsidRPr="00546EAA">
        <w:rPr>
          <w:rStyle w:val="AERbody"/>
        </w:rPr>
        <w:t xml:space="preserve">, we do not yet have actual capex for 2017 and so must rely on a forecast. For this decision, we have assessed whether this forecast is conforming capex under the NGR. </w:t>
      </w:r>
      <w:r w:rsidR="00A103FD">
        <w:rPr>
          <w:rStyle w:val="AERbody"/>
        </w:rPr>
        <w:t>When</w:t>
      </w:r>
      <w:r w:rsidR="009445DB">
        <w:rPr>
          <w:rStyle w:val="AERbody"/>
        </w:rPr>
        <w:t xml:space="preserve"> we receive the 2023</w:t>
      </w:r>
      <w:r w:rsidR="00ED2C66">
        <w:rPr>
          <w:rStyle w:val="AERbody"/>
        </w:rPr>
        <w:t>–</w:t>
      </w:r>
      <w:r w:rsidR="009445DB">
        <w:rPr>
          <w:rStyle w:val="AERbody"/>
        </w:rPr>
        <w:t xml:space="preserve">27 access arrangement proposal, </w:t>
      </w:r>
      <w:r w:rsidRPr="00546EAA">
        <w:rPr>
          <w:rStyle w:val="AERbody"/>
        </w:rPr>
        <w:t>we will assess whether APA’s actual capex for 2017 is conforming capex under the NGR, and adjust for any differences between actual and estimated capex.</w:t>
      </w:r>
      <w:r w:rsidRPr="00546EAA">
        <w:rPr>
          <w:rStyle w:val="FootnoteReference"/>
        </w:rPr>
        <w:footnoteReference w:id="17"/>
      </w:r>
    </w:p>
    <w:p w14:paraId="6AF3F926" w14:textId="77777777" w:rsidR="00546EAA" w:rsidRPr="00546EAA" w:rsidRDefault="00546EAA" w:rsidP="00D24DD7">
      <w:pPr>
        <w:pStyle w:val="Heading3"/>
        <w:ind w:left="720"/>
      </w:pPr>
      <w:bookmarkStart w:id="86" w:name="_Toc476651838"/>
      <w:bookmarkStart w:id="87" w:name="_Toc486855302"/>
      <w:r w:rsidRPr="00546EAA">
        <w:t>Capex for the 2018–22 access arrangement period</w:t>
      </w:r>
      <w:bookmarkEnd w:id="86"/>
      <w:bookmarkEnd w:id="87"/>
    </w:p>
    <w:p w14:paraId="2CAA1E3E" w14:textId="4A0F4C11" w:rsidR="00546EAA" w:rsidRPr="00546EAA" w:rsidRDefault="00546EAA" w:rsidP="00546EAA">
      <w:pPr>
        <w:rPr>
          <w:rStyle w:val="AERbody"/>
        </w:rPr>
      </w:pPr>
      <w:r w:rsidRPr="00546EAA">
        <w:t>We have assessed the key</w:t>
      </w:r>
      <w:r w:rsidRPr="00546EAA">
        <w:rPr>
          <w:rStyle w:val="AERbody"/>
        </w:rPr>
        <w:t xml:space="preserve"> drivers of forecast capex to consider whether </w:t>
      </w:r>
      <w:r w:rsidRPr="00546EAA">
        <w:t>APA's</w:t>
      </w:r>
      <w:r w:rsidRPr="00546EAA">
        <w:rPr>
          <w:rStyle w:val="AERbody"/>
        </w:rPr>
        <w:t xml:space="preserve"> proposed capex complies with the capex criteria.</w:t>
      </w:r>
      <w:r w:rsidRPr="00546EAA">
        <w:rPr>
          <w:rStyle w:val="FootnoteReference"/>
        </w:rPr>
        <w:footnoteReference w:id="18"/>
      </w:r>
      <w:r w:rsidRPr="00546EAA">
        <w:rPr>
          <w:rStyle w:val="AERbody"/>
        </w:rPr>
        <w:t xml:space="preserve"> In doing so, we relied on information, including:</w:t>
      </w:r>
    </w:p>
    <w:p w14:paraId="1556F8AF" w14:textId="07E8F16F" w:rsidR="00546EAA" w:rsidRPr="00546EAA" w:rsidRDefault="00546EAA" w:rsidP="00D24DD7">
      <w:pPr>
        <w:pStyle w:val="AERbulletlistfirststyle"/>
      </w:pPr>
      <w:r w:rsidRPr="00546EAA">
        <w:t xml:space="preserve">the </w:t>
      </w:r>
      <w:r w:rsidR="00013748">
        <w:t>access arrangement</w:t>
      </w:r>
      <w:r w:rsidR="00013748" w:rsidRPr="00546EAA">
        <w:t xml:space="preserve"> </w:t>
      </w:r>
      <w:r w:rsidRPr="00546EAA">
        <w:t xml:space="preserve">submission and </w:t>
      </w:r>
      <w:r w:rsidR="00013748">
        <w:t>access arrangement</w:t>
      </w:r>
      <w:r w:rsidR="00013748" w:rsidRPr="00546EAA">
        <w:t xml:space="preserve"> </w:t>
      </w:r>
      <w:r w:rsidRPr="00546EAA">
        <w:t>information</w:t>
      </w:r>
      <w:r w:rsidR="002826F2">
        <w:t>,</w:t>
      </w:r>
      <w:r w:rsidRPr="00546EAA">
        <w:t xml:space="preserve"> which outline </w:t>
      </w:r>
      <w:r w:rsidR="008B73C0">
        <w:t>APA</w:t>
      </w:r>
      <w:r w:rsidRPr="00546EAA">
        <w:t xml:space="preserve">’s capex program and the main drivers of </w:t>
      </w:r>
      <w:r w:rsidR="002826F2">
        <w:t>the projects</w:t>
      </w:r>
    </w:p>
    <w:p w14:paraId="448F01FA" w14:textId="77777777" w:rsidR="00546EAA" w:rsidRPr="00546EAA" w:rsidRDefault="00546EAA" w:rsidP="00D24DD7">
      <w:pPr>
        <w:pStyle w:val="AERbulletlistfirststyle"/>
      </w:pPr>
      <w:r w:rsidRPr="00546EAA">
        <w:t xml:space="preserve">APA's </w:t>
      </w:r>
      <w:r w:rsidRPr="00546EAA">
        <w:rPr>
          <w:rStyle w:val="AERtextitalic"/>
        </w:rPr>
        <w:t>Gas pipeline asset management plan</w:t>
      </w:r>
      <w:r w:rsidRPr="00546EAA">
        <w:t xml:space="preserve">, </w:t>
      </w:r>
      <w:r w:rsidRPr="00546EAA">
        <w:rPr>
          <w:rStyle w:val="AERtextitalic"/>
        </w:rPr>
        <w:t>Pipeline integrity management plan</w:t>
      </w:r>
      <w:r w:rsidRPr="00546EAA">
        <w:t xml:space="preserve"> and associated appendices and reports which provide specific expenditure or technical detail</w:t>
      </w:r>
    </w:p>
    <w:p w14:paraId="3D4BBAB3" w14:textId="77777777" w:rsidR="00546EAA" w:rsidRPr="00546EAA" w:rsidRDefault="00546EAA" w:rsidP="00D24DD7">
      <w:pPr>
        <w:pStyle w:val="AERbulletlistfirststyle"/>
      </w:pPr>
      <w:r w:rsidRPr="00546EAA">
        <w:t>business cases that detail the expenditure requirements for specific projects</w:t>
      </w:r>
    </w:p>
    <w:p w14:paraId="1D462791" w14:textId="77777777" w:rsidR="00546EAA" w:rsidRPr="00546EAA" w:rsidRDefault="00546EAA" w:rsidP="00D24DD7">
      <w:pPr>
        <w:pStyle w:val="AERbulletlistfirststyle"/>
      </w:pPr>
      <w:r w:rsidRPr="00546EAA">
        <w:t>APA’s RIN template response</w:t>
      </w:r>
    </w:p>
    <w:p w14:paraId="2768A48B" w14:textId="77777777" w:rsidR="00546EAA" w:rsidRPr="00546EAA" w:rsidRDefault="00546EAA" w:rsidP="00D24DD7">
      <w:pPr>
        <w:pStyle w:val="AERbulletlistfirststyle"/>
      </w:pPr>
      <w:r w:rsidRPr="00546EAA">
        <w:t>APA’s capex forecast model</w:t>
      </w:r>
    </w:p>
    <w:p w14:paraId="747D2B2E" w14:textId="70CD06DA" w:rsidR="00546EAA" w:rsidRPr="00546EAA" w:rsidRDefault="00546EAA" w:rsidP="00D24DD7">
      <w:pPr>
        <w:pStyle w:val="AERbulletlistfirststyle"/>
      </w:pPr>
      <w:r w:rsidRPr="00546EAA">
        <w:t xml:space="preserve">net present value (NPV) analyses of the incremental revenue associated with </w:t>
      </w:r>
      <w:r w:rsidR="00A103FD">
        <w:t>augmentation</w:t>
      </w:r>
      <w:r w:rsidRPr="00546EAA">
        <w:t xml:space="preserve"> projects</w:t>
      </w:r>
    </w:p>
    <w:p w14:paraId="00EE76E1" w14:textId="50CDBDDF" w:rsidR="00546EAA" w:rsidRPr="00546EAA" w:rsidRDefault="00D35C11" w:rsidP="00D24DD7">
      <w:pPr>
        <w:pStyle w:val="AERbulletlistfirststyle"/>
      </w:pPr>
      <w:r>
        <w:t>e</w:t>
      </w:r>
      <w:r w:rsidR="00976C10" w:rsidRPr="00546EAA">
        <w:t>ngineering</w:t>
      </w:r>
      <w:r w:rsidR="00546EAA" w:rsidRPr="00546EAA">
        <w:t xml:space="preserve"> advice we commissioned from Sleeman Consulting</w:t>
      </w:r>
      <w:r w:rsidR="008C6C52">
        <w:t>.</w:t>
      </w:r>
      <w:r w:rsidR="008C6C52">
        <w:rPr>
          <w:rStyle w:val="FootnoteReference"/>
        </w:rPr>
        <w:footnoteReference w:id="19"/>
      </w:r>
    </w:p>
    <w:p w14:paraId="57535042" w14:textId="77777777" w:rsidR="00546EAA" w:rsidRPr="00546EAA" w:rsidRDefault="00546EAA" w:rsidP="00546EAA">
      <w:r w:rsidRPr="00546EAA">
        <w:t>For each category of capex we considered the scope, timing and cost of the proposed capex in order to form a view on whether it complies with the new capex criteria. We also considered whether cost forecasts were arrived at on a reasonable basis and represent the best forecast possible in the circumstances.</w:t>
      </w:r>
      <w:r w:rsidRPr="00546EAA">
        <w:rPr>
          <w:rStyle w:val="FootnoteReference"/>
        </w:rPr>
        <w:footnoteReference w:id="20"/>
      </w:r>
    </w:p>
    <w:p w14:paraId="323AC87F" w14:textId="77777777" w:rsidR="00546EAA" w:rsidRPr="00546EAA" w:rsidRDefault="00546EAA" w:rsidP="00D24DD7">
      <w:pPr>
        <w:pStyle w:val="Heading3"/>
        <w:keepNext/>
        <w:ind w:left="720"/>
      </w:pPr>
      <w:bookmarkStart w:id="88" w:name="_Toc486855303"/>
      <w:r w:rsidRPr="00546EAA">
        <w:t>Interrelationships</w:t>
      </w:r>
      <w:bookmarkEnd w:id="88"/>
    </w:p>
    <w:p w14:paraId="69B48B97" w14:textId="064DB89B" w:rsidR="006F40FA" w:rsidRDefault="006F40FA" w:rsidP="00D24DD7">
      <w:pPr>
        <w:keepNext/>
      </w:pPr>
      <w:r>
        <w:t xml:space="preserve">There is a link between proposed </w:t>
      </w:r>
      <w:r w:rsidR="00155A93">
        <w:t xml:space="preserve">augmentation </w:t>
      </w:r>
      <w:r>
        <w:t>capex and the demand forecast, which is assessed in Chapter 13.</w:t>
      </w:r>
      <w:r w:rsidR="00155A93">
        <w:t xml:space="preserve"> </w:t>
      </w:r>
      <w:r w:rsidR="00877A0F">
        <w:t>We are</w:t>
      </w:r>
      <w:r w:rsidR="00155A93">
        <w:t xml:space="preserve"> not currently satisfied that</w:t>
      </w:r>
      <w:r w:rsidR="00056262">
        <w:t xml:space="preserve"> all</w:t>
      </w:r>
      <w:r w:rsidR="00155A93">
        <w:t xml:space="preserve"> APA proposed demand forecasts comply with rule 74(2) of the NGR. </w:t>
      </w:r>
      <w:r>
        <w:t xml:space="preserve"> </w:t>
      </w:r>
    </w:p>
    <w:p w14:paraId="2C8240BB" w14:textId="77777777" w:rsidR="00D26749" w:rsidRPr="00D26749" w:rsidRDefault="00D26749" w:rsidP="00D26749">
      <w:r w:rsidRPr="00D26749">
        <w:t xml:space="preserve">Forecast annual demand for gas exports from Victoria remains steady. Over the 2013-2017 access arrangement period, NSW increased its demand and 3 LNG plants were commissioned in Queensland. The VNIE is a response to these changes.  Over the 2018-2022 access arrangement period, forecast annual volume is to remain at the 2017 level. The continual demand for the VNIE impacts the assessment of the project as conforming capex. </w:t>
      </w:r>
    </w:p>
    <w:p w14:paraId="32925128" w14:textId="77777777" w:rsidR="00D26749" w:rsidRDefault="00D26749" w:rsidP="00D26749">
      <w:r>
        <w:t xml:space="preserve">By contrast, the main impetus for the WORM and other augmentation projects such as Warragul lateral is system security. </w:t>
      </w:r>
    </w:p>
    <w:p w14:paraId="0D794C3C" w14:textId="3EA539DE" w:rsidR="00A103FD" w:rsidRDefault="00A103FD" w:rsidP="00A103FD">
      <w:r w:rsidRPr="004149F5">
        <w:t>Forecast customer</w:t>
      </w:r>
      <w:r w:rsidRPr="00793A6C">
        <w:t xml:space="preserve"> numbers and volumes by customer class over the </w:t>
      </w:r>
      <w:r w:rsidR="00CE01B6">
        <w:t xml:space="preserve">2018-22 </w:t>
      </w:r>
      <w:r w:rsidR="00687663">
        <w:t>access arrangement</w:t>
      </w:r>
      <w:r w:rsidRPr="00546EAA">
        <w:t xml:space="preserve"> </w:t>
      </w:r>
      <w:r w:rsidRPr="00793A6C">
        <w:t>period are flat.</w:t>
      </w:r>
      <w:r>
        <w:rPr>
          <w:rStyle w:val="FootnoteReference"/>
        </w:rPr>
        <w:footnoteReference w:id="21"/>
      </w:r>
      <w:r>
        <w:t xml:space="preserve"> Forecast demand for the VTS over the period shows a slight decline.</w:t>
      </w:r>
      <w:r>
        <w:rPr>
          <w:rStyle w:val="FootnoteReference"/>
        </w:rPr>
        <w:footnoteReference w:id="22"/>
      </w:r>
      <w:r>
        <w:t xml:space="preserve"> </w:t>
      </w:r>
      <w:r w:rsidR="00B432D9">
        <w:t>Population growth is being offset by improving appliance efficiency and insulation in Victorian households</w:t>
      </w:r>
      <w:r w:rsidR="009B56C8">
        <w:t>. T</w:t>
      </w:r>
      <w:r w:rsidR="00B432D9">
        <w:t xml:space="preserve">here is </w:t>
      </w:r>
      <w:r w:rsidR="009B56C8">
        <w:t>also declining</w:t>
      </w:r>
      <w:r w:rsidR="00B432D9">
        <w:t xml:space="preserve"> industrial demand due to reduced economic activity. </w:t>
      </w:r>
    </w:p>
    <w:p w14:paraId="63C42497" w14:textId="32C96C81" w:rsidR="00566B39" w:rsidRPr="007E3849" w:rsidRDefault="00D35C11" w:rsidP="00A103FD">
      <w:r>
        <w:t>Finally, t</w:t>
      </w:r>
      <w:r w:rsidR="00A103FD">
        <w:t xml:space="preserve">here are some projects which APA has characterised as capex that we consider are better characterised as opex.  These matters are discussed in section 6.4.2.2 of this draft determination. </w:t>
      </w:r>
      <w:r w:rsidR="00566B39">
        <w:t xml:space="preserve"> </w:t>
      </w:r>
    </w:p>
    <w:p w14:paraId="76BCA35F" w14:textId="77777777" w:rsidR="00DA6E64" w:rsidRPr="00DA6E64" w:rsidRDefault="00DA6E64" w:rsidP="00DA6E64">
      <w:pPr>
        <w:pStyle w:val="Heading2"/>
      </w:pPr>
      <w:bookmarkStart w:id="89" w:name="_Toc486855304"/>
      <w:r w:rsidRPr="00DA6E64">
        <w:t xml:space="preserve">Reasons for </w:t>
      </w:r>
      <w:r w:rsidR="00452C7A">
        <w:t>draft</w:t>
      </w:r>
      <w:r w:rsidRPr="00DA6E64">
        <w:t xml:space="preserve"> decision</w:t>
      </w:r>
      <w:bookmarkEnd w:id="89"/>
      <w:r w:rsidRPr="00DA6E64">
        <w:t xml:space="preserve"> </w:t>
      </w:r>
    </w:p>
    <w:p w14:paraId="3DD470A4" w14:textId="77777777" w:rsidR="00E7067E" w:rsidRPr="0019654E" w:rsidRDefault="00E7067E" w:rsidP="00D24DD7">
      <w:pPr>
        <w:pStyle w:val="Heading3"/>
        <w:ind w:left="720"/>
      </w:pPr>
      <w:bookmarkStart w:id="90" w:name="_Toc476651834"/>
      <w:bookmarkStart w:id="91" w:name="_Toc486855305"/>
      <w:r>
        <w:t>Capital expenditure over the 2013</w:t>
      </w:r>
      <w:r w:rsidRPr="0019654E">
        <w:t>–17 access arrangement period</w:t>
      </w:r>
      <w:bookmarkEnd w:id="90"/>
      <w:bookmarkEnd w:id="91"/>
    </w:p>
    <w:p w14:paraId="19F22A9B" w14:textId="6A8509CB" w:rsidR="00E7067E" w:rsidRDefault="00E7067E" w:rsidP="00C26CC4">
      <w:pPr>
        <w:pStyle w:val="ListParagraph"/>
        <w:numPr>
          <w:ilvl w:val="0"/>
          <w:numId w:val="24"/>
        </w:numPr>
      </w:pPr>
      <w:r w:rsidRPr="00515A97">
        <w:t>We approve net conforming capex of $</w:t>
      </w:r>
      <w:r w:rsidR="00436D1D">
        <w:t>402.</w:t>
      </w:r>
      <w:r w:rsidR="00E436EF">
        <w:t>3</w:t>
      </w:r>
      <w:r w:rsidRPr="00515A97">
        <w:t xml:space="preserve"> million ($201</w:t>
      </w:r>
      <w:r>
        <w:t>7) for the 2013</w:t>
      </w:r>
      <w:r w:rsidRPr="00515A97">
        <w:t xml:space="preserve">–17 </w:t>
      </w:r>
      <w:r w:rsidR="00013748">
        <w:t>access arrangement</w:t>
      </w:r>
      <w:r w:rsidR="00013748" w:rsidRPr="00546EAA">
        <w:t xml:space="preserve"> </w:t>
      </w:r>
      <w:r>
        <w:t xml:space="preserve">period to be included into the opening capital base. This is </w:t>
      </w:r>
      <w:r w:rsidRPr="00515A97">
        <w:t>$</w:t>
      </w:r>
      <w:r w:rsidR="00E436EF">
        <w:t>6.0</w:t>
      </w:r>
      <w:r w:rsidRPr="00515A97">
        <w:t xml:space="preserve"> million ($2017)</w:t>
      </w:r>
      <w:r>
        <w:t xml:space="preserve">, </w:t>
      </w:r>
      <w:r w:rsidRPr="00515A97">
        <w:t xml:space="preserve">or </w:t>
      </w:r>
      <w:r w:rsidR="00436D1D">
        <w:t>1.5</w:t>
      </w:r>
      <w:r w:rsidRPr="00515A97">
        <w:t xml:space="preserve"> per cent</w:t>
      </w:r>
      <w:r>
        <w:t>,</w:t>
      </w:r>
      <w:r w:rsidRPr="00515A97">
        <w:t xml:space="preserve"> </w:t>
      </w:r>
      <w:r>
        <w:t>less than</w:t>
      </w:r>
      <w:r w:rsidRPr="00515A97">
        <w:t xml:space="preserve"> </w:t>
      </w:r>
      <w:r>
        <w:t xml:space="preserve">the </w:t>
      </w:r>
      <w:r w:rsidRPr="00514B4E">
        <w:t>$</w:t>
      </w:r>
      <w:r>
        <w:t>408.3 </w:t>
      </w:r>
      <w:r w:rsidRPr="00514B4E">
        <w:t xml:space="preserve">million ($2017) </w:t>
      </w:r>
      <w:r>
        <w:t xml:space="preserve">proposed by </w:t>
      </w:r>
      <w:r w:rsidRPr="00515A97">
        <w:t>AP</w:t>
      </w:r>
      <w:r>
        <w:t>A</w:t>
      </w:r>
      <w:r w:rsidRPr="00515A97">
        <w:t xml:space="preserve">. </w:t>
      </w:r>
      <w:r>
        <w:t>This is shown by</w:t>
      </w:r>
      <w:r w:rsidRPr="00514B4E">
        <w:t xml:space="preserve"> capex </w:t>
      </w:r>
      <w:r>
        <w:t>category</w:t>
      </w:r>
      <w:r w:rsidRPr="00514B4E">
        <w:t xml:space="preserve"> </w:t>
      </w:r>
      <w:r>
        <w:t xml:space="preserve">in </w:t>
      </w:r>
      <w:r w:rsidR="00205A9B" w:rsidRPr="00205A9B">
        <w:fldChar w:fldCharType="begin"/>
      </w:r>
      <w:r w:rsidR="00205A9B" w:rsidRPr="00205A9B">
        <w:instrText xml:space="preserve"> REF _Ref484670013 \h </w:instrText>
      </w:r>
      <w:r w:rsidR="00205A9B" w:rsidRPr="00205A9B">
        <w:fldChar w:fldCharType="separate"/>
      </w:r>
      <w:r w:rsidR="00724747">
        <w:t xml:space="preserve">Table </w:t>
      </w:r>
      <w:r w:rsidR="00724747">
        <w:rPr>
          <w:noProof/>
        </w:rPr>
        <w:t>6</w:t>
      </w:r>
      <w:r w:rsidR="00724747">
        <w:t>.</w:t>
      </w:r>
      <w:r w:rsidR="00724747">
        <w:rPr>
          <w:noProof/>
        </w:rPr>
        <w:t>1</w:t>
      </w:r>
      <w:r w:rsidR="00205A9B" w:rsidRPr="00205A9B">
        <w:fldChar w:fldCharType="end"/>
      </w:r>
      <w:r w:rsidR="00D35C11">
        <w:t>.</w:t>
      </w:r>
      <w:r w:rsidR="00386BD5" w:rsidRPr="00386BD5">
        <w:t xml:space="preserve"> Our reasons are set out below.</w:t>
      </w:r>
    </w:p>
    <w:p w14:paraId="6FBA0E95" w14:textId="77777777" w:rsidR="00DB79CE" w:rsidRDefault="00DB79CE" w:rsidP="00DB79CE">
      <w:pPr>
        <w:pStyle w:val="Heading4"/>
      </w:pPr>
      <w:bookmarkStart w:id="92" w:name="_Toc476651842"/>
      <w:r>
        <w:t>Augmentation Capex</w:t>
      </w:r>
      <w:bookmarkEnd w:id="92"/>
    </w:p>
    <w:p w14:paraId="724D5D55" w14:textId="3272AD2C" w:rsidR="0054200B" w:rsidRDefault="0054200B" w:rsidP="0054200B">
      <w:pPr>
        <w:pStyle w:val="ListParagraph"/>
        <w:numPr>
          <w:ilvl w:val="0"/>
          <w:numId w:val="24"/>
        </w:numPr>
      </w:pPr>
      <w:r>
        <w:t>Augmentation</w:t>
      </w:r>
      <w:r w:rsidRPr="002F0A39">
        <w:t xml:space="preserve"> capex is required to expand the capacity of the pipeline to meet forecast demand within and beyond the </w:t>
      </w:r>
      <w:r w:rsidR="00687663">
        <w:t>access arrangement</w:t>
      </w:r>
      <w:r>
        <w:t xml:space="preserve"> </w:t>
      </w:r>
      <w:r w:rsidRPr="002F0A39">
        <w:t xml:space="preserve">period under review. </w:t>
      </w:r>
      <w:r>
        <w:t xml:space="preserve">APA incurred </w:t>
      </w:r>
      <w:r w:rsidRPr="002F0A39">
        <w:t>$</w:t>
      </w:r>
      <w:r>
        <w:t>343.8</w:t>
      </w:r>
      <w:r w:rsidRPr="002F0A39">
        <w:t xml:space="preserve"> million ($2017)</w:t>
      </w:r>
      <w:r w:rsidRPr="00BB2D24">
        <w:t xml:space="preserve"> </w:t>
      </w:r>
      <w:r>
        <w:t>in</w:t>
      </w:r>
      <w:r w:rsidRPr="002F0A39">
        <w:t xml:space="preserve"> </w:t>
      </w:r>
      <w:r>
        <w:t>augmentation</w:t>
      </w:r>
      <w:r w:rsidRPr="002F0A39">
        <w:t xml:space="preserve"> </w:t>
      </w:r>
      <w:r>
        <w:t xml:space="preserve">capex during the 2013–17 </w:t>
      </w:r>
      <w:r w:rsidR="00687663">
        <w:t>access arrangement</w:t>
      </w:r>
      <w:r w:rsidRPr="00546EAA">
        <w:t xml:space="preserve"> </w:t>
      </w:r>
      <w:r>
        <w:t xml:space="preserve">period. This </w:t>
      </w:r>
      <w:r w:rsidR="004D4C00">
        <w:t xml:space="preserve">is </w:t>
      </w:r>
      <w:r w:rsidR="00CE01B6">
        <w:t xml:space="preserve">in excess of 200 </w:t>
      </w:r>
      <w:r>
        <w:t xml:space="preserve">per cent </w:t>
      </w:r>
      <w:r w:rsidR="004D4C00">
        <w:t xml:space="preserve">more than </w:t>
      </w:r>
      <w:r>
        <w:t xml:space="preserve">the $98.7 million ($2012) that we included in the 2013–17 </w:t>
      </w:r>
      <w:r w:rsidR="00687663">
        <w:t>access arrangement</w:t>
      </w:r>
      <w:r w:rsidRPr="00806552">
        <w:t xml:space="preserve"> </w:t>
      </w:r>
      <w:r>
        <w:t>forecast</w:t>
      </w:r>
      <w:r w:rsidRPr="002F0A39">
        <w:t xml:space="preserve">. </w:t>
      </w:r>
      <w:r>
        <w:t>Further, this includes the VNIE and South West Pipeline (SWP)</w:t>
      </w:r>
      <w:r w:rsidRPr="005017A8">
        <w:t xml:space="preserve"> </w:t>
      </w:r>
      <w:r>
        <w:t xml:space="preserve">to Anglesea Pipeline projects, but not the Warragul Lateral Expansion project, all of which were included in the 2013–17 </w:t>
      </w:r>
      <w:r w:rsidR="00687663">
        <w:t>access arrangement</w:t>
      </w:r>
      <w:r>
        <w:t xml:space="preserve"> forecast. APA has included the Warragul Lateral Expansion project again as part of its proposed forecast for the 2018–22 </w:t>
      </w:r>
      <w:r w:rsidR="00687663">
        <w:t>access arrangement</w:t>
      </w:r>
      <w:r w:rsidRPr="00546EAA">
        <w:t xml:space="preserve"> </w:t>
      </w:r>
      <w:r>
        <w:t>period.</w:t>
      </w:r>
    </w:p>
    <w:p w14:paraId="1D027BE5" w14:textId="28E152F5" w:rsidR="0054200B" w:rsidRDefault="0054200B" w:rsidP="0054200B">
      <w:pPr>
        <w:pStyle w:val="ListParagraph"/>
        <w:numPr>
          <w:ilvl w:val="0"/>
          <w:numId w:val="24"/>
        </w:numPr>
      </w:pPr>
      <w:r>
        <w:t xml:space="preserve">Our position in this draft decision is that all $343.8 million of the augmentation capex APA incurred during the 2013–17 </w:t>
      </w:r>
      <w:r w:rsidR="00687663">
        <w:t>access arrangement</w:t>
      </w:r>
      <w:r w:rsidRPr="00546EAA">
        <w:t xml:space="preserve"> </w:t>
      </w:r>
      <w:r>
        <w:t xml:space="preserve">period is conforming capex. </w:t>
      </w:r>
    </w:p>
    <w:p w14:paraId="4EADC4DE" w14:textId="1F8FD282" w:rsidR="00DB79CE" w:rsidRDefault="0054200B" w:rsidP="0054200B">
      <w:pPr>
        <w:pStyle w:val="ListParagraph"/>
        <w:numPr>
          <w:ilvl w:val="0"/>
          <w:numId w:val="24"/>
        </w:numPr>
      </w:pPr>
      <w:r w:rsidRPr="0054200B">
        <w:rPr>
          <w:rStyle w:val="AERbody"/>
        </w:rPr>
        <w:t xml:space="preserve">The following discussion outlines the issues and </w:t>
      </w:r>
      <w:r w:rsidR="00885DC2">
        <w:rPr>
          <w:rStyle w:val="AERbody"/>
        </w:rPr>
        <w:t>our</w:t>
      </w:r>
      <w:r w:rsidRPr="0054200B">
        <w:rPr>
          <w:rStyle w:val="AERbody"/>
        </w:rPr>
        <w:t xml:space="preserve"> considerations on </w:t>
      </w:r>
      <w:r>
        <w:rPr>
          <w:rStyle w:val="AERbody"/>
        </w:rPr>
        <w:t>the proposed</w:t>
      </w:r>
      <w:r>
        <w:t xml:space="preserve"> augmentation projects</w:t>
      </w:r>
      <w:r w:rsidR="00DB79CE">
        <w:t xml:space="preserve">. </w:t>
      </w:r>
    </w:p>
    <w:p w14:paraId="1E69233E" w14:textId="77777777" w:rsidR="00DB79CE" w:rsidRDefault="00DB79CE" w:rsidP="00DB79CE">
      <w:pPr>
        <w:pStyle w:val="HeadingOrange"/>
      </w:pPr>
      <w:r>
        <w:t>Victorian Northern Interconnector Expansion</w:t>
      </w:r>
    </w:p>
    <w:p w14:paraId="4279B84C" w14:textId="7396D70B" w:rsidR="00CA7544" w:rsidRPr="005017A8" w:rsidRDefault="00CA7544" w:rsidP="00CA7544">
      <w:r>
        <w:t xml:space="preserve">The </w:t>
      </w:r>
      <w:r w:rsidR="0054200B">
        <w:t xml:space="preserve">initial proposal for </w:t>
      </w:r>
      <w:r w:rsidR="004D4C00">
        <w:t>the Gas to Cu</w:t>
      </w:r>
      <w:r w:rsidR="004D4C00" w:rsidRPr="005017A8">
        <w:t>lcairn project</w:t>
      </w:r>
      <w:r w:rsidR="004D4C00">
        <w:t xml:space="preserve"> (later renamed the </w:t>
      </w:r>
      <w:r w:rsidR="004D4C00" w:rsidRPr="004D4C00">
        <w:t>Victorian Northern Interconnector Expansion</w:t>
      </w:r>
      <w:r w:rsidR="004D4C00">
        <w:t xml:space="preserve"> -</w:t>
      </w:r>
      <w:r w:rsidR="0054200B">
        <w:t xml:space="preserve"> </w:t>
      </w:r>
      <w:r>
        <w:t>VNIE</w:t>
      </w:r>
      <w:r w:rsidR="004D4C00">
        <w:t>)</w:t>
      </w:r>
      <w:r w:rsidRPr="005017A8">
        <w:t xml:space="preserve"> involve</w:t>
      </w:r>
      <w:r w:rsidR="0054200B">
        <w:t>d</w:t>
      </w:r>
      <w:r w:rsidRPr="005017A8">
        <w:t xml:space="preserve"> increasing the capacity of the Wollert to Ba</w:t>
      </w:r>
      <w:r w:rsidR="00DA5E18">
        <w:t>r</w:t>
      </w:r>
      <w:r w:rsidRPr="005017A8">
        <w:t>nawartha Pipeline to support additional capacity</w:t>
      </w:r>
      <w:r>
        <w:t xml:space="preserve"> for withdrawals</w:t>
      </w:r>
      <w:r w:rsidRPr="005017A8">
        <w:t xml:space="preserve"> at Culcairn. This </w:t>
      </w:r>
      <w:r>
        <w:t>include</w:t>
      </w:r>
      <w:r w:rsidR="0054200B">
        <w:t>d</w:t>
      </w:r>
      <w:r>
        <w:t xml:space="preserve"> a </w:t>
      </w:r>
      <w:r w:rsidRPr="005017A8">
        <w:t>35.4 km looping</w:t>
      </w:r>
      <w:r>
        <w:t xml:space="preserve"> of</w:t>
      </w:r>
      <w:r w:rsidRPr="005017A8">
        <w:t xml:space="preserve"> the pipeline between Wollert and Clonbinane</w:t>
      </w:r>
      <w:r>
        <w:t xml:space="preserve"> and</w:t>
      </w:r>
      <w:r w:rsidRPr="005017A8">
        <w:t xml:space="preserve"> the installation of a Centaur 50 compressor</w:t>
      </w:r>
      <w:r>
        <w:t xml:space="preserve"> on</w:t>
      </w:r>
      <w:r w:rsidRPr="005017A8">
        <w:t xml:space="preserve"> the </w:t>
      </w:r>
      <w:r>
        <w:t>SWP</w:t>
      </w:r>
      <w:r w:rsidRPr="005017A8">
        <w:t xml:space="preserve"> to increase injections </w:t>
      </w:r>
      <w:r>
        <w:t>at</w:t>
      </w:r>
      <w:r w:rsidRPr="005017A8">
        <w:t xml:space="preserve"> Wollert.</w:t>
      </w:r>
      <w:r>
        <w:t xml:space="preserve"> We included forecast c</w:t>
      </w:r>
      <w:r w:rsidRPr="005017A8">
        <w:t>apex of $85.3</w:t>
      </w:r>
      <w:r>
        <w:t xml:space="preserve"> million for the </w:t>
      </w:r>
      <w:r w:rsidR="00B67D65">
        <w:t xml:space="preserve">VNIE </w:t>
      </w:r>
      <w:r>
        <w:t xml:space="preserve">as part of the </w:t>
      </w:r>
      <w:r w:rsidR="00DE17E1">
        <w:t xml:space="preserve">approved </w:t>
      </w:r>
      <w:r>
        <w:t>allowance</w:t>
      </w:r>
      <w:r w:rsidRPr="00584F5D">
        <w:t xml:space="preserve"> </w:t>
      </w:r>
      <w:r w:rsidR="0054200B">
        <w:t>for</w:t>
      </w:r>
      <w:r>
        <w:t xml:space="preserve"> the 2013</w:t>
      </w:r>
      <w:r w:rsidR="00ED2C66">
        <w:t>–</w:t>
      </w:r>
      <w:r>
        <w:t xml:space="preserve">17 </w:t>
      </w:r>
      <w:r w:rsidR="009009A3">
        <w:t>access arrangement</w:t>
      </w:r>
      <w:r w:rsidRPr="005017A8">
        <w:t xml:space="preserve">. </w:t>
      </w:r>
    </w:p>
    <w:p w14:paraId="52A00CFB" w14:textId="7CC4C744" w:rsidR="00CA7544" w:rsidRDefault="00CA7544" w:rsidP="00CA7544">
      <w:r w:rsidRPr="005017A8">
        <w:t xml:space="preserve">APA </w:t>
      </w:r>
      <w:r>
        <w:t>submitted that after the 2013</w:t>
      </w:r>
      <w:r w:rsidR="00ED2C66">
        <w:t>–</w:t>
      </w:r>
      <w:r>
        <w:t xml:space="preserve">17 </w:t>
      </w:r>
      <w:r w:rsidR="009009A3">
        <w:t>access arrangement</w:t>
      </w:r>
      <w:r w:rsidR="009009A3" w:rsidRPr="00546EAA">
        <w:t xml:space="preserve"> </w:t>
      </w:r>
      <w:r>
        <w:t>was finalised,</w:t>
      </w:r>
      <w:r w:rsidRPr="005017A8">
        <w:t xml:space="preserve"> significant changes in the east coast gas market </w:t>
      </w:r>
      <w:r>
        <w:t xml:space="preserve">resulted </w:t>
      </w:r>
      <w:r w:rsidRPr="005017A8">
        <w:t>in increase</w:t>
      </w:r>
      <w:r>
        <w:t>d</w:t>
      </w:r>
      <w:r w:rsidRPr="005017A8">
        <w:t xml:space="preserve"> demand for the northern flow of gas from Victoria.</w:t>
      </w:r>
      <w:r w:rsidR="00D61574">
        <w:rPr>
          <w:rStyle w:val="FootnoteReference"/>
        </w:rPr>
        <w:footnoteReference w:id="23"/>
      </w:r>
      <w:r w:rsidRPr="00D61574">
        <w:rPr>
          <w:rStyle w:val="AERbody"/>
        </w:rPr>
        <w:t xml:space="preserve"> </w:t>
      </w:r>
      <w:r w:rsidRPr="005017A8">
        <w:t xml:space="preserve">To meet </w:t>
      </w:r>
      <w:r>
        <w:t>this demand</w:t>
      </w:r>
      <w:r w:rsidRPr="00A82DA9">
        <w:t xml:space="preserve"> </w:t>
      </w:r>
      <w:r w:rsidR="00436D1D">
        <w:t>for</w:t>
      </w:r>
      <w:r>
        <w:t xml:space="preserve"> </w:t>
      </w:r>
      <w:r w:rsidRPr="005017A8">
        <w:t>increase</w:t>
      </w:r>
      <w:r w:rsidR="00436D1D">
        <w:t>d</w:t>
      </w:r>
      <w:r w:rsidRPr="005017A8">
        <w:t xml:space="preserve"> gas withdrawals at Culcairn, APA </w:t>
      </w:r>
      <w:r>
        <w:t xml:space="preserve">spent </w:t>
      </w:r>
      <w:r w:rsidRPr="005017A8">
        <w:t>$</w:t>
      </w:r>
      <w:r>
        <w:t>339.2</w:t>
      </w:r>
      <w:r w:rsidRPr="005017A8">
        <w:t xml:space="preserve"> million </w:t>
      </w:r>
      <w:r>
        <w:t xml:space="preserve">($2017) to </w:t>
      </w:r>
      <w:r w:rsidRPr="005017A8">
        <w:t xml:space="preserve">loop </w:t>
      </w:r>
      <w:r w:rsidR="0054200B">
        <w:t xml:space="preserve">the full length of </w:t>
      </w:r>
      <w:r>
        <w:t xml:space="preserve">the </w:t>
      </w:r>
      <w:r w:rsidRPr="005017A8">
        <w:t xml:space="preserve">pipeline between Wollert and Barnawartha (290 km) </w:t>
      </w:r>
      <w:r>
        <w:t>and installed</w:t>
      </w:r>
      <w:r w:rsidRPr="005017A8">
        <w:t xml:space="preserve"> a Taurus 60 compressor at Winchelsea (instead of the Centaur 50 compressor)</w:t>
      </w:r>
      <w:r>
        <w:t xml:space="preserve"> to </w:t>
      </w:r>
      <w:r w:rsidRPr="005017A8">
        <w:t>increas</w:t>
      </w:r>
      <w:r>
        <w:t>e</w:t>
      </w:r>
      <w:r w:rsidRPr="005017A8">
        <w:t xml:space="preserve"> capacity </w:t>
      </w:r>
      <w:r>
        <w:t>for injections from</w:t>
      </w:r>
      <w:r w:rsidRPr="005017A8">
        <w:t xml:space="preserve"> the </w:t>
      </w:r>
      <w:r>
        <w:t>SWP</w:t>
      </w:r>
      <w:r w:rsidRPr="005017A8">
        <w:t>.</w:t>
      </w:r>
      <w:r>
        <w:rPr>
          <w:rStyle w:val="FootnoteReference"/>
        </w:rPr>
        <w:footnoteReference w:id="24"/>
      </w:r>
      <w:r>
        <w:t xml:space="preserve"> </w:t>
      </w:r>
      <w:r w:rsidRPr="005017A8">
        <w:t xml:space="preserve">Overall, </w:t>
      </w:r>
      <w:r>
        <w:t>this</w:t>
      </w:r>
      <w:r w:rsidRPr="005017A8">
        <w:t xml:space="preserve"> </w:t>
      </w:r>
      <w:r>
        <w:t>is expected to</w:t>
      </w:r>
      <w:r w:rsidRPr="005017A8">
        <w:t xml:space="preserve"> increase th</w:t>
      </w:r>
      <w:r>
        <w:t>e capacity for withdrawals at Cu</w:t>
      </w:r>
      <w:r w:rsidRPr="005017A8">
        <w:t>lcairn by 149TJ/day (to 201 TJ/day) from 2017</w:t>
      </w:r>
      <w:r w:rsidR="00F83621">
        <w:t>. The 2013</w:t>
      </w:r>
      <w:r w:rsidR="00ED2C66">
        <w:t>–</w:t>
      </w:r>
      <w:r w:rsidR="00F83621">
        <w:t>17 access arrangement proposal</w:t>
      </w:r>
      <w:r w:rsidR="0001474F">
        <w:t xml:space="preserve"> only </w:t>
      </w:r>
      <w:r w:rsidR="00F83621">
        <w:t xml:space="preserve">anticipated a </w:t>
      </w:r>
      <w:r w:rsidRPr="005017A8">
        <w:t>30TJ/day increase in withdrawal capacity (to 85 TJ/day)</w:t>
      </w:r>
      <w:r w:rsidR="00F83621">
        <w:t>.</w:t>
      </w:r>
      <w:r w:rsidR="0054200B">
        <w:rPr>
          <w:rStyle w:val="FootnoteReference"/>
        </w:rPr>
        <w:footnoteReference w:id="25"/>
      </w:r>
      <w:r w:rsidR="00F83621">
        <w:t xml:space="preserve"> </w:t>
      </w:r>
      <w:r>
        <w:t xml:space="preserve"> </w:t>
      </w:r>
    </w:p>
    <w:p w14:paraId="7F73F99A" w14:textId="7B016574" w:rsidR="00925206" w:rsidRDefault="00B8407B" w:rsidP="00B8407B">
      <w:r>
        <w:t>T</w:t>
      </w:r>
      <w:r w:rsidRPr="000A0D6D">
        <w:t xml:space="preserve">he VNIE </w:t>
      </w:r>
      <w:r>
        <w:t xml:space="preserve">principally </w:t>
      </w:r>
      <w:r w:rsidRPr="000A0D6D">
        <w:t xml:space="preserve">supports increased withdrawals from the VTS for NSW </w:t>
      </w:r>
      <w:r>
        <w:t>shippers</w:t>
      </w:r>
      <w:r w:rsidRPr="000A0D6D">
        <w:t xml:space="preserve">. </w:t>
      </w:r>
      <w:r>
        <w:t>I</w:t>
      </w:r>
      <w:r w:rsidRPr="000A0D6D">
        <w:t>njections into the VTS</w:t>
      </w:r>
      <w:r>
        <w:t xml:space="preserve"> </w:t>
      </w:r>
      <w:r w:rsidRPr="000A0D6D">
        <w:t xml:space="preserve">from NSW </w:t>
      </w:r>
      <w:r>
        <w:t>have</w:t>
      </w:r>
      <w:r w:rsidRPr="000A0D6D">
        <w:t xml:space="preserve"> only increased by about 5</w:t>
      </w:r>
      <w:r>
        <w:t xml:space="preserve"> per cent</w:t>
      </w:r>
      <w:r w:rsidRPr="000A0D6D">
        <w:t>.</w:t>
      </w:r>
      <w:r>
        <w:t xml:space="preserve"> This </w:t>
      </w:r>
      <w:r w:rsidR="00D31A09">
        <w:t>is the key concern</w:t>
      </w:r>
      <w:r>
        <w:t xml:space="preserve"> of the Consumer Challenge Panel (CCP11) </w:t>
      </w:r>
      <w:r w:rsidR="00D31A09">
        <w:t xml:space="preserve">- whether Victorian consumers ought to bear that cost when </w:t>
      </w:r>
      <w:r>
        <w:t>the VNIE benefits the companies shipping gas through the VTS to NSW and QLD.</w:t>
      </w:r>
      <w:r>
        <w:rPr>
          <w:rStyle w:val="FootnoteReference"/>
        </w:rPr>
        <w:footnoteReference w:id="26"/>
      </w:r>
      <w:r>
        <w:t xml:space="preserve"> APA submitted that the increased gas flow will reduce the overheads borne by Victorian consumers by approximately $5 million per year</w:t>
      </w:r>
      <w:r w:rsidR="00A13996">
        <w:t>.</w:t>
      </w:r>
      <w:r>
        <w:t xml:space="preserve"> </w:t>
      </w:r>
      <w:r w:rsidR="00A13996">
        <w:t xml:space="preserve">Further, </w:t>
      </w:r>
      <w:r w:rsidR="001646EA">
        <w:t xml:space="preserve">APA's proposed </w:t>
      </w:r>
      <w:r>
        <w:t xml:space="preserve">33 per cent </w:t>
      </w:r>
      <w:r w:rsidRPr="000A0D6D">
        <w:t>increase</w:t>
      </w:r>
      <w:r>
        <w:t xml:space="preserve"> in the</w:t>
      </w:r>
      <w:r w:rsidRPr="000A0D6D">
        <w:t xml:space="preserve"> </w:t>
      </w:r>
      <w:r>
        <w:t>withdrawal</w:t>
      </w:r>
      <w:r w:rsidRPr="000A0D6D">
        <w:t xml:space="preserve"> tariff</w:t>
      </w:r>
      <w:r>
        <w:t>s</w:t>
      </w:r>
      <w:r w:rsidRPr="000A0D6D">
        <w:t xml:space="preserve"> at Culcairn</w:t>
      </w:r>
      <w:r>
        <w:t xml:space="preserve"> </w:t>
      </w:r>
      <w:r w:rsidR="001646EA">
        <w:t xml:space="preserve">is designed to ensure </w:t>
      </w:r>
      <w:r>
        <w:t xml:space="preserve">that the cost of the VNIE </w:t>
      </w:r>
      <w:r w:rsidR="00A13996">
        <w:t>is</w:t>
      </w:r>
      <w:r>
        <w:t xml:space="preserve"> </w:t>
      </w:r>
      <w:r w:rsidRPr="000A0D6D">
        <w:t>recovered from NSW shippers</w:t>
      </w:r>
      <w:r w:rsidR="001646EA">
        <w:t xml:space="preserve">. </w:t>
      </w:r>
      <w:r w:rsidR="000C05A4">
        <w:t xml:space="preserve">The tariff setting and pricing arrangements for the VNIE are </w:t>
      </w:r>
      <w:r w:rsidR="00DE65D8">
        <w:t xml:space="preserve">discussed </w:t>
      </w:r>
      <w:r w:rsidR="00AA2C31">
        <w:t xml:space="preserve">in detail in </w:t>
      </w:r>
      <w:r w:rsidR="00DE65D8">
        <w:t>attachment 10.</w:t>
      </w:r>
      <w:r w:rsidR="00DE12C9">
        <w:rPr>
          <w:rStyle w:val="FootnoteReference"/>
        </w:rPr>
        <w:footnoteReference w:id="27"/>
      </w:r>
    </w:p>
    <w:p w14:paraId="52F10EA7" w14:textId="6F7B9EB2" w:rsidR="00B8407B" w:rsidRDefault="00B8407B" w:rsidP="00B8407B">
      <w:r>
        <w:t>The relevant capex criterion here is whether the present value of the incremental revenue to be generated as a result of the expenditure exceeds the present value of the capital expenditure.</w:t>
      </w:r>
      <w:r>
        <w:rPr>
          <w:rStyle w:val="FootnoteReference"/>
        </w:rPr>
        <w:footnoteReference w:id="28"/>
      </w:r>
      <w:r>
        <w:t xml:space="preserve"> APA submitted an NPV analysis, based on a straight line demand </w:t>
      </w:r>
      <w:r w:rsidR="00B9269C">
        <w:t>forecast, which</w:t>
      </w:r>
      <w:r>
        <w:t xml:space="preserve"> results in </w:t>
      </w:r>
      <w:r w:rsidRPr="000A0D6D">
        <w:t xml:space="preserve">a positive </w:t>
      </w:r>
      <w:r>
        <w:t>return over the VNIE’s 55 year life.</w:t>
      </w:r>
      <w:r>
        <w:rPr>
          <w:rStyle w:val="FootnoteReference"/>
        </w:rPr>
        <w:footnoteReference w:id="29"/>
      </w:r>
      <w:r>
        <w:t xml:space="preserve"> </w:t>
      </w:r>
      <w:r w:rsidR="003772C3">
        <w:t>According to APA</w:t>
      </w:r>
      <w:r>
        <w:t>, this is a conservative forecast based on the pipeline operating at 40 per cent capacity.</w:t>
      </w:r>
      <w:r>
        <w:rPr>
          <w:rStyle w:val="FootnoteReference"/>
        </w:rPr>
        <w:footnoteReference w:id="30"/>
      </w:r>
      <w:r w:rsidRPr="00E7067E" w:rsidDel="00DF73FE">
        <w:t xml:space="preserve"> </w:t>
      </w:r>
      <w:r>
        <w:t>The question that then arises is whether this is a forecast that has been arrived at on a reasonable basis.</w:t>
      </w:r>
      <w:r>
        <w:rPr>
          <w:rStyle w:val="FootnoteReference"/>
        </w:rPr>
        <w:footnoteReference w:id="31"/>
      </w:r>
      <w:r>
        <w:t xml:space="preserve"> </w:t>
      </w:r>
    </w:p>
    <w:p w14:paraId="04CBFEE7" w14:textId="1D398E2B" w:rsidR="00B8407B" w:rsidDel="00653821" w:rsidRDefault="00B8407B" w:rsidP="00B8407B">
      <w:r>
        <w:t>By itself, a straight-line demand forecast might not appear to be reasonable given the expected changes in gas supply in Victoria over the short and long term. I</w:t>
      </w:r>
      <w:r w:rsidDel="00653821">
        <w:t xml:space="preserve">n the </w:t>
      </w:r>
      <w:r w:rsidRPr="00E7067E" w:rsidDel="00653821">
        <w:t xml:space="preserve">Victorian Gas Supply </w:t>
      </w:r>
      <w:r w:rsidDel="00653821">
        <w:t>Planning</w:t>
      </w:r>
      <w:r w:rsidRPr="00E7067E" w:rsidDel="00653821">
        <w:t xml:space="preserve"> Report 2017, </w:t>
      </w:r>
      <w:r>
        <w:t>AEMO has forecast</w:t>
      </w:r>
      <w:r w:rsidRPr="000A0D6D" w:rsidDel="00653821">
        <w:t xml:space="preserve"> a large decline in Victoria</w:t>
      </w:r>
      <w:r>
        <w:t>n gas production over the next five</w:t>
      </w:r>
      <w:r w:rsidRPr="000A0D6D" w:rsidDel="00653821">
        <w:t xml:space="preserve"> years</w:t>
      </w:r>
      <w:r>
        <w:t>.</w:t>
      </w:r>
      <w:r w:rsidRPr="000A0D6D" w:rsidDel="00653821">
        <w:t xml:space="preserve"> </w:t>
      </w:r>
      <w:r>
        <w:t>A</w:t>
      </w:r>
      <w:r w:rsidRPr="000A0D6D" w:rsidDel="00653821">
        <w:t xml:space="preserve">nnual production </w:t>
      </w:r>
      <w:r>
        <w:t xml:space="preserve">at Gippsland </w:t>
      </w:r>
      <w:r w:rsidR="003772C3">
        <w:t xml:space="preserve">is </w:t>
      </w:r>
      <w:r w:rsidRPr="000A0D6D" w:rsidDel="00653821">
        <w:t>forecast to reduce by 34</w:t>
      </w:r>
      <w:r w:rsidDel="00653821">
        <w:t xml:space="preserve"> per cent</w:t>
      </w:r>
      <w:r w:rsidRPr="000A0D6D" w:rsidDel="00653821">
        <w:t xml:space="preserve"> and </w:t>
      </w:r>
      <w:r>
        <w:t xml:space="preserve">at </w:t>
      </w:r>
      <w:r w:rsidRPr="000A0D6D" w:rsidDel="00653821">
        <w:t>Port Campbell by 81</w:t>
      </w:r>
      <w:r w:rsidDel="00653821">
        <w:t xml:space="preserve"> per cent</w:t>
      </w:r>
      <w:r w:rsidRPr="000A0D6D" w:rsidDel="00653821">
        <w:t>, due to some offshore fields ceasing production.</w:t>
      </w:r>
      <w:r w:rsidR="00344352">
        <w:rPr>
          <w:rStyle w:val="FootnoteReference"/>
        </w:rPr>
        <w:footnoteReference w:id="32"/>
      </w:r>
      <w:r>
        <w:t xml:space="preserve"> Further, the Victorian government has enacted a moratorium on unconventional gas exploration and on-shore conventional gas exploration. However, judging a straight line demand forecast solely on the prospect of reduced supply is not enough in these circumstances.</w:t>
      </w:r>
    </w:p>
    <w:p w14:paraId="20FE9C6B" w14:textId="10B5A656" w:rsidR="00B8407B" w:rsidRPr="00EF2806" w:rsidRDefault="00B8407B" w:rsidP="00B8407B">
      <w:r w:rsidRPr="00F311C1">
        <w:rPr>
          <w:rStyle w:val="AERbody"/>
        </w:rPr>
        <w:t xml:space="preserve">Firstly, significant changes in the east coast gas market in recent years have led to increased demand for gas to flow north from Victoria. </w:t>
      </w:r>
      <w:r>
        <w:rPr>
          <w:rStyle w:val="AERbody"/>
        </w:rPr>
        <w:t xml:space="preserve">APA </w:t>
      </w:r>
      <w:r w:rsidR="003772C3">
        <w:rPr>
          <w:rStyle w:val="AERbody"/>
        </w:rPr>
        <w:t xml:space="preserve">has </w:t>
      </w:r>
      <w:r>
        <w:rPr>
          <w:rStyle w:val="AERbody"/>
        </w:rPr>
        <w:t xml:space="preserve">identified that </w:t>
      </w:r>
      <w:r w:rsidR="003772C3">
        <w:rPr>
          <w:rStyle w:val="AERbody"/>
        </w:rPr>
        <w:t xml:space="preserve">it has </w:t>
      </w:r>
      <w:r>
        <w:rPr>
          <w:rStyle w:val="AERbody"/>
        </w:rPr>
        <w:t>contracts with NSW shippers reflecting this increased demand.</w:t>
      </w:r>
      <w:r>
        <w:rPr>
          <w:rStyle w:val="FootnoteReference"/>
        </w:rPr>
        <w:footnoteReference w:id="33"/>
      </w:r>
      <w:r>
        <w:rPr>
          <w:rStyle w:val="AERbody"/>
        </w:rPr>
        <w:t xml:space="preserve"> </w:t>
      </w:r>
      <w:r w:rsidRPr="00F311C1">
        <w:rPr>
          <w:rStyle w:val="AERbody"/>
        </w:rPr>
        <w:t>Whilst the Victorian moratorium and AEMO’s declining forecasts may mitigate the increased demand of recent years, APA has submitted that there are substantial known Bass Strait gas reserves, including at the Gippsland and Otway Basins that are not developed.</w:t>
      </w:r>
      <w:r w:rsidRPr="00F311C1">
        <w:rPr>
          <w:rStyle w:val="AERsuperscript"/>
        </w:rPr>
        <w:footnoteReference w:id="34"/>
      </w:r>
      <w:r w:rsidRPr="00F311C1">
        <w:rPr>
          <w:rStyle w:val="AERbody"/>
        </w:rPr>
        <w:t xml:space="preserve"> Should declining supply continue, conceivably these reserves may </w:t>
      </w:r>
      <w:r w:rsidR="00EA77A4">
        <w:rPr>
          <w:rStyle w:val="AERbody"/>
        </w:rPr>
        <w:t xml:space="preserve">become economically viable and </w:t>
      </w:r>
      <w:r w:rsidRPr="00F311C1">
        <w:rPr>
          <w:rStyle w:val="AERbody"/>
        </w:rPr>
        <w:t xml:space="preserve">come online to alleviate shortfalls in meeting demand. Secondly, </w:t>
      </w:r>
      <w:r>
        <w:rPr>
          <w:rStyle w:val="AERbody"/>
        </w:rPr>
        <w:t>given current market dynamics APA has found that few customers are contracting for pipeline capacity long term as they are unable to secure long term gas supply arrangements. The limited long term contracting at Culcairn is therefore not a reflection of the intent of shippers not to use the VNI in the future.</w:t>
      </w:r>
      <w:r>
        <w:rPr>
          <w:rStyle w:val="FootnoteReference"/>
        </w:rPr>
        <w:footnoteReference w:id="35"/>
      </w:r>
      <w:r w:rsidRPr="00F311C1">
        <w:rPr>
          <w:rStyle w:val="AERbody"/>
        </w:rPr>
        <w:t xml:space="preserve"> </w:t>
      </w:r>
    </w:p>
    <w:p w14:paraId="62C366B2" w14:textId="7BC865D3" w:rsidR="00B8407B" w:rsidRDefault="00B8407B" w:rsidP="00B8407B">
      <w:r>
        <w:t xml:space="preserve">In these circumstances, </w:t>
      </w:r>
      <w:r w:rsidR="003772C3">
        <w:t xml:space="preserve">we consider that </w:t>
      </w:r>
      <w:r>
        <w:t>applying a straight line forecast based on the pipeline operating at 40 per cent capacity</w:t>
      </w:r>
      <w:r w:rsidRPr="00E7067E" w:rsidDel="00DF73FE">
        <w:t xml:space="preserve"> </w:t>
      </w:r>
      <w:r>
        <w:t>in an NPV analysis is reasonable and is the best forecast possible in the circumstances.</w:t>
      </w:r>
      <w:r>
        <w:rPr>
          <w:rStyle w:val="FootnoteReference"/>
        </w:rPr>
        <w:footnoteReference w:id="36"/>
      </w:r>
      <w:r>
        <w:t xml:space="preserve"> APA’s NPV analysis therefore justifies the VNIE on the ground that the present value of the incremental revenue to be generated as a result of the expenditure exceeds the present value of the capital expenditure.</w:t>
      </w:r>
      <w:r>
        <w:rPr>
          <w:rStyle w:val="FootnoteReference"/>
        </w:rPr>
        <w:footnoteReference w:id="37"/>
      </w:r>
      <w:r>
        <w:t xml:space="preserve"> </w:t>
      </w:r>
    </w:p>
    <w:p w14:paraId="7D47B2D8" w14:textId="77777777" w:rsidR="00B8407B" w:rsidRDefault="00B8407B" w:rsidP="00B8407B">
      <w:r>
        <w:t>Sleeman Consulting has advised that the $339.2 million is reasonable based on the length of the pipeline, the challenging terrain, class of pipe used, and increased capacity of the compressor.</w:t>
      </w:r>
      <w:r>
        <w:rPr>
          <w:rStyle w:val="FootnoteReference"/>
        </w:rPr>
        <w:footnoteReference w:id="38"/>
      </w:r>
      <w:r>
        <w:t xml:space="preserve"> Taking this advice into account, we are satisfied that the $339.2 million is prudent, in accordance with good industry practice and achieves the lowest sustainable cost of providing services.</w:t>
      </w:r>
      <w:r>
        <w:rPr>
          <w:rStyle w:val="FootnoteReference"/>
        </w:rPr>
        <w:footnoteReference w:id="39"/>
      </w:r>
      <w:r>
        <w:t xml:space="preserve"> </w:t>
      </w:r>
    </w:p>
    <w:p w14:paraId="42A51629" w14:textId="771BEC7C" w:rsidR="00B8407B" w:rsidRDefault="00B8407B" w:rsidP="00B8407B">
      <w:r>
        <w:t xml:space="preserve">Our position in this draft decision is that the $339.2 million incurred by APA for the VNIE during the 2013–17 </w:t>
      </w:r>
      <w:r w:rsidR="00687663">
        <w:t>access arrangement</w:t>
      </w:r>
      <w:r>
        <w:t xml:space="preserve"> period is conforming capex.</w:t>
      </w:r>
    </w:p>
    <w:p w14:paraId="24971704" w14:textId="3A32FE13" w:rsidR="008C6C52" w:rsidRDefault="00DE17E1" w:rsidP="00DB79CE">
      <w:pPr>
        <w:pStyle w:val="HeadingOrange"/>
      </w:pPr>
      <w:r>
        <w:t>SWP</w:t>
      </w:r>
      <w:r w:rsidR="00DB79CE" w:rsidRPr="00CC1CB8">
        <w:t xml:space="preserve"> to Anglesea Pipeline </w:t>
      </w:r>
    </w:p>
    <w:p w14:paraId="522482E3" w14:textId="23EA83B6" w:rsidR="00CB67EA" w:rsidRPr="00233D5D" w:rsidRDefault="00CB67EA" w:rsidP="00CB67EA">
      <w:r>
        <w:t>T</w:t>
      </w:r>
      <w:r w:rsidRPr="00233D5D">
        <w:t xml:space="preserve">he </w:t>
      </w:r>
      <w:r>
        <w:t>SWP</w:t>
      </w:r>
      <w:r w:rsidRPr="00233D5D">
        <w:t xml:space="preserve"> to Anglesea Pipeline (previously </w:t>
      </w:r>
      <w:r>
        <w:t xml:space="preserve">named </w:t>
      </w:r>
      <w:r w:rsidRPr="00233D5D">
        <w:t xml:space="preserve">the Anglesea </w:t>
      </w:r>
      <w:r>
        <w:t>P</w:t>
      </w:r>
      <w:r w:rsidRPr="00233D5D">
        <w:t xml:space="preserve">ipeline </w:t>
      </w:r>
      <w:r>
        <w:t>E</w:t>
      </w:r>
      <w:r w:rsidRPr="00233D5D">
        <w:t>xtension) involved laying 15 km of 250</w:t>
      </w:r>
      <w:r>
        <w:t xml:space="preserve"> mm</w:t>
      </w:r>
      <w:r w:rsidRPr="00233D5D">
        <w:t xml:space="preserve"> pipeline </w:t>
      </w:r>
      <w:r>
        <w:t>to connect t</w:t>
      </w:r>
      <w:r w:rsidRPr="00233D5D">
        <w:t xml:space="preserve">he </w:t>
      </w:r>
      <w:r>
        <w:t>SWP</w:t>
      </w:r>
      <w:r w:rsidRPr="00233D5D">
        <w:t xml:space="preserve"> to the Anglesea Pipeline</w:t>
      </w:r>
      <w:r>
        <w:t xml:space="preserve"> to </w:t>
      </w:r>
      <w:r w:rsidRPr="00233D5D">
        <w:t>improve security to the distribution system serving Geelong, the Surf Coast and Queenscliff by providing a second source of supply.</w:t>
      </w:r>
      <w:r>
        <w:rPr>
          <w:rStyle w:val="FootnoteReference"/>
        </w:rPr>
        <w:footnoteReference w:id="40"/>
      </w:r>
      <w:r w:rsidRPr="00233D5D">
        <w:t xml:space="preserve"> </w:t>
      </w:r>
      <w:r w:rsidR="003772C3">
        <w:t xml:space="preserve">Forecast expenditure of </w:t>
      </w:r>
      <w:r w:rsidRPr="00233D5D">
        <w:t xml:space="preserve">$13.7 million </w:t>
      </w:r>
      <w:r>
        <w:t xml:space="preserve">($nominal) was included in the 2013–17 </w:t>
      </w:r>
      <w:r w:rsidR="00687663">
        <w:t>access arrangement</w:t>
      </w:r>
      <w:r>
        <w:t xml:space="preserve"> forecast</w:t>
      </w:r>
      <w:r w:rsidR="00FF02EC">
        <w:t xml:space="preserve"> for this extension</w:t>
      </w:r>
      <w:r>
        <w:t>.</w:t>
      </w:r>
    </w:p>
    <w:p w14:paraId="5DBE1036" w14:textId="5FD545E1" w:rsidR="00CB67EA" w:rsidRDefault="00CB67EA" w:rsidP="00CB67EA">
      <w:r w:rsidRPr="00233D5D">
        <w:t xml:space="preserve">APA </w:t>
      </w:r>
      <w:r>
        <w:t>submitted that</w:t>
      </w:r>
      <w:r w:rsidRPr="00233D5D">
        <w:t xml:space="preserve"> </w:t>
      </w:r>
      <w:r>
        <w:t xml:space="preserve">this connection is now expected to cost </w:t>
      </w:r>
      <w:r w:rsidRPr="00233D5D">
        <w:t>$26.</w:t>
      </w:r>
      <w:r w:rsidR="00897F09">
        <w:t>8</w:t>
      </w:r>
      <w:r w:rsidRPr="00233D5D">
        <w:t xml:space="preserve"> million</w:t>
      </w:r>
      <w:r>
        <w:t xml:space="preserve"> because of delays by</w:t>
      </w:r>
      <w:r w:rsidRPr="00233D5D">
        <w:t xml:space="preserve"> AusNet Services</w:t>
      </w:r>
      <w:r>
        <w:t xml:space="preserve"> in</w:t>
      </w:r>
      <w:r w:rsidRPr="00233D5D">
        <w:t xml:space="preserve"> installing </w:t>
      </w:r>
      <w:r>
        <w:t>and changing the location of a</w:t>
      </w:r>
      <w:r w:rsidRPr="00233D5D">
        <w:t xml:space="preserve"> </w:t>
      </w:r>
      <w:r>
        <w:t>c</w:t>
      </w:r>
      <w:r w:rsidRPr="00233D5D">
        <w:t xml:space="preserve">ustody </w:t>
      </w:r>
      <w:r>
        <w:t>t</w:t>
      </w:r>
      <w:r w:rsidRPr="00233D5D">
        <w:t xml:space="preserve">ransfer </w:t>
      </w:r>
      <w:r>
        <w:t>m</w:t>
      </w:r>
      <w:r w:rsidRPr="00233D5D">
        <w:t>eter</w:t>
      </w:r>
      <w:r>
        <w:t xml:space="preserve"> </w:t>
      </w:r>
      <w:r w:rsidRPr="00233D5D">
        <w:t>for the Geelong distribution system</w:t>
      </w:r>
      <w:r>
        <w:t>. The location change also requires a longer 20 km pipeline</w:t>
      </w:r>
      <w:r w:rsidRPr="00233D5D">
        <w:t>.</w:t>
      </w:r>
      <w:r>
        <w:rPr>
          <w:rStyle w:val="FootnoteReference"/>
        </w:rPr>
        <w:footnoteReference w:id="41"/>
      </w:r>
      <w:r>
        <w:t xml:space="preserve"> </w:t>
      </w:r>
      <w:r w:rsidR="00FF02EC">
        <w:t xml:space="preserve">Expenditure of </w:t>
      </w:r>
      <w:r>
        <w:t>$9.3 million is expected to be incurred in 2017 and $17.</w:t>
      </w:r>
      <w:r w:rsidR="00897F09">
        <w:t>5</w:t>
      </w:r>
      <w:r>
        <w:t xml:space="preserve"> million is forecast for 2018.</w:t>
      </w:r>
    </w:p>
    <w:p w14:paraId="5F80C7F9" w14:textId="1675A5B6" w:rsidR="00CB67EA" w:rsidRDefault="00CB67EA" w:rsidP="00CB67EA">
      <w:r>
        <w:t>The delay and longer pipeline appears to have been outside APA’s control.</w:t>
      </w:r>
      <w:r w:rsidR="00ED03CF">
        <w:t xml:space="preserve"> Given these factors, we are satisfied APA's decision to proceed with this project, at the higher cost</w:t>
      </w:r>
      <w:r>
        <w:t xml:space="preserve"> of </w:t>
      </w:r>
      <w:r w:rsidRPr="00233D5D">
        <w:t>$26.</w:t>
      </w:r>
      <w:r w:rsidR="00897F09">
        <w:t>8</w:t>
      </w:r>
      <w:r w:rsidRPr="00233D5D">
        <w:t xml:space="preserve"> million</w:t>
      </w:r>
      <w:r w:rsidR="00ED03CF">
        <w:t>, was prudent and in accordance with good industry practice</w:t>
      </w:r>
      <w:r>
        <w:t>.</w:t>
      </w:r>
      <w:r w:rsidR="00ED03CF">
        <w:rPr>
          <w:rStyle w:val="FootnoteReference"/>
        </w:rPr>
        <w:footnoteReference w:id="42"/>
      </w:r>
      <w:r>
        <w:t xml:space="preserve"> Further, by providing a second supply source, this extension will improve the security of supply to customers in Geelong, the Surf Coast and Queenscliff, and is therefore justified on the ground of maintaining the integrity of services.</w:t>
      </w:r>
      <w:r>
        <w:rPr>
          <w:rStyle w:val="FootnoteReference"/>
        </w:rPr>
        <w:footnoteReference w:id="43"/>
      </w:r>
      <w:r>
        <w:t xml:space="preserve"> </w:t>
      </w:r>
    </w:p>
    <w:p w14:paraId="718B5F96" w14:textId="72E0DC16" w:rsidR="00DB79CE" w:rsidRDefault="00CB67EA" w:rsidP="00DB79CE">
      <w:r>
        <w:t>Our position in this draft decision is that the $9.3 million estimated to be incurred in 2017 and the $17.</w:t>
      </w:r>
      <w:r w:rsidR="00897F09">
        <w:t>5</w:t>
      </w:r>
      <w:r>
        <w:t xml:space="preserve"> million forecast for 2018 is conforming capex. </w:t>
      </w:r>
      <w:r w:rsidR="002241B7">
        <w:t xml:space="preserve"> </w:t>
      </w:r>
    </w:p>
    <w:p w14:paraId="0ADEE832" w14:textId="77777777" w:rsidR="00DB79CE" w:rsidRDefault="00DB79CE" w:rsidP="00D24DD7">
      <w:pPr>
        <w:pStyle w:val="Heading4"/>
        <w:keepNext/>
      </w:pPr>
      <w:bookmarkStart w:id="93" w:name="_Ref485998989"/>
      <w:r>
        <w:t>Replacement and Upgrade Capex</w:t>
      </w:r>
      <w:bookmarkEnd w:id="93"/>
    </w:p>
    <w:p w14:paraId="2D1FD23F" w14:textId="4B5316A5" w:rsidR="00CB67EA" w:rsidRDefault="00CB67EA" w:rsidP="00D24DD7">
      <w:pPr>
        <w:keepNext/>
      </w:pPr>
      <w:r>
        <w:t>Replacement and upgrade capex is required to maintain the safety and integrity of the pipeline. APA has incurred $41.9 million ($nominal) of replacement capex during the 2013</w:t>
      </w:r>
      <w:r w:rsidRPr="00E40C29">
        <w:t>–</w:t>
      </w:r>
      <w:r>
        <w:t xml:space="preserve">17 </w:t>
      </w:r>
      <w:r w:rsidR="00687663">
        <w:t>access arrangement</w:t>
      </w:r>
      <w:r w:rsidRPr="00546EAA">
        <w:t xml:space="preserve"> </w:t>
      </w:r>
      <w:r>
        <w:t>period. We included $56.6 million ($nominal) in the 2013–17</w:t>
      </w:r>
      <w:r w:rsidRPr="00F25195">
        <w:t xml:space="preserve"> </w:t>
      </w:r>
      <w:r w:rsidR="00687663">
        <w:t>access arrangement</w:t>
      </w:r>
      <w:r>
        <w:t xml:space="preserve"> forecast for replacement and upgrade projects, many of which APA did not undertake.</w:t>
      </w:r>
      <w:r>
        <w:rPr>
          <w:rStyle w:val="FootnoteReference"/>
        </w:rPr>
        <w:footnoteReference w:id="44"/>
      </w:r>
      <w:r>
        <w:t xml:space="preserve"> Those that APA undertook experienced delays and significant cost increases.</w:t>
      </w:r>
    </w:p>
    <w:p w14:paraId="6C8324C0" w14:textId="55FDE0F0" w:rsidR="00BF21D3" w:rsidRDefault="008E088B" w:rsidP="00CB67EA">
      <w:r>
        <w:t>W</w:t>
      </w:r>
      <w:r w:rsidR="003F7308">
        <w:t>e accept expenditure on the Dandenong City Gate Regulator Upgrade ($11.7 million)</w:t>
      </w:r>
      <w:r w:rsidR="00BF21D3">
        <w:t xml:space="preserve">, </w:t>
      </w:r>
      <w:r w:rsidR="00BF21D3" w:rsidRPr="00BF21D3">
        <w:t>Brooklyn Compressor Station Unit</w:t>
      </w:r>
      <w:r w:rsidR="00BF21D3">
        <w:t>s</w:t>
      </w:r>
      <w:r w:rsidR="00BF21D3" w:rsidRPr="00BF21D3">
        <w:t xml:space="preserve"> 10 and 11 cooler upgrade</w:t>
      </w:r>
      <w:r w:rsidR="00BF21D3">
        <w:t xml:space="preserve">s ($9.2 million) and </w:t>
      </w:r>
      <w:r w:rsidR="00BF21D3" w:rsidRPr="00BF21D3">
        <w:t>Brooklyn Compressor Station isolation and loading valve replacement</w:t>
      </w:r>
      <w:r w:rsidR="00BF21D3">
        <w:t xml:space="preserve"> ($1.8 million), </w:t>
      </w:r>
      <w:r>
        <w:t>i</w:t>
      </w:r>
      <w:r w:rsidR="00BF21D3">
        <w:t>s conforming capex. We are satisfied, despite the cost overruns on these projects, that the expenditure is prudent, in accordance with good industry practice and achieves the lowest sustainable cost of providing services.</w:t>
      </w:r>
      <w:r w:rsidR="00BF21D3">
        <w:rPr>
          <w:rStyle w:val="FootnoteReference"/>
        </w:rPr>
        <w:footnoteReference w:id="45"/>
      </w:r>
      <w:r w:rsidR="00BF21D3">
        <w:t xml:space="preserve"> We also agree</w:t>
      </w:r>
      <w:r w:rsidR="00BF21D3" w:rsidRPr="00D4417B">
        <w:t xml:space="preserve"> </w:t>
      </w:r>
      <w:r w:rsidR="00BF21D3">
        <w:t>the projects are justified on the ground that they will maintain and improve the safety and integrity of services.</w:t>
      </w:r>
      <w:r w:rsidR="00BF21D3">
        <w:rPr>
          <w:rStyle w:val="FootnoteReference"/>
        </w:rPr>
        <w:footnoteReference w:id="46"/>
      </w:r>
      <w:r w:rsidR="00BF21D3">
        <w:t xml:space="preserve"> </w:t>
      </w:r>
    </w:p>
    <w:p w14:paraId="57F494B1" w14:textId="74ABDBBA" w:rsidR="003F7308" w:rsidRDefault="00BF21D3" w:rsidP="00CB67EA">
      <w:r>
        <w:t xml:space="preserve">However, we are not satisfied that all of the expenditure on the Inline Inspection program </w:t>
      </w:r>
      <w:r w:rsidR="0084422B">
        <w:t>is</w:t>
      </w:r>
      <w:r>
        <w:t xml:space="preserve"> conforming capex</w:t>
      </w:r>
      <w:r w:rsidR="0084422B">
        <w:t>. We consider</w:t>
      </w:r>
      <w:r>
        <w:t xml:space="preserve"> </w:t>
      </w:r>
      <w:r w:rsidR="0084422B">
        <w:t>that some components of this program</w:t>
      </w:r>
      <w:r>
        <w:t xml:space="preserve"> </w:t>
      </w:r>
      <w:r w:rsidR="0084422B">
        <w:t xml:space="preserve">would not </w:t>
      </w:r>
      <w:r>
        <w:t>be</w:t>
      </w:r>
      <w:r w:rsidR="0084422B">
        <w:t xml:space="preserve"> incurred by a prudent service </w:t>
      </w:r>
      <w:r w:rsidR="0084422B" w:rsidRPr="0087303C">
        <w:rPr>
          <w:rStyle w:val="AERbody"/>
        </w:rPr>
        <w:t>provider acting efficiently, in accordance with accepted good industry practice</w:t>
      </w:r>
      <w:r w:rsidR="0084422B">
        <w:rPr>
          <w:rStyle w:val="AERbody"/>
        </w:rPr>
        <w:t>.</w:t>
      </w:r>
      <w:r w:rsidR="0084422B" w:rsidRPr="0084422B">
        <w:rPr>
          <w:rStyle w:val="FootnoteReference"/>
        </w:rPr>
        <w:t xml:space="preserve"> </w:t>
      </w:r>
      <w:r w:rsidR="0084422B">
        <w:rPr>
          <w:rStyle w:val="FootnoteReference"/>
        </w:rPr>
        <w:footnoteReference w:id="47"/>
      </w:r>
      <w:r w:rsidR="0084422B">
        <w:t xml:space="preserve"> </w:t>
      </w:r>
      <w:r>
        <w:t xml:space="preserve"> Our reasoning for this decision is detailed below.</w:t>
      </w:r>
    </w:p>
    <w:p w14:paraId="38D19879" w14:textId="6E9277D7" w:rsidR="00CB67EA" w:rsidRDefault="00BF21D3" w:rsidP="00CB67EA">
      <w:r>
        <w:t>Overall</w:t>
      </w:r>
      <w:r w:rsidR="00CB67EA">
        <w:t>, our position in t</w:t>
      </w:r>
      <w:r w:rsidR="00E436EF">
        <w:t>his draft decision is that $35.9</w:t>
      </w:r>
      <w:r w:rsidR="00CB67EA">
        <w:t xml:space="preserve"> million of the $41.9 million is conforming capex.</w:t>
      </w:r>
    </w:p>
    <w:p w14:paraId="0A37E73D" w14:textId="77777777" w:rsidR="00DB79CE" w:rsidRPr="003235D2" w:rsidRDefault="00DB79CE" w:rsidP="003235D2">
      <w:pPr>
        <w:pStyle w:val="HeadingOrange"/>
        <w:rPr>
          <w:rStyle w:val="AERtexthighlight"/>
          <w:shd w:val="clear" w:color="auto" w:fill="auto"/>
        </w:rPr>
      </w:pPr>
      <w:r w:rsidRPr="003235D2">
        <w:rPr>
          <w:rStyle w:val="AERtexthighlight"/>
          <w:shd w:val="clear" w:color="auto" w:fill="auto"/>
        </w:rPr>
        <w:t>Inline inspection</w:t>
      </w:r>
    </w:p>
    <w:p w14:paraId="5692504F" w14:textId="52C67710" w:rsidR="003235D2" w:rsidRDefault="003235D2" w:rsidP="00DB79CE">
      <w:pPr>
        <w:rPr>
          <w:rStyle w:val="AERbody"/>
        </w:rPr>
      </w:pPr>
      <w:r>
        <w:rPr>
          <w:rStyle w:val="AERbody"/>
        </w:rPr>
        <w:t xml:space="preserve">APA </w:t>
      </w:r>
      <w:r w:rsidR="00D95DA4">
        <w:rPr>
          <w:rStyle w:val="AERbody"/>
        </w:rPr>
        <w:t>identified actual expenditure of $11.6</w:t>
      </w:r>
      <w:r>
        <w:rPr>
          <w:rStyle w:val="AERbody"/>
        </w:rPr>
        <w:t xml:space="preserve"> million on inlin</w:t>
      </w:r>
      <w:r w:rsidR="00251D66">
        <w:rPr>
          <w:rStyle w:val="AERbody"/>
        </w:rPr>
        <w:t>e inspection works, including $6</w:t>
      </w:r>
      <w:r>
        <w:rPr>
          <w:rStyle w:val="AERbody"/>
        </w:rPr>
        <w:t>.</w:t>
      </w:r>
      <w:r w:rsidR="00D95DA4">
        <w:rPr>
          <w:rStyle w:val="AERbody"/>
        </w:rPr>
        <w:t>8</w:t>
      </w:r>
      <w:r>
        <w:rPr>
          <w:rStyle w:val="AERbody"/>
        </w:rPr>
        <w:t xml:space="preserve"> million for pig trap installation on 7 pipelines</w:t>
      </w:r>
      <w:r w:rsidR="009C535D">
        <w:rPr>
          <w:rStyle w:val="AERbody"/>
        </w:rPr>
        <w:t xml:space="preserve"> </w:t>
      </w:r>
      <w:r w:rsidR="00D95DA4">
        <w:rPr>
          <w:rStyle w:val="AERbody"/>
        </w:rPr>
        <w:t>and other related works, as well as</w:t>
      </w:r>
      <w:r w:rsidR="00251D66">
        <w:rPr>
          <w:rStyle w:val="AERbody"/>
        </w:rPr>
        <w:t xml:space="preserve"> $4</w:t>
      </w:r>
      <w:r w:rsidR="009C535D">
        <w:rPr>
          <w:rStyle w:val="AERbody"/>
        </w:rPr>
        <w:t>.8 million for pigging on 6 pipelines.</w:t>
      </w:r>
      <w:r w:rsidR="009C535D">
        <w:rPr>
          <w:rStyle w:val="FootnoteReference"/>
        </w:rPr>
        <w:footnoteReference w:id="48"/>
      </w:r>
      <w:r>
        <w:rPr>
          <w:rStyle w:val="AERbody"/>
        </w:rPr>
        <w:t xml:space="preserve"> </w:t>
      </w:r>
    </w:p>
    <w:p w14:paraId="542E7BBB" w14:textId="189E54CE" w:rsidR="00DB79CE" w:rsidRPr="0087303C" w:rsidRDefault="00DB79CE" w:rsidP="00DB79CE">
      <w:pPr>
        <w:rPr>
          <w:rStyle w:val="AERbody"/>
        </w:rPr>
      </w:pPr>
      <w:r w:rsidRPr="0087303C">
        <w:rPr>
          <w:rStyle w:val="AERbody"/>
        </w:rPr>
        <w:t>The capex model included with the 2018</w:t>
      </w:r>
      <w:r w:rsidR="00ED2C66">
        <w:rPr>
          <w:rStyle w:val="AERbody"/>
        </w:rPr>
        <w:t>–</w:t>
      </w:r>
      <w:r w:rsidRPr="0087303C">
        <w:rPr>
          <w:rStyle w:val="AERbody"/>
        </w:rPr>
        <w:t>2022 access arrangement submission indicates that as of 2016, pig trap installation works were complete on only one of the pipelines (PL 124)</w:t>
      </w:r>
      <w:r w:rsidR="008E088B">
        <w:rPr>
          <w:rStyle w:val="AERbody"/>
        </w:rPr>
        <w:t xml:space="preserve"> and</w:t>
      </w:r>
      <w:r w:rsidR="00B47E28">
        <w:rPr>
          <w:rStyle w:val="AERbody"/>
        </w:rPr>
        <w:t xml:space="preserve"> had</w:t>
      </w:r>
      <w:r w:rsidR="00251D66">
        <w:rPr>
          <w:rStyle w:val="AERbody"/>
        </w:rPr>
        <w:t xml:space="preserve"> commenced on another pipeline (PL129)</w:t>
      </w:r>
      <w:r w:rsidRPr="0087303C">
        <w:rPr>
          <w:rStyle w:val="AERbody"/>
        </w:rPr>
        <w:t>.</w:t>
      </w:r>
      <w:r w:rsidR="00B47E28">
        <w:rPr>
          <w:rStyle w:val="AERbody"/>
        </w:rPr>
        <w:t xml:space="preserve"> APA forecast that a further $1.5 million is required to complete the pig trap installation works on this pipeline (PL129), taking the total cost </w:t>
      </w:r>
      <w:r w:rsidR="008E088B">
        <w:rPr>
          <w:rStyle w:val="AERbody"/>
        </w:rPr>
        <w:t>to</w:t>
      </w:r>
      <w:r w:rsidR="00B47E28">
        <w:rPr>
          <w:rStyle w:val="AERbody"/>
        </w:rPr>
        <w:t xml:space="preserve"> more than triple the initial forecast. </w:t>
      </w:r>
      <w:r w:rsidRPr="0087303C">
        <w:rPr>
          <w:rStyle w:val="AERbody"/>
        </w:rPr>
        <w:t xml:space="preserve"> Work is scheduled for completion on </w:t>
      </w:r>
      <w:r w:rsidR="00251D66">
        <w:rPr>
          <w:rStyle w:val="AERbody"/>
        </w:rPr>
        <w:t>another</w:t>
      </w:r>
      <w:r w:rsidRPr="0087303C">
        <w:rPr>
          <w:rStyle w:val="AERbody"/>
        </w:rPr>
        <w:t xml:space="preserve"> pipeline (PL 238)</w:t>
      </w:r>
      <w:r w:rsidR="009C535D">
        <w:rPr>
          <w:rStyle w:val="AERbody"/>
        </w:rPr>
        <w:t xml:space="preserve"> in 2017</w:t>
      </w:r>
      <w:r w:rsidRPr="0087303C">
        <w:rPr>
          <w:rStyle w:val="AERbody"/>
        </w:rPr>
        <w:t xml:space="preserve">, with </w:t>
      </w:r>
      <w:r w:rsidR="009C535D">
        <w:rPr>
          <w:rStyle w:val="AERbody"/>
        </w:rPr>
        <w:t xml:space="preserve">the </w:t>
      </w:r>
      <w:r w:rsidR="00B47E28">
        <w:rPr>
          <w:rStyle w:val="AERbody"/>
        </w:rPr>
        <w:t>cost of this work also</w:t>
      </w:r>
      <w:r w:rsidRPr="0087303C">
        <w:rPr>
          <w:rStyle w:val="AERbody"/>
        </w:rPr>
        <w:t xml:space="preserve"> substantially higher than the initial estimates. The capex model indicates that work had not commenced</w:t>
      </w:r>
      <w:r w:rsidR="0087303C">
        <w:rPr>
          <w:rStyle w:val="AERbody"/>
        </w:rPr>
        <w:t>,</w:t>
      </w:r>
      <w:r w:rsidRPr="0087303C">
        <w:rPr>
          <w:rStyle w:val="AERbody"/>
        </w:rPr>
        <w:t xml:space="preserve"> </w:t>
      </w:r>
      <w:r w:rsidR="0087303C">
        <w:rPr>
          <w:rStyle w:val="AERbody"/>
        </w:rPr>
        <w:t>and is not planned to be undertaken in the 2013</w:t>
      </w:r>
      <w:r w:rsidR="00ED2C66">
        <w:rPr>
          <w:rStyle w:val="AERbody"/>
        </w:rPr>
        <w:t>–</w:t>
      </w:r>
      <w:r w:rsidR="0087303C">
        <w:rPr>
          <w:rStyle w:val="AERbody"/>
        </w:rPr>
        <w:t xml:space="preserve">17 </w:t>
      </w:r>
      <w:r w:rsidR="00F25195">
        <w:t>access arrangement</w:t>
      </w:r>
      <w:r w:rsidR="0087303C">
        <w:rPr>
          <w:rStyle w:val="AERbody"/>
        </w:rPr>
        <w:t xml:space="preserve">, </w:t>
      </w:r>
      <w:r w:rsidRPr="0087303C">
        <w:rPr>
          <w:rStyle w:val="AERbody"/>
        </w:rPr>
        <w:t xml:space="preserve">on </w:t>
      </w:r>
      <w:r w:rsidR="009C535D">
        <w:rPr>
          <w:rStyle w:val="AERbody"/>
        </w:rPr>
        <w:t>4</w:t>
      </w:r>
      <w:r w:rsidRPr="0087303C">
        <w:rPr>
          <w:rStyle w:val="AERbody"/>
        </w:rPr>
        <w:t xml:space="preserve"> other pipelines (PL 36, PL 67, PL 68 and PL162). </w:t>
      </w:r>
    </w:p>
    <w:p w14:paraId="164D9C43" w14:textId="15F926AF" w:rsidR="00DB79CE" w:rsidRPr="0087303C" w:rsidRDefault="00DB79CE" w:rsidP="00DB79CE">
      <w:pPr>
        <w:rPr>
          <w:rStyle w:val="AERbody"/>
        </w:rPr>
      </w:pPr>
      <w:r w:rsidRPr="0087303C">
        <w:rPr>
          <w:rStyle w:val="AERbody"/>
        </w:rPr>
        <w:t xml:space="preserve">For the pigging program, at the end of 2016, work was complete on three of the pipelines (PL74, PL 56 and PL 92). </w:t>
      </w:r>
      <w:r w:rsidR="008E088B" w:rsidRPr="0087303C">
        <w:rPr>
          <w:rStyle w:val="AERbody"/>
        </w:rPr>
        <w:t>The pigging program on the T1 pipeline is sche</w:t>
      </w:r>
      <w:r w:rsidR="008E088B">
        <w:rPr>
          <w:rStyle w:val="AERbody"/>
        </w:rPr>
        <w:t>duled to commence later in 2017</w:t>
      </w:r>
      <w:r w:rsidR="008E088B" w:rsidRPr="0087303C">
        <w:rPr>
          <w:rStyle w:val="AERbody"/>
        </w:rPr>
        <w:t xml:space="preserve"> at a forecast cost of $3 million</w:t>
      </w:r>
      <w:r w:rsidR="008E088B">
        <w:rPr>
          <w:rStyle w:val="AERbody"/>
        </w:rPr>
        <w:t>,</w:t>
      </w:r>
      <w:r w:rsidR="008E088B" w:rsidRPr="0087303C">
        <w:rPr>
          <w:rStyle w:val="AERbody"/>
        </w:rPr>
        <w:t xml:space="preserve"> almost 6</w:t>
      </w:r>
      <w:r w:rsidR="008E088B">
        <w:rPr>
          <w:rStyle w:val="AERbody"/>
        </w:rPr>
        <w:t xml:space="preserve"> times</w:t>
      </w:r>
      <w:r w:rsidR="008E088B" w:rsidRPr="0087303C">
        <w:rPr>
          <w:rStyle w:val="AERbody"/>
        </w:rPr>
        <w:t xml:space="preserve"> the initial budget</w:t>
      </w:r>
      <w:r w:rsidR="008E088B">
        <w:rPr>
          <w:rStyle w:val="AERbody"/>
        </w:rPr>
        <w:t xml:space="preserve">. APA has not explained why the forecast costs for 2017 are higher than the initial budget. </w:t>
      </w:r>
      <w:r w:rsidRPr="0087303C">
        <w:rPr>
          <w:rStyle w:val="AERbody"/>
        </w:rPr>
        <w:t>Work has not commenced and is not scheduled for 2017 on two other pipelines (T57 and T59/71).</w:t>
      </w:r>
    </w:p>
    <w:p w14:paraId="085E48A8" w14:textId="1C2DD951" w:rsidR="00DB79CE" w:rsidRPr="0087303C" w:rsidRDefault="00C64A6B" w:rsidP="00DB79CE">
      <w:pPr>
        <w:rPr>
          <w:rStyle w:val="AERbody"/>
        </w:rPr>
      </w:pPr>
      <w:r>
        <w:rPr>
          <w:rStyle w:val="AERbody"/>
        </w:rPr>
        <w:t>Our</w:t>
      </w:r>
      <w:r w:rsidR="00DB79CE" w:rsidRPr="0087303C">
        <w:rPr>
          <w:rStyle w:val="AERbody"/>
        </w:rPr>
        <w:t xml:space="preserve"> draft decision is to </w:t>
      </w:r>
      <w:r w:rsidR="00FF02EC">
        <w:rPr>
          <w:rStyle w:val="AERbody"/>
        </w:rPr>
        <w:t>include</w:t>
      </w:r>
      <w:r w:rsidR="00FF02EC" w:rsidRPr="0087303C">
        <w:rPr>
          <w:rStyle w:val="AERbody"/>
        </w:rPr>
        <w:t xml:space="preserve"> </w:t>
      </w:r>
      <w:r w:rsidR="00DB79CE" w:rsidRPr="0087303C">
        <w:rPr>
          <w:rStyle w:val="AERbody"/>
        </w:rPr>
        <w:t xml:space="preserve">only the </w:t>
      </w:r>
      <w:r w:rsidR="00FF02EC">
        <w:rPr>
          <w:rStyle w:val="AERbody"/>
        </w:rPr>
        <w:t xml:space="preserve">forecast </w:t>
      </w:r>
      <w:r w:rsidR="00DB79CE" w:rsidRPr="0087303C">
        <w:rPr>
          <w:rStyle w:val="AERbody"/>
        </w:rPr>
        <w:t xml:space="preserve">expenditure on the pig trap installation works and the pigging program that had actually been expended between 2013 and 2016. </w:t>
      </w:r>
      <w:r>
        <w:rPr>
          <w:rStyle w:val="AERbody"/>
        </w:rPr>
        <w:t>We</w:t>
      </w:r>
      <w:r w:rsidR="00DB79CE" w:rsidRPr="0087303C">
        <w:rPr>
          <w:rStyle w:val="AERbody"/>
        </w:rPr>
        <w:t xml:space="preserve"> </w:t>
      </w:r>
      <w:r w:rsidR="00FF02EC">
        <w:rPr>
          <w:rStyle w:val="AERbody"/>
        </w:rPr>
        <w:t>have not included</w:t>
      </w:r>
      <w:r w:rsidR="00DB79CE" w:rsidRPr="0087303C">
        <w:rPr>
          <w:rStyle w:val="AERbody"/>
        </w:rPr>
        <w:t xml:space="preserve"> the </w:t>
      </w:r>
      <w:r w:rsidR="009C535D">
        <w:rPr>
          <w:rStyle w:val="AERbody"/>
        </w:rPr>
        <w:t>forecast</w:t>
      </w:r>
      <w:r w:rsidR="00DB79CE" w:rsidRPr="0087303C">
        <w:rPr>
          <w:rStyle w:val="AERbody"/>
        </w:rPr>
        <w:t xml:space="preserve"> expenditure in 2017 for pig trap installation on PL129 and PL 238</w:t>
      </w:r>
      <w:r w:rsidR="009C535D">
        <w:rPr>
          <w:rStyle w:val="AERbody"/>
        </w:rPr>
        <w:t xml:space="preserve"> ($1.5 million each)</w:t>
      </w:r>
      <w:r w:rsidR="00DB79CE" w:rsidRPr="0087303C">
        <w:rPr>
          <w:rStyle w:val="AERbody"/>
        </w:rPr>
        <w:t xml:space="preserve"> or the pigging program for pipeline T1</w:t>
      </w:r>
      <w:r w:rsidR="009C535D">
        <w:rPr>
          <w:rStyle w:val="AERbody"/>
        </w:rPr>
        <w:t xml:space="preserve"> ($3 million) for</w:t>
      </w:r>
      <w:r w:rsidR="00DB79CE" w:rsidRPr="0087303C">
        <w:rPr>
          <w:rStyle w:val="AERbody"/>
        </w:rPr>
        <w:t xml:space="preserve"> inclu</w:t>
      </w:r>
      <w:r w:rsidR="009C535D">
        <w:rPr>
          <w:rStyle w:val="AERbody"/>
        </w:rPr>
        <w:t>sion</w:t>
      </w:r>
      <w:r w:rsidR="00DB79CE" w:rsidRPr="0087303C">
        <w:rPr>
          <w:rStyle w:val="AERbody"/>
        </w:rPr>
        <w:t xml:space="preserve"> in the opening capital base. The </w:t>
      </w:r>
      <w:r w:rsidR="009C535D">
        <w:rPr>
          <w:rStyle w:val="AERbody"/>
        </w:rPr>
        <w:t>forecast</w:t>
      </w:r>
      <w:r w:rsidR="00DB79CE" w:rsidRPr="0087303C">
        <w:rPr>
          <w:rStyle w:val="AERbody"/>
        </w:rPr>
        <w:t xml:space="preserve"> expenditure is far in excess of the initial budget for this work included in APA</w:t>
      </w:r>
      <w:r w:rsidR="00FF02EC">
        <w:rPr>
          <w:rStyle w:val="AERbody"/>
        </w:rPr>
        <w:t>'s</w:t>
      </w:r>
      <w:r w:rsidR="00DB79CE" w:rsidRPr="0087303C">
        <w:rPr>
          <w:rStyle w:val="AERbody"/>
        </w:rPr>
        <w:t xml:space="preserve"> 2013</w:t>
      </w:r>
      <w:r w:rsidR="00ED2C66">
        <w:rPr>
          <w:rStyle w:val="AERbody"/>
        </w:rPr>
        <w:t>–</w:t>
      </w:r>
      <w:r w:rsidR="00DB79CE" w:rsidRPr="0087303C">
        <w:rPr>
          <w:rStyle w:val="AERbody"/>
        </w:rPr>
        <w:t xml:space="preserve">2017 access arrangement proposal and does not appear consistent with </w:t>
      </w:r>
      <w:r w:rsidR="00FF02EC">
        <w:rPr>
          <w:rStyle w:val="AERbody"/>
        </w:rPr>
        <w:t xml:space="preserve">the </w:t>
      </w:r>
      <w:r w:rsidR="00DB79CE" w:rsidRPr="0087303C">
        <w:rPr>
          <w:rStyle w:val="AERbody"/>
        </w:rPr>
        <w:t xml:space="preserve">cost of similar works on the other pipelines. </w:t>
      </w:r>
    </w:p>
    <w:p w14:paraId="241619F8" w14:textId="2393DA42" w:rsidR="00DB79CE" w:rsidRPr="0087303C" w:rsidRDefault="009C535D" w:rsidP="00DB79CE">
      <w:pPr>
        <w:rPr>
          <w:rStyle w:val="AERbody"/>
        </w:rPr>
      </w:pPr>
      <w:r>
        <w:rPr>
          <w:rStyle w:val="AERbody"/>
        </w:rPr>
        <w:t>We consider t</w:t>
      </w:r>
      <w:r w:rsidR="00DB79CE" w:rsidRPr="0087303C">
        <w:rPr>
          <w:rStyle w:val="AERbody"/>
        </w:rPr>
        <w:t xml:space="preserve">his </w:t>
      </w:r>
      <w:r>
        <w:rPr>
          <w:rStyle w:val="AERbody"/>
        </w:rPr>
        <w:t>forecast</w:t>
      </w:r>
      <w:r w:rsidR="00DB79CE" w:rsidRPr="0087303C">
        <w:rPr>
          <w:rStyle w:val="AERbody"/>
        </w:rPr>
        <w:t xml:space="preserve"> expenditure for works in 2017 </w:t>
      </w:r>
      <w:r>
        <w:rPr>
          <w:rStyle w:val="AERbody"/>
        </w:rPr>
        <w:t>has</w:t>
      </w:r>
      <w:r w:rsidR="00DB79CE" w:rsidRPr="0087303C">
        <w:rPr>
          <w:rStyle w:val="AERbody"/>
        </w:rPr>
        <w:t xml:space="preserve"> not been arrived at on a reasonable basis</w:t>
      </w:r>
      <w:r w:rsidR="009D49B3">
        <w:rPr>
          <w:rStyle w:val="AERbody"/>
        </w:rPr>
        <w:t>. Therefore, it</w:t>
      </w:r>
      <w:r w:rsidR="00DB79CE" w:rsidRPr="0087303C">
        <w:rPr>
          <w:rStyle w:val="AERbody"/>
        </w:rPr>
        <w:t xml:space="preserve"> does not meet the requirement under </w:t>
      </w:r>
      <w:r w:rsidR="004A27B5">
        <w:rPr>
          <w:rStyle w:val="AERbody"/>
        </w:rPr>
        <w:t>r</w:t>
      </w:r>
      <w:r w:rsidR="00DB79CE" w:rsidRPr="0087303C">
        <w:rPr>
          <w:rStyle w:val="AERbody"/>
        </w:rPr>
        <w:t xml:space="preserve">ule 74. </w:t>
      </w:r>
      <w:r w:rsidR="00897351">
        <w:rPr>
          <w:rStyle w:val="AERbody"/>
        </w:rPr>
        <w:t>We are not satisfied that i</w:t>
      </w:r>
      <w:r w:rsidR="00DB79CE" w:rsidRPr="0087303C">
        <w:rPr>
          <w:rStyle w:val="AERbody"/>
        </w:rPr>
        <w:t xml:space="preserve">t would be </w:t>
      </w:r>
      <w:r w:rsidR="00FF02EC">
        <w:rPr>
          <w:rStyle w:val="AERbody"/>
        </w:rPr>
        <w:t xml:space="preserve">expenditure incurred </w:t>
      </w:r>
      <w:r w:rsidR="00DB79CE" w:rsidRPr="0087303C">
        <w:rPr>
          <w:rStyle w:val="AERbody"/>
        </w:rPr>
        <w:t>by a prudent service provider acting efficiently, in accordance with accepted good industry practice</w:t>
      </w:r>
      <w:r>
        <w:rPr>
          <w:rStyle w:val="AERbody"/>
        </w:rPr>
        <w:t>.</w:t>
      </w:r>
      <w:r>
        <w:rPr>
          <w:rStyle w:val="FootnoteReference"/>
        </w:rPr>
        <w:footnoteReference w:id="49"/>
      </w:r>
    </w:p>
    <w:p w14:paraId="050EEA52" w14:textId="3B81C0FA" w:rsidR="00A41C9C" w:rsidRPr="0087303C" w:rsidRDefault="00A41C9C" w:rsidP="00A41C9C">
      <w:pPr>
        <w:rPr>
          <w:rStyle w:val="AERbody"/>
        </w:rPr>
      </w:pPr>
      <w:r>
        <w:t xml:space="preserve">Our position in this draft decision is that </w:t>
      </w:r>
      <w:r w:rsidRPr="0087303C">
        <w:rPr>
          <w:rStyle w:val="AERbody"/>
        </w:rPr>
        <w:t>$</w:t>
      </w:r>
      <w:r w:rsidR="00D95DA4">
        <w:rPr>
          <w:rStyle w:val="AERbody"/>
        </w:rPr>
        <w:t>5.6</w:t>
      </w:r>
      <w:r>
        <w:rPr>
          <w:rStyle w:val="AERbody"/>
        </w:rPr>
        <w:t xml:space="preserve"> million </w:t>
      </w:r>
      <w:r w:rsidR="00020028">
        <w:rPr>
          <w:rStyle w:val="AERbody"/>
        </w:rPr>
        <w:t xml:space="preserve">of the amount </w:t>
      </w:r>
      <w:r>
        <w:rPr>
          <w:rStyle w:val="AERbody"/>
        </w:rPr>
        <w:t>APA has incurred</w:t>
      </w:r>
      <w:r w:rsidRPr="0087303C">
        <w:rPr>
          <w:rStyle w:val="AERbody"/>
        </w:rPr>
        <w:t xml:space="preserve"> </w:t>
      </w:r>
      <w:r>
        <w:rPr>
          <w:rStyle w:val="AERbody"/>
        </w:rPr>
        <w:t>for the inline i</w:t>
      </w:r>
      <w:r w:rsidRPr="0087303C">
        <w:rPr>
          <w:rStyle w:val="AERbody"/>
        </w:rPr>
        <w:t xml:space="preserve">nspection program </w:t>
      </w:r>
      <w:r>
        <w:rPr>
          <w:rStyle w:val="AERbody"/>
        </w:rPr>
        <w:t>(</w:t>
      </w:r>
      <w:r w:rsidRPr="0087303C">
        <w:rPr>
          <w:rStyle w:val="AERbody"/>
        </w:rPr>
        <w:t>$</w:t>
      </w:r>
      <w:r w:rsidR="0047447E">
        <w:rPr>
          <w:rStyle w:val="AERbody"/>
        </w:rPr>
        <w:t>3.8</w:t>
      </w:r>
      <w:r w:rsidRPr="0087303C">
        <w:rPr>
          <w:rStyle w:val="AERbody"/>
        </w:rPr>
        <w:t xml:space="preserve"> million for completed pig trap installation </w:t>
      </w:r>
      <w:r>
        <w:rPr>
          <w:rStyle w:val="AERbody"/>
        </w:rPr>
        <w:t xml:space="preserve">and other related </w:t>
      </w:r>
      <w:r w:rsidRPr="0087303C">
        <w:rPr>
          <w:rStyle w:val="AERbody"/>
        </w:rPr>
        <w:t>works</w:t>
      </w:r>
      <w:r w:rsidR="0047447E">
        <w:rPr>
          <w:rStyle w:val="AERbody"/>
        </w:rPr>
        <w:t xml:space="preserve"> and</w:t>
      </w:r>
      <w:r w:rsidRPr="0087303C">
        <w:rPr>
          <w:rStyle w:val="AERbody"/>
        </w:rPr>
        <w:t xml:space="preserve"> $</w:t>
      </w:r>
      <w:r w:rsidR="00D95DA4">
        <w:rPr>
          <w:rStyle w:val="AERbody"/>
        </w:rPr>
        <w:t>1.8</w:t>
      </w:r>
      <w:r w:rsidRPr="0087303C">
        <w:rPr>
          <w:rStyle w:val="AERbody"/>
        </w:rPr>
        <w:t xml:space="preserve"> million for the pigging program</w:t>
      </w:r>
      <w:r>
        <w:rPr>
          <w:rStyle w:val="AERbody"/>
        </w:rPr>
        <w:t xml:space="preserve">) </w:t>
      </w:r>
      <w:r>
        <w:t>is conforming capex.</w:t>
      </w:r>
      <w:r w:rsidR="00C57227">
        <w:rPr>
          <w:rStyle w:val="FootnoteReference"/>
        </w:rPr>
        <w:footnoteReference w:id="50"/>
      </w:r>
      <w:r>
        <w:t xml:space="preserve"> </w:t>
      </w:r>
    </w:p>
    <w:p w14:paraId="604D8166" w14:textId="77777777" w:rsidR="00DB79CE" w:rsidRDefault="00DB79CE" w:rsidP="00DB79CE">
      <w:pPr>
        <w:pStyle w:val="Heading4"/>
      </w:pPr>
      <w:r>
        <w:t>Non-system Capex</w:t>
      </w:r>
    </w:p>
    <w:p w14:paraId="5879E28F" w14:textId="394E3554" w:rsidR="00C44FBC" w:rsidRDefault="00D409C1" w:rsidP="00D409C1">
      <w:r>
        <w:t>APA has incurred $22.6 million</w:t>
      </w:r>
      <w:r w:rsidRPr="00D8265F">
        <w:t xml:space="preserve"> </w:t>
      </w:r>
      <w:r w:rsidR="00EA77A4">
        <w:t xml:space="preserve">(nominal) </w:t>
      </w:r>
      <w:r>
        <w:t xml:space="preserve">on </w:t>
      </w:r>
      <w:r w:rsidR="00EA77A4">
        <w:t xml:space="preserve">non-system capital expenditure, </w:t>
      </w:r>
      <w:r w:rsidR="004C0DF5">
        <w:t>which includes</w:t>
      </w:r>
      <w:r w:rsidR="00EA77A4">
        <w:t xml:space="preserve">: </w:t>
      </w:r>
      <w:r>
        <w:t>corporate IT projects</w:t>
      </w:r>
      <w:r w:rsidR="00F0327F">
        <w:t xml:space="preserve"> ($13.4 million),</w:t>
      </w:r>
      <w:r>
        <w:t xml:space="preserve"> the redevelopment of its Dandenong administration buildings</w:t>
      </w:r>
      <w:r w:rsidR="00F0327F">
        <w:t xml:space="preserve"> ($5.1 million), </w:t>
      </w:r>
      <w:r w:rsidR="00EB1E1D">
        <w:t>as well as</w:t>
      </w:r>
      <w:r w:rsidR="00F0327F">
        <w:t xml:space="preserve"> technical equipment</w:t>
      </w:r>
      <w:r w:rsidR="00F0327F" w:rsidRPr="00F0327F">
        <w:t xml:space="preserve"> </w:t>
      </w:r>
      <w:r w:rsidR="00F0327F">
        <w:t>purchases</w:t>
      </w:r>
      <w:r w:rsidR="00EB1E1D">
        <w:t>,</w:t>
      </w:r>
      <w:r w:rsidR="00F0327F">
        <w:t xml:space="preserve"> </w:t>
      </w:r>
      <w:r w:rsidR="00EB1E1D">
        <w:t xml:space="preserve">other building and related works </w:t>
      </w:r>
      <w:r w:rsidR="00F0327F">
        <w:t>($4</w:t>
      </w:r>
      <w:r w:rsidR="00EB1E1D">
        <w:t>.0</w:t>
      </w:r>
      <w:r w:rsidR="00F0327F">
        <w:t xml:space="preserve"> million)</w:t>
      </w:r>
      <w:r>
        <w:t xml:space="preserve">. </w:t>
      </w:r>
    </w:p>
    <w:p w14:paraId="36730FEA" w14:textId="61115EA5" w:rsidR="00D409C1" w:rsidRDefault="00C44FBC" w:rsidP="00D409C1">
      <w:r>
        <w:t>Our position in this draft decision is that this expenditure is conforming capex.</w:t>
      </w:r>
    </w:p>
    <w:p w14:paraId="186A0DC2" w14:textId="4E054471" w:rsidR="00DB79CE" w:rsidRDefault="00DB79CE" w:rsidP="00DB79CE">
      <w:pPr>
        <w:pStyle w:val="HeadingOrange"/>
      </w:pPr>
      <w:r>
        <w:t>Corporate IT projects</w:t>
      </w:r>
    </w:p>
    <w:p w14:paraId="30C7CD5A" w14:textId="1C360820" w:rsidR="00D409C1" w:rsidRPr="00D409C1" w:rsidRDefault="002C0B0C" w:rsidP="006E79A9">
      <w:r>
        <w:t xml:space="preserve">APA </w:t>
      </w:r>
      <w:r w:rsidR="00AA4FD5">
        <w:t>identified</w:t>
      </w:r>
      <w:r>
        <w:t xml:space="preserve"> 56 non-system corporate capex projects</w:t>
      </w:r>
      <w:r w:rsidR="00AA4FD5">
        <w:t xml:space="preserve">, </w:t>
      </w:r>
      <w:r w:rsidR="00D409C1">
        <w:t xml:space="preserve">44 </w:t>
      </w:r>
      <w:r w:rsidR="00AA4FD5">
        <w:t xml:space="preserve">of which </w:t>
      </w:r>
      <w:r>
        <w:t xml:space="preserve">were not </w:t>
      </w:r>
      <w:r w:rsidR="00AA4FD5">
        <w:t xml:space="preserve">included in the </w:t>
      </w:r>
      <w:r>
        <w:t>2013</w:t>
      </w:r>
      <w:r w:rsidR="00ED2C66">
        <w:t>–</w:t>
      </w:r>
      <w:r>
        <w:t xml:space="preserve">2017 </w:t>
      </w:r>
      <w:r w:rsidR="00F25195">
        <w:t>access arrangement</w:t>
      </w:r>
      <w:r w:rsidR="00D409C1">
        <w:t xml:space="preserve"> forecast</w:t>
      </w:r>
      <w:r>
        <w:t xml:space="preserve">. </w:t>
      </w:r>
      <w:r w:rsidR="00D409C1">
        <w:t>Many of these projects were undertaken to align the VTS IT systems with APA’s corporate IT systems for efficiency and reliability reasons across APA.</w:t>
      </w:r>
      <w:r w:rsidR="00D409C1">
        <w:rPr>
          <w:rStyle w:val="FootnoteReference"/>
        </w:rPr>
        <w:footnoteReference w:id="51"/>
      </w:r>
      <w:r w:rsidR="00D409C1">
        <w:t xml:space="preserve"> </w:t>
      </w:r>
    </w:p>
    <w:p w14:paraId="7C1DD59A" w14:textId="0850BB81" w:rsidR="00D409C1" w:rsidRPr="00D409C1" w:rsidRDefault="00D409C1" w:rsidP="00B47E28">
      <w:r w:rsidRPr="00D409C1">
        <w:t>On the information before us, we are satisfied that the $13.4 million APA incurred is prudent, in accordance with good industry practice and achieves the lowest sustainable cost of providing services.</w:t>
      </w:r>
      <w:r w:rsidRPr="00D409C1">
        <w:rPr>
          <w:rStyle w:val="FootnoteReference"/>
        </w:rPr>
        <w:footnoteReference w:id="52"/>
      </w:r>
      <w:r w:rsidRPr="00D409C1">
        <w:t xml:space="preserve"> We also agree that upgrading </w:t>
      </w:r>
      <w:r w:rsidR="00C44FBC">
        <w:t xml:space="preserve">the VTS IT systems </w:t>
      </w:r>
      <w:r w:rsidR="006E79A9">
        <w:t>to</w:t>
      </w:r>
      <w:r w:rsidR="00C44FBC">
        <w:t xml:space="preserve"> align with APA’s corporate IT systems</w:t>
      </w:r>
      <w:r w:rsidR="00C44FBC" w:rsidRPr="00D409C1">
        <w:t xml:space="preserve"> </w:t>
      </w:r>
      <w:r w:rsidRPr="00D409C1">
        <w:t>is justified on the ground that it will maintain the integrity of services.</w:t>
      </w:r>
      <w:r w:rsidRPr="00D409C1">
        <w:rPr>
          <w:rStyle w:val="FootnoteReference"/>
        </w:rPr>
        <w:footnoteReference w:id="53"/>
      </w:r>
    </w:p>
    <w:p w14:paraId="56D91FFA" w14:textId="1F9861F8" w:rsidR="002C0B0C" w:rsidRDefault="00D409C1" w:rsidP="00B47E28">
      <w:r w:rsidRPr="00D409C1">
        <w:t>Our position in this draft decision is that the $13.4 million APA incurred on corporate IT systems is conforming capex.</w:t>
      </w:r>
      <w:r w:rsidR="002C0B0C">
        <w:t xml:space="preserve"> </w:t>
      </w:r>
    </w:p>
    <w:p w14:paraId="58B80E72" w14:textId="44F873B6" w:rsidR="00DB79CE" w:rsidRDefault="00DB79CE" w:rsidP="00DB79CE">
      <w:pPr>
        <w:pStyle w:val="HeadingOrange"/>
      </w:pPr>
      <w:r>
        <w:t>Dandenong Redevelopment and Southbank Lease</w:t>
      </w:r>
    </w:p>
    <w:p w14:paraId="3DDA9E23" w14:textId="5444F03A" w:rsidR="00D409C1" w:rsidRDefault="00D409C1" w:rsidP="00D409C1">
      <w:r>
        <w:t>APA submitted that it has incurred $5.1 million ($nominal) in redeveloping and constructing a new building at its Dandenong site to accommodate administrative and operational staff.</w:t>
      </w:r>
      <w:r w:rsidR="00344352">
        <w:rPr>
          <w:rStyle w:val="FootnoteReference"/>
        </w:rPr>
        <w:footnoteReference w:id="54"/>
      </w:r>
      <w:r>
        <w:t xml:space="preserve"> We included </w:t>
      </w:r>
      <w:r w:rsidRPr="00751A5C">
        <w:rPr>
          <w:rStyle w:val="AERbody"/>
        </w:rPr>
        <w:t>$</w:t>
      </w:r>
      <w:r>
        <w:rPr>
          <w:rStyle w:val="AERbody"/>
        </w:rPr>
        <w:t>9.5</w:t>
      </w:r>
      <w:r w:rsidRPr="00751A5C">
        <w:rPr>
          <w:rStyle w:val="AERbody"/>
        </w:rPr>
        <w:t xml:space="preserve"> million ($</w:t>
      </w:r>
      <w:r>
        <w:rPr>
          <w:rStyle w:val="AERbody"/>
        </w:rPr>
        <w:t>nominal</w:t>
      </w:r>
      <w:r w:rsidRPr="00751A5C">
        <w:rPr>
          <w:rStyle w:val="AERbody"/>
        </w:rPr>
        <w:t xml:space="preserve">) </w:t>
      </w:r>
      <w:r>
        <w:t xml:space="preserve">for this project in the 2013–17 </w:t>
      </w:r>
      <w:r w:rsidR="00687663">
        <w:t>access arrangement</w:t>
      </w:r>
      <w:r>
        <w:t xml:space="preserve"> forecast.</w:t>
      </w:r>
      <w:r w:rsidR="00344352">
        <w:rPr>
          <w:rStyle w:val="FootnoteReference"/>
        </w:rPr>
        <w:footnoteReference w:id="55"/>
      </w:r>
      <w:r>
        <w:rPr>
          <w:rStyle w:val="AERbody"/>
        </w:rPr>
        <w:t xml:space="preserve"> The </w:t>
      </w:r>
      <w:r>
        <w:t xml:space="preserve">$5.1 million </w:t>
      </w:r>
      <w:r>
        <w:rPr>
          <w:rStyle w:val="AERbody"/>
        </w:rPr>
        <w:t>followed APA</w:t>
      </w:r>
      <w:r w:rsidR="001D796C">
        <w:rPr>
          <w:rStyle w:val="AERbody"/>
        </w:rPr>
        <w:t>'s</w:t>
      </w:r>
      <w:r>
        <w:rPr>
          <w:rStyle w:val="AERbody"/>
        </w:rPr>
        <w:t xml:space="preserve"> </w:t>
      </w:r>
      <w:r w:rsidR="001D796C">
        <w:rPr>
          <w:rStyle w:val="AERbody"/>
        </w:rPr>
        <w:t xml:space="preserve">decision </w:t>
      </w:r>
      <w:r>
        <w:rPr>
          <w:rStyle w:val="AERbody"/>
        </w:rPr>
        <w:t xml:space="preserve">to lease a site at Southbank to </w:t>
      </w:r>
      <w:r>
        <w:t>accommodate its staff (other than its Dandenong South Operations Group staff).</w:t>
      </w:r>
    </w:p>
    <w:p w14:paraId="06F1774A" w14:textId="1C12265E" w:rsidR="00D409C1" w:rsidRDefault="00D409C1" w:rsidP="00D409C1">
      <w:r>
        <w:t>The cost savings realised by leasing the Southbank site is prudent, in accordance with good industry practice and achieves the lowest sustainable cost of providing services in light of the alternatives available to APA.</w:t>
      </w:r>
      <w:r w:rsidR="00344352">
        <w:rPr>
          <w:rStyle w:val="FootnoteReference"/>
        </w:rPr>
        <w:footnoteReference w:id="56"/>
      </w:r>
      <w:r>
        <w:t xml:space="preserve"> We also consider that this expenditure is justified on the ground that its overall economic value is positive, with benefits to the </w:t>
      </w:r>
      <w:r w:rsidRPr="00D409C1">
        <w:t>service provider and end users</w:t>
      </w:r>
      <w:r>
        <w:t>.</w:t>
      </w:r>
      <w:r>
        <w:rPr>
          <w:rStyle w:val="FootnoteReference"/>
        </w:rPr>
        <w:footnoteReference w:id="57"/>
      </w:r>
    </w:p>
    <w:p w14:paraId="082E4264" w14:textId="37C103A3" w:rsidR="00784F49" w:rsidRDefault="00D409C1" w:rsidP="00784F49">
      <w:r>
        <w:t>Our position in this draft decision is that the $5.1 million APA incurred to redevelop its Dandenong site is conforming capex.</w:t>
      </w:r>
    </w:p>
    <w:p w14:paraId="6E6DCCF6" w14:textId="77777777" w:rsidR="00DB79CE" w:rsidRPr="0019654E" w:rsidRDefault="00DB79CE" w:rsidP="00D24DD7">
      <w:pPr>
        <w:pStyle w:val="Heading3"/>
        <w:ind w:left="720"/>
      </w:pPr>
      <w:bookmarkStart w:id="94" w:name="_Toc486855306"/>
      <w:r>
        <w:t>Capital expenditure over the 2018</w:t>
      </w:r>
      <w:r w:rsidRPr="0019654E">
        <w:t>–</w:t>
      </w:r>
      <w:r>
        <w:t>22</w:t>
      </w:r>
      <w:r w:rsidRPr="0019654E">
        <w:t xml:space="preserve"> access arrangement period</w:t>
      </w:r>
      <w:bookmarkEnd w:id="94"/>
    </w:p>
    <w:p w14:paraId="5B3E0371" w14:textId="2C95DCBF" w:rsidR="00DB79CE" w:rsidRDefault="00DB79CE" w:rsidP="00DB79CE">
      <w:r w:rsidRPr="00FD2016">
        <w:t>We approve conforming net capex of $</w:t>
      </w:r>
      <w:r w:rsidR="005071F3">
        <w:t>215</w:t>
      </w:r>
      <w:r w:rsidR="0075377E">
        <w:t>.</w:t>
      </w:r>
      <w:r w:rsidR="002E12CE">
        <w:t>0</w:t>
      </w:r>
      <w:r w:rsidRPr="00FD2016">
        <w:t xml:space="preserve"> million ($2017) for the 201</w:t>
      </w:r>
      <w:r>
        <w:t>8</w:t>
      </w:r>
      <w:r w:rsidRPr="00FD2016">
        <w:t xml:space="preserve">–22 </w:t>
      </w:r>
      <w:r w:rsidR="000954B2">
        <w:t>access arrangement</w:t>
      </w:r>
      <w:r w:rsidR="007F71AB" w:rsidRPr="00FD2016">
        <w:t xml:space="preserve"> </w:t>
      </w:r>
      <w:r>
        <w:t xml:space="preserve">period. This is </w:t>
      </w:r>
      <w:r w:rsidRPr="00FD2016">
        <w:t>$</w:t>
      </w:r>
      <w:r w:rsidR="002E12CE">
        <w:t>41.1</w:t>
      </w:r>
      <w:r w:rsidRPr="00FD2016">
        <w:t xml:space="preserve"> million</w:t>
      </w:r>
      <w:r>
        <w:t>,</w:t>
      </w:r>
      <w:r w:rsidRPr="00FD2016">
        <w:t xml:space="preserve"> or </w:t>
      </w:r>
      <w:r w:rsidR="0075377E">
        <w:t>1</w:t>
      </w:r>
      <w:r w:rsidR="005071F3">
        <w:t>6</w:t>
      </w:r>
      <w:r w:rsidRPr="00FD2016">
        <w:t xml:space="preserve"> per cent</w:t>
      </w:r>
      <w:r>
        <w:t>,</w:t>
      </w:r>
      <w:r w:rsidRPr="00FD2016">
        <w:t xml:space="preserve"> </w:t>
      </w:r>
      <w:r>
        <w:t xml:space="preserve">less than </w:t>
      </w:r>
      <w:r w:rsidR="000954B2">
        <w:t xml:space="preserve">what was </w:t>
      </w:r>
      <w:r>
        <w:t xml:space="preserve">proposed by </w:t>
      </w:r>
      <w:r w:rsidRPr="00FD2016">
        <w:t>AP</w:t>
      </w:r>
      <w:r>
        <w:t>A</w:t>
      </w:r>
      <w:r w:rsidRPr="00FD2016">
        <w:t xml:space="preserve">. </w:t>
      </w:r>
      <w:r w:rsidR="007F71AB">
        <w:t xml:space="preserve">This is summarised </w:t>
      </w:r>
      <w:r>
        <w:t xml:space="preserve">in </w:t>
      </w:r>
      <w:r w:rsidR="00D961A4">
        <w:fldChar w:fldCharType="begin"/>
      </w:r>
      <w:r w:rsidR="00D961A4">
        <w:instrText xml:space="preserve"> REF _Ref484670043 \h </w:instrText>
      </w:r>
      <w:r w:rsidR="00D961A4">
        <w:fldChar w:fldCharType="separate"/>
      </w:r>
      <w:r w:rsidR="00724747">
        <w:t xml:space="preserve">Table </w:t>
      </w:r>
      <w:r w:rsidR="00724747">
        <w:rPr>
          <w:noProof/>
        </w:rPr>
        <w:t>6</w:t>
      </w:r>
      <w:r w:rsidR="00724747">
        <w:t>.</w:t>
      </w:r>
      <w:r w:rsidR="00724747">
        <w:rPr>
          <w:noProof/>
        </w:rPr>
        <w:t>2</w:t>
      </w:r>
      <w:r w:rsidR="00D961A4">
        <w:fldChar w:fldCharType="end"/>
      </w:r>
      <w:r w:rsidR="00D35C11">
        <w:t xml:space="preserve">. </w:t>
      </w:r>
      <w:r w:rsidR="000954B2" w:rsidRPr="000954B2">
        <w:t>Our analysis of APA's proposed capex by category is set out below.</w:t>
      </w:r>
    </w:p>
    <w:p w14:paraId="1651C5CA" w14:textId="77777777" w:rsidR="00DB79CE" w:rsidRDefault="00DB79CE" w:rsidP="00D24DD7">
      <w:pPr>
        <w:pStyle w:val="Heading4"/>
        <w:keepNext/>
      </w:pPr>
      <w:r>
        <w:t>Augmentation Capex</w:t>
      </w:r>
    </w:p>
    <w:p w14:paraId="5A1D8AAE" w14:textId="4C38172C" w:rsidR="00DB79CE" w:rsidRPr="00157EA7" w:rsidRDefault="00DB79CE" w:rsidP="00D24DD7">
      <w:pPr>
        <w:pStyle w:val="ListParagraph"/>
        <w:keepNext/>
        <w:numPr>
          <w:ilvl w:val="0"/>
          <w:numId w:val="24"/>
        </w:numPr>
      </w:pPr>
      <w:r w:rsidRPr="00157EA7">
        <w:t xml:space="preserve">APA has proposed </w:t>
      </w:r>
      <w:r w:rsidR="007F71AB">
        <w:t>augmentation</w:t>
      </w:r>
      <w:r w:rsidRPr="00157EA7">
        <w:t xml:space="preserve"> capex of $</w:t>
      </w:r>
      <w:r w:rsidR="0075377E">
        <w:t>155.1</w:t>
      </w:r>
      <w:r w:rsidRPr="00157EA7">
        <w:t xml:space="preserve"> million ($2017)</w:t>
      </w:r>
      <w:r w:rsidR="007F71AB">
        <w:t>.</w:t>
      </w:r>
      <w:r w:rsidR="006946F9">
        <w:rPr>
          <w:rStyle w:val="FootnoteReference"/>
        </w:rPr>
        <w:footnoteReference w:id="58"/>
      </w:r>
      <w:r w:rsidRPr="00157EA7">
        <w:t xml:space="preserve"> </w:t>
      </w:r>
      <w:r w:rsidR="007F71AB">
        <w:t>Of this, our position in this draft decision is that $</w:t>
      </w:r>
      <w:r w:rsidR="0075377E">
        <w:t>15</w:t>
      </w:r>
      <w:r w:rsidR="005071F3">
        <w:t>1</w:t>
      </w:r>
      <w:r w:rsidR="0075377E">
        <w:t>.</w:t>
      </w:r>
      <w:r w:rsidR="002E12CE">
        <w:t>0</w:t>
      </w:r>
      <w:r w:rsidR="007F71AB">
        <w:t xml:space="preserve"> million is conforming capex for the reasons that follow.</w:t>
      </w:r>
    </w:p>
    <w:p w14:paraId="41103F21" w14:textId="77777777" w:rsidR="00DB79CE" w:rsidRDefault="00DB79CE" w:rsidP="00DB79CE">
      <w:pPr>
        <w:pStyle w:val="HeadingOrange"/>
      </w:pPr>
      <w:r>
        <w:t xml:space="preserve">Warragul Lateral Expansion </w:t>
      </w:r>
    </w:p>
    <w:p w14:paraId="7A1F45B4" w14:textId="77777777" w:rsidR="002C7898" w:rsidRDefault="002C7898" w:rsidP="002C7898">
      <w:r>
        <w:t>APA has proposed $7.4 million ($2017) of forecast capex to expand the Warragul lateral to accommodate increasing demand. This involves looping and adding approximately 4.8 km of 150 mm pipeline to the existing easement. APA submitted that this is justified on the grounds of maintaining the safety and integrity of services and its capacity to meet demand.</w:t>
      </w:r>
      <w:r>
        <w:rPr>
          <w:rStyle w:val="FootnoteReference"/>
        </w:rPr>
        <w:footnoteReference w:id="59"/>
      </w:r>
      <w:r>
        <w:t xml:space="preserve"> </w:t>
      </w:r>
    </w:p>
    <w:p w14:paraId="1CC2166F" w14:textId="77777777" w:rsidR="002C7898" w:rsidRDefault="002C7898" w:rsidP="002C7898">
      <w:r>
        <w:t xml:space="preserve">A </w:t>
      </w:r>
      <w:r w:rsidRPr="00D41006">
        <w:t>breach in the minimum delivery pressure requirements</w:t>
      </w:r>
      <w:r w:rsidDel="00D16CEF">
        <w:t xml:space="preserve"> </w:t>
      </w:r>
      <w:r>
        <w:t>on</w:t>
      </w:r>
      <w:r w:rsidRPr="00D41006">
        <w:t xml:space="preserve"> Warragul </w:t>
      </w:r>
      <w:r>
        <w:t>l</w:t>
      </w:r>
      <w:r w:rsidRPr="00D41006">
        <w:t xml:space="preserve">ateral </w:t>
      </w:r>
      <w:r>
        <w:t>i</w:t>
      </w:r>
      <w:r w:rsidRPr="00D41006">
        <w:t>n July 2014</w:t>
      </w:r>
      <w:r>
        <w:t xml:space="preserve">, </w:t>
      </w:r>
      <w:r w:rsidRPr="00D41006">
        <w:t>due to low overnight temperatures and a Tariff-D site exceeding its MHQ</w:t>
      </w:r>
      <w:r>
        <w:t xml:space="preserve">, led to </w:t>
      </w:r>
      <w:r w:rsidRPr="00D41006">
        <w:t xml:space="preserve">APA </w:t>
      </w:r>
      <w:r>
        <w:t>increasing</w:t>
      </w:r>
      <w:r w:rsidRPr="00D41006">
        <w:t xml:space="preserve"> the Morwell backup regulator to its maximum pressure and </w:t>
      </w:r>
      <w:r>
        <w:t>reducing</w:t>
      </w:r>
      <w:r w:rsidRPr="00D41006">
        <w:t xml:space="preserve"> the minimum connection pressure at Warragul</w:t>
      </w:r>
      <w:r>
        <w:t xml:space="preserve"> to avoid interrupting supply</w:t>
      </w:r>
      <w:r w:rsidRPr="00D41006">
        <w:t>.</w:t>
      </w:r>
      <w:r>
        <w:rPr>
          <w:rStyle w:val="FootnoteReference"/>
        </w:rPr>
        <w:footnoteReference w:id="60"/>
      </w:r>
      <w:r w:rsidRPr="00D41006">
        <w:t xml:space="preserve"> </w:t>
      </w:r>
      <w:r>
        <w:t xml:space="preserve">However, increasing pressure on the Morwell backup regulator reduces </w:t>
      </w:r>
      <w:r w:rsidRPr="00D41006">
        <w:t>the declared capacity of the Longford to Melbourne pipeline</w:t>
      </w:r>
      <w:r>
        <w:t xml:space="preserve">. APA submitted that this is not ideal because </w:t>
      </w:r>
      <w:r w:rsidRPr="00D41006">
        <w:t xml:space="preserve">the capacity impact </w:t>
      </w:r>
      <w:r>
        <w:t>on</w:t>
      </w:r>
      <w:r w:rsidRPr="00D41006">
        <w:t xml:space="preserve"> the Longford to Melbourne pipeline </w:t>
      </w:r>
      <w:r>
        <w:t>is not enough</w:t>
      </w:r>
      <w:r w:rsidRPr="00D41006">
        <w:t xml:space="preserve"> to maintain the required pressure by winter 2020 based on expected growth in demand on the distribution system.</w:t>
      </w:r>
      <w:r>
        <w:rPr>
          <w:rStyle w:val="FootnoteReference"/>
        </w:rPr>
        <w:footnoteReference w:id="61"/>
      </w:r>
      <w:r w:rsidRPr="00D41006">
        <w:t xml:space="preserve"> </w:t>
      </w:r>
      <w:r>
        <w:t>This is consistent with AEMO’s submission that a capacity breach is likely if a peak day occurs during winter 2019, which will involve curtailing a Tariff-D customer, and its system security notice of March 2017.</w:t>
      </w:r>
      <w:r>
        <w:rPr>
          <w:rStyle w:val="FootnoteReference"/>
        </w:rPr>
        <w:footnoteReference w:id="62"/>
      </w:r>
      <w:r>
        <w:t xml:space="preserve"> It is also consistent with Sleeman Consulting’s advice that expanding the Warragul lateral is necessary </w:t>
      </w:r>
      <w:r w:rsidRPr="008A6633">
        <w:t>to maintain the safety and integrity of service.</w:t>
      </w:r>
      <w:r>
        <w:rPr>
          <w:rStyle w:val="FootnoteReference"/>
        </w:rPr>
        <w:footnoteReference w:id="63"/>
      </w:r>
    </w:p>
    <w:p w14:paraId="5CE36688" w14:textId="6F7BEF59" w:rsidR="002C7898" w:rsidRDefault="002C7898" w:rsidP="002C7898">
      <w:r>
        <w:t xml:space="preserve">APA has previously proposed expanding the </w:t>
      </w:r>
      <w:r w:rsidRPr="000040FE">
        <w:t xml:space="preserve">Warragul </w:t>
      </w:r>
      <w:r>
        <w:t xml:space="preserve">lateral as part of its 2008–12 and 2013–17 </w:t>
      </w:r>
      <w:r w:rsidR="00687663">
        <w:t>access arrangement</w:t>
      </w:r>
      <w:r w:rsidRPr="00DE08D3">
        <w:t xml:space="preserve"> </w:t>
      </w:r>
      <w:r>
        <w:t>proposals. This continued deferral of expanding the Warragul lateral means it is now urgent and necessary to maintain the integrity of service and APA’s ability to meet demand.</w:t>
      </w:r>
      <w:r>
        <w:rPr>
          <w:rStyle w:val="FootnoteReference"/>
        </w:rPr>
        <w:footnoteReference w:id="64"/>
      </w:r>
    </w:p>
    <w:p w14:paraId="1AE150D1" w14:textId="56460CD8" w:rsidR="002C7898" w:rsidRDefault="002C7898" w:rsidP="002C7898">
      <w:r>
        <w:t xml:space="preserve">Notably, the proposed $7.4 million is a significant increase over the $2.4 million we included in the 2013–17 </w:t>
      </w:r>
      <w:r w:rsidR="00687663">
        <w:t>access arrangement</w:t>
      </w:r>
      <w:r>
        <w:t xml:space="preserve"> forecast.</w:t>
      </w:r>
      <w:r>
        <w:rPr>
          <w:rStyle w:val="FootnoteReference"/>
        </w:rPr>
        <w:footnoteReference w:id="65"/>
      </w:r>
      <w:r>
        <w:t xml:space="preserve"> Further information received from APA reveals that its proposal exceeds that which would be incurred by a prudent operator by $4.6 million. Specifically:</w:t>
      </w:r>
      <w:r>
        <w:rPr>
          <w:rStyle w:val="FootnoteReference"/>
        </w:rPr>
        <w:footnoteReference w:id="66"/>
      </w:r>
    </w:p>
    <w:p w14:paraId="50E61A7F" w14:textId="6928D8A1" w:rsidR="002C7898" w:rsidRDefault="002C7898" w:rsidP="002C7898">
      <w:pPr>
        <w:pStyle w:val="AERbulletlistfirststyle"/>
      </w:pPr>
      <w:r w:rsidRPr="00134E9A">
        <w:tab/>
      </w:r>
      <w:r>
        <w:t>APA’s p</w:t>
      </w:r>
      <w:r w:rsidRPr="00134E9A">
        <w:t>roject management and commissioning cost</w:t>
      </w:r>
      <w:r>
        <w:t>s</w:t>
      </w:r>
      <w:r w:rsidRPr="00134E9A">
        <w:t xml:space="preserve"> </w:t>
      </w:r>
      <w:r>
        <w:t xml:space="preserve">have </w:t>
      </w:r>
      <w:r w:rsidRPr="00134E9A">
        <w:t>increased from $138</w:t>
      </w:r>
      <w:r>
        <w:t>,000</w:t>
      </w:r>
      <w:r w:rsidRPr="00134E9A">
        <w:t xml:space="preserve"> to $1.96</w:t>
      </w:r>
      <w:r>
        <w:t xml:space="preserve"> </w:t>
      </w:r>
      <w:r w:rsidRPr="00134E9A">
        <w:t>m</w:t>
      </w:r>
      <w:r>
        <w:t>illion</w:t>
      </w:r>
      <w:r w:rsidRPr="00134E9A">
        <w:t xml:space="preserve">. </w:t>
      </w:r>
      <w:r>
        <w:t>This is over 25 per cent of the total project costs and, as a percentage, exceeds APA’s own handbook</w:t>
      </w:r>
      <w:r w:rsidR="00B549FC">
        <w:t xml:space="preserve"> figure, </w:t>
      </w:r>
      <w:r>
        <w:t>which suggests 15 per cent.</w:t>
      </w:r>
      <w:r>
        <w:rPr>
          <w:rStyle w:val="FootnoteReference"/>
        </w:rPr>
        <w:footnoteReference w:id="67"/>
      </w:r>
    </w:p>
    <w:p w14:paraId="2693594C" w14:textId="6EC68C3A" w:rsidR="002C7898" w:rsidRPr="00134E9A" w:rsidRDefault="002C7898" w:rsidP="002C7898">
      <w:pPr>
        <w:pStyle w:val="AERbulletlistfirststyle"/>
      </w:pPr>
      <w:r>
        <w:t xml:space="preserve">In looping an existing pipeline, we would expect the new </w:t>
      </w:r>
      <w:r w:rsidRPr="00134E9A">
        <w:t>pipeline</w:t>
      </w:r>
      <w:r>
        <w:t xml:space="preserve"> to parallel the existing pipeline easement</w:t>
      </w:r>
      <w:r w:rsidR="00030062">
        <w:t xml:space="preserve"> or built along the verge of a major access road</w:t>
      </w:r>
      <w:r>
        <w:t>. Yet A</w:t>
      </w:r>
      <w:r w:rsidRPr="00134E9A">
        <w:t xml:space="preserve">PA </w:t>
      </w:r>
      <w:r>
        <w:t xml:space="preserve">has </w:t>
      </w:r>
      <w:r w:rsidR="00C92E46">
        <w:t>included $1.2</w:t>
      </w:r>
      <w:r>
        <w:t xml:space="preserve"> million (more than six times </w:t>
      </w:r>
      <w:r w:rsidR="00030062">
        <w:t>the $183,800,</w:t>
      </w:r>
      <w:r>
        <w:t xml:space="preserve"> included in the 2013–17 </w:t>
      </w:r>
      <w:r w:rsidR="00687663">
        <w:t>access arrangement</w:t>
      </w:r>
      <w:r>
        <w:t xml:space="preserve"> forecast) for </w:t>
      </w:r>
      <w:r w:rsidRPr="00134E9A">
        <w:t xml:space="preserve">land </w:t>
      </w:r>
      <w:r>
        <w:t xml:space="preserve">acquisition </w:t>
      </w:r>
      <w:r w:rsidRPr="00134E9A">
        <w:t>cost</w:t>
      </w:r>
      <w:r>
        <w:t xml:space="preserve">s, </w:t>
      </w:r>
      <w:r w:rsidRPr="00134E9A">
        <w:t>due to land rezoning from rural to urban</w:t>
      </w:r>
      <w:r>
        <w:t>.</w:t>
      </w:r>
      <w:r>
        <w:rPr>
          <w:rStyle w:val="FootnoteReference"/>
        </w:rPr>
        <w:footnoteReference w:id="68"/>
      </w:r>
    </w:p>
    <w:p w14:paraId="7DD5864E" w14:textId="0E938DFC" w:rsidR="002C7898" w:rsidRDefault="002C7898" w:rsidP="002C7898">
      <w:pPr>
        <w:pStyle w:val="AERbulletlistfirststyle"/>
      </w:pPr>
      <w:r w:rsidRPr="00134E9A">
        <w:tab/>
        <w:t xml:space="preserve">APA </w:t>
      </w:r>
      <w:r>
        <w:t>submitted</w:t>
      </w:r>
      <w:r w:rsidRPr="00134E9A">
        <w:t xml:space="preserve"> </w:t>
      </w:r>
      <w:r>
        <w:t>that the increase in c</w:t>
      </w:r>
      <w:r w:rsidRPr="00134E9A">
        <w:t>onstruction cos</w:t>
      </w:r>
      <w:r>
        <w:t>ts</w:t>
      </w:r>
      <w:r w:rsidRPr="00134E9A">
        <w:t xml:space="preserve"> </w:t>
      </w:r>
      <w:r>
        <w:t>from $1.4 million to $3.2 million is due to using ‘</w:t>
      </w:r>
      <w:r w:rsidRPr="00134E9A">
        <w:t>budget quotes</w:t>
      </w:r>
      <w:r>
        <w:t>’</w:t>
      </w:r>
      <w:r w:rsidRPr="00134E9A">
        <w:t xml:space="preserve"> </w:t>
      </w:r>
      <w:r>
        <w:t xml:space="preserve">and not the previous </w:t>
      </w:r>
      <w:r w:rsidR="00A652F6">
        <w:t>'</w:t>
      </w:r>
      <w:r w:rsidRPr="00134E9A">
        <w:t>desk</w:t>
      </w:r>
      <w:r w:rsidR="00A652F6">
        <w:t>-</w:t>
      </w:r>
      <w:r w:rsidRPr="00134E9A">
        <w:t>top</w:t>
      </w:r>
      <w:r w:rsidR="00A652F6">
        <w:t>'</w:t>
      </w:r>
      <w:r w:rsidRPr="00134E9A">
        <w:t xml:space="preserve"> </w:t>
      </w:r>
      <w:r>
        <w:t>assessment.</w:t>
      </w:r>
      <w:r>
        <w:rPr>
          <w:rStyle w:val="FootnoteReference"/>
        </w:rPr>
        <w:footnoteReference w:id="69"/>
      </w:r>
      <w:r>
        <w:t xml:space="preserve"> However, it did not otherwise substantiate or identify any change in circumstance that would justify this increase.</w:t>
      </w:r>
      <w:r w:rsidDel="00925F6F">
        <w:t xml:space="preserve"> </w:t>
      </w:r>
    </w:p>
    <w:p w14:paraId="7DD5EA22" w14:textId="72155596" w:rsidR="00CF0333" w:rsidRDefault="00CF0333" w:rsidP="002C7898">
      <w:r>
        <w:t>We consider more acceptable costs for these items to be:</w:t>
      </w:r>
    </w:p>
    <w:p w14:paraId="3369CF1F" w14:textId="4DEA5415" w:rsidR="00CF0333" w:rsidRDefault="00CF0333" w:rsidP="00CF0333">
      <w:pPr>
        <w:pStyle w:val="AERbulletlistfirststyle"/>
      </w:pPr>
      <w:r>
        <w:t xml:space="preserve">Project management and commissioning costs of $0.8 million, which is consistent with APA's handbook figure </w:t>
      </w:r>
      <w:r w:rsidR="00C4563D">
        <w:t xml:space="preserve">of 15 per cent </w:t>
      </w:r>
      <w:r>
        <w:t>for the average costs of project management and commissioning of projects.</w:t>
      </w:r>
      <w:r w:rsidR="00030062">
        <w:t xml:space="preserve"> APA has not presented any evidence to justify a departure from applying the average project management and commissioning costs for this project.</w:t>
      </w:r>
    </w:p>
    <w:p w14:paraId="26D6B6BD" w14:textId="28C2D15D" w:rsidR="00811E40" w:rsidRDefault="00811E40" w:rsidP="00CF0333">
      <w:pPr>
        <w:pStyle w:val="AERbulletlistfirststyle"/>
      </w:pPr>
      <w:r>
        <w:t>Land access costs of $</w:t>
      </w:r>
      <w:r w:rsidR="002E12CE">
        <w:t xml:space="preserve">183,800. We </w:t>
      </w:r>
      <w:r w:rsidR="00D35C11">
        <w:t>do not</w:t>
      </w:r>
      <w:r w:rsidR="002E12CE">
        <w:t xml:space="preserve"> consider it appropriate for APA to use residential subdivision land value for the pipeline easement. This suggests the pipeline route would need to cut through residential blocks in the subdivisions, which does not reflect its land use practice correctly. As the pipeline route has not changed from that proposed in the 2013-17 business case, we expect land access costs are likely to be similar.</w:t>
      </w:r>
    </w:p>
    <w:p w14:paraId="3BA946BD" w14:textId="40B59E90" w:rsidR="00CF0333" w:rsidRDefault="002E12CE" w:rsidP="00CF0333">
      <w:pPr>
        <w:pStyle w:val="AERbulletlistfirststyle"/>
      </w:pPr>
      <w:r w:rsidRPr="00283E8D">
        <w:t>Construction costs of $1.4</w:t>
      </w:r>
      <w:r>
        <w:t xml:space="preserve"> </w:t>
      </w:r>
      <w:r w:rsidRPr="00283E8D">
        <w:t>million</w:t>
      </w:r>
      <w:r>
        <w:t>. APA has not provided justification as to why a 'budget quote' would differ to a substantial degree from its initial 'desk-top' assessment.</w:t>
      </w:r>
      <w:r w:rsidRPr="00283E8D">
        <w:t xml:space="preserve">  We accept budget quotes may </w:t>
      </w:r>
      <w:r>
        <w:t>involve</w:t>
      </w:r>
      <w:r w:rsidRPr="00283E8D">
        <w:t xml:space="preserve"> a more detailed analysis.</w:t>
      </w:r>
      <w:r w:rsidR="00000009">
        <w:t xml:space="preserve"> However, </w:t>
      </w:r>
      <w:r w:rsidR="00561CD6">
        <w:t>our internal</w:t>
      </w:r>
      <w:r w:rsidR="006E79A9">
        <w:t xml:space="preserve"> technical advice is that APA has not provided sufficient evidence to </w:t>
      </w:r>
      <w:r w:rsidR="006E79A9" w:rsidRPr="00283E8D">
        <w:t xml:space="preserve">explain </w:t>
      </w:r>
      <w:r w:rsidR="006E79A9">
        <w:t xml:space="preserve">the 250 per cent increase in cost. Also, </w:t>
      </w:r>
      <w:r w:rsidR="00000009">
        <w:t xml:space="preserve">there is no indication </w:t>
      </w:r>
      <w:r w:rsidR="006E79A9">
        <w:t>the budget quote has been market tested.</w:t>
      </w:r>
    </w:p>
    <w:p w14:paraId="46B26A70" w14:textId="1361F092" w:rsidR="00DB79CE" w:rsidRDefault="002C7898" w:rsidP="002C7898">
      <w:r>
        <w:t>Therefore, we consider that capex of $</w:t>
      </w:r>
      <w:r w:rsidR="002E12CE">
        <w:t>3.</w:t>
      </w:r>
      <w:r w:rsidR="00AD51C2">
        <w:t>5</w:t>
      </w:r>
      <w:r>
        <w:t xml:space="preserve"> million ($2017) would be prudent and accord</w:t>
      </w:r>
      <w:r w:rsidR="00000009">
        <w:t>s</w:t>
      </w:r>
      <w:r>
        <w:t xml:space="preserve"> with good industry practice, achieving the lowest sustainable cost for this work.</w:t>
      </w:r>
      <w:r>
        <w:rPr>
          <w:rStyle w:val="FootnoteReference"/>
        </w:rPr>
        <w:footnoteReference w:id="70"/>
      </w:r>
      <w:r>
        <w:t xml:space="preserve"> </w:t>
      </w:r>
      <w:r w:rsidR="00DB79CE">
        <w:t xml:space="preserve"> </w:t>
      </w:r>
    </w:p>
    <w:p w14:paraId="45AA219B" w14:textId="77777777" w:rsidR="00DB79CE" w:rsidRDefault="00DB79CE" w:rsidP="00D24DD7">
      <w:pPr>
        <w:pStyle w:val="HeadingOrange"/>
        <w:keepNext/>
      </w:pPr>
      <w:r>
        <w:t>Westbound Expansion of the South West Pipeline</w:t>
      </w:r>
    </w:p>
    <w:p w14:paraId="01A39B5E" w14:textId="71D761EB" w:rsidR="004E55B7" w:rsidRDefault="004E55B7" w:rsidP="00D24DD7">
      <w:pPr>
        <w:keepNext/>
      </w:pPr>
      <w:r>
        <w:t xml:space="preserve">APA has proposed </w:t>
      </w:r>
      <w:r w:rsidRPr="00F66AFD">
        <w:t>$3.5 million</w:t>
      </w:r>
      <w:r>
        <w:t xml:space="preserve"> (</w:t>
      </w:r>
      <w:r w:rsidR="00621803">
        <w:t>$</w:t>
      </w:r>
      <w:r>
        <w:t>201</w:t>
      </w:r>
      <w:r w:rsidR="00621803">
        <w:t>7</w:t>
      </w:r>
      <w:r>
        <w:t xml:space="preserve">) of forecast capex to </w:t>
      </w:r>
      <w:r w:rsidRPr="00F66AFD">
        <w:t xml:space="preserve">increase </w:t>
      </w:r>
      <w:r>
        <w:t xml:space="preserve">the </w:t>
      </w:r>
      <w:r w:rsidRPr="00F66AFD">
        <w:t xml:space="preserve">capacity of the SWP to match the refill capacity at the </w:t>
      </w:r>
      <w:r>
        <w:t>Iona Underground Storage (Iona UGS)</w:t>
      </w:r>
      <w:r w:rsidRPr="00F66AFD">
        <w:t xml:space="preserve"> facility</w:t>
      </w:r>
      <w:r>
        <w:t>.</w:t>
      </w:r>
      <w:r w:rsidR="00697CE7">
        <w:rPr>
          <w:rStyle w:val="FootnoteReference"/>
        </w:rPr>
        <w:footnoteReference w:id="71"/>
      </w:r>
      <w:r>
        <w:t xml:space="preserve"> Th</w:t>
      </w:r>
      <w:r w:rsidR="00E41A0C">
        <w:t>e project</w:t>
      </w:r>
      <w:r>
        <w:t xml:space="preserve"> involves </w:t>
      </w:r>
      <w:r w:rsidR="001A5CA5">
        <w:t xml:space="preserve">$2.0 million to </w:t>
      </w:r>
      <w:r>
        <w:t>reconfigur</w:t>
      </w:r>
      <w:r w:rsidR="001A5CA5">
        <w:t>e</w:t>
      </w:r>
      <w:r w:rsidRPr="00F66AFD">
        <w:t xml:space="preserve"> the </w:t>
      </w:r>
      <w:r>
        <w:t>BCS</w:t>
      </w:r>
      <w:r w:rsidRPr="00F66AFD">
        <w:t xml:space="preserve"> to </w:t>
      </w:r>
      <w:r>
        <w:t>allow</w:t>
      </w:r>
      <w:r w:rsidRPr="00F66AFD">
        <w:t xml:space="preserve"> the Brooklyn Corio Pipeline and the Brooklyn Lara </w:t>
      </w:r>
      <w:r>
        <w:t>Pipeline to be concurrently co</w:t>
      </w:r>
      <w:r w:rsidR="00E41A0C">
        <w:t>mpressed at different pressures. This</w:t>
      </w:r>
      <w:r>
        <w:t xml:space="preserve"> will </w:t>
      </w:r>
      <w:r w:rsidRPr="00F66AFD">
        <w:t>reduc</w:t>
      </w:r>
      <w:r>
        <w:t>e</w:t>
      </w:r>
      <w:r w:rsidRPr="00F66AFD">
        <w:t xml:space="preserve"> compression to Geelong but increas</w:t>
      </w:r>
      <w:r>
        <w:t>e</w:t>
      </w:r>
      <w:r w:rsidRPr="00F66AFD">
        <w:t xml:space="preserve"> the </w:t>
      </w:r>
      <w:r w:rsidR="001A5CA5" w:rsidRPr="00F66AFD">
        <w:t xml:space="preserve">withdrawal capacity </w:t>
      </w:r>
      <w:r w:rsidR="001A5CA5">
        <w:t xml:space="preserve">of the </w:t>
      </w:r>
      <w:r w:rsidRPr="00F66AFD">
        <w:t>SWP at Iona</w:t>
      </w:r>
      <w:r>
        <w:t xml:space="preserve"> from 102 TJ/day to 132 TJ/day</w:t>
      </w:r>
      <w:r w:rsidRPr="00F66AFD">
        <w:t>.</w:t>
      </w:r>
      <w:r w:rsidR="004355D4">
        <w:rPr>
          <w:rStyle w:val="FootnoteReference"/>
        </w:rPr>
        <w:footnoteReference w:id="72"/>
      </w:r>
      <w:r w:rsidRPr="00F66AFD">
        <w:t xml:space="preserve"> </w:t>
      </w:r>
      <w:r w:rsidR="001A5CA5">
        <w:t>It also involves $1.5 million (201</w:t>
      </w:r>
      <w:r w:rsidR="009E07E7">
        <w:t>7</w:t>
      </w:r>
      <w:r w:rsidR="001A5CA5">
        <w:t xml:space="preserve">) to make </w:t>
      </w:r>
      <w:r w:rsidRPr="00F66AFD">
        <w:t xml:space="preserve">the Winchelsea compressor bidirectional, </w:t>
      </w:r>
      <w:r w:rsidR="001A5CA5">
        <w:t>deliver</w:t>
      </w:r>
      <w:r w:rsidR="00E41A0C">
        <w:t>ing</w:t>
      </w:r>
      <w:r w:rsidRPr="00F66AFD">
        <w:t xml:space="preserve"> </w:t>
      </w:r>
      <w:r>
        <w:t>an additional 15 TJ/day capacity</w:t>
      </w:r>
      <w:r w:rsidR="001A5CA5">
        <w:t>. This will</w:t>
      </w:r>
      <w:r>
        <w:t xml:space="preserve"> bring </w:t>
      </w:r>
      <w:r w:rsidR="001A5CA5">
        <w:t xml:space="preserve">the </w:t>
      </w:r>
      <w:r>
        <w:t>total SWP withdrawal capacity at Iona to 1</w:t>
      </w:r>
      <w:r w:rsidR="00E41A0C">
        <w:t>47</w:t>
      </w:r>
      <w:r>
        <w:t xml:space="preserve"> TJ/day</w:t>
      </w:r>
      <w:r w:rsidRPr="00F66AFD">
        <w:t>.</w:t>
      </w:r>
      <w:r w:rsidR="001A5CA5">
        <w:rPr>
          <w:rStyle w:val="FootnoteReference"/>
        </w:rPr>
        <w:footnoteReference w:id="73"/>
      </w:r>
      <w:r w:rsidR="009E07E7">
        <w:t xml:space="preserve"> </w:t>
      </w:r>
      <w:r w:rsidR="00E41A0C">
        <w:t>Overall, this work</w:t>
      </w:r>
      <w:r w:rsidR="009E07E7">
        <w:t xml:space="preserve"> increase</w:t>
      </w:r>
      <w:r w:rsidR="00E41A0C">
        <w:t>s the</w:t>
      </w:r>
      <w:r w:rsidR="009E07E7">
        <w:t xml:space="preserve"> capacity of the SWP to match the refill capacity of the Iona UGS facility.</w:t>
      </w:r>
    </w:p>
    <w:p w14:paraId="48CA9A42" w14:textId="20D894DF" w:rsidR="00A952B5" w:rsidRDefault="00A952B5" w:rsidP="00A952B5">
      <w:r>
        <w:t xml:space="preserve">AEMO supports this expansion on the basis that if it does not proceed, the Iona UGS facility is unlikely to be refilled </w:t>
      </w:r>
      <w:r w:rsidR="00AD51C2">
        <w:t>before</w:t>
      </w:r>
      <w:r>
        <w:t xml:space="preserve"> winter 2019, which in turn may result in gas supply shortfalls in Victoria and be a threat to system security.</w:t>
      </w:r>
      <w:r>
        <w:rPr>
          <w:rStyle w:val="FootnoteReference"/>
        </w:rPr>
        <w:footnoteReference w:id="74"/>
      </w:r>
      <w:r>
        <w:t xml:space="preserve"> AEMO also suggested</w:t>
      </w:r>
      <w:r w:rsidRPr="00B16FFA">
        <w:t xml:space="preserve"> </w:t>
      </w:r>
      <w:r>
        <w:t>that, for the purposes of providing greater certainty</w:t>
      </w:r>
      <w:r w:rsidR="00F33CC3">
        <w:t xml:space="preserve"> in ensuring</w:t>
      </w:r>
      <w:r>
        <w:t xml:space="preserve"> the Iona UGS facility </w:t>
      </w:r>
      <w:r w:rsidR="00F33CC3">
        <w:t>is</w:t>
      </w:r>
      <w:r>
        <w:t xml:space="preserve"> refilled prior to each winter, APA should consider increasing the westbound capacity of the SWP to approximately 180 TJ/day by utilising BCS unit 10. AEMO observed that it appears APA only makes unit 10 available when units 11 and 12 are unavailable.</w:t>
      </w:r>
      <w:r>
        <w:rPr>
          <w:rStyle w:val="FootnoteReference"/>
        </w:rPr>
        <w:footnoteReference w:id="75"/>
      </w:r>
      <w:r>
        <w:t xml:space="preserve"> Submissions from Lochard Energy and the Consortium of Gas Market Participants also drew attention to increasing the westbound flows of the SWP to respond to increasing demand on the Iona UGS facility due to falling production from the Otway Basin and Gippsland Basin.</w:t>
      </w:r>
      <w:r>
        <w:rPr>
          <w:rStyle w:val="FootnoteReference"/>
        </w:rPr>
        <w:footnoteReference w:id="76"/>
      </w:r>
      <w:r>
        <w:t xml:space="preserve"> </w:t>
      </w:r>
    </w:p>
    <w:p w14:paraId="7DA0C0B9" w14:textId="38AB8187" w:rsidR="00A952B5" w:rsidRDefault="00A952B5" w:rsidP="00A952B5">
      <w:r>
        <w:t>In our view, this expansion will enable the Iona UGS facility to be refilled before the 2019 winter season. Sleeman Consulting has also advised that this expansion represents the optimal means for achieving the required capacity increase at the lowest cost.</w:t>
      </w:r>
      <w:r>
        <w:rPr>
          <w:rStyle w:val="FootnoteReference"/>
        </w:rPr>
        <w:footnoteReference w:id="77"/>
      </w:r>
      <w:r>
        <w:t xml:space="preserve"> Taking that advice into account, we are satisfied that the proposed $3.5 million ($2017) is prudent, in accordance with good industry practice and achieves the lowest sustainable cost of providing services.</w:t>
      </w:r>
      <w:r>
        <w:rPr>
          <w:rStyle w:val="FootnoteReference"/>
        </w:rPr>
        <w:footnoteReference w:id="78"/>
      </w:r>
      <w:r>
        <w:t xml:space="preserve"> Further, as APA submitted, this expenditure is justified on the grounds that it will maintain and improve the safety and integrity of services.</w:t>
      </w:r>
      <w:r>
        <w:rPr>
          <w:rStyle w:val="FootnoteReference"/>
        </w:rPr>
        <w:footnoteReference w:id="79"/>
      </w:r>
    </w:p>
    <w:p w14:paraId="1F29ECE6" w14:textId="126266C6" w:rsidR="00DB79CE" w:rsidRDefault="00DB79CE" w:rsidP="00DB79CE">
      <w:r>
        <w:t xml:space="preserve">Our position in this draft decision is </w:t>
      </w:r>
      <w:r w:rsidR="00771A41">
        <w:t>that the</w:t>
      </w:r>
      <w:r>
        <w:t xml:space="preserve"> </w:t>
      </w:r>
      <w:r w:rsidR="0015576D">
        <w:t xml:space="preserve">proposed </w:t>
      </w:r>
      <w:r>
        <w:t xml:space="preserve">$3.5 million for the </w:t>
      </w:r>
      <w:r w:rsidR="00771A41">
        <w:t>w</w:t>
      </w:r>
      <w:r>
        <w:t xml:space="preserve">estbound </w:t>
      </w:r>
      <w:r w:rsidR="00771A41">
        <w:t>e</w:t>
      </w:r>
      <w:r>
        <w:t xml:space="preserve">xpansion of the </w:t>
      </w:r>
      <w:r w:rsidR="00771A41">
        <w:t>SWP is conforming capex.</w:t>
      </w:r>
    </w:p>
    <w:p w14:paraId="2672029B" w14:textId="68D2C91D" w:rsidR="00DB79CE" w:rsidRDefault="00DB79CE" w:rsidP="00DB79CE">
      <w:pPr>
        <w:pStyle w:val="HeadingOrange"/>
      </w:pPr>
      <w:r>
        <w:t xml:space="preserve">Western Outer Ring Main </w:t>
      </w:r>
      <w:r w:rsidR="00B9063A">
        <w:t xml:space="preserve">(WORM) </w:t>
      </w:r>
    </w:p>
    <w:p w14:paraId="0392F96A" w14:textId="130FB066" w:rsidR="00C421AF" w:rsidRDefault="00022FB6" w:rsidP="00022FB6">
      <w:r>
        <w:t xml:space="preserve">APA </w:t>
      </w:r>
      <w:r w:rsidR="00973E98">
        <w:t>included</w:t>
      </w:r>
      <w:r>
        <w:t xml:space="preserve"> </w:t>
      </w:r>
      <w:r w:rsidRPr="0051579D">
        <w:t xml:space="preserve">$26.7 million </w:t>
      </w:r>
      <w:r>
        <w:t xml:space="preserve">($2017) to purchase </w:t>
      </w:r>
      <w:r w:rsidRPr="0051579D">
        <w:t>easement</w:t>
      </w:r>
      <w:r>
        <w:t>s</w:t>
      </w:r>
      <w:r w:rsidRPr="0051579D">
        <w:t xml:space="preserve"> for the WORM </w:t>
      </w:r>
      <w:r>
        <w:t>project</w:t>
      </w:r>
      <w:r w:rsidR="00973E98">
        <w:t xml:space="preserve"> in its January proposal</w:t>
      </w:r>
      <w:r w:rsidRPr="0051579D">
        <w:t>.</w:t>
      </w:r>
      <w:r>
        <w:rPr>
          <w:rStyle w:val="FootnoteReference"/>
        </w:rPr>
        <w:footnoteReference w:id="80"/>
      </w:r>
      <w:r>
        <w:t xml:space="preserve"> Due to the forecast of rapid urban development along the route of the WORM, APA submitted that it is necessary to purchase land for 18.4 km of the remaining</w:t>
      </w:r>
      <w:r w:rsidRPr="0051579D">
        <w:t xml:space="preserve"> 3</w:t>
      </w:r>
      <w:r>
        <w:t>4.</w:t>
      </w:r>
      <w:r w:rsidRPr="0051579D">
        <w:t xml:space="preserve">5 km </w:t>
      </w:r>
      <w:r>
        <w:t>of the easement.</w:t>
      </w:r>
      <w:r>
        <w:rPr>
          <w:rStyle w:val="FootnoteReference"/>
        </w:rPr>
        <w:footnoteReference w:id="81"/>
      </w:r>
      <w:r>
        <w:t xml:space="preserve"> </w:t>
      </w:r>
    </w:p>
    <w:p w14:paraId="1B5E034B" w14:textId="54E6B87F" w:rsidR="00973E98" w:rsidRDefault="00973E98" w:rsidP="00973E98">
      <w:r>
        <w:t xml:space="preserve">Submissions on APA's proposal </w:t>
      </w:r>
      <w:r w:rsidR="004063E7">
        <w:t>from users</w:t>
      </w:r>
      <w:r>
        <w:t xml:space="preserve"> of the VTS and the Australian Energy Market Operator (AEMO)—the operator of the VTS—suggested that additional capex would be necessary to address system security concerns. These views were supported by AEMO's Victorian Gas Planning Report and Gas Statement of Opportunities (both released in late March 2017),</w:t>
      </w:r>
      <w:r w:rsidR="004063E7">
        <w:rPr>
          <w:rStyle w:val="FootnoteReference"/>
        </w:rPr>
        <w:footnoteReference w:id="82"/>
      </w:r>
      <w:r>
        <w:t xml:space="preserve"> and in its system security notices</w:t>
      </w:r>
      <w:r w:rsidR="001829B6">
        <w:t>.</w:t>
      </w:r>
      <w:r w:rsidR="001829B6">
        <w:rPr>
          <w:rStyle w:val="FootnoteReference"/>
        </w:rPr>
        <w:footnoteReference w:id="83"/>
      </w:r>
      <w:r w:rsidR="00D35C11">
        <w:t xml:space="preserve"> </w:t>
      </w:r>
      <w:r>
        <w:t>In response, APA provided additional information on the capex required to address the tightening of the supply/demand balance in the VTS forecast by AEMO in March 2017.</w:t>
      </w:r>
      <w:r w:rsidRPr="00973E98">
        <w:rPr>
          <w:rStyle w:val="FootnoteReference"/>
        </w:rPr>
        <w:t xml:space="preserve"> </w:t>
      </w:r>
      <w:r>
        <w:t xml:space="preserve">Specifically, </w:t>
      </w:r>
      <w:r w:rsidR="00796783">
        <w:t>APA</w:t>
      </w:r>
      <w:r>
        <w:t xml:space="preserve"> proposed to bring forward the planned construction of the Western Outer Ring Main (WORM), and </w:t>
      </w:r>
      <w:r w:rsidR="00FD5F0A">
        <w:t>amended its access arrangement proposal to include $126.7 million ($2017) to undertake the entire WORM project during the 2018–22 access arrangement period.</w:t>
      </w:r>
      <w:r w:rsidR="00FD5F0A">
        <w:rPr>
          <w:rStyle w:val="FootnoteReference"/>
        </w:rPr>
        <w:footnoteReference w:id="84"/>
      </w:r>
      <w:r w:rsidR="00FD5F0A">
        <w:t xml:space="preserve"> </w:t>
      </w:r>
      <w:r>
        <w:t>Our draft decision considers this updated information together with the other capex items included in APA's January proposal.</w:t>
      </w:r>
    </w:p>
    <w:p w14:paraId="3515C949" w14:textId="0A06621C" w:rsidR="00022FB6" w:rsidRDefault="00FD5F0A" w:rsidP="00022FB6">
      <w:r>
        <w:rPr>
          <w:rStyle w:val="AERbody"/>
        </w:rPr>
        <w:t xml:space="preserve">Our draft decision to approve APA's forecast of expenditure on the WORM takes into account both </w:t>
      </w:r>
      <w:r w:rsidR="00AD51C2">
        <w:rPr>
          <w:rStyle w:val="AERbody"/>
        </w:rPr>
        <w:t xml:space="preserve">the updated information from APA and </w:t>
      </w:r>
      <w:r>
        <w:rPr>
          <w:rStyle w:val="AERbody"/>
        </w:rPr>
        <w:t xml:space="preserve">stakeholder submissions. To inform our assessment, we also sought targeted advice from AEMO and CCP11. </w:t>
      </w:r>
      <w:r w:rsidR="00C421AF">
        <w:rPr>
          <w:rStyle w:val="AERbody"/>
        </w:rPr>
        <w:t xml:space="preserve">We </w:t>
      </w:r>
      <w:r w:rsidR="00DA4897">
        <w:rPr>
          <w:rStyle w:val="AERbody"/>
        </w:rPr>
        <w:t>invite further submission</w:t>
      </w:r>
      <w:r w:rsidR="00C421AF">
        <w:rPr>
          <w:rStyle w:val="AERbody"/>
        </w:rPr>
        <w:t>s</w:t>
      </w:r>
      <w:r w:rsidR="00DA4897">
        <w:rPr>
          <w:rStyle w:val="AERbody"/>
        </w:rPr>
        <w:t xml:space="preserve"> from </w:t>
      </w:r>
      <w:r w:rsidR="00C421AF">
        <w:rPr>
          <w:rStyle w:val="AERbody"/>
        </w:rPr>
        <w:t xml:space="preserve">all </w:t>
      </w:r>
      <w:r w:rsidR="00DA4897">
        <w:rPr>
          <w:rStyle w:val="AERbody"/>
        </w:rPr>
        <w:t xml:space="preserve">stakeholders on </w:t>
      </w:r>
      <w:r w:rsidR="00C421AF">
        <w:rPr>
          <w:rStyle w:val="AERbody"/>
        </w:rPr>
        <w:t xml:space="preserve">this aspect of our draft decision (as well as other issues raised by us) and </w:t>
      </w:r>
      <w:r w:rsidR="00852DA1">
        <w:rPr>
          <w:rStyle w:val="AERbody"/>
        </w:rPr>
        <w:t>APA's revised proposal</w:t>
      </w:r>
      <w:r w:rsidR="00C421AF">
        <w:rPr>
          <w:rStyle w:val="AERbody"/>
        </w:rPr>
        <w:t>.</w:t>
      </w:r>
    </w:p>
    <w:p w14:paraId="1FD7C28C" w14:textId="77777777" w:rsidR="00022FB6" w:rsidRDefault="00022FB6" w:rsidP="00022FB6">
      <w:r>
        <w:t>APA submitted that the WORM is necessary to increase capacity to and from Port Campbell and that of the SWP to support the refill of the Iona UGS by providing a bypass of the Laverton North power station.</w:t>
      </w:r>
      <w:r>
        <w:rPr>
          <w:rStyle w:val="FootnoteReference"/>
        </w:rPr>
        <w:footnoteReference w:id="85"/>
      </w:r>
      <w:r>
        <w:t xml:space="preserve"> This removes the uncertainty around refilling the Iona UGS facility prior to winter and meeting peak GPG requirements. It will also provide the VTS enough flexibility should any of the market scheduled gas trains at Longford, Port Campbell or Pakenham fail.</w:t>
      </w:r>
      <w:r w:rsidRPr="00535956">
        <w:rPr>
          <w:rStyle w:val="FootnoteReference"/>
        </w:rPr>
        <w:t xml:space="preserve"> </w:t>
      </w:r>
      <w:r>
        <w:rPr>
          <w:rStyle w:val="FootnoteReference"/>
        </w:rPr>
        <w:footnoteReference w:id="86"/>
      </w:r>
      <w:r>
        <w:t xml:space="preserve"> Gas would flow interchangeably between east and west and create</w:t>
      </w:r>
      <w:r w:rsidRPr="00D14E18">
        <w:t xml:space="preserve"> </w:t>
      </w:r>
      <w:r>
        <w:t>additional storage/buffer through the capacity to balance linepack across the West, North and East systems, allowing the VTS to be better managed and the proposed off-take points and future connection provisions would support the future growth of the VTS as western Melbourne's population expands.</w:t>
      </w:r>
      <w:r>
        <w:rPr>
          <w:rStyle w:val="FootnoteReference"/>
        </w:rPr>
        <w:footnoteReference w:id="87"/>
      </w:r>
      <w:r>
        <w:t xml:space="preserve"> APA also submitted that the WORM would have mitigated the system security event of October 2016.</w:t>
      </w:r>
    </w:p>
    <w:p w14:paraId="334F4436" w14:textId="2CC25FEA" w:rsidR="00022FB6" w:rsidRDefault="00022FB6" w:rsidP="00022FB6">
      <w:r>
        <w:t>AEMO supports the WORM.</w:t>
      </w:r>
      <w:r>
        <w:rPr>
          <w:rStyle w:val="FootnoteReference"/>
        </w:rPr>
        <w:footnoteReference w:id="88"/>
      </w:r>
      <w:r>
        <w:t xml:space="preserve"> The WORM will allow AEMO to better manage the increasing variable demand that is forecast during the 2018–22 </w:t>
      </w:r>
      <w:r w:rsidR="00687663">
        <w:t>access arrangement</w:t>
      </w:r>
      <w:r>
        <w:t xml:space="preserve"> period</w:t>
      </w:r>
      <w:r w:rsidR="009C3D0C">
        <w:t>. It provides</w:t>
      </w:r>
      <w:r>
        <w:t xml:space="preserve"> additional linepack closer to Melbourne</w:t>
      </w:r>
      <w:r w:rsidR="009C3D0C">
        <w:t>,</w:t>
      </w:r>
      <w:r>
        <w:t xml:space="preserve"> support</w:t>
      </w:r>
      <w:r w:rsidR="009C3D0C">
        <w:t>s</w:t>
      </w:r>
      <w:r>
        <w:t xml:space="preserve"> increased gas supply to the Iona UGS</w:t>
      </w:r>
      <w:r w:rsidR="009C3D0C" w:rsidRPr="009C3D0C">
        <w:t xml:space="preserve"> </w:t>
      </w:r>
      <w:r w:rsidR="009C3D0C">
        <w:t>and addresses changing Victorian gas demand profiles.</w:t>
      </w:r>
      <w:r>
        <w:t xml:space="preserve"> </w:t>
      </w:r>
      <w:r w:rsidR="009C3D0C">
        <w:t>S</w:t>
      </w:r>
      <w:r>
        <w:t>teeply decreasing gas supply from the Otway basin (Port Campbell)</w:t>
      </w:r>
      <w:r w:rsidR="009C3D0C">
        <w:t xml:space="preserve"> is</w:t>
      </w:r>
      <w:r>
        <w:t xml:space="preserve"> incr</w:t>
      </w:r>
      <w:r w:rsidR="009C3D0C">
        <w:t>easing reliance on the Iona UGS</w:t>
      </w:r>
      <w:r>
        <w:t>.</w:t>
      </w:r>
      <w:r>
        <w:rPr>
          <w:rStyle w:val="FootnoteReference"/>
        </w:rPr>
        <w:footnoteReference w:id="89"/>
      </w:r>
      <w:r>
        <w:t xml:space="preserve"> AEMO also submitted that there is the potential for gas shortfalls and load curtailments in Melbourne if the Iona UGS is not sufficiently refilled over the summer and shoulder period prior to the end of the winter peak period. </w:t>
      </w:r>
    </w:p>
    <w:p w14:paraId="02F88CCF" w14:textId="02FA6F9C" w:rsidR="00022FB6" w:rsidRDefault="00022FB6" w:rsidP="00022FB6">
      <w:r>
        <w:t xml:space="preserve">Similarly, </w:t>
      </w:r>
      <w:r>
        <w:rPr>
          <w:rStyle w:val="AERbody"/>
        </w:rPr>
        <w:t>CCP11 submitted that the key reason APA has proposed the WORM is to refill the Iona UGS before winter and that it is justified on the grounds of maintaining system integrity and APA’s capacity to meet demand.</w:t>
      </w:r>
      <w:r>
        <w:rPr>
          <w:rStyle w:val="FootnoteReference"/>
        </w:rPr>
        <w:footnoteReference w:id="90"/>
      </w:r>
      <w:r>
        <w:rPr>
          <w:rStyle w:val="AERbody"/>
        </w:rPr>
        <w:t xml:space="preserve"> However, they also raised concerns about the extent to which the WORM is directed at augmenting the Iona storage facility and meeting the demands of consumers other than Victorian consumers.</w:t>
      </w:r>
      <w:r>
        <w:rPr>
          <w:rStyle w:val="FootnoteReference"/>
        </w:rPr>
        <w:footnoteReference w:id="91"/>
      </w:r>
      <w:r w:rsidRPr="009F587B">
        <w:rPr>
          <w:rStyle w:val="AERbody"/>
        </w:rPr>
        <w:t xml:space="preserve"> </w:t>
      </w:r>
      <w:r>
        <w:rPr>
          <w:rStyle w:val="AERbody"/>
        </w:rPr>
        <w:t xml:space="preserve">These concerns are premised on the view that the forecast decline of Port Campbell and Gippsland gas production is </w:t>
      </w:r>
      <w:r w:rsidR="00CD123A">
        <w:rPr>
          <w:rStyle w:val="AERbody"/>
        </w:rPr>
        <w:t>exacerbated</w:t>
      </w:r>
      <w:r>
        <w:rPr>
          <w:rStyle w:val="AERbody"/>
        </w:rPr>
        <w:t xml:space="preserve"> by increased demand from NSW shippers through the VNI</w:t>
      </w:r>
      <w:r w:rsidR="00CD123A">
        <w:rPr>
          <w:rStyle w:val="AERbody"/>
        </w:rPr>
        <w:t xml:space="preserve"> and South Australia shippers through the SEA Gas pipeline</w:t>
      </w:r>
      <w:r>
        <w:rPr>
          <w:rStyle w:val="AERbody"/>
        </w:rPr>
        <w:t>.</w:t>
      </w:r>
      <w:r>
        <w:rPr>
          <w:rStyle w:val="FootnoteReference"/>
        </w:rPr>
        <w:footnoteReference w:id="92"/>
      </w:r>
      <w:r w:rsidR="00F33CC3">
        <w:rPr>
          <w:rStyle w:val="AERbody"/>
        </w:rPr>
        <w:t xml:space="preserve"> </w:t>
      </w:r>
      <w:r w:rsidR="00F33CC3">
        <w:t>We note the concerns raised by CCP11</w:t>
      </w:r>
      <w:r w:rsidR="008318A1">
        <w:t>. However, we</w:t>
      </w:r>
      <w:r w:rsidR="00F33CC3">
        <w:t xml:space="preserve"> agree with the reasoning set out in APA's proposal and AEMO's submission as to the benefits of the WORM </w:t>
      </w:r>
      <w:r w:rsidR="00007866">
        <w:t xml:space="preserve">for better management of the VTS by enabling high pressure gas flow </w:t>
      </w:r>
      <w:r w:rsidR="008318A1">
        <w:t>between the east and west systems,</w:t>
      </w:r>
      <w:r w:rsidR="00007866">
        <w:t xml:space="preserve"> and providing</w:t>
      </w:r>
      <w:r w:rsidR="00F33CC3">
        <w:t xml:space="preserve"> linepack </w:t>
      </w:r>
      <w:r w:rsidR="00007866">
        <w:t>storage capacity close to Melbourne to balance peaking residential and GPG demand</w:t>
      </w:r>
      <w:r w:rsidR="00F33CC3">
        <w:t>.  We consider the expenditure is justified on this basis and any benefit to non-Victorian consumers does not detract from this justification</w:t>
      </w:r>
      <w:r w:rsidR="00007866">
        <w:t>.</w:t>
      </w:r>
    </w:p>
    <w:p w14:paraId="07EE91C5" w14:textId="0DBC435D" w:rsidR="00E90D2E" w:rsidRDefault="00262E5A" w:rsidP="0081739D">
      <w:r>
        <w:t xml:space="preserve">In our final decision </w:t>
      </w:r>
      <w:r w:rsidR="00272D2D">
        <w:t xml:space="preserve">on </w:t>
      </w:r>
      <w:r>
        <w:t>APA's</w:t>
      </w:r>
      <w:r w:rsidR="00272D2D">
        <w:t xml:space="preserve"> 2013-17 access arrangement proposal</w:t>
      </w:r>
      <w:r w:rsidRPr="00262E5A">
        <w:t xml:space="preserve"> </w:t>
      </w:r>
      <w:r>
        <w:t>we did not approve the WORM</w:t>
      </w:r>
      <w:r w:rsidR="0081739D">
        <w:t xml:space="preserve">, as </w:t>
      </w:r>
      <w:r w:rsidR="000C2FD1" w:rsidRPr="000C2FD1">
        <w:t xml:space="preserve">the proposed security of supply benefits </w:t>
      </w:r>
      <w:r>
        <w:t xml:space="preserve">did not justify the cost of the WORM at </w:t>
      </w:r>
      <w:r w:rsidR="0081739D">
        <w:t>the</w:t>
      </w:r>
      <w:r>
        <w:t xml:space="preserve"> time</w:t>
      </w:r>
      <w:r w:rsidR="000C2FD1" w:rsidRPr="000C2FD1">
        <w:t xml:space="preserve">. </w:t>
      </w:r>
      <w:r w:rsidR="00E90D2E">
        <w:t>We</w:t>
      </w:r>
      <w:r w:rsidR="001814EB">
        <w:t xml:space="preserve"> considered that t</w:t>
      </w:r>
      <w:r w:rsidR="001814EB" w:rsidRPr="001814EB">
        <w:t xml:space="preserve">he expenditure would not </w:t>
      </w:r>
      <w:r w:rsidR="001814EB">
        <w:t xml:space="preserve">have </w:t>
      </w:r>
      <w:r w:rsidR="001814EB" w:rsidRPr="001814EB">
        <w:t>be</w:t>
      </w:r>
      <w:r w:rsidR="001814EB">
        <w:t>en</w:t>
      </w:r>
      <w:r w:rsidR="001814EB" w:rsidRPr="001814EB">
        <w:t xml:space="preserve"> incurred by a prudent service provider, and </w:t>
      </w:r>
      <w:r w:rsidR="001814EB">
        <w:t>was</w:t>
      </w:r>
      <w:r w:rsidR="001814EB" w:rsidRPr="001814EB">
        <w:t xml:space="preserve"> not consistent with acting efficiently to achieve the lowest sustainable cost of providing services.</w:t>
      </w:r>
      <w:r w:rsidR="001814EB">
        <w:rPr>
          <w:rStyle w:val="FootnoteReference"/>
        </w:rPr>
        <w:footnoteReference w:id="93"/>
      </w:r>
      <w:r w:rsidR="001814EB" w:rsidRPr="001814EB">
        <w:t xml:space="preserve"> </w:t>
      </w:r>
      <w:r w:rsidR="00B515A0">
        <w:t>However, we did note that the WORM</w:t>
      </w:r>
      <w:r w:rsidR="00516E08">
        <w:t xml:space="preserve"> …</w:t>
      </w:r>
      <w:r w:rsidR="00B515A0" w:rsidRPr="00AD51C2">
        <w:rPr>
          <w:rStyle w:val="AERtextitalic"/>
        </w:rPr>
        <w:t>appears to have merit from a technical perspective and in the future prove to be a prudent response to the augmentation needs of the VTS in the long term</w:t>
      </w:r>
      <w:r w:rsidR="00B515A0">
        <w:t>.</w:t>
      </w:r>
      <w:r w:rsidR="00B515A0">
        <w:rPr>
          <w:rStyle w:val="FootnoteReference"/>
        </w:rPr>
        <w:footnoteReference w:id="94"/>
      </w:r>
      <w:r w:rsidR="00B515A0">
        <w:t xml:space="preserve"> </w:t>
      </w:r>
      <w:r>
        <w:t xml:space="preserve">APA accepted and adopted </w:t>
      </w:r>
      <w:r w:rsidR="00A62527">
        <w:t>our</w:t>
      </w:r>
      <w:r>
        <w:t xml:space="preserve"> decision on the WORM in its revised access arrangement submission.</w:t>
      </w:r>
      <w:r>
        <w:rPr>
          <w:rStyle w:val="FootnoteReference"/>
        </w:rPr>
        <w:footnoteReference w:id="95"/>
      </w:r>
      <w:r>
        <w:t xml:space="preserve"> </w:t>
      </w:r>
    </w:p>
    <w:p w14:paraId="345F480D" w14:textId="3B4B560E" w:rsidR="00314B5B" w:rsidRDefault="0081739D" w:rsidP="00022FB6">
      <w:pPr>
        <w:rPr>
          <w:rStyle w:val="AERbody"/>
        </w:rPr>
      </w:pPr>
      <w:r>
        <w:t xml:space="preserve">Our </w:t>
      </w:r>
      <w:r w:rsidR="008308F7">
        <w:t xml:space="preserve">2013-17 access arrangement </w:t>
      </w:r>
      <w:r>
        <w:t>final</w:t>
      </w:r>
      <w:r w:rsidR="00262E5A">
        <w:t xml:space="preserve"> decision was </w:t>
      </w:r>
      <w:r w:rsidR="008308F7">
        <w:t>noted</w:t>
      </w:r>
      <w:r w:rsidR="00262E5A">
        <w:t xml:space="preserve"> </w:t>
      </w:r>
      <w:r w:rsidR="008308F7">
        <w:t xml:space="preserve">in </w:t>
      </w:r>
      <w:r w:rsidR="00262E5A">
        <w:t>APA's VTS 2018-22 access arrangement submission</w:t>
      </w:r>
      <w:r w:rsidR="00B515A0">
        <w:t xml:space="preserve">. </w:t>
      </w:r>
      <w:r w:rsidR="00262E5A">
        <w:t>APA p</w:t>
      </w:r>
      <w:r w:rsidR="00B515A0">
        <w:t>roposed</w:t>
      </w:r>
      <w:r w:rsidR="00262E5A">
        <w:t xml:space="preserve"> to pre-purchase the WORM ease</w:t>
      </w:r>
      <w:r w:rsidR="00B515A0">
        <w:t>ment, but noted</w:t>
      </w:r>
      <w:r w:rsidR="00262E5A">
        <w:t xml:space="preserve"> that </w:t>
      </w:r>
      <w:r w:rsidR="00516E08">
        <w:t>…</w:t>
      </w:r>
      <w:r w:rsidR="00262E5A" w:rsidRPr="00AD51C2">
        <w:rPr>
          <w:rStyle w:val="AERtextitalic"/>
        </w:rPr>
        <w:t>Currently, APA VTS does not believe the benefits are yet sufficient to warrant constructing of the Western Outer Ring Main</w:t>
      </w:r>
      <w:r w:rsidR="00262E5A">
        <w:t>.</w:t>
      </w:r>
      <w:r w:rsidR="00DF5BF4">
        <w:rPr>
          <w:rStyle w:val="FootnoteReference"/>
        </w:rPr>
        <w:footnoteReference w:id="96"/>
      </w:r>
      <w:r>
        <w:t xml:space="preserve"> </w:t>
      </w:r>
    </w:p>
    <w:p w14:paraId="143E95BA" w14:textId="1B4D82CB" w:rsidR="00022FB6" w:rsidRDefault="00FE4043" w:rsidP="00022FB6">
      <w:r>
        <w:rPr>
          <w:rStyle w:val="AERbody"/>
        </w:rPr>
        <w:t>In the past six months</w:t>
      </w:r>
      <w:r w:rsidR="00FD521A">
        <w:rPr>
          <w:rStyle w:val="AERbody"/>
        </w:rPr>
        <w:t>, there has been substantial change in the gas market</w:t>
      </w:r>
      <w:r>
        <w:rPr>
          <w:rStyle w:val="AERbody"/>
        </w:rPr>
        <w:t>, as discussed above</w:t>
      </w:r>
      <w:r w:rsidR="00B515A0">
        <w:rPr>
          <w:rStyle w:val="AERbody"/>
        </w:rPr>
        <w:t xml:space="preserve">. These changes support APA's decision to bring forward the construction of the WORM into the </w:t>
      </w:r>
      <w:r w:rsidR="00B515A0">
        <w:t>2018-22 access arrangement period</w:t>
      </w:r>
      <w:r w:rsidR="00FD521A">
        <w:rPr>
          <w:rStyle w:val="AERbody"/>
        </w:rPr>
        <w:t xml:space="preserve">. </w:t>
      </w:r>
      <w:r w:rsidR="00DA4897">
        <w:rPr>
          <w:rStyle w:val="AERbody"/>
        </w:rPr>
        <w:t>O</w:t>
      </w:r>
      <w:r w:rsidR="00022FB6">
        <w:rPr>
          <w:rStyle w:val="AERbody"/>
        </w:rPr>
        <w:t>ur position in this draft decision is</w:t>
      </w:r>
      <w:r w:rsidR="00022FB6" w:rsidRPr="00EC2094">
        <w:rPr>
          <w:rStyle w:val="AERbody"/>
        </w:rPr>
        <w:t xml:space="preserve"> </w:t>
      </w:r>
      <w:r w:rsidR="00022FB6">
        <w:rPr>
          <w:rStyle w:val="AERbody"/>
        </w:rPr>
        <w:t xml:space="preserve">that the WORM is justified on the grounds of </w:t>
      </w:r>
      <w:r w:rsidR="00022FB6">
        <w:t>maintaining the integrity of services and APA's capacity to meet demand.</w:t>
      </w:r>
      <w:r w:rsidR="00022FB6">
        <w:rPr>
          <w:rStyle w:val="FootnoteReference"/>
        </w:rPr>
        <w:footnoteReference w:id="97"/>
      </w:r>
      <w:r w:rsidR="00022FB6">
        <w:t xml:space="preserve"> The question to then be answered is whether the proposed $126.7 million would be incurred by a prudent service provider acting efficiently in accordance with good industry practice. Notably, APA’s proposal is 30 per cent more than what it proposed in 2012 as part of its 2013–17 </w:t>
      </w:r>
      <w:r w:rsidR="00852DA1">
        <w:t>access arrangement</w:t>
      </w:r>
      <w:r w:rsidR="00022FB6">
        <w:t xml:space="preserve"> revision proposal.</w:t>
      </w:r>
      <w:r w:rsidR="00022FB6">
        <w:rPr>
          <w:rStyle w:val="FootnoteReference"/>
        </w:rPr>
        <w:footnoteReference w:id="98"/>
      </w:r>
    </w:p>
    <w:p w14:paraId="4002C0B6" w14:textId="7B90389F" w:rsidR="00022FB6" w:rsidRDefault="00022FB6" w:rsidP="00022FB6">
      <w:r>
        <w:t xml:space="preserve">Sleeman Consulting, </w:t>
      </w:r>
      <w:r w:rsidR="00525E5E">
        <w:t xml:space="preserve">which </w:t>
      </w:r>
      <w:r>
        <w:t xml:space="preserve">was previously engaged to assess the WORM project as proposed by APA for the purposes of the 2013–17 </w:t>
      </w:r>
      <w:r w:rsidR="00852DA1">
        <w:t>access arrangement</w:t>
      </w:r>
      <w:r>
        <w:t>, has advised that APA’s proposed $126.7 million is reasonable.</w:t>
      </w:r>
      <w:r>
        <w:rPr>
          <w:rStyle w:val="FootnoteReference"/>
        </w:rPr>
        <w:footnoteReference w:id="99"/>
      </w:r>
      <w:r>
        <w:t xml:space="preserve"> Sleeman Consulting also advised that the 30 per cent increase in cost</w:t>
      </w:r>
      <w:r w:rsidDel="001F3097">
        <w:t xml:space="preserve"> </w:t>
      </w:r>
      <w:r>
        <w:t>can be explained by changes in the Australian exchange rate, increase in land acquisition costs and that a detailed</w:t>
      </w:r>
      <w:r w:rsidRPr="00B04AB4">
        <w:t xml:space="preserve"> assessment of conditions along the </w:t>
      </w:r>
      <w:r>
        <w:t xml:space="preserve">relevant </w:t>
      </w:r>
      <w:r w:rsidRPr="00B04AB4">
        <w:t xml:space="preserve">route </w:t>
      </w:r>
      <w:r>
        <w:t xml:space="preserve">has now identified </w:t>
      </w:r>
      <w:r w:rsidRPr="00B04AB4">
        <w:t>the need for directional boring, waterway crossings and numerous basalt outcrops.</w:t>
      </w:r>
      <w:r>
        <w:rPr>
          <w:rStyle w:val="FootnoteReference"/>
        </w:rPr>
        <w:footnoteReference w:id="100"/>
      </w:r>
      <w:r>
        <w:t xml:space="preserve"> All of this points to the proposed $126.7 million ($2017) being prudent, in accordance with good industry practice and achieves the lowest sustainable cost of providing services.</w:t>
      </w:r>
      <w:r>
        <w:rPr>
          <w:rStyle w:val="FootnoteReference"/>
        </w:rPr>
        <w:footnoteReference w:id="101"/>
      </w:r>
    </w:p>
    <w:p w14:paraId="44A7E32E" w14:textId="66D9218C" w:rsidR="00022FB6" w:rsidRPr="00AB1BBD" w:rsidRDefault="00DA4897" w:rsidP="00022FB6">
      <w:pPr>
        <w:rPr>
          <w:rStyle w:val="AERbody"/>
        </w:rPr>
      </w:pPr>
      <w:r>
        <w:rPr>
          <w:rStyle w:val="AERbody"/>
        </w:rPr>
        <w:t>Based on the information before us, o</w:t>
      </w:r>
      <w:r w:rsidR="00022FB6">
        <w:t xml:space="preserve">ur position in this draft decision is that the proposed $126.7 million </w:t>
      </w:r>
      <w:r w:rsidR="00022FB6">
        <w:rPr>
          <w:rStyle w:val="AERbody"/>
        </w:rPr>
        <w:t xml:space="preserve">($2017) </w:t>
      </w:r>
      <w:r w:rsidR="00022FB6">
        <w:t>is conforming capex.</w:t>
      </w:r>
      <w:r>
        <w:t xml:space="preserve"> However, this is subject to further stakeholder consultation, recognising that </w:t>
      </w:r>
      <w:r w:rsidR="00790077">
        <w:t xml:space="preserve">not </w:t>
      </w:r>
      <w:r>
        <w:t xml:space="preserve">all </w:t>
      </w:r>
      <w:r w:rsidR="00204B78">
        <w:t xml:space="preserve">stakeholders have had the opportunity to review </w:t>
      </w:r>
      <w:r w:rsidR="00790077">
        <w:t xml:space="preserve">and provide comment on </w:t>
      </w:r>
      <w:r w:rsidR="00204B78">
        <w:t>the business case for the WORM and APA's supplementary submission.</w:t>
      </w:r>
      <w:r>
        <w:t xml:space="preserve"> </w:t>
      </w:r>
    </w:p>
    <w:p w14:paraId="7438945A" w14:textId="24FF914F" w:rsidR="002F25DE" w:rsidRDefault="00022FB6" w:rsidP="00D24DD7">
      <w:pPr>
        <w:pStyle w:val="Heading4"/>
        <w:keepNext/>
      </w:pPr>
      <w:r>
        <w:t xml:space="preserve"> </w:t>
      </w:r>
      <w:r w:rsidR="002F25DE">
        <w:t>Replacement and Upgrade Capex</w:t>
      </w:r>
    </w:p>
    <w:p w14:paraId="41C02699" w14:textId="2C5C7276" w:rsidR="00852DA1" w:rsidRPr="00157EA7" w:rsidRDefault="00852DA1" w:rsidP="00D24DD7">
      <w:pPr>
        <w:pStyle w:val="ListParagraph"/>
        <w:keepNext/>
        <w:numPr>
          <w:ilvl w:val="0"/>
          <w:numId w:val="24"/>
        </w:numPr>
      </w:pPr>
      <w:r w:rsidRPr="00157EA7">
        <w:t xml:space="preserve">APA has </w:t>
      </w:r>
      <w:r>
        <w:t>proposed replacement and upgrade capex of $96.5 million ($2017). This was subsequently revised to $84.1 million ($2017) to address a number of inconsistencies that we identified.</w:t>
      </w:r>
      <w:r>
        <w:rPr>
          <w:rStyle w:val="FootnoteReference"/>
        </w:rPr>
        <w:footnoteReference w:id="102"/>
      </w:r>
      <w:r w:rsidRPr="00157EA7">
        <w:t xml:space="preserve"> </w:t>
      </w:r>
      <w:r>
        <w:t xml:space="preserve">This is $30.2 million ($2017) more than the 2013–17 </w:t>
      </w:r>
      <w:r w:rsidR="00687663">
        <w:t>access arrangement</w:t>
      </w:r>
      <w:r>
        <w:t xml:space="preserve"> forecast and $44.2 million more than what APA incurred during the 2013–17 </w:t>
      </w:r>
      <w:r w:rsidR="00687663">
        <w:t>access arrangement</w:t>
      </w:r>
      <w:r>
        <w:t xml:space="preserve"> period. Of this, our position in this draft decision is that </w:t>
      </w:r>
      <w:r>
        <w:rPr>
          <w:rStyle w:val="AERbody"/>
        </w:rPr>
        <w:t xml:space="preserve">$47.1 million ($2017) </w:t>
      </w:r>
      <w:r>
        <w:t>is conforming capex.</w:t>
      </w:r>
    </w:p>
    <w:p w14:paraId="03958AEF" w14:textId="77777777" w:rsidR="00852DA1" w:rsidRDefault="00852DA1" w:rsidP="00852DA1">
      <w:pPr>
        <w:rPr>
          <w:rStyle w:val="AERbody"/>
        </w:rPr>
      </w:pPr>
      <w:r>
        <w:rPr>
          <w:rStyle w:val="AERbody"/>
        </w:rPr>
        <w:t xml:space="preserve">We have assessed APA’s proposal in two parts. </w:t>
      </w:r>
    </w:p>
    <w:p w14:paraId="1AFFB404" w14:textId="2711D2CF" w:rsidR="00852DA1" w:rsidRPr="00AB1BBD" w:rsidRDefault="00852DA1" w:rsidP="00852DA1">
      <w:pPr>
        <w:rPr>
          <w:rStyle w:val="AERbody"/>
        </w:rPr>
      </w:pPr>
      <w:r>
        <w:rPr>
          <w:rStyle w:val="AERbody"/>
        </w:rPr>
        <w:t xml:space="preserve">Firstly, </w:t>
      </w:r>
      <w:r w:rsidR="009C3D0C">
        <w:rPr>
          <w:rStyle w:val="AERbody"/>
        </w:rPr>
        <w:t>over 40 projects</w:t>
      </w:r>
      <w:r w:rsidR="00790077">
        <w:rPr>
          <w:rStyle w:val="AERbody"/>
        </w:rPr>
        <w:t xml:space="preserve"> in APA's proposal</w:t>
      </w:r>
      <w:r w:rsidR="009C3D0C">
        <w:rPr>
          <w:rStyle w:val="AERbody"/>
        </w:rPr>
        <w:t xml:space="preserve">, with a total value of </w:t>
      </w:r>
      <w:r>
        <w:rPr>
          <w:rStyle w:val="AERbody"/>
        </w:rPr>
        <w:t>$21.7 million ($2017)</w:t>
      </w:r>
      <w:r w:rsidR="009C3D0C">
        <w:rPr>
          <w:rStyle w:val="AERbody"/>
        </w:rPr>
        <w:t>,</w:t>
      </w:r>
      <w:r>
        <w:rPr>
          <w:rStyle w:val="AERbody"/>
        </w:rPr>
        <w:t xml:space="preserve"> concern minor asset replacements or refurbishments. Our assessment of these minor projects is that they </w:t>
      </w:r>
      <w:r>
        <w:t>are prudent, in accordance with good industry practice</w:t>
      </w:r>
      <w:r w:rsidRPr="004A7EFB">
        <w:t xml:space="preserve"> </w:t>
      </w:r>
      <w:r>
        <w:t>and justified on the grounds that they will maintain and improve the safety and integrity of services.</w:t>
      </w:r>
      <w:r>
        <w:rPr>
          <w:rStyle w:val="FootnoteReference"/>
        </w:rPr>
        <w:footnoteReference w:id="103"/>
      </w:r>
      <w:r>
        <w:t xml:space="preserve"> Our position in this draft decision is that the proposed </w:t>
      </w:r>
      <w:r>
        <w:rPr>
          <w:rStyle w:val="AERbody"/>
        </w:rPr>
        <w:t xml:space="preserve">$21.7 million ($2017) </w:t>
      </w:r>
      <w:r>
        <w:t>is conforming capex.</w:t>
      </w:r>
    </w:p>
    <w:p w14:paraId="5EA9B1FA" w14:textId="77777777" w:rsidR="00852DA1" w:rsidRDefault="00852DA1" w:rsidP="00852DA1">
      <w:pPr>
        <w:rPr>
          <w:rStyle w:val="AERbody"/>
        </w:rPr>
      </w:pPr>
      <w:r>
        <w:rPr>
          <w:rStyle w:val="AERbody"/>
        </w:rPr>
        <w:t xml:space="preserve">Secondly, the balance of APA’s proposal constitutes more significant replacement and refurbishment projects, namely: </w:t>
      </w:r>
    </w:p>
    <w:p w14:paraId="2F1DAA53" w14:textId="77777777" w:rsidR="00852DA1" w:rsidRDefault="00852DA1" w:rsidP="00852DA1">
      <w:pPr>
        <w:pStyle w:val="AERbulletlistfirststyle"/>
      </w:pPr>
      <w:r>
        <w:t>pipeline integrity management activities</w:t>
      </w:r>
    </w:p>
    <w:p w14:paraId="201BF836" w14:textId="77777777" w:rsidR="00852DA1" w:rsidRDefault="00852DA1" w:rsidP="00852DA1">
      <w:pPr>
        <w:pStyle w:val="AERbulletlistfirststyle"/>
      </w:pPr>
      <w:r>
        <w:t>safety management high consequence areas</w:t>
      </w:r>
    </w:p>
    <w:p w14:paraId="6C0E0316" w14:textId="670BF3E3" w:rsidR="00852DA1" w:rsidRDefault="00852DA1" w:rsidP="00852DA1">
      <w:pPr>
        <w:pStyle w:val="AERbulletlistfirststyle"/>
      </w:pPr>
      <w:r>
        <w:t>B</w:t>
      </w:r>
      <w:r w:rsidR="00EB1E1D">
        <w:t>rooklyn Compressor Station</w:t>
      </w:r>
      <w:r>
        <w:t xml:space="preserve"> upgrade</w:t>
      </w:r>
    </w:p>
    <w:p w14:paraId="70994A2A" w14:textId="77777777" w:rsidR="00852DA1" w:rsidRDefault="00852DA1" w:rsidP="00852DA1">
      <w:pPr>
        <w:pStyle w:val="AERbulletlistfirststyle"/>
      </w:pPr>
      <w:r>
        <w:t>Wollert and Gooding turbine overhauls</w:t>
      </w:r>
    </w:p>
    <w:p w14:paraId="43BF321B" w14:textId="77777777" w:rsidR="00852DA1" w:rsidRDefault="00852DA1" w:rsidP="00852DA1">
      <w:pPr>
        <w:pStyle w:val="AERbulletlistfirststyle"/>
      </w:pPr>
      <w:r>
        <w:t xml:space="preserve">Decommissioning of the Coogee pipeline. </w:t>
      </w:r>
    </w:p>
    <w:p w14:paraId="18F21199" w14:textId="77777777" w:rsidR="00852DA1" w:rsidRPr="00AB1BBD" w:rsidRDefault="00852DA1" w:rsidP="00852DA1">
      <w:pPr>
        <w:rPr>
          <w:rStyle w:val="AERbody"/>
        </w:rPr>
      </w:pPr>
      <w:r>
        <w:rPr>
          <w:rStyle w:val="AERbody"/>
        </w:rPr>
        <w:t>Our consideration of these projects is set out below.</w:t>
      </w:r>
    </w:p>
    <w:p w14:paraId="43659EE3" w14:textId="77777777" w:rsidR="002F25DE" w:rsidRDefault="002F25DE" w:rsidP="002F25DE">
      <w:pPr>
        <w:pStyle w:val="HeadingOrange"/>
      </w:pPr>
      <w:r>
        <w:t>Pipeline integrity management activities</w:t>
      </w:r>
    </w:p>
    <w:p w14:paraId="5813C996" w14:textId="77777777" w:rsidR="00453A7D" w:rsidRDefault="00453A7D" w:rsidP="00453A7D">
      <w:r>
        <w:t>Pipeline integrity management activities include inline inspections (pigging) and direct assessments to identify faults in a pipeline.</w:t>
      </w:r>
      <w:r>
        <w:rPr>
          <w:rStyle w:val="FootnoteReference"/>
        </w:rPr>
        <w:footnoteReference w:id="104"/>
      </w:r>
      <w:r>
        <w:t xml:space="preserve"> Direct assessments are undertaken where an inline inspection cannot be undertaken.</w:t>
      </w:r>
    </w:p>
    <w:p w14:paraId="0A295EA8" w14:textId="42F009F3" w:rsidR="00453A7D" w:rsidRDefault="00453A7D" w:rsidP="00453A7D">
      <w:r>
        <w:t>A</w:t>
      </w:r>
      <w:r w:rsidRPr="00B66A69">
        <w:t xml:space="preserve">PA </w:t>
      </w:r>
      <w:r>
        <w:t xml:space="preserve">has </w:t>
      </w:r>
      <w:r w:rsidRPr="00B66A69">
        <w:t>propose</w:t>
      </w:r>
      <w:r>
        <w:t>d</w:t>
      </w:r>
      <w:r w:rsidRPr="00B66A69">
        <w:t xml:space="preserve"> $</w:t>
      </w:r>
      <w:r w:rsidR="002C0421">
        <w:t>22.2</w:t>
      </w:r>
      <w:r w:rsidRPr="00B66A69">
        <w:t xml:space="preserve"> million </w:t>
      </w:r>
      <w:r>
        <w:t>($2017) of forecast capex for these a</w:t>
      </w:r>
      <w:r w:rsidR="002C0421">
        <w:t>ctivities. This comprises $14.2</w:t>
      </w:r>
      <w:r>
        <w:t xml:space="preserve"> million to undertake </w:t>
      </w:r>
      <w:r w:rsidRPr="00B66A69">
        <w:t xml:space="preserve">an inline inspection schedule </w:t>
      </w:r>
      <w:r>
        <w:t>for</w:t>
      </w:r>
      <w:r w:rsidRPr="00B66A69">
        <w:t xml:space="preserve"> </w:t>
      </w:r>
      <w:r>
        <w:t xml:space="preserve">950 km </w:t>
      </w:r>
      <w:r w:rsidRPr="00B66A69">
        <w:t>of pipe</w:t>
      </w:r>
      <w:r>
        <w:t>lines,</w:t>
      </w:r>
      <w:r w:rsidRPr="00B66A69">
        <w:t xml:space="preserve"> $6.</w:t>
      </w:r>
      <w:r w:rsidR="002C0421">
        <w:t>2</w:t>
      </w:r>
      <w:r w:rsidRPr="00B66A69">
        <w:t xml:space="preserve"> million</w:t>
      </w:r>
      <w:r>
        <w:t xml:space="preserve"> to modify pipelines </w:t>
      </w:r>
      <w:r w:rsidRPr="00B66A69">
        <w:t xml:space="preserve">at </w:t>
      </w:r>
      <w:r>
        <w:t xml:space="preserve">James Street, Tyres to Maryvale and Truganina to Plumpton </w:t>
      </w:r>
      <w:r w:rsidRPr="00B66A69">
        <w:t>to enable inline inspection</w:t>
      </w:r>
      <w:r w:rsidR="002C0421">
        <w:t>, $1.1 million for repair of the Morwell-Dandenong pipeline following pigging</w:t>
      </w:r>
      <w:r w:rsidRPr="00B66A69">
        <w:t xml:space="preserve"> </w:t>
      </w:r>
      <w:r>
        <w:t xml:space="preserve">and </w:t>
      </w:r>
      <w:r w:rsidRPr="00B66A69">
        <w:t>$0.</w:t>
      </w:r>
      <w:r w:rsidR="002C0421">
        <w:t>6</w:t>
      </w:r>
      <w:r w:rsidRPr="00B66A69">
        <w:t xml:space="preserve"> million </w:t>
      </w:r>
      <w:r>
        <w:t>for the direct assessment</w:t>
      </w:r>
      <w:r w:rsidRPr="00B66A69">
        <w:t xml:space="preserve"> of </w:t>
      </w:r>
      <w:r>
        <w:t>seven</w:t>
      </w:r>
      <w:r w:rsidRPr="00B66A69">
        <w:t xml:space="preserve"> sections of pipeline.</w:t>
      </w:r>
      <w:r>
        <w:rPr>
          <w:rStyle w:val="FootnoteReference"/>
        </w:rPr>
        <w:footnoteReference w:id="105"/>
      </w:r>
      <w:r w:rsidRPr="00B66A69">
        <w:t xml:space="preserve"> </w:t>
      </w:r>
    </w:p>
    <w:p w14:paraId="7020FA5E" w14:textId="2BDAEE02" w:rsidR="00453A7D" w:rsidRDefault="00453A7D" w:rsidP="00453A7D">
      <w:r>
        <w:t>A threshold question, which follows from a submission of the Consumer Challenge Panel,</w:t>
      </w:r>
      <w:r>
        <w:rPr>
          <w:rStyle w:val="FootnoteReference"/>
        </w:rPr>
        <w:footnoteReference w:id="106"/>
      </w:r>
      <w:r>
        <w:t xml:space="preserve"> is whether the expenditure of APA’s proposed inline inspection schedule and direct assessments is capex or opex.</w:t>
      </w:r>
      <w:r>
        <w:rPr>
          <w:rStyle w:val="FootnoteReference"/>
        </w:rPr>
        <w:footnoteReference w:id="107"/>
      </w:r>
      <w:r>
        <w:t xml:space="preserve"> Relevantly, the proposed schedule and assessments are consistent with APA’s </w:t>
      </w:r>
      <w:r w:rsidRPr="00D05E01">
        <w:t>Metal Loss Pigging Frequency Policy</w:t>
      </w:r>
      <w:r>
        <w:t xml:space="preserve"> that sets a </w:t>
      </w:r>
      <w:r w:rsidRPr="00B66A69">
        <w:t>maximum of 10 years between inline inspections unless an engineering assessment suggest</w:t>
      </w:r>
      <w:r>
        <w:t>s otherwise</w:t>
      </w:r>
      <w:r w:rsidRPr="00D05E01">
        <w:t>.</w:t>
      </w:r>
      <w:r>
        <w:rPr>
          <w:rStyle w:val="FootnoteReference"/>
        </w:rPr>
        <w:footnoteReference w:id="108"/>
      </w:r>
      <w:r>
        <w:t xml:space="preserve"> This suggests that pigging is </w:t>
      </w:r>
      <w:r w:rsidRPr="00D05E01">
        <w:t>an ongoing maintenance activity</w:t>
      </w:r>
      <w:r>
        <w:t>, and arguably opex and not capex. Several other observations point to this conclusion, including the CCP11’s submission that APA</w:t>
      </w:r>
      <w:r w:rsidR="005B6FE7">
        <w:t>'s</w:t>
      </w:r>
      <w:r>
        <w:t xml:space="preserve"> </w:t>
      </w:r>
      <w:r w:rsidR="005B6FE7">
        <w:t xml:space="preserve">treatment of </w:t>
      </w:r>
      <w:r>
        <w:t>pigging as capex for regulatory purposes and opex for tax purposes is contradictory.</w:t>
      </w:r>
      <w:r>
        <w:rPr>
          <w:rStyle w:val="FootnoteReference"/>
        </w:rPr>
        <w:footnoteReference w:id="109"/>
      </w:r>
      <w:r>
        <w:t xml:space="preserve"> </w:t>
      </w:r>
    </w:p>
    <w:p w14:paraId="32E44546" w14:textId="18314BC5" w:rsidR="005606A4" w:rsidRDefault="00D833B5" w:rsidP="005606A4">
      <w:r>
        <w:t>W</w:t>
      </w:r>
      <w:r w:rsidR="00003548">
        <w:t>e accept APA's classification of pigging as capex for the reasons set out in its proposal</w:t>
      </w:r>
      <w:r w:rsidR="008318A1">
        <w:t>. However, w</w:t>
      </w:r>
      <w:r w:rsidR="005B6FE7">
        <w:t>e</w:t>
      </w:r>
      <w:r w:rsidR="00112553">
        <w:t xml:space="preserve"> recognise there is a degree of uncertainty about whether pigging is properly characterised as capex. </w:t>
      </w:r>
      <w:r w:rsidR="008318A1">
        <w:t>Given it appears to be a primarily ongoing maintenance activity, b</w:t>
      </w:r>
      <w:r w:rsidR="005606A4">
        <w:t>ased on the definitions of capex and opex in the NGR,</w:t>
      </w:r>
      <w:r w:rsidR="00000009">
        <w:rPr>
          <w:rStyle w:val="FootnoteReference"/>
        </w:rPr>
        <w:footnoteReference w:id="110"/>
      </w:r>
      <w:r w:rsidR="005606A4">
        <w:t xml:space="preserve"> Tribunal </w:t>
      </w:r>
      <w:r w:rsidR="00003548">
        <w:t>findings</w:t>
      </w:r>
      <w:r w:rsidR="005606A4">
        <w:rPr>
          <w:rStyle w:val="FootnoteReference"/>
        </w:rPr>
        <w:footnoteReference w:id="111"/>
      </w:r>
      <w:r w:rsidR="005606A4">
        <w:t xml:space="preserve">, and </w:t>
      </w:r>
      <w:r w:rsidR="00453A7D">
        <w:t>the observation</w:t>
      </w:r>
      <w:r w:rsidR="00003548">
        <w:t>s</w:t>
      </w:r>
      <w:r w:rsidR="00453A7D">
        <w:t xml:space="preserve"> of CCP11</w:t>
      </w:r>
      <w:r w:rsidR="005606A4">
        <w:t xml:space="preserve">, </w:t>
      </w:r>
      <w:r w:rsidR="00790077">
        <w:t xml:space="preserve">there are reasons why </w:t>
      </w:r>
      <w:r w:rsidR="00453A7D">
        <w:t xml:space="preserve">pigging </w:t>
      </w:r>
      <w:r w:rsidR="00790077">
        <w:t>might be characterised as opex</w:t>
      </w:r>
      <w:r w:rsidR="008318A1">
        <w:t>.</w:t>
      </w:r>
      <w:r w:rsidR="00290309" w:rsidRPr="00290309">
        <w:t xml:space="preserve"> </w:t>
      </w:r>
      <w:r w:rsidR="00290309">
        <w:t>Nevertheless</w:t>
      </w:r>
      <w:r w:rsidR="00453A7D">
        <w:t xml:space="preserve">, </w:t>
      </w:r>
      <w:r w:rsidR="005606A4">
        <w:t xml:space="preserve">we </w:t>
      </w:r>
      <w:r w:rsidR="00003548">
        <w:t xml:space="preserve">note </w:t>
      </w:r>
      <w:r w:rsidR="00790077">
        <w:t>that</w:t>
      </w:r>
      <w:r w:rsidR="005606A4">
        <w:t xml:space="preserve"> the difference between treating pigging as opex or capex</w:t>
      </w:r>
      <w:r w:rsidR="00003548">
        <w:t>, once it is approved,</w:t>
      </w:r>
      <w:r w:rsidR="005606A4">
        <w:t xml:space="preserve"> is </w:t>
      </w:r>
      <w:r w:rsidR="008318A1">
        <w:t xml:space="preserve">not likely to be </w:t>
      </w:r>
      <w:r w:rsidR="005606A4">
        <w:t>material</w:t>
      </w:r>
      <w:r w:rsidR="008318A1">
        <w:t>,</w:t>
      </w:r>
      <w:r w:rsidR="00790077">
        <w:t xml:space="preserve"> a</w:t>
      </w:r>
      <w:r w:rsidR="005606A4">
        <w:t>s all expenditure in the building block model is treated symmetrically</w:t>
      </w:r>
      <w:r w:rsidR="008318A1">
        <w:t>. Therefore,</w:t>
      </w:r>
      <w:r w:rsidR="00290309">
        <w:t xml:space="preserve"> </w:t>
      </w:r>
      <w:r w:rsidR="005606A4">
        <w:t xml:space="preserve">the overall difference </w:t>
      </w:r>
      <w:r w:rsidR="008A5DEC">
        <w:t>between</w:t>
      </w:r>
      <w:r w:rsidR="005606A4">
        <w:t xml:space="preserve"> treat</w:t>
      </w:r>
      <w:r w:rsidR="008A5DEC">
        <w:t>ing expenditure as</w:t>
      </w:r>
      <w:r w:rsidR="005606A4">
        <w:t xml:space="preserve"> capex or opex</w:t>
      </w:r>
      <w:r w:rsidR="008A5DEC">
        <w:t xml:space="preserve"> should be </w:t>
      </w:r>
      <w:r w:rsidR="005606A4">
        <w:t>NPV neutral</w:t>
      </w:r>
      <w:r w:rsidR="008A5DEC">
        <w:t>.</w:t>
      </w:r>
      <w:r w:rsidR="008A5DEC" w:rsidRPr="008A5DEC">
        <w:t xml:space="preserve"> </w:t>
      </w:r>
    </w:p>
    <w:p w14:paraId="6D478D12" w14:textId="77777777" w:rsidR="0066026D" w:rsidRDefault="00453A7D" w:rsidP="00453A7D">
      <w:r>
        <w:t>As to APA’s proposal to modify pipelines to enable inline inspections, Sleeman Consulting has advised that direct assessment techniques should continue instead.</w:t>
      </w:r>
      <w:r>
        <w:rPr>
          <w:rStyle w:val="FootnoteReference"/>
        </w:rPr>
        <w:footnoteReference w:id="112"/>
      </w:r>
      <w:r>
        <w:t xml:space="preserve"> This is because </w:t>
      </w:r>
      <w:r w:rsidR="00035180">
        <w:t>the decision to undertake</w:t>
      </w:r>
      <w:r>
        <w:t xml:space="preserve"> such </w:t>
      </w:r>
      <w:r w:rsidR="00035180">
        <w:t xml:space="preserve">pipeline </w:t>
      </w:r>
      <w:r>
        <w:t>modifications generally requires a cost benefit analysis</w:t>
      </w:r>
      <w:r w:rsidR="00035180">
        <w:t>,</w:t>
      </w:r>
      <w:r>
        <w:t xml:space="preserve"> to justify the expendi</w:t>
      </w:r>
      <w:r w:rsidR="00035180">
        <w:t>ture over the alternative, i.e.</w:t>
      </w:r>
      <w:r>
        <w:t xml:space="preserve"> continuing to apply direct assessment techniques.</w:t>
      </w:r>
      <w:r>
        <w:rPr>
          <w:rStyle w:val="FootnoteReference"/>
        </w:rPr>
        <w:footnoteReference w:id="113"/>
      </w:r>
      <w:r>
        <w:t xml:space="preserve"> APA did not submit </w:t>
      </w:r>
      <w:r w:rsidR="00112553">
        <w:t xml:space="preserve">such an </w:t>
      </w:r>
      <w:r>
        <w:t xml:space="preserve">analysis. </w:t>
      </w:r>
      <w:r w:rsidR="00112553">
        <w:t xml:space="preserve">APA justifies </w:t>
      </w:r>
      <w:r w:rsidR="00035180">
        <w:t>the</w:t>
      </w:r>
      <w:r w:rsidR="00112553">
        <w:t xml:space="preserve"> propos</w:t>
      </w:r>
      <w:r w:rsidR="00035180">
        <w:t xml:space="preserve">ed pipeline modification </w:t>
      </w:r>
      <w:r>
        <w:t xml:space="preserve">on the grounds that it will maintain and improve the safety and integrity of services, </w:t>
      </w:r>
      <w:r w:rsidR="00112553">
        <w:t>which we accept</w:t>
      </w:r>
      <w:r w:rsidR="00035180">
        <w:t>. However, its</w:t>
      </w:r>
      <w:r w:rsidR="00112553">
        <w:t xml:space="preserve"> </w:t>
      </w:r>
      <w:r>
        <w:t xml:space="preserve">proposal </w:t>
      </w:r>
      <w:r w:rsidR="00112553">
        <w:t>does not make any distinction that would justify modifying the pipeline instead of</w:t>
      </w:r>
      <w:r>
        <w:t xml:space="preserve"> undertaking direct assessment techniques. </w:t>
      </w:r>
      <w:r w:rsidR="0066026D">
        <w:t>R</w:t>
      </w:r>
      <w:r w:rsidR="00DA6BE7" w:rsidRPr="00DA6BE7">
        <w:t>egarding the pig trap inst</w:t>
      </w:r>
      <w:r w:rsidR="002C0421">
        <w:t>allation on Truganina to Plumpt</w:t>
      </w:r>
      <w:r w:rsidR="00DA6BE7" w:rsidRPr="00DA6BE7">
        <w:t>on pipeline, APA state the capex is necessary in the absence of the WORM augmentation.  This capex needs to be reconsidered in light APA's revised submission, which brings forward the construction the WORM to the 2018-22 access arrangement period.</w:t>
      </w:r>
      <w:r w:rsidR="00ED0144">
        <w:t xml:space="preserve"> </w:t>
      </w:r>
    </w:p>
    <w:p w14:paraId="3B433FBB" w14:textId="6CFBD70F" w:rsidR="00DA6BE7" w:rsidRDefault="0066026D" w:rsidP="00453A7D">
      <w:r>
        <w:t>W</w:t>
      </w:r>
      <w:r w:rsidR="00D35C11">
        <w:t xml:space="preserve">e </w:t>
      </w:r>
      <w:r w:rsidR="00ED0144">
        <w:t xml:space="preserve">agree with Sleeman Consulting's assessment </w:t>
      </w:r>
      <w:r w:rsidR="00000009">
        <w:t xml:space="preserve">that the pipeline modification to support pigging on short sections of pipeline may not be </w:t>
      </w:r>
      <w:r w:rsidR="005304D9">
        <w:t>cost-</w:t>
      </w:r>
      <w:r w:rsidR="00000009">
        <w:t>beneficial. We consider that APA ha</w:t>
      </w:r>
      <w:r w:rsidR="005304D9">
        <w:t>s</w:t>
      </w:r>
      <w:r w:rsidR="00000009">
        <w:t xml:space="preserve"> not m</w:t>
      </w:r>
      <w:r w:rsidR="00ED0144">
        <w:t>ade the case to justify this expenditure as prudent and efficient.</w:t>
      </w:r>
    </w:p>
    <w:p w14:paraId="32C32B4B" w14:textId="14764D78" w:rsidR="00453A7D" w:rsidRDefault="00453A7D" w:rsidP="00453A7D">
      <w:r>
        <w:t>APA’s proposed $1</w:t>
      </w:r>
      <w:r w:rsidR="002C0421">
        <w:t>4.2</w:t>
      </w:r>
      <w:r>
        <w:t xml:space="preserve"> million ($2017) for its proposed inline inspection schedule</w:t>
      </w:r>
      <w:r w:rsidR="002C0421">
        <w:t>, $1.1 million for repair of the Morwell-Dandenong pipeline following pigging</w:t>
      </w:r>
      <w:r>
        <w:t xml:space="preserve"> and </w:t>
      </w:r>
      <w:r w:rsidRPr="00B66A69">
        <w:t>$0.</w:t>
      </w:r>
      <w:r w:rsidR="002C0421">
        <w:t>6</w:t>
      </w:r>
      <w:r w:rsidRPr="00B66A69">
        <w:t xml:space="preserve"> million</w:t>
      </w:r>
      <w:r>
        <w:t xml:space="preserve"> ($2017) for direct assessments is prudent, in accordance with good industry practice and achieves the lowest sustainable cost of providing services.</w:t>
      </w:r>
      <w:r>
        <w:rPr>
          <w:rStyle w:val="FootnoteReference"/>
        </w:rPr>
        <w:footnoteReference w:id="114"/>
      </w:r>
      <w:r>
        <w:t xml:space="preserve"> Further, as APA submitted, this expenditure is justified on the grounds that it will maintain and improve the safety and integrity of services.</w:t>
      </w:r>
      <w:r>
        <w:rPr>
          <w:rStyle w:val="FootnoteReference"/>
        </w:rPr>
        <w:footnoteReference w:id="115"/>
      </w:r>
      <w:r w:rsidRPr="00492812">
        <w:t xml:space="preserve"> </w:t>
      </w:r>
      <w:r>
        <w:t xml:space="preserve">However, this is not the case for the proposed </w:t>
      </w:r>
      <w:r w:rsidRPr="00B66A69">
        <w:t>$6.</w:t>
      </w:r>
      <w:r w:rsidR="002C0421">
        <w:t>2</w:t>
      </w:r>
      <w:r w:rsidRPr="00B66A69">
        <w:t xml:space="preserve"> million</w:t>
      </w:r>
      <w:r>
        <w:t xml:space="preserve"> ($2017) to modify the pipelines </w:t>
      </w:r>
      <w:r w:rsidRPr="00B66A69">
        <w:t xml:space="preserve">at </w:t>
      </w:r>
      <w:r>
        <w:t xml:space="preserve">James Street, Tyres to Maryvale and Truganina to Plumpton </w:t>
      </w:r>
      <w:r w:rsidRPr="00B66A69">
        <w:t>to enable inline inspection</w:t>
      </w:r>
      <w:r w:rsidR="0066026D">
        <w:t>.</w:t>
      </w:r>
    </w:p>
    <w:p w14:paraId="0460A30F" w14:textId="11AC61AC" w:rsidR="00453A7D" w:rsidRDefault="00453A7D" w:rsidP="00453A7D">
      <w:r>
        <w:t>Our position in this draft decision is that $1</w:t>
      </w:r>
      <w:r w:rsidR="002C0421">
        <w:t>6</w:t>
      </w:r>
      <w:r>
        <w:t>.</w:t>
      </w:r>
      <w:r w:rsidR="002C0421">
        <w:t>0</w:t>
      </w:r>
      <w:r>
        <w:t xml:space="preserve"> million ($2017) for APA’s proposed inline inspection schedule and direct assessments is conforming capex.</w:t>
      </w:r>
    </w:p>
    <w:p w14:paraId="563E0F4A" w14:textId="77777777" w:rsidR="00DB79CE" w:rsidRDefault="00DB79CE" w:rsidP="00DB79CE">
      <w:pPr>
        <w:pStyle w:val="HeadingOrange"/>
      </w:pPr>
      <w:r>
        <w:t>Safety Management - High Consequence Areas</w:t>
      </w:r>
    </w:p>
    <w:p w14:paraId="299EC191" w14:textId="13B09AE8" w:rsidR="00CA7BCA" w:rsidRDefault="00CA7BCA" w:rsidP="00CA7BCA">
      <w:r w:rsidRPr="00A573E2">
        <w:t xml:space="preserve">APA </w:t>
      </w:r>
      <w:r>
        <w:t xml:space="preserve">has proposed </w:t>
      </w:r>
      <w:r w:rsidRPr="00A573E2">
        <w:t>$</w:t>
      </w:r>
      <w:r w:rsidR="00897F09">
        <w:t>24.2</w:t>
      </w:r>
      <w:r w:rsidRPr="00A573E2">
        <w:t xml:space="preserve"> million</w:t>
      </w:r>
      <w:r>
        <w:t xml:space="preserve"> ($2017) </w:t>
      </w:r>
      <w:r w:rsidRPr="00A573E2">
        <w:t xml:space="preserve">to reduce the risk of rupture </w:t>
      </w:r>
      <w:r>
        <w:t xml:space="preserve">due to urban encroachment and the expansion of the Melbourne metropolitan boundary in </w:t>
      </w:r>
      <w:r w:rsidRPr="008F4E0C">
        <w:rPr>
          <w:rStyle w:val="AERbody"/>
        </w:rPr>
        <w:t>2012</w:t>
      </w:r>
      <w:r>
        <w:rPr>
          <w:rStyle w:val="AERbody"/>
        </w:rPr>
        <w:t xml:space="preserve"> </w:t>
      </w:r>
      <w:r w:rsidR="00AD51C2">
        <w:t>along</w:t>
      </w:r>
      <w:r>
        <w:t xml:space="preserve"> three pipelines.</w:t>
      </w:r>
      <w:r>
        <w:rPr>
          <w:rStyle w:val="FootnoteReference"/>
        </w:rPr>
        <w:footnoteReference w:id="116"/>
      </w:r>
      <w:r>
        <w:t xml:space="preserve"> Namely, 9 km of the Brooklyn-</w:t>
      </w:r>
      <w:r w:rsidRPr="00A573E2">
        <w:t>Corio p</w:t>
      </w:r>
      <w:r>
        <w:t>ipeline, 13.8 km of the Wollert-</w:t>
      </w:r>
      <w:r w:rsidRPr="00A573E2">
        <w:t>Wodonga pi</w:t>
      </w:r>
      <w:r>
        <w:t>peline and 16.6 km of the Brooklyn-</w:t>
      </w:r>
      <w:r w:rsidRPr="00A573E2">
        <w:t>Lara pipelin</w:t>
      </w:r>
      <w:r>
        <w:t>e. As urban encroachment progresses, these risks arise particularly from excavators used in land development,</w:t>
      </w:r>
      <w:r w:rsidRPr="00A573E2">
        <w:t xml:space="preserve"> </w:t>
      </w:r>
      <w:r>
        <w:t xml:space="preserve">and </w:t>
      </w:r>
      <w:r w:rsidRPr="00A573E2">
        <w:t xml:space="preserve">can be addressed </w:t>
      </w:r>
      <w:r>
        <w:t>by</w:t>
      </w:r>
      <w:r w:rsidRPr="00A573E2">
        <w:t xml:space="preserve"> </w:t>
      </w:r>
      <w:r>
        <w:t xml:space="preserve">reducing </w:t>
      </w:r>
      <w:r w:rsidRPr="00A573E2">
        <w:t>pressure or slabbing (a physical barrier above the pipeline).</w:t>
      </w:r>
      <w:r>
        <w:t xml:space="preserve"> APA’s proposal aims to reduce the risk to </w:t>
      </w:r>
      <w:r w:rsidRPr="00A573E2">
        <w:t>'</w:t>
      </w:r>
      <w:r>
        <w:t>l</w:t>
      </w:r>
      <w:r w:rsidRPr="00A573E2">
        <w:t>ow' or 'as low as reasonably possible' (ALARP)</w:t>
      </w:r>
      <w:r>
        <w:t xml:space="preserve"> immediately in 2018 and 2019 by undertaking slabbing</w:t>
      </w:r>
      <w:r w:rsidRPr="00A573E2">
        <w:t xml:space="preserve">. </w:t>
      </w:r>
    </w:p>
    <w:p w14:paraId="4A749A96" w14:textId="77777777" w:rsidR="00CA7BCA" w:rsidRPr="00A573E2" w:rsidRDefault="00CA7BCA" w:rsidP="00CA7BCA">
      <w:r>
        <w:t>APA</w:t>
      </w:r>
      <w:r w:rsidRPr="00D41462">
        <w:t xml:space="preserve"> </w:t>
      </w:r>
      <w:r>
        <w:t>recognise that it is responsible for reducing this risk. Developers are not</w:t>
      </w:r>
      <w:r w:rsidRPr="00D41462">
        <w:t xml:space="preserve"> responsible for protecting pipelines when </w:t>
      </w:r>
      <w:r>
        <w:t xml:space="preserve">developing land </w:t>
      </w:r>
      <w:r w:rsidRPr="00D41462">
        <w:t xml:space="preserve">and planning authorities do not account </w:t>
      </w:r>
      <w:r>
        <w:t xml:space="preserve">for </w:t>
      </w:r>
      <w:r w:rsidRPr="00D41462">
        <w:t>the proximity of existing pipelines when approving the development of new facilities such as schools</w:t>
      </w:r>
      <w:r>
        <w:t>.</w:t>
      </w:r>
      <w:r>
        <w:rPr>
          <w:rStyle w:val="FootnoteReference"/>
        </w:rPr>
        <w:footnoteReference w:id="117"/>
      </w:r>
      <w:r w:rsidRPr="00D41462">
        <w:t xml:space="preserve"> </w:t>
      </w:r>
      <w:r w:rsidRPr="00C17AC2">
        <w:t xml:space="preserve"> </w:t>
      </w:r>
      <w:r>
        <w:t>AEMO supports APA’s proposal to proceed with slabbing and not reducing pressure, which would affect the capacity of the pipelines to meet system demand requirements.</w:t>
      </w:r>
      <w:r>
        <w:rPr>
          <w:rStyle w:val="FootnoteReference"/>
        </w:rPr>
        <w:footnoteReference w:id="118"/>
      </w:r>
      <w:r>
        <w:t xml:space="preserve"> CCP11 submitted that APA’s proposal would be in the long term interests of consumers if it was based on a reasonable risk assessment.</w:t>
      </w:r>
      <w:r>
        <w:rPr>
          <w:rStyle w:val="FootnoteReference"/>
        </w:rPr>
        <w:footnoteReference w:id="119"/>
      </w:r>
    </w:p>
    <w:p w14:paraId="765B4E32" w14:textId="77777777" w:rsidR="00CA7BCA" w:rsidRDefault="00CA7BCA" w:rsidP="00CA7BCA">
      <w:r>
        <w:t>Sleeman Consulting advised that APA must implement measures to mitigate such risks to comply with its regulatory obligations.</w:t>
      </w:r>
      <w:r>
        <w:rPr>
          <w:rStyle w:val="FootnoteReference"/>
        </w:rPr>
        <w:footnoteReference w:id="120"/>
      </w:r>
      <w:r>
        <w:t xml:space="preserve"> Sleeman Consulting concluded that the most cost effective option for the Brooklyn-Corio and Brooklyn-Lara pipelines</w:t>
      </w:r>
      <w:r w:rsidRPr="00A05121">
        <w:t xml:space="preserve"> </w:t>
      </w:r>
      <w:r>
        <w:t>is slabbing, but more information is required to determine whether this is also the case for the Wollert-Wodonga pipeline.</w:t>
      </w:r>
      <w:r>
        <w:rPr>
          <w:rStyle w:val="FootnoteReference"/>
        </w:rPr>
        <w:footnoteReference w:id="121"/>
      </w:r>
      <w:r>
        <w:t xml:space="preserve"> </w:t>
      </w:r>
    </w:p>
    <w:p w14:paraId="27D3CEF9" w14:textId="79337DD6" w:rsidR="00CA7BCA" w:rsidRDefault="00CA7BCA" w:rsidP="00CA7BCA">
      <w:r>
        <w:t xml:space="preserve">In its business case, </w:t>
      </w:r>
      <w:r w:rsidRPr="005063DD">
        <w:t xml:space="preserve">APA </w:t>
      </w:r>
      <w:r>
        <w:t>referred to the</w:t>
      </w:r>
      <w:r w:rsidRPr="005063DD">
        <w:t xml:space="preserve"> Victoria Planning Authority’s precinct structure plans (PSP) to identify the areas where new urban development will encroach on the existing pipeline routes.</w:t>
      </w:r>
      <w:r>
        <w:rPr>
          <w:rStyle w:val="FootnoteReference"/>
        </w:rPr>
        <w:footnoteReference w:id="122"/>
      </w:r>
      <w:r>
        <w:t xml:space="preserve"> </w:t>
      </w:r>
      <w:r w:rsidRPr="00E52607">
        <w:t xml:space="preserve">The </w:t>
      </w:r>
      <w:r>
        <w:t>PSP</w:t>
      </w:r>
      <w:r w:rsidRPr="00E52607">
        <w:t xml:space="preserve"> show</w:t>
      </w:r>
      <w:r>
        <w:t>s</w:t>
      </w:r>
      <w:r w:rsidRPr="00E52607">
        <w:t xml:space="preserve"> a progressive land development and population growth from 2011 to 2037. </w:t>
      </w:r>
      <w:r>
        <w:t>I</w:t>
      </w:r>
      <w:r w:rsidRPr="00E52607">
        <w:t xml:space="preserve">t is </w:t>
      </w:r>
      <w:r>
        <w:t xml:space="preserve">therefore </w:t>
      </w:r>
      <w:r w:rsidRPr="00E52607">
        <w:t xml:space="preserve">reasonable to </w:t>
      </w:r>
      <w:r>
        <w:t>conclude</w:t>
      </w:r>
      <w:r w:rsidRPr="00E52607">
        <w:t xml:space="preserve"> that urban encroachment </w:t>
      </w:r>
      <w:r>
        <w:t>along the path of the three pipeline</w:t>
      </w:r>
      <w:r w:rsidR="007D6E4B">
        <w:t>s</w:t>
      </w:r>
      <w:r>
        <w:t xml:space="preserve"> identified by APA </w:t>
      </w:r>
      <w:r w:rsidRPr="00E52607">
        <w:t xml:space="preserve">will occur over </w:t>
      </w:r>
      <w:r>
        <w:t xml:space="preserve">the next </w:t>
      </w:r>
      <w:r w:rsidRPr="00E52607">
        <w:t>20 year</w:t>
      </w:r>
      <w:r>
        <w:t>s, if not</w:t>
      </w:r>
      <w:r w:rsidRPr="00E52607">
        <w:t xml:space="preserve"> longer.</w:t>
      </w:r>
      <w:r>
        <w:t xml:space="preserve"> </w:t>
      </w:r>
      <w:r w:rsidRPr="00E52607">
        <w:t xml:space="preserve">APA </w:t>
      </w:r>
      <w:r>
        <w:t xml:space="preserve">also </w:t>
      </w:r>
      <w:r w:rsidRPr="00E52607">
        <w:t xml:space="preserve">referred to </w:t>
      </w:r>
      <w:r>
        <w:t xml:space="preserve">the </w:t>
      </w:r>
      <w:r w:rsidRPr="00E52607">
        <w:t xml:space="preserve">AS2885 requirement that the </w:t>
      </w:r>
      <w:r w:rsidR="00884C96">
        <w:t>'</w:t>
      </w:r>
      <w:r w:rsidRPr="00E52607">
        <w:t>Location Class analysis of an existing pipeline shall take full account of current land use and authori</w:t>
      </w:r>
      <w:r>
        <w:t>s</w:t>
      </w:r>
      <w:r w:rsidRPr="00E52607">
        <w:t>ed develo</w:t>
      </w:r>
      <w:r>
        <w:t>pments along the pipeline route</w:t>
      </w:r>
      <w:r w:rsidR="00884C96">
        <w:t>'</w:t>
      </w:r>
      <w:r>
        <w:t>.</w:t>
      </w:r>
      <w:r>
        <w:rPr>
          <w:rStyle w:val="FootnoteReference"/>
        </w:rPr>
        <w:footnoteReference w:id="123"/>
      </w:r>
      <w:r w:rsidRPr="00E52607">
        <w:t xml:space="preserve"> </w:t>
      </w:r>
      <w:r>
        <w:t>Finally, APA also submitted that there are lower unit costs or economies of scale to realise by undertaking all slabbing at the same time.</w:t>
      </w:r>
      <w:r>
        <w:rPr>
          <w:rStyle w:val="FootnoteReference"/>
        </w:rPr>
        <w:footnoteReference w:id="124"/>
      </w:r>
      <w:r w:rsidRPr="00CD4570">
        <w:rPr>
          <w:rStyle w:val="FootnoteReference"/>
        </w:rPr>
        <w:t xml:space="preserve"> </w:t>
      </w:r>
    </w:p>
    <w:p w14:paraId="03B7F536" w14:textId="7C7C2AF8" w:rsidR="00CA7BCA" w:rsidRDefault="00CA7BCA" w:rsidP="00CA7BCA">
      <w:r>
        <w:t>In our view it is neither prudent nor good industry practice to proceed with the</w:t>
      </w:r>
      <w:r w:rsidR="00314B5B">
        <w:t xml:space="preserve"> full</w:t>
      </w:r>
      <w:r>
        <w:t xml:space="preserve"> slabbing </w:t>
      </w:r>
      <w:r w:rsidR="00ED2AB9">
        <w:t xml:space="preserve">program </w:t>
      </w:r>
      <w:r w:rsidR="00314B5B">
        <w:t>in</w:t>
      </w:r>
      <w:r>
        <w:t xml:space="preserve"> 2018 and 2019</w:t>
      </w:r>
      <w:r w:rsidR="00314B5B">
        <w:t>. We recognise that some slabbing is necessary in the 2018-22 access ar</w:t>
      </w:r>
      <w:r w:rsidR="00ED2AB9">
        <w:t>r</w:t>
      </w:r>
      <w:r w:rsidR="00314B5B">
        <w:t>angement p</w:t>
      </w:r>
      <w:r w:rsidR="00ED2AB9">
        <w:t>eriod, particularly along sections of the pipeline</w:t>
      </w:r>
      <w:r>
        <w:t xml:space="preserve"> where land development is imminent.</w:t>
      </w:r>
      <w:r>
        <w:rPr>
          <w:rStyle w:val="FootnoteReference"/>
        </w:rPr>
        <w:footnoteReference w:id="125"/>
      </w:r>
      <w:r>
        <w:t xml:space="preserve"> </w:t>
      </w:r>
      <w:r w:rsidR="007D6E4B">
        <w:t>However, d</w:t>
      </w:r>
      <w:r>
        <w:t xml:space="preserve">eferring the slabbing activities </w:t>
      </w:r>
      <w:r w:rsidR="00697A4D">
        <w:t xml:space="preserve">along other sections of the three proposed pipelines </w:t>
      </w:r>
      <w:r>
        <w:t>until a time closer to actual land development is likely to yield significant efficiencies</w:t>
      </w:r>
      <w:r w:rsidR="007D6E4B">
        <w:t>, particularly when the timing of the work can</w:t>
      </w:r>
      <w:r>
        <w:t xml:space="preserve"> occur in parallel with other development works such as road and other essential infrastructure works. These efficiencies are likely to exceed the benefits of any economies of scale that may be realised by concentrating the slabbing works in 2018 and 2019.</w:t>
      </w:r>
    </w:p>
    <w:p w14:paraId="73895C7E" w14:textId="61DEF7BE" w:rsidR="007D6E4B" w:rsidRDefault="007D6E4B" w:rsidP="00CA7BCA">
      <w:r>
        <w:t xml:space="preserve">On the information before us, </w:t>
      </w:r>
      <w:r w:rsidR="00697A4D">
        <w:t>we do not accept that it is prudent or efficient to slab all 9 km of the Brooklyn-</w:t>
      </w:r>
      <w:r w:rsidR="00697A4D" w:rsidRPr="00A573E2">
        <w:t>Corio p</w:t>
      </w:r>
      <w:r w:rsidR="00697A4D">
        <w:t>ipeline, 13.8 km of the Wollert-</w:t>
      </w:r>
      <w:r w:rsidR="00697A4D" w:rsidRPr="00A573E2">
        <w:t>Wodonga pi</w:t>
      </w:r>
      <w:r w:rsidR="00697A4D">
        <w:t>peline and 16.6 km of the Brooklyn-</w:t>
      </w:r>
      <w:r w:rsidR="00697A4D" w:rsidRPr="00A573E2">
        <w:t>Lara pipelin</w:t>
      </w:r>
      <w:r w:rsidR="00697A4D">
        <w:t>e in 2018 and 2019.</w:t>
      </w:r>
      <w:r w:rsidR="00697A4D" w:rsidRPr="00697A4D">
        <w:t xml:space="preserve"> </w:t>
      </w:r>
      <w:r w:rsidR="00697A4D">
        <w:t xml:space="preserve">However, </w:t>
      </w:r>
      <w:r>
        <w:t xml:space="preserve">we are not in position to identify which sections of the three pipelines should or should not be slabbed in the 2018-22 access arrangement period. </w:t>
      </w:r>
    </w:p>
    <w:p w14:paraId="4346C86C" w14:textId="3033BFB6" w:rsidR="00CA7BCA" w:rsidRDefault="007D6E4B" w:rsidP="00CA7BCA">
      <w:r>
        <w:t>Therefore, o</w:t>
      </w:r>
      <w:r w:rsidR="00CA7BCA">
        <w:t>ur position in this draft decision is that the proposed $2</w:t>
      </w:r>
      <w:r w:rsidR="00897F09">
        <w:t>4.2</w:t>
      </w:r>
      <w:r w:rsidR="00CA7BCA">
        <w:t xml:space="preserve"> million ($2017) for slabbing is not conforming capex</w:t>
      </w:r>
      <w:r>
        <w:t>.</w:t>
      </w:r>
      <w:r w:rsidR="00682CEC">
        <w:t xml:space="preserve"> </w:t>
      </w:r>
      <w:r>
        <w:t>However,</w:t>
      </w:r>
      <w:r w:rsidR="00682CEC">
        <w:t xml:space="preserve"> we invite APA to respond</w:t>
      </w:r>
      <w:r>
        <w:t xml:space="preserve"> with an alternative slabbing program that is more consistent with the rate of urban development along the three pipelines over the next 20 years</w:t>
      </w:r>
      <w:r w:rsidR="00682CEC">
        <w:t>.</w:t>
      </w:r>
      <w:r w:rsidR="00CA7BCA">
        <w:t xml:space="preserve"> </w:t>
      </w:r>
    </w:p>
    <w:p w14:paraId="58C9DCD6" w14:textId="7DD37461" w:rsidR="00DB79CE" w:rsidRPr="00CA7BCA" w:rsidRDefault="00907AA7" w:rsidP="00D24DD7">
      <w:pPr>
        <w:pStyle w:val="HeadingOrange"/>
        <w:keepNext/>
        <w:rPr>
          <w:rStyle w:val="AERtexthighlight"/>
          <w:rFonts w:eastAsiaTheme="minorHAnsi" w:cstheme="minorBidi"/>
          <w:b w:val="0"/>
          <w:color w:val="auto"/>
          <w:shd w:val="clear" w:color="auto" w:fill="auto"/>
        </w:rPr>
      </w:pPr>
      <w:r w:rsidRPr="00CA7BCA">
        <w:rPr>
          <w:rStyle w:val="AERtexthighlight"/>
          <w:shd w:val="clear" w:color="auto" w:fill="auto"/>
        </w:rPr>
        <w:t>B</w:t>
      </w:r>
      <w:r w:rsidR="00CA7BCA" w:rsidRPr="00CA7BCA">
        <w:rPr>
          <w:rStyle w:val="AERtexthighlight"/>
          <w:shd w:val="clear" w:color="auto" w:fill="auto"/>
        </w:rPr>
        <w:t xml:space="preserve">rooklyn </w:t>
      </w:r>
      <w:r w:rsidRPr="00CA7BCA">
        <w:rPr>
          <w:rStyle w:val="AERtexthighlight"/>
          <w:shd w:val="clear" w:color="auto" w:fill="auto"/>
        </w:rPr>
        <w:t>C</w:t>
      </w:r>
      <w:r w:rsidR="00CA7BCA" w:rsidRPr="00CA7BCA">
        <w:rPr>
          <w:rStyle w:val="AERtexthighlight"/>
          <w:shd w:val="clear" w:color="auto" w:fill="auto"/>
        </w:rPr>
        <w:t xml:space="preserve">ompressor </w:t>
      </w:r>
      <w:r w:rsidRPr="00CA7BCA">
        <w:rPr>
          <w:rStyle w:val="AERtexthighlight"/>
          <w:shd w:val="clear" w:color="auto" w:fill="auto"/>
        </w:rPr>
        <w:t>S</w:t>
      </w:r>
      <w:r w:rsidR="00CA7BCA" w:rsidRPr="00CA7BCA">
        <w:rPr>
          <w:rStyle w:val="AERtexthighlight"/>
          <w:shd w:val="clear" w:color="auto" w:fill="auto"/>
        </w:rPr>
        <w:t>tation</w:t>
      </w:r>
      <w:r w:rsidR="00DB79CE" w:rsidRPr="00CA7BCA">
        <w:rPr>
          <w:rStyle w:val="AERtexthighlight"/>
          <w:shd w:val="clear" w:color="auto" w:fill="auto"/>
        </w:rPr>
        <w:t xml:space="preserve"> </w:t>
      </w:r>
      <w:r w:rsidR="00CA7BCA">
        <w:rPr>
          <w:rStyle w:val="AERtexthighlight"/>
          <w:shd w:val="clear" w:color="auto" w:fill="auto"/>
        </w:rPr>
        <w:t>U</w:t>
      </w:r>
      <w:r w:rsidR="00DB79CE" w:rsidRPr="00CA7BCA">
        <w:rPr>
          <w:rStyle w:val="AERtexthighlight"/>
          <w:shd w:val="clear" w:color="auto" w:fill="auto"/>
        </w:rPr>
        <w:t>pgrade</w:t>
      </w:r>
    </w:p>
    <w:p w14:paraId="6E4458FF" w14:textId="714AA84C" w:rsidR="00CA7BCA" w:rsidRDefault="00CA7BCA" w:rsidP="00D24DD7">
      <w:pPr>
        <w:keepNext/>
      </w:pPr>
      <w:r w:rsidRPr="00A573E2">
        <w:t xml:space="preserve">APA </w:t>
      </w:r>
      <w:r>
        <w:t xml:space="preserve">has proposed </w:t>
      </w:r>
      <w:r w:rsidRPr="00335F6C">
        <w:t>$</w:t>
      </w:r>
      <w:r w:rsidR="00EB1E1D">
        <w:t>7.1</w:t>
      </w:r>
      <w:r>
        <w:t xml:space="preserve"> million</w:t>
      </w:r>
      <w:r w:rsidRPr="00A573E2">
        <w:t xml:space="preserve"> </w:t>
      </w:r>
      <w:r>
        <w:t xml:space="preserve">($2017) </w:t>
      </w:r>
      <w:r w:rsidRPr="00A573E2">
        <w:t xml:space="preserve">to </w:t>
      </w:r>
      <w:r>
        <w:t>upgrade</w:t>
      </w:r>
      <w:r w:rsidRPr="00335F6C">
        <w:t xml:space="preserve"> several </w:t>
      </w:r>
      <w:r>
        <w:t>components</w:t>
      </w:r>
      <w:r w:rsidRPr="00335F6C">
        <w:t xml:space="preserve"> of the </w:t>
      </w:r>
      <w:r>
        <w:t>BCS.</w:t>
      </w:r>
      <w:r>
        <w:rPr>
          <w:rStyle w:val="FootnoteReference"/>
        </w:rPr>
        <w:footnoteReference w:id="126"/>
      </w:r>
      <w:r>
        <w:t xml:space="preserve"> This includes upgrades to the safety s</w:t>
      </w:r>
      <w:r w:rsidRPr="00335F6C">
        <w:t>ystem</w:t>
      </w:r>
      <w:r>
        <w:t>, process control s</w:t>
      </w:r>
      <w:r w:rsidRPr="00335F6C">
        <w:t>ystem</w:t>
      </w:r>
      <w:r>
        <w:t>,</w:t>
      </w:r>
      <w:r w:rsidRPr="00335F6C">
        <w:t xml:space="preserve"> </w:t>
      </w:r>
      <w:r>
        <w:t>unit control s</w:t>
      </w:r>
      <w:r w:rsidRPr="00335F6C">
        <w:t>ystem</w:t>
      </w:r>
      <w:r>
        <w:t>, ventilation s</w:t>
      </w:r>
      <w:r w:rsidRPr="00335F6C">
        <w:t>ystem</w:t>
      </w:r>
      <w:r>
        <w:t>, f</w:t>
      </w:r>
      <w:r w:rsidRPr="00335F6C">
        <w:t xml:space="preserve">uel gas system </w:t>
      </w:r>
      <w:r>
        <w:t>and e</w:t>
      </w:r>
      <w:r w:rsidRPr="00335F6C">
        <w:t>xhaust stack</w:t>
      </w:r>
      <w:r>
        <w:t xml:space="preserve"> to maintain the life of the BCS and the units past 2022.</w:t>
      </w:r>
      <w:r>
        <w:rPr>
          <w:rStyle w:val="FootnoteReference"/>
        </w:rPr>
        <w:footnoteReference w:id="127"/>
      </w:r>
    </w:p>
    <w:p w14:paraId="4F171A62" w14:textId="77777777" w:rsidR="00CA7BCA" w:rsidRDefault="00CA7BCA" w:rsidP="00CA7BCA">
      <w:r w:rsidRPr="00335F6C">
        <w:t>Australian Standard 3814-2015 requires that where an appliance is modified or relocated it must be upgraded to meet the Standard current at the time of modification or relocation.</w:t>
      </w:r>
      <w:r>
        <w:rPr>
          <w:rStyle w:val="FootnoteReference"/>
        </w:rPr>
        <w:footnoteReference w:id="128"/>
      </w:r>
    </w:p>
    <w:p w14:paraId="445C0315" w14:textId="71D1133B" w:rsidR="00CA7BCA" w:rsidRDefault="00CA7BCA" w:rsidP="00CA7BCA">
      <w:r>
        <w:t>APA’s proposal will extend the life of the BCS and enable it to meet the requirements of AS</w:t>
      </w:r>
      <w:r w:rsidRPr="00335F6C">
        <w:t xml:space="preserve"> 3814-2015</w:t>
      </w:r>
      <w:r>
        <w:t xml:space="preserve">. </w:t>
      </w:r>
      <w:r w:rsidR="00AB1A85">
        <w:t>For these reasons,</w:t>
      </w:r>
      <w:r>
        <w:t xml:space="preserve"> it appears prudent, in accordance with good industry practice and achieves the lowest sustainable cost of providing services.</w:t>
      </w:r>
      <w:r>
        <w:rPr>
          <w:rStyle w:val="FootnoteReference"/>
        </w:rPr>
        <w:footnoteReference w:id="129"/>
      </w:r>
      <w:r>
        <w:t xml:space="preserve"> It is also justified on the ground of maintaining the integrity of services.</w:t>
      </w:r>
      <w:r>
        <w:rPr>
          <w:rStyle w:val="FootnoteReference"/>
        </w:rPr>
        <w:footnoteReference w:id="130"/>
      </w:r>
    </w:p>
    <w:p w14:paraId="18EF2289" w14:textId="1060BB1A" w:rsidR="00CA7BCA" w:rsidRDefault="00CA7BCA" w:rsidP="00CA7BCA">
      <w:r>
        <w:t>Our position in this draft decision is that the proposed $</w:t>
      </w:r>
      <w:r w:rsidR="00EB1E1D">
        <w:t>7.1</w:t>
      </w:r>
      <w:r>
        <w:t xml:space="preserve"> million ($2017) to upgrade the BCS is conforming capex.</w:t>
      </w:r>
    </w:p>
    <w:p w14:paraId="7437AC47" w14:textId="77777777" w:rsidR="00DB79CE" w:rsidRDefault="00DB79CE" w:rsidP="00DB79CE">
      <w:pPr>
        <w:pStyle w:val="HeadingOrange"/>
      </w:pPr>
      <w:r>
        <w:t>Wollert Compressor Station Turbine Overhauls</w:t>
      </w:r>
    </w:p>
    <w:p w14:paraId="5944273C" w14:textId="29E83333" w:rsidR="00CA7BCA" w:rsidRDefault="00CA7BCA" w:rsidP="00DB79CE">
      <w:r w:rsidRPr="0031506D">
        <w:t xml:space="preserve">APA </w:t>
      </w:r>
      <w:r>
        <w:t xml:space="preserve">proposed </w:t>
      </w:r>
      <w:r w:rsidRPr="0031506D">
        <w:t>$4.</w:t>
      </w:r>
      <w:r w:rsidR="00DC0529">
        <w:t>8</w:t>
      </w:r>
      <w:r w:rsidRPr="0031506D">
        <w:t xml:space="preserve"> million</w:t>
      </w:r>
      <w:r>
        <w:t xml:space="preserve"> ($2017) to</w:t>
      </w:r>
      <w:r w:rsidRPr="0031506D">
        <w:t xml:space="preserve"> overhaul </w:t>
      </w:r>
      <w:r>
        <w:t>units 4 and 5 at the</w:t>
      </w:r>
      <w:r w:rsidRPr="0031506D">
        <w:t xml:space="preserve"> Wollert compressor station </w:t>
      </w:r>
      <w:r>
        <w:t xml:space="preserve">and the turbines of unit 3 at the </w:t>
      </w:r>
      <w:r w:rsidRPr="0031506D">
        <w:t>Gooding compressor station.</w:t>
      </w:r>
      <w:r>
        <w:rPr>
          <w:rStyle w:val="FootnoteReference"/>
        </w:rPr>
        <w:footnoteReference w:id="131"/>
      </w:r>
      <w:r>
        <w:t xml:space="preserve"> APA submitted this is a routine maintenance activity to avoid turbine failure. The manufacturer recommends the engines be overhauled every 32,000 hours which equates to</w:t>
      </w:r>
      <w:r w:rsidRPr="00D540F4">
        <w:t xml:space="preserve"> </w:t>
      </w:r>
      <w:r>
        <w:t>every 8 to 10 years</w:t>
      </w:r>
      <w:r w:rsidRPr="00D540F4">
        <w:t xml:space="preserve"> </w:t>
      </w:r>
      <w:r>
        <w:t>on current patterns of usage.</w:t>
      </w:r>
      <w:r>
        <w:rPr>
          <w:rStyle w:val="FootnoteReference"/>
        </w:rPr>
        <w:footnoteReference w:id="132"/>
      </w:r>
      <w:r>
        <w:t xml:space="preserve"> </w:t>
      </w:r>
      <w:r w:rsidR="0027028D">
        <w:t>T</w:t>
      </w:r>
      <w:r>
        <w:t xml:space="preserve">hese overhauls, </w:t>
      </w:r>
      <w:r w:rsidR="00AB1A85">
        <w:t>as characterised by APA</w:t>
      </w:r>
      <w:r>
        <w:t>, are a routine maintenance activity.</w:t>
      </w:r>
      <w:r>
        <w:rPr>
          <w:rStyle w:val="FootnoteReference"/>
        </w:rPr>
        <w:footnoteReference w:id="133"/>
      </w:r>
      <w:r>
        <w:t xml:space="preserve"> Accordingly, </w:t>
      </w:r>
      <w:r w:rsidR="00095268">
        <w:t xml:space="preserve">on the basis of APA's information, </w:t>
      </w:r>
      <w:r>
        <w:t>they are opex and not capex.</w:t>
      </w:r>
      <w:r>
        <w:rPr>
          <w:rStyle w:val="FootnoteReference"/>
        </w:rPr>
        <w:footnoteReference w:id="134"/>
      </w:r>
      <w:r>
        <w:t xml:space="preserve"> </w:t>
      </w:r>
    </w:p>
    <w:p w14:paraId="7EADAF55" w14:textId="59BCCC6C" w:rsidR="00DB79CE" w:rsidRDefault="00DB79CE" w:rsidP="00DB79CE">
      <w:r>
        <w:t xml:space="preserve">Our position in this draft decision is </w:t>
      </w:r>
      <w:r w:rsidR="00D23EA9">
        <w:t xml:space="preserve">that the proposed </w:t>
      </w:r>
      <w:r>
        <w:t>$4.</w:t>
      </w:r>
      <w:r w:rsidR="00DC0529">
        <w:t>8</w:t>
      </w:r>
      <w:r>
        <w:t xml:space="preserve"> million </w:t>
      </w:r>
      <w:r w:rsidR="00F73D02">
        <w:t xml:space="preserve">to overhaul </w:t>
      </w:r>
      <w:r>
        <w:t xml:space="preserve">the </w:t>
      </w:r>
      <w:r w:rsidR="00F73D02">
        <w:t xml:space="preserve">turbines at the </w:t>
      </w:r>
      <w:r>
        <w:t xml:space="preserve">Wollert and Gooding </w:t>
      </w:r>
      <w:r w:rsidR="00F73D02" w:rsidRPr="0031506D">
        <w:t>compressor station</w:t>
      </w:r>
      <w:r w:rsidR="00F73D02">
        <w:t>s</w:t>
      </w:r>
      <w:r w:rsidR="00F73D02" w:rsidDel="00F73D02">
        <w:t xml:space="preserve"> </w:t>
      </w:r>
      <w:r w:rsidR="00D23EA9">
        <w:t>is not conforming capex</w:t>
      </w:r>
      <w:r>
        <w:t>.</w:t>
      </w:r>
      <w:r w:rsidRPr="00335F6C">
        <w:t xml:space="preserve"> </w:t>
      </w:r>
    </w:p>
    <w:p w14:paraId="7D5AA737" w14:textId="79B1EAEA" w:rsidR="001A5F7D" w:rsidRDefault="00C26CC4" w:rsidP="00C26CC4">
      <w:r>
        <w:t xml:space="preserve">If APA were to propose the turbine overhauls as opex, they would not </w:t>
      </w:r>
      <w:r w:rsidR="00133628">
        <w:t xml:space="preserve">necessarily </w:t>
      </w:r>
      <w:r>
        <w:t>qualify for a step</w:t>
      </w:r>
      <w:r w:rsidR="0027028D">
        <w:t xml:space="preserve"> </w:t>
      </w:r>
      <w:r>
        <w:t xml:space="preserve">change under our opex assessment framework. </w:t>
      </w:r>
      <w:r w:rsidR="001A5F7D" w:rsidRPr="006D720B">
        <w:t xml:space="preserve">We consider base opex, trended forward by the forecast rate of change, is sufficient for APA to continue to meet its existing regulatory obligations. </w:t>
      </w:r>
      <w:r w:rsidR="005304D9">
        <w:t>APA</w:t>
      </w:r>
      <w:r w:rsidR="00ED0144">
        <w:t xml:space="preserve"> have many assets requiring maintenance </w:t>
      </w:r>
      <w:r w:rsidR="005304D9">
        <w:t xml:space="preserve">and </w:t>
      </w:r>
      <w:r w:rsidR="00ED0144">
        <w:t>there can be lump</w:t>
      </w:r>
      <w:r w:rsidR="005304D9">
        <w:t>i</w:t>
      </w:r>
      <w:r w:rsidR="00ED0144">
        <w:t>ness in</w:t>
      </w:r>
      <w:r w:rsidR="005304D9">
        <w:t xml:space="preserve"> scheduling of maintenance on</w:t>
      </w:r>
      <w:r w:rsidR="00ED0144">
        <w:t xml:space="preserve"> individual assets</w:t>
      </w:r>
      <w:r w:rsidR="005304D9">
        <w:t xml:space="preserve">. However, APA should be able to coordinate the scheduling of maintenance activities across their total asset base, </w:t>
      </w:r>
      <w:r w:rsidR="005304D9" w:rsidRPr="00582DD4">
        <w:t>such that total opex is broadly consistent from year-to-year</w:t>
      </w:r>
      <w:r w:rsidR="005304D9">
        <w:t>.</w:t>
      </w:r>
      <w:r w:rsidR="005304D9" w:rsidRPr="006D720B">
        <w:t xml:space="preserve"> </w:t>
      </w:r>
      <w:r w:rsidR="001A5F7D" w:rsidRPr="006D720B">
        <w:t xml:space="preserve">We consider </w:t>
      </w:r>
      <w:r w:rsidR="001A5F7D">
        <w:t>these overhaul</w:t>
      </w:r>
      <w:r w:rsidR="001A5F7D" w:rsidRPr="006D720B">
        <w:t xml:space="preserve"> costs are a 'business-as-usual' expense that APA can prioritise within its existing base opex forecast. </w:t>
      </w:r>
      <w:r w:rsidR="005304D9">
        <w:t xml:space="preserve">Therefore, </w:t>
      </w:r>
      <w:r w:rsidR="005304D9" w:rsidRPr="00582DD4">
        <w:t xml:space="preserve">an opex forecast based on revealed costs will provide sufficient total opex for </w:t>
      </w:r>
      <w:r w:rsidR="005304D9">
        <w:t>APA</w:t>
      </w:r>
      <w:r w:rsidR="005304D9" w:rsidRPr="00582DD4">
        <w:t xml:space="preserve"> to undertake prudent recurrent projects in an efficient manner over the </w:t>
      </w:r>
      <w:r w:rsidR="005304D9">
        <w:t>access arrangement</w:t>
      </w:r>
      <w:r w:rsidR="005304D9" w:rsidRPr="00582DD4">
        <w:t xml:space="preserve"> period</w:t>
      </w:r>
      <w:r w:rsidR="005304D9">
        <w:t>.</w:t>
      </w:r>
    </w:p>
    <w:p w14:paraId="1166756D" w14:textId="77777777" w:rsidR="00DB79CE" w:rsidRPr="0031506D" w:rsidRDefault="00DB79CE" w:rsidP="00DB79CE">
      <w:pPr>
        <w:pStyle w:val="HeadingOrange"/>
      </w:pPr>
      <w:r w:rsidRPr="0031506D">
        <w:t>Coogee decommissioning</w:t>
      </w:r>
    </w:p>
    <w:p w14:paraId="22B3953D" w14:textId="2674BC42" w:rsidR="00DB79CE" w:rsidRDefault="00DB79CE" w:rsidP="00DB79CE">
      <w:r w:rsidRPr="0031506D">
        <w:t xml:space="preserve">APA </w:t>
      </w:r>
      <w:r w:rsidR="00DD5D69">
        <w:t xml:space="preserve">has </w:t>
      </w:r>
      <w:r w:rsidR="00DD5D69" w:rsidRPr="0031506D">
        <w:t>propose</w:t>
      </w:r>
      <w:r w:rsidR="00DD5D69">
        <w:t xml:space="preserve">d </w:t>
      </w:r>
      <w:r w:rsidR="00DD5D69" w:rsidRPr="0031506D">
        <w:t>$</w:t>
      </w:r>
      <w:r w:rsidR="00DD5D69">
        <w:t>1.8</w:t>
      </w:r>
      <w:r w:rsidR="00DD5D69" w:rsidRPr="0031506D">
        <w:t xml:space="preserve"> million </w:t>
      </w:r>
      <w:r w:rsidR="00234250">
        <w:t>($2017)</w:t>
      </w:r>
      <w:r w:rsidR="00DD5D69">
        <w:t xml:space="preserve"> to </w:t>
      </w:r>
      <w:r w:rsidRPr="0031506D">
        <w:t>decommission the Laverton North City Gate and pipeline connection to the closed Laverton methanol plant</w:t>
      </w:r>
      <w:r w:rsidR="00F11C16">
        <w:t xml:space="preserve"> (Coogee pipeline)</w:t>
      </w:r>
      <w:r w:rsidRPr="0031506D">
        <w:t>.</w:t>
      </w:r>
      <w:r w:rsidR="000B67AE">
        <w:rPr>
          <w:rStyle w:val="FootnoteReference"/>
        </w:rPr>
        <w:footnoteReference w:id="135"/>
      </w:r>
      <w:r>
        <w:t xml:space="preserve"> </w:t>
      </w:r>
      <w:r w:rsidR="00F954C0">
        <w:t>APA initially scheduled the decommissioning of the pipeline in 2018 and subsequently revised it to 2021.</w:t>
      </w:r>
      <w:r w:rsidR="00F954C0">
        <w:rPr>
          <w:rStyle w:val="FootnoteReference"/>
        </w:rPr>
        <w:footnoteReference w:id="136"/>
      </w:r>
    </w:p>
    <w:p w14:paraId="45F7D5C1" w14:textId="6A61011E" w:rsidR="009C5B30" w:rsidRDefault="00DD5D69" w:rsidP="00DA6905">
      <w:r>
        <w:t>T</w:t>
      </w:r>
      <w:r w:rsidR="00DB79CE" w:rsidRPr="00E06910">
        <w:t>he</w:t>
      </w:r>
      <w:r w:rsidR="009515FC">
        <w:t xml:space="preserve">re is </w:t>
      </w:r>
      <w:r w:rsidR="00F11C16">
        <w:t>much</w:t>
      </w:r>
      <w:r w:rsidR="009515FC">
        <w:t xml:space="preserve"> uncertainty about whether </w:t>
      </w:r>
      <w:r w:rsidR="000B67AE">
        <w:t xml:space="preserve">the </w:t>
      </w:r>
      <w:r w:rsidR="000B67AE" w:rsidRPr="0031506D">
        <w:t>Laverton methanol plant</w:t>
      </w:r>
      <w:r w:rsidR="000B67AE">
        <w:t xml:space="preserve"> may restart production</w:t>
      </w:r>
      <w:r w:rsidR="00CA7BCA">
        <w:t xml:space="preserve">. </w:t>
      </w:r>
      <w:r w:rsidR="00DA6905">
        <w:t>APA</w:t>
      </w:r>
      <w:r w:rsidR="00DA6905" w:rsidRPr="00E06910">
        <w:t xml:space="preserve"> </w:t>
      </w:r>
      <w:r w:rsidR="00F954C0">
        <w:t>has noted</w:t>
      </w:r>
      <w:r w:rsidR="00DA6905" w:rsidRPr="00E06910">
        <w:t xml:space="preserve"> that although the methanol plant has </w:t>
      </w:r>
      <w:r w:rsidR="00F954C0">
        <w:t>is not</w:t>
      </w:r>
      <w:r w:rsidR="00DA6905" w:rsidRPr="00E06910">
        <w:t xml:space="preserve"> </w:t>
      </w:r>
      <w:r w:rsidR="00F954C0">
        <w:t xml:space="preserve">currently </w:t>
      </w:r>
      <w:r w:rsidR="00DA6905" w:rsidRPr="00E06910">
        <w:t>operatin</w:t>
      </w:r>
      <w:r w:rsidR="00F954C0">
        <w:t>g</w:t>
      </w:r>
      <w:r w:rsidR="00DA6905" w:rsidRPr="00E06910">
        <w:t xml:space="preserve">, </w:t>
      </w:r>
      <w:r w:rsidR="00DA6905" w:rsidRPr="00E06910">
        <w:rPr>
          <w:rStyle w:val="AERtextitalic"/>
        </w:rPr>
        <w:t xml:space="preserve">... the Metering Services Variation Agreement between the client and APA is being negotiated … </w:t>
      </w:r>
      <w:r w:rsidR="00DA6905" w:rsidRPr="00E06910">
        <w:rPr>
          <w:rStyle w:val="AERbody"/>
        </w:rPr>
        <w:t>with</w:t>
      </w:r>
      <w:r w:rsidR="00DA6905" w:rsidRPr="00E06910">
        <w:rPr>
          <w:rStyle w:val="AERtextitalic"/>
        </w:rPr>
        <w:t xml:space="preserve"> … a likely outcome is to maintain the pipeline for a maximum period of five years (2021) which will allow the owners of the plant to find a long term solution.</w:t>
      </w:r>
      <w:r w:rsidR="00DA6905">
        <w:rPr>
          <w:rStyle w:val="FootnoteReference"/>
          <w:i/>
        </w:rPr>
        <w:footnoteReference w:id="137"/>
      </w:r>
      <w:r w:rsidR="00DA6905">
        <w:rPr>
          <w:rStyle w:val="AERtextitalic"/>
        </w:rPr>
        <w:t xml:space="preserve"> </w:t>
      </w:r>
      <w:r w:rsidR="00DA6905">
        <w:t>G</w:t>
      </w:r>
      <w:r w:rsidR="00DA6905" w:rsidRPr="00E06910">
        <w:t xml:space="preserve">iven </w:t>
      </w:r>
      <w:r w:rsidR="00F11C16">
        <w:t>this</w:t>
      </w:r>
      <w:r w:rsidR="00DA6905">
        <w:t xml:space="preserve">, scheduling </w:t>
      </w:r>
      <w:r w:rsidR="00DA6905" w:rsidRPr="00E06910">
        <w:t>the decommission</w:t>
      </w:r>
      <w:r w:rsidR="00DA6905">
        <w:t>ing of the</w:t>
      </w:r>
      <w:r w:rsidR="00DA6905" w:rsidRPr="00E06910">
        <w:t xml:space="preserve"> Coogee pipeline </w:t>
      </w:r>
      <w:r w:rsidR="00DA6905">
        <w:t xml:space="preserve">in </w:t>
      </w:r>
      <w:r w:rsidR="00F954C0">
        <w:t xml:space="preserve">the </w:t>
      </w:r>
      <w:r w:rsidR="00DA6905">
        <w:t>2018</w:t>
      </w:r>
      <w:r w:rsidR="00F954C0">
        <w:t>-2022 a</w:t>
      </w:r>
      <w:r w:rsidR="00F11C16">
        <w:t>c</w:t>
      </w:r>
      <w:r w:rsidR="00F954C0">
        <w:t>cess arrangement</w:t>
      </w:r>
      <w:r w:rsidR="00DA6905">
        <w:t xml:space="preserve"> appears premature</w:t>
      </w:r>
      <w:r w:rsidR="00DA6905" w:rsidRPr="00E06910">
        <w:t>.</w:t>
      </w:r>
      <w:r w:rsidR="009C5B30">
        <w:t xml:space="preserve"> </w:t>
      </w:r>
    </w:p>
    <w:p w14:paraId="62142E1F" w14:textId="368075B6" w:rsidR="00DA6905" w:rsidRDefault="00F954C0" w:rsidP="00DA6905">
      <w:r>
        <w:t>W</w:t>
      </w:r>
      <w:r w:rsidR="009C5B30">
        <w:t xml:space="preserve">e are not satisfied that </w:t>
      </w:r>
      <w:r>
        <w:t xml:space="preserve">the </w:t>
      </w:r>
      <w:r w:rsidR="009C5B30">
        <w:t>schedu</w:t>
      </w:r>
      <w:r>
        <w:t>led</w:t>
      </w:r>
      <w:r w:rsidR="009C5B30">
        <w:t xml:space="preserve"> decommissioning of the pipeline</w:t>
      </w:r>
      <w:r>
        <w:t>,</w:t>
      </w:r>
      <w:r w:rsidR="009C5B30">
        <w:t xml:space="preserve"> before a decision of the future of the methanol plant is know</w:t>
      </w:r>
      <w:r w:rsidR="009D2A27">
        <w:t>n</w:t>
      </w:r>
      <w:r>
        <w:t>,</w:t>
      </w:r>
      <w:r w:rsidR="009C5B30">
        <w:t xml:space="preserve"> is prudent </w:t>
      </w:r>
      <w:r>
        <w:t>or accords with good industry practice.</w:t>
      </w:r>
      <w:r>
        <w:rPr>
          <w:rStyle w:val="FootnoteReference"/>
        </w:rPr>
        <w:footnoteReference w:id="138"/>
      </w:r>
    </w:p>
    <w:p w14:paraId="727DCB1D" w14:textId="0104B051" w:rsidR="00DB79CE" w:rsidRDefault="00095268" w:rsidP="00DB79CE">
      <w:r>
        <w:t>Based on</w:t>
      </w:r>
      <w:r w:rsidR="00ED0144">
        <w:t xml:space="preserve"> this consideration</w:t>
      </w:r>
      <w:r>
        <w:t>, o</w:t>
      </w:r>
      <w:r w:rsidR="00DB79CE">
        <w:t xml:space="preserve">ur position in this draft decision is </w:t>
      </w:r>
      <w:r w:rsidR="000B67AE">
        <w:t xml:space="preserve">that the proposed </w:t>
      </w:r>
      <w:r w:rsidR="00DB79CE">
        <w:t>$1.</w:t>
      </w:r>
      <w:r w:rsidR="000B67AE">
        <w:t>8</w:t>
      </w:r>
      <w:r w:rsidR="00DB79CE">
        <w:t xml:space="preserve"> million </w:t>
      </w:r>
      <w:r w:rsidR="000B67AE">
        <w:t xml:space="preserve">to </w:t>
      </w:r>
      <w:r w:rsidR="00DB79CE" w:rsidRPr="0031506D">
        <w:t xml:space="preserve">decommission the Laverton North City Gate and </w:t>
      </w:r>
      <w:r w:rsidR="00DB79CE">
        <w:t xml:space="preserve">Coogee </w:t>
      </w:r>
      <w:r w:rsidR="00DB79CE" w:rsidRPr="0031506D">
        <w:t>pipeline</w:t>
      </w:r>
      <w:r w:rsidR="00DB79CE">
        <w:t xml:space="preserve"> </w:t>
      </w:r>
      <w:r w:rsidR="000B67AE">
        <w:t>is not conforming capex</w:t>
      </w:r>
      <w:r w:rsidR="00DB79CE">
        <w:t>.</w:t>
      </w:r>
      <w:r w:rsidR="00DB79CE" w:rsidRPr="00335F6C">
        <w:t xml:space="preserve"> </w:t>
      </w:r>
    </w:p>
    <w:p w14:paraId="158AE6E3" w14:textId="77777777" w:rsidR="00DB79CE" w:rsidRDefault="00DB79CE" w:rsidP="00DB79CE">
      <w:pPr>
        <w:pStyle w:val="Heading4"/>
      </w:pPr>
      <w:r>
        <w:t>Non-system Capex</w:t>
      </w:r>
    </w:p>
    <w:p w14:paraId="429D0906" w14:textId="5B3ACA6B" w:rsidR="00C714AF" w:rsidRDefault="00CA7544" w:rsidP="00CA7544">
      <w:r w:rsidRPr="0094154A">
        <w:t xml:space="preserve">Non-system capex relates to </w:t>
      </w:r>
      <w:r w:rsidR="00E2117E">
        <w:t xml:space="preserve">replacing or refurbishing </w:t>
      </w:r>
      <w:r w:rsidRPr="0094154A">
        <w:t xml:space="preserve">non-system assets such as </w:t>
      </w:r>
      <w:r>
        <w:t xml:space="preserve">business and technology, buildings and physical security. </w:t>
      </w:r>
    </w:p>
    <w:p w14:paraId="4ABAF95A" w14:textId="2CD75F97" w:rsidR="00C714AF" w:rsidRPr="00157EA7" w:rsidRDefault="00CA7544" w:rsidP="006B5C41">
      <w:r w:rsidRPr="00363EBD">
        <w:t xml:space="preserve">APA </w:t>
      </w:r>
      <w:r w:rsidR="00C714AF" w:rsidRPr="00157EA7">
        <w:t xml:space="preserve">has </w:t>
      </w:r>
      <w:r w:rsidR="00C714AF">
        <w:t xml:space="preserve">proposed </w:t>
      </w:r>
      <w:r w:rsidRPr="00363EBD">
        <w:t xml:space="preserve">non-system capex of </w:t>
      </w:r>
      <w:r w:rsidRPr="001A579C">
        <w:t>$1</w:t>
      </w:r>
      <w:r w:rsidR="00DC0529">
        <w:t>6.9</w:t>
      </w:r>
      <w:r w:rsidRPr="001A579C">
        <w:t xml:space="preserve"> million ($2017). This is $5.</w:t>
      </w:r>
      <w:r w:rsidR="00DC0529">
        <w:t>7</w:t>
      </w:r>
      <w:r w:rsidRPr="001A579C">
        <w:t xml:space="preserve"> million </w:t>
      </w:r>
      <w:r w:rsidR="00017BCE">
        <w:t xml:space="preserve">less than what APA actually incurred in the </w:t>
      </w:r>
      <w:r>
        <w:t>2013–17</w:t>
      </w:r>
      <w:r w:rsidRPr="0094154A">
        <w:t xml:space="preserve"> </w:t>
      </w:r>
      <w:r w:rsidR="008D378F" w:rsidRPr="008D378F">
        <w:t>access arrangement</w:t>
      </w:r>
      <w:r w:rsidRPr="0094154A">
        <w:t xml:space="preserve"> period.</w:t>
      </w:r>
      <w:r w:rsidR="00017BCE">
        <w:t xml:space="preserve"> </w:t>
      </w:r>
      <w:r w:rsidR="002077C4" w:rsidRPr="0094154A">
        <w:t>The main categories of non-system capex—</w:t>
      </w:r>
      <w:r w:rsidR="002077C4">
        <w:t xml:space="preserve"> business and technology, buildings and security </w:t>
      </w:r>
      <w:r w:rsidR="002077C4" w:rsidRPr="0094154A">
        <w:t>—are discussed below.</w:t>
      </w:r>
      <w:r w:rsidR="002077C4">
        <w:rPr>
          <w:rStyle w:val="FootnoteReference"/>
        </w:rPr>
        <w:footnoteReference w:id="139"/>
      </w:r>
      <w:r w:rsidR="002077C4">
        <w:t xml:space="preserve"> </w:t>
      </w:r>
      <w:r w:rsidR="00017BCE">
        <w:t>O</w:t>
      </w:r>
      <w:r w:rsidR="00C714AF">
        <w:t xml:space="preserve">ur position in this draft decision is that </w:t>
      </w:r>
      <w:r w:rsidR="002077C4">
        <w:t xml:space="preserve">the </w:t>
      </w:r>
      <w:r w:rsidR="002077C4" w:rsidRPr="001A579C">
        <w:t>$1</w:t>
      </w:r>
      <w:r w:rsidR="00DC0529">
        <w:t xml:space="preserve">6.9 </w:t>
      </w:r>
      <w:r w:rsidR="002077C4" w:rsidRPr="001A579C">
        <w:t>million ($2017)</w:t>
      </w:r>
      <w:r w:rsidR="00C714AF">
        <w:rPr>
          <w:rStyle w:val="AERbody"/>
        </w:rPr>
        <w:t xml:space="preserve"> </w:t>
      </w:r>
      <w:r w:rsidR="00C714AF">
        <w:t>is conforming capex</w:t>
      </w:r>
      <w:r w:rsidR="002077C4">
        <w:t xml:space="preserve"> for the </w:t>
      </w:r>
      <w:r w:rsidR="00CA7BCA">
        <w:t xml:space="preserve">following </w:t>
      </w:r>
      <w:r w:rsidR="002077C4">
        <w:t>reasons</w:t>
      </w:r>
      <w:r w:rsidR="00C714AF">
        <w:t>.</w:t>
      </w:r>
    </w:p>
    <w:p w14:paraId="6CC91293" w14:textId="20941BAF" w:rsidR="00CA7544" w:rsidRDefault="00CA7544" w:rsidP="00D24DD7">
      <w:pPr>
        <w:pStyle w:val="HeadingOrange"/>
        <w:keepNext/>
      </w:pPr>
      <w:r>
        <w:t>Business and Technology projects</w:t>
      </w:r>
    </w:p>
    <w:p w14:paraId="2C7D1438" w14:textId="52ED6121" w:rsidR="00CA7BCA" w:rsidRDefault="00CA7BCA" w:rsidP="00D24DD7">
      <w:pPr>
        <w:keepNext/>
      </w:pPr>
      <w:r w:rsidRPr="002D3C35">
        <w:t>AP</w:t>
      </w:r>
      <w:r>
        <w:t>A</w:t>
      </w:r>
      <w:r w:rsidRPr="002D3C35">
        <w:t xml:space="preserve"> </w:t>
      </w:r>
      <w:r>
        <w:t xml:space="preserve">has </w:t>
      </w:r>
      <w:r w:rsidRPr="002D3C35">
        <w:t xml:space="preserve">proposed </w:t>
      </w:r>
      <w:r>
        <w:t>$7.</w:t>
      </w:r>
      <w:r w:rsidR="00DC0529">
        <w:t>3</w:t>
      </w:r>
      <w:r>
        <w:t xml:space="preserve"> million ($2017) for IT capex</w:t>
      </w:r>
      <w:r w:rsidRPr="002D3C35">
        <w:t>.</w:t>
      </w:r>
      <w:r>
        <w:rPr>
          <w:rStyle w:val="FootnoteReference"/>
        </w:rPr>
        <w:footnoteReference w:id="140"/>
      </w:r>
      <w:r w:rsidRPr="002D3C35">
        <w:t xml:space="preserve"> This </w:t>
      </w:r>
      <w:r>
        <w:t xml:space="preserve">includes </w:t>
      </w:r>
      <w:r w:rsidRPr="00AF444D">
        <w:t>application</w:t>
      </w:r>
      <w:r>
        <w:t>s renewal, eForm digitisation, infrastructure renewal, business i</w:t>
      </w:r>
      <w:r w:rsidRPr="00AF444D">
        <w:t>ntelligence</w:t>
      </w:r>
      <w:r>
        <w:t xml:space="preserve"> - t</w:t>
      </w:r>
      <w:r w:rsidRPr="00AF444D">
        <w:t xml:space="preserve">ransmission </w:t>
      </w:r>
      <w:r>
        <w:t>d</w:t>
      </w:r>
      <w:r w:rsidRPr="00AF444D">
        <w:t xml:space="preserve">ashboard and </w:t>
      </w:r>
      <w:r>
        <w:t>e</w:t>
      </w:r>
      <w:r w:rsidRPr="00AF444D">
        <w:t xml:space="preserve">nterprise </w:t>
      </w:r>
      <w:r>
        <w:t>pilot and PPM r</w:t>
      </w:r>
      <w:r w:rsidRPr="00AF444D">
        <w:t>efresh.</w:t>
      </w:r>
      <w:r w:rsidRPr="00AF444D">
        <w:rPr>
          <w:rStyle w:val="FootnoteReference"/>
        </w:rPr>
        <w:footnoteReference w:id="141"/>
      </w:r>
      <w:r>
        <w:t xml:space="preserve"> Notably, the applications renewal project is estimated to cost $4 million and is a national project, part of which was approved for the Amadeus Gas Pipeline.</w:t>
      </w:r>
      <w:r>
        <w:rPr>
          <w:rStyle w:val="FootnoteReference"/>
        </w:rPr>
        <w:footnoteReference w:id="142"/>
      </w:r>
      <w:r>
        <w:t xml:space="preserve"> The estimated cost of t</w:t>
      </w:r>
      <w:r w:rsidRPr="00984D01">
        <w:t xml:space="preserve">he infrastructure upgrade project </w:t>
      </w:r>
      <w:r>
        <w:t>is $482,000.</w:t>
      </w:r>
      <w:r>
        <w:rPr>
          <w:rStyle w:val="FootnoteReference"/>
        </w:rPr>
        <w:footnoteReference w:id="143"/>
      </w:r>
      <w:r>
        <w:t xml:space="preserve"> Both APA’s infrastructure and telephony infrastructure will be due for replacement during the 2018-22 access arrangement period.</w:t>
      </w:r>
      <w:r>
        <w:rPr>
          <w:rStyle w:val="FootnoteReference"/>
        </w:rPr>
        <w:footnoteReference w:id="144"/>
      </w:r>
      <w:r>
        <w:t xml:space="preserve"> </w:t>
      </w:r>
    </w:p>
    <w:p w14:paraId="557D85C7" w14:textId="77777777" w:rsidR="00CA7BCA" w:rsidRPr="00CA7544" w:rsidRDefault="00CA7BCA" w:rsidP="00CA7BCA">
      <w:r w:rsidRPr="00CA7544">
        <w:t xml:space="preserve">APA </w:t>
      </w:r>
      <w:r>
        <w:t>uses</w:t>
      </w:r>
      <w:r w:rsidRPr="00CA7544">
        <w:t xml:space="preserve"> an industry standard project methodology to develop its project plans</w:t>
      </w:r>
      <w:r>
        <w:t xml:space="preserve"> that derives </w:t>
      </w:r>
      <w:r w:rsidRPr="001D7105">
        <w:t>resource costs estimates</w:t>
      </w:r>
      <w:r w:rsidRPr="00175007">
        <w:t xml:space="preserve"> </w:t>
      </w:r>
      <w:r w:rsidRPr="001D7105">
        <w:t>from historical figures</w:t>
      </w:r>
      <w:r w:rsidRPr="00CA7544">
        <w:t>.</w:t>
      </w:r>
      <w:r>
        <w:rPr>
          <w:rStyle w:val="FootnoteReference"/>
        </w:rPr>
        <w:footnoteReference w:id="145"/>
      </w:r>
      <w:r w:rsidRPr="00CA7544">
        <w:t xml:space="preserve"> </w:t>
      </w:r>
      <w:r w:rsidRPr="001D7105">
        <w:t>On this basis, we are satis</w:t>
      </w:r>
      <w:r>
        <w:t>fied that APA’s estimate of business and technology capex costs have</w:t>
      </w:r>
      <w:r w:rsidRPr="001D7105">
        <w:t xml:space="preserve"> been arrived at on a reasonable basis.</w:t>
      </w:r>
      <w:r w:rsidRPr="001D7105">
        <w:rPr>
          <w:rStyle w:val="FootnoteReference"/>
        </w:rPr>
        <w:footnoteReference w:id="146"/>
      </w:r>
      <w:r w:rsidRPr="001D7105">
        <w:t xml:space="preserve"> </w:t>
      </w:r>
      <w:r>
        <w:t>APA’s proposal appears to be prudent, in accordance with good industry practice and achieves the lowest sustainable cost of providing services.</w:t>
      </w:r>
      <w:r>
        <w:rPr>
          <w:rStyle w:val="FootnoteReference"/>
        </w:rPr>
        <w:footnoteReference w:id="147"/>
      </w:r>
      <w:r>
        <w:t xml:space="preserve"> It is also justified on the grounds of maintaining and improving the integrity of services.</w:t>
      </w:r>
      <w:r>
        <w:rPr>
          <w:rStyle w:val="FootnoteReference"/>
        </w:rPr>
        <w:footnoteReference w:id="148"/>
      </w:r>
    </w:p>
    <w:p w14:paraId="4B82108A" w14:textId="4FCC49CF" w:rsidR="00CA7BCA" w:rsidRDefault="00CA7BCA" w:rsidP="00CA7BCA">
      <w:r>
        <w:t>Our position in this draft decision is that the proposed $7.</w:t>
      </w:r>
      <w:r w:rsidR="00DC0529">
        <w:t>3</w:t>
      </w:r>
      <w:r>
        <w:t xml:space="preserve"> million ($2017) for IT capex is conforming capex.</w:t>
      </w:r>
    </w:p>
    <w:p w14:paraId="57C15187" w14:textId="77777777" w:rsidR="00CA7BCA" w:rsidRPr="00CA7544" w:rsidRDefault="00CA7BCA" w:rsidP="00CA7BCA">
      <w:pPr>
        <w:pStyle w:val="HeadingOrange"/>
      </w:pPr>
      <w:r w:rsidRPr="00CA7544">
        <w:t xml:space="preserve">Storage Shed- Dandenong, Wollert &amp; Springhurst </w:t>
      </w:r>
    </w:p>
    <w:p w14:paraId="2E618841" w14:textId="6EB0164D" w:rsidR="00CA7BCA" w:rsidRDefault="00CA7BCA" w:rsidP="00CA7BCA">
      <w:r w:rsidRPr="00877D0D">
        <w:t xml:space="preserve">APA </w:t>
      </w:r>
      <w:r>
        <w:t xml:space="preserve">has proposed </w:t>
      </w:r>
      <w:r w:rsidRPr="00877D0D">
        <w:t>$1.</w:t>
      </w:r>
      <w:r w:rsidR="00DC0529">
        <w:t>9</w:t>
      </w:r>
      <w:r w:rsidRPr="00877D0D">
        <w:t xml:space="preserve"> million</w:t>
      </w:r>
      <w:r>
        <w:t xml:space="preserve"> ($2017) to construct additional storage facilities</w:t>
      </w:r>
      <w:r w:rsidRPr="00A77CF8">
        <w:t xml:space="preserve"> </w:t>
      </w:r>
      <w:r>
        <w:t>at Dandenong, Springhurst and Wollert.</w:t>
      </w:r>
      <w:r>
        <w:rPr>
          <w:rStyle w:val="FootnoteReference"/>
        </w:rPr>
        <w:footnoteReference w:id="149"/>
      </w:r>
      <w:r>
        <w:t xml:space="preserve"> APA’s proposal will address the lack of appropriate storage and reduce the risk of damage or theft of its equipment. In our view, APA’s proposal is prudent, in accordance with good industry practice and achieves the lowest sustainable cost of providing services.</w:t>
      </w:r>
      <w:r>
        <w:rPr>
          <w:rStyle w:val="FootnoteReference"/>
        </w:rPr>
        <w:footnoteReference w:id="150"/>
      </w:r>
      <w:r>
        <w:t xml:space="preserve"> It is also justified on the grounds of maintaining and improving the safety and integrity of services.</w:t>
      </w:r>
      <w:r>
        <w:rPr>
          <w:rStyle w:val="FootnoteReference"/>
        </w:rPr>
        <w:footnoteReference w:id="151"/>
      </w:r>
    </w:p>
    <w:p w14:paraId="6EB4E1C7" w14:textId="67415764" w:rsidR="00CA7BCA" w:rsidRDefault="00CA7BCA" w:rsidP="00CA7BCA">
      <w:r>
        <w:t>Our position in this draft decision is that the proposed $1.</w:t>
      </w:r>
      <w:r w:rsidR="00DC0529">
        <w:t>9</w:t>
      </w:r>
      <w:r>
        <w:t xml:space="preserve"> million ($2017) to construct additional storage facilities</w:t>
      </w:r>
      <w:r w:rsidRPr="00A77CF8">
        <w:t xml:space="preserve"> </w:t>
      </w:r>
      <w:r>
        <w:t>is conforming capex.</w:t>
      </w:r>
    </w:p>
    <w:p w14:paraId="2C468A07" w14:textId="77777777" w:rsidR="00CA7BCA" w:rsidRPr="00CA7544" w:rsidRDefault="00CA7BCA" w:rsidP="00D24DD7">
      <w:pPr>
        <w:pStyle w:val="HeadingOrange"/>
        <w:keepNext/>
      </w:pPr>
      <w:r w:rsidRPr="00CA7544">
        <w:t xml:space="preserve">Security-Physical </w:t>
      </w:r>
    </w:p>
    <w:p w14:paraId="2929F640" w14:textId="3876FAE1" w:rsidR="00CA7BCA" w:rsidRDefault="00CA7BCA" w:rsidP="00D24DD7">
      <w:pPr>
        <w:keepNext/>
      </w:pPr>
      <w:r w:rsidRPr="00877D0D">
        <w:t xml:space="preserve">APA </w:t>
      </w:r>
      <w:r>
        <w:t>has proposed $1.</w:t>
      </w:r>
      <w:r w:rsidR="00DC0529">
        <w:t>7</w:t>
      </w:r>
      <w:r w:rsidRPr="00877D0D">
        <w:t xml:space="preserve"> million</w:t>
      </w:r>
      <w:r>
        <w:t xml:space="preserve"> ($2017) to upgrade security in accordance with the </w:t>
      </w:r>
      <w:r w:rsidRPr="006B5C41">
        <w:rPr>
          <w:rStyle w:val="AERtextitalic"/>
        </w:rPr>
        <w:t>Emergency Management Act 2013</w:t>
      </w:r>
      <w:r>
        <w:t xml:space="preserve"> (Vic). APA’s proposal will address a number of safety issues and appears to be prudent, in accordance with good industry practice and achieves the lowest sustainable cost of providing services.</w:t>
      </w:r>
      <w:r>
        <w:rPr>
          <w:rStyle w:val="FootnoteReference"/>
        </w:rPr>
        <w:footnoteReference w:id="152"/>
      </w:r>
      <w:r>
        <w:t xml:space="preserve"> It is also justified on the grounds of maintaining and improving the safety and integrity of services.</w:t>
      </w:r>
      <w:r>
        <w:rPr>
          <w:rStyle w:val="FootnoteReference"/>
        </w:rPr>
        <w:footnoteReference w:id="153"/>
      </w:r>
    </w:p>
    <w:p w14:paraId="49D8C892" w14:textId="150EC7C5" w:rsidR="00CA7BCA" w:rsidRDefault="00CA7BCA" w:rsidP="00CA7BCA">
      <w:r>
        <w:t>Our position in this draft decision is that the proposed $1.</w:t>
      </w:r>
      <w:r w:rsidR="00DC0529">
        <w:t>7</w:t>
      </w:r>
      <w:r>
        <w:t xml:space="preserve"> million ($2017) to upgrade security in accordance with the </w:t>
      </w:r>
      <w:r w:rsidRPr="00751A5C">
        <w:rPr>
          <w:rStyle w:val="AERtextitalic"/>
        </w:rPr>
        <w:t>Emergency Management Act 2013</w:t>
      </w:r>
      <w:r>
        <w:t xml:space="preserve"> (Vic) is conforming capex.</w:t>
      </w:r>
    </w:p>
    <w:p w14:paraId="6E7A20FA" w14:textId="77777777" w:rsidR="00DB79CE" w:rsidRDefault="00DB79CE" w:rsidP="00DB79CE">
      <w:pPr>
        <w:pStyle w:val="Heading2"/>
      </w:pPr>
      <w:bookmarkStart w:id="95" w:name="_Toc486855307"/>
      <w:r>
        <w:t>Revisions</w:t>
      </w:r>
      <w:bookmarkEnd w:id="95"/>
    </w:p>
    <w:p w14:paraId="5E5011EE" w14:textId="77777777" w:rsidR="00DB79CE" w:rsidRDefault="00DB79CE" w:rsidP="00DB79CE">
      <w:r w:rsidRPr="007D31AA">
        <w:t>We require the following revisions to make the access arrangement proposal acceptable:</w:t>
      </w:r>
    </w:p>
    <w:tbl>
      <w:tblPr>
        <w:tblStyle w:val="AERtable-text0"/>
        <w:tblW w:w="0" w:type="auto"/>
        <w:tblLook w:val="04A0" w:firstRow="1" w:lastRow="0" w:firstColumn="1" w:lastColumn="0" w:noHBand="0" w:noVBand="1"/>
      </w:tblPr>
      <w:tblGrid>
        <w:gridCol w:w="1951"/>
        <w:gridCol w:w="6742"/>
      </w:tblGrid>
      <w:tr w:rsidR="00302FEB" w14:paraId="70AB3AE1" w14:textId="77777777" w:rsidTr="00D24DD7">
        <w:trPr>
          <w:cnfStyle w:val="100000000000" w:firstRow="1" w:lastRow="0" w:firstColumn="0" w:lastColumn="0" w:oddVBand="0" w:evenVBand="0" w:oddHBand="0" w:evenHBand="0" w:firstRowFirstColumn="0" w:firstRowLastColumn="0" w:lastRowFirstColumn="0" w:lastRowLastColumn="0"/>
        </w:trPr>
        <w:tc>
          <w:tcPr>
            <w:tcW w:w="1951" w:type="dxa"/>
          </w:tcPr>
          <w:p w14:paraId="04320777" w14:textId="77777777" w:rsidR="00302FEB" w:rsidRDefault="00302FEB" w:rsidP="00DB79CE"/>
        </w:tc>
        <w:tc>
          <w:tcPr>
            <w:tcW w:w="6742" w:type="dxa"/>
          </w:tcPr>
          <w:p w14:paraId="0E551249" w14:textId="77777777" w:rsidR="00302FEB" w:rsidRDefault="00302FEB" w:rsidP="00DB79CE"/>
        </w:tc>
      </w:tr>
      <w:tr w:rsidR="00302FEB" w14:paraId="59E73C88" w14:textId="77777777" w:rsidTr="00D24DD7">
        <w:tc>
          <w:tcPr>
            <w:tcW w:w="1951" w:type="dxa"/>
          </w:tcPr>
          <w:p w14:paraId="73FECB10" w14:textId="3DF981EE" w:rsidR="00302FEB" w:rsidRDefault="00302FEB" w:rsidP="00DB79CE">
            <w:r w:rsidRPr="007D31AA">
              <w:t>Revision 6.1:</w:t>
            </w:r>
          </w:p>
        </w:tc>
        <w:tc>
          <w:tcPr>
            <w:tcW w:w="6742" w:type="dxa"/>
          </w:tcPr>
          <w:p w14:paraId="10C11249" w14:textId="5C4AFE93" w:rsidR="00302FEB" w:rsidRDefault="00302FEB" w:rsidP="00DB79CE">
            <w:r w:rsidRPr="007D31AA">
              <w:t>Make all necessary amendments to reflect our draft decision on conforming capex for 201</w:t>
            </w:r>
            <w:r>
              <w:t>3</w:t>
            </w:r>
            <w:r w:rsidRPr="007D31AA">
              <w:t>–17, as set out in</w:t>
            </w:r>
            <w:r>
              <w:t xml:space="preserve"> </w:t>
            </w:r>
            <w:r>
              <w:fldChar w:fldCharType="begin"/>
            </w:r>
            <w:r>
              <w:instrText xml:space="preserve"> REF _Ref484670013 \h </w:instrText>
            </w:r>
            <w:r>
              <w:fldChar w:fldCharType="separate"/>
            </w:r>
            <w:r w:rsidR="00724747">
              <w:t xml:space="preserve">Table </w:t>
            </w:r>
            <w:r w:rsidR="00724747">
              <w:rPr>
                <w:noProof/>
              </w:rPr>
              <w:t>6</w:t>
            </w:r>
            <w:r w:rsidR="00724747">
              <w:t>.</w:t>
            </w:r>
            <w:r w:rsidR="00724747">
              <w:rPr>
                <w:noProof/>
              </w:rPr>
              <w:t>1</w:t>
            </w:r>
            <w:r>
              <w:fldChar w:fldCharType="end"/>
            </w:r>
            <w:r w:rsidRPr="007D31AA">
              <w:t>.</w:t>
            </w:r>
          </w:p>
        </w:tc>
      </w:tr>
      <w:tr w:rsidR="00302FEB" w14:paraId="10A220EC" w14:textId="77777777" w:rsidTr="00D24DD7">
        <w:trPr>
          <w:cnfStyle w:val="000000010000" w:firstRow="0" w:lastRow="0" w:firstColumn="0" w:lastColumn="0" w:oddVBand="0" w:evenVBand="0" w:oddHBand="0" w:evenHBand="1" w:firstRowFirstColumn="0" w:firstRowLastColumn="0" w:lastRowFirstColumn="0" w:lastRowLastColumn="0"/>
        </w:trPr>
        <w:tc>
          <w:tcPr>
            <w:tcW w:w="1951" w:type="dxa"/>
          </w:tcPr>
          <w:p w14:paraId="170A0839" w14:textId="28A495C2" w:rsidR="00302FEB" w:rsidRDefault="00302FEB" w:rsidP="00DB79CE">
            <w:r w:rsidRPr="007D31AA">
              <w:t>Revision 6.2:</w:t>
            </w:r>
          </w:p>
        </w:tc>
        <w:tc>
          <w:tcPr>
            <w:tcW w:w="6742" w:type="dxa"/>
          </w:tcPr>
          <w:p w14:paraId="76EA2BE0" w14:textId="3B81F16F" w:rsidR="00302FEB" w:rsidRDefault="00302FEB" w:rsidP="00DB79CE">
            <w:r w:rsidRPr="007D31AA">
              <w:t>Make all necessary amendments to reflect our draft decision on conforming capex for 201</w:t>
            </w:r>
            <w:r>
              <w:t>8</w:t>
            </w:r>
            <w:r w:rsidRPr="007D31AA">
              <w:t xml:space="preserve">–22, as set out in </w:t>
            </w:r>
            <w:r>
              <w:fldChar w:fldCharType="begin"/>
            </w:r>
            <w:r>
              <w:instrText xml:space="preserve"> REF _Ref484670043 \h </w:instrText>
            </w:r>
            <w:r>
              <w:fldChar w:fldCharType="separate"/>
            </w:r>
            <w:r w:rsidR="00724747">
              <w:t xml:space="preserve">Table </w:t>
            </w:r>
            <w:r w:rsidR="00724747">
              <w:rPr>
                <w:noProof/>
              </w:rPr>
              <w:t>6</w:t>
            </w:r>
            <w:r w:rsidR="00724747">
              <w:t>.</w:t>
            </w:r>
            <w:r w:rsidR="00724747">
              <w:rPr>
                <w:noProof/>
              </w:rPr>
              <w:t>2</w:t>
            </w:r>
            <w:r>
              <w:fldChar w:fldCharType="end"/>
            </w:r>
            <w:r w:rsidRPr="007D31AA">
              <w:t>.</w:t>
            </w:r>
          </w:p>
        </w:tc>
      </w:tr>
    </w:tbl>
    <w:p w14:paraId="5FD80D5C" w14:textId="08146B9D" w:rsidR="00DB79CE" w:rsidRDefault="00DB79CE" w:rsidP="00D24DD7"/>
    <w:sectPr w:rsidR="00DB79CE"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E5FA5" w15:done="0"/>
  <w15:commentEx w15:paraId="77CAF53A" w15:done="0"/>
  <w15:commentEx w15:paraId="0C283DE6" w15:done="0"/>
  <w15:commentEx w15:paraId="7EDB44E4" w15:done="0"/>
  <w15:commentEx w15:paraId="3CEEE2B4" w15:done="0"/>
  <w15:commentEx w15:paraId="337BE13E" w15:done="0"/>
  <w15:commentEx w15:paraId="327CD6CC" w15:done="0"/>
  <w15:commentEx w15:paraId="7A4930B0" w15:done="0"/>
  <w15:commentEx w15:paraId="64DDD54F" w15:done="0"/>
  <w15:commentEx w15:paraId="02E16B16" w15:done="0"/>
  <w15:commentEx w15:paraId="204444C5" w15:done="0"/>
  <w15:commentEx w15:paraId="10913F2F" w15:done="0"/>
  <w15:commentEx w15:paraId="3A25A3E3" w15:done="0"/>
  <w15:commentEx w15:paraId="79F71CF3" w15:done="0"/>
  <w15:commentEx w15:paraId="09D34DE5" w15:done="0"/>
  <w15:commentEx w15:paraId="7BC07451" w15:done="0"/>
  <w15:commentEx w15:paraId="2D4D1DD4" w15:done="0"/>
  <w15:commentEx w15:paraId="7DDE7383" w15:paraIdParent="2D4D1DD4" w15:done="0"/>
  <w15:commentEx w15:paraId="37ADD802" w15:done="0"/>
  <w15:commentEx w15:paraId="027E1799" w15:done="0"/>
  <w15:commentEx w15:paraId="44D62A96" w15:done="0"/>
  <w15:commentEx w15:paraId="7F20A7E9" w15:done="0"/>
  <w15:commentEx w15:paraId="49D6E849" w15:done="0"/>
  <w15:commentEx w15:paraId="72CFF09F" w15:done="0"/>
  <w15:commentEx w15:paraId="2B5D633D" w15:done="0"/>
  <w15:commentEx w15:paraId="7805CD34" w15:done="0"/>
  <w15:commentEx w15:paraId="5F8FEAC9" w15:done="0"/>
  <w15:commentEx w15:paraId="3E6314F0" w15:done="0"/>
  <w15:commentEx w15:paraId="7C0DA889" w15:done="0"/>
  <w15:commentEx w15:paraId="5AE06A52" w15:done="0"/>
  <w15:commentEx w15:paraId="3A5C0A4B" w15:done="0"/>
  <w15:commentEx w15:paraId="1709C825" w15:done="0"/>
  <w15:commentEx w15:paraId="0A40EB27" w15:done="0"/>
  <w15:commentEx w15:paraId="14417B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95BA7" w14:textId="77777777" w:rsidR="00DF5BF4" w:rsidRPr="00290C63" w:rsidRDefault="00DF5BF4" w:rsidP="00290C63">
      <w:r>
        <w:separator/>
      </w:r>
    </w:p>
    <w:p w14:paraId="14CDECBD" w14:textId="77777777" w:rsidR="00DF5BF4" w:rsidRDefault="00DF5BF4"/>
  </w:endnote>
  <w:endnote w:type="continuationSeparator" w:id="0">
    <w:p w14:paraId="012945FE" w14:textId="77777777" w:rsidR="00DF5BF4" w:rsidRPr="00290C63" w:rsidRDefault="00DF5BF4" w:rsidP="00290C63">
      <w:r>
        <w:continuationSeparator/>
      </w:r>
    </w:p>
    <w:p w14:paraId="276EE1A3" w14:textId="77777777" w:rsidR="00DF5BF4" w:rsidRDefault="00DF5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EE24" w14:textId="77777777" w:rsidR="00DF5BF4" w:rsidRPr="00290C63" w:rsidRDefault="00DF5BF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7745C58C" w14:textId="77777777" w:rsidR="00DF5BF4" w:rsidRDefault="00DF5BF4"/>
  <w:p w14:paraId="4AB89055" w14:textId="77777777" w:rsidR="00DF5BF4" w:rsidRDefault="00DF5BF4"/>
  <w:p w14:paraId="2585EC1D" w14:textId="77777777" w:rsidR="00DF5BF4" w:rsidRDefault="00DF5BF4"/>
  <w:p w14:paraId="1DBFE935" w14:textId="77777777" w:rsidR="00DF5BF4" w:rsidRDefault="00DF5BF4"/>
  <w:p w14:paraId="66625378" w14:textId="77777777" w:rsidR="00DF5BF4" w:rsidRDefault="00DF5BF4"/>
  <w:p w14:paraId="65290BCB" w14:textId="77777777" w:rsidR="00DF5BF4" w:rsidRDefault="00DF5BF4"/>
  <w:p w14:paraId="72B6457B" w14:textId="77777777" w:rsidR="00DF5BF4" w:rsidRDefault="00DF5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14:paraId="3CCA1B7C" w14:textId="77777777" w:rsidR="00DF5BF4" w:rsidRPr="009B6F84" w:rsidRDefault="00DF5BF4">
        <w:pPr>
          <w:pStyle w:val="Footer"/>
          <w:rPr>
            <w:sz w:val="20"/>
          </w:rPr>
        </w:pPr>
        <w:r>
          <w:fldChar w:fldCharType="begin"/>
        </w:r>
        <w:r>
          <w:instrText xml:space="preserve"> PAGE   \* MERGEFORMAT </w:instrText>
        </w:r>
        <w:r>
          <w:fldChar w:fldCharType="separate"/>
        </w:r>
        <w:r w:rsidR="00724747">
          <w:rPr>
            <w:noProof/>
          </w:rPr>
          <w:t>6-0</w:t>
        </w:r>
        <w:r>
          <w:rPr>
            <w:noProof/>
          </w:rPr>
          <w:fldChar w:fldCharType="end"/>
        </w:r>
        <w:r>
          <w:rPr>
            <w:noProof/>
          </w:rPr>
          <w:t xml:space="preserve">          </w:t>
        </w:r>
        <w:r>
          <w:t xml:space="preserve">Attachment 6 </w:t>
        </w:r>
        <w:r w:rsidRPr="000474DF">
          <w:t>−</w:t>
        </w:r>
        <w:r>
          <w:t xml:space="preserve"> Capital expenditure</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14:paraId="308D44B5" w14:textId="77777777" w:rsidR="00DF5BF4" w:rsidRDefault="00DF5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5F29" w14:textId="77777777" w:rsidR="00DF5BF4" w:rsidRPr="00290C63" w:rsidRDefault="00DF5BF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3824B7C" w14:textId="77777777" w:rsidR="00DF5BF4" w:rsidRDefault="00DF5BF4">
    <w:pPr>
      <w:pStyle w:val="Footer"/>
    </w:pPr>
  </w:p>
  <w:p w14:paraId="6896B899" w14:textId="77777777" w:rsidR="00DF5BF4" w:rsidRDefault="00DF5BF4"/>
  <w:p w14:paraId="7934BCCA" w14:textId="77777777" w:rsidR="00DF5BF4" w:rsidRDefault="00DF5BF4"/>
  <w:p w14:paraId="773B9135" w14:textId="77777777" w:rsidR="00DF5BF4" w:rsidRDefault="00DF5BF4"/>
  <w:p w14:paraId="433E99F6" w14:textId="77777777" w:rsidR="00DF5BF4" w:rsidRDefault="00DF5BF4"/>
  <w:p w14:paraId="53A54802" w14:textId="77777777" w:rsidR="00DF5BF4" w:rsidRDefault="00DF5BF4"/>
  <w:p w14:paraId="06C8662C" w14:textId="77777777" w:rsidR="00DF5BF4" w:rsidRDefault="00DF5BF4"/>
  <w:p w14:paraId="5104599C" w14:textId="77777777" w:rsidR="00DF5BF4" w:rsidRDefault="00DF5B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80C6" w14:textId="77777777" w:rsidR="00DF5BF4" w:rsidRPr="00290C63" w:rsidRDefault="00DF5BF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6515F50F" w14:textId="77777777" w:rsidR="00DF5BF4" w:rsidRDefault="00DF5BF4"/>
  <w:p w14:paraId="16672515" w14:textId="77777777" w:rsidR="00DF5BF4" w:rsidRDefault="00DF5BF4"/>
  <w:p w14:paraId="0E0647EF" w14:textId="77777777" w:rsidR="00DF5BF4" w:rsidRDefault="00DF5BF4"/>
  <w:p w14:paraId="2202633C" w14:textId="77777777" w:rsidR="00DF5BF4" w:rsidRDefault="00DF5BF4"/>
  <w:p w14:paraId="50A5AC3E" w14:textId="77777777" w:rsidR="00DF5BF4" w:rsidRDefault="00DF5BF4"/>
  <w:p w14:paraId="7ECDB03E" w14:textId="77777777" w:rsidR="00DF5BF4" w:rsidRDefault="00DF5BF4"/>
  <w:p w14:paraId="33EF460A" w14:textId="77777777" w:rsidR="00DF5BF4" w:rsidRDefault="00DF5B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14:paraId="39593025" w14:textId="4C9D7DE9" w:rsidR="00DF5BF4" w:rsidRPr="009B6F84" w:rsidRDefault="00DF5BF4">
        <w:pPr>
          <w:pStyle w:val="Footer"/>
          <w:rPr>
            <w:sz w:val="20"/>
          </w:rPr>
        </w:pPr>
        <w:r>
          <w:fldChar w:fldCharType="begin"/>
        </w:r>
        <w:r>
          <w:instrText xml:space="preserve"> PAGE   \* MERGEFORMAT </w:instrText>
        </w:r>
        <w:r>
          <w:fldChar w:fldCharType="separate"/>
        </w:r>
        <w:r w:rsidR="00724747">
          <w:rPr>
            <w:noProof/>
          </w:rPr>
          <w:t>6-3</w:t>
        </w:r>
        <w:r>
          <w:rPr>
            <w:noProof/>
          </w:rPr>
          <w:fldChar w:fldCharType="end"/>
        </w:r>
        <w:r>
          <w:rPr>
            <w:noProof/>
          </w:rPr>
          <w:t xml:space="preserve">       </w:t>
        </w:r>
        <w:r>
          <w:t xml:space="preserve">Attachment 6 </w:t>
        </w:r>
        <w:r w:rsidRPr="000474DF">
          <w:t>−</w:t>
        </w:r>
        <w:r>
          <w:t xml:space="preserve"> Capital expenditure</w:t>
        </w:r>
        <w:r w:rsidRPr="00D5015C">
          <w:t xml:space="preserve"> | </w:t>
        </w:r>
        <w:r>
          <w:t>Draft decision - APA VTS gas access arrangement</w:t>
        </w:r>
        <w:r w:rsidRPr="00D5015C">
          <w:t xml:space="preserve"> 201</w:t>
        </w:r>
        <w:r>
          <w:t>8</w:t>
        </w:r>
        <w:r w:rsidRPr="00D5015C">
          <w:t>–</w:t>
        </w:r>
        <w:r>
          <w:t>22</w:t>
        </w:r>
      </w:p>
    </w:sdtContent>
  </w:sdt>
  <w:p w14:paraId="2D98D3C9" w14:textId="77777777" w:rsidR="00DF5BF4" w:rsidRDefault="00DF5B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E497" w14:textId="77777777" w:rsidR="00DF5BF4" w:rsidRPr="00290C63" w:rsidRDefault="00DF5BF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092B61F4" w14:textId="77777777" w:rsidR="00DF5BF4" w:rsidRDefault="00DF5BF4">
    <w:pPr>
      <w:pStyle w:val="Footer"/>
    </w:pPr>
  </w:p>
  <w:p w14:paraId="60599319" w14:textId="77777777" w:rsidR="00DF5BF4" w:rsidRDefault="00DF5BF4"/>
  <w:p w14:paraId="676D0E88" w14:textId="77777777" w:rsidR="00DF5BF4" w:rsidRDefault="00DF5BF4"/>
  <w:p w14:paraId="5DD35930" w14:textId="77777777" w:rsidR="00DF5BF4" w:rsidRDefault="00DF5BF4"/>
  <w:p w14:paraId="101161DA" w14:textId="77777777" w:rsidR="00DF5BF4" w:rsidRDefault="00DF5BF4"/>
  <w:p w14:paraId="05E3B2C1" w14:textId="77777777" w:rsidR="00DF5BF4" w:rsidRDefault="00DF5BF4"/>
  <w:p w14:paraId="0B4D3F54" w14:textId="77777777" w:rsidR="00DF5BF4" w:rsidRDefault="00DF5BF4"/>
  <w:p w14:paraId="2D83293F" w14:textId="77777777" w:rsidR="00DF5BF4" w:rsidRDefault="00DF5B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3101" w14:textId="77777777" w:rsidR="00DF5BF4" w:rsidRPr="00290C63" w:rsidRDefault="00DF5BF4" w:rsidP="00290C63">
      <w:r>
        <w:separator/>
      </w:r>
    </w:p>
    <w:p w14:paraId="749CA02B" w14:textId="77777777" w:rsidR="00DF5BF4" w:rsidRDefault="00DF5BF4"/>
  </w:footnote>
  <w:footnote w:type="continuationSeparator" w:id="0">
    <w:p w14:paraId="62EE767D" w14:textId="77777777" w:rsidR="00DF5BF4" w:rsidRPr="00290C63" w:rsidRDefault="00DF5BF4" w:rsidP="00290C63">
      <w:r>
        <w:continuationSeparator/>
      </w:r>
    </w:p>
    <w:p w14:paraId="7144739F" w14:textId="77777777" w:rsidR="00DF5BF4" w:rsidRDefault="00DF5BF4"/>
  </w:footnote>
  <w:footnote w:id="1">
    <w:p w14:paraId="0D55E26D" w14:textId="77777777" w:rsidR="00DF5BF4" w:rsidRDefault="00DF5BF4" w:rsidP="00546EAA">
      <w:pPr>
        <w:pStyle w:val="FootnoteText"/>
      </w:pPr>
      <w:r>
        <w:rPr>
          <w:rStyle w:val="FootnoteReference"/>
        </w:rPr>
        <w:footnoteRef/>
      </w:r>
      <w:r>
        <w:t xml:space="preserve"> </w:t>
      </w:r>
      <w:r>
        <w:tab/>
        <w:t>NGR, r. 69.</w:t>
      </w:r>
    </w:p>
  </w:footnote>
  <w:footnote w:id="2">
    <w:p w14:paraId="3793B4CB" w14:textId="4FA1146F" w:rsidR="00DF5BF4" w:rsidRDefault="00DF5BF4">
      <w:pPr>
        <w:pStyle w:val="FootnoteText"/>
      </w:pPr>
      <w:r>
        <w:rPr>
          <w:rStyle w:val="FootnoteReference"/>
        </w:rPr>
        <w:footnoteRef/>
      </w:r>
      <w:r>
        <w:t xml:space="preserve"> </w:t>
      </w:r>
      <w:r>
        <w:tab/>
      </w:r>
      <w:r w:rsidRPr="00166EDB">
        <w:t xml:space="preserve">AEMO, </w:t>
      </w:r>
      <w:r w:rsidRPr="00010518">
        <w:rPr>
          <w:rStyle w:val="AERtextitalic"/>
        </w:rPr>
        <w:t>Victorian Gas Planning Report: Declared Transmission System Planning for Victoria</w:t>
      </w:r>
      <w:r w:rsidRPr="00166EDB">
        <w:t>,</w:t>
      </w:r>
      <w:r>
        <w:t xml:space="preserve"> March 2017</w:t>
      </w:r>
      <w:r w:rsidRPr="00166EDB">
        <w:t>.</w:t>
      </w:r>
    </w:p>
  </w:footnote>
  <w:footnote w:id="3">
    <w:p w14:paraId="1921A859" w14:textId="4F01E7E7" w:rsidR="00DF5BF4" w:rsidRDefault="00DF5BF4">
      <w:pPr>
        <w:pStyle w:val="FootnoteText"/>
      </w:pPr>
      <w:r>
        <w:rPr>
          <w:rStyle w:val="FootnoteReference"/>
        </w:rPr>
        <w:footnoteRef/>
      </w:r>
      <w:r>
        <w:t xml:space="preserve"> </w:t>
      </w:r>
      <w:r>
        <w:tab/>
      </w:r>
      <w:r w:rsidRPr="00166EDB">
        <w:t xml:space="preserve">AEMO, </w:t>
      </w:r>
      <w:r w:rsidRPr="00010518">
        <w:rPr>
          <w:rStyle w:val="AERtextitalic"/>
        </w:rPr>
        <w:t>Gas Statement of Opportunities: For Eastern and South-Eastern Australia</w:t>
      </w:r>
      <w:r w:rsidRPr="00166EDB">
        <w:t>, March 2017</w:t>
      </w:r>
      <w:r>
        <w:t xml:space="preserve">. </w:t>
      </w:r>
    </w:p>
  </w:footnote>
  <w:footnote w:id="4">
    <w:p w14:paraId="4BAA2926" w14:textId="14497341" w:rsidR="00DF5BF4" w:rsidRDefault="00DF5BF4" w:rsidP="00166EDB">
      <w:pPr>
        <w:pStyle w:val="FootnoteText"/>
      </w:pPr>
      <w:r>
        <w:rPr>
          <w:rStyle w:val="FootnoteReference"/>
        </w:rPr>
        <w:footnoteRef/>
      </w:r>
      <w:r>
        <w:t xml:space="preserve"> </w:t>
      </w:r>
      <w:r>
        <w:tab/>
        <w:t xml:space="preserve">AEMO, </w:t>
      </w:r>
      <w:r w:rsidRPr="00010518">
        <w:rPr>
          <w:rStyle w:val="AERtextitalic"/>
        </w:rPr>
        <w:t>Notice of a Threat to System Security – Seeking a Market Response</w:t>
      </w:r>
      <w:r>
        <w:t>, 10 March 2017 &lt;</w:t>
      </w:r>
      <w:r w:rsidRPr="00166EDB">
        <w:t xml:space="preserve"> </w:t>
      </w:r>
      <w:hyperlink r:id="rId1" w:history="1">
        <w:r w:rsidRPr="002A1C86">
          <w:rPr>
            <w:rStyle w:val="Hyperlink"/>
            <w:sz w:val="16"/>
          </w:rPr>
          <w:t>https://www.aemo.com.au/-/media/Files/Gas/DWGM/2017/Threat-to-System-Security-Notice---SWP-to-Port-Campbell-constraint.pdf</w:t>
        </w:r>
      </w:hyperlink>
      <w:r>
        <w:t xml:space="preserve">&gt;, AEMO, </w:t>
      </w:r>
      <w:r w:rsidRPr="00010518">
        <w:rPr>
          <w:rStyle w:val="AERtextitalic"/>
        </w:rPr>
        <w:t>Notice of a Threat to System Security</w:t>
      </w:r>
      <w:r>
        <w:t>, 10 March 2017 &lt;</w:t>
      </w:r>
      <w:r w:rsidRPr="00166EDB">
        <w:t xml:space="preserve"> </w:t>
      </w:r>
      <w:hyperlink r:id="rId2" w:history="1">
        <w:r w:rsidRPr="002A1C86">
          <w:rPr>
            <w:rStyle w:val="Hyperlink"/>
            <w:sz w:val="16"/>
          </w:rPr>
          <w:t>https://www.aemo.com.au/-/media/Files/Gas/DWGM/2017/Threat-to-System-Security-Notice---Warragul.pdf</w:t>
        </w:r>
      </w:hyperlink>
      <w:r>
        <w:t xml:space="preserve">&gt;. </w:t>
      </w:r>
    </w:p>
  </w:footnote>
  <w:footnote w:id="5">
    <w:p w14:paraId="085E8198" w14:textId="25B3EC91" w:rsidR="00DF5BF4" w:rsidRDefault="00DF5BF4" w:rsidP="00973E98">
      <w:pPr>
        <w:pStyle w:val="FootnoteText"/>
      </w:pPr>
      <w:r>
        <w:rPr>
          <w:rStyle w:val="FootnoteReference"/>
        </w:rPr>
        <w:footnoteRef/>
      </w:r>
      <w:r>
        <w:t xml:space="preserve"> </w:t>
      </w:r>
      <w:r>
        <w:tab/>
        <w:t xml:space="preserve">AEMO, </w:t>
      </w:r>
      <w:r w:rsidRPr="000D0864">
        <w:rPr>
          <w:rStyle w:val="AERtextitalic"/>
        </w:rPr>
        <w:t>Victorian Gas Planning Report</w:t>
      </w:r>
      <w:r>
        <w:rPr>
          <w:rStyle w:val="AERtextitalic"/>
        </w:rPr>
        <w:t>:</w:t>
      </w:r>
      <w:r>
        <w:t xml:space="preserve"> </w:t>
      </w:r>
      <w:r w:rsidRPr="000D0864">
        <w:rPr>
          <w:rStyle w:val="AERtextitalic"/>
        </w:rPr>
        <w:t>Declared Transmission System Planning for Victoria</w:t>
      </w:r>
      <w:r>
        <w:rPr>
          <w:rStyle w:val="AERtextitalic"/>
        </w:rPr>
        <w:t>,</w:t>
      </w:r>
      <w:r>
        <w:t xml:space="preserve"> March 2017, p. 55, </w:t>
      </w:r>
      <w:r w:rsidRPr="00166EDB">
        <w:t xml:space="preserve">AEMO, </w:t>
      </w:r>
      <w:r w:rsidRPr="00010518">
        <w:rPr>
          <w:rStyle w:val="AERtextitalic"/>
        </w:rPr>
        <w:t>Gas Statement of Opportunities: For Eastern and South-Eastern Australia</w:t>
      </w:r>
      <w:r w:rsidRPr="00166EDB">
        <w:t>, March 2017</w:t>
      </w:r>
      <w:r>
        <w:t>.</w:t>
      </w:r>
    </w:p>
  </w:footnote>
  <w:footnote w:id="6">
    <w:p w14:paraId="438212D5" w14:textId="77777777" w:rsidR="00DF5BF4" w:rsidRDefault="00DF5BF4" w:rsidP="00546EAA">
      <w:pPr>
        <w:pStyle w:val="FootnoteText"/>
      </w:pPr>
      <w:r>
        <w:rPr>
          <w:rStyle w:val="FootnoteReference"/>
        </w:rPr>
        <w:footnoteRef/>
      </w:r>
      <w:r>
        <w:t xml:space="preserve"> </w:t>
      </w:r>
      <w:r>
        <w:tab/>
        <w:t>NGR, r.</w:t>
      </w:r>
      <w:r w:rsidRPr="00514B4E">
        <w:t xml:space="preserve"> 79(1)</w:t>
      </w:r>
      <w:r>
        <w:t>.</w:t>
      </w:r>
    </w:p>
  </w:footnote>
  <w:footnote w:id="7">
    <w:p w14:paraId="70194553" w14:textId="77777777" w:rsidR="00DF5BF4" w:rsidRDefault="00DF5BF4" w:rsidP="00546EAA">
      <w:pPr>
        <w:pStyle w:val="FootnoteText"/>
      </w:pPr>
      <w:r>
        <w:rPr>
          <w:rStyle w:val="FootnoteReference"/>
        </w:rPr>
        <w:footnoteRef/>
      </w:r>
      <w:r>
        <w:t xml:space="preserve"> </w:t>
      </w:r>
      <w:r>
        <w:tab/>
        <w:t>NGR, r. 79(1).</w:t>
      </w:r>
    </w:p>
  </w:footnote>
  <w:footnote w:id="8">
    <w:p w14:paraId="502E8ACF" w14:textId="47805490" w:rsidR="00DF5BF4" w:rsidRDefault="00DF5BF4">
      <w:pPr>
        <w:pStyle w:val="FootnoteText"/>
      </w:pPr>
      <w:r>
        <w:rPr>
          <w:rStyle w:val="FootnoteReference"/>
        </w:rPr>
        <w:footnoteRef/>
      </w:r>
      <w:r>
        <w:t xml:space="preserve"> </w:t>
      </w:r>
      <w:r>
        <w:tab/>
      </w:r>
      <w:r w:rsidRPr="00C75939">
        <w:t xml:space="preserve">APA, </w:t>
      </w:r>
      <w:r w:rsidRPr="000D0864">
        <w:rPr>
          <w:rStyle w:val="AERtextitalic"/>
        </w:rPr>
        <w:t>APA VTS Access Arrangement Revision Proposal Submission 2018-2022</w:t>
      </w:r>
      <w:r>
        <w:t xml:space="preserve">, 3 January 2017 </w:t>
      </w:r>
      <w:r w:rsidRPr="00C75939">
        <w:t xml:space="preserve">(APA Access Arrangement Revision Proposal Submission). </w:t>
      </w:r>
    </w:p>
  </w:footnote>
  <w:footnote w:id="9">
    <w:p w14:paraId="7B8F2073" w14:textId="29B5EC03" w:rsidR="00DF5BF4" w:rsidRDefault="00DF5BF4">
      <w:pPr>
        <w:pStyle w:val="FootnoteText"/>
      </w:pPr>
      <w:r>
        <w:rPr>
          <w:rStyle w:val="FootnoteReference"/>
        </w:rPr>
        <w:footnoteRef/>
      </w:r>
      <w:r>
        <w:t xml:space="preserve"> </w:t>
      </w:r>
      <w:r>
        <w:tab/>
      </w:r>
      <w:r w:rsidRPr="00C75939">
        <w:t xml:space="preserve">APA, </w:t>
      </w:r>
      <w:r w:rsidRPr="000D0864">
        <w:rPr>
          <w:rStyle w:val="AERtextitalic"/>
        </w:rPr>
        <w:t>APA VTS Supplementary Access Arrangement Submission revised for Western Outer Ring Main (WORM)</w:t>
      </w:r>
      <w:r w:rsidRPr="00C75939">
        <w:t>, 15 May 2017, p. 2</w:t>
      </w:r>
      <w:r>
        <w:t>9</w:t>
      </w:r>
      <w:r w:rsidRPr="00C75939">
        <w:t xml:space="preserve"> (APA Revised Access Arrangement Submission (WORM)). </w:t>
      </w:r>
    </w:p>
  </w:footnote>
  <w:footnote w:id="10">
    <w:p w14:paraId="14857A17" w14:textId="77777777" w:rsidR="00DF5BF4" w:rsidRDefault="00DF5BF4" w:rsidP="00546EAA">
      <w:pPr>
        <w:pStyle w:val="FootnoteText"/>
      </w:pPr>
      <w:r>
        <w:rPr>
          <w:rStyle w:val="FootnoteReference"/>
        </w:rPr>
        <w:footnoteRef/>
      </w:r>
      <w:r>
        <w:t xml:space="preserve"> </w:t>
      </w:r>
      <w:r>
        <w:tab/>
        <w:t>NGR, r. 77(2)(b).</w:t>
      </w:r>
    </w:p>
  </w:footnote>
  <w:footnote w:id="11">
    <w:p w14:paraId="5FA97E6C" w14:textId="77777777" w:rsidR="00DF5BF4" w:rsidRDefault="00DF5BF4" w:rsidP="00546EAA">
      <w:pPr>
        <w:pStyle w:val="FootnoteText"/>
      </w:pPr>
      <w:r>
        <w:rPr>
          <w:rStyle w:val="FootnoteReference"/>
        </w:rPr>
        <w:footnoteRef/>
      </w:r>
      <w:r>
        <w:t xml:space="preserve"> </w:t>
      </w:r>
      <w:r>
        <w:tab/>
        <w:t>NGR, r. </w:t>
      </w:r>
      <w:r w:rsidRPr="007442F9">
        <w:t>79</w:t>
      </w:r>
      <w:r>
        <w:t>.</w:t>
      </w:r>
    </w:p>
  </w:footnote>
  <w:footnote w:id="12">
    <w:p w14:paraId="0463ECAD" w14:textId="77777777" w:rsidR="00DF5BF4" w:rsidRDefault="00DF5BF4" w:rsidP="00546EAA">
      <w:pPr>
        <w:pStyle w:val="FootnoteText"/>
      </w:pPr>
      <w:r>
        <w:rPr>
          <w:rStyle w:val="FootnoteReference"/>
        </w:rPr>
        <w:footnoteRef/>
      </w:r>
      <w:r>
        <w:t xml:space="preserve"> </w:t>
      </w:r>
      <w:r>
        <w:tab/>
        <w:t>NGR, r. 79(6).</w:t>
      </w:r>
    </w:p>
  </w:footnote>
  <w:footnote w:id="13">
    <w:p w14:paraId="087B4A7F" w14:textId="77777777" w:rsidR="00DF5BF4" w:rsidRDefault="00DF5BF4" w:rsidP="00546EAA">
      <w:pPr>
        <w:pStyle w:val="FootnoteText"/>
      </w:pPr>
      <w:r>
        <w:rPr>
          <w:rStyle w:val="FootnoteReference"/>
        </w:rPr>
        <w:footnoteRef/>
      </w:r>
      <w:r>
        <w:t xml:space="preserve"> </w:t>
      </w:r>
      <w:r>
        <w:tab/>
        <w:t>NGR, r. 40(2).</w:t>
      </w:r>
    </w:p>
  </w:footnote>
  <w:footnote w:id="14">
    <w:p w14:paraId="7CE58C9A" w14:textId="77777777" w:rsidR="00DF5BF4" w:rsidRDefault="00DF5BF4" w:rsidP="00546EAA">
      <w:pPr>
        <w:pStyle w:val="FootnoteText"/>
      </w:pPr>
      <w:r>
        <w:rPr>
          <w:rStyle w:val="FootnoteReference"/>
        </w:rPr>
        <w:footnoteRef/>
      </w:r>
      <w:r>
        <w:t xml:space="preserve"> </w:t>
      </w:r>
      <w:r>
        <w:tab/>
        <w:t>NGR, r. </w:t>
      </w:r>
      <w:r w:rsidRPr="00F20FB7">
        <w:t>77(2)(b)</w:t>
      </w:r>
      <w:r>
        <w:t>.</w:t>
      </w:r>
    </w:p>
  </w:footnote>
  <w:footnote w:id="15">
    <w:p w14:paraId="4C2D510A" w14:textId="77777777" w:rsidR="00DF5BF4" w:rsidRDefault="00DF5BF4" w:rsidP="00546EAA">
      <w:pPr>
        <w:pStyle w:val="FootnoteText"/>
      </w:pPr>
      <w:r>
        <w:rPr>
          <w:rStyle w:val="FootnoteReference"/>
        </w:rPr>
        <w:footnoteRef/>
      </w:r>
      <w:r>
        <w:t xml:space="preserve"> </w:t>
      </w:r>
      <w:r>
        <w:tab/>
        <w:t>NGR, rr. 77(2)(b), 79.</w:t>
      </w:r>
    </w:p>
  </w:footnote>
  <w:footnote w:id="16">
    <w:p w14:paraId="018AB983" w14:textId="77777777" w:rsidR="00DF5BF4" w:rsidRDefault="00DF5BF4" w:rsidP="00546EAA">
      <w:pPr>
        <w:pStyle w:val="FootnoteText"/>
      </w:pPr>
      <w:r>
        <w:rPr>
          <w:rStyle w:val="FootnoteReference"/>
        </w:rPr>
        <w:footnoteRef/>
      </w:r>
      <w:r>
        <w:t xml:space="preserve"> </w:t>
      </w:r>
      <w:r>
        <w:tab/>
        <w:t>NGR, r. 77(2)(b).</w:t>
      </w:r>
    </w:p>
  </w:footnote>
  <w:footnote w:id="17">
    <w:p w14:paraId="41FB9801" w14:textId="77777777" w:rsidR="00DF5BF4" w:rsidRDefault="00DF5BF4" w:rsidP="00546EAA">
      <w:pPr>
        <w:pStyle w:val="FootnoteText"/>
      </w:pPr>
      <w:r>
        <w:rPr>
          <w:rStyle w:val="FootnoteReference"/>
        </w:rPr>
        <w:footnoteRef/>
      </w:r>
      <w:r>
        <w:t xml:space="preserve"> </w:t>
      </w:r>
      <w:r>
        <w:tab/>
        <w:t>NGR, rr. 77(2)(a), 79.</w:t>
      </w:r>
    </w:p>
  </w:footnote>
  <w:footnote w:id="18">
    <w:p w14:paraId="6C0327CB" w14:textId="1456591F" w:rsidR="00DF5BF4" w:rsidRDefault="00DF5BF4" w:rsidP="00546EAA">
      <w:pPr>
        <w:pStyle w:val="FootnoteText"/>
      </w:pPr>
      <w:r>
        <w:rPr>
          <w:rStyle w:val="FootnoteReference"/>
        </w:rPr>
        <w:footnoteRef/>
      </w:r>
      <w:r>
        <w:t xml:space="preserve"> </w:t>
      </w:r>
      <w:r>
        <w:tab/>
        <w:t xml:space="preserve">NGR, </w:t>
      </w:r>
      <w:r w:rsidRPr="008E20C7">
        <w:t>r</w:t>
      </w:r>
      <w:r>
        <w:t>. </w:t>
      </w:r>
      <w:r w:rsidRPr="008E20C7">
        <w:t>79(1)</w:t>
      </w:r>
      <w:r>
        <w:t>.</w:t>
      </w:r>
    </w:p>
  </w:footnote>
  <w:footnote w:id="19">
    <w:p w14:paraId="4B963F80" w14:textId="2558825A" w:rsidR="00DF5BF4" w:rsidRDefault="00DF5BF4">
      <w:pPr>
        <w:pStyle w:val="FootnoteText"/>
      </w:pPr>
      <w:r>
        <w:rPr>
          <w:rStyle w:val="FootnoteReference"/>
        </w:rPr>
        <w:footnoteRef/>
      </w:r>
      <w:r>
        <w:t xml:space="preserve"> </w:t>
      </w:r>
      <w:r>
        <w:tab/>
      </w:r>
      <w:r w:rsidRPr="009B088C">
        <w:t xml:space="preserve">Sleeman Consulting, </w:t>
      </w:r>
      <w:r w:rsidRPr="000D0864">
        <w:rPr>
          <w:rStyle w:val="AERtextitalic"/>
        </w:rPr>
        <w:t>Review of Forecast Capex for Selected Projects</w:t>
      </w:r>
      <w:r>
        <w:t xml:space="preserve">, 27 April 2017 </w:t>
      </w:r>
      <w:r w:rsidRPr="009B088C">
        <w:t xml:space="preserve">(Sleeman Consulting Review). </w:t>
      </w:r>
    </w:p>
  </w:footnote>
  <w:footnote w:id="20">
    <w:p w14:paraId="501A7C59" w14:textId="7D065FD1" w:rsidR="00DF5BF4" w:rsidRDefault="00DF5BF4" w:rsidP="00546EAA">
      <w:pPr>
        <w:pStyle w:val="FootnoteText"/>
      </w:pPr>
      <w:r>
        <w:rPr>
          <w:rStyle w:val="FootnoteReference"/>
        </w:rPr>
        <w:footnoteRef/>
      </w:r>
      <w:r>
        <w:tab/>
        <w:t>NGR, r. 74(2).</w:t>
      </w:r>
    </w:p>
  </w:footnote>
  <w:footnote w:id="21">
    <w:p w14:paraId="44FBF56E" w14:textId="24F50879" w:rsidR="00DF5BF4" w:rsidRDefault="00DF5BF4" w:rsidP="00A103FD">
      <w:pPr>
        <w:pStyle w:val="FootnoteText"/>
      </w:pPr>
      <w:r>
        <w:rPr>
          <w:rStyle w:val="FootnoteReference"/>
        </w:rPr>
        <w:footnoteRef/>
      </w:r>
      <w:r>
        <w:t xml:space="preserve"> </w:t>
      </w:r>
      <w:r>
        <w:tab/>
      </w:r>
      <w:r w:rsidRPr="00C22BAB">
        <w:t xml:space="preserve">APA, </w:t>
      </w:r>
      <w:r w:rsidRPr="000D0864">
        <w:rPr>
          <w:rStyle w:val="AERtextitalic"/>
        </w:rPr>
        <w:t>APA VTS Access Arrangement Information</w:t>
      </w:r>
      <w:r w:rsidRPr="00C22BAB">
        <w:t xml:space="preserve">, 3 January 2017, p. 14 (APA VTS Access Arrangement Information). </w:t>
      </w:r>
    </w:p>
  </w:footnote>
  <w:footnote w:id="22">
    <w:p w14:paraId="110359A7" w14:textId="422C5E8C" w:rsidR="00DF5BF4" w:rsidRDefault="00DF5BF4" w:rsidP="00A103FD">
      <w:pPr>
        <w:pStyle w:val="FootnoteText"/>
      </w:pPr>
      <w:r>
        <w:rPr>
          <w:rStyle w:val="FootnoteReference"/>
        </w:rPr>
        <w:footnoteRef/>
      </w:r>
      <w:r>
        <w:t xml:space="preserve"> </w:t>
      </w:r>
      <w:r>
        <w:tab/>
      </w:r>
      <w:r w:rsidRPr="00C22BAB">
        <w:t>APA VTS Access Arrangement Information</w:t>
      </w:r>
      <w:r>
        <w:t xml:space="preserve">, p. 21. </w:t>
      </w:r>
    </w:p>
  </w:footnote>
  <w:footnote w:id="23">
    <w:p w14:paraId="6815CE5D" w14:textId="08876402" w:rsidR="00DF5BF4" w:rsidRDefault="00DF5BF4">
      <w:pPr>
        <w:pStyle w:val="FootnoteText"/>
      </w:pPr>
      <w:r>
        <w:rPr>
          <w:rStyle w:val="FootnoteReference"/>
        </w:rPr>
        <w:footnoteRef/>
      </w:r>
      <w:r>
        <w:t xml:space="preserve"> </w:t>
      </w:r>
      <w:r>
        <w:tab/>
      </w:r>
      <w:r w:rsidRPr="00BF4247">
        <w:t>APA Access Arrangement Revision Proposal Submission,</w:t>
      </w:r>
      <w:r>
        <w:t xml:space="preserve"> p. 63.</w:t>
      </w:r>
    </w:p>
  </w:footnote>
  <w:footnote w:id="24">
    <w:p w14:paraId="279AA818" w14:textId="56F5FFB5" w:rsidR="00DF5BF4" w:rsidRDefault="00DF5BF4" w:rsidP="00CA7544">
      <w:pPr>
        <w:pStyle w:val="FootnoteText"/>
      </w:pPr>
      <w:r>
        <w:rPr>
          <w:rStyle w:val="FootnoteReference"/>
        </w:rPr>
        <w:footnoteRef/>
      </w:r>
      <w:r>
        <w:t xml:space="preserve"> </w:t>
      </w:r>
      <w:r>
        <w:tab/>
      </w:r>
      <w:r w:rsidRPr="00BF4247">
        <w:t>APA Access Arrangement Revision Proposal Submission,</w:t>
      </w:r>
      <w:r>
        <w:t xml:space="preserve"> p. 64.</w:t>
      </w:r>
    </w:p>
  </w:footnote>
  <w:footnote w:id="25">
    <w:p w14:paraId="30795AC9" w14:textId="365F9A92" w:rsidR="00DF5BF4" w:rsidRDefault="00DF5BF4">
      <w:pPr>
        <w:pStyle w:val="FootnoteText"/>
      </w:pPr>
      <w:r>
        <w:rPr>
          <w:rStyle w:val="FootnoteReference"/>
        </w:rPr>
        <w:footnoteRef/>
      </w:r>
      <w:r>
        <w:t xml:space="preserve"> </w:t>
      </w:r>
      <w:r>
        <w:tab/>
        <w:t xml:space="preserve">AER, </w:t>
      </w:r>
      <w:r w:rsidRPr="000D0864">
        <w:rPr>
          <w:rStyle w:val="AERtextitalic"/>
        </w:rPr>
        <w:t>APA GasNet Access Arrangement 2013-17 Final Decision</w:t>
      </w:r>
      <w:r>
        <w:t xml:space="preserve">, 2012. </w:t>
      </w:r>
    </w:p>
  </w:footnote>
  <w:footnote w:id="26">
    <w:p w14:paraId="524FE8F4" w14:textId="497D8D2B" w:rsidR="00DF5BF4" w:rsidRDefault="00DF5BF4" w:rsidP="00B8407B">
      <w:pPr>
        <w:pStyle w:val="FootnoteText"/>
      </w:pPr>
      <w:r>
        <w:rPr>
          <w:rStyle w:val="FootnoteReference"/>
        </w:rPr>
        <w:footnoteRef/>
      </w:r>
      <w:r>
        <w:t xml:space="preserve"> </w:t>
      </w:r>
      <w:r>
        <w:tab/>
        <w:t xml:space="preserve">Consumer Challenge Panel Sub-Panel CCP11, </w:t>
      </w:r>
      <w:r w:rsidRPr="009F4B25">
        <w:rPr>
          <w:rStyle w:val="AERtextitalic"/>
        </w:rPr>
        <w:t>Response to proposal from APA VTS for a revenue reset/access arrangement for the period 2018 to 2022</w:t>
      </w:r>
      <w:r>
        <w:t xml:space="preserve">, </w:t>
      </w:r>
      <w:r w:rsidRPr="000D0864">
        <w:rPr>
          <w:rStyle w:val="AERtextitalic"/>
        </w:rPr>
        <w:t>3</w:t>
      </w:r>
      <w:r>
        <w:t xml:space="preserve"> March 2017, p. 28 (CCP11 </w:t>
      </w:r>
      <w:r w:rsidRPr="00C22BAB">
        <w:t>Submission).</w:t>
      </w:r>
    </w:p>
  </w:footnote>
  <w:footnote w:id="27">
    <w:p w14:paraId="1B9BD409" w14:textId="7BF437CF" w:rsidR="00DF5BF4" w:rsidRDefault="00DF5BF4">
      <w:pPr>
        <w:pStyle w:val="FootnoteText"/>
      </w:pPr>
      <w:r>
        <w:rPr>
          <w:rStyle w:val="FootnoteReference"/>
        </w:rPr>
        <w:footnoteRef/>
      </w:r>
      <w:r>
        <w:t xml:space="preserve"> </w:t>
      </w:r>
      <w:r>
        <w:tab/>
        <w:t xml:space="preserve">See, Australian Energy Regulator, </w:t>
      </w:r>
      <w:r w:rsidRPr="00AD51C2">
        <w:rPr>
          <w:rStyle w:val="AERtextitalic"/>
        </w:rPr>
        <w:t>APA VTS Draft decision - Attachment 10 - Reference Tariff Setting</w:t>
      </w:r>
      <w:r>
        <w:t xml:space="preserve">, p. 14, 24-25.  </w:t>
      </w:r>
    </w:p>
  </w:footnote>
  <w:footnote w:id="28">
    <w:p w14:paraId="07DF955A" w14:textId="77777777" w:rsidR="00DF5BF4" w:rsidRDefault="00DF5BF4" w:rsidP="00B8407B">
      <w:pPr>
        <w:pStyle w:val="FootnoteText"/>
      </w:pPr>
      <w:r>
        <w:rPr>
          <w:rStyle w:val="FootnoteReference"/>
        </w:rPr>
        <w:footnoteRef/>
      </w:r>
      <w:r>
        <w:t xml:space="preserve"> </w:t>
      </w:r>
      <w:r>
        <w:tab/>
        <w:t>NGR, rr. 79(1)(a), 79(2)(b) and 79(4).</w:t>
      </w:r>
    </w:p>
  </w:footnote>
  <w:footnote w:id="29">
    <w:p w14:paraId="277155BE" w14:textId="2CFE65DF" w:rsidR="00DF5BF4" w:rsidRDefault="00DF5BF4" w:rsidP="00B8407B">
      <w:pPr>
        <w:pStyle w:val="FootnoteText"/>
      </w:pPr>
      <w:r>
        <w:rPr>
          <w:rStyle w:val="FootnoteReference"/>
        </w:rPr>
        <w:footnoteRef/>
      </w:r>
      <w:r>
        <w:t xml:space="preserve"> </w:t>
      </w:r>
      <w:r>
        <w:tab/>
        <w:t xml:space="preserve">NGR, r. 79(2)(b). </w:t>
      </w:r>
    </w:p>
  </w:footnote>
  <w:footnote w:id="30">
    <w:p w14:paraId="41F32EC4" w14:textId="2073E9C1" w:rsidR="00DF5BF4" w:rsidRDefault="00DF5BF4" w:rsidP="00B8407B">
      <w:pPr>
        <w:pStyle w:val="FootnoteText"/>
      </w:pPr>
      <w:r>
        <w:rPr>
          <w:rStyle w:val="FootnoteReference"/>
        </w:rPr>
        <w:footnoteRef/>
      </w:r>
      <w:r>
        <w:t xml:space="preserve"> </w:t>
      </w:r>
      <w:r>
        <w:tab/>
      </w:r>
      <w:r w:rsidRPr="00FA3BF0">
        <w:t>APA Access Arrangement Revision Proposal Submission,</w:t>
      </w:r>
      <w:r>
        <w:t xml:space="preserve"> p. 64. </w:t>
      </w:r>
    </w:p>
  </w:footnote>
  <w:footnote w:id="31">
    <w:p w14:paraId="2955FFC1" w14:textId="77777777" w:rsidR="00DF5BF4" w:rsidRDefault="00DF5BF4" w:rsidP="00B8407B">
      <w:pPr>
        <w:pStyle w:val="FootnoteText"/>
      </w:pPr>
      <w:r>
        <w:rPr>
          <w:rStyle w:val="FootnoteReference"/>
        </w:rPr>
        <w:footnoteRef/>
      </w:r>
      <w:r>
        <w:t xml:space="preserve"> </w:t>
      </w:r>
      <w:r>
        <w:tab/>
        <w:t>NGR, r. 74(2).</w:t>
      </w:r>
    </w:p>
  </w:footnote>
  <w:footnote w:id="32">
    <w:p w14:paraId="06773C5F" w14:textId="1094B079" w:rsidR="00DF5BF4" w:rsidRDefault="00DF5BF4">
      <w:pPr>
        <w:pStyle w:val="FootnoteText"/>
      </w:pPr>
      <w:r>
        <w:rPr>
          <w:rStyle w:val="FootnoteReference"/>
        </w:rPr>
        <w:footnoteRef/>
      </w:r>
      <w:r>
        <w:t xml:space="preserve"> </w:t>
      </w:r>
      <w:r>
        <w:tab/>
      </w:r>
      <w:r w:rsidRPr="00D1479B">
        <w:t xml:space="preserve">AEMO, </w:t>
      </w:r>
      <w:r w:rsidRPr="000D0864">
        <w:rPr>
          <w:rStyle w:val="AERtextitalic"/>
        </w:rPr>
        <w:t>Victorian Gas Planning Report: Declared Transmission System Planning for Victoria</w:t>
      </w:r>
      <w:r w:rsidRPr="00D1479B">
        <w:t>, March 2017, p.</w:t>
      </w:r>
      <w:r>
        <w:t xml:space="preserve">3. </w:t>
      </w:r>
    </w:p>
  </w:footnote>
  <w:footnote w:id="33">
    <w:p w14:paraId="3053FD66" w14:textId="4DEFB737" w:rsidR="00DF5BF4" w:rsidRDefault="00DF5BF4">
      <w:pPr>
        <w:pStyle w:val="FootnoteText"/>
      </w:pPr>
      <w:r>
        <w:rPr>
          <w:rStyle w:val="FootnoteReference"/>
        </w:rPr>
        <w:footnoteRef/>
      </w:r>
      <w:r>
        <w:t xml:space="preserve"> </w:t>
      </w:r>
      <w:r>
        <w:tab/>
      </w:r>
      <w:r w:rsidRPr="006E4E02">
        <w:t>APA, Response to Information Request AER APA VTS 007, 3 Ap</w:t>
      </w:r>
      <w:r>
        <w:t>ril 2017, p.2</w:t>
      </w:r>
      <w:r w:rsidRPr="006E4E02">
        <w:t xml:space="preserve"> (APA Response to AER Information Request 007). </w:t>
      </w:r>
    </w:p>
  </w:footnote>
  <w:footnote w:id="34">
    <w:p w14:paraId="5B539921" w14:textId="1BFE9545" w:rsidR="00DF5BF4" w:rsidRDefault="00DF5BF4" w:rsidP="00B8407B">
      <w:pPr>
        <w:pStyle w:val="FootnoteText"/>
      </w:pPr>
      <w:r>
        <w:rPr>
          <w:rStyle w:val="FootnoteReference"/>
        </w:rPr>
        <w:footnoteRef/>
      </w:r>
      <w:r>
        <w:t xml:space="preserve"> </w:t>
      </w:r>
      <w:r>
        <w:tab/>
      </w:r>
      <w:r w:rsidRPr="006E4E02">
        <w:t>APA Response to AER Information Request 007</w:t>
      </w:r>
      <w:r>
        <w:t xml:space="preserve">, p.3. </w:t>
      </w:r>
    </w:p>
  </w:footnote>
  <w:footnote w:id="35">
    <w:p w14:paraId="0BE567D1" w14:textId="43FAEFB9" w:rsidR="00DF5BF4" w:rsidRDefault="00DF5BF4">
      <w:pPr>
        <w:pStyle w:val="FootnoteText"/>
      </w:pPr>
      <w:r>
        <w:rPr>
          <w:rStyle w:val="FootnoteReference"/>
        </w:rPr>
        <w:footnoteRef/>
      </w:r>
      <w:r>
        <w:t xml:space="preserve"> </w:t>
      </w:r>
      <w:r>
        <w:tab/>
      </w:r>
      <w:r w:rsidRPr="006E4E02">
        <w:t>APA Response to AER Information Request 007</w:t>
      </w:r>
      <w:r>
        <w:t xml:space="preserve">, p.2. </w:t>
      </w:r>
    </w:p>
  </w:footnote>
  <w:footnote w:id="36">
    <w:p w14:paraId="27A57EF7" w14:textId="77777777" w:rsidR="00DF5BF4" w:rsidRDefault="00DF5BF4" w:rsidP="00B8407B">
      <w:pPr>
        <w:pStyle w:val="FootnoteText"/>
      </w:pPr>
      <w:r>
        <w:rPr>
          <w:rStyle w:val="FootnoteReference"/>
        </w:rPr>
        <w:footnoteRef/>
      </w:r>
      <w:r>
        <w:t xml:space="preserve"> </w:t>
      </w:r>
      <w:r>
        <w:tab/>
        <w:t>NGR, r. 74(2).</w:t>
      </w:r>
    </w:p>
  </w:footnote>
  <w:footnote w:id="37">
    <w:p w14:paraId="13049E54" w14:textId="0CCB757C" w:rsidR="00DF5BF4" w:rsidRDefault="00DF5BF4" w:rsidP="00B8407B">
      <w:pPr>
        <w:pStyle w:val="FootnoteText"/>
      </w:pPr>
      <w:r>
        <w:rPr>
          <w:rStyle w:val="FootnoteReference"/>
        </w:rPr>
        <w:footnoteRef/>
      </w:r>
      <w:r>
        <w:t xml:space="preserve"> </w:t>
      </w:r>
      <w:r>
        <w:tab/>
        <w:t>NGR, rr. 79(1)(b), 79(2)(b).</w:t>
      </w:r>
    </w:p>
  </w:footnote>
  <w:footnote w:id="38">
    <w:p w14:paraId="333AB2C4" w14:textId="277BBDC6" w:rsidR="00DF5BF4" w:rsidRDefault="00DF5BF4" w:rsidP="00B8407B">
      <w:pPr>
        <w:pStyle w:val="FootnoteText"/>
      </w:pPr>
      <w:r>
        <w:rPr>
          <w:rStyle w:val="FootnoteReference"/>
        </w:rPr>
        <w:footnoteRef/>
      </w:r>
      <w:r>
        <w:t xml:space="preserve"> </w:t>
      </w:r>
      <w:r>
        <w:tab/>
      </w:r>
      <w:r w:rsidRPr="00E52BEF">
        <w:t>Sleeman Consulting Review</w:t>
      </w:r>
      <w:r>
        <w:t>, p.17.</w:t>
      </w:r>
    </w:p>
  </w:footnote>
  <w:footnote w:id="39">
    <w:p w14:paraId="6DE8D028" w14:textId="77777777" w:rsidR="00DF5BF4" w:rsidRDefault="00DF5BF4" w:rsidP="00B8407B">
      <w:pPr>
        <w:pStyle w:val="FootnoteText"/>
      </w:pPr>
      <w:r>
        <w:rPr>
          <w:rStyle w:val="FootnoteReference"/>
        </w:rPr>
        <w:footnoteRef/>
      </w:r>
      <w:r>
        <w:t xml:space="preserve"> </w:t>
      </w:r>
      <w:r>
        <w:tab/>
        <w:t>NGR, r. 79(1).</w:t>
      </w:r>
    </w:p>
  </w:footnote>
  <w:footnote w:id="40">
    <w:p w14:paraId="79F8CF39" w14:textId="69633F3A" w:rsidR="00DF5BF4" w:rsidRDefault="00DF5BF4" w:rsidP="00CB67EA">
      <w:pPr>
        <w:pStyle w:val="FootnoteText"/>
        <w:ind w:left="0" w:firstLine="0"/>
      </w:pPr>
      <w:r>
        <w:rPr>
          <w:rStyle w:val="FootnoteReference"/>
        </w:rPr>
        <w:footnoteRef/>
      </w:r>
      <w:r>
        <w:t xml:space="preserve"> </w:t>
      </w:r>
      <w:r>
        <w:tab/>
      </w:r>
      <w:r w:rsidRPr="0010536C">
        <w:t xml:space="preserve">APA Access Arrangement Revision Proposal Submission, p. </w:t>
      </w:r>
      <w:r w:rsidRPr="008D36CB">
        <w:t>6</w:t>
      </w:r>
      <w:r>
        <w:t xml:space="preserve">8. </w:t>
      </w:r>
    </w:p>
  </w:footnote>
  <w:footnote w:id="41">
    <w:p w14:paraId="5932AC86" w14:textId="3317B866" w:rsidR="00DF5BF4" w:rsidRDefault="00DF5BF4" w:rsidP="00CB67EA">
      <w:pPr>
        <w:pStyle w:val="FootnoteText"/>
        <w:ind w:left="0" w:firstLine="0"/>
      </w:pPr>
      <w:r>
        <w:rPr>
          <w:rStyle w:val="FootnoteReference"/>
        </w:rPr>
        <w:footnoteRef/>
      </w:r>
      <w:r>
        <w:t xml:space="preserve"> </w:t>
      </w:r>
      <w:r>
        <w:tab/>
      </w:r>
      <w:r w:rsidRPr="0010536C">
        <w:t>APA Access Arrangement Revision Proposal Submission,</w:t>
      </w:r>
      <w:r>
        <w:t xml:space="preserve"> pp. </w:t>
      </w:r>
      <w:r w:rsidRPr="003D16B5">
        <w:t>68</w:t>
      </w:r>
      <w:r>
        <w:t>-69</w:t>
      </w:r>
      <w:r w:rsidRPr="003D16B5">
        <w:t>.</w:t>
      </w:r>
    </w:p>
  </w:footnote>
  <w:footnote w:id="42">
    <w:p w14:paraId="4D17940F" w14:textId="1771FB2F" w:rsidR="00DF5BF4" w:rsidRDefault="00DF5BF4">
      <w:pPr>
        <w:pStyle w:val="FootnoteText"/>
      </w:pPr>
      <w:r>
        <w:rPr>
          <w:rStyle w:val="FootnoteReference"/>
        </w:rPr>
        <w:footnoteRef/>
      </w:r>
      <w:r>
        <w:t xml:space="preserve"> </w:t>
      </w:r>
      <w:r>
        <w:tab/>
        <w:t>NGR, r. 79(1).</w:t>
      </w:r>
    </w:p>
  </w:footnote>
  <w:footnote w:id="43">
    <w:p w14:paraId="22EA970E" w14:textId="68318AB7" w:rsidR="00DF5BF4" w:rsidRDefault="00DF5BF4" w:rsidP="00CB67EA">
      <w:pPr>
        <w:pStyle w:val="FootnoteText"/>
      </w:pPr>
      <w:r>
        <w:rPr>
          <w:rStyle w:val="FootnoteReference"/>
        </w:rPr>
        <w:footnoteRef/>
      </w:r>
      <w:r>
        <w:t xml:space="preserve"> </w:t>
      </w:r>
      <w:r>
        <w:tab/>
        <w:t xml:space="preserve">NGR, rr. 79(1)(b), 79(2)(c)(ii),  </w:t>
      </w:r>
      <w:r w:rsidRPr="0010536C">
        <w:t xml:space="preserve">APA Access Arrangement Revision Proposal Submission, </w:t>
      </w:r>
      <w:r w:rsidRPr="00CB67EA">
        <w:t xml:space="preserve">p. 68. </w:t>
      </w:r>
    </w:p>
  </w:footnote>
  <w:footnote w:id="44">
    <w:p w14:paraId="5BD32EC6" w14:textId="4C8C7073" w:rsidR="00DF5BF4" w:rsidRDefault="00DF5BF4" w:rsidP="00CB67EA">
      <w:pPr>
        <w:pStyle w:val="FootnoteText"/>
      </w:pPr>
      <w:r>
        <w:rPr>
          <w:rStyle w:val="FootnoteReference"/>
        </w:rPr>
        <w:footnoteRef/>
      </w:r>
      <w:r>
        <w:t xml:space="preserve"> </w:t>
      </w:r>
      <w:r>
        <w:tab/>
        <w:t>Projects that were included in the approved 2013-17 access arrangement but did not proceed, include: Gooding CS valve replacement; security upgrades; Dandenong CG facilities integration; Laverton North CG heater upgrade; actuation of mainline valve Dandenong to West Melbourne pipeline; emergency equipment.</w:t>
      </w:r>
    </w:p>
  </w:footnote>
  <w:footnote w:id="45">
    <w:p w14:paraId="28A63B1F" w14:textId="77777777" w:rsidR="00DF5BF4" w:rsidRDefault="00DF5BF4" w:rsidP="00BF21D3">
      <w:pPr>
        <w:pStyle w:val="FootnoteText"/>
      </w:pPr>
      <w:r>
        <w:rPr>
          <w:rStyle w:val="FootnoteReference"/>
        </w:rPr>
        <w:footnoteRef/>
      </w:r>
      <w:r>
        <w:t xml:space="preserve"> </w:t>
      </w:r>
      <w:r>
        <w:tab/>
        <w:t>NGR, r. 79(1)(a).</w:t>
      </w:r>
    </w:p>
  </w:footnote>
  <w:footnote w:id="46">
    <w:p w14:paraId="0C36DCF2" w14:textId="77777777" w:rsidR="00DF5BF4" w:rsidRDefault="00DF5BF4" w:rsidP="00BF21D3">
      <w:pPr>
        <w:pStyle w:val="FootnoteText"/>
      </w:pPr>
      <w:r>
        <w:rPr>
          <w:rStyle w:val="FootnoteReference"/>
        </w:rPr>
        <w:footnoteRef/>
      </w:r>
      <w:r>
        <w:t xml:space="preserve"> </w:t>
      </w:r>
      <w:r>
        <w:tab/>
        <w:t>NGR, rr. 79(1)(b), 79(2)(c)(i) and 79(2)(c)(ii).</w:t>
      </w:r>
    </w:p>
  </w:footnote>
  <w:footnote w:id="47">
    <w:p w14:paraId="0AF21A1D" w14:textId="77777777" w:rsidR="00DF5BF4" w:rsidRDefault="00DF5BF4" w:rsidP="0084422B">
      <w:pPr>
        <w:pStyle w:val="FootnoteText"/>
      </w:pPr>
      <w:r>
        <w:rPr>
          <w:rStyle w:val="FootnoteReference"/>
        </w:rPr>
        <w:footnoteRef/>
      </w:r>
      <w:r>
        <w:t xml:space="preserve"> </w:t>
      </w:r>
      <w:r>
        <w:tab/>
        <w:t>NGR, r. 79(1)(a).</w:t>
      </w:r>
    </w:p>
  </w:footnote>
  <w:footnote w:id="48">
    <w:p w14:paraId="1459D98C" w14:textId="0209BBF1" w:rsidR="00DF5BF4" w:rsidRDefault="00DF5BF4" w:rsidP="009C535D">
      <w:pPr>
        <w:pStyle w:val="FootnoteText"/>
      </w:pPr>
      <w:r>
        <w:rPr>
          <w:rStyle w:val="FootnoteReference"/>
        </w:rPr>
        <w:footnoteRef/>
      </w:r>
      <w:r>
        <w:t xml:space="preserve"> </w:t>
      </w:r>
      <w:r>
        <w:tab/>
      </w:r>
      <w:r w:rsidRPr="00E93F3B">
        <w:t xml:space="preserve">APA GasNet Australia, </w:t>
      </w:r>
      <w:r w:rsidRPr="000D0864">
        <w:rPr>
          <w:rStyle w:val="AERtextitalic"/>
        </w:rPr>
        <w:t>Business Case- BC166- Unpiggable pipelines</w:t>
      </w:r>
      <w:r w:rsidRPr="00E93F3B">
        <w:t xml:space="preserve">, January 2012. </w:t>
      </w:r>
    </w:p>
    <w:p w14:paraId="534A4D8E" w14:textId="10862266" w:rsidR="00DF5BF4" w:rsidRDefault="00DF5BF4" w:rsidP="009C535D">
      <w:pPr>
        <w:pStyle w:val="FootnoteText"/>
      </w:pPr>
      <w:r>
        <w:tab/>
        <w:t xml:space="preserve">APA GasNet Australia, </w:t>
      </w:r>
      <w:r w:rsidRPr="000D0864">
        <w:rPr>
          <w:rStyle w:val="AERtextitalic"/>
        </w:rPr>
        <w:t>Business Case - BC027-BC037 - Pigging Program</w:t>
      </w:r>
      <w:r>
        <w:t xml:space="preserve">, January 2012. </w:t>
      </w:r>
    </w:p>
  </w:footnote>
  <w:footnote w:id="49">
    <w:p w14:paraId="6E8E23C5" w14:textId="379748E0" w:rsidR="00DF5BF4" w:rsidRDefault="00DF5BF4">
      <w:pPr>
        <w:pStyle w:val="FootnoteText"/>
      </w:pPr>
      <w:r>
        <w:rPr>
          <w:rStyle w:val="FootnoteReference"/>
        </w:rPr>
        <w:footnoteRef/>
      </w:r>
      <w:r>
        <w:t xml:space="preserve"> </w:t>
      </w:r>
      <w:r>
        <w:tab/>
        <w:t xml:space="preserve">NGR r. </w:t>
      </w:r>
      <w:r w:rsidRPr="009C535D">
        <w:t>79(1)(a)</w:t>
      </w:r>
      <w:r>
        <w:t xml:space="preserve">. </w:t>
      </w:r>
    </w:p>
  </w:footnote>
  <w:footnote w:id="50">
    <w:p w14:paraId="703D4807" w14:textId="21A1ED23" w:rsidR="00DF5BF4" w:rsidRDefault="00DF5BF4">
      <w:pPr>
        <w:pStyle w:val="FootnoteText"/>
      </w:pPr>
      <w:r>
        <w:rPr>
          <w:rStyle w:val="FootnoteReference"/>
        </w:rPr>
        <w:footnoteRef/>
      </w:r>
      <w:r>
        <w:t xml:space="preserve"> </w:t>
      </w:r>
      <w:r>
        <w:tab/>
        <w:t xml:space="preserve">We do not accept the forecast 2017 expenditure for the inline inspection program as conforming capex in this access arrangement, as we do not consider APA's forecast to be reasonable under Rule 74. However, we note actual 2017 expenditure is re-assessed ex-post in the subsequent access arrangement reset (2023-27). </w:t>
      </w:r>
    </w:p>
  </w:footnote>
  <w:footnote w:id="51">
    <w:p w14:paraId="328962FA" w14:textId="7706BDB6" w:rsidR="00DF5BF4" w:rsidRDefault="00DF5BF4" w:rsidP="00D409C1">
      <w:pPr>
        <w:pStyle w:val="FootnoteText"/>
      </w:pPr>
      <w:r>
        <w:rPr>
          <w:rStyle w:val="FootnoteReference"/>
        </w:rPr>
        <w:footnoteRef/>
      </w:r>
      <w:r>
        <w:t xml:space="preserve"> </w:t>
      </w:r>
      <w:r>
        <w:tab/>
      </w:r>
      <w:r w:rsidRPr="005841E5">
        <w:t xml:space="preserve">APA Access Arrangement Revision Proposal Submission, </w:t>
      </w:r>
      <w:r w:rsidRPr="0019432A">
        <w:t>p</w:t>
      </w:r>
      <w:r>
        <w:t>p</w:t>
      </w:r>
      <w:r w:rsidRPr="0019432A">
        <w:t xml:space="preserve">. </w:t>
      </w:r>
      <w:r>
        <w:t>82 - 83.</w:t>
      </w:r>
    </w:p>
  </w:footnote>
  <w:footnote w:id="52">
    <w:p w14:paraId="07F56B54" w14:textId="77777777" w:rsidR="00DF5BF4" w:rsidRDefault="00DF5BF4" w:rsidP="00D409C1">
      <w:pPr>
        <w:pStyle w:val="FootnoteText"/>
      </w:pPr>
      <w:r>
        <w:rPr>
          <w:rStyle w:val="FootnoteReference"/>
        </w:rPr>
        <w:footnoteRef/>
      </w:r>
      <w:r>
        <w:t xml:space="preserve"> </w:t>
      </w:r>
      <w:r>
        <w:tab/>
        <w:t>NGR, r. 79(1)(a).</w:t>
      </w:r>
    </w:p>
  </w:footnote>
  <w:footnote w:id="53">
    <w:p w14:paraId="6D232E75" w14:textId="77777777" w:rsidR="00DF5BF4" w:rsidRDefault="00DF5BF4" w:rsidP="00D409C1">
      <w:pPr>
        <w:pStyle w:val="FootnoteText"/>
      </w:pPr>
      <w:r>
        <w:rPr>
          <w:rStyle w:val="FootnoteReference"/>
        </w:rPr>
        <w:footnoteRef/>
      </w:r>
      <w:r>
        <w:t xml:space="preserve"> </w:t>
      </w:r>
      <w:r>
        <w:tab/>
        <w:t>NGR, r. 79(2)(c)(ii).</w:t>
      </w:r>
    </w:p>
  </w:footnote>
  <w:footnote w:id="54">
    <w:p w14:paraId="53DFF2D5" w14:textId="57BF57EB" w:rsidR="00DF5BF4" w:rsidRDefault="00DF5BF4">
      <w:pPr>
        <w:pStyle w:val="FootnoteText"/>
      </w:pPr>
      <w:r>
        <w:rPr>
          <w:rStyle w:val="FootnoteReference"/>
        </w:rPr>
        <w:footnoteRef/>
      </w:r>
      <w:r>
        <w:t xml:space="preserve"> </w:t>
      </w:r>
      <w:r>
        <w:tab/>
      </w:r>
      <w:r w:rsidRPr="00815E5D">
        <w:t xml:space="preserve">APA Access Arrangement Revision Proposal Submission, </w:t>
      </w:r>
      <w:r w:rsidRPr="005F3E19">
        <w:t>p.</w:t>
      </w:r>
      <w:r>
        <w:t>86.</w:t>
      </w:r>
    </w:p>
  </w:footnote>
  <w:footnote w:id="55">
    <w:p w14:paraId="6605D375" w14:textId="30D4D64A" w:rsidR="00DF5BF4" w:rsidRDefault="00DF5BF4">
      <w:pPr>
        <w:pStyle w:val="FootnoteText"/>
      </w:pPr>
      <w:r>
        <w:rPr>
          <w:rStyle w:val="FootnoteReference"/>
        </w:rPr>
        <w:footnoteRef/>
      </w:r>
      <w:r>
        <w:t xml:space="preserve"> </w:t>
      </w:r>
      <w:r>
        <w:tab/>
      </w:r>
      <w:r w:rsidRPr="00815E5D">
        <w:t>APA Access Arrangement Revision Proposal Submission, p.86.</w:t>
      </w:r>
    </w:p>
  </w:footnote>
  <w:footnote w:id="56">
    <w:p w14:paraId="3AF922FD" w14:textId="542DBB6C" w:rsidR="00DF5BF4" w:rsidRDefault="00DF5BF4">
      <w:pPr>
        <w:pStyle w:val="FootnoteText"/>
      </w:pPr>
      <w:r>
        <w:rPr>
          <w:rStyle w:val="FootnoteReference"/>
        </w:rPr>
        <w:footnoteRef/>
      </w:r>
      <w:r>
        <w:t xml:space="preserve"> </w:t>
      </w:r>
      <w:r>
        <w:tab/>
        <w:t>NGR, r. 79(1)(a).</w:t>
      </w:r>
    </w:p>
  </w:footnote>
  <w:footnote w:id="57">
    <w:p w14:paraId="1FE538CE" w14:textId="702D9C96" w:rsidR="00DF5BF4" w:rsidRDefault="00DF5BF4" w:rsidP="00D409C1">
      <w:pPr>
        <w:pStyle w:val="FootnoteText"/>
      </w:pPr>
      <w:r>
        <w:rPr>
          <w:rStyle w:val="FootnoteReference"/>
        </w:rPr>
        <w:footnoteRef/>
      </w:r>
      <w:r>
        <w:t xml:space="preserve"> </w:t>
      </w:r>
      <w:r>
        <w:tab/>
        <w:t>NGR, r. 79(3).</w:t>
      </w:r>
    </w:p>
  </w:footnote>
  <w:footnote w:id="58">
    <w:p w14:paraId="64BD5FE9" w14:textId="3287AB18" w:rsidR="00DF5BF4" w:rsidRDefault="00DF5BF4">
      <w:pPr>
        <w:pStyle w:val="FootnoteText"/>
      </w:pPr>
      <w:r>
        <w:rPr>
          <w:rStyle w:val="FootnoteReference"/>
        </w:rPr>
        <w:footnoteRef/>
      </w:r>
      <w:r>
        <w:t xml:space="preserve"> </w:t>
      </w:r>
      <w:r>
        <w:tab/>
      </w:r>
      <w:r w:rsidRPr="005E6D58">
        <w:t>APA Revised Access Arrangement Submission (WORM)</w:t>
      </w:r>
      <w:r>
        <w:t>, p. 29.</w:t>
      </w:r>
    </w:p>
  </w:footnote>
  <w:footnote w:id="59">
    <w:p w14:paraId="45C42ACB" w14:textId="77777777" w:rsidR="00DF5BF4" w:rsidRDefault="00DF5BF4" w:rsidP="002C7898">
      <w:pPr>
        <w:pStyle w:val="FootnoteText"/>
      </w:pPr>
      <w:r>
        <w:rPr>
          <w:rStyle w:val="FootnoteReference"/>
        </w:rPr>
        <w:footnoteRef/>
      </w:r>
      <w:r>
        <w:t xml:space="preserve"> </w:t>
      </w:r>
      <w:r>
        <w:tab/>
        <w:t xml:space="preserve">APA, </w:t>
      </w:r>
      <w:r w:rsidRPr="000D0864">
        <w:rPr>
          <w:rStyle w:val="AERtextitalic"/>
        </w:rPr>
        <w:t>Business Case Number 501 - Warragul Looping</w:t>
      </w:r>
      <w:r>
        <w:t>;</w:t>
      </w:r>
      <w:r w:rsidRPr="002C7898">
        <w:t xml:space="preserve"> </w:t>
      </w:r>
      <w:r>
        <w:t>NGR, rr. 79(1)(b), 79(2)(c)(i), 79(2)(c)(ii) and 79(2)(c)(iv).</w:t>
      </w:r>
    </w:p>
  </w:footnote>
  <w:footnote w:id="60">
    <w:p w14:paraId="11AA84AB" w14:textId="19BB7B62" w:rsidR="00DF5BF4" w:rsidRDefault="00DF5BF4" w:rsidP="002C7898">
      <w:pPr>
        <w:pStyle w:val="FootnoteText"/>
      </w:pPr>
      <w:r>
        <w:rPr>
          <w:rStyle w:val="FootnoteReference"/>
        </w:rPr>
        <w:footnoteRef/>
      </w:r>
      <w:r>
        <w:t xml:space="preserve"> </w:t>
      </w:r>
      <w:r>
        <w:tab/>
      </w:r>
      <w:r w:rsidRPr="005E6D58">
        <w:t xml:space="preserve">APA Access Arrangement Revision Proposal Submission, </w:t>
      </w:r>
      <w:r w:rsidRPr="005F3E19">
        <w:t xml:space="preserve">p. </w:t>
      </w:r>
      <w:r>
        <w:t>88</w:t>
      </w:r>
      <w:r w:rsidRPr="005F3E19">
        <w:t>.</w:t>
      </w:r>
    </w:p>
  </w:footnote>
  <w:footnote w:id="61">
    <w:p w14:paraId="55B05336" w14:textId="516DA838" w:rsidR="00DF5BF4" w:rsidRDefault="00DF5BF4" w:rsidP="002C7898">
      <w:pPr>
        <w:pStyle w:val="FootnoteText"/>
      </w:pPr>
      <w:r>
        <w:rPr>
          <w:rStyle w:val="FootnoteReference"/>
        </w:rPr>
        <w:footnoteRef/>
      </w:r>
      <w:r>
        <w:t xml:space="preserve"> </w:t>
      </w:r>
      <w:r>
        <w:tab/>
      </w:r>
      <w:r w:rsidRPr="005E6D58">
        <w:t>APA Access Arrangement Revision Proposal Submission, p. 88.</w:t>
      </w:r>
      <w:r>
        <w:t xml:space="preserve"> </w:t>
      </w:r>
    </w:p>
  </w:footnote>
  <w:footnote w:id="62">
    <w:p w14:paraId="68751635" w14:textId="77777777" w:rsidR="00DF5BF4" w:rsidRDefault="00DF5BF4" w:rsidP="002C7898">
      <w:pPr>
        <w:pStyle w:val="FootnoteText"/>
      </w:pPr>
      <w:r>
        <w:rPr>
          <w:rStyle w:val="FootnoteReference"/>
        </w:rPr>
        <w:footnoteRef/>
      </w:r>
      <w:r>
        <w:t xml:space="preserve"> </w:t>
      </w:r>
      <w:r>
        <w:tab/>
        <w:t xml:space="preserve">AEMO, </w:t>
      </w:r>
      <w:r w:rsidRPr="007476AB">
        <w:rPr>
          <w:rStyle w:val="AERtextitalic"/>
        </w:rPr>
        <w:t>Notice of a Threat to System Security – Seeking a Market Response</w:t>
      </w:r>
      <w:r>
        <w:t>, 10 March 2017.</w:t>
      </w:r>
    </w:p>
  </w:footnote>
  <w:footnote w:id="63">
    <w:p w14:paraId="6EE1D60E" w14:textId="20222313" w:rsidR="00DF5BF4" w:rsidRDefault="00DF5BF4" w:rsidP="002C7898">
      <w:pPr>
        <w:pStyle w:val="FootnoteText"/>
      </w:pPr>
      <w:r>
        <w:rPr>
          <w:rStyle w:val="FootnoteReference"/>
        </w:rPr>
        <w:footnoteRef/>
      </w:r>
      <w:r>
        <w:t xml:space="preserve"> </w:t>
      </w:r>
      <w:r>
        <w:tab/>
      </w:r>
      <w:r w:rsidRPr="00813B3C">
        <w:t xml:space="preserve">Sleeman Consulting Review, </w:t>
      </w:r>
      <w:r>
        <w:t>p.10.</w:t>
      </w:r>
    </w:p>
  </w:footnote>
  <w:footnote w:id="64">
    <w:p w14:paraId="68DDB904" w14:textId="77777777" w:rsidR="00DF5BF4" w:rsidRDefault="00DF5BF4" w:rsidP="002C7898">
      <w:pPr>
        <w:pStyle w:val="FootnoteText"/>
      </w:pPr>
      <w:r>
        <w:rPr>
          <w:rStyle w:val="FootnoteReference"/>
        </w:rPr>
        <w:footnoteRef/>
      </w:r>
      <w:r>
        <w:t xml:space="preserve"> </w:t>
      </w:r>
      <w:r>
        <w:tab/>
        <w:t>NGR, rr. 79(1)(b), 79(2)(c)(ii) and 79(2)(c)(iv).</w:t>
      </w:r>
    </w:p>
  </w:footnote>
  <w:footnote w:id="65">
    <w:p w14:paraId="1D0FB7E1" w14:textId="58A84CAB" w:rsidR="00DF5BF4" w:rsidRDefault="00DF5BF4" w:rsidP="002C7898">
      <w:pPr>
        <w:pStyle w:val="FootnoteText"/>
      </w:pPr>
      <w:r>
        <w:rPr>
          <w:rStyle w:val="FootnoteReference"/>
        </w:rPr>
        <w:footnoteRef/>
      </w:r>
      <w:r>
        <w:t xml:space="preserve"> </w:t>
      </w:r>
      <w:r>
        <w:tab/>
        <w:t xml:space="preserve">APA GasNet Australia, </w:t>
      </w:r>
      <w:r w:rsidRPr="000D0864">
        <w:rPr>
          <w:rStyle w:val="AERtextitalic"/>
        </w:rPr>
        <w:t>Business Case - BC172 Warragul Looping</w:t>
      </w:r>
      <w:r>
        <w:t>, January 2012, p.4.</w:t>
      </w:r>
    </w:p>
  </w:footnote>
  <w:footnote w:id="66">
    <w:p w14:paraId="7F0DFC04" w14:textId="1F57A9A6" w:rsidR="00DF5BF4" w:rsidRDefault="00DF5BF4" w:rsidP="002C7898">
      <w:pPr>
        <w:pStyle w:val="FootnoteText"/>
      </w:pPr>
      <w:r>
        <w:rPr>
          <w:rStyle w:val="FootnoteReference"/>
        </w:rPr>
        <w:footnoteRef/>
      </w:r>
      <w:r>
        <w:t xml:space="preserve"> </w:t>
      </w:r>
      <w:r>
        <w:tab/>
      </w:r>
      <w:r w:rsidRPr="00E929D5">
        <w:t xml:space="preserve">APA Response to AER Information Request 007, </w:t>
      </w:r>
      <w:r>
        <w:t xml:space="preserve">p.11. </w:t>
      </w:r>
    </w:p>
  </w:footnote>
  <w:footnote w:id="67">
    <w:p w14:paraId="568A1804" w14:textId="21A065D5" w:rsidR="00DF5BF4" w:rsidRDefault="00DF5BF4" w:rsidP="002C7898">
      <w:pPr>
        <w:pStyle w:val="FootnoteText"/>
      </w:pPr>
      <w:r>
        <w:rPr>
          <w:rStyle w:val="FootnoteReference"/>
        </w:rPr>
        <w:footnoteRef/>
      </w:r>
      <w:r>
        <w:t xml:space="preserve"> </w:t>
      </w:r>
      <w:r>
        <w:tab/>
      </w:r>
      <w:r w:rsidRPr="00E929D5">
        <w:t xml:space="preserve">APA Response to AER Information Request 007, p.11. </w:t>
      </w:r>
    </w:p>
  </w:footnote>
  <w:footnote w:id="68">
    <w:p w14:paraId="0AC84752" w14:textId="1D6ED08C" w:rsidR="00DF5BF4" w:rsidRDefault="00DF5BF4" w:rsidP="002C7898">
      <w:pPr>
        <w:pStyle w:val="FootnoteText"/>
      </w:pPr>
      <w:r>
        <w:rPr>
          <w:rStyle w:val="FootnoteReference"/>
        </w:rPr>
        <w:footnoteRef/>
      </w:r>
      <w:r>
        <w:t xml:space="preserve"> </w:t>
      </w:r>
      <w:r>
        <w:tab/>
      </w:r>
      <w:r w:rsidRPr="00E929D5">
        <w:t xml:space="preserve">APA Response to AER Information Request 007, p.11. </w:t>
      </w:r>
    </w:p>
  </w:footnote>
  <w:footnote w:id="69">
    <w:p w14:paraId="4064BD8D" w14:textId="077447F6" w:rsidR="00DF5BF4" w:rsidRDefault="00DF5BF4" w:rsidP="002C7898">
      <w:pPr>
        <w:pStyle w:val="FootnoteText"/>
      </w:pPr>
      <w:r>
        <w:rPr>
          <w:rStyle w:val="FootnoteReference"/>
        </w:rPr>
        <w:footnoteRef/>
      </w:r>
      <w:r>
        <w:t xml:space="preserve"> </w:t>
      </w:r>
      <w:r>
        <w:tab/>
      </w:r>
      <w:r w:rsidRPr="00E929D5">
        <w:t xml:space="preserve">APA Response to AER Information Request 007, p.11. </w:t>
      </w:r>
    </w:p>
  </w:footnote>
  <w:footnote w:id="70">
    <w:p w14:paraId="73C89CDE" w14:textId="77777777" w:rsidR="00DF5BF4" w:rsidRDefault="00DF5BF4" w:rsidP="002C7898">
      <w:pPr>
        <w:pStyle w:val="FootnoteText"/>
      </w:pPr>
      <w:r>
        <w:rPr>
          <w:rStyle w:val="FootnoteReference"/>
        </w:rPr>
        <w:footnoteRef/>
      </w:r>
      <w:r>
        <w:t xml:space="preserve"> </w:t>
      </w:r>
      <w:r>
        <w:tab/>
        <w:t>NGR, r. 79(1)(a).</w:t>
      </w:r>
    </w:p>
  </w:footnote>
  <w:footnote w:id="71">
    <w:p w14:paraId="3932B134" w14:textId="59406F4D" w:rsidR="00DF5BF4" w:rsidRDefault="00DF5BF4">
      <w:pPr>
        <w:pStyle w:val="FootnoteText"/>
      </w:pPr>
      <w:r>
        <w:rPr>
          <w:rStyle w:val="FootnoteReference"/>
        </w:rPr>
        <w:footnoteRef/>
      </w:r>
      <w:r>
        <w:t xml:space="preserve"> </w:t>
      </w:r>
      <w:r>
        <w:tab/>
      </w:r>
      <w:r w:rsidRPr="00EC4EA8">
        <w:t xml:space="preserve">APA Access Arrangement Revision Proposal Submission, p. </w:t>
      </w:r>
      <w:r>
        <w:t xml:space="preserve">94. </w:t>
      </w:r>
    </w:p>
  </w:footnote>
  <w:footnote w:id="72">
    <w:p w14:paraId="496C261D" w14:textId="413DED14" w:rsidR="00DF5BF4" w:rsidRDefault="00DF5BF4">
      <w:pPr>
        <w:pStyle w:val="FootnoteText"/>
      </w:pPr>
      <w:r>
        <w:rPr>
          <w:rStyle w:val="FootnoteReference"/>
        </w:rPr>
        <w:footnoteRef/>
      </w:r>
      <w:r>
        <w:t xml:space="preserve"> </w:t>
      </w:r>
      <w:r>
        <w:tab/>
      </w:r>
      <w:r w:rsidRPr="00EC4EA8">
        <w:t>APA Access Arrangement Revision Proposal Submission, p</w:t>
      </w:r>
      <w:r>
        <w:t>p</w:t>
      </w:r>
      <w:r w:rsidRPr="00EC4EA8">
        <w:t xml:space="preserve">. </w:t>
      </w:r>
      <w:r>
        <w:t>93-</w:t>
      </w:r>
      <w:r w:rsidRPr="00EC4EA8">
        <w:t xml:space="preserve">94. </w:t>
      </w:r>
    </w:p>
  </w:footnote>
  <w:footnote w:id="73">
    <w:p w14:paraId="436644C5" w14:textId="0C3C8308" w:rsidR="00DF5BF4" w:rsidRDefault="00DF5BF4">
      <w:pPr>
        <w:pStyle w:val="FootnoteText"/>
      </w:pPr>
      <w:r>
        <w:rPr>
          <w:rStyle w:val="FootnoteReference"/>
        </w:rPr>
        <w:footnoteRef/>
      </w:r>
      <w:r>
        <w:t xml:space="preserve"> </w:t>
      </w:r>
      <w:r>
        <w:tab/>
      </w:r>
      <w:r w:rsidRPr="00EC4EA8">
        <w:t xml:space="preserve">APA Access Arrangement Revision Proposal Submission, p. 94. </w:t>
      </w:r>
    </w:p>
  </w:footnote>
  <w:footnote w:id="74">
    <w:p w14:paraId="1F8CB24A" w14:textId="5801C0E8" w:rsidR="00DF5BF4" w:rsidRDefault="00DF5BF4" w:rsidP="00A952B5">
      <w:pPr>
        <w:pStyle w:val="FootnoteText"/>
      </w:pPr>
      <w:r>
        <w:rPr>
          <w:rStyle w:val="FootnoteReference"/>
        </w:rPr>
        <w:footnoteRef/>
      </w:r>
      <w:r>
        <w:t xml:space="preserve"> </w:t>
      </w:r>
      <w:r>
        <w:tab/>
      </w:r>
      <w:r w:rsidRPr="00D54027">
        <w:t>AEMO Submission</w:t>
      </w:r>
      <w:r>
        <w:t xml:space="preserve">, pp.2-3. </w:t>
      </w:r>
    </w:p>
  </w:footnote>
  <w:footnote w:id="75">
    <w:p w14:paraId="73A09254" w14:textId="229E1067" w:rsidR="00DF5BF4" w:rsidRDefault="00DF5BF4" w:rsidP="00A952B5">
      <w:pPr>
        <w:pStyle w:val="FootnoteText"/>
      </w:pPr>
      <w:r>
        <w:rPr>
          <w:rStyle w:val="FootnoteReference"/>
        </w:rPr>
        <w:footnoteRef/>
      </w:r>
      <w:r>
        <w:t xml:space="preserve"> </w:t>
      </w:r>
      <w:r>
        <w:tab/>
      </w:r>
      <w:r w:rsidRPr="00D54027">
        <w:t xml:space="preserve">AEMO Submission, pp.2-3. </w:t>
      </w:r>
    </w:p>
  </w:footnote>
  <w:footnote w:id="76">
    <w:p w14:paraId="721A8B5C" w14:textId="029D9947" w:rsidR="00DF5BF4" w:rsidRDefault="00DF5BF4" w:rsidP="00A952B5">
      <w:pPr>
        <w:pStyle w:val="FootnoteText"/>
      </w:pPr>
      <w:r>
        <w:rPr>
          <w:rStyle w:val="FootnoteReference"/>
        </w:rPr>
        <w:footnoteRef/>
      </w:r>
      <w:r>
        <w:t xml:space="preserve"> </w:t>
      </w:r>
      <w:r>
        <w:tab/>
      </w:r>
      <w:r w:rsidRPr="000028AF">
        <w:t xml:space="preserve">Lochard Energy, </w:t>
      </w:r>
      <w:r w:rsidRPr="00130352">
        <w:rPr>
          <w:rStyle w:val="AERtextitalic"/>
        </w:rPr>
        <w:t>APA Victorian Transmission System- Access Arrangement 2018-22</w:t>
      </w:r>
      <w:r>
        <w:rPr>
          <w:rStyle w:val="AERtextitalic"/>
        </w:rPr>
        <w:t xml:space="preserve"> Submission</w:t>
      </w:r>
      <w:r w:rsidRPr="000028AF">
        <w:t xml:space="preserve">, Consortium of Gas Market Participants, </w:t>
      </w:r>
      <w:r w:rsidRPr="000D0864">
        <w:rPr>
          <w:rStyle w:val="AERtextitalic"/>
        </w:rPr>
        <w:t>Submission to the Australian Energy Regulator re APA VTS Access Arrangement 2018-22</w:t>
      </w:r>
      <w:r w:rsidRPr="000028AF">
        <w:t xml:space="preserve">.    </w:t>
      </w:r>
    </w:p>
  </w:footnote>
  <w:footnote w:id="77">
    <w:p w14:paraId="16237995" w14:textId="24E80627" w:rsidR="00DF5BF4" w:rsidRDefault="00DF5BF4" w:rsidP="00A952B5">
      <w:pPr>
        <w:pStyle w:val="FootnoteText"/>
      </w:pPr>
      <w:r>
        <w:rPr>
          <w:rStyle w:val="FootnoteReference"/>
        </w:rPr>
        <w:footnoteRef/>
      </w:r>
      <w:r>
        <w:t xml:space="preserve"> </w:t>
      </w:r>
      <w:r>
        <w:tab/>
      </w:r>
      <w:r w:rsidRPr="00010FC2">
        <w:t>Sleeman Consulting Review</w:t>
      </w:r>
      <w:r>
        <w:t>, p.17.</w:t>
      </w:r>
    </w:p>
  </w:footnote>
  <w:footnote w:id="78">
    <w:p w14:paraId="69FC0D50" w14:textId="77777777" w:rsidR="00DF5BF4" w:rsidRDefault="00DF5BF4" w:rsidP="00A952B5">
      <w:pPr>
        <w:pStyle w:val="FootnoteText"/>
      </w:pPr>
      <w:r>
        <w:rPr>
          <w:rStyle w:val="FootnoteReference"/>
        </w:rPr>
        <w:footnoteRef/>
      </w:r>
      <w:r>
        <w:t xml:space="preserve"> </w:t>
      </w:r>
      <w:r>
        <w:tab/>
        <w:t>NGR, r. 79(1)(a).</w:t>
      </w:r>
    </w:p>
  </w:footnote>
  <w:footnote w:id="79">
    <w:p w14:paraId="05979B25" w14:textId="77777777" w:rsidR="00DF5BF4" w:rsidRDefault="00DF5BF4" w:rsidP="00A952B5">
      <w:pPr>
        <w:pStyle w:val="FootnoteText"/>
      </w:pPr>
      <w:r>
        <w:rPr>
          <w:rStyle w:val="FootnoteReference"/>
        </w:rPr>
        <w:footnoteRef/>
      </w:r>
      <w:r>
        <w:t xml:space="preserve"> </w:t>
      </w:r>
      <w:r>
        <w:tab/>
        <w:t>NGR, rr. 79(1)(b), 79(2)(c)(i) and 79(2)(c)(ii).</w:t>
      </w:r>
    </w:p>
  </w:footnote>
  <w:footnote w:id="80">
    <w:p w14:paraId="08F43DD1" w14:textId="49CA09D6" w:rsidR="00DF5BF4" w:rsidRDefault="00DF5BF4" w:rsidP="00022FB6">
      <w:pPr>
        <w:pStyle w:val="FootnoteText"/>
      </w:pPr>
      <w:r>
        <w:rPr>
          <w:rStyle w:val="FootnoteReference"/>
        </w:rPr>
        <w:footnoteRef/>
      </w:r>
      <w:r>
        <w:t xml:space="preserve"> </w:t>
      </w:r>
      <w:r>
        <w:tab/>
      </w:r>
      <w:r w:rsidRPr="00010FC2">
        <w:t xml:space="preserve">APA Access Arrangement Revision Proposal Submission, p. </w:t>
      </w:r>
      <w:r>
        <w:t xml:space="preserve">97. </w:t>
      </w:r>
    </w:p>
  </w:footnote>
  <w:footnote w:id="81">
    <w:p w14:paraId="1CF43333" w14:textId="66E83931" w:rsidR="00DF5BF4" w:rsidRDefault="00DF5BF4" w:rsidP="00022FB6">
      <w:pPr>
        <w:pStyle w:val="FootnoteText"/>
      </w:pPr>
      <w:r>
        <w:rPr>
          <w:rStyle w:val="FootnoteReference"/>
        </w:rPr>
        <w:footnoteRef/>
      </w:r>
      <w:r>
        <w:t xml:space="preserve"> </w:t>
      </w:r>
      <w:r>
        <w:tab/>
        <w:t xml:space="preserve">APA, </w:t>
      </w:r>
      <w:r w:rsidRPr="002E2C59">
        <w:rPr>
          <w:rStyle w:val="AERtextitalic"/>
        </w:rPr>
        <w:t>Business Case 504</w:t>
      </w:r>
      <w:r>
        <w:rPr>
          <w:rStyle w:val="AERtextitalic"/>
        </w:rPr>
        <w:t xml:space="preserve"> - </w:t>
      </w:r>
      <w:r w:rsidRPr="002E2C59">
        <w:rPr>
          <w:rStyle w:val="AERtextitalic"/>
        </w:rPr>
        <w:t>Western Outer Ring Main (WORM) - Easement</w:t>
      </w:r>
      <w:r>
        <w:t xml:space="preserve">, January 2017, pp. 9–11.  </w:t>
      </w:r>
    </w:p>
  </w:footnote>
  <w:footnote w:id="82">
    <w:p w14:paraId="04FFAECB" w14:textId="0C4EED54" w:rsidR="00DF5BF4" w:rsidRPr="004063E7" w:rsidRDefault="00DF5BF4" w:rsidP="004063E7">
      <w:pPr>
        <w:pStyle w:val="FootnoteText"/>
      </w:pPr>
      <w:r>
        <w:rPr>
          <w:rStyle w:val="FootnoteReference"/>
        </w:rPr>
        <w:footnoteRef/>
      </w:r>
      <w:r>
        <w:t xml:space="preserve"> </w:t>
      </w:r>
      <w:r>
        <w:tab/>
      </w:r>
      <w:r w:rsidRPr="004063E7">
        <w:t xml:space="preserve">AEMO, </w:t>
      </w:r>
      <w:r w:rsidRPr="00010518">
        <w:rPr>
          <w:rStyle w:val="AERtextitalic"/>
        </w:rPr>
        <w:t>Victorian Gas Planning Report: Declared Transmission System Planning for Victoria</w:t>
      </w:r>
      <w:r w:rsidRPr="004063E7">
        <w:t>, March 2017.</w:t>
      </w:r>
    </w:p>
    <w:p w14:paraId="594FEBF8" w14:textId="4FD7DEED" w:rsidR="00DF5BF4" w:rsidRDefault="00DF5BF4" w:rsidP="000D0036">
      <w:pPr>
        <w:pStyle w:val="FootnoteText"/>
      </w:pPr>
      <w:r w:rsidRPr="004063E7">
        <w:t xml:space="preserve">  </w:t>
      </w:r>
      <w:r w:rsidRPr="004063E7">
        <w:tab/>
        <w:t xml:space="preserve">AEMO, </w:t>
      </w:r>
      <w:r w:rsidRPr="00010518">
        <w:rPr>
          <w:rStyle w:val="AERtextitalic"/>
        </w:rPr>
        <w:t>Gas Statement of Opportunities: For Eastern and South-Eastern Australia</w:t>
      </w:r>
      <w:r w:rsidRPr="004063E7">
        <w:t xml:space="preserve">, March 2017. </w:t>
      </w:r>
    </w:p>
  </w:footnote>
  <w:footnote w:id="83">
    <w:p w14:paraId="3300F01E" w14:textId="3BB85F5D" w:rsidR="00DF5BF4" w:rsidRDefault="00DF5BF4">
      <w:pPr>
        <w:pStyle w:val="FootnoteText"/>
      </w:pPr>
      <w:r>
        <w:rPr>
          <w:rStyle w:val="FootnoteReference"/>
        </w:rPr>
        <w:footnoteRef/>
      </w:r>
      <w:r>
        <w:t xml:space="preserve"> </w:t>
      </w:r>
      <w:r>
        <w:tab/>
      </w:r>
      <w:r w:rsidRPr="004063E7">
        <w:t xml:space="preserve">AEMO, </w:t>
      </w:r>
      <w:r w:rsidRPr="00010518">
        <w:rPr>
          <w:rStyle w:val="AERtextitalic"/>
        </w:rPr>
        <w:t>Notice of a Threat to System Security – Seeking a Market Response</w:t>
      </w:r>
      <w:r w:rsidRPr="004063E7">
        <w:t xml:space="preserve">, 10 March 2017 &lt; https://www.aemo.com.au/-/media/Files/Gas/DWGM/2017/Threat-to-System-Security-Notice---SWP-to-Port-Campbell-constraint.pdf&gt;, AEMO, </w:t>
      </w:r>
      <w:r w:rsidRPr="00010518">
        <w:rPr>
          <w:rStyle w:val="AERtextitalic"/>
        </w:rPr>
        <w:t>Notice of a Threat to System Security</w:t>
      </w:r>
      <w:r w:rsidRPr="004063E7">
        <w:t>, 10 March 2017 &lt; https://www.aemo.com.au/-/media/Files/Gas/DWGM/2017/Threat-to-System-Security-Notice---Warragul.pdf&gt;</w:t>
      </w:r>
    </w:p>
  </w:footnote>
  <w:footnote w:id="84">
    <w:p w14:paraId="0494F01A" w14:textId="77777777" w:rsidR="00DF5BF4" w:rsidRDefault="00DF5BF4" w:rsidP="00FD5F0A">
      <w:pPr>
        <w:pStyle w:val="FootnoteText"/>
      </w:pPr>
      <w:r>
        <w:rPr>
          <w:rStyle w:val="FootnoteReference"/>
        </w:rPr>
        <w:footnoteRef/>
      </w:r>
      <w:r>
        <w:t xml:space="preserve"> </w:t>
      </w:r>
      <w:r>
        <w:tab/>
      </w:r>
      <w:r w:rsidRPr="00957003">
        <w:t>APA Revised Access Arrangement Submission (WORM)</w:t>
      </w:r>
      <w:r>
        <w:t xml:space="preserve">. </w:t>
      </w:r>
    </w:p>
    <w:p w14:paraId="60CBC120" w14:textId="77777777" w:rsidR="00DF5BF4" w:rsidRDefault="00DF5BF4" w:rsidP="00FD5F0A">
      <w:pPr>
        <w:pStyle w:val="FootnoteText"/>
      </w:pPr>
      <w:r>
        <w:tab/>
        <w:t xml:space="preserve">APA, </w:t>
      </w:r>
      <w:r>
        <w:rPr>
          <w:rStyle w:val="AERtextitalic"/>
        </w:rPr>
        <w:t xml:space="preserve">Business Case 506 - </w:t>
      </w:r>
      <w:r w:rsidRPr="002E2C59">
        <w:rPr>
          <w:rStyle w:val="AERtextitalic"/>
        </w:rPr>
        <w:t xml:space="preserve">Western Outer Ring Main (WORM) </w:t>
      </w:r>
      <w:r>
        <w:rPr>
          <w:rStyle w:val="AERtextitalic"/>
        </w:rPr>
        <w:t>Project</w:t>
      </w:r>
      <w:r>
        <w:t>, 21 April 2017</w:t>
      </w:r>
    </w:p>
  </w:footnote>
  <w:footnote w:id="85">
    <w:p w14:paraId="0B427FC0" w14:textId="66D0EE93" w:rsidR="00DF5BF4" w:rsidRDefault="00DF5BF4" w:rsidP="00022FB6">
      <w:pPr>
        <w:pStyle w:val="FootnoteText"/>
      </w:pPr>
      <w:r>
        <w:rPr>
          <w:rStyle w:val="FootnoteReference"/>
        </w:rPr>
        <w:footnoteRef/>
      </w:r>
      <w:r>
        <w:t xml:space="preserve"> </w:t>
      </w:r>
      <w:r>
        <w:tab/>
      </w:r>
      <w:r w:rsidRPr="00957003">
        <w:t>APA Revised Access Arrangement Submission (WORM)</w:t>
      </w:r>
      <w:r>
        <w:t xml:space="preserve">, p. 22. </w:t>
      </w:r>
    </w:p>
  </w:footnote>
  <w:footnote w:id="86">
    <w:p w14:paraId="112BA898" w14:textId="5DFFFBB4" w:rsidR="00DF5BF4" w:rsidRDefault="00DF5BF4" w:rsidP="00022FB6">
      <w:pPr>
        <w:pStyle w:val="FootnoteText"/>
      </w:pPr>
      <w:r>
        <w:rPr>
          <w:rStyle w:val="FootnoteReference"/>
        </w:rPr>
        <w:footnoteRef/>
      </w:r>
      <w:r>
        <w:t xml:space="preserve"> </w:t>
      </w:r>
      <w:r>
        <w:tab/>
        <w:t xml:space="preserve">AEMO issued a Notice of Threat to System Security, with a risk of curtailment of supply in the north and east of Victoria, as a result of a 6 hour outage at the Longford Gas Plant: </w:t>
      </w:r>
      <w:r w:rsidRPr="00957003">
        <w:t>APA Revised Access Arrangement Submission (WORM)</w:t>
      </w:r>
      <w:r>
        <w:t>, p.23, APA</w:t>
      </w:r>
      <w:r w:rsidRPr="00F73AF0">
        <w:t xml:space="preserve">, </w:t>
      </w:r>
      <w:r>
        <w:t xml:space="preserve">APA, </w:t>
      </w:r>
      <w:r w:rsidRPr="000D0864">
        <w:rPr>
          <w:rStyle w:val="AERtextitalic"/>
        </w:rPr>
        <w:t>Business Case 506</w:t>
      </w:r>
      <w:r>
        <w:t>, p. 1.</w:t>
      </w:r>
    </w:p>
  </w:footnote>
  <w:footnote w:id="87">
    <w:p w14:paraId="52EF7967" w14:textId="08E0C570" w:rsidR="00DF5BF4" w:rsidRDefault="00DF5BF4" w:rsidP="00022FB6">
      <w:pPr>
        <w:pStyle w:val="FootnoteText"/>
      </w:pPr>
      <w:r>
        <w:rPr>
          <w:rStyle w:val="FootnoteReference"/>
        </w:rPr>
        <w:footnoteRef/>
      </w:r>
      <w:r>
        <w:t xml:space="preserve"> </w:t>
      </w:r>
      <w:r>
        <w:tab/>
      </w:r>
      <w:r w:rsidRPr="00957003">
        <w:t>APA Revised Access Arrangement Submission (WORM)</w:t>
      </w:r>
      <w:r>
        <w:t xml:space="preserve">, p. 23. </w:t>
      </w:r>
    </w:p>
  </w:footnote>
  <w:footnote w:id="88">
    <w:p w14:paraId="4811485F" w14:textId="32031435" w:rsidR="00DF5BF4" w:rsidRDefault="00DF5BF4" w:rsidP="00022FB6">
      <w:pPr>
        <w:pStyle w:val="FootnoteText"/>
      </w:pPr>
      <w:r>
        <w:rPr>
          <w:rStyle w:val="FootnoteReference"/>
        </w:rPr>
        <w:footnoteRef/>
      </w:r>
      <w:r>
        <w:t xml:space="preserve"> </w:t>
      </w:r>
      <w:r>
        <w:tab/>
        <w:t xml:space="preserve">AEMO, </w:t>
      </w:r>
      <w:r w:rsidRPr="00D262F5">
        <w:rPr>
          <w:rStyle w:val="AERtextitalic"/>
        </w:rPr>
        <w:t>APA VTS Access Arrangement 2018–2022 - WORM supplementary submission</w:t>
      </w:r>
      <w:r>
        <w:t>, 16 May</w:t>
      </w:r>
      <w:r w:rsidRPr="00597A06">
        <w:t xml:space="preserve"> 2017</w:t>
      </w:r>
      <w:r>
        <w:t xml:space="preserve">, p. 1 (AEMO Supplementary Submission (WORM)). </w:t>
      </w:r>
    </w:p>
  </w:footnote>
  <w:footnote w:id="89">
    <w:p w14:paraId="5A124A30" w14:textId="7D22C692" w:rsidR="00DF5BF4" w:rsidRDefault="00DF5BF4" w:rsidP="00022FB6">
      <w:pPr>
        <w:pStyle w:val="FootnoteText"/>
      </w:pPr>
      <w:r>
        <w:rPr>
          <w:rStyle w:val="FootnoteReference"/>
        </w:rPr>
        <w:footnoteRef/>
      </w:r>
      <w:r>
        <w:t xml:space="preserve"> </w:t>
      </w:r>
      <w:r>
        <w:tab/>
        <w:t xml:space="preserve">In particular, steady industrial demand being replaced by variable residential and commercial demand, as well as highly variable (peaky) GPG demand: </w:t>
      </w:r>
      <w:r w:rsidRPr="00652753">
        <w:t>AEMO S</w:t>
      </w:r>
      <w:r>
        <w:t xml:space="preserve">upplementary Submission (WORM)), p.1.  </w:t>
      </w:r>
    </w:p>
  </w:footnote>
  <w:footnote w:id="90">
    <w:p w14:paraId="0AB4FFF0" w14:textId="3A28C07B" w:rsidR="00DF5BF4" w:rsidRDefault="00DF5BF4" w:rsidP="00022FB6">
      <w:pPr>
        <w:pStyle w:val="FootnoteText"/>
      </w:pPr>
      <w:r>
        <w:rPr>
          <w:rStyle w:val="FootnoteReference"/>
        </w:rPr>
        <w:footnoteRef/>
      </w:r>
      <w:r>
        <w:t xml:space="preserve"> </w:t>
      </w:r>
      <w:r>
        <w:tab/>
        <w:t xml:space="preserve">Consumer Challenge Panel Sub-Panel CCP 11, </w:t>
      </w:r>
      <w:r w:rsidRPr="009F4B25">
        <w:rPr>
          <w:rStyle w:val="AERtextitalic"/>
        </w:rPr>
        <w:t xml:space="preserve">Response to </w:t>
      </w:r>
      <w:r>
        <w:rPr>
          <w:rStyle w:val="AERtextitalic"/>
        </w:rPr>
        <w:t xml:space="preserve">APA </w:t>
      </w:r>
      <w:r w:rsidRPr="009F4B25">
        <w:rPr>
          <w:rStyle w:val="AERtextitalic"/>
        </w:rPr>
        <w:t xml:space="preserve">proposal </w:t>
      </w:r>
      <w:r>
        <w:rPr>
          <w:rStyle w:val="AERtextitalic"/>
        </w:rPr>
        <w:t xml:space="preserve">to complete the WORM in the </w:t>
      </w:r>
      <w:r w:rsidRPr="009F4B25">
        <w:rPr>
          <w:rStyle w:val="AERtextitalic"/>
        </w:rPr>
        <w:t>2018</w:t>
      </w:r>
      <w:r>
        <w:rPr>
          <w:rStyle w:val="AERtextitalic"/>
        </w:rPr>
        <w:t xml:space="preserve">-22 </w:t>
      </w:r>
      <w:r w:rsidRPr="009F4B25">
        <w:rPr>
          <w:rStyle w:val="AERtextitalic"/>
        </w:rPr>
        <w:t>access arrangement period</w:t>
      </w:r>
      <w:r>
        <w:t>, 23 May 2017, p. 3 (CCP11 WORM Submission).</w:t>
      </w:r>
    </w:p>
  </w:footnote>
  <w:footnote w:id="91">
    <w:p w14:paraId="5CCB4E43" w14:textId="77777777" w:rsidR="00DF5BF4" w:rsidRDefault="00DF5BF4" w:rsidP="00022FB6">
      <w:pPr>
        <w:pStyle w:val="FootnoteText"/>
      </w:pPr>
      <w:r>
        <w:rPr>
          <w:rStyle w:val="FootnoteReference"/>
        </w:rPr>
        <w:footnoteRef/>
      </w:r>
      <w:r>
        <w:t xml:space="preserve"> </w:t>
      </w:r>
      <w:r>
        <w:tab/>
        <w:t>CCP11 WORM Submission, p. 4.</w:t>
      </w:r>
    </w:p>
  </w:footnote>
  <w:footnote w:id="92">
    <w:p w14:paraId="7E864364" w14:textId="77777777" w:rsidR="00DF5BF4" w:rsidRDefault="00DF5BF4" w:rsidP="00022FB6">
      <w:pPr>
        <w:pStyle w:val="FootnoteText"/>
      </w:pPr>
      <w:r>
        <w:rPr>
          <w:rStyle w:val="FootnoteReference"/>
        </w:rPr>
        <w:footnoteRef/>
      </w:r>
      <w:r>
        <w:t xml:space="preserve"> </w:t>
      </w:r>
      <w:r>
        <w:tab/>
        <w:t>CCP11 WORM Submission, p. 5.</w:t>
      </w:r>
    </w:p>
  </w:footnote>
  <w:footnote w:id="93">
    <w:p w14:paraId="618515BE" w14:textId="25BEC622" w:rsidR="00DF5BF4" w:rsidRDefault="00DF5BF4">
      <w:pPr>
        <w:pStyle w:val="FootnoteText"/>
      </w:pPr>
      <w:r>
        <w:rPr>
          <w:rStyle w:val="FootnoteReference"/>
        </w:rPr>
        <w:footnoteRef/>
      </w:r>
      <w:r>
        <w:t xml:space="preserve"> </w:t>
      </w:r>
      <w:r>
        <w:tab/>
        <w:t xml:space="preserve">Australian Energy Regulator, </w:t>
      </w:r>
      <w:r w:rsidRPr="00AD51C2">
        <w:rPr>
          <w:rStyle w:val="AERtextitalic"/>
        </w:rPr>
        <w:t>2013-17 APA GasNet Final Decision - Part 2</w:t>
      </w:r>
      <w:r>
        <w:t xml:space="preserve">, p.41. </w:t>
      </w:r>
    </w:p>
  </w:footnote>
  <w:footnote w:id="94">
    <w:p w14:paraId="3203BD78" w14:textId="1A11881B" w:rsidR="00DF5BF4" w:rsidRDefault="00DF5BF4">
      <w:pPr>
        <w:pStyle w:val="FootnoteText"/>
      </w:pPr>
      <w:r>
        <w:rPr>
          <w:rStyle w:val="FootnoteReference"/>
        </w:rPr>
        <w:footnoteRef/>
      </w:r>
      <w:r>
        <w:t xml:space="preserve"> </w:t>
      </w:r>
      <w:r>
        <w:tab/>
        <w:t xml:space="preserve">AER, </w:t>
      </w:r>
      <w:r w:rsidRPr="000D0864">
        <w:rPr>
          <w:rStyle w:val="AERtextitalic"/>
        </w:rPr>
        <w:t>APA GasNet Access Arrangement 2013-17 Final Decision</w:t>
      </w:r>
      <w:r>
        <w:t>, 2012. p</w:t>
      </w:r>
      <w:r w:rsidRPr="00272D2D">
        <w:t>.</w:t>
      </w:r>
      <w:r>
        <w:t>56.</w:t>
      </w:r>
      <w:r w:rsidRPr="00272D2D">
        <w:t xml:space="preserve">  </w:t>
      </w:r>
    </w:p>
  </w:footnote>
  <w:footnote w:id="95">
    <w:p w14:paraId="620E951C" w14:textId="77777777" w:rsidR="00DF5BF4" w:rsidRDefault="00DF5BF4" w:rsidP="00262E5A">
      <w:pPr>
        <w:pStyle w:val="FootnoteText"/>
      </w:pPr>
      <w:r>
        <w:rPr>
          <w:rStyle w:val="FootnoteReference"/>
        </w:rPr>
        <w:footnoteRef/>
      </w:r>
      <w:r>
        <w:t xml:space="preserve"> </w:t>
      </w:r>
      <w:r>
        <w:tab/>
      </w:r>
      <w:r w:rsidRPr="00272D2D">
        <w:t xml:space="preserve">APA GasNet, </w:t>
      </w:r>
      <w:r w:rsidRPr="00617787">
        <w:rPr>
          <w:rStyle w:val="AERtextitalic"/>
        </w:rPr>
        <w:t>Revised access arrangement submission</w:t>
      </w:r>
      <w:r w:rsidRPr="00272D2D">
        <w:t xml:space="preserve">, November 2012, p. 27.  </w:t>
      </w:r>
    </w:p>
  </w:footnote>
  <w:footnote w:id="96">
    <w:p w14:paraId="54312679" w14:textId="1812962F" w:rsidR="00DF5BF4" w:rsidRDefault="00DF5BF4">
      <w:pPr>
        <w:pStyle w:val="FootnoteText"/>
      </w:pPr>
      <w:r>
        <w:rPr>
          <w:rStyle w:val="FootnoteReference"/>
        </w:rPr>
        <w:footnoteRef/>
      </w:r>
      <w:r>
        <w:t xml:space="preserve">     </w:t>
      </w:r>
      <w:r w:rsidRPr="00DF5BF4">
        <w:t>APA Access Arrangement Revision Proposal Submission, p</w:t>
      </w:r>
      <w:r>
        <w:t xml:space="preserve"> .96. </w:t>
      </w:r>
    </w:p>
  </w:footnote>
  <w:footnote w:id="97">
    <w:p w14:paraId="7FD45879" w14:textId="77777777" w:rsidR="00DF5BF4" w:rsidRDefault="00DF5BF4" w:rsidP="00022FB6">
      <w:pPr>
        <w:pStyle w:val="FootnoteText"/>
      </w:pPr>
      <w:r>
        <w:rPr>
          <w:rStyle w:val="FootnoteReference"/>
        </w:rPr>
        <w:footnoteRef/>
      </w:r>
      <w:r>
        <w:t xml:space="preserve"> </w:t>
      </w:r>
      <w:r>
        <w:tab/>
        <w:t xml:space="preserve">NGR, </w:t>
      </w:r>
      <w:proofErr w:type="gramStart"/>
      <w:r>
        <w:t>rr</w:t>
      </w:r>
      <w:proofErr w:type="gramEnd"/>
      <w:r>
        <w:t>. 79(1), 79(2)(c)(ii) and 79(2)(c)(iv).</w:t>
      </w:r>
    </w:p>
  </w:footnote>
  <w:footnote w:id="98">
    <w:p w14:paraId="1053119F" w14:textId="486D08AC" w:rsidR="00DF5BF4" w:rsidRDefault="00DF5BF4" w:rsidP="00022FB6">
      <w:pPr>
        <w:pStyle w:val="FootnoteText"/>
      </w:pPr>
      <w:r>
        <w:rPr>
          <w:rStyle w:val="FootnoteReference"/>
        </w:rPr>
        <w:footnoteRef/>
      </w:r>
      <w:r>
        <w:t xml:space="preserve"> </w:t>
      </w:r>
      <w:r>
        <w:tab/>
        <w:t xml:space="preserve">AER, </w:t>
      </w:r>
      <w:r w:rsidRPr="000D0864">
        <w:rPr>
          <w:rStyle w:val="AERtextitalic"/>
        </w:rPr>
        <w:t>APA GasNet Access Arrangement 2013-17 Final Decision</w:t>
      </w:r>
      <w:r>
        <w:t xml:space="preserve">, 2012. </w:t>
      </w:r>
    </w:p>
  </w:footnote>
  <w:footnote w:id="99">
    <w:p w14:paraId="5DD7B762" w14:textId="77777777" w:rsidR="00DF5BF4" w:rsidRDefault="00DF5BF4" w:rsidP="00022FB6">
      <w:pPr>
        <w:pStyle w:val="FootnoteText"/>
      </w:pPr>
      <w:r>
        <w:rPr>
          <w:rStyle w:val="FootnoteReference"/>
        </w:rPr>
        <w:footnoteRef/>
      </w:r>
      <w:r>
        <w:t xml:space="preserve"> </w:t>
      </w:r>
      <w:r>
        <w:tab/>
      </w:r>
      <w:r w:rsidRPr="00F62D06">
        <w:t xml:space="preserve">Sleeman Consulting, </w:t>
      </w:r>
      <w:r w:rsidRPr="007476AB">
        <w:rPr>
          <w:rStyle w:val="AERtextitalic"/>
        </w:rPr>
        <w:t>Western Outer Ring Main Project Capex Related Considerations</w:t>
      </w:r>
      <w:r w:rsidRPr="00F62D06">
        <w:t xml:space="preserve">, </w:t>
      </w:r>
      <w:r>
        <w:t>May</w:t>
      </w:r>
      <w:r w:rsidRPr="00F62D06">
        <w:t xml:space="preserve"> 2017, p.</w:t>
      </w:r>
      <w:r>
        <w:t xml:space="preserve"> 3 (Sleeman Consulting WORM Report).</w:t>
      </w:r>
    </w:p>
  </w:footnote>
  <w:footnote w:id="100">
    <w:p w14:paraId="37A31467" w14:textId="19F28E18" w:rsidR="00DF5BF4" w:rsidRDefault="00DF5BF4" w:rsidP="00022FB6">
      <w:pPr>
        <w:pStyle w:val="FootnoteText"/>
      </w:pPr>
      <w:r>
        <w:rPr>
          <w:rStyle w:val="FootnoteReference"/>
        </w:rPr>
        <w:footnoteRef/>
      </w:r>
      <w:r>
        <w:t xml:space="preserve"> </w:t>
      </w:r>
      <w:r>
        <w:tab/>
        <w:t>Sleeman Consulting WORM Report</w:t>
      </w:r>
      <w:r w:rsidRPr="00F62D06">
        <w:t>, p.</w:t>
      </w:r>
      <w:r>
        <w:t xml:space="preserve"> 9.</w:t>
      </w:r>
      <w:r w:rsidRPr="00B04AB4">
        <w:t xml:space="preserve"> </w:t>
      </w:r>
      <w:r>
        <w:t>In particular, t</w:t>
      </w:r>
      <w:r w:rsidRPr="00B04AB4">
        <w:t xml:space="preserve">he A$/US$ exchange rate rose over 30 per cent impacting on the cost of overseas sourced material (i.e. the Wollert compressor, steel pipes and fittings). </w:t>
      </w:r>
      <w:r>
        <w:t>F</w:t>
      </w:r>
      <w:r w:rsidRPr="00B04AB4">
        <w:t>orecast land easement acquisition costs have increased 60</w:t>
      </w:r>
      <w:r>
        <w:t xml:space="preserve"> per cent</w:t>
      </w:r>
      <w:r w:rsidRPr="00B04AB4">
        <w:t>.</w:t>
      </w:r>
    </w:p>
  </w:footnote>
  <w:footnote w:id="101">
    <w:p w14:paraId="0652792E" w14:textId="77777777" w:rsidR="00DF5BF4" w:rsidRDefault="00DF5BF4" w:rsidP="00022FB6">
      <w:pPr>
        <w:pStyle w:val="FootnoteText"/>
      </w:pPr>
      <w:r>
        <w:rPr>
          <w:rStyle w:val="FootnoteReference"/>
        </w:rPr>
        <w:footnoteRef/>
      </w:r>
      <w:r>
        <w:t xml:space="preserve"> </w:t>
      </w:r>
      <w:r>
        <w:tab/>
        <w:t>NGR, r. 79(1)(a).</w:t>
      </w:r>
    </w:p>
  </w:footnote>
  <w:footnote w:id="102">
    <w:p w14:paraId="3F71255E" w14:textId="5B88EF19" w:rsidR="00DF5BF4" w:rsidRDefault="00DF5BF4" w:rsidP="00852DA1">
      <w:pPr>
        <w:pStyle w:val="FootnoteText"/>
      </w:pPr>
      <w:r>
        <w:rPr>
          <w:rStyle w:val="FootnoteReference"/>
        </w:rPr>
        <w:footnoteRef/>
      </w:r>
      <w:r>
        <w:t xml:space="preserve"> </w:t>
      </w:r>
      <w:r>
        <w:tab/>
      </w:r>
      <w:r w:rsidRPr="00374AB6">
        <w:t xml:space="preserve">APA Access Arrangement Revision Proposal Submission, p. </w:t>
      </w:r>
      <w:r>
        <w:t>87, APA</w:t>
      </w:r>
      <w:r w:rsidRPr="00D60D48">
        <w:t xml:space="preserve">, </w:t>
      </w:r>
      <w:r w:rsidRPr="000D0864">
        <w:rPr>
          <w:rStyle w:val="AERtextitalic"/>
        </w:rPr>
        <w:t>Response to information request AER APA VTS 002</w:t>
      </w:r>
      <w:r>
        <w:t>, 23 February 2017, p.2 and the revised capex model.</w:t>
      </w:r>
    </w:p>
  </w:footnote>
  <w:footnote w:id="103">
    <w:p w14:paraId="72B35F1D" w14:textId="77777777" w:rsidR="00DF5BF4" w:rsidRDefault="00DF5BF4" w:rsidP="00852DA1">
      <w:pPr>
        <w:pStyle w:val="FootnoteText"/>
      </w:pPr>
      <w:r>
        <w:rPr>
          <w:rStyle w:val="FootnoteReference"/>
        </w:rPr>
        <w:footnoteRef/>
      </w:r>
      <w:r>
        <w:t xml:space="preserve"> </w:t>
      </w:r>
      <w:r>
        <w:tab/>
        <w:t>NGR, rr. 79(1), 79(2)(c)(i) and 79(2)(c)(ii).</w:t>
      </w:r>
    </w:p>
  </w:footnote>
  <w:footnote w:id="104">
    <w:p w14:paraId="0A5C1C84" w14:textId="30227E5F" w:rsidR="00DF5BF4" w:rsidRDefault="00DF5BF4" w:rsidP="00453A7D">
      <w:pPr>
        <w:pStyle w:val="FootnoteText"/>
      </w:pPr>
      <w:r>
        <w:rPr>
          <w:rStyle w:val="FootnoteReference"/>
        </w:rPr>
        <w:footnoteRef/>
      </w:r>
      <w:r>
        <w:t xml:space="preserve"> </w:t>
      </w:r>
      <w:r>
        <w:tab/>
      </w:r>
      <w:r w:rsidRPr="00374AB6">
        <w:t>APA Access Arrangement Revision Proposal Submission,</w:t>
      </w:r>
      <w:r>
        <w:t xml:space="preserve"> </w:t>
      </w:r>
      <w:r w:rsidRPr="00351C0A">
        <w:t>p.</w:t>
      </w:r>
      <w:r>
        <w:t xml:space="preserve"> 75. </w:t>
      </w:r>
    </w:p>
  </w:footnote>
  <w:footnote w:id="105">
    <w:p w14:paraId="0ABEB1EC" w14:textId="6685F744" w:rsidR="00DF5BF4" w:rsidRDefault="00DF5BF4" w:rsidP="00453A7D">
      <w:pPr>
        <w:pStyle w:val="FootnoteText"/>
      </w:pPr>
      <w:r>
        <w:rPr>
          <w:rStyle w:val="FootnoteReference"/>
        </w:rPr>
        <w:footnoteRef/>
      </w:r>
      <w:r>
        <w:t xml:space="preserve"> </w:t>
      </w:r>
      <w:r>
        <w:tab/>
      </w:r>
      <w:r w:rsidRPr="00351C0A">
        <w:t xml:space="preserve">APA, </w:t>
      </w:r>
      <w:r w:rsidRPr="000D0864">
        <w:rPr>
          <w:rStyle w:val="AERtextitalic"/>
        </w:rPr>
        <w:t>Pipeline Integrity Business Case Number 257, 258 and 259</w:t>
      </w:r>
      <w:r>
        <w:t>.</w:t>
      </w:r>
      <w:r w:rsidRPr="00351C0A">
        <w:t xml:space="preserve"> </w:t>
      </w:r>
      <w:r w:rsidRPr="00374AB6">
        <w:t xml:space="preserve">APA Access Arrangement Revision Proposal Submission, </w:t>
      </w:r>
      <w:r>
        <w:t xml:space="preserve">pp. 98-100. </w:t>
      </w:r>
    </w:p>
  </w:footnote>
  <w:footnote w:id="106">
    <w:p w14:paraId="50BC6687" w14:textId="00DB9E3C" w:rsidR="00DF5BF4" w:rsidRDefault="00DF5BF4" w:rsidP="00453A7D">
      <w:pPr>
        <w:pStyle w:val="FootnoteText"/>
        <w:ind w:left="284" w:hanging="284"/>
      </w:pPr>
      <w:r>
        <w:rPr>
          <w:rStyle w:val="FootnoteReference"/>
        </w:rPr>
        <w:footnoteRef/>
      </w:r>
      <w:r>
        <w:t xml:space="preserve"> </w:t>
      </w:r>
      <w:r>
        <w:tab/>
        <w:t xml:space="preserve">CCP11 Submission, pp. 25- 26.  </w:t>
      </w:r>
    </w:p>
  </w:footnote>
  <w:footnote w:id="107">
    <w:p w14:paraId="66B620EF" w14:textId="77777777" w:rsidR="00DF5BF4" w:rsidRDefault="00DF5BF4" w:rsidP="00453A7D">
      <w:pPr>
        <w:pStyle w:val="FootnoteText"/>
      </w:pPr>
      <w:r>
        <w:rPr>
          <w:rStyle w:val="FootnoteReference"/>
        </w:rPr>
        <w:footnoteRef/>
      </w:r>
      <w:r>
        <w:t xml:space="preserve"> </w:t>
      </w:r>
      <w:r>
        <w:tab/>
        <w:t>NGR, r. 69.</w:t>
      </w:r>
    </w:p>
  </w:footnote>
  <w:footnote w:id="108">
    <w:p w14:paraId="741A4D22" w14:textId="5BA731DC" w:rsidR="00DF5BF4" w:rsidRDefault="00DF5BF4" w:rsidP="00453A7D">
      <w:pPr>
        <w:pStyle w:val="FootnoteText"/>
      </w:pPr>
      <w:r>
        <w:rPr>
          <w:rStyle w:val="FootnoteReference"/>
        </w:rPr>
        <w:footnoteRef/>
      </w:r>
      <w:r>
        <w:t xml:space="preserve"> </w:t>
      </w:r>
      <w:r>
        <w:tab/>
      </w:r>
      <w:r w:rsidRPr="00A66640">
        <w:t xml:space="preserve">APA, </w:t>
      </w:r>
      <w:r w:rsidRPr="000D0864">
        <w:rPr>
          <w:rStyle w:val="AERtextitalic"/>
        </w:rPr>
        <w:t>Pipeline Integrity Business Case Number 257, 258 and 259</w:t>
      </w:r>
      <w:r>
        <w:t xml:space="preserve">, p. 2,  </w:t>
      </w:r>
      <w:r w:rsidRPr="00374AB6">
        <w:t xml:space="preserve">APA Access Arrangement Revision Proposal Submission, </w:t>
      </w:r>
      <w:r w:rsidRPr="00351C0A">
        <w:t>p.</w:t>
      </w:r>
      <w:r>
        <w:t xml:space="preserve"> 76. </w:t>
      </w:r>
    </w:p>
  </w:footnote>
  <w:footnote w:id="109">
    <w:p w14:paraId="300E092A" w14:textId="2A3F55B2" w:rsidR="00DF5BF4" w:rsidRDefault="00DF5BF4" w:rsidP="00453A7D">
      <w:pPr>
        <w:pStyle w:val="FootnoteText"/>
      </w:pPr>
      <w:r>
        <w:rPr>
          <w:rStyle w:val="FootnoteReference"/>
        </w:rPr>
        <w:footnoteRef/>
      </w:r>
      <w:r>
        <w:t xml:space="preserve"> </w:t>
      </w:r>
      <w:r>
        <w:tab/>
      </w:r>
      <w:r w:rsidRPr="00374AB6">
        <w:t xml:space="preserve">CCP11 Submission, pp. 25- </w:t>
      </w:r>
      <w:r>
        <w:t>26, see also the Victorian Pipeline Regulations (2007) and the Australian Standard (AS2885.3:2012), which also treat pigging is an ongoing maintenance activity, requiring that: 'periodic inspections shall be a carried out to identify actual and potential problems that could affect the integrity of the pipeline'. APA classifies pigging as an operational expense for tax purposes:</w:t>
      </w:r>
      <w:r w:rsidRPr="002D6B08">
        <w:t xml:space="preserve"> </w:t>
      </w:r>
      <w:r w:rsidRPr="00374AB6">
        <w:t xml:space="preserve">APA Access Arrangement Revision Proposal Submission, </w:t>
      </w:r>
      <w:r w:rsidRPr="00F73AF0">
        <w:t>p</w:t>
      </w:r>
      <w:r>
        <w:t>.213.</w:t>
      </w:r>
    </w:p>
  </w:footnote>
  <w:footnote w:id="110">
    <w:p w14:paraId="142B5646" w14:textId="41CE08B8" w:rsidR="00DF5BF4" w:rsidRDefault="00DF5BF4">
      <w:pPr>
        <w:pStyle w:val="FootnoteText"/>
      </w:pPr>
      <w:r>
        <w:rPr>
          <w:rStyle w:val="FootnoteReference"/>
        </w:rPr>
        <w:footnoteRef/>
      </w:r>
      <w:r>
        <w:t xml:space="preserve"> </w:t>
      </w:r>
      <w:r>
        <w:tab/>
        <w:t>NGR, r. 69.</w:t>
      </w:r>
    </w:p>
  </w:footnote>
  <w:footnote w:id="111">
    <w:p w14:paraId="1B60ED4C" w14:textId="182FA044" w:rsidR="00DF5BF4" w:rsidRDefault="00DF5BF4" w:rsidP="005606A4">
      <w:pPr>
        <w:pStyle w:val="FootnoteText"/>
      </w:pPr>
      <w:r>
        <w:rPr>
          <w:rStyle w:val="FootnoteReference"/>
        </w:rPr>
        <w:footnoteRef/>
      </w:r>
      <w:r>
        <w:t xml:space="preserve"> </w:t>
      </w:r>
      <w:r>
        <w:tab/>
      </w:r>
      <w:r w:rsidRPr="00290309">
        <w:t>Australian Competition Tribunal</w:t>
      </w:r>
      <w:r>
        <w:t>,</w:t>
      </w:r>
      <w:r w:rsidRPr="00290309">
        <w:t xml:space="preserve"> </w:t>
      </w:r>
      <w:r w:rsidRPr="000D0864">
        <w:rPr>
          <w:rStyle w:val="AERtextitalic"/>
        </w:rPr>
        <w:t>Application by Jemena Gas Networks (NSW) Ltd (No 3) [2011] ACompT 6</w:t>
      </w:r>
      <w:r>
        <w:rPr>
          <w:rStyle w:val="AERtextitalic"/>
        </w:rPr>
        <w:t xml:space="preserve">. </w:t>
      </w:r>
    </w:p>
  </w:footnote>
  <w:footnote w:id="112">
    <w:p w14:paraId="258254D2" w14:textId="5F73625D" w:rsidR="00DF5BF4" w:rsidRDefault="00DF5BF4" w:rsidP="00453A7D">
      <w:pPr>
        <w:pStyle w:val="FootnoteText"/>
      </w:pPr>
      <w:r>
        <w:rPr>
          <w:rStyle w:val="FootnoteReference"/>
        </w:rPr>
        <w:footnoteRef/>
      </w:r>
      <w:r>
        <w:t xml:space="preserve"> </w:t>
      </w:r>
      <w:r>
        <w:tab/>
        <w:t>Sleeman Consulting Review, p.9.</w:t>
      </w:r>
    </w:p>
  </w:footnote>
  <w:footnote w:id="113">
    <w:p w14:paraId="13FCB77C" w14:textId="68917036" w:rsidR="00DF5BF4" w:rsidRDefault="00DF5BF4" w:rsidP="00453A7D">
      <w:pPr>
        <w:pStyle w:val="FootnoteText"/>
      </w:pPr>
      <w:r>
        <w:rPr>
          <w:rStyle w:val="FootnoteReference"/>
        </w:rPr>
        <w:footnoteRef/>
      </w:r>
      <w:r>
        <w:t xml:space="preserve"> </w:t>
      </w:r>
      <w:r>
        <w:tab/>
      </w:r>
      <w:r w:rsidRPr="009C5D49">
        <w:t>Sleeman Consulting Review, p.9.</w:t>
      </w:r>
    </w:p>
  </w:footnote>
  <w:footnote w:id="114">
    <w:p w14:paraId="6117D68D" w14:textId="77777777" w:rsidR="00DF5BF4" w:rsidRDefault="00DF5BF4" w:rsidP="00453A7D">
      <w:pPr>
        <w:pStyle w:val="FootnoteText"/>
      </w:pPr>
      <w:r>
        <w:rPr>
          <w:rStyle w:val="FootnoteReference"/>
        </w:rPr>
        <w:footnoteRef/>
      </w:r>
      <w:r>
        <w:t xml:space="preserve"> </w:t>
      </w:r>
      <w:r>
        <w:tab/>
        <w:t>NGR, r. 79(1)(a).</w:t>
      </w:r>
    </w:p>
  </w:footnote>
  <w:footnote w:id="115">
    <w:p w14:paraId="6A8EDC80" w14:textId="77777777" w:rsidR="00DF5BF4" w:rsidRDefault="00DF5BF4" w:rsidP="00453A7D">
      <w:pPr>
        <w:pStyle w:val="FootnoteText"/>
      </w:pPr>
      <w:r>
        <w:rPr>
          <w:rStyle w:val="FootnoteReference"/>
        </w:rPr>
        <w:footnoteRef/>
      </w:r>
      <w:r>
        <w:t xml:space="preserve"> </w:t>
      </w:r>
      <w:r>
        <w:tab/>
        <w:t>NGR, rr. 79(1)(b), 79(2)(c)(i) and 79(2)(c)(ii).</w:t>
      </w:r>
    </w:p>
  </w:footnote>
  <w:footnote w:id="116">
    <w:p w14:paraId="0D83ACBB" w14:textId="191E6322" w:rsidR="00DF5BF4" w:rsidRDefault="00DF5BF4" w:rsidP="00CA7BCA">
      <w:pPr>
        <w:pStyle w:val="FootnoteText"/>
      </w:pPr>
      <w:r>
        <w:rPr>
          <w:rStyle w:val="FootnoteReference"/>
        </w:rPr>
        <w:footnoteRef/>
      </w:r>
      <w:r>
        <w:t xml:space="preserve"> </w:t>
      </w:r>
      <w:r>
        <w:tab/>
      </w:r>
      <w:r w:rsidRPr="009C5D49">
        <w:t xml:space="preserve">APA Access Arrangement Revision Proposal Submission, p. </w:t>
      </w:r>
      <w:r>
        <w:t>104.</w:t>
      </w:r>
    </w:p>
  </w:footnote>
  <w:footnote w:id="117">
    <w:p w14:paraId="0F863F14" w14:textId="5D203A15" w:rsidR="00DF5BF4" w:rsidRDefault="00DF5BF4" w:rsidP="00CA7BCA">
      <w:pPr>
        <w:pStyle w:val="FootnoteText"/>
      </w:pPr>
      <w:r>
        <w:rPr>
          <w:rStyle w:val="FootnoteReference"/>
        </w:rPr>
        <w:footnoteRef/>
      </w:r>
      <w:r>
        <w:t xml:space="preserve"> </w:t>
      </w:r>
      <w:r>
        <w:tab/>
        <w:t>APA</w:t>
      </w:r>
      <w:r w:rsidRPr="00D60D48">
        <w:t xml:space="preserve">, </w:t>
      </w:r>
      <w:r w:rsidRPr="00C11F75">
        <w:rPr>
          <w:rStyle w:val="AERtextitalic"/>
        </w:rPr>
        <w:t>Response to information request AER APA VTS 00</w:t>
      </w:r>
      <w:r>
        <w:rPr>
          <w:rStyle w:val="AERtextitalic"/>
        </w:rPr>
        <w:t>7</w:t>
      </w:r>
      <w:r>
        <w:t xml:space="preserve">, 3 April 2017, p.12 </w:t>
      </w:r>
    </w:p>
  </w:footnote>
  <w:footnote w:id="118">
    <w:p w14:paraId="2C2E9E23" w14:textId="77777777" w:rsidR="00DF5BF4" w:rsidRDefault="00DF5BF4" w:rsidP="00CA7BCA">
      <w:pPr>
        <w:pStyle w:val="FootnoteText"/>
      </w:pPr>
      <w:r>
        <w:rPr>
          <w:rStyle w:val="FootnoteReference"/>
        </w:rPr>
        <w:footnoteRef/>
      </w:r>
      <w:r>
        <w:t xml:space="preserve"> </w:t>
      </w:r>
      <w:r>
        <w:tab/>
      </w:r>
      <w:r w:rsidRPr="00E6288F">
        <w:t>AEMO</w:t>
      </w:r>
      <w:r>
        <w:t xml:space="preserve"> </w:t>
      </w:r>
      <w:r w:rsidRPr="00E6288F">
        <w:t>Submission</w:t>
      </w:r>
      <w:r>
        <w:t>, p. 14</w:t>
      </w:r>
      <w:r w:rsidRPr="00E6288F">
        <w:t>.</w:t>
      </w:r>
    </w:p>
  </w:footnote>
  <w:footnote w:id="119">
    <w:p w14:paraId="13755D37" w14:textId="386129BF" w:rsidR="00DF5BF4" w:rsidRDefault="00DF5BF4" w:rsidP="00CA7BCA">
      <w:pPr>
        <w:pStyle w:val="FootnoteText"/>
      </w:pPr>
      <w:r>
        <w:rPr>
          <w:rStyle w:val="FootnoteReference"/>
        </w:rPr>
        <w:footnoteRef/>
      </w:r>
      <w:r>
        <w:t xml:space="preserve"> </w:t>
      </w:r>
      <w:r>
        <w:tab/>
      </w:r>
      <w:r w:rsidRPr="00CB06CF">
        <w:t xml:space="preserve">CCP11 Submission, </w:t>
      </w:r>
      <w:r>
        <w:t xml:space="preserve">pp.23-24. </w:t>
      </w:r>
    </w:p>
  </w:footnote>
  <w:footnote w:id="120">
    <w:p w14:paraId="1885B8CF" w14:textId="3596E0AB" w:rsidR="00DF5BF4" w:rsidRDefault="00DF5BF4" w:rsidP="00CA7BCA">
      <w:pPr>
        <w:pStyle w:val="FootnoteText"/>
      </w:pPr>
      <w:r>
        <w:rPr>
          <w:rStyle w:val="FootnoteReference"/>
        </w:rPr>
        <w:footnoteRef/>
      </w:r>
      <w:r>
        <w:t xml:space="preserve"> </w:t>
      </w:r>
      <w:r>
        <w:tab/>
      </w:r>
      <w:r w:rsidRPr="00107BB7">
        <w:t>Sleeman Consulting</w:t>
      </w:r>
      <w:r>
        <w:t xml:space="preserve"> Review </w:t>
      </w:r>
      <w:r w:rsidRPr="00107BB7">
        <w:t>p.</w:t>
      </w:r>
      <w:r>
        <w:t xml:space="preserve"> 3.</w:t>
      </w:r>
    </w:p>
  </w:footnote>
  <w:footnote w:id="121">
    <w:p w14:paraId="5D0FAF05" w14:textId="438B6B71" w:rsidR="00DF5BF4" w:rsidRDefault="00DF5BF4" w:rsidP="00CA7BCA">
      <w:pPr>
        <w:pStyle w:val="FootnoteText"/>
      </w:pPr>
      <w:r>
        <w:rPr>
          <w:rStyle w:val="FootnoteReference"/>
        </w:rPr>
        <w:footnoteRef/>
      </w:r>
      <w:r>
        <w:t xml:space="preserve"> </w:t>
      </w:r>
      <w:r>
        <w:tab/>
      </w:r>
      <w:r w:rsidRPr="00CB06CF">
        <w:t xml:space="preserve">Sleeman Consulting Review p. </w:t>
      </w:r>
      <w:r>
        <w:t>7</w:t>
      </w:r>
      <w:r w:rsidRPr="00CB06CF">
        <w:t>.</w:t>
      </w:r>
    </w:p>
  </w:footnote>
  <w:footnote w:id="122">
    <w:p w14:paraId="3DBA3A25" w14:textId="77777777" w:rsidR="00DF5BF4" w:rsidRDefault="00DF5BF4" w:rsidP="00CA7BCA">
      <w:pPr>
        <w:pStyle w:val="FootnoteText"/>
      </w:pPr>
      <w:r>
        <w:rPr>
          <w:rStyle w:val="FootnoteReference"/>
        </w:rPr>
        <w:footnoteRef/>
      </w:r>
      <w:r>
        <w:t xml:space="preserve"> </w:t>
      </w:r>
      <w:r>
        <w:tab/>
        <w:t xml:space="preserve">APA, </w:t>
      </w:r>
      <w:r w:rsidRPr="008354A3">
        <w:rPr>
          <w:rStyle w:val="AERtextitalic"/>
        </w:rPr>
        <w:t>Encroachment High Consequence Business Case Number 230</w:t>
      </w:r>
      <w:r>
        <w:t xml:space="preserve">, pp.4-5.  </w:t>
      </w:r>
    </w:p>
  </w:footnote>
  <w:footnote w:id="123">
    <w:p w14:paraId="2C55636D" w14:textId="6465CE73" w:rsidR="00DF5BF4" w:rsidRDefault="00DF5BF4" w:rsidP="00CA7BCA">
      <w:pPr>
        <w:pStyle w:val="FootnoteText"/>
      </w:pPr>
      <w:r>
        <w:rPr>
          <w:rStyle w:val="FootnoteReference"/>
        </w:rPr>
        <w:footnoteRef/>
      </w:r>
      <w:r>
        <w:t xml:space="preserve"> </w:t>
      </w:r>
      <w:r>
        <w:tab/>
      </w:r>
      <w:r w:rsidRPr="00884C96">
        <w:t xml:space="preserve">APA Response to AER Information Request 007, </w:t>
      </w:r>
      <w:r>
        <w:t>p.15.</w:t>
      </w:r>
    </w:p>
  </w:footnote>
  <w:footnote w:id="124">
    <w:p w14:paraId="62D41919" w14:textId="10A7CC02" w:rsidR="00DF5BF4" w:rsidRDefault="00DF5BF4" w:rsidP="00CA7BCA">
      <w:pPr>
        <w:pStyle w:val="FootnoteText"/>
      </w:pPr>
      <w:r>
        <w:rPr>
          <w:rStyle w:val="FootnoteReference"/>
        </w:rPr>
        <w:footnoteRef/>
      </w:r>
      <w:r>
        <w:t xml:space="preserve"> </w:t>
      </w:r>
      <w:r>
        <w:tab/>
      </w:r>
      <w:r w:rsidRPr="00884C96">
        <w:t xml:space="preserve">APA Response to AER Information Request 007, </w:t>
      </w:r>
      <w:r>
        <w:t>p.16. As</w:t>
      </w:r>
      <w:r w:rsidRPr="00E52607">
        <w:t xml:space="preserve">suming </w:t>
      </w:r>
      <w:r>
        <w:t>a discount rate of 7.5 per cent</w:t>
      </w:r>
      <w:r w:rsidRPr="00E52607">
        <w:t xml:space="preserve">, </w:t>
      </w:r>
      <w:r>
        <w:t>deferring</w:t>
      </w:r>
      <w:r w:rsidRPr="00E52607">
        <w:t xml:space="preserve"> one year</w:t>
      </w:r>
      <w:r>
        <w:t xml:space="preserve"> on $24.3</w:t>
      </w:r>
      <w:r w:rsidRPr="00E52607">
        <w:t xml:space="preserve"> </w:t>
      </w:r>
      <w:r>
        <w:t>million</w:t>
      </w:r>
      <w:r w:rsidRPr="00E52607">
        <w:t xml:space="preserve"> sav</w:t>
      </w:r>
      <w:r>
        <w:t>es</w:t>
      </w:r>
      <w:r w:rsidRPr="00E52607">
        <w:t xml:space="preserve"> of $1.</w:t>
      </w:r>
      <w:r>
        <w:t xml:space="preserve">82 </w:t>
      </w:r>
      <w:r w:rsidRPr="00E52607">
        <w:t>m</w:t>
      </w:r>
      <w:r>
        <w:t>illion</w:t>
      </w:r>
      <w:r w:rsidRPr="00E52607">
        <w:t xml:space="preserve"> to consumers.  </w:t>
      </w:r>
    </w:p>
  </w:footnote>
  <w:footnote w:id="125">
    <w:p w14:paraId="7DD3BF60" w14:textId="77777777" w:rsidR="00DF5BF4" w:rsidRDefault="00DF5BF4" w:rsidP="00CA7BCA">
      <w:pPr>
        <w:pStyle w:val="FootnoteText"/>
      </w:pPr>
      <w:r>
        <w:rPr>
          <w:rStyle w:val="FootnoteReference"/>
        </w:rPr>
        <w:footnoteRef/>
      </w:r>
      <w:r>
        <w:t xml:space="preserve"> </w:t>
      </w:r>
      <w:r>
        <w:tab/>
        <w:t>NGR, r. 79(1)(a).</w:t>
      </w:r>
    </w:p>
  </w:footnote>
  <w:footnote w:id="126">
    <w:p w14:paraId="290C9672" w14:textId="6B0643A6" w:rsidR="00DF5BF4" w:rsidRDefault="00DF5BF4" w:rsidP="00CA7BCA">
      <w:pPr>
        <w:pStyle w:val="FootnoteText"/>
      </w:pPr>
      <w:r>
        <w:rPr>
          <w:rStyle w:val="FootnoteReference"/>
        </w:rPr>
        <w:footnoteRef/>
      </w:r>
      <w:r>
        <w:t xml:space="preserve"> </w:t>
      </w:r>
      <w:r>
        <w:tab/>
      </w:r>
      <w:r w:rsidRPr="00884C96">
        <w:t>APA Access Arrangement Revision Proposal Submission, p.</w:t>
      </w:r>
      <w:r>
        <w:t>107.</w:t>
      </w:r>
    </w:p>
  </w:footnote>
  <w:footnote w:id="127">
    <w:p w14:paraId="62F4617D" w14:textId="6A5E3A80" w:rsidR="00DF5BF4" w:rsidRDefault="00DF5BF4" w:rsidP="00CA7BCA">
      <w:pPr>
        <w:pStyle w:val="FootnoteText"/>
      </w:pPr>
      <w:r>
        <w:rPr>
          <w:rStyle w:val="FootnoteReference"/>
        </w:rPr>
        <w:footnoteRef/>
      </w:r>
      <w:r>
        <w:t xml:space="preserve"> </w:t>
      </w:r>
      <w:r>
        <w:tab/>
      </w:r>
      <w:r w:rsidRPr="00884C96">
        <w:t xml:space="preserve">APA Access Arrangement Revision Proposal Submission, </w:t>
      </w:r>
      <w:r w:rsidRPr="00E920B2">
        <w:t>p.</w:t>
      </w:r>
      <w:r>
        <w:t xml:space="preserve">104.  </w:t>
      </w:r>
    </w:p>
  </w:footnote>
  <w:footnote w:id="128">
    <w:p w14:paraId="544CDC97" w14:textId="17CA8772" w:rsidR="00DF5BF4" w:rsidRDefault="00DF5BF4" w:rsidP="00CA7BCA">
      <w:pPr>
        <w:pStyle w:val="FootnoteText"/>
      </w:pPr>
      <w:r>
        <w:rPr>
          <w:rStyle w:val="FootnoteReference"/>
        </w:rPr>
        <w:footnoteRef/>
      </w:r>
      <w:r>
        <w:t xml:space="preserve"> </w:t>
      </w:r>
      <w:r>
        <w:tab/>
      </w:r>
      <w:r w:rsidRPr="00884C96">
        <w:t>APA Access Arrangement Revision Proposal Submission, p.</w:t>
      </w:r>
      <w:r>
        <w:t xml:space="preserve">104. </w:t>
      </w:r>
    </w:p>
  </w:footnote>
  <w:footnote w:id="129">
    <w:p w14:paraId="23B76114" w14:textId="77777777" w:rsidR="00DF5BF4" w:rsidRDefault="00DF5BF4" w:rsidP="00CA7BCA">
      <w:pPr>
        <w:pStyle w:val="FootnoteText"/>
      </w:pPr>
      <w:r>
        <w:rPr>
          <w:rStyle w:val="FootnoteReference"/>
        </w:rPr>
        <w:footnoteRef/>
      </w:r>
      <w:r>
        <w:t xml:space="preserve"> </w:t>
      </w:r>
      <w:r>
        <w:tab/>
        <w:t>NGR, r. 79(1)(a).</w:t>
      </w:r>
    </w:p>
  </w:footnote>
  <w:footnote w:id="130">
    <w:p w14:paraId="4D13F609" w14:textId="77777777" w:rsidR="00DF5BF4" w:rsidRDefault="00DF5BF4" w:rsidP="00CA7BCA">
      <w:pPr>
        <w:pStyle w:val="FootnoteText"/>
      </w:pPr>
      <w:r>
        <w:rPr>
          <w:rStyle w:val="FootnoteReference"/>
        </w:rPr>
        <w:footnoteRef/>
      </w:r>
      <w:r>
        <w:t xml:space="preserve"> </w:t>
      </w:r>
      <w:r>
        <w:tab/>
        <w:t>NGR, rr. 79(1)(b) and 79(2)(c)(ii).</w:t>
      </w:r>
    </w:p>
  </w:footnote>
  <w:footnote w:id="131">
    <w:p w14:paraId="06F6B9C5" w14:textId="1A501BFC" w:rsidR="00DF5BF4" w:rsidRDefault="00DF5BF4" w:rsidP="00CA7BCA">
      <w:pPr>
        <w:pStyle w:val="FootnoteText"/>
      </w:pPr>
      <w:r>
        <w:rPr>
          <w:rStyle w:val="FootnoteReference"/>
        </w:rPr>
        <w:footnoteRef/>
      </w:r>
      <w:r>
        <w:t xml:space="preserve"> </w:t>
      </w:r>
      <w:r>
        <w:tab/>
      </w:r>
      <w:r w:rsidRPr="00884C96">
        <w:t xml:space="preserve">APA Access Arrangement Revision Proposal Submission, </w:t>
      </w:r>
      <w:r w:rsidRPr="00294AF9">
        <w:t>p</w:t>
      </w:r>
      <w:r>
        <w:t xml:space="preserve">.109. </w:t>
      </w:r>
    </w:p>
  </w:footnote>
  <w:footnote w:id="132">
    <w:p w14:paraId="42417ED4" w14:textId="130A29F5" w:rsidR="00DF5BF4" w:rsidRDefault="00DF5BF4" w:rsidP="00CA7BCA">
      <w:pPr>
        <w:pStyle w:val="FootnoteText"/>
      </w:pPr>
      <w:r>
        <w:rPr>
          <w:rStyle w:val="FootnoteReference"/>
        </w:rPr>
        <w:footnoteRef/>
      </w:r>
      <w:r>
        <w:t xml:space="preserve"> </w:t>
      </w:r>
      <w:r>
        <w:tab/>
      </w:r>
      <w:r w:rsidRPr="00A81DDA">
        <w:t xml:space="preserve">APA Access Arrangement Revision Proposal Submission, </w:t>
      </w:r>
      <w:r w:rsidRPr="00294AF9">
        <w:t>p</w:t>
      </w:r>
      <w:r>
        <w:t>p</w:t>
      </w:r>
      <w:r w:rsidRPr="00294AF9">
        <w:t>.</w:t>
      </w:r>
      <w:r>
        <w:t>107-</w:t>
      </w:r>
      <w:r w:rsidRPr="00294AF9">
        <w:t>108</w:t>
      </w:r>
      <w:r>
        <w:t>, Table 5-24.</w:t>
      </w:r>
    </w:p>
  </w:footnote>
  <w:footnote w:id="133">
    <w:p w14:paraId="65AB50B2" w14:textId="2E10757F" w:rsidR="00DF5BF4" w:rsidRDefault="00DF5BF4" w:rsidP="00CA7BCA">
      <w:pPr>
        <w:pStyle w:val="FootnoteText"/>
      </w:pPr>
      <w:r>
        <w:rPr>
          <w:rStyle w:val="FootnoteReference"/>
        </w:rPr>
        <w:footnoteRef/>
      </w:r>
      <w:r>
        <w:t xml:space="preserve"> </w:t>
      </w:r>
      <w:r>
        <w:tab/>
      </w:r>
      <w:r w:rsidRPr="00A81DDA">
        <w:t xml:space="preserve">APA Access Arrangement Revision Proposal Submission, </w:t>
      </w:r>
      <w:r w:rsidRPr="00294AF9">
        <w:t>p. 10</w:t>
      </w:r>
      <w:r>
        <w:t>7.</w:t>
      </w:r>
    </w:p>
  </w:footnote>
  <w:footnote w:id="134">
    <w:p w14:paraId="7843BA04" w14:textId="77777777" w:rsidR="00DF5BF4" w:rsidRDefault="00DF5BF4" w:rsidP="00CA7BCA">
      <w:pPr>
        <w:pStyle w:val="FootnoteText"/>
      </w:pPr>
      <w:r>
        <w:rPr>
          <w:rStyle w:val="FootnoteReference"/>
        </w:rPr>
        <w:footnoteRef/>
      </w:r>
      <w:r>
        <w:t xml:space="preserve"> </w:t>
      </w:r>
      <w:r>
        <w:tab/>
        <w:t>NGR, r. 69.</w:t>
      </w:r>
    </w:p>
  </w:footnote>
  <w:footnote w:id="135">
    <w:p w14:paraId="64FCBE8D" w14:textId="626E3256" w:rsidR="00DF5BF4" w:rsidRDefault="00DF5BF4">
      <w:pPr>
        <w:pStyle w:val="FootnoteText"/>
      </w:pPr>
      <w:r>
        <w:rPr>
          <w:rStyle w:val="FootnoteReference"/>
        </w:rPr>
        <w:footnoteRef/>
      </w:r>
      <w:r>
        <w:t xml:space="preserve">    </w:t>
      </w:r>
      <w:r w:rsidRPr="00E42C1F">
        <w:t xml:space="preserve">APA Access Arrangement Revision Proposal Submission, </w:t>
      </w:r>
      <w:r>
        <w:t>p. 110</w:t>
      </w:r>
      <w:r w:rsidRPr="003B1B6C">
        <w:t>.</w:t>
      </w:r>
    </w:p>
  </w:footnote>
  <w:footnote w:id="136">
    <w:p w14:paraId="4900B374" w14:textId="77777777" w:rsidR="00DF5BF4" w:rsidRDefault="00DF5BF4" w:rsidP="00F954C0">
      <w:pPr>
        <w:pStyle w:val="FootnoteText"/>
      </w:pPr>
      <w:r>
        <w:rPr>
          <w:rStyle w:val="FootnoteReference"/>
        </w:rPr>
        <w:footnoteRef/>
      </w:r>
      <w:r>
        <w:t xml:space="preserve"> </w:t>
      </w:r>
      <w:r>
        <w:tab/>
      </w:r>
      <w:r w:rsidRPr="00884C96">
        <w:t xml:space="preserve">APA Response to AER Information Request 007, </w:t>
      </w:r>
      <w:r>
        <w:t>p.11</w:t>
      </w:r>
    </w:p>
  </w:footnote>
  <w:footnote w:id="137">
    <w:p w14:paraId="559789D6" w14:textId="4328005E" w:rsidR="00DF5BF4" w:rsidRDefault="00DF5BF4">
      <w:pPr>
        <w:pStyle w:val="FootnoteText"/>
      </w:pPr>
      <w:r>
        <w:rPr>
          <w:rStyle w:val="FootnoteReference"/>
        </w:rPr>
        <w:footnoteRef/>
      </w:r>
      <w:r>
        <w:t xml:space="preserve"> </w:t>
      </w:r>
      <w:r>
        <w:tab/>
      </w:r>
      <w:r w:rsidRPr="00A66640">
        <w:t xml:space="preserve">APA, </w:t>
      </w:r>
      <w:r>
        <w:rPr>
          <w:rStyle w:val="AERtextitalic"/>
        </w:rPr>
        <w:t>Coogee Decommissioning</w:t>
      </w:r>
      <w:r w:rsidRPr="000D0864">
        <w:rPr>
          <w:rStyle w:val="AERtextitalic"/>
        </w:rPr>
        <w:t xml:space="preserve"> Business Case Number 2</w:t>
      </w:r>
      <w:r>
        <w:rPr>
          <w:rStyle w:val="AERtextitalic"/>
        </w:rPr>
        <w:t>68</w:t>
      </w:r>
      <w:r>
        <w:t xml:space="preserve">, p. 1,  </w:t>
      </w:r>
    </w:p>
  </w:footnote>
  <w:footnote w:id="138">
    <w:p w14:paraId="4284FB9B" w14:textId="3AB69B4D" w:rsidR="00DF5BF4" w:rsidRDefault="00DF5BF4">
      <w:pPr>
        <w:pStyle w:val="FootnoteText"/>
      </w:pPr>
      <w:r>
        <w:rPr>
          <w:rStyle w:val="FootnoteReference"/>
        </w:rPr>
        <w:footnoteRef/>
      </w:r>
      <w:r>
        <w:t xml:space="preserve"> </w:t>
      </w:r>
      <w:r>
        <w:tab/>
        <w:t>NGR, r. 79(1)(a).</w:t>
      </w:r>
    </w:p>
  </w:footnote>
  <w:footnote w:id="139">
    <w:p w14:paraId="6264A0DB" w14:textId="3791697D" w:rsidR="00DF5BF4" w:rsidRDefault="00DF5BF4" w:rsidP="002077C4">
      <w:pPr>
        <w:pStyle w:val="FootnoteText"/>
      </w:pPr>
      <w:r>
        <w:rPr>
          <w:rStyle w:val="FootnoteReference"/>
        </w:rPr>
        <w:footnoteRef/>
      </w:r>
      <w:r>
        <w:t xml:space="preserve"> </w:t>
      </w:r>
      <w:r>
        <w:tab/>
        <w:t xml:space="preserve">APA noted that the projects make up 80 per cent of the total non-system capital expenditure forecast. </w:t>
      </w:r>
    </w:p>
  </w:footnote>
  <w:footnote w:id="140">
    <w:p w14:paraId="1C936248" w14:textId="68CFA042" w:rsidR="00DF5BF4" w:rsidRDefault="00DF5BF4" w:rsidP="00CA7BCA">
      <w:pPr>
        <w:pStyle w:val="FootnoteText"/>
      </w:pPr>
      <w:r>
        <w:rPr>
          <w:rStyle w:val="FootnoteReference"/>
        </w:rPr>
        <w:footnoteRef/>
      </w:r>
      <w:r>
        <w:t xml:space="preserve"> </w:t>
      </w:r>
      <w:r>
        <w:tab/>
      </w:r>
      <w:r w:rsidRPr="001024B1">
        <w:t xml:space="preserve">APA Access Arrangement Revision Proposal Submission, </w:t>
      </w:r>
      <w:r>
        <w:t xml:space="preserve">p. 115. </w:t>
      </w:r>
    </w:p>
  </w:footnote>
  <w:footnote w:id="141">
    <w:p w14:paraId="5D2E2471" w14:textId="63362CEF" w:rsidR="00DF5BF4" w:rsidRDefault="00DF5BF4" w:rsidP="00CA7BCA">
      <w:pPr>
        <w:pStyle w:val="FootnoteText"/>
      </w:pPr>
      <w:r>
        <w:rPr>
          <w:rStyle w:val="FootnoteReference"/>
        </w:rPr>
        <w:footnoteRef/>
      </w:r>
      <w:r>
        <w:t xml:space="preserve"> </w:t>
      </w:r>
      <w:r>
        <w:tab/>
        <w:t>APA,</w:t>
      </w:r>
      <w:r w:rsidRPr="005C44B1">
        <w:t xml:space="preserve"> APA Access Arrangement Revision Proposal Submission, </w:t>
      </w:r>
      <w:r>
        <w:t xml:space="preserve">p.114- 115. </w:t>
      </w:r>
    </w:p>
  </w:footnote>
  <w:footnote w:id="142">
    <w:p w14:paraId="4E38FD68" w14:textId="6B5EBE13" w:rsidR="00DF5BF4" w:rsidRDefault="00DF5BF4" w:rsidP="00CA7BCA">
      <w:pPr>
        <w:pStyle w:val="FootnoteText"/>
      </w:pPr>
      <w:r>
        <w:rPr>
          <w:rStyle w:val="FootnoteReference"/>
        </w:rPr>
        <w:footnoteRef/>
      </w:r>
      <w:r>
        <w:t xml:space="preserve"> </w:t>
      </w:r>
      <w:r>
        <w:tab/>
      </w:r>
      <w:r w:rsidRPr="007A4615">
        <w:t xml:space="preserve">APA, </w:t>
      </w:r>
      <w:r w:rsidRPr="007A4615">
        <w:rPr>
          <w:i/>
        </w:rPr>
        <w:t xml:space="preserve">Application </w:t>
      </w:r>
      <w:r w:rsidRPr="000D0864">
        <w:rPr>
          <w:rStyle w:val="AERtextitalic"/>
        </w:rPr>
        <w:t>Renewal Business Case IT VTS01</w:t>
      </w:r>
      <w:r>
        <w:t xml:space="preserve">, May 2016, </w:t>
      </w:r>
      <w:r w:rsidRPr="007A4615">
        <w:t xml:space="preserve">APA, </w:t>
      </w:r>
      <w:r w:rsidRPr="005C44B1">
        <w:t>APA Access Arrangement Revision Proposal Submission</w:t>
      </w:r>
      <w:r w:rsidRPr="005C44B1" w:rsidDel="005C44B1">
        <w:t xml:space="preserve"> </w:t>
      </w:r>
      <w:r w:rsidRPr="007A4615">
        <w:t xml:space="preserve">pp. 113-114, AER, </w:t>
      </w:r>
      <w:r w:rsidRPr="007A4615">
        <w:rPr>
          <w:i/>
        </w:rPr>
        <w:t>Draft Decision Amadeus Gas Pipeline Access Arrangement 2016-2021</w:t>
      </w:r>
      <w:r w:rsidRPr="007A4615">
        <w:t>, Attachment 6 – Capital Expenditure, November, pp. 6–32.</w:t>
      </w:r>
    </w:p>
  </w:footnote>
  <w:footnote w:id="143">
    <w:p w14:paraId="7B5E705F" w14:textId="2CAEDA03" w:rsidR="00DF5BF4" w:rsidRDefault="00DF5BF4" w:rsidP="00CA7BCA">
      <w:pPr>
        <w:pStyle w:val="FootnoteText"/>
      </w:pPr>
      <w:r>
        <w:rPr>
          <w:rStyle w:val="FootnoteReference"/>
        </w:rPr>
        <w:footnoteRef/>
      </w:r>
      <w:r>
        <w:t xml:space="preserve"> </w:t>
      </w:r>
      <w:r>
        <w:tab/>
        <w:t xml:space="preserve">APA, </w:t>
      </w:r>
      <w:r>
        <w:rPr>
          <w:i/>
        </w:rPr>
        <w:t>Infrastructure</w:t>
      </w:r>
      <w:r w:rsidRPr="00680134">
        <w:rPr>
          <w:i/>
        </w:rPr>
        <w:t xml:space="preserve"> Renewal</w:t>
      </w:r>
      <w:r>
        <w:t xml:space="preserve"> </w:t>
      </w:r>
      <w:r w:rsidRPr="000D0864">
        <w:rPr>
          <w:rStyle w:val="AERtextitalic"/>
        </w:rPr>
        <w:t>Business Case IT VTS02</w:t>
      </w:r>
      <w:r>
        <w:t xml:space="preserve">, May 2016. p. 4. </w:t>
      </w:r>
    </w:p>
  </w:footnote>
  <w:footnote w:id="144">
    <w:p w14:paraId="7109D46F" w14:textId="304F6BDA" w:rsidR="00DF5BF4" w:rsidRDefault="00DF5BF4" w:rsidP="00CA7BCA">
      <w:pPr>
        <w:pStyle w:val="FootnoteText"/>
      </w:pPr>
      <w:r>
        <w:rPr>
          <w:rStyle w:val="FootnoteReference"/>
        </w:rPr>
        <w:footnoteRef/>
      </w:r>
      <w:r>
        <w:t xml:space="preserve"> </w:t>
      </w:r>
      <w:r>
        <w:tab/>
      </w:r>
      <w:r w:rsidRPr="005C44B1">
        <w:t xml:space="preserve">APA, Infrastructure Renewal </w:t>
      </w:r>
      <w:r w:rsidRPr="005C44B1">
        <w:rPr>
          <w:rStyle w:val="AERtextitalic"/>
        </w:rPr>
        <w:t>Business Case IT VTS02</w:t>
      </w:r>
      <w:r>
        <w:t>, May 2016, pp. 4- 5.</w:t>
      </w:r>
    </w:p>
  </w:footnote>
  <w:footnote w:id="145">
    <w:p w14:paraId="2127A422" w14:textId="2216FA4A" w:rsidR="00DF5BF4" w:rsidRDefault="00DF5BF4" w:rsidP="00CA7BCA">
      <w:pPr>
        <w:pStyle w:val="FootnoteText"/>
      </w:pPr>
      <w:r>
        <w:rPr>
          <w:rStyle w:val="FootnoteReference"/>
        </w:rPr>
        <w:footnoteRef/>
      </w:r>
      <w:r>
        <w:t xml:space="preserve"> </w:t>
      </w:r>
      <w:r>
        <w:tab/>
        <w:t xml:space="preserve">APA, </w:t>
      </w:r>
      <w:r w:rsidRPr="00680134">
        <w:rPr>
          <w:i/>
        </w:rPr>
        <w:t>Application Renewal</w:t>
      </w:r>
      <w:r>
        <w:t xml:space="preserve"> </w:t>
      </w:r>
      <w:r w:rsidRPr="000D0864">
        <w:rPr>
          <w:rStyle w:val="AERtextitalic"/>
        </w:rPr>
        <w:t>Business Case IT VTS01</w:t>
      </w:r>
      <w:r>
        <w:t xml:space="preserve">, May 2016, APA, </w:t>
      </w:r>
      <w:r>
        <w:rPr>
          <w:i/>
        </w:rPr>
        <w:t>Infrastructure</w:t>
      </w:r>
      <w:r w:rsidRPr="00680134">
        <w:rPr>
          <w:i/>
        </w:rPr>
        <w:t xml:space="preserve"> Renew</w:t>
      </w:r>
      <w:r w:rsidRPr="000D0864">
        <w:rPr>
          <w:rStyle w:val="AERtextitalic"/>
        </w:rPr>
        <w:t>al Business Case IT VTS02</w:t>
      </w:r>
      <w:r>
        <w:t>, May 2016.</w:t>
      </w:r>
    </w:p>
  </w:footnote>
  <w:footnote w:id="146">
    <w:p w14:paraId="08D05EEF" w14:textId="77777777" w:rsidR="00DF5BF4" w:rsidRDefault="00DF5BF4" w:rsidP="00CA7BCA">
      <w:pPr>
        <w:pStyle w:val="FootnoteText"/>
      </w:pPr>
      <w:r>
        <w:rPr>
          <w:rStyle w:val="FootnoteReference"/>
        </w:rPr>
        <w:footnoteRef/>
      </w:r>
      <w:r>
        <w:t xml:space="preserve"> </w:t>
      </w:r>
      <w:r>
        <w:tab/>
        <w:t xml:space="preserve">NGR, r. 74(2). </w:t>
      </w:r>
    </w:p>
  </w:footnote>
  <w:footnote w:id="147">
    <w:p w14:paraId="3CD69B3D" w14:textId="77777777" w:rsidR="00DF5BF4" w:rsidRDefault="00DF5BF4" w:rsidP="00CA7BCA">
      <w:pPr>
        <w:pStyle w:val="FootnoteText"/>
      </w:pPr>
      <w:r>
        <w:rPr>
          <w:rStyle w:val="FootnoteReference"/>
        </w:rPr>
        <w:footnoteRef/>
      </w:r>
      <w:r>
        <w:t xml:space="preserve"> </w:t>
      </w:r>
      <w:r>
        <w:tab/>
        <w:t>NGR, r. 79(1)(a).</w:t>
      </w:r>
    </w:p>
  </w:footnote>
  <w:footnote w:id="148">
    <w:p w14:paraId="100E57A4" w14:textId="77777777" w:rsidR="00DF5BF4" w:rsidRDefault="00DF5BF4" w:rsidP="00CA7BCA">
      <w:pPr>
        <w:pStyle w:val="FootnoteText"/>
      </w:pPr>
      <w:r>
        <w:rPr>
          <w:rStyle w:val="FootnoteReference"/>
        </w:rPr>
        <w:footnoteRef/>
      </w:r>
      <w:r>
        <w:t xml:space="preserve"> </w:t>
      </w:r>
      <w:r>
        <w:tab/>
        <w:t>NGR, rr. 79(1)(b) and 79(2)(c)(ii).</w:t>
      </w:r>
    </w:p>
  </w:footnote>
  <w:footnote w:id="149">
    <w:p w14:paraId="1144F850" w14:textId="668CA101" w:rsidR="00DF5BF4" w:rsidRDefault="00DF5BF4" w:rsidP="00CA7BCA">
      <w:pPr>
        <w:pStyle w:val="FootnoteText"/>
      </w:pPr>
      <w:r>
        <w:rPr>
          <w:rStyle w:val="FootnoteReference"/>
        </w:rPr>
        <w:footnoteRef/>
      </w:r>
      <w:r>
        <w:t xml:space="preserve"> </w:t>
      </w:r>
      <w:r>
        <w:tab/>
        <w:t xml:space="preserve">APA, </w:t>
      </w:r>
      <w:r>
        <w:rPr>
          <w:i/>
          <w:iCs/>
          <w:szCs w:val="16"/>
        </w:rPr>
        <w:t>Access Arrangement Revision Proposal Submission</w:t>
      </w:r>
      <w:r>
        <w:rPr>
          <w:szCs w:val="16"/>
        </w:rPr>
        <w:t xml:space="preserve">, </w:t>
      </w:r>
      <w:r>
        <w:t xml:space="preserve">January 2017, pp. 115-116. </w:t>
      </w:r>
    </w:p>
  </w:footnote>
  <w:footnote w:id="150">
    <w:p w14:paraId="1DF6BE5A" w14:textId="77777777" w:rsidR="00DF5BF4" w:rsidRDefault="00DF5BF4" w:rsidP="00CA7BCA">
      <w:pPr>
        <w:pStyle w:val="FootnoteText"/>
      </w:pPr>
      <w:r>
        <w:rPr>
          <w:rStyle w:val="FootnoteReference"/>
        </w:rPr>
        <w:footnoteRef/>
      </w:r>
      <w:r>
        <w:t xml:space="preserve"> </w:t>
      </w:r>
      <w:r>
        <w:tab/>
        <w:t>NGR, r. 79(1)(a).</w:t>
      </w:r>
    </w:p>
  </w:footnote>
  <w:footnote w:id="151">
    <w:p w14:paraId="1DF13965" w14:textId="77777777" w:rsidR="00DF5BF4" w:rsidRDefault="00DF5BF4" w:rsidP="00CA7BCA">
      <w:pPr>
        <w:pStyle w:val="FootnoteText"/>
      </w:pPr>
      <w:r>
        <w:rPr>
          <w:rStyle w:val="FootnoteReference"/>
        </w:rPr>
        <w:footnoteRef/>
      </w:r>
      <w:r>
        <w:t xml:space="preserve"> </w:t>
      </w:r>
      <w:r>
        <w:tab/>
        <w:t>NGR, rr. 79(1)(b), 79(2)(c)(i) and 79(2)(c)(ii).</w:t>
      </w:r>
    </w:p>
  </w:footnote>
  <w:footnote w:id="152">
    <w:p w14:paraId="4A33A218" w14:textId="77777777" w:rsidR="00DF5BF4" w:rsidRDefault="00DF5BF4" w:rsidP="00CA7BCA">
      <w:pPr>
        <w:pStyle w:val="FootnoteText"/>
      </w:pPr>
      <w:r>
        <w:rPr>
          <w:rStyle w:val="FootnoteReference"/>
        </w:rPr>
        <w:footnoteRef/>
      </w:r>
      <w:r>
        <w:t xml:space="preserve"> </w:t>
      </w:r>
      <w:r>
        <w:tab/>
        <w:t>NGR, r. 79(1)(a).</w:t>
      </w:r>
    </w:p>
  </w:footnote>
  <w:footnote w:id="153">
    <w:p w14:paraId="39DE5AB8" w14:textId="77777777" w:rsidR="00DF5BF4" w:rsidRDefault="00DF5BF4" w:rsidP="00CA7BCA">
      <w:pPr>
        <w:pStyle w:val="FootnoteText"/>
      </w:pPr>
      <w:r>
        <w:rPr>
          <w:rStyle w:val="FootnoteReference"/>
        </w:rPr>
        <w:footnoteRef/>
      </w:r>
      <w:r>
        <w:t xml:space="preserve"> </w:t>
      </w:r>
      <w:r>
        <w:tab/>
        <w:t>NGR, rr. 79(1)(b), 79(2)(c)(i) and 79(2)(c)(ii).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BC4F" w14:textId="77777777" w:rsidR="00DF5BF4" w:rsidRDefault="00DF5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19F5344"/>
    <w:multiLevelType w:val="multilevel"/>
    <w:tmpl w:val="39D4CB02"/>
    <w:numStyleLink w:val="AERnumberedlist"/>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7AF005A"/>
    <w:multiLevelType w:val="hybridMultilevel"/>
    <w:tmpl w:val="E656F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BBF356E"/>
    <w:multiLevelType w:val="hybridMultilevel"/>
    <w:tmpl w:val="0952F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5D7635A"/>
    <w:multiLevelType w:val="multilevel"/>
    <w:tmpl w:val="950A1C52"/>
    <w:numStyleLink w:val="AERHeadings"/>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A0F4BF0"/>
    <w:multiLevelType w:val="hybridMultilevel"/>
    <w:tmpl w:val="AC420D74"/>
    <w:lvl w:ilvl="0" w:tplc="8ADEFA08">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5ECE4384"/>
    <w:multiLevelType w:val="multilevel"/>
    <w:tmpl w:val="B02E7730"/>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B23C52"/>
    <w:multiLevelType w:val="hybridMultilevel"/>
    <w:tmpl w:val="8E34F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4"/>
  </w:num>
  <w:num w:numId="14">
    <w:abstractNumId w:val="13"/>
  </w:num>
  <w:num w:numId="15">
    <w:abstractNumId w:val="17"/>
  </w:num>
  <w:num w:numId="16">
    <w:abstractNumId w:val="26"/>
  </w:num>
  <w:num w:numId="17">
    <w:abstractNumId w:val="12"/>
  </w:num>
  <w:num w:numId="18">
    <w:abstractNumId w:val="20"/>
  </w:num>
  <w:num w:numId="19">
    <w:abstractNumId w:val="27"/>
  </w:num>
  <w:num w:numId="20">
    <w:abstractNumId w:val="34"/>
  </w:num>
  <w:num w:numId="21">
    <w:abstractNumId w:val="30"/>
  </w:num>
  <w:num w:numId="22">
    <w:abstractNumId w:val="28"/>
  </w:num>
  <w:num w:numId="23">
    <w:abstractNumId w:val="21"/>
  </w:num>
  <w:num w:numId="24">
    <w:abstractNumId w:val="29"/>
  </w:num>
  <w:num w:numId="25">
    <w:abstractNumId w:val="32"/>
  </w:num>
  <w:num w:numId="26">
    <w:abstractNumId w:val="22"/>
  </w:num>
  <w:num w:numId="27">
    <w:abstractNumId w:val="19"/>
  </w:num>
  <w:num w:numId="28">
    <w:abstractNumId w:val="36"/>
  </w:num>
  <w:num w:numId="29">
    <w:abstractNumId w:val="25"/>
  </w:num>
  <w:num w:numId="30">
    <w:abstractNumId w:val="10"/>
  </w:num>
  <w:num w:numId="31">
    <w:abstractNumId w:val="3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1"/>
    <w:lvlOverride w:ilvl="3">
      <w:lvl w:ilvl="3">
        <w:start w:val="1"/>
        <w:numFmt w:val="decimal"/>
        <w:lvlText w:val="%2.%3.%4"/>
        <w:lvlJc w:val="left"/>
        <w:pPr>
          <w:tabs>
            <w:tab w:val="num" w:pos="0"/>
          </w:tabs>
          <w:ind w:left="0" w:hanging="851"/>
        </w:pPr>
        <w:rPr>
          <w:rFonts w:hint="default"/>
        </w:rPr>
      </w:lvl>
    </w:lvlOverride>
  </w:num>
  <w:num w:numId="33">
    <w:abstractNumId w:val="15"/>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11"/>
  </w:num>
  <w:num w:numId="40">
    <w:abstractNumId w:val="23"/>
  </w:num>
  <w:num w:numId="41">
    <w:abstractNumId w:val="16"/>
  </w:num>
  <w:num w:numId="42">
    <w:abstractNumId w:val="37"/>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Q0PrWgAjHTXSR/1oHu9lc0wwtpFHD5NopL1pr4yIGo=" w:saltValue="3Z/VVhMhlhj6sdKXkTiJHg==" w:algorithmName="SHA-256"/>
  <w:defaultTabStop w:val="34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kaur\aer - draft decision - apa vts gas access arrangement - attachment 6 - capital expenditure (D2016-00130371).docx"/>
  </w:docVars>
  <w:rsids>
    <w:rsidRoot w:val="00961A4A"/>
    <w:rsid w:val="00000009"/>
    <w:rsid w:val="000028AF"/>
    <w:rsid w:val="00003548"/>
    <w:rsid w:val="00004051"/>
    <w:rsid w:val="00004D6D"/>
    <w:rsid w:val="000051DC"/>
    <w:rsid w:val="00006008"/>
    <w:rsid w:val="000061DA"/>
    <w:rsid w:val="0000658F"/>
    <w:rsid w:val="00006782"/>
    <w:rsid w:val="00007866"/>
    <w:rsid w:val="00007867"/>
    <w:rsid w:val="00010518"/>
    <w:rsid w:val="00010FC2"/>
    <w:rsid w:val="00012517"/>
    <w:rsid w:val="00013303"/>
    <w:rsid w:val="00013748"/>
    <w:rsid w:val="0001474F"/>
    <w:rsid w:val="0001507B"/>
    <w:rsid w:val="0001585A"/>
    <w:rsid w:val="00017BCE"/>
    <w:rsid w:val="00020016"/>
    <w:rsid w:val="00020028"/>
    <w:rsid w:val="00021202"/>
    <w:rsid w:val="00021C2B"/>
    <w:rsid w:val="0002268B"/>
    <w:rsid w:val="00022FB6"/>
    <w:rsid w:val="0002498B"/>
    <w:rsid w:val="0002517F"/>
    <w:rsid w:val="00025E4B"/>
    <w:rsid w:val="00026187"/>
    <w:rsid w:val="000266FC"/>
    <w:rsid w:val="00026A81"/>
    <w:rsid w:val="000273B3"/>
    <w:rsid w:val="00027E2D"/>
    <w:rsid w:val="00030062"/>
    <w:rsid w:val="00033303"/>
    <w:rsid w:val="00034124"/>
    <w:rsid w:val="0003440C"/>
    <w:rsid w:val="00035180"/>
    <w:rsid w:val="000352EE"/>
    <w:rsid w:val="0003578C"/>
    <w:rsid w:val="00036B99"/>
    <w:rsid w:val="00037A6D"/>
    <w:rsid w:val="00044DA3"/>
    <w:rsid w:val="000459E8"/>
    <w:rsid w:val="000474DF"/>
    <w:rsid w:val="00054478"/>
    <w:rsid w:val="00055A67"/>
    <w:rsid w:val="00056262"/>
    <w:rsid w:val="00057805"/>
    <w:rsid w:val="00063247"/>
    <w:rsid w:val="00064A0A"/>
    <w:rsid w:val="0006624E"/>
    <w:rsid w:val="0006706C"/>
    <w:rsid w:val="00070F9F"/>
    <w:rsid w:val="0007137B"/>
    <w:rsid w:val="00072FA6"/>
    <w:rsid w:val="00073B74"/>
    <w:rsid w:val="00073BBF"/>
    <w:rsid w:val="00073FD7"/>
    <w:rsid w:val="00076416"/>
    <w:rsid w:val="000805A8"/>
    <w:rsid w:val="0008190B"/>
    <w:rsid w:val="000836D9"/>
    <w:rsid w:val="00085663"/>
    <w:rsid w:val="00085EBF"/>
    <w:rsid w:val="00091B15"/>
    <w:rsid w:val="00093A99"/>
    <w:rsid w:val="00094D3B"/>
    <w:rsid w:val="00095186"/>
    <w:rsid w:val="00095268"/>
    <w:rsid w:val="00095286"/>
    <w:rsid w:val="000954B2"/>
    <w:rsid w:val="00097FD5"/>
    <w:rsid w:val="000A0E71"/>
    <w:rsid w:val="000A1030"/>
    <w:rsid w:val="000A19BD"/>
    <w:rsid w:val="000A1C0C"/>
    <w:rsid w:val="000A1C4B"/>
    <w:rsid w:val="000A3020"/>
    <w:rsid w:val="000A3C57"/>
    <w:rsid w:val="000A4840"/>
    <w:rsid w:val="000A5905"/>
    <w:rsid w:val="000A62C1"/>
    <w:rsid w:val="000A6A79"/>
    <w:rsid w:val="000A6C7B"/>
    <w:rsid w:val="000B08D1"/>
    <w:rsid w:val="000B0A7B"/>
    <w:rsid w:val="000B1173"/>
    <w:rsid w:val="000B469D"/>
    <w:rsid w:val="000B5546"/>
    <w:rsid w:val="000B5827"/>
    <w:rsid w:val="000B67AE"/>
    <w:rsid w:val="000B7037"/>
    <w:rsid w:val="000C02D1"/>
    <w:rsid w:val="000C05A4"/>
    <w:rsid w:val="000C0A49"/>
    <w:rsid w:val="000C0C63"/>
    <w:rsid w:val="000C1660"/>
    <w:rsid w:val="000C2B40"/>
    <w:rsid w:val="000C2FD1"/>
    <w:rsid w:val="000C322C"/>
    <w:rsid w:val="000C3C4E"/>
    <w:rsid w:val="000C5255"/>
    <w:rsid w:val="000C56E0"/>
    <w:rsid w:val="000D0036"/>
    <w:rsid w:val="000D07A7"/>
    <w:rsid w:val="000D0864"/>
    <w:rsid w:val="000D0A4D"/>
    <w:rsid w:val="000D122C"/>
    <w:rsid w:val="000D1A49"/>
    <w:rsid w:val="000D2191"/>
    <w:rsid w:val="000D26F5"/>
    <w:rsid w:val="000D5BC8"/>
    <w:rsid w:val="000D75B0"/>
    <w:rsid w:val="000D7EE5"/>
    <w:rsid w:val="000E0D58"/>
    <w:rsid w:val="000E0FBC"/>
    <w:rsid w:val="000E1819"/>
    <w:rsid w:val="000E4821"/>
    <w:rsid w:val="000E4AA9"/>
    <w:rsid w:val="000E561B"/>
    <w:rsid w:val="000E6C72"/>
    <w:rsid w:val="000E7F39"/>
    <w:rsid w:val="000F06DB"/>
    <w:rsid w:val="000F2779"/>
    <w:rsid w:val="000F5B15"/>
    <w:rsid w:val="00100600"/>
    <w:rsid w:val="00100EA2"/>
    <w:rsid w:val="00101AA1"/>
    <w:rsid w:val="00102338"/>
    <w:rsid w:val="001024B1"/>
    <w:rsid w:val="00104566"/>
    <w:rsid w:val="00104FF6"/>
    <w:rsid w:val="0010536C"/>
    <w:rsid w:val="00105AC9"/>
    <w:rsid w:val="001074D2"/>
    <w:rsid w:val="00107560"/>
    <w:rsid w:val="00107BB7"/>
    <w:rsid w:val="001102F5"/>
    <w:rsid w:val="001114AA"/>
    <w:rsid w:val="001117D9"/>
    <w:rsid w:val="00112553"/>
    <w:rsid w:val="00112684"/>
    <w:rsid w:val="001128B6"/>
    <w:rsid w:val="001134CF"/>
    <w:rsid w:val="00115743"/>
    <w:rsid w:val="00116EB2"/>
    <w:rsid w:val="00117ABB"/>
    <w:rsid w:val="0012132C"/>
    <w:rsid w:val="00124609"/>
    <w:rsid w:val="00125033"/>
    <w:rsid w:val="001252AB"/>
    <w:rsid w:val="00126A4C"/>
    <w:rsid w:val="001270E3"/>
    <w:rsid w:val="00130352"/>
    <w:rsid w:val="00132D43"/>
    <w:rsid w:val="00133366"/>
    <w:rsid w:val="00133628"/>
    <w:rsid w:val="00133F47"/>
    <w:rsid w:val="00134029"/>
    <w:rsid w:val="00134E9A"/>
    <w:rsid w:val="00135D6D"/>
    <w:rsid w:val="00135E0B"/>
    <w:rsid w:val="00137449"/>
    <w:rsid w:val="00137594"/>
    <w:rsid w:val="00140F97"/>
    <w:rsid w:val="00142C2D"/>
    <w:rsid w:val="00142D7D"/>
    <w:rsid w:val="00144C96"/>
    <w:rsid w:val="0014573B"/>
    <w:rsid w:val="001463A3"/>
    <w:rsid w:val="00146902"/>
    <w:rsid w:val="00147638"/>
    <w:rsid w:val="0015073A"/>
    <w:rsid w:val="001519A0"/>
    <w:rsid w:val="00151BD4"/>
    <w:rsid w:val="00153937"/>
    <w:rsid w:val="00153C91"/>
    <w:rsid w:val="001543C4"/>
    <w:rsid w:val="0015576D"/>
    <w:rsid w:val="00155A93"/>
    <w:rsid w:val="001573E4"/>
    <w:rsid w:val="00157F97"/>
    <w:rsid w:val="00160756"/>
    <w:rsid w:val="00161DC8"/>
    <w:rsid w:val="001629AB"/>
    <w:rsid w:val="001646EA"/>
    <w:rsid w:val="00166677"/>
    <w:rsid w:val="00166760"/>
    <w:rsid w:val="001668A0"/>
    <w:rsid w:val="00166EDB"/>
    <w:rsid w:val="0017232E"/>
    <w:rsid w:val="00174102"/>
    <w:rsid w:val="00174979"/>
    <w:rsid w:val="00175007"/>
    <w:rsid w:val="001754EE"/>
    <w:rsid w:val="00180157"/>
    <w:rsid w:val="001809BC"/>
    <w:rsid w:val="00180E97"/>
    <w:rsid w:val="001814EB"/>
    <w:rsid w:val="001817B5"/>
    <w:rsid w:val="001820B4"/>
    <w:rsid w:val="001829B6"/>
    <w:rsid w:val="0018410D"/>
    <w:rsid w:val="001842AB"/>
    <w:rsid w:val="00184351"/>
    <w:rsid w:val="00184AC8"/>
    <w:rsid w:val="00185BA5"/>
    <w:rsid w:val="00185CB9"/>
    <w:rsid w:val="00185DBE"/>
    <w:rsid w:val="00186196"/>
    <w:rsid w:val="001862E0"/>
    <w:rsid w:val="00186ADC"/>
    <w:rsid w:val="00186B5A"/>
    <w:rsid w:val="00186F77"/>
    <w:rsid w:val="001877A4"/>
    <w:rsid w:val="00187858"/>
    <w:rsid w:val="00187D5E"/>
    <w:rsid w:val="001926A4"/>
    <w:rsid w:val="00192AD5"/>
    <w:rsid w:val="00193871"/>
    <w:rsid w:val="00193A17"/>
    <w:rsid w:val="00194597"/>
    <w:rsid w:val="00194E00"/>
    <w:rsid w:val="001952DC"/>
    <w:rsid w:val="00195C2E"/>
    <w:rsid w:val="0019745E"/>
    <w:rsid w:val="00197B16"/>
    <w:rsid w:val="001A300B"/>
    <w:rsid w:val="001A530D"/>
    <w:rsid w:val="001A5CA5"/>
    <w:rsid w:val="001A5F7D"/>
    <w:rsid w:val="001A5FB3"/>
    <w:rsid w:val="001A6C24"/>
    <w:rsid w:val="001A7155"/>
    <w:rsid w:val="001A772D"/>
    <w:rsid w:val="001B10F1"/>
    <w:rsid w:val="001B11D7"/>
    <w:rsid w:val="001B3801"/>
    <w:rsid w:val="001B42FD"/>
    <w:rsid w:val="001B45A0"/>
    <w:rsid w:val="001B5D02"/>
    <w:rsid w:val="001B680E"/>
    <w:rsid w:val="001C16AE"/>
    <w:rsid w:val="001C2AB6"/>
    <w:rsid w:val="001C7A66"/>
    <w:rsid w:val="001D055E"/>
    <w:rsid w:val="001D2B95"/>
    <w:rsid w:val="001D5303"/>
    <w:rsid w:val="001D7179"/>
    <w:rsid w:val="001D796C"/>
    <w:rsid w:val="001E0F23"/>
    <w:rsid w:val="001E1B3F"/>
    <w:rsid w:val="001E3424"/>
    <w:rsid w:val="001E4475"/>
    <w:rsid w:val="001E7161"/>
    <w:rsid w:val="001F05A4"/>
    <w:rsid w:val="001F0C8B"/>
    <w:rsid w:val="001F3D4A"/>
    <w:rsid w:val="001F4526"/>
    <w:rsid w:val="001F492E"/>
    <w:rsid w:val="001F4B15"/>
    <w:rsid w:val="001F64EF"/>
    <w:rsid w:val="001F6DA3"/>
    <w:rsid w:val="002000FD"/>
    <w:rsid w:val="00200387"/>
    <w:rsid w:val="002010BC"/>
    <w:rsid w:val="00201137"/>
    <w:rsid w:val="002016E7"/>
    <w:rsid w:val="00201D98"/>
    <w:rsid w:val="00202E03"/>
    <w:rsid w:val="002033B9"/>
    <w:rsid w:val="00203A93"/>
    <w:rsid w:val="002043D0"/>
    <w:rsid w:val="0020492C"/>
    <w:rsid w:val="00204B78"/>
    <w:rsid w:val="00204EC9"/>
    <w:rsid w:val="00205A9B"/>
    <w:rsid w:val="00206505"/>
    <w:rsid w:val="0020743F"/>
    <w:rsid w:val="002077C4"/>
    <w:rsid w:val="002123AA"/>
    <w:rsid w:val="00213335"/>
    <w:rsid w:val="00216C93"/>
    <w:rsid w:val="00220DB2"/>
    <w:rsid w:val="00221456"/>
    <w:rsid w:val="00222528"/>
    <w:rsid w:val="00222C83"/>
    <w:rsid w:val="00223051"/>
    <w:rsid w:val="002241B7"/>
    <w:rsid w:val="00224DB9"/>
    <w:rsid w:val="0022569A"/>
    <w:rsid w:val="0023005C"/>
    <w:rsid w:val="00231012"/>
    <w:rsid w:val="00233775"/>
    <w:rsid w:val="0023414B"/>
    <w:rsid w:val="00234250"/>
    <w:rsid w:val="00235240"/>
    <w:rsid w:val="002421F5"/>
    <w:rsid w:val="00243635"/>
    <w:rsid w:val="00245801"/>
    <w:rsid w:val="00247079"/>
    <w:rsid w:val="00247BEB"/>
    <w:rsid w:val="00251745"/>
    <w:rsid w:val="00251D66"/>
    <w:rsid w:val="002552BA"/>
    <w:rsid w:val="00255AC9"/>
    <w:rsid w:val="00260016"/>
    <w:rsid w:val="00262E5A"/>
    <w:rsid w:val="00263AC0"/>
    <w:rsid w:val="00264264"/>
    <w:rsid w:val="0026689B"/>
    <w:rsid w:val="0026772D"/>
    <w:rsid w:val="0027028D"/>
    <w:rsid w:val="002705CD"/>
    <w:rsid w:val="002722E1"/>
    <w:rsid w:val="002725AD"/>
    <w:rsid w:val="002726E3"/>
    <w:rsid w:val="00272D2D"/>
    <w:rsid w:val="002730B2"/>
    <w:rsid w:val="00273BD6"/>
    <w:rsid w:val="002744F7"/>
    <w:rsid w:val="00274C7E"/>
    <w:rsid w:val="00275557"/>
    <w:rsid w:val="00276236"/>
    <w:rsid w:val="0027698E"/>
    <w:rsid w:val="002777CF"/>
    <w:rsid w:val="002810F2"/>
    <w:rsid w:val="002826F2"/>
    <w:rsid w:val="00284712"/>
    <w:rsid w:val="00285067"/>
    <w:rsid w:val="00286139"/>
    <w:rsid w:val="00286874"/>
    <w:rsid w:val="00287FE0"/>
    <w:rsid w:val="00290309"/>
    <w:rsid w:val="00290C63"/>
    <w:rsid w:val="00291A99"/>
    <w:rsid w:val="00292E88"/>
    <w:rsid w:val="00293B6D"/>
    <w:rsid w:val="00294B08"/>
    <w:rsid w:val="0029518C"/>
    <w:rsid w:val="002963DD"/>
    <w:rsid w:val="00296B65"/>
    <w:rsid w:val="002A4608"/>
    <w:rsid w:val="002A507C"/>
    <w:rsid w:val="002A6B2B"/>
    <w:rsid w:val="002A6D82"/>
    <w:rsid w:val="002A6DA5"/>
    <w:rsid w:val="002A7DEF"/>
    <w:rsid w:val="002B0696"/>
    <w:rsid w:val="002B1008"/>
    <w:rsid w:val="002B1104"/>
    <w:rsid w:val="002B327A"/>
    <w:rsid w:val="002B346D"/>
    <w:rsid w:val="002B775E"/>
    <w:rsid w:val="002B77DE"/>
    <w:rsid w:val="002B7C64"/>
    <w:rsid w:val="002C0222"/>
    <w:rsid w:val="002C0421"/>
    <w:rsid w:val="002C0B0C"/>
    <w:rsid w:val="002C1499"/>
    <w:rsid w:val="002C233C"/>
    <w:rsid w:val="002C2BC8"/>
    <w:rsid w:val="002C369B"/>
    <w:rsid w:val="002C4216"/>
    <w:rsid w:val="002C517B"/>
    <w:rsid w:val="002C6F4B"/>
    <w:rsid w:val="002C7898"/>
    <w:rsid w:val="002C7E99"/>
    <w:rsid w:val="002D0CA9"/>
    <w:rsid w:val="002D3509"/>
    <w:rsid w:val="002D4164"/>
    <w:rsid w:val="002D5241"/>
    <w:rsid w:val="002D5457"/>
    <w:rsid w:val="002D68D3"/>
    <w:rsid w:val="002D72E8"/>
    <w:rsid w:val="002D79AD"/>
    <w:rsid w:val="002D7D2B"/>
    <w:rsid w:val="002E12CE"/>
    <w:rsid w:val="002E268F"/>
    <w:rsid w:val="002E2BB4"/>
    <w:rsid w:val="002E2C59"/>
    <w:rsid w:val="002E32B3"/>
    <w:rsid w:val="002E3526"/>
    <w:rsid w:val="002E3C20"/>
    <w:rsid w:val="002E4AC5"/>
    <w:rsid w:val="002E4B1A"/>
    <w:rsid w:val="002E4F04"/>
    <w:rsid w:val="002E5347"/>
    <w:rsid w:val="002E62E7"/>
    <w:rsid w:val="002E78DD"/>
    <w:rsid w:val="002E7B22"/>
    <w:rsid w:val="002E7F5B"/>
    <w:rsid w:val="002F06FD"/>
    <w:rsid w:val="002F12EC"/>
    <w:rsid w:val="002F25DE"/>
    <w:rsid w:val="002F2A76"/>
    <w:rsid w:val="002F361C"/>
    <w:rsid w:val="002F7986"/>
    <w:rsid w:val="00301B40"/>
    <w:rsid w:val="00301C82"/>
    <w:rsid w:val="00302580"/>
    <w:rsid w:val="003027BE"/>
    <w:rsid w:val="003029EE"/>
    <w:rsid w:val="00302EA4"/>
    <w:rsid w:val="00302FEB"/>
    <w:rsid w:val="00304A2E"/>
    <w:rsid w:val="00304D38"/>
    <w:rsid w:val="003052FD"/>
    <w:rsid w:val="00305CC8"/>
    <w:rsid w:val="00306FE4"/>
    <w:rsid w:val="00307F6D"/>
    <w:rsid w:val="003141AC"/>
    <w:rsid w:val="00314B5B"/>
    <w:rsid w:val="00314D83"/>
    <w:rsid w:val="00315071"/>
    <w:rsid w:val="0031571F"/>
    <w:rsid w:val="003169BE"/>
    <w:rsid w:val="003177A2"/>
    <w:rsid w:val="00317C88"/>
    <w:rsid w:val="00317E02"/>
    <w:rsid w:val="00321503"/>
    <w:rsid w:val="003235D2"/>
    <w:rsid w:val="003271B5"/>
    <w:rsid w:val="00327A1E"/>
    <w:rsid w:val="00327C77"/>
    <w:rsid w:val="00327E28"/>
    <w:rsid w:val="00330152"/>
    <w:rsid w:val="00331264"/>
    <w:rsid w:val="00334C8D"/>
    <w:rsid w:val="00335E15"/>
    <w:rsid w:val="003378BD"/>
    <w:rsid w:val="003424EA"/>
    <w:rsid w:val="00342C2F"/>
    <w:rsid w:val="003436EB"/>
    <w:rsid w:val="00343A18"/>
    <w:rsid w:val="00344352"/>
    <w:rsid w:val="00344F2B"/>
    <w:rsid w:val="00345744"/>
    <w:rsid w:val="00345B12"/>
    <w:rsid w:val="003518B3"/>
    <w:rsid w:val="00351C0A"/>
    <w:rsid w:val="003520DD"/>
    <w:rsid w:val="00353247"/>
    <w:rsid w:val="00353E79"/>
    <w:rsid w:val="00354098"/>
    <w:rsid w:val="003562FD"/>
    <w:rsid w:val="00360B12"/>
    <w:rsid w:val="00363B5F"/>
    <w:rsid w:val="00364EA0"/>
    <w:rsid w:val="00364F99"/>
    <w:rsid w:val="0036621C"/>
    <w:rsid w:val="00366981"/>
    <w:rsid w:val="003669DE"/>
    <w:rsid w:val="00370678"/>
    <w:rsid w:val="0037214E"/>
    <w:rsid w:val="00372C85"/>
    <w:rsid w:val="00373845"/>
    <w:rsid w:val="003744E3"/>
    <w:rsid w:val="003748FD"/>
    <w:rsid w:val="00374AB6"/>
    <w:rsid w:val="00374BB6"/>
    <w:rsid w:val="00374D1E"/>
    <w:rsid w:val="00375F71"/>
    <w:rsid w:val="00376219"/>
    <w:rsid w:val="00376361"/>
    <w:rsid w:val="0037663E"/>
    <w:rsid w:val="0037699E"/>
    <w:rsid w:val="003772C3"/>
    <w:rsid w:val="00377A29"/>
    <w:rsid w:val="00377C69"/>
    <w:rsid w:val="0038118F"/>
    <w:rsid w:val="00382EFC"/>
    <w:rsid w:val="0038415D"/>
    <w:rsid w:val="003841F3"/>
    <w:rsid w:val="0038461C"/>
    <w:rsid w:val="003846F1"/>
    <w:rsid w:val="0038642B"/>
    <w:rsid w:val="00386BD5"/>
    <w:rsid w:val="00387AF7"/>
    <w:rsid w:val="00387BCD"/>
    <w:rsid w:val="0039001B"/>
    <w:rsid w:val="00390548"/>
    <w:rsid w:val="00390E6A"/>
    <w:rsid w:val="0039209C"/>
    <w:rsid w:val="00393ABE"/>
    <w:rsid w:val="0039482A"/>
    <w:rsid w:val="00395DB6"/>
    <w:rsid w:val="00397398"/>
    <w:rsid w:val="003A371A"/>
    <w:rsid w:val="003A4AF2"/>
    <w:rsid w:val="003A59CD"/>
    <w:rsid w:val="003A6B00"/>
    <w:rsid w:val="003A6CD9"/>
    <w:rsid w:val="003A7C6E"/>
    <w:rsid w:val="003A7D49"/>
    <w:rsid w:val="003B1B6C"/>
    <w:rsid w:val="003B2C5C"/>
    <w:rsid w:val="003B30B2"/>
    <w:rsid w:val="003B484F"/>
    <w:rsid w:val="003B4AAD"/>
    <w:rsid w:val="003B4B5D"/>
    <w:rsid w:val="003B504B"/>
    <w:rsid w:val="003B5179"/>
    <w:rsid w:val="003B685C"/>
    <w:rsid w:val="003B7BA8"/>
    <w:rsid w:val="003B7D6B"/>
    <w:rsid w:val="003B7FBA"/>
    <w:rsid w:val="003C1B15"/>
    <w:rsid w:val="003C1E04"/>
    <w:rsid w:val="003C1FEF"/>
    <w:rsid w:val="003C2CB3"/>
    <w:rsid w:val="003C2F51"/>
    <w:rsid w:val="003C4FC0"/>
    <w:rsid w:val="003C6537"/>
    <w:rsid w:val="003C6A13"/>
    <w:rsid w:val="003C764A"/>
    <w:rsid w:val="003C78BA"/>
    <w:rsid w:val="003D16B5"/>
    <w:rsid w:val="003D41F1"/>
    <w:rsid w:val="003D42AB"/>
    <w:rsid w:val="003D5B94"/>
    <w:rsid w:val="003E095B"/>
    <w:rsid w:val="003E0D3A"/>
    <w:rsid w:val="003E24D1"/>
    <w:rsid w:val="003E30F3"/>
    <w:rsid w:val="003E3AAB"/>
    <w:rsid w:val="003E7FE9"/>
    <w:rsid w:val="003F07D4"/>
    <w:rsid w:val="003F174D"/>
    <w:rsid w:val="003F212E"/>
    <w:rsid w:val="003F2329"/>
    <w:rsid w:val="003F34D3"/>
    <w:rsid w:val="003F7308"/>
    <w:rsid w:val="0040038E"/>
    <w:rsid w:val="004004BB"/>
    <w:rsid w:val="00400FD2"/>
    <w:rsid w:val="00403711"/>
    <w:rsid w:val="00404C52"/>
    <w:rsid w:val="004063E7"/>
    <w:rsid w:val="00407C8C"/>
    <w:rsid w:val="00407C9F"/>
    <w:rsid w:val="00407FC9"/>
    <w:rsid w:val="00410D2F"/>
    <w:rsid w:val="00412A4F"/>
    <w:rsid w:val="00414E0D"/>
    <w:rsid w:val="004156D5"/>
    <w:rsid w:val="00415BA9"/>
    <w:rsid w:val="00415F31"/>
    <w:rsid w:val="0041691D"/>
    <w:rsid w:val="0042000C"/>
    <w:rsid w:val="0042090E"/>
    <w:rsid w:val="00420FA0"/>
    <w:rsid w:val="00421F27"/>
    <w:rsid w:val="00422620"/>
    <w:rsid w:val="004238D8"/>
    <w:rsid w:val="00423A77"/>
    <w:rsid w:val="00424CD6"/>
    <w:rsid w:val="004258F2"/>
    <w:rsid w:val="004269A7"/>
    <w:rsid w:val="00431611"/>
    <w:rsid w:val="004324F4"/>
    <w:rsid w:val="00434544"/>
    <w:rsid w:val="004355D4"/>
    <w:rsid w:val="00436D1D"/>
    <w:rsid w:val="004413D7"/>
    <w:rsid w:val="0044226A"/>
    <w:rsid w:val="004430A8"/>
    <w:rsid w:val="0044489F"/>
    <w:rsid w:val="00445D43"/>
    <w:rsid w:val="00446CD2"/>
    <w:rsid w:val="00450219"/>
    <w:rsid w:val="0045026B"/>
    <w:rsid w:val="004502D7"/>
    <w:rsid w:val="00452C7A"/>
    <w:rsid w:val="00453A7D"/>
    <w:rsid w:val="00453D30"/>
    <w:rsid w:val="00454679"/>
    <w:rsid w:val="0045584B"/>
    <w:rsid w:val="004569DF"/>
    <w:rsid w:val="00456D27"/>
    <w:rsid w:val="0045777E"/>
    <w:rsid w:val="00460890"/>
    <w:rsid w:val="00465258"/>
    <w:rsid w:val="00466863"/>
    <w:rsid w:val="00471BC6"/>
    <w:rsid w:val="00473FB5"/>
    <w:rsid w:val="0047447E"/>
    <w:rsid w:val="00476221"/>
    <w:rsid w:val="004766F5"/>
    <w:rsid w:val="00476AD4"/>
    <w:rsid w:val="00477F88"/>
    <w:rsid w:val="00480B4B"/>
    <w:rsid w:val="004838D8"/>
    <w:rsid w:val="00485DC4"/>
    <w:rsid w:val="004905FA"/>
    <w:rsid w:val="004926C6"/>
    <w:rsid w:val="004939F2"/>
    <w:rsid w:val="004947DE"/>
    <w:rsid w:val="00494D04"/>
    <w:rsid w:val="00495777"/>
    <w:rsid w:val="00496A6E"/>
    <w:rsid w:val="004A27B5"/>
    <w:rsid w:val="004A3BA8"/>
    <w:rsid w:val="004A40BA"/>
    <w:rsid w:val="004A43D1"/>
    <w:rsid w:val="004A492B"/>
    <w:rsid w:val="004A56FF"/>
    <w:rsid w:val="004A6F8D"/>
    <w:rsid w:val="004A7EFB"/>
    <w:rsid w:val="004B2D6C"/>
    <w:rsid w:val="004B3F68"/>
    <w:rsid w:val="004B4412"/>
    <w:rsid w:val="004B583D"/>
    <w:rsid w:val="004B7AF5"/>
    <w:rsid w:val="004C0043"/>
    <w:rsid w:val="004C0DF5"/>
    <w:rsid w:val="004C2C7D"/>
    <w:rsid w:val="004C348C"/>
    <w:rsid w:val="004C4470"/>
    <w:rsid w:val="004C462E"/>
    <w:rsid w:val="004C4D50"/>
    <w:rsid w:val="004C6CA3"/>
    <w:rsid w:val="004C7F5E"/>
    <w:rsid w:val="004D0CF2"/>
    <w:rsid w:val="004D232F"/>
    <w:rsid w:val="004D343C"/>
    <w:rsid w:val="004D372A"/>
    <w:rsid w:val="004D4BFE"/>
    <w:rsid w:val="004D4C00"/>
    <w:rsid w:val="004D55BA"/>
    <w:rsid w:val="004D720C"/>
    <w:rsid w:val="004E0FA7"/>
    <w:rsid w:val="004E22EC"/>
    <w:rsid w:val="004E55B7"/>
    <w:rsid w:val="004E6E14"/>
    <w:rsid w:val="004F0BFA"/>
    <w:rsid w:val="004F13DA"/>
    <w:rsid w:val="004F34FB"/>
    <w:rsid w:val="004F4D69"/>
    <w:rsid w:val="004F626F"/>
    <w:rsid w:val="004F6883"/>
    <w:rsid w:val="004F6A0E"/>
    <w:rsid w:val="004F6A83"/>
    <w:rsid w:val="004F6BB3"/>
    <w:rsid w:val="005009CD"/>
    <w:rsid w:val="00504E5F"/>
    <w:rsid w:val="00507039"/>
    <w:rsid w:val="005071F3"/>
    <w:rsid w:val="0051028B"/>
    <w:rsid w:val="005131C0"/>
    <w:rsid w:val="0051337E"/>
    <w:rsid w:val="00513FA7"/>
    <w:rsid w:val="00516E08"/>
    <w:rsid w:val="00516F15"/>
    <w:rsid w:val="0051768F"/>
    <w:rsid w:val="00520139"/>
    <w:rsid w:val="00522B2D"/>
    <w:rsid w:val="00522DC2"/>
    <w:rsid w:val="00523FBB"/>
    <w:rsid w:val="005248DA"/>
    <w:rsid w:val="005258B9"/>
    <w:rsid w:val="00525E5E"/>
    <w:rsid w:val="005273C0"/>
    <w:rsid w:val="00530128"/>
    <w:rsid w:val="005304D9"/>
    <w:rsid w:val="00532467"/>
    <w:rsid w:val="005332A9"/>
    <w:rsid w:val="00533F92"/>
    <w:rsid w:val="005354B1"/>
    <w:rsid w:val="0053603C"/>
    <w:rsid w:val="00537871"/>
    <w:rsid w:val="00540D5F"/>
    <w:rsid w:val="00541BC9"/>
    <w:rsid w:val="00541C5C"/>
    <w:rsid w:val="0054200B"/>
    <w:rsid w:val="00542FE9"/>
    <w:rsid w:val="00543BFB"/>
    <w:rsid w:val="00544598"/>
    <w:rsid w:val="00544C60"/>
    <w:rsid w:val="00544C8D"/>
    <w:rsid w:val="00544DFD"/>
    <w:rsid w:val="005459C2"/>
    <w:rsid w:val="00546EAA"/>
    <w:rsid w:val="00553A2F"/>
    <w:rsid w:val="00555374"/>
    <w:rsid w:val="00556B1E"/>
    <w:rsid w:val="005606A4"/>
    <w:rsid w:val="0056083B"/>
    <w:rsid w:val="00561CD6"/>
    <w:rsid w:val="00564485"/>
    <w:rsid w:val="00564A4D"/>
    <w:rsid w:val="00564BB7"/>
    <w:rsid w:val="0056598C"/>
    <w:rsid w:val="005668CE"/>
    <w:rsid w:val="00566B39"/>
    <w:rsid w:val="00566E0B"/>
    <w:rsid w:val="00567BA5"/>
    <w:rsid w:val="00571B35"/>
    <w:rsid w:val="00571B43"/>
    <w:rsid w:val="00571D57"/>
    <w:rsid w:val="005721D0"/>
    <w:rsid w:val="00573A3B"/>
    <w:rsid w:val="005768A6"/>
    <w:rsid w:val="00577716"/>
    <w:rsid w:val="00577A09"/>
    <w:rsid w:val="005829C2"/>
    <w:rsid w:val="0058375C"/>
    <w:rsid w:val="005841E5"/>
    <w:rsid w:val="005848B4"/>
    <w:rsid w:val="00584D8F"/>
    <w:rsid w:val="00587A18"/>
    <w:rsid w:val="00587ADE"/>
    <w:rsid w:val="005933FB"/>
    <w:rsid w:val="005942CC"/>
    <w:rsid w:val="00597A06"/>
    <w:rsid w:val="005A0BEC"/>
    <w:rsid w:val="005A3CC0"/>
    <w:rsid w:val="005A404D"/>
    <w:rsid w:val="005A5165"/>
    <w:rsid w:val="005A7EA4"/>
    <w:rsid w:val="005B1E3C"/>
    <w:rsid w:val="005B2299"/>
    <w:rsid w:val="005B28A9"/>
    <w:rsid w:val="005B545A"/>
    <w:rsid w:val="005B6518"/>
    <w:rsid w:val="005B6FE7"/>
    <w:rsid w:val="005B704A"/>
    <w:rsid w:val="005B72D7"/>
    <w:rsid w:val="005C045F"/>
    <w:rsid w:val="005C16FE"/>
    <w:rsid w:val="005C1FAB"/>
    <w:rsid w:val="005C21A4"/>
    <w:rsid w:val="005C26CC"/>
    <w:rsid w:val="005C4463"/>
    <w:rsid w:val="005C44B1"/>
    <w:rsid w:val="005D086C"/>
    <w:rsid w:val="005D20DF"/>
    <w:rsid w:val="005D2726"/>
    <w:rsid w:val="005D3B52"/>
    <w:rsid w:val="005D3D88"/>
    <w:rsid w:val="005D48C4"/>
    <w:rsid w:val="005D5995"/>
    <w:rsid w:val="005D6208"/>
    <w:rsid w:val="005D6366"/>
    <w:rsid w:val="005D729F"/>
    <w:rsid w:val="005D7BA2"/>
    <w:rsid w:val="005E05CB"/>
    <w:rsid w:val="005E0675"/>
    <w:rsid w:val="005E0FA3"/>
    <w:rsid w:val="005E36C2"/>
    <w:rsid w:val="005E4AF4"/>
    <w:rsid w:val="005E4DFF"/>
    <w:rsid w:val="005E5D86"/>
    <w:rsid w:val="005E6D58"/>
    <w:rsid w:val="005F1B4E"/>
    <w:rsid w:val="005F22C6"/>
    <w:rsid w:val="005F2AAB"/>
    <w:rsid w:val="005F387E"/>
    <w:rsid w:val="005F3E19"/>
    <w:rsid w:val="005F5346"/>
    <w:rsid w:val="00600154"/>
    <w:rsid w:val="006018DD"/>
    <w:rsid w:val="00601E0B"/>
    <w:rsid w:val="0060258B"/>
    <w:rsid w:val="00602A4B"/>
    <w:rsid w:val="00604FC7"/>
    <w:rsid w:val="00606BAC"/>
    <w:rsid w:val="00610B57"/>
    <w:rsid w:val="00610EF9"/>
    <w:rsid w:val="00612F4F"/>
    <w:rsid w:val="00613B0B"/>
    <w:rsid w:val="00614EA0"/>
    <w:rsid w:val="00615C6B"/>
    <w:rsid w:val="0061735A"/>
    <w:rsid w:val="00617D4C"/>
    <w:rsid w:val="0062117F"/>
    <w:rsid w:val="00621803"/>
    <w:rsid w:val="00621DCE"/>
    <w:rsid w:val="00621FC5"/>
    <w:rsid w:val="006248FB"/>
    <w:rsid w:val="00624F2C"/>
    <w:rsid w:val="00625EFA"/>
    <w:rsid w:val="0062764D"/>
    <w:rsid w:val="00627C20"/>
    <w:rsid w:val="00627C51"/>
    <w:rsid w:val="0063287E"/>
    <w:rsid w:val="00632D6D"/>
    <w:rsid w:val="00634E2B"/>
    <w:rsid w:val="00636569"/>
    <w:rsid w:val="00636EA9"/>
    <w:rsid w:val="00636EF9"/>
    <w:rsid w:val="0063752F"/>
    <w:rsid w:val="00637BD3"/>
    <w:rsid w:val="00642460"/>
    <w:rsid w:val="00642C3E"/>
    <w:rsid w:val="006449EA"/>
    <w:rsid w:val="00644A01"/>
    <w:rsid w:val="00644BAD"/>
    <w:rsid w:val="00646638"/>
    <w:rsid w:val="00651B14"/>
    <w:rsid w:val="00651E2D"/>
    <w:rsid w:val="00652324"/>
    <w:rsid w:val="00652753"/>
    <w:rsid w:val="00652C8E"/>
    <w:rsid w:val="00655EB9"/>
    <w:rsid w:val="00656BAF"/>
    <w:rsid w:val="00656F02"/>
    <w:rsid w:val="006577FB"/>
    <w:rsid w:val="0066026D"/>
    <w:rsid w:val="00660CB6"/>
    <w:rsid w:val="0066104A"/>
    <w:rsid w:val="00663066"/>
    <w:rsid w:val="00663662"/>
    <w:rsid w:val="00663DAD"/>
    <w:rsid w:val="00664206"/>
    <w:rsid w:val="006649E7"/>
    <w:rsid w:val="00664C6C"/>
    <w:rsid w:val="006659F1"/>
    <w:rsid w:val="00666634"/>
    <w:rsid w:val="00667FE5"/>
    <w:rsid w:val="0067129E"/>
    <w:rsid w:val="00671692"/>
    <w:rsid w:val="006758E4"/>
    <w:rsid w:val="00675E20"/>
    <w:rsid w:val="00676679"/>
    <w:rsid w:val="00676D7E"/>
    <w:rsid w:val="00677AAE"/>
    <w:rsid w:val="00681BF0"/>
    <w:rsid w:val="00681D4B"/>
    <w:rsid w:val="006820ED"/>
    <w:rsid w:val="00682CEC"/>
    <w:rsid w:val="00683C62"/>
    <w:rsid w:val="00683C89"/>
    <w:rsid w:val="00687663"/>
    <w:rsid w:val="00691B53"/>
    <w:rsid w:val="0069343B"/>
    <w:rsid w:val="00693DFC"/>
    <w:rsid w:val="006946F9"/>
    <w:rsid w:val="006956CB"/>
    <w:rsid w:val="00696183"/>
    <w:rsid w:val="00697A4D"/>
    <w:rsid w:val="00697CE7"/>
    <w:rsid w:val="00697D0B"/>
    <w:rsid w:val="006A12BA"/>
    <w:rsid w:val="006A1809"/>
    <w:rsid w:val="006A1C48"/>
    <w:rsid w:val="006A4739"/>
    <w:rsid w:val="006A5238"/>
    <w:rsid w:val="006A588A"/>
    <w:rsid w:val="006A66A1"/>
    <w:rsid w:val="006B032D"/>
    <w:rsid w:val="006B2395"/>
    <w:rsid w:val="006B2A1C"/>
    <w:rsid w:val="006B2E0D"/>
    <w:rsid w:val="006B40AC"/>
    <w:rsid w:val="006B4CF9"/>
    <w:rsid w:val="006B5166"/>
    <w:rsid w:val="006B51D9"/>
    <w:rsid w:val="006B59D3"/>
    <w:rsid w:val="006B5C41"/>
    <w:rsid w:val="006B6F0E"/>
    <w:rsid w:val="006B797C"/>
    <w:rsid w:val="006B7AC8"/>
    <w:rsid w:val="006C1736"/>
    <w:rsid w:val="006C1BE6"/>
    <w:rsid w:val="006C2C5C"/>
    <w:rsid w:val="006C329B"/>
    <w:rsid w:val="006C42DB"/>
    <w:rsid w:val="006C4E4D"/>
    <w:rsid w:val="006C6303"/>
    <w:rsid w:val="006C63DD"/>
    <w:rsid w:val="006D459B"/>
    <w:rsid w:val="006D5173"/>
    <w:rsid w:val="006D550F"/>
    <w:rsid w:val="006D6146"/>
    <w:rsid w:val="006D68FB"/>
    <w:rsid w:val="006D720B"/>
    <w:rsid w:val="006D7F7E"/>
    <w:rsid w:val="006E0CFF"/>
    <w:rsid w:val="006E4E02"/>
    <w:rsid w:val="006E6594"/>
    <w:rsid w:val="006E79A9"/>
    <w:rsid w:val="006F0D92"/>
    <w:rsid w:val="006F267D"/>
    <w:rsid w:val="006F40FA"/>
    <w:rsid w:val="0070011E"/>
    <w:rsid w:val="00700F71"/>
    <w:rsid w:val="00701CAB"/>
    <w:rsid w:val="007023BB"/>
    <w:rsid w:val="007031CA"/>
    <w:rsid w:val="00703C95"/>
    <w:rsid w:val="00704DD7"/>
    <w:rsid w:val="007052A6"/>
    <w:rsid w:val="00707563"/>
    <w:rsid w:val="0071042B"/>
    <w:rsid w:val="00712793"/>
    <w:rsid w:val="0071313B"/>
    <w:rsid w:val="00715F61"/>
    <w:rsid w:val="00717865"/>
    <w:rsid w:val="00717E95"/>
    <w:rsid w:val="0072033F"/>
    <w:rsid w:val="00722132"/>
    <w:rsid w:val="007228F7"/>
    <w:rsid w:val="00722B47"/>
    <w:rsid w:val="0072348C"/>
    <w:rsid w:val="0072350A"/>
    <w:rsid w:val="00724747"/>
    <w:rsid w:val="00724A37"/>
    <w:rsid w:val="007255C5"/>
    <w:rsid w:val="007303C3"/>
    <w:rsid w:val="00731188"/>
    <w:rsid w:val="007326DC"/>
    <w:rsid w:val="007356CC"/>
    <w:rsid w:val="007368E6"/>
    <w:rsid w:val="007375DF"/>
    <w:rsid w:val="00740F40"/>
    <w:rsid w:val="007429BE"/>
    <w:rsid w:val="00743223"/>
    <w:rsid w:val="00743349"/>
    <w:rsid w:val="0074403A"/>
    <w:rsid w:val="007469A1"/>
    <w:rsid w:val="00746E01"/>
    <w:rsid w:val="00750F57"/>
    <w:rsid w:val="00751DCD"/>
    <w:rsid w:val="007533EF"/>
    <w:rsid w:val="0075377E"/>
    <w:rsid w:val="00755084"/>
    <w:rsid w:val="00757364"/>
    <w:rsid w:val="007578A7"/>
    <w:rsid w:val="00757BDF"/>
    <w:rsid w:val="007609D0"/>
    <w:rsid w:val="00761454"/>
    <w:rsid w:val="00761858"/>
    <w:rsid w:val="0076193D"/>
    <w:rsid w:val="00763E5D"/>
    <w:rsid w:val="00764023"/>
    <w:rsid w:val="00764193"/>
    <w:rsid w:val="0076586E"/>
    <w:rsid w:val="00765885"/>
    <w:rsid w:val="00767649"/>
    <w:rsid w:val="00767740"/>
    <w:rsid w:val="0076780F"/>
    <w:rsid w:val="007679BC"/>
    <w:rsid w:val="00767B5E"/>
    <w:rsid w:val="00771A41"/>
    <w:rsid w:val="00771BF4"/>
    <w:rsid w:val="00772CF3"/>
    <w:rsid w:val="00775406"/>
    <w:rsid w:val="00775460"/>
    <w:rsid w:val="007757A6"/>
    <w:rsid w:val="00775DC4"/>
    <w:rsid w:val="007777BE"/>
    <w:rsid w:val="00777EE6"/>
    <w:rsid w:val="00777FE6"/>
    <w:rsid w:val="00782EEA"/>
    <w:rsid w:val="00783E7D"/>
    <w:rsid w:val="00784B29"/>
    <w:rsid w:val="00784F49"/>
    <w:rsid w:val="00787DD1"/>
    <w:rsid w:val="00790077"/>
    <w:rsid w:val="007909B4"/>
    <w:rsid w:val="00790A11"/>
    <w:rsid w:val="00790E86"/>
    <w:rsid w:val="00791CB9"/>
    <w:rsid w:val="007942AE"/>
    <w:rsid w:val="007949D7"/>
    <w:rsid w:val="00795812"/>
    <w:rsid w:val="00796783"/>
    <w:rsid w:val="007A010B"/>
    <w:rsid w:val="007A0143"/>
    <w:rsid w:val="007A34C2"/>
    <w:rsid w:val="007A353F"/>
    <w:rsid w:val="007A396C"/>
    <w:rsid w:val="007A4260"/>
    <w:rsid w:val="007A4B02"/>
    <w:rsid w:val="007A5D5A"/>
    <w:rsid w:val="007A5EEA"/>
    <w:rsid w:val="007A7538"/>
    <w:rsid w:val="007B0BE3"/>
    <w:rsid w:val="007B1816"/>
    <w:rsid w:val="007B186E"/>
    <w:rsid w:val="007B1A9E"/>
    <w:rsid w:val="007B1C4B"/>
    <w:rsid w:val="007B25DC"/>
    <w:rsid w:val="007B272A"/>
    <w:rsid w:val="007B2C72"/>
    <w:rsid w:val="007B3789"/>
    <w:rsid w:val="007B456A"/>
    <w:rsid w:val="007B5AAD"/>
    <w:rsid w:val="007B651F"/>
    <w:rsid w:val="007B66E3"/>
    <w:rsid w:val="007B7BB5"/>
    <w:rsid w:val="007B7FC0"/>
    <w:rsid w:val="007C1C53"/>
    <w:rsid w:val="007C284C"/>
    <w:rsid w:val="007C4A86"/>
    <w:rsid w:val="007C4B82"/>
    <w:rsid w:val="007C5D36"/>
    <w:rsid w:val="007C7341"/>
    <w:rsid w:val="007C74BB"/>
    <w:rsid w:val="007C7F64"/>
    <w:rsid w:val="007D0A95"/>
    <w:rsid w:val="007D0EB5"/>
    <w:rsid w:val="007D12B5"/>
    <w:rsid w:val="007D456E"/>
    <w:rsid w:val="007D486C"/>
    <w:rsid w:val="007D5837"/>
    <w:rsid w:val="007D6E4B"/>
    <w:rsid w:val="007E26E3"/>
    <w:rsid w:val="007E4413"/>
    <w:rsid w:val="007E443B"/>
    <w:rsid w:val="007E4904"/>
    <w:rsid w:val="007E4C91"/>
    <w:rsid w:val="007E4CB5"/>
    <w:rsid w:val="007E4DAE"/>
    <w:rsid w:val="007F066B"/>
    <w:rsid w:val="007F321F"/>
    <w:rsid w:val="007F4788"/>
    <w:rsid w:val="007F4EAB"/>
    <w:rsid w:val="007F5B16"/>
    <w:rsid w:val="007F71AB"/>
    <w:rsid w:val="007F7C9D"/>
    <w:rsid w:val="00800137"/>
    <w:rsid w:val="00801D4E"/>
    <w:rsid w:val="00801F8C"/>
    <w:rsid w:val="008033C4"/>
    <w:rsid w:val="00804455"/>
    <w:rsid w:val="008064D2"/>
    <w:rsid w:val="00806731"/>
    <w:rsid w:val="00806C88"/>
    <w:rsid w:val="0081034E"/>
    <w:rsid w:val="00810806"/>
    <w:rsid w:val="00811E40"/>
    <w:rsid w:val="0081297C"/>
    <w:rsid w:val="00813B3C"/>
    <w:rsid w:val="00815882"/>
    <w:rsid w:val="00815E5D"/>
    <w:rsid w:val="00816D62"/>
    <w:rsid w:val="0081739D"/>
    <w:rsid w:val="00820454"/>
    <w:rsid w:val="00822AC7"/>
    <w:rsid w:val="00822E86"/>
    <w:rsid w:val="0082594A"/>
    <w:rsid w:val="008308F7"/>
    <w:rsid w:val="008318A1"/>
    <w:rsid w:val="00832A1C"/>
    <w:rsid w:val="008344F6"/>
    <w:rsid w:val="0083510F"/>
    <w:rsid w:val="008354A3"/>
    <w:rsid w:val="0083785A"/>
    <w:rsid w:val="00837BF3"/>
    <w:rsid w:val="008410DF"/>
    <w:rsid w:val="008415DE"/>
    <w:rsid w:val="008420DE"/>
    <w:rsid w:val="00843618"/>
    <w:rsid w:val="0084422B"/>
    <w:rsid w:val="00845865"/>
    <w:rsid w:val="008459D7"/>
    <w:rsid w:val="0084701B"/>
    <w:rsid w:val="00847478"/>
    <w:rsid w:val="0084799B"/>
    <w:rsid w:val="00850C90"/>
    <w:rsid w:val="008510AD"/>
    <w:rsid w:val="00851209"/>
    <w:rsid w:val="00851266"/>
    <w:rsid w:val="0085171F"/>
    <w:rsid w:val="00852DA1"/>
    <w:rsid w:val="00853CE1"/>
    <w:rsid w:val="00854B45"/>
    <w:rsid w:val="00855BE1"/>
    <w:rsid w:val="008569EC"/>
    <w:rsid w:val="00856FB6"/>
    <w:rsid w:val="008615A3"/>
    <w:rsid w:val="00862250"/>
    <w:rsid w:val="008628C0"/>
    <w:rsid w:val="00863018"/>
    <w:rsid w:val="008631B4"/>
    <w:rsid w:val="008658A1"/>
    <w:rsid w:val="00865AAF"/>
    <w:rsid w:val="0086716A"/>
    <w:rsid w:val="008679C1"/>
    <w:rsid w:val="008700B0"/>
    <w:rsid w:val="00870613"/>
    <w:rsid w:val="0087303C"/>
    <w:rsid w:val="008736D7"/>
    <w:rsid w:val="0087380F"/>
    <w:rsid w:val="00874E66"/>
    <w:rsid w:val="00875514"/>
    <w:rsid w:val="00876355"/>
    <w:rsid w:val="0087648F"/>
    <w:rsid w:val="00876612"/>
    <w:rsid w:val="00877A0F"/>
    <w:rsid w:val="00880D78"/>
    <w:rsid w:val="008813E6"/>
    <w:rsid w:val="00882019"/>
    <w:rsid w:val="00882BB1"/>
    <w:rsid w:val="008837AC"/>
    <w:rsid w:val="00884C96"/>
    <w:rsid w:val="00885DC2"/>
    <w:rsid w:val="008909DC"/>
    <w:rsid w:val="00890F32"/>
    <w:rsid w:val="00894255"/>
    <w:rsid w:val="008945AD"/>
    <w:rsid w:val="00897351"/>
    <w:rsid w:val="00897F09"/>
    <w:rsid w:val="008A0645"/>
    <w:rsid w:val="008A1C02"/>
    <w:rsid w:val="008A1F2C"/>
    <w:rsid w:val="008A370D"/>
    <w:rsid w:val="008A456A"/>
    <w:rsid w:val="008A4C8E"/>
    <w:rsid w:val="008A4E5E"/>
    <w:rsid w:val="008A587D"/>
    <w:rsid w:val="008A5DEC"/>
    <w:rsid w:val="008A66FD"/>
    <w:rsid w:val="008A7120"/>
    <w:rsid w:val="008B16B0"/>
    <w:rsid w:val="008B1BD5"/>
    <w:rsid w:val="008B1C95"/>
    <w:rsid w:val="008B22C4"/>
    <w:rsid w:val="008B35CD"/>
    <w:rsid w:val="008B4093"/>
    <w:rsid w:val="008B5FCC"/>
    <w:rsid w:val="008B6F45"/>
    <w:rsid w:val="008B73C0"/>
    <w:rsid w:val="008B770B"/>
    <w:rsid w:val="008B7AFA"/>
    <w:rsid w:val="008B7F36"/>
    <w:rsid w:val="008C1AB5"/>
    <w:rsid w:val="008C357F"/>
    <w:rsid w:val="008C4B74"/>
    <w:rsid w:val="008C4D3D"/>
    <w:rsid w:val="008C5486"/>
    <w:rsid w:val="008C6C52"/>
    <w:rsid w:val="008D12CE"/>
    <w:rsid w:val="008D1661"/>
    <w:rsid w:val="008D2578"/>
    <w:rsid w:val="008D27E0"/>
    <w:rsid w:val="008D36CB"/>
    <w:rsid w:val="008D378F"/>
    <w:rsid w:val="008D5F90"/>
    <w:rsid w:val="008D6800"/>
    <w:rsid w:val="008D72F1"/>
    <w:rsid w:val="008D736E"/>
    <w:rsid w:val="008D77D0"/>
    <w:rsid w:val="008E088B"/>
    <w:rsid w:val="008E0C98"/>
    <w:rsid w:val="008E1AA8"/>
    <w:rsid w:val="008E4089"/>
    <w:rsid w:val="008E5038"/>
    <w:rsid w:val="008E5AFF"/>
    <w:rsid w:val="008E7031"/>
    <w:rsid w:val="008E70FB"/>
    <w:rsid w:val="008E77DE"/>
    <w:rsid w:val="008F040C"/>
    <w:rsid w:val="008F07A3"/>
    <w:rsid w:val="008F3322"/>
    <w:rsid w:val="008F3519"/>
    <w:rsid w:val="008F3A0D"/>
    <w:rsid w:val="008F664D"/>
    <w:rsid w:val="008F73B4"/>
    <w:rsid w:val="008F73EF"/>
    <w:rsid w:val="008F7A49"/>
    <w:rsid w:val="009001B6"/>
    <w:rsid w:val="009009A3"/>
    <w:rsid w:val="00900E1B"/>
    <w:rsid w:val="0090131F"/>
    <w:rsid w:val="00902E7D"/>
    <w:rsid w:val="00905855"/>
    <w:rsid w:val="00907683"/>
    <w:rsid w:val="00907AA7"/>
    <w:rsid w:val="009132B7"/>
    <w:rsid w:val="00916A2C"/>
    <w:rsid w:val="00922F9C"/>
    <w:rsid w:val="009233EE"/>
    <w:rsid w:val="00923562"/>
    <w:rsid w:val="00925206"/>
    <w:rsid w:val="00925FD2"/>
    <w:rsid w:val="00926454"/>
    <w:rsid w:val="00930B1A"/>
    <w:rsid w:val="00931A31"/>
    <w:rsid w:val="00932612"/>
    <w:rsid w:val="009327DC"/>
    <w:rsid w:val="009338D9"/>
    <w:rsid w:val="009339BD"/>
    <w:rsid w:val="009356CF"/>
    <w:rsid w:val="00935A30"/>
    <w:rsid w:val="00941672"/>
    <w:rsid w:val="00941925"/>
    <w:rsid w:val="009445DB"/>
    <w:rsid w:val="00945E53"/>
    <w:rsid w:val="009460AA"/>
    <w:rsid w:val="00947A98"/>
    <w:rsid w:val="009515FC"/>
    <w:rsid w:val="00951978"/>
    <w:rsid w:val="009529B4"/>
    <w:rsid w:val="00952C8B"/>
    <w:rsid w:val="009567D5"/>
    <w:rsid w:val="00957003"/>
    <w:rsid w:val="009571AD"/>
    <w:rsid w:val="00960AE2"/>
    <w:rsid w:val="009613B8"/>
    <w:rsid w:val="00961A4A"/>
    <w:rsid w:val="00962085"/>
    <w:rsid w:val="009657DE"/>
    <w:rsid w:val="00965B52"/>
    <w:rsid w:val="009661DE"/>
    <w:rsid w:val="009670ED"/>
    <w:rsid w:val="00967263"/>
    <w:rsid w:val="009676C8"/>
    <w:rsid w:val="009703A6"/>
    <w:rsid w:val="0097059A"/>
    <w:rsid w:val="00972A6C"/>
    <w:rsid w:val="00972C7C"/>
    <w:rsid w:val="00973E98"/>
    <w:rsid w:val="009745BB"/>
    <w:rsid w:val="00974732"/>
    <w:rsid w:val="00976C10"/>
    <w:rsid w:val="009776F4"/>
    <w:rsid w:val="00980378"/>
    <w:rsid w:val="00982DA2"/>
    <w:rsid w:val="00983B22"/>
    <w:rsid w:val="00983C25"/>
    <w:rsid w:val="0098466D"/>
    <w:rsid w:val="009847E9"/>
    <w:rsid w:val="009856B7"/>
    <w:rsid w:val="009859D6"/>
    <w:rsid w:val="00985C86"/>
    <w:rsid w:val="0098613E"/>
    <w:rsid w:val="00986BE4"/>
    <w:rsid w:val="00997879"/>
    <w:rsid w:val="00997B85"/>
    <w:rsid w:val="00997DCC"/>
    <w:rsid w:val="009A27A7"/>
    <w:rsid w:val="009A49C2"/>
    <w:rsid w:val="009A5FC3"/>
    <w:rsid w:val="009A667E"/>
    <w:rsid w:val="009B088C"/>
    <w:rsid w:val="009B0D41"/>
    <w:rsid w:val="009B164F"/>
    <w:rsid w:val="009B2D10"/>
    <w:rsid w:val="009B41E5"/>
    <w:rsid w:val="009B56C8"/>
    <w:rsid w:val="009B6F84"/>
    <w:rsid w:val="009B74B0"/>
    <w:rsid w:val="009B74FB"/>
    <w:rsid w:val="009C0152"/>
    <w:rsid w:val="009C1A74"/>
    <w:rsid w:val="009C1CDC"/>
    <w:rsid w:val="009C2D28"/>
    <w:rsid w:val="009C385D"/>
    <w:rsid w:val="009C3D0C"/>
    <w:rsid w:val="009C3D42"/>
    <w:rsid w:val="009C491E"/>
    <w:rsid w:val="009C535D"/>
    <w:rsid w:val="009C5B30"/>
    <w:rsid w:val="009C5D49"/>
    <w:rsid w:val="009D0DF1"/>
    <w:rsid w:val="009D22D6"/>
    <w:rsid w:val="009D2A27"/>
    <w:rsid w:val="009D2C84"/>
    <w:rsid w:val="009D3906"/>
    <w:rsid w:val="009D49B3"/>
    <w:rsid w:val="009D4C5E"/>
    <w:rsid w:val="009D6B46"/>
    <w:rsid w:val="009D7089"/>
    <w:rsid w:val="009E0283"/>
    <w:rsid w:val="009E07E7"/>
    <w:rsid w:val="009E2038"/>
    <w:rsid w:val="009E35B6"/>
    <w:rsid w:val="009E59BF"/>
    <w:rsid w:val="009E5ABC"/>
    <w:rsid w:val="009E7970"/>
    <w:rsid w:val="009F3BBA"/>
    <w:rsid w:val="009F43B4"/>
    <w:rsid w:val="009F4940"/>
    <w:rsid w:val="009F5BA1"/>
    <w:rsid w:val="009F763F"/>
    <w:rsid w:val="00A02A88"/>
    <w:rsid w:val="00A04012"/>
    <w:rsid w:val="00A046FA"/>
    <w:rsid w:val="00A05121"/>
    <w:rsid w:val="00A051F1"/>
    <w:rsid w:val="00A0562E"/>
    <w:rsid w:val="00A06DF5"/>
    <w:rsid w:val="00A0726D"/>
    <w:rsid w:val="00A073AE"/>
    <w:rsid w:val="00A103FD"/>
    <w:rsid w:val="00A11516"/>
    <w:rsid w:val="00A11CC5"/>
    <w:rsid w:val="00A12204"/>
    <w:rsid w:val="00A12750"/>
    <w:rsid w:val="00A12AFB"/>
    <w:rsid w:val="00A12F6C"/>
    <w:rsid w:val="00A13996"/>
    <w:rsid w:val="00A13CB0"/>
    <w:rsid w:val="00A147DC"/>
    <w:rsid w:val="00A155BC"/>
    <w:rsid w:val="00A1561F"/>
    <w:rsid w:val="00A157C9"/>
    <w:rsid w:val="00A16544"/>
    <w:rsid w:val="00A16733"/>
    <w:rsid w:val="00A20B3D"/>
    <w:rsid w:val="00A2279F"/>
    <w:rsid w:val="00A26635"/>
    <w:rsid w:val="00A30BF5"/>
    <w:rsid w:val="00A31BE6"/>
    <w:rsid w:val="00A32FBB"/>
    <w:rsid w:val="00A35150"/>
    <w:rsid w:val="00A35435"/>
    <w:rsid w:val="00A40068"/>
    <w:rsid w:val="00A403BE"/>
    <w:rsid w:val="00A40BE9"/>
    <w:rsid w:val="00A41C9C"/>
    <w:rsid w:val="00A428EE"/>
    <w:rsid w:val="00A43BA0"/>
    <w:rsid w:val="00A443C2"/>
    <w:rsid w:val="00A4478A"/>
    <w:rsid w:val="00A44852"/>
    <w:rsid w:val="00A4553F"/>
    <w:rsid w:val="00A50502"/>
    <w:rsid w:val="00A53409"/>
    <w:rsid w:val="00A53796"/>
    <w:rsid w:val="00A53848"/>
    <w:rsid w:val="00A538D0"/>
    <w:rsid w:val="00A55D60"/>
    <w:rsid w:val="00A56945"/>
    <w:rsid w:val="00A56A6E"/>
    <w:rsid w:val="00A57D04"/>
    <w:rsid w:val="00A57D88"/>
    <w:rsid w:val="00A60A26"/>
    <w:rsid w:val="00A6121A"/>
    <w:rsid w:val="00A61598"/>
    <w:rsid w:val="00A61777"/>
    <w:rsid w:val="00A62527"/>
    <w:rsid w:val="00A63646"/>
    <w:rsid w:val="00A63914"/>
    <w:rsid w:val="00A652F6"/>
    <w:rsid w:val="00A65B81"/>
    <w:rsid w:val="00A66640"/>
    <w:rsid w:val="00A73AAF"/>
    <w:rsid w:val="00A765D0"/>
    <w:rsid w:val="00A77CF8"/>
    <w:rsid w:val="00A80758"/>
    <w:rsid w:val="00A809D7"/>
    <w:rsid w:val="00A81687"/>
    <w:rsid w:val="00A81DDA"/>
    <w:rsid w:val="00A84A99"/>
    <w:rsid w:val="00A84F46"/>
    <w:rsid w:val="00A8558A"/>
    <w:rsid w:val="00A8569C"/>
    <w:rsid w:val="00A859EF"/>
    <w:rsid w:val="00A85E87"/>
    <w:rsid w:val="00A8639C"/>
    <w:rsid w:val="00A86AEA"/>
    <w:rsid w:val="00A871F4"/>
    <w:rsid w:val="00A9015B"/>
    <w:rsid w:val="00A9431A"/>
    <w:rsid w:val="00A952B5"/>
    <w:rsid w:val="00A95988"/>
    <w:rsid w:val="00A959DF"/>
    <w:rsid w:val="00A97A1B"/>
    <w:rsid w:val="00AA0862"/>
    <w:rsid w:val="00AA1D6D"/>
    <w:rsid w:val="00AA2927"/>
    <w:rsid w:val="00AA2C31"/>
    <w:rsid w:val="00AA4FD5"/>
    <w:rsid w:val="00AA6A3E"/>
    <w:rsid w:val="00AB1A85"/>
    <w:rsid w:val="00AB28C1"/>
    <w:rsid w:val="00AB2CB8"/>
    <w:rsid w:val="00AB4617"/>
    <w:rsid w:val="00AC1B2C"/>
    <w:rsid w:val="00AC3264"/>
    <w:rsid w:val="00AC3D9F"/>
    <w:rsid w:val="00AC46AD"/>
    <w:rsid w:val="00AC4D2D"/>
    <w:rsid w:val="00AC58EC"/>
    <w:rsid w:val="00AC7282"/>
    <w:rsid w:val="00AC7961"/>
    <w:rsid w:val="00AC7A0F"/>
    <w:rsid w:val="00AD0AA6"/>
    <w:rsid w:val="00AD314E"/>
    <w:rsid w:val="00AD3E2B"/>
    <w:rsid w:val="00AD4C56"/>
    <w:rsid w:val="00AD51C2"/>
    <w:rsid w:val="00AD5FCD"/>
    <w:rsid w:val="00AD6B48"/>
    <w:rsid w:val="00AD7660"/>
    <w:rsid w:val="00AD797A"/>
    <w:rsid w:val="00AD7A3A"/>
    <w:rsid w:val="00AE1BF1"/>
    <w:rsid w:val="00AE23AB"/>
    <w:rsid w:val="00AE58FB"/>
    <w:rsid w:val="00AE5AF0"/>
    <w:rsid w:val="00AE663D"/>
    <w:rsid w:val="00AE73B3"/>
    <w:rsid w:val="00AE73C6"/>
    <w:rsid w:val="00AE751A"/>
    <w:rsid w:val="00AF07E7"/>
    <w:rsid w:val="00AF0DD2"/>
    <w:rsid w:val="00AF2FC6"/>
    <w:rsid w:val="00AF31E1"/>
    <w:rsid w:val="00AF3BBA"/>
    <w:rsid w:val="00AF4231"/>
    <w:rsid w:val="00AF4EB5"/>
    <w:rsid w:val="00B00B0E"/>
    <w:rsid w:val="00B00B26"/>
    <w:rsid w:val="00B01898"/>
    <w:rsid w:val="00B02385"/>
    <w:rsid w:val="00B02F9D"/>
    <w:rsid w:val="00B050E8"/>
    <w:rsid w:val="00B05766"/>
    <w:rsid w:val="00B103D2"/>
    <w:rsid w:val="00B110DD"/>
    <w:rsid w:val="00B13048"/>
    <w:rsid w:val="00B13883"/>
    <w:rsid w:val="00B14356"/>
    <w:rsid w:val="00B16FFA"/>
    <w:rsid w:val="00B1716D"/>
    <w:rsid w:val="00B17A1D"/>
    <w:rsid w:val="00B207A0"/>
    <w:rsid w:val="00B21C21"/>
    <w:rsid w:val="00B22F54"/>
    <w:rsid w:val="00B24A7E"/>
    <w:rsid w:val="00B25C0C"/>
    <w:rsid w:val="00B27BB8"/>
    <w:rsid w:val="00B304B5"/>
    <w:rsid w:val="00B308A9"/>
    <w:rsid w:val="00B30BBB"/>
    <w:rsid w:val="00B30F7F"/>
    <w:rsid w:val="00B31047"/>
    <w:rsid w:val="00B33148"/>
    <w:rsid w:val="00B33D61"/>
    <w:rsid w:val="00B34BE5"/>
    <w:rsid w:val="00B35CDF"/>
    <w:rsid w:val="00B3722B"/>
    <w:rsid w:val="00B40199"/>
    <w:rsid w:val="00B403C2"/>
    <w:rsid w:val="00B405A1"/>
    <w:rsid w:val="00B432D9"/>
    <w:rsid w:val="00B43754"/>
    <w:rsid w:val="00B43D00"/>
    <w:rsid w:val="00B4438A"/>
    <w:rsid w:val="00B44BC6"/>
    <w:rsid w:val="00B45363"/>
    <w:rsid w:val="00B45AA2"/>
    <w:rsid w:val="00B46BE6"/>
    <w:rsid w:val="00B46EDB"/>
    <w:rsid w:val="00B4798E"/>
    <w:rsid w:val="00B479CA"/>
    <w:rsid w:val="00B47E28"/>
    <w:rsid w:val="00B5084F"/>
    <w:rsid w:val="00B50D0C"/>
    <w:rsid w:val="00B50E95"/>
    <w:rsid w:val="00B514DD"/>
    <w:rsid w:val="00B515A0"/>
    <w:rsid w:val="00B52AF0"/>
    <w:rsid w:val="00B53D5F"/>
    <w:rsid w:val="00B54051"/>
    <w:rsid w:val="00B549FC"/>
    <w:rsid w:val="00B54BD2"/>
    <w:rsid w:val="00B561BD"/>
    <w:rsid w:val="00B56E03"/>
    <w:rsid w:val="00B60444"/>
    <w:rsid w:val="00B6216A"/>
    <w:rsid w:val="00B62765"/>
    <w:rsid w:val="00B65D91"/>
    <w:rsid w:val="00B65DF5"/>
    <w:rsid w:val="00B67D65"/>
    <w:rsid w:val="00B7028C"/>
    <w:rsid w:val="00B738F4"/>
    <w:rsid w:val="00B76036"/>
    <w:rsid w:val="00B76135"/>
    <w:rsid w:val="00B7679F"/>
    <w:rsid w:val="00B77159"/>
    <w:rsid w:val="00B778A4"/>
    <w:rsid w:val="00B8080B"/>
    <w:rsid w:val="00B811DD"/>
    <w:rsid w:val="00B814BF"/>
    <w:rsid w:val="00B82223"/>
    <w:rsid w:val="00B82415"/>
    <w:rsid w:val="00B836CC"/>
    <w:rsid w:val="00B83DA7"/>
    <w:rsid w:val="00B8407B"/>
    <w:rsid w:val="00B85076"/>
    <w:rsid w:val="00B86C76"/>
    <w:rsid w:val="00B87BA5"/>
    <w:rsid w:val="00B87C39"/>
    <w:rsid w:val="00B9063A"/>
    <w:rsid w:val="00B91E13"/>
    <w:rsid w:val="00B9215B"/>
    <w:rsid w:val="00B9269C"/>
    <w:rsid w:val="00B92BEF"/>
    <w:rsid w:val="00B93891"/>
    <w:rsid w:val="00B9562D"/>
    <w:rsid w:val="00BA0BFB"/>
    <w:rsid w:val="00BA1AF9"/>
    <w:rsid w:val="00BA21DA"/>
    <w:rsid w:val="00BA2B60"/>
    <w:rsid w:val="00BA3C93"/>
    <w:rsid w:val="00BA4665"/>
    <w:rsid w:val="00BA5CC5"/>
    <w:rsid w:val="00BA7FD7"/>
    <w:rsid w:val="00BB1681"/>
    <w:rsid w:val="00BB2FB2"/>
    <w:rsid w:val="00BB3304"/>
    <w:rsid w:val="00BB4084"/>
    <w:rsid w:val="00BB5BD7"/>
    <w:rsid w:val="00BB6551"/>
    <w:rsid w:val="00BC099C"/>
    <w:rsid w:val="00BC1B03"/>
    <w:rsid w:val="00BC4A10"/>
    <w:rsid w:val="00BC5508"/>
    <w:rsid w:val="00BD12B4"/>
    <w:rsid w:val="00BD30F4"/>
    <w:rsid w:val="00BD3446"/>
    <w:rsid w:val="00BD3824"/>
    <w:rsid w:val="00BD4082"/>
    <w:rsid w:val="00BD4D98"/>
    <w:rsid w:val="00BD59CF"/>
    <w:rsid w:val="00BD5BDD"/>
    <w:rsid w:val="00BD7E0E"/>
    <w:rsid w:val="00BE1312"/>
    <w:rsid w:val="00BE1F1B"/>
    <w:rsid w:val="00BE3F89"/>
    <w:rsid w:val="00BE47B5"/>
    <w:rsid w:val="00BE5FCE"/>
    <w:rsid w:val="00BF21D3"/>
    <w:rsid w:val="00BF2C8B"/>
    <w:rsid w:val="00BF4247"/>
    <w:rsid w:val="00BF4E82"/>
    <w:rsid w:val="00BF5D00"/>
    <w:rsid w:val="00BF62CC"/>
    <w:rsid w:val="00BF6DC1"/>
    <w:rsid w:val="00BF715D"/>
    <w:rsid w:val="00C0079E"/>
    <w:rsid w:val="00C0572A"/>
    <w:rsid w:val="00C0576F"/>
    <w:rsid w:val="00C137FB"/>
    <w:rsid w:val="00C13EBD"/>
    <w:rsid w:val="00C14366"/>
    <w:rsid w:val="00C16264"/>
    <w:rsid w:val="00C1631B"/>
    <w:rsid w:val="00C163AB"/>
    <w:rsid w:val="00C170F0"/>
    <w:rsid w:val="00C17AC2"/>
    <w:rsid w:val="00C2238D"/>
    <w:rsid w:val="00C22BAB"/>
    <w:rsid w:val="00C23396"/>
    <w:rsid w:val="00C2361F"/>
    <w:rsid w:val="00C2438F"/>
    <w:rsid w:val="00C24663"/>
    <w:rsid w:val="00C2472D"/>
    <w:rsid w:val="00C2514B"/>
    <w:rsid w:val="00C25962"/>
    <w:rsid w:val="00C259E5"/>
    <w:rsid w:val="00C25FA6"/>
    <w:rsid w:val="00C26CC4"/>
    <w:rsid w:val="00C3099D"/>
    <w:rsid w:val="00C32326"/>
    <w:rsid w:val="00C33011"/>
    <w:rsid w:val="00C336B2"/>
    <w:rsid w:val="00C362C1"/>
    <w:rsid w:val="00C40468"/>
    <w:rsid w:val="00C405A8"/>
    <w:rsid w:val="00C41950"/>
    <w:rsid w:val="00C421AF"/>
    <w:rsid w:val="00C42C3B"/>
    <w:rsid w:val="00C439A6"/>
    <w:rsid w:val="00C44FBC"/>
    <w:rsid w:val="00C4563D"/>
    <w:rsid w:val="00C470B6"/>
    <w:rsid w:val="00C51672"/>
    <w:rsid w:val="00C538A9"/>
    <w:rsid w:val="00C53B5A"/>
    <w:rsid w:val="00C53E41"/>
    <w:rsid w:val="00C54909"/>
    <w:rsid w:val="00C54AF3"/>
    <w:rsid w:val="00C54F5A"/>
    <w:rsid w:val="00C568FF"/>
    <w:rsid w:val="00C569B4"/>
    <w:rsid w:val="00C57227"/>
    <w:rsid w:val="00C57539"/>
    <w:rsid w:val="00C57DDE"/>
    <w:rsid w:val="00C6066D"/>
    <w:rsid w:val="00C606C2"/>
    <w:rsid w:val="00C61468"/>
    <w:rsid w:val="00C61A97"/>
    <w:rsid w:val="00C61E44"/>
    <w:rsid w:val="00C64A6B"/>
    <w:rsid w:val="00C64FF3"/>
    <w:rsid w:val="00C662AD"/>
    <w:rsid w:val="00C662D0"/>
    <w:rsid w:val="00C66B34"/>
    <w:rsid w:val="00C67A92"/>
    <w:rsid w:val="00C7017C"/>
    <w:rsid w:val="00C71280"/>
    <w:rsid w:val="00C714AF"/>
    <w:rsid w:val="00C71737"/>
    <w:rsid w:val="00C717BF"/>
    <w:rsid w:val="00C7197E"/>
    <w:rsid w:val="00C71CF5"/>
    <w:rsid w:val="00C74C5F"/>
    <w:rsid w:val="00C75939"/>
    <w:rsid w:val="00C75F7F"/>
    <w:rsid w:val="00C76178"/>
    <w:rsid w:val="00C8226E"/>
    <w:rsid w:val="00C84560"/>
    <w:rsid w:val="00C86679"/>
    <w:rsid w:val="00C8792F"/>
    <w:rsid w:val="00C90472"/>
    <w:rsid w:val="00C90DA2"/>
    <w:rsid w:val="00C91459"/>
    <w:rsid w:val="00C91D6E"/>
    <w:rsid w:val="00C92E46"/>
    <w:rsid w:val="00C9311E"/>
    <w:rsid w:val="00C97ADE"/>
    <w:rsid w:val="00CA0253"/>
    <w:rsid w:val="00CA4546"/>
    <w:rsid w:val="00CA489E"/>
    <w:rsid w:val="00CA73E7"/>
    <w:rsid w:val="00CA7544"/>
    <w:rsid w:val="00CA7BCA"/>
    <w:rsid w:val="00CB0279"/>
    <w:rsid w:val="00CB06CF"/>
    <w:rsid w:val="00CB1135"/>
    <w:rsid w:val="00CB18D8"/>
    <w:rsid w:val="00CB5E3E"/>
    <w:rsid w:val="00CB666B"/>
    <w:rsid w:val="00CB67EA"/>
    <w:rsid w:val="00CB734B"/>
    <w:rsid w:val="00CC41B6"/>
    <w:rsid w:val="00CC5200"/>
    <w:rsid w:val="00CC7ADA"/>
    <w:rsid w:val="00CC7F1D"/>
    <w:rsid w:val="00CD0A88"/>
    <w:rsid w:val="00CD123A"/>
    <w:rsid w:val="00CD125D"/>
    <w:rsid w:val="00CD158B"/>
    <w:rsid w:val="00CD22E1"/>
    <w:rsid w:val="00CD283C"/>
    <w:rsid w:val="00CD3641"/>
    <w:rsid w:val="00CD4570"/>
    <w:rsid w:val="00CD66EA"/>
    <w:rsid w:val="00CD71E4"/>
    <w:rsid w:val="00CD7432"/>
    <w:rsid w:val="00CD7905"/>
    <w:rsid w:val="00CE01B6"/>
    <w:rsid w:val="00CE0FA5"/>
    <w:rsid w:val="00CE2A23"/>
    <w:rsid w:val="00CE31C8"/>
    <w:rsid w:val="00CE40DA"/>
    <w:rsid w:val="00CE484B"/>
    <w:rsid w:val="00CE6887"/>
    <w:rsid w:val="00CE7CBA"/>
    <w:rsid w:val="00CE7CFB"/>
    <w:rsid w:val="00CF0333"/>
    <w:rsid w:val="00CF0DEE"/>
    <w:rsid w:val="00CF42AA"/>
    <w:rsid w:val="00CF5EAA"/>
    <w:rsid w:val="00CF6AE3"/>
    <w:rsid w:val="00CF77BB"/>
    <w:rsid w:val="00D006AE"/>
    <w:rsid w:val="00D00905"/>
    <w:rsid w:val="00D010C1"/>
    <w:rsid w:val="00D010D2"/>
    <w:rsid w:val="00D01CF0"/>
    <w:rsid w:val="00D02CCF"/>
    <w:rsid w:val="00D0442A"/>
    <w:rsid w:val="00D06EA7"/>
    <w:rsid w:val="00D1082B"/>
    <w:rsid w:val="00D122B7"/>
    <w:rsid w:val="00D12A7B"/>
    <w:rsid w:val="00D12ADB"/>
    <w:rsid w:val="00D1479B"/>
    <w:rsid w:val="00D15C17"/>
    <w:rsid w:val="00D15E63"/>
    <w:rsid w:val="00D16CEF"/>
    <w:rsid w:val="00D20445"/>
    <w:rsid w:val="00D2082C"/>
    <w:rsid w:val="00D22A45"/>
    <w:rsid w:val="00D22C12"/>
    <w:rsid w:val="00D23EA9"/>
    <w:rsid w:val="00D24DD7"/>
    <w:rsid w:val="00D25A39"/>
    <w:rsid w:val="00D25F1C"/>
    <w:rsid w:val="00D26749"/>
    <w:rsid w:val="00D27CFA"/>
    <w:rsid w:val="00D310FA"/>
    <w:rsid w:val="00D31A09"/>
    <w:rsid w:val="00D325C6"/>
    <w:rsid w:val="00D34342"/>
    <w:rsid w:val="00D35C11"/>
    <w:rsid w:val="00D368C4"/>
    <w:rsid w:val="00D3694D"/>
    <w:rsid w:val="00D37213"/>
    <w:rsid w:val="00D409C1"/>
    <w:rsid w:val="00D4360D"/>
    <w:rsid w:val="00D4375F"/>
    <w:rsid w:val="00D45961"/>
    <w:rsid w:val="00D47092"/>
    <w:rsid w:val="00D47280"/>
    <w:rsid w:val="00D5015C"/>
    <w:rsid w:val="00D51A40"/>
    <w:rsid w:val="00D54027"/>
    <w:rsid w:val="00D540F4"/>
    <w:rsid w:val="00D54976"/>
    <w:rsid w:val="00D5607F"/>
    <w:rsid w:val="00D60D48"/>
    <w:rsid w:val="00D61388"/>
    <w:rsid w:val="00D61574"/>
    <w:rsid w:val="00D61A54"/>
    <w:rsid w:val="00D62108"/>
    <w:rsid w:val="00D632C4"/>
    <w:rsid w:val="00D64AA4"/>
    <w:rsid w:val="00D64DEA"/>
    <w:rsid w:val="00D64F84"/>
    <w:rsid w:val="00D65A30"/>
    <w:rsid w:val="00D663CD"/>
    <w:rsid w:val="00D6726A"/>
    <w:rsid w:val="00D7001B"/>
    <w:rsid w:val="00D7160D"/>
    <w:rsid w:val="00D7168E"/>
    <w:rsid w:val="00D71E57"/>
    <w:rsid w:val="00D72363"/>
    <w:rsid w:val="00D72D27"/>
    <w:rsid w:val="00D7786B"/>
    <w:rsid w:val="00D80893"/>
    <w:rsid w:val="00D82519"/>
    <w:rsid w:val="00D833B5"/>
    <w:rsid w:val="00D83BE8"/>
    <w:rsid w:val="00D84854"/>
    <w:rsid w:val="00D86499"/>
    <w:rsid w:val="00D91ABA"/>
    <w:rsid w:val="00D924AE"/>
    <w:rsid w:val="00D92CF1"/>
    <w:rsid w:val="00D92D38"/>
    <w:rsid w:val="00D94E06"/>
    <w:rsid w:val="00D950F5"/>
    <w:rsid w:val="00D952CE"/>
    <w:rsid w:val="00D95DA4"/>
    <w:rsid w:val="00D961A4"/>
    <w:rsid w:val="00D97379"/>
    <w:rsid w:val="00DA45E1"/>
    <w:rsid w:val="00DA4752"/>
    <w:rsid w:val="00DA4897"/>
    <w:rsid w:val="00DA4C09"/>
    <w:rsid w:val="00DA5E18"/>
    <w:rsid w:val="00DA61F3"/>
    <w:rsid w:val="00DA6905"/>
    <w:rsid w:val="00DA6BE7"/>
    <w:rsid w:val="00DA6E64"/>
    <w:rsid w:val="00DA7CB3"/>
    <w:rsid w:val="00DB0D00"/>
    <w:rsid w:val="00DB0F93"/>
    <w:rsid w:val="00DB1A67"/>
    <w:rsid w:val="00DB3721"/>
    <w:rsid w:val="00DB3E40"/>
    <w:rsid w:val="00DB4FB1"/>
    <w:rsid w:val="00DB5074"/>
    <w:rsid w:val="00DB66DF"/>
    <w:rsid w:val="00DB6857"/>
    <w:rsid w:val="00DB79CE"/>
    <w:rsid w:val="00DC0281"/>
    <w:rsid w:val="00DC0529"/>
    <w:rsid w:val="00DC1930"/>
    <w:rsid w:val="00DC1C76"/>
    <w:rsid w:val="00DC3A6E"/>
    <w:rsid w:val="00DC4DBF"/>
    <w:rsid w:val="00DC4E19"/>
    <w:rsid w:val="00DC51C2"/>
    <w:rsid w:val="00DC6024"/>
    <w:rsid w:val="00DC65FE"/>
    <w:rsid w:val="00DC7981"/>
    <w:rsid w:val="00DD281F"/>
    <w:rsid w:val="00DD4C07"/>
    <w:rsid w:val="00DD577D"/>
    <w:rsid w:val="00DD5ADC"/>
    <w:rsid w:val="00DD5D69"/>
    <w:rsid w:val="00DD61C0"/>
    <w:rsid w:val="00DD6FEC"/>
    <w:rsid w:val="00DE0859"/>
    <w:rsid w:val="00DE1093"/>
    <w:rsid w:val="00DE12C9"/>
    <w:rsid w:val="00DE1695"/>
    <w:rsid w:val="00DE17E1"/>
    <w:rsid w:val="00DE2759"/>
    <w:rsid w:val="00DE3386"/>
    <w:rsid w:val="00DE4EFA"/>
    <w:rsid w:val="00DE5520"/>
    <w:rsid w:val="00DE5633"/>
    <w:rsid w:val="00DE563D"/>
    <w:rsid w:val="00DE65D8"/>
    <w:rsid w:val="00DE76AA"/>
    <w:rsid w:val="00DE7AB5"/>
    <w:rsid w:val="00DF0152"/>
    <w:rsid w:val="00DF1958"/>
    <w:rsid w:val="00DF4715"/>
    <w:rsid w:val="00DF5BF4"/>
    <w:rsid w:val="00DF6225"/>
    <w:rsid w:val="00DF65ED"/>
    <w:rsid w:val="00DF6E3D"/>
    <w:rsid w:val="00E01002"/>
    <w:rsid w:val="00E02556"/>
    <w:rsid w:val="00E04818"/>
    <w:rsid w:val="00E06442"/>
    <w:rsid w:val="00E06952"/>
    <w:rsid w:val="00E11E61"/>
    <w:rsid w:val="00E120C8"/>
    <w:rsid w:val="00E13AEC"/>
    <w:rsid w:val="00E151D5"/>
    <w:rsid w:val="00E157B2"/>
    <w:rsid w:val="00E16055"/>
    <w:rsid w:val="00E16E5E"/>
    <w:rsid w:val="00E177B9"/>
    <w:rsid w:val="00E206F5"/>
    <w:rsid w:val="00E20896"/>
    <w:rsid w:val="00E2117E"/>
    <w:rsid w:val="00E211DA"/>
    <w:rsid w:val="00E2332D"/>
    <w:rsid w:val="00E2358A"/>
    <w:rsid w:val="00E23993"/>
    <w:rsid w:val="00E2574F"/>
    <w:rsid w:val="00E25951"/>
    <w:rsid w:val="00E25B8C"/>
    <w:rsid w:val="00E26BBB"/>
    <w:rsid w:val="00E31CF6"/>
    <w:rsid w:val="00E32195"/>
    <w:rsid w:val="00E34A4A"/>
    <w:rsid w:val="00E354EB"/>
    <w:rsid w:val="00E35710"/>
    <w:rsid w:val="00E35AFC"/>
    <w:rsid w:val="00E36488"/>
    <w:rsid w:val="00E37CBC"/>
    <w:rsid w:val="00E41A0C"/>
    <w:rsid w:val="00E41D39"/>
    <w:rsid w:val="00E42C1F"/>
    <w:rsid w:val="00E436EF"/>
    <w:rsid w:val="00E43D6E"/>
    <w:rsid w:val="00E50A02"/>
    <w:rsid w:val="00E5270E"/>
    <w:rsid w:val="00E52BEF"/>
    <w:rsid w:val="00E52E91"/>
    <w:rsid w:val="00E54106"/>
    <w:rsid w:val="00E54697"/>
    <w:rsid w:val="00E54E3E"/>
    <w:rsid w:val="00E57A08"/>
    <w:rsid w:val="00E6288F"/>
    <w:rsid w:val="00E63631"/>
    <w:rsid w:val="00E642FB"/>
    <w:rsid w:val="00E64C2A"/>
    <w:rsid w:val="00E65C85"/>
    <w:rsid w:val="00E66199"/>
    <w:rsid w:val="00E6714C"/>
    <w:rsid w:val="00E7014A"/>
    <w:rsid w:val="00E70526"/>
    <w:rsid w:val="00E7067E"/>
    <w:rsid w:val="00E70AA2"/>
    <w:rsid w:val="00E754B4"/>
    <w:rsid w:val="00E755EC"/>
    <w:rsid w:val="00E7624D"/>
    <w:rsid w:val="00E80290"/>
    <w:rsid w:val="00E80C0E"/>
    <w:rsid w:val="00E81724"/>
    <w:rsid w:val="00E819A4"/>
    <w:rsid w:val="00E8247D"/>
    <w:rsid w:val="00E833FA"/>
    <w:rsid w:val="00E83CA1"/>
    <w:rsid w:val="00E84B74"/>
    <w:rsid w:val="00E860B5"/>
    <w:rsid w:val="00E87066"/>
    <w:rsid w:val="00E870C3"/>
    <w:rsid w:val="00E90D2E"/>
    <w:rsid w:val="00E920B2"/>
    <w:rsid w:val="00E929D5"/>
    <w:rsid w:val="00E93F3B"/>
    <w:rsid w:val="00E966BF"/>
    <w:rsid w:val="00E96AD5"/>
    <w:rsid w:val="00EA0551"/>
    <w:rsid w:val="00EA0C04"/>
    <w:rsid w:val="00EA3D42"/>
    <w:rsid w:val="00EA6B1B"/>
    <w:rsid w:val="00EA77A4"/>
    <w:rsid w:val="00EB1CBD"/>
    <w:rsid w:val="00EB1E1D"/>
    <w:rsid w:val="00EB2219"/>
    <w:rsid w:val="00EB37FE"/>
    <w:rsid w:val="00EB3A34"/>
    <w:rsid w:val="00EB3C3F"/>
    <w:rsid w:val="00EB3D4F"/>
    <w:rsid w:val="00EB7D4C"/>
    <w:rsid w:val="00EC04F1"/>
    <w:rsid w:val="00EC237F"/>
    <w:rsid w:val="00EC4111"/>
    <w:rsid w:val="00EC4EA8"/>
    <w:rsid w:val="00EC573A"/>
    <w:rsid w:val="00EC5913"/>
    <w:rsid w:val="00EC7AB0"/>
    <w:rsid w:val="00EC7E7F"/>
    <w:rsid w:val="00ED0144"/>
    <w:rsid w:val="00ED03CF"/>
    <w:rsid w:val="00ED2AB9"/>
    <w:rsid w:val="00ED2C66"/>
    <w:rsid w:val="00ED35C8"/>
    <w:rsid w:val="00ED3968"/>
    <w:rsid w:val="00ED4689"/>
    <w:rsid w:val="00ED7323"/>
    <w:rsid w:val="00EE21EB"/>
    <w:rsid w:val="00EE28F3"/>
    <w:rsid w:val="00EE50D1"/>
    <w:rsid w:val="00EE7614"/>
    <w:rsid w:val="00EE7E97"/>
    <w:rsid w:val="00EF4918"/>
    <w:rsid w:val="00EF5110"/>
    <w:rsid w:val="00EF5890"/>
    <w:rsid w:val="00EF5B78"/>
    <w:rsid w:val="00EF6FAA"/>
    <w:rsid w:val="00EF76BA"/>
    <w:rsid w:val="00EF7CD3"/>
    <w:rsid w:val="00F0049D"/>
    <w:rsid w:val="00F009BC"/>
    <w:rsid w:val="00F01CE5"/>
    <w:rsid w:val="00F0229D"/>
    <w:rsid w:val="00F0231A"/>
    <w:rsid w:val="00F0327F"/>
    <w:rsid w:val="00F03463"/>
    <w:rsid w:val="00F036B7"/>
    <w:rsid w:val="00F0375F"/>
    <w:rsid w:val="00F04F26"/>
    <w:rsid w:val="00F0700F"/>
    <w:rsid w:val="00F077B0"/>
    <w:rsid w:val="00F07F1F"/>
    <w:rsid w:val="00F10411"/>
    <w:rsid w:val="00F104DF"/>
    <w:rsid w:val="00F10A9A"/>
    <w:rsid w:val="00F11B2D"/>
    <w:rsid w:val="00F11C16"/>
    <w:rsid w:val="00F121C2"/>
    <w:rsid w:val="00F1278C"/>
    <w:rsid w:val="00F13958"/>
    <w:rsid w:val="00F1412C"/>
    <w:rsid w:val="00F1485B"/>
    <w:rsid w:val="00F15882"/>
    <w:rsid w:val="00F15D5E"/>
    <w:rsid w:val="00F170C7"/>
    <w:rsid w:val="00F171E0"/>
    <w:rsid w:val="00F20BD3"/>
    <w:rsid w:val="00F214A0"/>
    <w:rsid w:val="00F22267"/>
    <w:rsid w:val="00F22A8C"/>
    <w:rsid w:val="00F23A41"/>
    <w:rsid w:val="00F23F4C"/>
    <w:rsid w:val="00F25195"/>
    <w:rsid w:val="00F25B7C"/>
    <w:rsid w:val="00F30C37"/>
    <w:rsid w:val="00F322E9"/>
    <w:rsid w:val="00F3231B"/>
    <w:rsid w:val="00F33808"/>
    <w:rsid w:val="00F33CC3"/>
    <w:rsid w:val="00F34453"/>
    <w:rsid w:val="00F373A5"/>
    <w:rsid w:val="00F37864"/>
    <w:rsid w:val="00F404F9"/>
    <w:rsid w:val="00F41886"/>
    <w:rsid w:val="00F41EAE"/>
    <w:rsid w:val="00F42197"/>
    <w:rsid w:val="00F42EF8"/>
    <w:rsid w:val="00F44436"/>
    <w:rsid w:val="00F44B0A"/>
    <w:rsid w:val="00F47559"/>
    <w:rsid w:val="00F47E2B"/>
    <w:rsid w:val="00F50998"/>
    <w:rsid w:val="00F50B30"/>
    <w:rsid w:val="00F51F5F"/>
    <w:rsid w:val="00F52D75"/>
    <w:rsid w:val="00F55582"/>
    <w:rsid w:val="00F57647"/>
    <w:rsid w:val="00F579F6"/>
    <w:rsid w:val="00F62A14"/>
    <w:rsid w:val="00F62D06"/>
    <w:rsid w:val="00F644AB"/>
    <w:rsid w:val="00F64C7B"/>
    <w:rsid w:val="00F676DD"/>
    <w:rsid w:val="00F67AB6"/>
    <w:rsid w:val="00F67E99"/>
    <w:rsid w:val="00F70028"/>
    <w:rsid w:val="00F70434"/>
    <w:rsid w:val="00F73D02"/>
    <w:rsid w:val="00F74D19"/>
    <w:rsid w:val="00F75A26"/>
    <w:rsid w:val="00F76706"/>
    <w:rsid w:val="00F77D6D"/>
    <w:rsid w:val="00F80206"/>
    <w:rsid w:val="00F812CB"/>
    <w:rsid w:val="00F81DD3"/>
    <w:rsid w:val="00F8243C"/>
    <w:rsid w:val="00F82870"/>
    <w:rsid w:val="00F82CE8"/>
    <w:rsid w:val="00F83034"/>
    <w:rsid w:val="00F83621"/>
    <w:rsid w:val="00F838C2"/>
    <w:rsid w:val="00F83FAD"/>
    <w:rsid w:val="00F840C8"/>
    <w:rsid w:val="00F844C6"/>
    <w:rsid w:val="00F90AC6"/>
    <w:rsid w:val="00F9279F"/>
    <w:rsid w:val="00F92FA6"/>
    <w:rsid w:val="00F9353B"/>
    <w:rsid w:val="00F937F1"/>
    <w:rsid w:val="00F952A0"/>
    <w:rsid w:val="00F954C0"/>
    <w:rsid w:val="00F96288"/>
    <w:rsid w:val="00F96D2C"/>
    <w:rsid w:val="00FA31B1"/>
    <w:rsid w:val="00FA3320"/>
    <w:rsid w:val="00FA3BF0"/>
    <w:rsid w:val="00FA3C7F"/>
    <w:rsid w:val="00FA6246"/>
    <w:rsid w:val="00FA6722"/>
    <w:rsid w:val="00FA67FC"/>
    <w:rsid w:val="00FA73B5"/>
    <w:rsid w:val="00FB117C"/>
    <w:rsid w:val="00FB24ED"/>
    <w:rsid w:val="00FB3304"/>
    <w:rsid w:val="00FB4225"/>
    <w:rsid w:val="00FB5005"/>
    <w:rsid w:val="00FB60FE"/>
    <w:rsid w:val="00FB74E2"/>
    <w:rsid w:val="00FB778B"/>
    <w:rsid w:val="00FD0CDA"/>
    <w:rsid w:val="00FD2A72"/>
    <w:rsid w:val="00FD31F1"/>
    <w:rsid w:val="00FD521A"/>
    <w:rsid w:val="00FD5290"/>
    <w:rsid w:val="00FD5614"/>
    <w:rsid w:val="00FD5E78"/>
    <w:rsid w:val="00FD5F0A"/>
    <w:rsid w:val="00FE0BE1"/>
    <w:rsid w:val="00FE11BB"/>
    <w:rsid w:val="00FE1DE9"/>
    <w:rsid w:val="00FE2859"/>
    <w:rsid w:val="00FE35FD"/>
    <w:rsid w:val="00FE36AF"/>
    <w:rsid w:val="00FE39C2"/>
    <w:rsid w:val="00FE3C32"/>
    <w:rsid w:val="00FE4043"/>
    <w:rsid w:val="00FE4D49"/>
    <w:rsid w:val="00FE524C"/>
    <w:rsid w:val="00FE64AE"/>
    <w:rsid w:val="00FE6A38"/>
    <w:rsid w:val="00FF02EC"/>
    <w:rsid w:val="00FF2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B8C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525">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49697497">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47271769">
      <w:bodyDiv w:val="1"/>
      <w:marLeft w:val="0"/>
      <w:marRight w:val="0"/>
      <w:marTop w:val="0"/>
      <w:marBottom w:val="0"/>
      <w:divBdr>
        <w:top w:val="none" w:sz="0" w:space="0" w:color="auto"/>
        <w:left w:val="none" w:sz="0" w:space="0" w:color="auto"/>
        <w:bottom w:val="none" w:sz="0" w:space="0" w:color="auto"/>
        <w:right w:val="none" w:sz="0" w:space="0" w:color="auto"/>
      </w:divBdr>
    </w:div>
    <w:div w:id="1823741058">
      <w:bodyDiv w:val="1"/>
      <w:marLeft w:val="0"/>
      <w:marRight w:val="0"/>
      <w:marTop w:val="0"/>
      <w:marBottom w:val="0"/>
      <w:divBdr>
        <w:top w:val="none" w:sz="0" w:space="0" w:color="auto"/>
        <w:left w:val="none" w:sz="0" w:space="0" w:color="auto"/>
        <w:bottom w:val="none" w:sz="0" w:space="0" w:color="auto"/>
        <w:right w:val="none" w:sz="0" w:space="0" w:color="auto"/>
      </w:divBdr>
    </w:div>
    <w:div w:id="189164906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emo.com.au/-/media/Files/Gas/DWGM/2017/Threat-to-System-Security-Notice---Warragul.pdf" TargetMode="External"/><Relationship Id="rId1" Type="http://schemas.openxmlformats.org/officeDocument/2006/relationships/hyperlink" Target="https://www.aemo.com.au/-/media/Files/Gas/DWGM/2017/Threat-to-System-Security-Notice---SWP-to-Port-Campbell-constraint.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07FC56-C4D8-4F4A-A8A6-8A524FF5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14934FD</Template>
  <TotalTime>0</TotalTime>
  <Pages>32</Pages>
  <Words>9469</Words>
  <Characters>53978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2017-05-08T05:34:00Z</dcterms:created>
  <dcterms:modified xsi:type="dcterms:W3CDTF">2017-07-03T04:26:00Z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