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1657154" wp14:editId="4BB959B0">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0B29B4B" wp14:editId="7EFC445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A80F4B" w:rsidRDefault="00A80F4B" w:rsidP="00D5015C">
          <w:pPr>
            <w:pStyle w:val="ReportSubtitle"/>
          </w:pPr>
          <w:r w:rsidRPr="00A80F4B">
            <w:t>DRAFT DECISION</w:t>
          </w:r>
        </w:p>
        <w:p w:rsidR="00A56AB8" w:rsidRDefault="00340762" w:rsidP="00D5015C">
          <w:pPr>
            <w:pStyle w:val="ReportSubtitle"/>
          </w:pPr>
          <w:r>
            <w:t>APA VTS Australia</w:t>
          </w:r>
          <w:r w:rsidR="00D5015C">
            <w:t xml:space="preserve"> </w:t>
          </w:r>
        </w:p>
        <w:p w:rsidR="00D5015C" w:rsidRDefault="00A56AB8"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D33F8F">
            <w:t>2</w:t>
          </w:r>
          <w:r w:rsidR="000474DF">
            <w:t xml:space="preserve"> </w:t>
          </w:r>
          <w:r w:rsidR="00185BA5">
            <w:t>–</w:t>
          </w:r>
          <w:r w:rsidR="000474DF">
            <w:t xml:space="preserve"> </w:t>
          </w:r>
          <w:r w:rsidR="00D33F8F">
            <w:t>Non tariff components</w:t>
          </w:r>
        </w:p>
        <w:p w:rsidR="00D5015C" w:rsidRDefault="00D5015C" w:rsidP="00327A1E">
          <w:pPr>
            <w:pStyle w:val="ReportDate"/>
          </w:pPr>
        </w:p>
        <w:p w:rsidR="00D5015C" w:rsidRDefault="00D5015C" w:rsidP="00327A1E">
          <w:pPr>
            <w:pStyle w:val="ReportDate"/>
          </w:pPr>
        </w:p>
        <w:p w:rsidR="000A6C7B" w:rsidRPr="00327A1E" w:rsidRDefault="0087738C" w:rsidP="00327A1E">
          <w:pPr>
            <w:pStyle w:val="ReportDate"/>
          </w:pPr>
          <w:r>
            <w:t>Ju</w:t>
          </w:r>
          <w:r w:rsidR="00992B44">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D33F8F">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87738C" w:rsidRPr="0087738C">
        <w:t>1300 585 165</w:t>
      </w:r>
      <w:r>
        <w:br/>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55498"/>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340762">
        <w:t>APA VTS</w:t>
      </w:r>
      <w:r>
        <w:t xml:space="preserve"> </w:t>
      </w:r>
      <w:r w:rsidR="00340762">
        <w:t xml:space="preserve">Australia </w:t>
      </w:r>
      <w:r>
        <w:t>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55499"/>
      <w:r>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07722A" w:rsidRDefault="00D33F8F">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r w:rsidR="0007722A" w:rsidRPr="00BF7FAC">
            <w:rPr>
              <w:rStyle w:val="Hyperlink"/>
            </w:rPr>
            <w:fldChar w:fldCharType="begin"/>
          </w:r>
          <w:r w:rsidR="0007722A" w:rsidRPr="00BF7FAC">
            <w:rPr>
              <w:rStyle w:val="Hyperlink"/>
            </w:rPr>
            <w:instrText xml:space="preserve"> </w:instrText>
          </w:r>
          <w:r w:rsidR="0007722A">
            <w:instrText>HYPERLINK \l "_Toc486855498"</w:instrText>
          </w:r>
          <w:r w:rsidR="0007722A" w:rsidRPr="00BF7FAC">
            <w:rPr>
              <w:rStyle w:val="Hyperlink"/>
            </w:rPr>
            <w:instrText xml:space="preserve"> </w:instrText>
          </w:r>
          <w:r w:rsidR="0007722A" w:rsidRPr="00BF7FAC">
            <w:rPr>
              <w:rStyle w:val="Hyperlink"/>
            </w:rPr>
          </w:r>
          <w:r w:rsidR="0007722A" w:rsidRPr="00BF7FAC">
            <w:rPr>
              <w:rStyle w:val="Hyperlink"/>
            </w:rPr>
            <w:fldChar w:fldCharType="separate"/>
          </w:r>
          <w:r w:rsidR="0007722A" w:rsidRPr="00BF7FAC">
            <w:rPr>
              <w:rStyle w:val="Hyperlink"/>
            </w:rPr>
            <w:t>Note</w:t>
          </w:r>
          <w:r w:rsidR="0007722A">
            <w:rPr>
              <w:webHidden/>
            </w:rPr>
            <w:tab/>
          </w:r>
          <w:r w:rsidR="0007722A">
            <w:rPr>
              <w:webHidden/>
            </w:rPr>
            <w:fldChar w:fldCharType="begin"/>
          </w:r>
          <w:r w:rsidR="0007722A">
            <w:rPr>
              <w:webHidden/>
            </w:rPr>
            <w:instrText xml:space="preserve"> PAGEREF _Toc486855498 \h </w:instrText>
          </w:r>
          <w:r w:rsidR="0007722A">
            <w:rPr>
              <w:webHidden/>
            </w:rPr>
          </w:r>
          <w:r w:rsidR="0007722A">
            <w:rPr>
              <w:webHidden/>
            </w:rPr>
            <w:fldChar w:fldCharType="separate"/>
          </w:r>
          <w:r w:rsidR="00EB67B3">
            <w:rPr>
              <w:webHidden/>
            </w:rPr>
            <w:t>12-2</w:t>
          </w:r>
          <w:r w:rsidR="0007722A">
            <w:rPr>
              <w:webHidden/>
            </w:rPr>
            <w:fldChar w:fldCharType="end"/>
          </w:r>
          <w:r w:rsidR="0007722A" w:rsidRPr="00BF7FAC">
            <w:rPr>
              <w:rStyle w:val="Hyperlink"/>
            </w:rPr>
            <w:fldChar w:fldCharType="end"/>
          </w:r>
        </w:p>
        <w:p w:rsidR="0007722A" w:rsidRDefault="0007722A">
          <w:pPr>
            <w:pStyle w:val="TOC1"/>
            <w:rPr>
              <w:rFonts w:asciiTheme="minorHAnsi" w:eastAsiaTheme="minorEastAsia" w:hAnsiTheme="minorHAnsi"/>
              <w:b w:val="0"/>
              <w:color w:val="auto"/>
              <w:sz w:val="22"/>
              <w:lang w:val="en-AU" w:eastAsia="en-AU"/>
            </w:rPr>
          </w:pPr>
          <w:hyperlink w:anchor="_Toc486855499" w:history="1">
            <w:r w:rsidRPr="00BF7FAC">
              <w:rPr>
                <w:rStyle w:val="Hyperlink"/>
              </w:rPr>
              <w:t>Contents</w:t>
            </w:r>
            <w:r>
              <w:rPr>
                <w:webHidden/>
              </w:rPr>
              <w:tab/>
            </w:r>
            <w:r>
              <w:rPr>
                <w:webHidden/>
              </w:rPr>
              <w:fldChar w:fldCharType="begin"/>
            </w:r>
            <w:r>
              <w:rPr>
                <w:webHidden/>
              </w:rPr>
              <w:instrText xml:space="preserve"> PAGEREF _Toc486855499 \h </w:instrText>
            </w:r>
            <w:r>
              <w:rPr>
                <w:webHidden/>
              </w:rPr>
            </w:r>
            <w:r>
              <w:rPr>
                <w:webHidden/>
              </w:rPr>
              <w:fldChar w:fldCharType="separate"/>
            </w:r>
            <w:r w:rsidR="00EB67B3">
              <w:rPr>
                <w:webHidden/>
              </w:rPr>
              <w:t>12-3</w:t>
            </w:r>
            <w:r>
              <w:rPr>
                <w:webHidden/>
              </w:rPr>
              <w:fldChar w:fldCharType="end"/>
            </w:r>
          </w:hyperlink>
        </w:p>
        <w:p w:rsidR="0007722A" w:rsidRDefault="0007722A">
          <w:pPr>
            <w:pStyle w:val="TOC1"/>
            <w:rPr>
              <w:rFonts w:asciiTheme="minorHAnsi" w:eastAsiaTheme="minorEastAsia" w:hAnsiTheme="minorHAnsi"/>
              <w:b w:val="0"/>
              <w:color w:val="auto"/>
              <w:sz w:val="22"/>
              <w:lang w:val="en-AU" w:eastAsia="en-AU"/>
            </w:rPr>
          </w:pPr>
          <w:hyperlink w:anchor="_Toc486855500" w:history="1">
            <w:r w:rsidRPr="00BF7FAC">
              <w:rPr>
                <w:rStyle w:val="Hyperlink"/>
              </w:rPr>
              <w:t>Shortened forms</w:t>
            </w:r>
            <w:r>
              <w:rPr>
                <w:webHidden/>
              </w:rPr>
              <w:tab/>
            </w:r>
            <w:r>
              <w:rPr>
                <w:webHidden/>
              </w:rPr>
              <w:fldChar w:fldCharType="begin"/>
            </w:r>
            <w:r>
              <w:rPr>
                <w:webHidden/>
              </w:rPr>
              <w:instrText xml:space="preserve"> PAGEREF _Toc486855500 \h </w:instrText>
            </w:r>
            <w:r>
              <w:rPr>
                <w:webHidden/>
              </w:rPr>
            </w:r>
            <w:r>
              <w:rPr>
                <w:webHidden/>
              </w:rPr>
              <w:fldChar w:fldCharType="separate"/>
            </w:r>
            <w:r w:rsidR="00EB67B3">
              <w:rPr>
                <w:webHidden/>
              </w:rPr>
              <w:t>12-4</w:t>
            </w:r>
            <w:r>
              <w:rPr>
                <w:webHidden/>
              </w:rPr>
              <w:fldChar w:fldCharType="end"/>
            </w:r>
          </w:hyperlink>
        </w:p>
        <w:p w:rsidR="0007722A" w:rsidRDefault="0007722A">
          <w:pPr>
            <w:pStyle w:val="TOC1"/>
            <w:rPr>
              <w:rFonts w:asciiTheme="minorHAnsi" w:eastAsiaTheme="minorEastAsia" w:hAnsiTheme="minorHAnsi"/>
              <w:b w:val="0"/>
              <w:color w:val="auto"/>
              <w:sz w:val="22"/>
              <w:lang w:val="en-AU" w:eastAsia="en-AU"/>
            </w:rPr>
          </w:pPr>
          <w:hyperlink w:anchor="_Toc486855501" w:history="1">
            <w:r w:rsidRPr="00BF7FAC">
              <w:rPr>
                <w:rStyle w:val="Hyperlink"/>
              </w:rPr>
              <w:t>12</w:t>
            </w:r>
            <w:r>
              <w:rPr>
                <w:rFonts w:asciiTheme="minorHAnsi" w:eastAsiaTheme="minorEastAsia" w:hAnsiTheme="minorHAnsi"/>
                <w:b w:val="0"/>
                <w:color w:val="auto"/>
                <w:sz w:val="22"/>
                <w:lang w:val="en-AU" w:eastAsia="en-AU"/>
              </w:rPr>
              <w:tab/>
            </w:r>
            <w:r w:rsidRPr="00BF7FAC">
              <w:rPr>
                <w:rStyle w:val="Hyperlink"/>
              </w:rPr>
              <w:t>Non-tariff components</w:t>
            </w:r>
            <w:r>
              <w:rPr>
                <w:webHidden/>
              </w:rPr>
              <w:tab/>
            </w:r>
            <w:r>
              <w:rPr>
                <w:webHidden/>
              </w:rPr>
              <w:fldChar w:fldCharType="begin"/>
            </w:r>
            <w:r>
              <w:rPr>
                <w:webHidden/>
              </w:rPr>
              <w:instrText xml:space="preserve"> PAGEREF _Toc486855501 \h </w:instrText>
            </w:r>
            <w:r>
              <w:rPr>
                <w:webHidden/>
              </w:rPr>
            </w:r>
            <w:r>
              <w:rPr>
                <w:webHidden/>
              </w:rPr>
              <w:fldChar w:fldCharType="separate"/>
            </w:r>
            <w:r w:rsidR="00EB67B3">
              <w:rPr>
                <w:webHidden/>
              </w:rPr>
              <w:t>12-5</w:t>
            </w:r>
            <w:r>
              <w:rPr>
                <w:webHidden/>
              </w:rPr>
              <w:fldChar w:fldCharType="end"/>
            </w:r>
          </w:hyperlink>
        </w:p>
        <w:p w:rsidR="0007722A" w:rsidRDefault="0007722A">
          <w:pPr>
            <w:pStyle w:val="TOC2"/>
            <w:tabs>
              <w:tab w:val="left" w:pos="1276"/>
            </w:tabs>
            <w:rPr>
              <w:rFonts w:asciiTheme="minorHAnsi" w:eastAsiaTheme="minorEastAsia" w:hAnsiTheme="minorHAnsi"/>
              <w:b w:val="0"/>
              <w:color w:val="auto"/>
              <w:sz w:val="22"/>
              <w:lang w:eastAsia="en-AU"/>
            </w:rPr>
          </w:pPr>
          <w:hyperlink w:anchor="_Toc486855502" w:history="1">
            <w:r w:rsidRPr="00BF7FAC">
              <w:rPr>
                <w:rStyle w:val="Hyperlink"/>
              </w:rPr>
              <w:t>12.1</w:t>
            </w:r>
            <w:r>
              <w:rPr>
                <w:rFonts w:asciiTheme="minorHAnsi" w:eastAsiaTheme="minorEastAsia" w:hAnsiTheme="minorHAnsi"/>
                <w:b w:val="0"/>
                <w:color w:val="auto"/>
                <w:sz w:val="22"/>
                <w:lang w:eastAsia="en-AU"/>
              </w:rPr>
              <w:tab/>
            </w:r>
            <w:r w:rsidRPr="00BF7FAC">
              <w:rPr>
                <w:rStyle w:val="Hyperlink"/>
              </w:rPr>
              <w:t>Draft decision</w:t>
            </w:r>
            <w:r>
              <w:rPr>
                <w:webHidden/>
              </w:rPr>
              <w:tab/>
            </w:r>
            <w:r>
              <w:rPr>
                <w:webHidden/>
              </w:rPr>
              <w:fldChar w:fldCharType="begin"/>
            </w:r>
            <w:r>
              <w:rPr>
                <w:webHidden/>
              </w:rPr>
              <w:instrText xml:space="preserve"> PAGEREF _Toc486855502 \h </w:instrText>
            </w:r>
            <w:r>
              <w:rPr>
                <w:webHidden/>
              </w:rPr>
            </w:r>
            <w:r>
              <w:rPr>
                <w:webHidden/>
              </w:rPr>
              <w:fldChar w:fldCharType="separate"/>
            </w:r>
            <w:r w:rsidR="00EB67B3">
              <w:rPr>
                <w:webHidden/>
              </w:rPr>
              <w:t>12-5</w:t>
            </w:r>
            <w:r>
              <w:rPr>
                <w:webHidden/>
              </w:rPr>
              <w:fldChar w:fldCharType="end"/>
            </w:r>
          </w:hyperlink>
        </w:p>
        <w:p w:rsidR="0007722A" w:rsidRDefault="0007722A">
          <w:pPr>
            <w:pStyle w:val="TOC2"/>
            <w:tabs>
              <w:tab w:val="left" w:pos="1276"/>
            </w:tabs>
            <w:rPr>
              <w:rFonts w:asciiTheme="minorHAnsi" w:eastAsiaTheme="minorEastAsia" w:hAnsiTheme="minorHAnsi"/>
              <w:b w:val="0"/>
              <w:color w:val="auto"/>
              <w:sz w:val="22"/>
              <w:lang w:eastAsia="en-AU"/>
            </w:rPr>
          </w:pPr>
          <w:hyperlink w:anchor="_Toc486855503" w:history="1">
            <w:r w:rsidRPr="00BF7FAC">
              <w:rPr>
                <w:rStyle w:val="Hyperlink"/>
              </w:rPr>
              <w:t>12.2</w:t>
            </w:r>
            <w:r>
              <w:rPr>
                <w:rFonts w:asciiTheme="minorHAnsi" w:eastAsiaTheme="minorEastAsia" w:hAnsiTheme="minorHAnsi"/>
                <w:b w:val="0"/>
                <w:color w:val="auto"/>
                <w:sz w:val="22"/>
                <w:lang w:eastAsia="en-AU"/>
              </w:rPr>
              <w:tab/>
            </w:r>
            <w:r w:rsidRPr="00BF7FAC">
              <w:rPr>
                <w:rStyle w:val="Hyperlink"/>
              </w:rPr>
              <w:t>APA’s proposal</w:t>
            </w:r>
            <w:r>
              <w:rPr>
                <w:webHidden/>
              </w:rPr>
              <w:tab/>
            </w:r>
            <w:r>
              <w:rPr>
                <w:webHidden/>
              </w:rPr>
              <w:fldChar w:fldCharType="begin"/>
            </w:r>
            <w:r>
              <w:rPr>
                <w:webHidden/>
              </w:rPr>
              <w:instrText xml:space="preserve"> PAGEREF _Toc486855503 \h </w:instrText>
            </w:r>
            <w:r>
              <w:rPr>
                <w:webHidden/>
              </w:rPr>
            </w:r>
            <w:r>
              <w:rPr>
                <w:webHidden/>
              </w:rPr>
              <w:fldChar w:fldCharType="separate"/>
            </w:r>
            <w:r w:rsidR="00EB67B3">
              <w:rPr>
                <w:webHidden/>
              </w:rPr>
              <w:t>12-5</w:t>
            </w:r>
            <w:r>
              <w:rPr>
                <w:webHidden/>
              </w:rPr>
              <w:fldChar w:fldCharType="end"/>
            </w:r>
          </w:hyperlink>
        </w:p>
        <w:p w:rsidR="0007722A" w:rsidRDefault="0007722A">
          <w:pPr>
            <w:pStyle w:val="TOC2"/>
            <w:tabs>
              <w:tab w:val="left" w:pos="1276"/>
            </w:tabs>
            <w:rPr>
              <w:rFonts w:asciiTheme="minorHAnsi" w:eastAsiaTheme="minorEastAsia" w:hAnsiTheme="minorHAnsi"/>
              <w:b w:val="0"/>
              <w:color w:val="auto"/>
              <w:sz w:val="22"/>
              <w:lang w:eastAsia="en-AU"/>
            </w:rPr>
          </w:pPr>
          <w:hyperlink w:anchor="_Toc486855504" w:history="1">
            <w:r w:rsidRPr="00BF7FAC">
              <w:rPr>
                <w:rStyle w:val="Hyperlink"/>
              </w:rPr>
              <w:t>12.3</w:t>
            </w:r>
            <w:r>
              <w:rPr>
                <w:rFonts w:asciiTheme="minorHAnsi" w:eastAsiaTheme="minorEastAsia" w:hAnsiTheme="minorHAnsi"/>
                <w:b w:val="0"/>
                <w:color w:val="auto"/>
                <w:sz w:val="22"/>
                <w:lang w:eastAsia="en-AU"/>
              </w:rPr>
              <w:tab/>
            </w:r>
            <w:r w:rsidRPr="00BF7FAC">
              <w:rPr>
                <w:rStyle w:val="Hyperlink"/>
              </w:rPr>
              <w:t>Assessment approach</w:t>
            </w:r>
            <w:r>
              <w:rPr>
                <w:webHidden/>
              </w:rPr>
              <w:tab/>
            </w:r>
            <w:r>
              <w:rPr>
                <w:webHidden/>
              </w:rPr>
              <w:fldChar w:fldCharType="begin"/>
            </w:r>
            <w:r>
              <w:rPr>
                <w:webHidden/>
              </w:rPr>
              <w:instrText xml:space="preserve"> PAGEREF _Toc486855504 \h </w:instrText>
            </w:r>
            <w:r>
              <w:rPr>
                <w:webHidden/>
              </w:rPr>
            </w:r>
            <w:r>
              <w:rPr>
                <w:webHidden/>
              </w:rPr>
              <w:fldChar w:fldCharType="separate"/>
            </w:r>
            <w:r w:rsidR="00EB67B3">
              <w:rPr>
                <w:webHidden/>
              </w:rPr>
              <w:t>12-5</w:t>
            </w:r>
            <w:r>
              <w:rPr>
                <w:webHidden/>
              </w:rPr>
              <w:fldChar w:fldCharType="end"/>
            </w:r>
          </w:hyperlink>
        </w:p>
        <w:p w:rsidR="0007722A" w:rsidRDefault="0007722A">
          <w:pPr>
            <w:pStyle w:val="TOC2"/>
            <w:tabs>
              <w:tab w:val="left" w:pos="1276"/>
            </w:tabs>
            <w:rPr>
              <w:rFonts w:asciiTheme="minorHAnsi" w:eastAsiaTheme="minorEastAsia" w:hAnsiTheme="minorHAnsi"/>
              <w:b w:val="0"/>
              <w:color w:val="auto"/>
              <w:sz w:val="22"/>
              <w:lang w:eastAsia="en-AU"/>
            </w:rPr>
          </w:pPr>
          <w:hyperlink w:anchor="_Toc486855505" w:history="1">
            <w:r w:rsidRPr="00BF7FAC">
              <w:rPr>
                <w:rStyle w:val="Hyperlink"/>
              </w:rPr>
              <w:t>12.4</w:t>
            </w:r>
            <w:r>
              <w:rPr>
                <w:rFonts w:asciiTheme="minorHAnsi" w:eastAsiaTheme="minorEastAsia" w:hAnsiTheme="minorHAnsi"/>
                <w:b w:val="0"/>
                <w:color w:val="auto"/>
                <w:sz w:val="22"/>
                <w:lang w:eastAsia="en-AU"/>
              </w:rPr>
              <w:tab/>
            </w:r>
            <w:r w:rsidRPr="00BF7FAC">
              <w:rPr>
                <w:rStyle w:val="Hyperlink"/>
              </w:rPr>
              <w:t>Reasons for draft decision</w:t>
            </w:r>
            <w:r>
              <w:rPr>
                <w:webHidden/>
              </w:rPr>
              <w:tab/>
            </w:r>
            <w:r>
              <w:rPr>
                <w:webHidden/>
              </w:rPr>
              <w:fldChar w:fldCharType="begin"/>
            </w:r>
            <w:r>
              <w:rPr>
                <w:webHidden/>
              </w:rPr>
              <w:instrText xml:space="preserve"> PAGEREF _Toc486855505 \h </w:instrText>
            </w:r>
            <w:r>
              <w:rPr>
                <w:webHidden/>
              </w:rPr>
            </w:r>
            <w:r>
              <w:rPr>
                <w:webHidden/>
              </w:rPr>
              <w:fldChar w:fldCharType="separate"/>
            </w:r>
            <w:r w:rsidR="00EB67B3">
              <w:rPr>
                <w:webHidden/>
              </w:rPr>
              <w:t>12-6</w:t>
            </w:r>
            <w:r>
              <w:rPr>
                <w:webHidden/>
              </w:rPr>
              <w:fldChar w:fldCharType="end"/>
            </w:r>
          </w:hyperlink>
        </w:p>
        <w:p w:rsidR="0007722A" w:rsidRDefault="0007722A">
          <w:pPr>
            <w:pStyle w:val="TOC3"/>
            <w:rPr>
              <w:rFonts w:asciiTheme="minorHAnsi" w:eastAsiaTheme="minorEastAsia" w:hAnsiTheme="minorHAnsi"/>
              <w:lang w:eastAsia="en-AU"/>
            </w:rPr>
          </w:pPr>
          <w:hyperlink w:anchor="_Toc486855506" w:history="1">
            <w:r w:rsidRPr="00BF7FAC">
              <w:rPr>
                <w:rStyle w:val="Hyperlink"/>
              </w:rPr>
              <w:t>12.4.1</w:t>
            </w:r>
            <w:r>
              <w:rPr>
                <w:rFonts w:asciiTheme="minorHAnsi" w:eastAsiaTheme="minorEastAsia" w:hAnsiTheme="minorHAnsi"/>
                <w:lang w:eastAsia="en-AU"/>
              </w:rPr>
              <w:tab/>
            </w:r>
            <w:r w:rsidRPr="00BF7FAC">
              <w:rPr>
                <w:rStyle w:val="Hyperlink"/>
              </w:rPr>
              <w:t>Terms and conditions</w:t>
            </w:r>
            <w:r>
              <w:rPr>
                <w:webHidden/>
              </w:rPr>
              <w:tab/>
            </w:r>
            <w:r>
              <w:rPr>
                <w:webHidden/>
              </w:rPr>
              <w:fldChar w:fldCharType="begin"/>
            </w:r>
            <w:r>
              <w:rPr>
                <w:webHidden/>
              </w:rPr>
              <w:instrText xml:space="preserve"> PAGEREF _Toc486855506 \h </w:instrText>
            </w:r>
            <w:r>
              <w:rPr>
                <w:webHidden/>
              </w:rPr>
            </w:r>
            <w:r>
              <w:rPr>
                <w:webHidden/>
              </w:rPr>
              <w:fldChar w:fldCharType="separate"/>
            </w:r>
            <w:r w:rsidR="00EB67B3">
              <w:rPr>
                <w:webHidden/>
              </w:rPr>
              <w:t>12-6</w:t>
            </w:r>
            <w:r>
              <w:rPr>
                <w:webHidden/>
              </w:rPr>
              <w:fldChar w:fldCharType="end"/>
            </w:r>
          </w:hyperlink>
        </w:p>
        <w:p w:rsidR="0007722A" w:rsidRDefault="0007722A">
          <w:pPr>
            <w:pStyle w:val="TOC3"/>
            <w:rPr>
              <w:rFonts w:asciiTheme="minorHAnsi" w:eastAsiaTheme="minorEastAsia" w:hAnsiTheme="minorHAnsi"/>
              <w:lang w:eastAsia="en-AU"/>
            </w:rPr>
          </w:pPr>
          <w:hyperlink w:anchor="_Toc486855507" w:history="1">
            <w:r w:rsidRPr="00BF7FAC">
              <w:rPr>
                <w:rStyle w:val="Hyperlink"/>
              </w:rPr>
              <w:t>12.4.2</w:t>
            </w:r>
            <w:r>
              <w:rPr>
                <w:rFonts w:asciiTheme="minorHAnsi" w:eastAsiaTheme="minorEastAsia" w:hAnsiTheme="minorHAnsi"/>
                <w:lang w:eastAsia="en-AU"/>
              </w:rPr>
              <w:tab/>
            </w:r>
            <w:r w:rsidRPr="00BF7FAC">
              <w:rPr>
                <w:rStyle w:val="Hyperlink"/>
              </w:rPr>
              <w:t>Queuing</w:t>
            </w:r>
            <w:r>
              <w:rPr>
                <w:webHidden/>
              </w:rPr>
              <w:tab/>
            </w:r>
            <w:r>
              <w:rPr>
                <w:webHidden/>
              </w:rPr>
              <w:fldChar w:fldCharType="begin"/>
            </w:r>
            <w:r>
              <w:rPr>
                <w:webHidden/>
              </w:rPr>
              <w:instrText xml:space="preserve"> PAGEREF _Toc486855507 \h </w:instrText>
            </w:r>
            <w:r>
              <w:rPr>
                <w:webHidden/>
              </w:rPr>
            </w:r>
            <w:r>
              <w:rPr>
                <w:webHidden/>
              </w:rPr>
              <w:fldChar w:fldCharType="separate"/>
            </w:r>
            <w:r w:rsidR="00EB67B3">
              <w:rPr>
                <w:webHidden/>
              </w:rPr>
              <w:t>12-6</w:t>
            </w:r>
            <w:r>
              <w:rPr>
                <w:webHidden/>
              </w:rPr>
              <w:fldChar w:fldCharType="end"/>
            </w:r>
          </w:hyperlink>
        </w:p>
        <w:p w:rsidR="0007722A" w:rsidRDefault="0007722A">
          <w:pPr>
            <w:pStyle w:val="TOC3"/>
            <w:rPr>
              <w:rFonts w:asciiTheme="minorHAnsi" w:eastAsiaTheme="minorEastAsia" w:hAnsiTheme="minorHAnsi"/>
              <w:lang w:eastAsia="en-AU"/>
            </w:rPr>
          </w:pPr>
          <w:hyperlink w:anchor="_Toc486855508" w:history="1">
            <w:r w:rsidRPr="00BF7FAC">
              <w:rPr>
                <w:rStyle w:val="Hyperlink"/>
              </w:rPr>
              <w:t>12.4.3</w:t>
            </w:r>
            <w:r>
              <w:rPr>
                <w:rFonts w:asciiTheme="minorHAnsi" w:eastAsiaTheme="minorEastAsia" w:hAnsiTheme="minorHAnsi"/>
                <w:lang w:eastAsia="en-AU"/>
              </w:rPr>
              <w:tab/>
            </w:r>
            <w:r w:rsidRPr="00BF7FAC">
              <w:rPr>
                <w:rStyle w:val="Hyperlink"/>
              </w:rPr>
              <w:t>Extensions and expansions</w:t>
            </w:r>
            <w:r>
              <w:rPr>
                <w:webHidden/>
              </w:rPr>
              <w:tab/>
            </w:r>
            <w:r>
              <w:rPr>
                <w:webHidden/>
              </w:rPr>
              <w:fldChar w:fldCharType="begin"/>
            </w:r>
            <w:r>
              <w:rPr>
                <w:webHidden/>
              </w:rPr>
              <w:instrText xml:space="preserve"> PAGEREF _Toc486855508 \h </w:instrText>
            </w:r>
            <w:r>
              <w:rPr>
                <w:webHidden/>
              </w:rPr>
            </w:r>
            <w:r>
              <w:rPr>
                <w:webHidden/>
              </w:rPr>
              <w:fldChar w:fldCharType="separate"/>
            </w:r>
            <w:r w:rsidR="00EB67B3">
              <w:rPr>
                <w:webHidden/>
              </w:rPr>
              <w:t>12-7</w:t>
            </w:r>
            <w:r>
              <w:rPr>
                <w:webHidden/>
              </w:rPr>
              <w:fldChar w:fldCharType="end"/>
            </w:r>
          </w:hyperlink>
        </w:p>
        <w:p w:rsidR="0007722A" w:rsidRDefault="0007722A">
          <w:pPr>
            <w:pStyle w:val="TOC3"/>
            <w:rPr>
              <w:rFonts w:asciiTheme="minorHAnsi" w:eastAsiaTheme="minorEastAsia" w:hAnsiTheme="minorHAnsi"/>
              <w:lang w:eastAsia="en-AU"/>
            </w:rPr>
          </w:pPr>
          <w:hyperlink w:anchor="_Toc486855509" w:history="1">
            <w:r w:rsidRPr="00BF7FAC">
              <w:rPr>
                <w:rStyle w:val="Hyperlink"/>
              </w:rPr>
              <w:t>12.4.4</w:t>
            </w:r>
            <w:r>
              <w:rPr>
                <w:rFonts w:asciiTheme="minorHAnsi" w:eastAsiaTheme="minorEastAsia" w:hAnsiTheme="minorHAnsi"/>
                <w:lang w:eastAsia="en-AU"/>
              </w:rPr>
              <w:tab/>
            </w:r>
            <w:r w:rsidRPr="00BF7FAC">
              <w:rPr>
                <w:rStyle w:val="Hyperlink"/>
              </w:rPr>
              <w:t>Changing receipt and delivery points</w:t>
            </w:r>
            <w:r>
              <w:rPr>
                <w:webHidden/>
              </w:rPr>
              <w:tab/>
            </w:r>
            <w:r>
              <w:rPr>
                <w:webHidden/>
              </w:rPr>
              <w:fldChar w:fldCharType="begin"/>
            </w:r>
            <w:r>
              <w:rPr>
                <w:webHidden/>
              </w:rPr>
              <w:instrText xml:space="preserve"> PAGEREF _Toc486855509 \h </w:instrText>
            </w:r>
            <w:r>
              <w:rPr>
                <w:webHidden/>
              </w:rPr>
            </w:r>
            <w:r>
              <w:rPr>
                <w:webHidden/>
              </w:rPr>
              <w:fldChar w:fldCharType="separate"/>
            </w:r>
            <w:r w:rsidR="00EB67B3">
              <w:rPr>
                <w:webHidden/>
              </w:rPr>
              <w:t>12-8</w:t>
            </w:r>
            <w:r>
              <w:rPr>
                <w:webHidden/>
              </w:rPr>
              <w:fldChar w:fldCharType="end"/>
            </w:r>
          </w:hyperlink>
        </w:p>
        <w:p w:rsidR="0007722A" w:rsidRDefault="0007722A">
          <w:pPr>
            <w:pStyle w:val="TOC3"/>
            <w:rPr>
              <w:rFonts w:asciiTheme="minorHAnsi" w:eastAsiaTheme="minorEastAsia" w:hAnsiTheme="minorHAnsi"/>
              <w:lang w:eastAsia="en-AU"/>
            </w:rPr>
          </w:pPr>
          <w:hyperlink w:anchor="_Toc486855510" w:history="1">
            <w:r w:rsidRPr="00BF7FAC">
              <w:rPr>
                <w:rStyle w:val="Hyperlink"/>
              </w:rPr>
              <w:t>12.4.5</w:t>
            </w:r>
            <w:r>
              <w:rPr>
                <w:rFonts w:asciiTheme="minorHAnsi" w:eastAsiaTheme="minorEastAsia" w:hAnsiTheme="minorHAnsi"/>
                <w:lang w:eastAsia="en-AU"/>
              </w:rPr>
              <w:tab/>
            </w:r>
            <w:r w:rsidRPr="00BF7FAC">
              <w:rPr>
                <w:rStyle w:val="Hyperlink"/>
              </w:rPr>
              <w:t>Revision and commencement dates</w:t>
            </w:r>
            <w:r>
              <w:rPr>
                <w:webHidden/>
              </w:rPr>
              <w:tab/>
            </w:r>
            <w:r>
              <w:rPr>
                <w:webHidden/>
              </w:rPr>
              <w:fldChar w:fldCharType="begin"/>
            </w:r>
            <w:r>
              <w:rPr>
                <w:webHidden/>
              </w:rPr>
              <w:instrText xml:space="preserve"> PAGEREF _Toc486855510 \h </w:instrText>
            </w:r>
            <w:r>
              <w:rPr>
                <w:webHidden/>
              </w:rPr>
            </w:r>
            <w:r>
              <w:rPr>
                <w:webHidden/>
              </w:rPr>
              <w:fldChar w:fldCharType="separate"/>
            </w:r>
            <w:r w:rsidR="00EB67B3">
              <w:rPr>
                <w:webHidden/>
              </w:rPr>
              <w:t>12-9</w:t>
            </w:r>
            <w:r>
              <w:rPr>
                <w:webHidden/>
              </w:rPr>
              <w:fldChar w:fldCharType="end"/>
            </w:r>
          </w:hyperlink>
        </w:p>
        <w:p w:rsidR="00CE2A23" w:rsidRDefault="00D33F8F" w:rsidP="00D33F8F">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855500"/>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87738C" w:rsidTr="0087738C">
        <w:trPr>
          <w:cnfStyle w:val="100000000000" w:firstRow="1" w:lastRow="0" w:firstColumn="0" w:lastColumn="0" w:oddVBand="0" w:evenVBand="0" w:oddHBand="0" w:evenHBand="0" w:firstRowFirstColumn="0" w:firstRowLastColumn="0" w:lastRowFirstColumn="0" w:lastRowLastColumn="0"/>
        </w:trPr>
        <w:tc>
          <w:tcPr>
            <w:tcW w:w="4340" w:type="dxa"/>
          </w:tcPr>
          <w:p w:rsidR="0087738C" w:rsidRPr="0087738C" w:rsidRDefault="0087738C" w:rsidP="0087738C">
            <w:pPr>
              <w:numPr>
                <w:ilvl w:val="0"/>
                <w:numId w:val="24"/>
              </w:numPr>
            </w:pPr>
            <w:r w:rsidRPr="0087738C">
              <w:t>Shortened form</w:t>
            </w:r>
          </w:p>
        </w:tc>
        <w:tc>
          <w:tcPr>
            <w:tcW w:w="4353" w:type="dxa"/>
          </w:tcPr>
          <w:p w:rsidR="0087738C" w:rsidRPr="0087738C" w:rsidRDefault="0087738C" w:rsidP="0087738C">
            <w:pPr>
              <w:numPr>
                <w:ilvl w:val="0"/>
                <w:numId w:val="24"/>
              </w:numPr>
            </w:pPr>
            <w:r w:rsidRPr="0087738C">
              <w:t>Extended form</w:t>
            </w:r>
          </w:p>
        </w:tc>
      </w:tr>
      <w:tr w:rsidR="0087738C" w:rsidTr="0087738C">
        <w:tc>
          <w:tcPr>
            <w:tcW w:w="4340" w:type="dxa"/>
          </w:tcPr>
          <w:p w:rsidR="0087738C" w:rsidRPr="0087738C" w:rsidRDefault="0087738C" w:rsidP="0087738C">
            <w:pPr>
              <w:numPr>
                <w:ilvl w:val="0"/>
                <w:numId w:val="24"/>
              </w:numPr>
            </w:pPr>
            <w:r w:rsidRPr="0087738C">
              <w:t>AER</w:t>
            </w:r>
          </w:p>
        </w:tc>
        <w:tc>
          <w:tcPr>
            <w:tcW w:w="4353" w:type="dxa"/>
          </w:tcPr>
          <w:p w:rsidR="0087738C" w:rsidRPr="0087738C" w:rsidRDefault="0087738C" w:rsidP="0087738C">
            <w:pPr>
              <w:numPr>
                <w:ilvl w:val="0"/>
                <w:numId w:val="24"/>
              </w:numPr>
            </w:pPr>
            <w:r w:rsidRPr="0087738C">
              <w:t>Australian Energy Regulator</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ATO</w:t>
            </w:r>
          </w:p>
        </w:tc>
        <w:tc>
          <w:tcPr>
            <w:tcW w:w="4353" w:type="dxa"/>
          </w:tcPr>
          <w:p w:rsidR="0087738C" w:rsidRPr="0087738C" w:rsidRDefault="0087738C" w:rsidP="0087738C">
            <w:r w:rsidRPr="0087738C">
              <w:t>Australian Tax Office</w:t>
            </w:r>
          </w:p>
        </w:tc>
      </w:tr>
      <w:tr w:rsidR="0087738C" w:rsidTr="0087738C">
        <w:tc>
          <w:tcPr>
            <w:tcW w:w="4340" w:type="dxa"/>
          </w:tcPr>
          <w:p w:rsidR="0087738C" w:rsidRPr="0087738C" w:rsidRDefault="0087738C" w:rsidP="0087738C">
            <w:pPr>
              <w:numPr>
                <w:ilvl w:val="0"/>
                <w:numId w:val="24"/>
              </w:numPr>
            </w:pPr>
            <w:r w:rsidRPr="0087738C">
              <w:t>capex</w:t>
            </w:r>
          </w:p>
        </w:tc>
        <w:tc>
          <w:tcPr>
            <w:tcW w:w="4353" w:type="dxa"/>
          </w:tcPr>
          <w:p w:rsidR="0087738C" w:rsidRPr="0087738C" w:rsidRDefault="0087738C" w:rsidP="0087738C">
            <w:pPr>
              <w:numPr>
                <w:ilvl w:val="0"/>
                <w:numId w:val="24"/>
              </w:numPr>
            </w:pPr>
            <w:r w:rsidRPr="0087738C">
              <w:t>capital expenditure</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CAPM</w:t>
            </w:r>
          </w:p>
        </w:tc>
        <w:tc>
          <w:tcPr>
            <w:tcW w:w="4353" w:type="dxa"/>
          </w:tcPr>
          <w:p w:rsidR="0087738C" w:rsidRPr="0087738C" w:rsidRDefault="0087738C" w:rsidP="0087738C">
            <w:pPr>
              <w:numPr>
                <w:ilvl w:val="0"/>
                <w:numId w:val="24"/>
              </w:numPr>
            </w:pPr>
            <w:r w:rsidRPr="0087738C">
              <w:t>capital asset pricing model</w:t>
            </w:r>
          </w:p>
        </w:tc>
      </w:tr>
      <w:tr w:rsidR="0087738C" w:rsidTr="0087738C">
        <w:tc>
          <w:tcPr>
            <w:tcW w:w="4340" w:type="dxa"/>
          </w:tcPr>
          <w:p w:rsidR="0087738C" w:rsidRPr="0087738C" w:rsidRDefault="0087738C" w:rsidP="0087738C">
            <w:pPr>
              <w:numPr>
                <w:ilvl w:val="0"/>
                <w:numId w:val="24"/>
              </w:numPr>
            </w:pPr>
            <w:r w:rsidRPr="0087738C">
              <w:t>CPI</w:t>
            </w:r>
          </w:p>
        </w:tc>
        <w:tc>
          <w:tcPr>
            <w:tcW w:w="4353" w:type="dxa"/>
          </w:tcPr>
          <w:p w:rsidR="0087738C" w:rsidRPr="0087738C" w:rsidRDefault="0087738C" w:rsidP="0087738C">
            <w:pPr>
              <w:numPr>
                <w:ilvl w:val="0"/>
                <w:numId w:val="24"/>
              </w:numPr>
            </w:pPr>
            <w:r w:rsidRPr="0087738C">
              <w:t>consumer price index</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DRP</w:t>
            </w:r>
          </w:p>
        </w:tc>
        <w:tc>
          <w:tcPr>
            <w:tcW w:w="4353" w:type="dxa"/>
          </w:tcPr>
          <w:p w:rsidR="0087738C" w:rsidRPr="0087738C" w:rsidRDefault="0087738C" w:rsidP="0087738C">
            <w:pPr>
              <w:numPr>
                <w:ilvl w:val="0"/>
                <w:numId w:val="24"/>
              </w:numPr>
            </w:pPr>
            <w:r w:rsidRPr="0087738C">
              <w:t>debt risk premium</w:t>
            </w:r>
          </w:p>
        </w:tc>
      </w:tr>
      <w:tr w:rsidR="0087738C" w:rsidTr="0087738C">
        <w:tc>
          <w:tcPr>
            <w:tcW w:w="4340" w:type="dxa"/>
          </w:tcPr>
          <w:p w:rsidR="0087738C" w:rsidRPr="0087738C" w:rsidRDefault="0087738C" w:rsidP="0087738C">
            <w:pPr>
              <w:numPr>
                <w:ilvl w:val="0"/>
                <w:numId w:val="24"/>
              </w:numPr>
            </w:pPr>
            <w:r w:rsidRPr="0087738C">
              <w:t>ECM</w:t>
            </w:r>
          </w:p>
        </w:tc>
        <w:tc>
          <w:tcPr>
            <w:tcW w:w="4353" w:type="dxa"/>
          </w:tcPr>
          <w:p w:rsidR="0087738C" w:rsidRPr="0087738C" w:rsidRDefault="0087738C" w:rsidP="0087738C">
            <w:r w:rsidRPr="0087738C">
              <w:t>(Opex) Efficiency Carryover Mechanism</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ERP</w:t>
            </w:r>
          </w:p>
        </w:tc>
        <w:tc>
          <w:tcPr>
            <w:tcW w:w="4353" w:type="dxa"/>
          </w:tcPr>
          <w:p w:rsidR="0087738C" w:rsidRPr="0087738C" w:rsidRDefault="0087738C" w:rsidP="0087738C">
            <w:pPr>
              <w:numPr>
                <w:ilvl w:val="0"/>
                <w:numId w:val="24"/>
              </w:numPr>
            </w:pPr>
            <w:r w:rsidRPr="0087738C">
              <w:t>equity risk premium</w:t>
            </w:r>
          </w:p>
        </w:tc>
      </w:tr>
      <w:tr w:rsidR="0087738C" w:rsidTr="0087738C">
        <w:tc>
          <w:tcPr>
            <w:tcW w:w="4340" w:type="dxa"/>
          </w:tcPr>
          <w:p w:rsidR="0087738C" w:rsidRPr="0087738C" w:rsidRDefault="0087738C" w:rsidP="0087738C">
            <w:pPr>
              <w:numPr>
                <w:ilvl w:val="0"/>
                <w:numId w:val="24"/>
              </w:numPr>
            </w:pPr>
            <w:r w:rsidRPr="0087738C">
              <w:t>Expenditure Guideline</w:t>
            </w:r>
          </w:p>
        </w:tc>
        <w:tc>
          <w:tcPr>
            <w:tcW w:w="4353" w:type="dxa"/>
          </w:tcPr>
          <w:p w:rsidR="0087738C" w:rsidRPr="0087738C" w:rsidRDefault="0087738C" w:rsidP="0087738C">
            <w:r w:rsidRPr="0087738C">
              <w:t>Expenditure Forecast Assessment Guideline</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gamma</w:t>
            </w:r>
          </w:p>
        </w:tc>
        <w:tc>
          <w:tcPr>
            <w:tcW w:w="4353" w:type="dxa"/>
          </w:tcPr>
          <w:p w:rsidR="0087738C" w:rsidRPr="0087738C" w:rsidRDefault="0087738C" w:rsidP="0087738C">
            <w:r w:rsidRPr="0087738C">
              <w:t>Value of Imputation Credits</w:t>
            </w:r>
          </w:p>
        </w:tc>
      </w:tr>
      <w:tr w:rsidR="0087738C" w:rsidTr="0087738C">
        <w:tc>
          <w:tcPr>
            <w:tcW w:w="4340" w:type="dxa"/>
          </w:tcPr>
          <w:p w:rsidR="0087738C" w:rsidRPr="0087738C" w:rsidRDefault="0087738C" w:rsidP="0087738C">
            <w:pPr>
              <w:numPr>
                <w:ilvl w:val="0"/>
                <w:numId w:val="24"/>
              </w:numPr>
            </w:pPr>
            <w:r w:rsidRPr="0087738C">
              <w:t>MRP</w:t>
            </w:r>
          </w:p>
        </w:tc>
        <w:tc>
          <w:tcPr>
            <w:tcW w:w="4353" w:type="dxa"/>
          </w:tcPr>
          <w:p w:rsidR="0087738C" w:rsidRPr="0087738C" w:rsidRDefault="0087738C" w:rsidP="0087738C">
            <w:pPr>
              <w:numPr>
                <w:ilvl w:val="0"/>
                <w:numId w:val="24"/>
              </w:numPr>
            </w:pPr>
            <w:r w:rsidRPr="0087738C">
              <w:t>market risk premium</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NGL</w:t>
            </w:r>
          </w:p>
        </w:tc>
        <w:tc>
          <w:tcPr>
            <w:tcW w:w="4353" w:type="dxa"/>
          </w:tcPr>
          <w:p w:rsidR="0087738C" w:rsidRPr="0087738C" w:rsidRDefault="0087738C" w:rsidP="0087738C">
            <w:pPr>
              <w:numPr>
                <w:ilvl w:val="0"/>
                <w:numId w:val="24"/>
              </w:numPr>
            </w:pPr>
            <w:r w:rsidRPr="0087738C">
              <w:t>National Gas Law</w:t>
            </w:r>
          </w:p>
        </w:tc>
      </w:tr>
      <w:tr w:rsidR="0087738C" w:rsidTr="0087738C">
        <w:tc>
          <w:tcPr>
            <w:tcW w:w="4340" w:type="dxa"/>
          </w:tcPr>
          <w:p w:rsidR="0087738C" w:rsidRPr="0087738C" w:rsidRDefault="0087738C" w:rsidP="0087738C">
            <w:pPr>
              <w:numPr>
                <w:ilvl w:val="0"/>
                <w:numId w:val="24"/>
              </w:numPr>
            </w:pPr>
            <w:r w:rsidRPr="0087738C">
              <w:t>NGO</w:t>
            </w:r>
          </w:p>
        </w:tc>
        <w:tc>
          <w:tcPr>
            <w:tcW w:w="4353" w:type="dxa"/>
          </w:tcPr>
          <w:p w:rsidR="0087738C" w:rsidRPr="0087738C" w:rsidRDefault="0087738C" w:rsidP="0087738C">
            <w:pPr>
              <w:numPr>
                <w:ilvl w:val="0"/>
                <w:numId w:val="24"/>
              </w:numPr>
            </w:pPr>
            <w:r w:rsidRPr="0087738C">
              <w:t>national gas objective</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NGR</w:t>
            </w:r>
          </w:p>
        </w:tc>
        <w:tc>
          <w:tcPr>
            <w:tcW w:w="4353" w:type="dxa"/>
          </w:tcPr>
          <w:p w:rsidR="0087738C" w:rsidRPr="0087738C" w:rsidRDefault="0087738C" w:rsidP="0087738C">
            <w:pPr>
              <w:numPr>
                <w:ilvl w:val="0"/>
                <w:numId w:val="24"/>
              </w:numPr>
            </w:pPr>
            <w:r w:rsidRPr="0087738C">
              <w:t>National Gas Rules</w:t>
            </w:r>
          </w:p>
        </w:tc>
      </w:tr>
      <w:tr w:rsidR="0087738C" w:rsidTr="0087738C">
        <w:tc>
          <w:tcPr>
            <w:tcW w:w="4340" w:type="dxa"/>
          </w:tcPr>
          <w:p w:rsidR="0087738C" w:rsidRPr="0087738C" w:rsidRDefault="0087738C" w:rsidP="0087738C">
            <w:pPr>
              <w:numPr>
                <w:ilvl w:val="0"/>
                <w:numId w:val="24"/>
              </w:numPr>
            </w:pPr>
            <w:r w:rsidRPr="0087738C">
              <w:t>NPV</w:t>
            </w:r>
          </w:p>
        </w:tc>
        <w:tc>
          <w:tcPr>
            <w:tcW w:w="4353" w:type="dxa"/>
          </w:tcPr>
          <w:p w:rsidR="0087738C" w:rsidRPr="0087738C" w:rsidRDefault="0087738C" w:rsidP="0087738C">
            <w:r w:rsidRPr="0087738C">
              <w:t>net present value</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opex</w:t>
            </w:r>
          </w:p>
        </w:tc>
        <w:tc>
          <w:tcPr>
            <w:tcW w:w="4353" w:type="dxa"/>
          </w:tcPr>
          <w:p w:rsidR="0087738C" w:rsidRPr="0087738C" w:rsidRDefault="0087738C" w:rsidP="0087738C">
            <w:pPr>
              <w:numPr>
                <w:ilvl w:val="0"/>
                <w:numId w:val="24"/>
              </w:numPr>
            </w:pPr>
            <w:r w:rsidRPr="0087738C">
              <w:t>operating expenditure</w:t>
            </w:r>
          </w:p>
        </w:tc>
      </w:tr>
      <w:tr w:rsidR="0087738C" w:rsidTr="0087738C">
        <w:tc>
          <w:tcPr>
            <w:tcW w:w="4340" w:type="dxa"/>
          </w:tcPr>
          <w:p w:rsidR="0087738C" w:rsidRPr="0087738C" w:rsidRDefault="0087738C" w:rsidP="0087738C">
            <w:pPr>
              <w:numPr>
                <w:ilvl w:val="0"/>
                <w:numId w:val="24"/>
              </w:numPr>
            </w:pPr>
            <w:r w:rsidRPr="0087738C">
              <w:t>PTRM</w:t>
            </w:r>
          </w:p>
        </w:tc>
        <w:tc>
          <w:tcPr>
            <w:tcW w:w="4353" w:type="dxa"/>
          </w:tcPr>
          <w:p w:rsidR="0087738C" w:rsidRPr="0087738C" w:rsidRDefault="0087738C" w:rsidP="0087738C">
            <w:pPr>
              <w:numPr>
                <w:ilvl w:val="0"/>
                <w:numId w:val="24"/>
              </w:numPr>
            </w:pPr>
            <w:r w:rsidRPr="0087738C">
              <w:t>post-tax revenue model</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RBA</w:t>
            </w:r>
          </w:p>
        </w:tc>
        <w:tc>
          <w:tcPr>
            <w:tcW w:w="4353" w:type="dxa"/>
          </w:tcPr>
          <w:p w:rsidR="0087738C" w:rsidRPr="0087738C" w:rsidRDefault="0087738C" w:rsidP="0087738C">
            <w:pPr>
              <w:numPr>
                <w:ilvl w:val="0"/>
                <w:numId w:val="24"/>
              </w:numPr>
            </w:pPr>
            <w:r w:rsidRPr="0087738C">
              <w:t>Reserve Bank of Australia</w:t>
            </w:r>
          </w:p>
        </w:tc>
      </w:tr>
      <w:tr w:rsidR="0087738C" w:rsidTr="0087738C">
        <w:tc>
          <w:tcPr>
            <w:tcW w:w="4340" w:type="dxa"/>
          </w:tcPr>
          <w:p w:rsidR="0087738C" w:rsidRPr="0087738C" w:rsidRDefault="0087738C" w:rsidP="0087738C">
            <w:pPr>
              <w:numPr>
                <w:ilvl w:val="0"/>
                <w:numId w:val="24"/>
              </w:numPr>
            </w:pPr>
            <w:r w:rsidRPr="0087738C">
              <w:t>RFM</w:t>
            </w:r>
          </w:p>
        </w:tc>
        <w:tc>
          <w:tcPr>
            <w:tcW w:w="4353" w:type="dxa"/>
          </w:tcPr>
          <w:p w:rsidR="0087738C" w:rsidRPr="0087738C" w:rsidRDefault="0087738C" w:rsidP="0087738C">
            <w:pPr>
              <w:numPr>
                <w:ilvl w:val="0"/>
                <w:numId w:val="24"/>
              </w:numPr>
            </w:pPr>
            <w:r w:rsidRPr="0087738C">
              <w:t>roll forward model</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RIN</w:t>
            </w:r>
          </w:p>
        </w:tc>
        <w:tc>
          <w:tcPr>
            <w:tcW w:w="4353" w:type="dxa"/>
          </w:tcPr>
          <w:p w:rsidR="0087738C" w:rsidRPr="0087738C" w:rsidRDefault="0087738C" w:rsidP="0087738C">
            <w:pPr>
              <w:numPr>
                <w:ilvl w:val="0"/>
                <w:numId w:val="24"/>
              </w:numPr>
            </w:pPr>
            <w:r w:rsidRPr="0087738C">
              <w:t>regulatory information notice</w:t>
            </w:r>
          </w:p>
        </w:tc>
      </w:tr>
      <w:tr w:rsidR="0087738C" w:rsidTr="0087738C">
        <w:tc>
          <w:tcPr>
            <w:tcW w:w="4340" w:type="dxa"/>
          </w:tcPr>
          <w:p w:rsidR="0087738C" w:rsidRPr="0087738C" w:rsidRDefault="0087738C" w:rsidP="0087738C">
            <w:pPr>
              <w:numPr>
                <w:ilvl w:val="0"/>
                <w:numId w:val="24"/>
              </w:numPr>
            </w:pPr>
            <w:r w:rsidRPr="0087738C">
              <w:t>RPP</w:t>
            </w:r>
          </w:p>
        </w:tc>
        <w:tc>
          <w:tcPr>
            <w:tcW w:w="4353" w:type="dxa"/>
          </w:tcPr>
          <w:p w:rsidR="0087738C" w:rsidRPr="0087738C" w:rsidRDefault="0087738C" w:rsidP="0087738C">
            <w:pPr>
              <w:numPr>
                <w:ilvl w:val="0"/>
                <w:numId w:val="24"/>
              </w:numPr>
            </w:pPr>
            <w:r w:rsidRPr="0087738C">
              <w:t>revenue and pricing principles</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SLCAPM</w:t>
            </w:r>
          </w:p>
        </w:tc>
        <w:tc>
          <w:tcPr>
            <w:tcW w:w="4353" w:type="dxa"/>
          </w:tcPr>
          <w:p w:rsidR="0087738C" w:rsidRPr="0087738C" w:rsidRDefault="0087738C" w:rsidP="0087738C">
            <w:pPr>
              <w:numPr>
                <w:ilvl w:val="0"/>
                <w:numId w:val="24"/>
              </w:numPr>
            </w:pPr>
            <w:r w:rsidRPr="0087738C">
              <w:t>Sharpe-Lintner capital asset pricing model</w:t>
            </w:r>
          </w:p>
        </w:tc>
      </w:tr>
      <w:tr w:rsidR="0087738C" w:rsidTr="0087738C">
        <w:tc>
          <w:tcPr>
            <w:tcW w:w="4340" w:type="dxa"/>
          </w:tcPr>
          <w:p w:rsidR="0087738C" w:rsidRPr="0087738C" w:rsidRDefault="0087738C" w:rsidP="0087738C">
            <w:pPr>
              <w:numPr>
                <w:ilvl w:val="0"/>
                <w:numId w:val="24"/>
              </w:numPr>
            </w:pPr>
            <w:r w:rsidRPr="0087738C">
              <w:t>STTM</w:t>
            </w:r>
          </w:p>
        </w:tc>
        <w:tc>
          <w:tcPr>
            <w:tcW w:w="4353" w:type="dxa"/>
          </w:tcPr>
          <w:p w:rsidR="0087738C" w:rsidRPr="0087738C" w:rsidRDefault="0087738C" w:rsidP="0087738C">
            <w:r w:rsidRPr="0087738C">
              <w:t>Short Term Trading Market</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TAB</w:t>
            </w:r>
          </w:p>
        </w:tc>
        <w:tc>
          <w:tcPr>
            <w:tcW w:w="4353" w:type="dxa"/>
          </w:tcPr>
          <w:p w:rsidR="0087738C" w:rsidRPr="0087738C" w:rsidRDefault="0087738C" w:rsidP="0087738C">
            <w:r w:rsidRPr="0087738C">
              <w:t>Tax asset base</w:t>
            </w:r>
          </w:p>
        </w:tc>
      </w:tr>
      <w:tr w:rsidR="0087738C" w:rsidTr="0087738C">
        <w:tc>
          <w:tcPr>
            <w:tcW w:w="4340" w:type="dxa"/>
          </w:tcPr>
          <w:p w:rsidR="0087738C" w:rsidRPr="0087738C" w:rsidRDefault="0087738C" w:rsidP="0087738C">
            <w:pPr>
              <w:numPr>
                <w:ilvl w:val="0"/>
                <w:numId w:val="24"/>
              </w:numPr>
            </w:pPr>
            <w:r w:rsidRPr="0087738C">
              <w:t>UAFG</w:t>
            </w:r>
          </w:p>
        </w:tc>
        <w:tc>
          <w:tcPr>
            <w:tcW w:w="4353" w:type="dxa"/>
          </w:tcPr>
          <w:p w:rsidR="0087738C" w:rsidRPr="0087738C" w:rsidRDefault="0087738C" w:rsidP="0087738C">
            <w:r w:rsidRPr="0087738C">
              <w:t>Unaccounted for gas</w:t>
            </w:r>
          </w:p>
        </w:tc>
      </w:tr>
      <w:tr w:rsidR="0087738C" w:rsidTr="0087738C">
        <w:trPr>
          <w:cnfStyle w:val="000000010000" w:firstRow="0" w:lastRow="0" w:firstColumn="0" w:lastColumn="0" w:oddVBand="0" w:evenVBand="0" w:oddHBand="0" w:evenHBand="1" w:firstRowFirstColumn="0" w:firstRowLastColumn="0" w:lastRowFirstColumn="0" w:lastRowLastColumn="0"/>
        </w:trPr>
        <w:tc>
          <w:tcPr>
            <w:tcW w:w="4340" w:type="dxa"/>
          </w:tcPr>
          <w:p w:rsidR="0087738C" w:rsidRPr="0087738C" w:rsidRDefault="0087738C" w:rsidP="0087738C">
            <w:pPr>
              <w:numPr>
                <w:ilvl w:val="0"/>
                <w:numId w:val="24"/>
              </w:numPr>
            </w:pPr>
            <w:r w:rsidRPr="0087738C">
              <w:t>WACC</w:t>
            </w:r>
          </w:p>
        </w:tc>
        <w:tc>
          <w:tcPr>
            <w:tcW w:w="4353" w:type="dxa"/>
          </w:tcPr>
          <w:p w:rsidR="0087738C" w:rsidRPr="0087738C" w:rsidRDefault="0087738C" w:rsidP="0087738C">
            <w:pPr>
              <w:numPr>
                <w:ilvl w:val="0"/>
                <w:numId w:val="24"/>
              </w:numPr>
            </w:pPr>
            <w:r w:rsidRPr="0087738C">
              <w:t>weighted average cost of capital</w:t>
            </w:r>
          </w:p>
        </w:tc>
      </w:tr>
      <w:tr w:rsidR="0087738C" w:rsidTr="0087738C">
        <w:tc>
          <w:tcPr>
            <w:tcW w:w="4340" w:type="dxa"/>
          </w:tcPr>
          <w:p w:rsidR="0087738C" w:rsidRPr="0087738C" w:rsidRDefault="0087738C" w:rsidP="0087738C">
            <w:pPr>
              <w:numPr>
                <w:ilvl w:val="0"/>
                <w:numId w:val="24"/>
              </w:numPr>
            </w:pPr>
            <w:r w:rsidRPr="0087738C">
              <w:t>WPI</w:t>
            </w:r>
          </w:p>
        </w:tc>
        <w:tc>
          <w:tcPr>
            <w:tcW w:w="4353" w:type="dxa"/>
          </w:tcPr>
          <w:p w:rsidR="0087738C" w:rsidRPr="0087738C" w:rsidRDefault="0087738C" w:rsidP="0087738C">
            <w:r w:rsidRPr="0087738C">
              <w:t>Wage Price Index</w:t>
            </w:r>
          </w:p>
        </w:tc>
      </w:tr>
    </w:tbl>
    <w:p w:rsidR="00DE563D" w:rsidRDefault="001F17A5" w:rsidP="00D33F8F">
      <w:pPr>
        <w:pStyle w:val="Heading1"/>
      </w:pPr>
      <w:bookmarkStart w:id="13" w:name="_Toc485199964"/>
      <w:bookmarkStart w:id="14" w:name="_Toc485200098"/>
      <w:bookmarkStart w:id="15" w:name="_Toc485199967"/>
      <w:bookmarkStart w:id="16" w:name="_Toc485200101"/>
      <w:bookmarkStart w:id="17" w:name="_Toc485199970"/>
      <w:bookmarkStart w:id="18" w:name="_Toc485200104"/>
      <w:bookmarkStart w:id="19" w:name="_Toc485199973"/>
      <w:bookmarkStart w:id="20" w:name="_Toc485200107"/>
      <w:bookmarkStart w:id="21" w:name="_Toc485199976"/>
      <w:bookmarkStart w:id="22" w:name="_Toc485200110"/>
      <w:bookmarkStart w:id="23" w:name="_Toc485199979"/>
      <w:bookmarkStart w:id="24" w:name="_Toc485200113"/>
      <w:bookmarkStart w:id="25" w:name="_Toc485199982"/>
      <w:bookmarkStart w:id="26" w:name="_Toc485200116"/>
      <w:bookmarkStart w:id="27" w:name="_Toc485199985"/>
      <w:bookmarkStart w:id="28" w:name="_Toc485200119"/>
      <w:bookmarkStart w:id="29" w:name="_Toc485199988"/>
      <w:bookmarkStart w:id="30" w:name="_Toc485200122"/>
      <w:bookmarkStart w:id="31" w:name="_Toc485199991"/>
      <w:bookmarkStart w:id="32" w:name="_Toc485200125"/>
      <w:bookmarkStart w:id="33" w:name="_Toc485199994"/>
      <w:bookmarkStart w:id="34" w:name="_Toc485200128"/>
      <w:bookmarkStart w:id="35" w:name="_Toc485199997"/>
      <w:bookmarkStart w:id="36" w:name="_Toc485200131"/>
      <w:bookmarkStart w:id="37" w:name="_Toc485200000"/>
      <w:bookmarkStart w:id="38" w:name="_Toc485200134"/>
      <w:bookmarkStart w:id="39" w:name="_Toc485200003"/>
      <w:bookmarkStart w:id="40" w:name="_Toc485200137"/>
      <w:bookmarkStart w:id="41" w:name="_Toc485200006"/>
      <w:bookmarkStart w:id="42" w:name="_Toc485200140"/>
      <w:bookmarkStart w:id="43" w:name="_Toc485200009"/>
      <w:bookmarkStart w:id="44" w:name="_Toc485200143"/>
      <w:bookmarkStart w:id="45" w:name="_Toc485200012"/>
      <w:bookmarkStart w:id="46" w:name="_Toc485200146"/>
      <w:bookmarkStart w:id="47" w:name="_Toc485200015"/>
      <w:bookmarkStart w:id="48" w:name="_Toc485200149"/>
      <w:bookmarkStart w:id="49" w:name="_Toc485200018"/>
      <w:bookmarkStart w:id="50" w:name="_Toc485200152"/>
      <w:bookmarkStart w:id="51" w:name="_Toc485200021"/>
      <w:bookmarkStart w:id="52" w:name="_Toc485200155"/>
      <w:bookmarkStart w:id="53" w:name="_Toc485200024"/>
      <w:bookmarkStart w:id="54" w:name="_Toc485200158"/>
      <w:bookmarkStart w:id="55" w:name="_Toc485200027"/>
      <w:bookmarkStart w:id="56" w:name="_Toc485200161"/>
      <w:bookmarkStart w:id="57" w:name="_Toc485200030"/>
      <w:bookmarkStart w:id="58" w:name="_Toc485200164"/>
      <w:bookmarkStart w:id="59" w:name="_Toc485200033"/>
      <w:bookmarkStart w:id="60" w:name="_Toc485200167"/>
      <w:bookmarkStart w:id="61" w:name="_Toc485200036"/>
      <w:bookmarkStart w:id="62" w:name="_Toc485200170"/>
      <w:bookmarkStart w:id="63" w:name="_Toc485200039"/>
      <w:bookmarkStart w:id="64" w:name="_Toc485200173"/>
      <w:bookmarkStart w:id="65" w:name="_Toc485200042"/>
      <w:bookmarkStart w:id="66" w:name="_Toc485200176"/>
      <w:bookmarkStart w:id="67" w:name="_Toc485200045"/>
      <w:bookmarkStart w:id="68" w:name="_Toc485200179"/>
      <w:bookmarkStart w:id="69" w:name="_Toc416278154"/>
      <w:bookmarkStart w:id="70" w:name="_Toc416346517"/>
      <w:bookmarkStart w:id="71" w:name="_Toc416278157"/>
      <w:bookmarkStart w:id="72" w:name="_Toc416346520"/>
      <w:bookmarkStart w:id="73" w:name="_Toc416278160"/>
      <w:bookmarkStart w:id="74" w:name="_Toc416346523"/>
      <w:bookmarkStart w:id="75" w:name="_Toc416278163"/>
      <w:bookmarkStart w:id="76" w:name="_Toc416346526"/>
      <w:bookmarkStart w:id="77" w:name="_Toc416278166"/>
      <w:bookmarkStart w:id="78" w:name="_Toc416346529"/>
      <w:bookmarkStart w:id="79" w:name="_Toc416278169"/>
      <w:bookmarkStart w:id="80" w:name="_Toc416346532"/>
      <w:bookmarkStart w:id="81" w:name="_Toc416278172"/>
      <w:bookmarkStart w:id="82" w:name="_Toc416346535"/>
      <w:bookmarkStart w:id="83" w:name="_Toc416278175"/>
      <w:bookmarkStart w:id="84" w:name="_Toc416346538"/>
      <w:bookmarkStart w:id="85" w:name="_Toc416278178"/>
      <w:bookmarkStart w:id="86" w:name="_Toc416346541"/>
      <w:bookmarkStart w:id="87" w:name="_Toc416278181"/>
      <w:bookmarkStart w:id="88" w:name="_Toc416346544"/>
      <w:bookmarkStart w:id="89" w:name="_Toc416278184"/>
      <w:bookmarkStart w:id="90" w:name="_Toc416346547"/>
      <w:bookmarkStart w:id="91" w:name="_Toc416278187"/>
      <w:bookmarkStart w:id="92" w:name="_Toc416346550"/>
      <w:bookmarkStart w:id="93" w:name="_Toc416278190"/>
      <w:bookmarkStart w:id="94" w:name="_Toc416346553"/>
      <w:bookmarkStart w:id="95" w:name="_Toc416278193"/>
      <w:bookmarkStart w:id="96" w:name="_Toc416346556"/>
      <w:bookmarkStart w:id="97" w:name="_Toc416278196"/>
      <w:bookmarkStart w:id="98" w:name="_Toc416346559"/>
      <w:bookmarkStart w:id="99" w:name="_Toc416278199"/>
      <w:bookmarkStart w:id="100" w:name="_Toc416346562"/>
      <w:bookmarkStart w:id="101" w:name="_Toc416278202"/>
      <w:bookmarkStart w:id="102" w:name="_Toc416346565"/>
      <w:bookmarkStart w:id="103" w:name="_Toc416278205"/>
      <w:bookmarkStart w:id="104" w:name="_Toc416346568"/>
      <w:bookmarkStart w:id="105" w:name="_Toc416278208"/>
      <w:bookmarkStart w:id="106" w:name="_Toc416346571"/>
      <w:bookmarkStart w:id="107" w:name="_Toc416278211"/>
      <w:bookmarkStart w:id="108" w:name="_Toc416346574"/>
      <w:bookmarkStart w:id="109" w:name="_Toc416278214"/>
      <w:bookmarkStart w:id="110" w:name="_Toc416346577"/>
      <w:bookmarkStart w:id="111" w:name="_Toc416278217"/>
      <w:bookmarkStart w:id="112" w:name="_Toc416346580"/>
      <w:bookmarkStart w:id="113" w:name="_Toc416278220"/>
      <w:bookmarkStart w:id="114" w:name="_Toc416346583"/>
      <w:bookmarkStart w:id="115" w:name="_Toc416278223"/>
      <w:bookmarkStart w:id="116" w:name="_Toc416346586"/>
      <w:bookmarkStart w:id="117" w:name="_Toc416278226"/>
      <w:bookmarkStart w:id="118" w:name="_Toc416346589"/>
      <w:bookmarkStart w:id="119" w:name="_Toc416278229"/>
      <w:bookmarkStart w:id="120" w:name="_Toc416346592"/>
      <w:bookmarkStart w:id="121" w:name="_Toc416278232"/>
      <w:bookmarkStart w:id="122" w:name="_Toc416346595"/>
      <w:bookmarkStart w:id="123" w:name="_Toc416278235"/>
      <w:bookmarkStart w:id="124" w:name="_Toc416346598"/>
      <w:bookmarkStart w:id="125" w:name="_Toc416278238"/>
      <w:bookmarkStart w:id="126" w:name="_Toc416346601"/>
      <w:bookmarkStart w:id="127" w:name="_Toc48685550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Non-</w:t>
      </w:r>
      <w:r w:rsidR="00D33F8F">
        <w:t>tariff components</w:t>
      </w:r>
      <w:bookmarkEnd w:id="127"/>
    </w:p>
    <w:p w:rsidR="00366C98" w:rsidRDefault="00D74DB8" w:rsidP="00D74DB8">
      <w:r>
        <w:t xml:space="preserve">This attachment contains our draft decisions and reasons on the non-tariff components of APA's </w:t>
      </w:r>
      <w:r w:rsidRPr="00F5072A">
        <w:t xml:space="preserve">access arrangement proposal </w:t>
      </w:r>
      <w:r>
        <w:t>for the Victorian Transmission System (VTS) for 2018–22</w:t>
      </w:r>
    </w:p>
    <w:p w:rsidR="00D74DB8" w:rsidRDefault="00D74DB8" w:rsidP="00D74DB8">
      <w:r>
        <w:t>The non-tariff components are as follows:</w:t>
      </w:r>
    </w:p>
    <w:p w:rsidR="00D74DB8" w:rsidRPr="00D74DB8" w:rsidRDefault="00D74DB8" w:rsidP="00D74DB8">
      <w:pPr>
        <w:pStyle w:val="AERbulletlistfirststyle"/>
      </w:pPr>
      <w:r>
        <w:t xml:space="preserve">the </w:t>
      </w:r>
      <w:r w:rsidRPr="00D74DB8">
        <w:t>terms and conditions for supply of the reference service</w:t>
      </w:r>
    </w:p>
    <w:p w:rsidR="00D74DB8" w:rsidRPr="00D74DB8" w:rsidRDefault="00D74DB8" w:rsidP="00D74DB8">
      <w:pPr>
        <w:pStyle w:val="AERbulletlistfirststyle"/>
      </w:pPr>
      <w:r w:rsidRPr="000707C1">
        <w:t>queuing</w:t>
      </w:r>
      <w:r w:rsidRPr="00D74DB8">
        <w:t xml:space="preserve"> requirements—a process or mechanism for establishing an order of priority between prospective users of spare and/or developable capacity  </w:t>
      </w:r>
    </w:p>
    <w:p w:rsidR="00D74DB8" w:rsidRPr="00D74DB8" w:rsidRDefault="00D74DB8" w:rsidP="00D74DB8">
      <w:pPr>
        <w:pStyle w:val="AERbulletlistfirststyle"/>
      </w:pPr>
      <w:r w:rsidRPr="000707C1">
        <w:t>extension and expansion requirements—the method for determining whether an extension or exp</w:t>
      </w:r>
      <w:r w:rsidRPr="00D74DB8">
        <w:t>ansion is a part of the covered pipeline and the effect this will have on tariffs</w:t>
      </w:r>
    </w:p>
    <w:p w:rsidR="00D74DB8" w:rsidRPr="00D74DB8" w:rsidRDefault="00D74DB8" w:rsidP="00D74DB8">
      <w:pPr>
        <w:pStyle w:val="AERbulletlistfirststyle"/>
      </w:pPr>
      <w:r w:rsidRPr="000707C1">
        <w:t xml:space="preserve">capacity trading requirements—how users may assign contracted capacity and change delivery and receipt points </w:t>
      </w:r>
    </w:p>
    <w:p w:rsidR="00D74DB8" w:rsidRPr="00D74DB8" w:rsidRDefault="00D74DB8" w:rsidP="00D74DB8">
      <w:pPr>
        <w:pStyle w:val="AERbulletlistfirststyle"/>
      </w:pPr>
      <w:r>
        <w:t>provision for receipt and delivery point changes, and</w:t>
      </w:r>
    </w:p>
    <w:p w:rsidR="00D74DB8" w:rsidRPr="00D74DB8" w:rsidRDefault="00D74DB8" w:rsidP="00D74DB8">
      <w:pPr>
        <w:pStyle w:val="AERbulletlistfirststyle"/>
      </w:pPr>
      <w:proofErr w:type="gramStart"/>
      <w:r>
        <w:t>a</w:t>
      </w:r>
      <w:proofErr w:type="gramEnd"/>
      <w:r>
        <w:t xml:space="preserve"> </w:t>
      </w:r>
      <w:r w:rsidRPr="00D74DB8">
        <w:t>review submission date and a revision commencement date.</w:t>
      </w:r>
    </w:p>
    <w:p w:rsidR="00132D43" w:rsidRDefault="00132D43" w:rsidP="00132D43">
      <w:pPr>
        <w:pStyle w:val="Heading2"/>
      </w:pPr>
      <w:bookmarkStart w:id="128" w:name="_Toc486855502"/>
      <w:r>
        <w:t>Draft decision</w:t>
      </w:r>
      <w:bookmarkEnd w:id="128"/>
    </w:p>
    <w:p w:rsidR="00132D43" w:rsidRDefault="00366C98" w:rsidP="00132D43">
      <w:r>
        <w:t xml:space="preserve">Our draft decision is to accept </w:t>
      </w:r>
      <w:r w:rsidR="003E7812">
        <w:t xml:space="preserve">all of </w:t>
      </w:r>
      <w:r>
        <w:t>APA's proposed non-tariff components.</w:t>
      </w:r>
    </w:p>
    <w:p w:rsidR="00132D43" w:rsidRDefault="00340762" w:rsidP="00132D43">
      <w:pPr>
        <w:pStyle w:val="Heading2"/>
      </w:pPr>
      <w:bookmarkStart w:id="129" w:name="_Toc486855503"/>
      <w:r>
        <w:t>APA</w:t>
      </w:r>
      <w:r w:rsidR="00132D43">
        <w:t>’s proposal</w:t>
      </w:r>
      <w:bookmarkEnd w:id="129"/>
    </w:p>
    <w:p w:rsidR="00BC6D25" w:rsidRDefault="00BC6D25" w:rsidP="00132D43">
      <w:r>
        <w:t>APA</w:t>
      </w:r>
      <w:r w:rsidR="001F17A5">
        <w:t xml:space="preserve"> has proposed </w:t>
      </w:r>
      <w:r w:rsidR="008E11FF">
        <w:t xml:space="preserve">very </w:t>
      </w:r>
      <w:r w:rsidR="001F17A5">
        <w:t>minor changes to the non-tariff components</w:t>
      </w:r>
      <w:r w:rsidR="00464599">
        <w:t xml:space="preserve"> of its access arrangement</w:t>
      </w:r>
      <w:r>
        <w:t>.</w:t>
      </w:r>
      <w:r w:rsidR="001F17A5">
        <w:t xml:space="preserve"> APA </w:t>
      </w:r>
      <w:r w:rsidR="00135151">
        <w:t>note</w:t>
      </w:r>
      <w:r w:rsidR="0087738C">
        <w:t>d</w:t>
      </w:r>
      <w:r w:rsidR="00135151">
        <w:t xml:space="preserve"> substantive revisions were approved for the last access arrangement</w:t>
      </w:r>
      <w:r w:rsidR="008E11FF">
        <w:t xml:space="preserve">, </w:t>
      </w:r>
      <w:r w:rsidR="00135151">
        <w:t xml:space="preserve">and </w:t>
      </w:r>
      <w:r w:rsidR="008E11FF">
        <w:t>submit</w:t>
      </w:r>
      <w:r w:rsidR="0087738C">
        <w:t>ted</w:t>
      </w:r>
      <w:r w:rsidR="008E11FF">
        <w:t xml:space="preserve"> </w:t>
      </w:r>
      <w:r w:rsidR="00135151">
        <w:t xml:space="preserve">that limiting the scope of revisions is desirable </w:t>
      </w:r>
      <w:r w:rsidR="008E11FF">
        <w:t xml:space="preserve">for stability particularly </w:t>
      </w:r>
      <w:r w:rsidR="00135151">
        <w:t>in light of possible changes to the operation of the Declared Wholesale Gas Market (DWGM) during the access arrangement period.</w:t>
      </w:r>
      <w:r w:rsidR="00135151">
        <w:rPr>
          <w:rStyle w:val="FootnoteReference"/>
        </w:rPr>
        <w:footnoteReference w:id="1"/>
      </w:r>
    </w:p>
    <w:p w:rsidR="003E7812" w:rsidRDefault="003E7812" w:rsidP="00132D43">
      <w:r>
        <w:t>We received no submissions on the non-tariff components of APA's access arrangement proposal</w:t>
      </w:r>
      <w:r w:rsidR="0087738C">
        <w:t xml:space="preserve"> for the VTS</w:t>
      </w:r>
      <w:r>
        <w:t>.</w:t>
      </w:r>
    </w:p>
    <w:p w:rsidR="00132D43" w:rsidRDefault="00132D43" w:rsidP="00132D43">
      <w:pPr>
        <w:pStyle w:val="Heading2"/>
      </w:pPr>
      <w:bookmarkStart w:id="130" w:name="_Toc486855504"/>
      <w:r>
        <w:t>Assessment approach</w:t>
      </w:r>
      <w:bookmarkEnd w:id="130"/>
    </w:p>
    <w:p w:rsidR="00132D43" w:rsidRDefault="00E20DCB" w:rsidP="00132D43">
      <w:r w:rsidRPr="00E20DCB">
        <w:t xml:space="preserve">The </w:t>
      </w:r>
      <w:r w:rsidR="00852C29">
        <w:t xml:space="preserve">NGR set out the </w:t>
      </w:r>
      <w:r w:rsidRPr="00E20DCB">
        <w:t xml:space="preserve">requirements for the non-tariff components. </w:t>
      </w:r>
      <w:r w:rsidR="00852C29">
        <w:t>These include terms and conditions for the provision of reference services (r</w:t>
      </w:r>
      <w:r w:rsidRPr="00E20DCB">
        <w:t>ule 48</w:t>
      </w:r>
      <w:r w:rsidR="00852C29">
        <w:t>)</w:t>
      </w:r>
      <w:r w:rsidRPr="00E20DCB">
        <w:t xml:space="preserve"> </w:t>
      </w:r>
      <w:r w:rsidR="00852C29">
        <w:t xml:space="preserve">and </w:t>
      </w:r>
      <w:r w:rsidR="009700FC">
        <w:t xml:space="preserve">provisions </w:t>
      </w:r>
      <w:r w:rsidR="00852C29">
        <w:t>for</w:t>
      </w:r>
      <w:r w:rsidR="00852C29" w:rsidRPr="00E20DCB">
        <w:t xml:space="preserve"> </w:t>
      </w:r>
      <w:r w:rsidRPr="00E20DCB">
        <w:t>the review submission and commencement date</w:t>
      </w:r>
      <w:r w:rsidR="00852C29">
        <w:t xml:space="preserve"> (</w:t>
      </w:r>
      <w:r w:rsidR="00852C29" w:rsidRPr="00E20DCB">
        <w:t>rules 49 and 50</w:t>
      </w:r>
      <w:r w:rsidR="00852C29">
        <w:t>)</w:t>
      </w:r>
      <w:r w:rsidRPr="00E20DCB">
        <w:t xml:space="preserve">. The </w:t>
      </w:r>
      <w:r w:rsidR="00852C29">
        <w:t xml:space="preserve">requirements for the </w:t>
      </w:r>
      <w:r w:rsidRPr="00E20DCB">
        <w:t xml:space="preserve">remaining non-tariff components are </w:t>
      </w:r>
      <w:r w:rsidR="00852C29">
        <w:t>set out</w:t>
      </w:r>
      <w:r w:rsidRPr="00E20DCB">
        <w:t xml:space="preserve"> in Division 2 of Part 10.</w:t>
      </w:r>
      <w:r w:rsidR="003E7812">
        <w:t xml:space="preserve"> Our assessment approach for each non-tariff component is discussed further under the relevant subheading below.</w:t>
      </w:r>
    </w:p>
    <w:p w:rsidR="00132D43" w:rsidRDefault="00132D43" w:rsidP="00132D43">
      <w:pPr>
        <w:pStyle w:val="Heading2"/>
      </w:pPr>
      <w:bookmarkStart w:id="131" w:name="_Toc486855505"/>
      <w:r>
        <w:t>Reasons for draft decision</w:t>
      </w:r>
      <w:bookmarkEnd w:id="131"/>
    </w:p>
    <w:p w:rsidR="008E3F5B" w:rsidRDefault="008E3F5B" w:rsidP="007D29B1">
      <w:pPr>
        <w:pStyle w:val="Heading3"/>
        <w:ind w:left="720"/>
      </w:pPr>
      <w:bookmarkStart w:id="132" w:name="_Toc486855506"/>
      <w:r>
        <w:t>Terms and conditions</w:t>
      </w:r>
      <w:bookmarkEnd w:id="132"/>
      <w:r>
        <w:t xml:space="preserve"> </w:t>
      </w:r>
    </w:p>
    <w:p w:rsidR="00F16842" w:rsidRPr="002D2E6C" w:rsidRDefault="0050160E" w:rsidP="00F16842">
      <w:r>
        <w:t>The NGR require a</w:t>
      </w:r>
      <w:r w:rsidRPr="0050160E">
        <w:t xml:space="preserve">n access arrangement </w:t>
      </w:r>
      <w:r w:rsidR="00EE12D0">
        <w:t xml:space="preserve">to </w:t>
      </w:r>
      <w:r w:rsidRPr="0050160E">
        <w:t>specify the terms and conditions o</w:t>
      </w:r>
      <w:r w:rsidR="002D2E6C">
        <w:t xml:space="preserve">n which each reference service </w:t>
      </w:r>
      <w:r w:rsidRPr="0050160E">
        <w:t>will be provided.</w:t>
      </w:r>
      <w:r w:rsidR="002D2E6C">
        <w:rPr>
          <w:rStyle w:val="FootnoteReference"/>
        </w:rPr>
        <w:footnoteReference w:id="2"/>
      </w:r>
      <w:r w:rsidR="002D2E6C">
        <w:t xml:space="preserve"> The</w:t>
      </w:r>
      <w:r w:rsidR="00BB7EE9">
        <w:t xml:space="preserve">se must be </w:t>
      </w:r>
      <w:r w:rsidR="002D2E6C">
        <w:t>consistent with the NGO</w:t>
      </w:r>
      <w:r w:rsidR="00F16842">
        <w:t>.</w:t>
      </w:r>
      <w:r w:rsidR="00F16842">
        <w:rPr>
          <w:rStyle w:val="FootnoteReference"/>
        </w:rPr>
        <w:footnoteReference w:id="3"/>
      </w:r>
      <w:r w:rsidR="00F16842">
        <w:t xml:space="preserve"> We </w:t>
      </w:r>
      <w:r w:rsidR="00EE12D0">
        <w:t xml:space="preserve">consider </w:t>
      </w:r>
      <w:r w:rsidR="00F16842">
        <w:t xml:space="preserve">this </w:t>
      </w:r>
      <w:r w:rsidR="00F16842" w:rsidRPr="002D2E6C">
        <w:t xml:space="preserve">requires </w:t>
      </w:r>
      <w:r w:rsidR="00F16842">
        <w:t xml:space="preserve">us to </w:t>
      </w:r>
      <w:r w:rsidR="00F16842" w:rsidRPr="002D2E6C">
        <w:t>assess and balance the competing interests of the Service Provid</w:t>
      </w:r>
      <w:r w:rsidR="00F16842">
        <w:t>er, Network Users and consumers, in particular</w:t>
      </w:r>
      <w:r w:rsidR="00F16842" w:rsidRPr="002D2E6C">
        <w:t xml:space="preserve">: </w:t>
      </w:r>
    </w:p>
    <w:p w:rsidR="00F16842" w:rsidRPr="002D2E6C" w:rsidRDefault="00F16842" w:rsidP="00F16842">
      <w:pPr>
        <w:pStyle w:val="AERbulletlistfirststyle"/>
      </w:pPr>
      <w:r w:rsidRPr="002D2E6C">
        <w:t>the</w:t>
      </w:r>
      <w:r>
        <w:t xml:space="preserve"> allocation of risk, where we consider the NGO is generally best served where a risk is borne by the party best able to manage it; and </w:t>
      </w:r>
    </w:p>
    <w:p w:rsidR="00FA63D4" w:rsidRDefault="00F16842" w:rsidP="00F16842">
      <w:pPr>
        <w:pStyle w:val="AERbulletlistfirststyle"/>
      </w:pPr>
      <w:proofErr w:type="gramStart"/>
      <w:r w:rsidRPr="002D2E6C">
        <w:t>the</w:t>
      </w:r>
      <w:proofErr w:type="gramEnd"/>
      <w:r w:rsidRPr="002D2E6C">
        <w:t xml:space="preserve"> </w:t>
      </w:r>
      <w:r>
        <w:t xml:space="preserve">need to </w:t>
      </w:r>
      <w:r w:rsidR="00DF5FBD">
        <w:t xml:space="preserve">ensure clarity and certainty, while avoiding </w:t>
      </w:r>
      <w:r>
        <w:t xml:space="preserve">an unduly </w:t>
      </w:r>
      <w:r w:rsidRPr="002D2E6C">
        <w:t>prescriptive</w:t>
      </w:r>
      <w:r w:rsidR="00DF5FBD">
        <w:t xml:space="preserve"> approach on commercial matters.</w:t>
      </w:r>
    </w:p>
    <w:p w:rsidR="00514018" w:rsidRDefault="00FA5DF2" w:rsidP="00FA63D4">
      <w:r>
        <w:t xml:space="preserve">Under the </w:t>
      </w:r>
      <w:r w:rsidR="00EC5D41">
        <w:t>Victoria</w:t>
      </w:r>
      <w:r>
        <w:t xml:space="preserve">n wholesale </w:t>
      </w:r>
      <w:r w:rsidR="00EC5D41">
        <w:t>gas market arrangements,</w:t>
      </w:r>
      <w:r>
        <w:t xml:space="preserve"> APA supplies the reference service to </w:t>
      </w:r>
      <w:r w:rsidR="0087738C" w:rsidRPr="0087738C">
        <w:t>the Australian Energy Market Operator (</w:t>
      </w:r>
      <w:r>
        <w:t>AE</w:t>
      </w:r>
      <w:r w:rsidR="0087738C">
        <w:t>M</w:t>
      </w:r>
      <w:r>
        <w:t>O</w:t>
      </w:r>
      <w:r w:rsidR="0087738C">
        <w:t>)</w:t>
      </w:r>
      <w:r>
        <w:t xml:space="preserve">, which operates the </w:t>
      </w:r>
      <w:r w:rsidR="00EC5D41">
        <w:t>VTS in accordance with the Declared Wholesale Gas Market Rules</w:t>
      </w:r>
      <w:r w:rsidR="00514018">
        <w:t>.</w:t>
      </w:r>
      <w:r w:rsidR="00EC5D41">
        <w:rPr>
          <w:rStyle w:val="FootnoteReference"/>
        </w:rPr>
        <w:footnoteReference w:id="4"/>
      </w:r>
      <w:r w:rsidR="00514018">
        <w:t xml:space="preserve"> </w:t>
      </w:r>
      <w:r>
        <w:t xml:space="preserve">Shippers </w:t>
      </w:r>
      <w:r w:rsidR="00EE12D0">
        <w:t>on</w:t>
      </w:r>
      <w:r>
        <w:t xml:space="preserve"> the VTS deal directly with AE</w:t>
      </w:r>
      <w:r w:rsidR="00464599">
        <w:t>M</w:t>
      </w:r>
      <w:r>
        <w:t xml:space="preserve">O, while their </w:t>
      </w:r>
      <w:r w:rsidR="00EE12D0">
        <w:t>relationship with</w:t>
      </w:r>
      <w:r>
        <w:t xml:space="preserve"> </w:t>
      </w:r>
      <w:r w:rsidR="00EE12D0">
        <w:t>APA</w:t>
      </w:r>
      <w:r w:rsidR="00514018">
        <w:t xml:space="preserve"> </w:t>
      </w:r>
      <w:r>
        <w:t>(</w:t>
      </w:r>
      <w:r w:rsidR="00EE12D0">
        <w:t>as regards</w:t>
      </w:r>
      <w:r>
        <w:t xml:space="preserve"> payment</w:t>
      </w:r>
      <w:r w:rsidR="00412D63">
        <w:t xml:space="preserve"> and </w:t>
      </w:r>
      <w:r w:rsidR="00852C29">
        <w:t>other such matters</w:t>
      </w:r>
      <w:r>
        <w:t xml:space="preserve">) </w:t>
      </w:r>
      <w:r w:rsidR="00EE12D0">
        <w:t>is reflected</w:t>
      </w:r>
      <w:r w:rsidR="00514018">
        <w:t xml:space="preserve"> in </w:t>
      </w:r>
      <w:r w:rsidR="00FA63D4" w:rsidRPr="00FA63D4">
        <w:t xml:space="preserve">the Transmission Payment Deed in Appendix F to </w:t>
      </w:r>
      <w:r w:rsidR="00EE12D0">
        <w:t>the</w:t>
      </w:r>
      <w:r w:rsidR="00FA63D4" w:rsidRPr="00FA63D4">
        <w:t xml:space="preserve"> access arrangement proposal. </w:t>
      </w:r>
    </w:p>
    <w:p w:rsidR="0050160E" w:rsidRDefault="00412D63" w:rsidP="008E3F5B">
      <w:r>
        <w:t>The Transmission Payment Deed was refined considerably</w:t>
      </w:r>
      <w:r w:rsidR="004D609E">
        <w:t xml:space="preserve"> in the approval process for the 2013-17 VTS Access Arrangement, </w:t>
      </w:r>
      <w:r w:rsidR="00EE12D0">
        <w:t>following</w:t>
      </w:r>
      <w:r w:rsidR="004D609E">
        <w:t xml:space="preserve"> user </w:t>
      </w:r>
      <w:r w:rsidR="00EE12D0">
        <w:t>submissions</w:t>
      </w:r>
      <w:r w:rsidR="004D609E">
        <w:t xml:space="preserve"> about such matters as billing and payment, prudential requirements, termination, assignment and confidentiality.</w:t>
      </w:r>
      <w:r w:rsidR="004D609E">
        <w:rPr>
          <w:rStyle w:val="FootnoteReference"/>
        </w:rPr>
        <w:footnoteReference w:id="5"/>
      </w:r>
      <w:r w:rsidR="004D609E">
        <w:t xml:space="preserve"> </w:t>
      </w:r>
      <w:r w:rsidR="00247B1D">
        <w:t xml:space="preserve">The proposed Transmission Payment Deed is </w:t>
      </w:r>
      <w:r w:rsidR="00AD07B3">
        <w:t xml:space="preserve">substantially </w:t>
      </w:r>
      <w:r w:rsidR="00247B1D">
        <w:t>unchanged</w:t>
      </w:r>
      <w:r w:rsidR="00AD07B3">
        <w:t xml:space="preserve">, </w:t>
      </w:r>
      <w:r w:rsidR="004D609E">
        <w:t>and we remain satisfied it meets the requirements of the NGO</w:t>
      </w:r>
      <w:r w:rsidR="00EE12D0">
        <w:t xml:space="preserve"> as discussed</w:t>
      </w:r>
      <w:r w:rsidR="004D609E">
        <w:t xml:space="preserve"> above.</w:t>
      </w:r>
      <w:r w:rsidR="00104ED6">
        <w:t xml:space="preserve"> </w:t>
      </w:r>
      <w:r w:rsidR="004D609E">
        <w:t xml:space="preserve">The only </w:t>
      </w:r>
      <w:r w:rsidR="00AD07B3">
        <w:t xml:space="preserve">change </w:t>
      </w:r>
      <w:r w:rsidR="004D609E">
        <w:t xml:space="preserve">is </w:t>
      </w:r>
      <w:r w:rsidR="00AD07B3">
        <w:t>to allow either party to disclose confidential information to comply with the listing rules of a recognised stock exchange</w:t>
      </w:r>
      <w:r w:rsidR="00104ED6">
        <w:t xml:space="preserve">, which we consider is </w:t>
      </w:r>
      <w:r w:rsidR="000C1081">
        <w:t>acceptable</w:t>
      </w:r>
      <w:r w:rsidR="00AD07B3">
        <w:t>.</w:t>
      </w:r>
      <w:r w:rsidR="00AD07B3">
        <w:rPr>
          <w:rStyle w:val="FootnoteReference"/>
        </w:rPr>
        <w:footnoteReference w:id="6"/>
      </w:r>
    </w:p>
    <w:p w:rsidR="008E3F5B" w:rsidRDefault="008E3F5B" w:rsidP="007D29B1">
      <w:pPr>
        <w:pStyle w:val="Heading3"/>
        <w:ind w:left="720"/>
      </w:pPr>
      <w:bookmarkStart w:id="133" w:name="_Toc486855507"/>
      <w:r>
        <w:t>Queuing</w:t>
      </w:r>
      <w:bookmarkEnd w:id="133"/>
    </w:p>
    <w:p w:rsidR="00B1041D" w:rsidRPr="00B1041D" w:rsidRDefault="0099775A" w:rsidP="00663CCA">
      <w:r w:rsidRPr="000809E5">
        <w:t xml:space="preserve">Queuing requirements establish the priority </w:t>
      </w:r>
      <w:r w:rsidR="00663CCA">
        <w:t>of</w:t>
      </w:r>
      <w:r w:rsidRPr="000809E5">
        <w:t xml:space="preserve"> a prospective user, against other prospective user</w:t>
      </w:r>
      <w:r w:rsidR="00663CCA">
        <w:t>s</w:t>
      </w:r>
      <w:r w:rsidRPr="000809E5">
        <w:t xml:space="preserve">, to access spare </w:t>
      </w:r>
      <w:r w:rsidR="00663CCA">
        <w:t xml:space="preserve">or </w:t>
      </w:r>
      <w:r w:rsidRPr="000809E5">
        <w:t xml:space="preserve">developable </w:t>
      </w:r>
      <w:r w:rsidR="00663CCA">
        <w:t xml:space="preserve">pipeline </w:t>
      </w:r>
      <w:r w:rsidRPr="000809E5">
        <w:t xml:space="preserve">capacity. </w:t>
      </w:r>
      <w:r w:rsidR="00663CCA">
        <w:t>These</w:t>
      </w:r>
      <w:r w:rsidR="00663CCA" w:rsidRPr="000809E5">
        <w:t xml:space="preserve"> must establish a process or mechanism (or both) for establishing an order of priority between prospective users of spare or developable capacity (or both) in which all prospective users (whether associates of, or unrelated to, the service provider) are treated on a fair and equal basis.</w:t>
      </w:r>
      <w:r w:rsidR="00663CCA">
        <w:t xml:space="preserve"> The </w:t>
      </w:r>
      <w:r w:rsidR="00B1041D">
        <w:t xml:space="preserve">queuing requirements must </w:t>
      </w:r>
      <w:r w:rsidR="00663CCA">
        <w:t xml:space="preserve">also </w:t>
      </w:r>
      <w:r w:rsidR="00B1041D">
        <w:t>be sufficiently detailed</w:t>
      </w:r>
      <w:r w:rsidR="00B1041D" w:rsidRPr="00B1041D">
        <w:t xml:space="preserve"> to enable prospective users to understand the basis of determining the order of priority and the prospective user’s position in the queue.</w:t>
      </w:r>
      <w:r w:rsidR="00663CCA" w:rsidRPr="00663CCA">
        <w:rPr>
          <w:rStyle w:val="FootnoteReference"/>
        </w:rPr>
        <w:t xml:space="preserve"> </w:t>
      </w:r>
      <w:r w:rsidR="00663CCA" w:rsidRPr="000809E5">
        <w:rPr>
          <w:rStyle w:val="FootnoteReference"/>
        </w:rPr>
        <w:footnoteReference w:id="7"/>
      </w:r>
    </w:p>
    <w:p w:rsidR="008E3F5B" w:rsidRDefault="000C1081" w:rsidP="007D29B1">
      <w:r>
        <w:t>T</w:t>
      </w:r>
      <w:r w:rsidR="00663CCA">
        <w:t>he access arrangement proposal does not specifically address queuing</w:t>
      </w:r>
      <w:r>
        <w:t xml:space="preserve"> because</w:t>
      </w:r>
      <w:r w:rsidR="00663CCA">
        <w:t xml:space="preserve"> the </w:t>
      </w:r>
      <w:r w:rsidR="0099775A" w:rsidRPr="000809E5">
        <w:t xml:space="preserve">capacity of </w:t>
      </w:r>
      <w:r w:rsidR="0099775A">
        <w:t>the VTS</w:t>
      </w:r>
      <w:r w:rsidR="0099775A" w:rsidRPr="000809E5">
        <w:t xml:space="preserve"> </w:t>
      </w:r>
      <w:r w:rsidR="0099775A">
        <w:t xml:space="preserve">is </w:t>
      </w:r>
      <w:r w:rsidR="0099775A" w:rsidRPr="000809E5">
        <w:t>managed by AEMO on a daily basis under Part 19 of the NGR (Declared Wholesale Market Rules)</w:t>
      </w:r>
      <w:r w:rsidR="00663CCA">
        <w:t>. We are satisfied that this provides a fair and transparent mechanism for determining the priority of prospective users of any spare or developable capacity. This is consistent with the position we adopted for the 2013</w:t>
      </w:r>
      <w:r w:rsidR="004365B0" w:rsidRPr="004365B0">
        <w:rPr>
          <w:i/>
        </w:rPr>
        <w:t>–</w:t>
      </w:r>
      <w:r w:rsidR="00663CCA">
        <w:t xml:space="preserve">17 VTS Access Arrangement. </w:t>
      </w:r>
    </w:p>
    <w:p w:rsidR="008E3F5B" w:rsidRDefault="008E3F5B" w:rsidP="007D29B1">
      <w:pPr>
        <w:pStyle w:val="Heading3"/>
        <w:ind w:left="720"/>
      </w:pPr>
      <w:bookmarkStart w:id="134" w:name="_Toc486855508"/>
      <w:r>
        <w:t>Extensions and expansions</w:t>
      </w:r>
      <w:bookmarkEnd w:id="134"/>
    </w:p>
    <w:p w:rsidR="0075247D" w:rsidRDefault="00B62129" w:rsidP="008E11FF">
      <w:r>
        <w:t xml:space="preserve">These provisions </w:t>
      </w:r>
      <w:r w:rsidR="00FD0C54">
        <w:t>specify the method</w:t>
      </w:r>
      <w:r>
        <w:t xml:space="preserve"> for deciding whether an extension or expansion occurring during an access arrangement period will be treated as part of the covered pipeline and, if so, the impact this will have on reference tariffs.</w:t>
      </w:r>
      <w:r w:rsidR="008E11FF" w:rsidRPr="008E11FF">
        <w:rPr>
          <w:rStyle w:val="AERsuperscript"/>
        </w:rPr>
        <w:footnoteReference w:id="8"/>
      </w:r>
      <w:r w:rsidR="008E11FF" w:rsidRPr="0002283B">
        <w:t xml:space="preserve"> An </w:t>
      </w:r>
      <w:r>
        <w:t>'</w:t>
      </w:r>
      <w:r w:rsidR="008E11FF" w:rsidRPr="0002283B">
        <w:t>extension</w:t>
      </w:r>
      <w:r>
        <w:t>'</w:t>
      </w:r>
      <w:r w:rsidR="008E11FF" w:rsidRPr="0002283B">
        <w:t xml:space="preserve"> </w:t>
      </w:r>
      <w:r>
        <w:t>allows</w:t>
      </w:r>
      <w:r w:rsidR="008E11FF" w:rsidRPr="0002283B">
        <w:t xml:space="preserve"> the pipeline </w:t>
      </w:r>
      <w:r w:rsidR="008E11FF">
        <w:t>to</w:t>
      </w:r>
      <w:r w:rsidR="008E11FF" w:rsidRPr="0002283B">
        <w:t xml:space="preserve"> </w:t>
      </w:r>
      <w:r>
        <w:t xml:space="preserve">service </w:t>
      </w:r>
      <w:r w:rsidR="008E11FF" w:rsidRPr="0002283B">
        <w:t>new locations</w:t>
      </w:r>
      <w:r>
        <w:t>, while an</w:t>
      </w:r>
      <w:r w:rsidR="008E11FF" w:rsidRPr="0002283B">
        <w:t xml:space="preserve"> </w:t>
      </w:r>
      <w:r>
        <w:t>'</w:t>
      </w:r>
      <w:r w:rsidR="008E11FF" w:rsidRPr="0002283B">
        <w:t>expansion</w:t>
      </w:r>
      <w:r>
        <w:t>'</w:t>
      </w:r>
      <w:r w:rsidR="008E11FF" w:rsidRPr="0002283B">
        <w:t xml:space="preserve"> </w:t>
      </w:r>
      <w:r>
        <w:t>increases the amount of gas an existing length of pipeline can carry.</w:t>
      </w:r>
    </w:p>
    <w:p w:rsidR="008E11FF" w:rsidRPr="008E11FF" w:rsidRDefault="0075247D" w:rsidP="008E11FF">
      <w:r>
        <w:t xml:space="preserve">The NGR requirements for extensions and expansions are in rule 104, which </w:t>
      </w:r>
      <w:r w:rsidR="008E11FF" w:rsidRPr="008E11FF">
        <w:t>provides:</w:t>
      </w:r>
    </w:p>
    <w:p w:rsidR="008E11FF" w:rsidRPr="008E11FF" w:rsidRDefault="008E11FF" w:rsidP="0075247D">
      <w:pPr>
        <w:pStyle w:val="AERbulletlistfirststyle"/>
      </w:pPr>
      <w:r w:rsidRPr="008E11FF">
        <w:t xml:space="preserve">the </w:t>
      </w:r>
      <w:r w:rsidR="0075247D">
        <w:t xml:space="preserve">access arrangement </w:t>
      </w:r>
      <w:r w:rsidRPr="008E11FF">
        <w:t xml:space="preserve">may state whether </w:t>
      </w:r>
      <w:r w:rsidR="0075247D">
        <w:t xml:space="preserve">it </w:t>
      </w:r>
      <w:r w:rsidRPr="008E11FF">
        <w:t xml:space="preserve">will apply to incremental services to be provided as a result of a particular extension to, or expansion of the capacity of, the pipeline, or outline how this may be dealt with at a later time: r. 104(1) </w:t>
      </w:r>
    </w:p>
    <w:p w:rsidR="008E11FF" w:rsidRPr="008E11FF" w:rsidRDefault="008E11FF" w:rsidP="0075247D">
      <w:pPr>
        <w:pStyle w:val="AERbulletlistfirststyle"/>
      </w:pPr>
      <w:r w:rsidRPr="008E11FF">
        <w:t xml:space="preserve">if an access arrangement is to apply to incremental services, the requirements must deal with the effect of the extension or expansion on tariffs: r. 104(2) </w:t>
      </w:r>
    </w:p>
    <w:p w:rsidR="008E11FF" w:rsidRPr="008E11FF" w:rsidRDefault="008E11FF" w:rsidP="0075247D">
      <w:pPr>
        <w:pStyle w:val="AERbulletlistfirststyle"/>
      </w:pPr>
      <w:proofErr w:type="gramStart"/>
      <w:r w:rsidRPr="008E11FF">
        <w:t>the</w:t>
      </w:r>
      <w:proofErr w:type="gramEnd"/>
      <w:r w:rsidRPr="008E11FF">
        <w:t xml:space="preserve"> requirements cannot require the service provider to provide funds for extension or expansion works unless the service provider agrees: r. 104(3).</w:t>
      </w:r>
    </w:p>
    <w:p w:rsidR="008E3F5B" w:rsidRDefault="0075247D" w:rsidP="009700FC">
      <w:r>
        <w:t>APA has proposed only</w:t>
      </w:r>
      <w:r w:rsidR="001109A4">
        <w:t xml:space="preserve"> </w:t>
      </w:r>
      <w:r w:rsidR="009700FC">
        <w:t>minor</w:t>
      </w:r>
      <w:r>
        <w:t xml:space="preserve"> changes to the extensions and expansions requirements </w:t>
      </w:r>
      <w:proofErr w:type="gramStart"/>
      <w:r w:rsidR="001109A4">
        <w:t>in</w:t>
      </w:r>
      <w:r>
        <w:t xml:space="preserve"> the 2013</w:t>
      </w:r>
      <w:r w:rsidR="004365B0">
        <w:rPr>
          <w:i/>
        </w:rPr>
        <w:t>–</w:t>
      </w:r>
      <w:r>
        <w:t>17 VTS Access Arrangement</w:t>
      </w:r>
      <w:proofErr w:type="gramEnd"/>
      <w:r>
        <w:t>.</w:t>
      </w:r>
      <w:r w:rsidR="00BB5E01">
        <w:t xml:space="preserve"> </w:t>
      </w:r>
      <w:r w:rsidR="000C1081">
        <w:t xml:space="preserve">Clauses 7.1 and 7.2 remain substantially the same. </w:t>
      </w:r>
      <w:r w:rsidR="00BB5E01">
        <w:t>Clause 7.1 provide</w:t>
      </w:r>
      <w:r w:rsidR="000C1081">
        <w:t>s</w:t>
      </w:r>
      <w:r w:rsidR="00BB5E01">
        <w:t xml:space="preserve"> for case by case consideration of pipeline extensions, allowing us to consider the circumstances of any particular extension. It also sets out a </w:t>
      </w:r>
      <w:r w:rsidR="001109A4">
        <w:t xml:space="preserve">decision-making </w:t>
      </w:r>
      <w:r w:rsidR="00BB5E01">
        <w:t xml:space="preserve">process which we regard </w:t>
      </w:r>
      <w:r w:rsidR="001109A4">
        <w:t>as</w:t>
      </w:r>
      <w:r w:rsidR="00BB5E01">
        <w:t xml:space="preserve"> clear and reasonable.</w:t>
      </w:r>
      <w:r w:rsidR="001109A4">
        <w:t xml:space="preserve"> Clause 7.2 </w:t>
      </w:r>
      <w:r w:rsidR="000C1081">
        <w:t>provides</w:t>
      </w:r>
      <w:r w:rsidR="001109A4">
        <w:t xml:space="preserve"> that expansions </w:t>
      </w:r>
      <w:r w:rsidR="000C1081">
        <w:t xml:space="preserve">will be </w:t>
      </w:r>
      <w:r w:rsidR="001109A4">
        <w:t xml:space="preserve">covered by </w:t>
      </w:r>
      <w:r w:rsidR="000C1081">
        <w:t>the access arrangement</w:t>
      </w:r>
      <w:r w:rsidR="001109A4">
        <w:t xml:space="preserve">, unless the AER expressly agrees otherwise. We remain satisfied that </w:t>
      </w:r>
      <w:r w:rsidR="000C1081">
        <w:t xml:space="preserve">these provisions </w:t>
      </w:r>
      <w:r w:rsidR="001109A4">
        <w:t xml:space="preserve">meet the requirements of the NGR </w:t>
      </w:r>
      <w:r w:rsidR="008E3F5B">
        <w:t>Capacity trading</w:t>
      </w:r>
    </w:p>
    <w:p w:rsidR="008E7AB8" w:rsidRDefault="00B1041D" w:rsidP="00B1041D">
      <w:r w:rsidRPr="00772104">
        <w:t>The capacity trading requirements</w:t>
      </w:r>
      <w:r w:rsidR="00A73FE7">
        <w:t xml:space="preserve"> deal with the </w:t>
      </w:r>
      <w:r w:rsidRPr="00772104">
        <w:t>transfer</w:t>
      </w:r>
      <w:r w:rsidR="00A73FE7">
        <w:t xml:space="preserve"> of a</w:t>
      </w:r>
      <w:r w:rsidRPr="00772104">
        <w:t xml:space="preserve"> user’s contracted capacity to another user.</w:t>
      </w:r>
      <w:r w:rsidRPr="00B1041D">
        <w:rPr>
          <w:rStyle w:val="AERsuperscript"/>
        </w:rPr>
        <w:footnoteReference w:id="9"/>
      </w:r>
      <w:r w:rsidR="00A73FE7">
        <w:t xml:space="preserve"> Where the service provider is registered as a participant in a particular gas market, the access arrangement must provide for transfer in accordance with the rules or procedures governing the relevant gas market.</w:t>
      </w:r>
      <w:r w:rsidR="00A73FE7">
        <w:rPr>
          <w:rStyle w:val="FootnoteReference"/>
        </w:rPr>
        <w:footnoteReference w:id="10"/>
      </w:r>
      <w:r w:rsidR="00A73FE7">
        <w:t xml:space="preserve"> </w:t>
      </w:r>
    </w:p>
    <w:p w:rsidR="00B1041D" w:rsidRPr="00397EC5" w:rsidRDefault="00A73FE7" w:rsidP="00B1041D">
      <w:r>
        <w:t xml:space="preserve">However </w:t>
      </w:r>
      <w:r w:rsidR="008E7AB8">
        <w:t>c</w:t>
      </w:r>
      <w:r w:rsidR="008E7AB8" w:rsidRPr="00A73FE7">
        <w:t xml:space="preserve">apacity trading </w:t>
      </w:r>
      <w:r w:rsidR="008E7AB8">
        <w:t xml:space="preserve">between shippers is not possible on the VTS, due to the uniqueness of the Victorian wholesale gas market arrangement. As the AER explained in the Draft Decision </w:t>
      </w:r>
      <w:proofErr w:type="gramStart"/>
      <w:r w:rsidR="008E7AB8">
        <w:t>on the 201</w:t>
      </w:r>
      <w:r w:rsidR="004365B0">
        <w:t>3</w:t>
      </w:r>
      <w:r w:rsidR="004365B0">
        <w:rPr>
          <w:i/>
        </w:rPr>
        <w:t>–</w:t>
      </w:r>
      <w:r w:rsidR="008E7AB8">
        <w:t>17 VTS Access Arrangement</w:t>
      </w:r>
      <w:proofErr w:type="gramEnd"/>
      <w:r w:rsidR="008E7AB8">
        <w:t>:</w:t>
      </w:r>
      <w:r w:rsidR="008E7AB8">
        <w:rPr>
          <w:rStyle w:val="FootnoteReference"/>
        </w:rPr>
        <w:footnoteReference w:id="11"/>
      </w:r>
    </w:p>
    <w:p w:rsidR="00A73FE7" w:rsidRPr="00A73FE7" w:rsidRDefault="00A73FE7" w:rsidP="008E7AB8">
      <w:pPr>
        <w:pStyle w:val="AERquote"/>
      </w:pPr>
      <w:r w:rsidRPr="00A73FE7">
        <w:t>Capacity trading is not possible on the Victorian gas network (including on APA GasNet’s transmission network).  This is different to most Australian gas markets. Those markets are based on bilateral arrangements between producers, major users and retailers linked together through pipeline hubs connecting gas fields to gas consumers. By comparison, in Victoria a wholesale gas market has been established to enable competitive trading based on injections into and withdrawals from a transmission system that links multiple producers, major users and retailers. Under this model, Victorian gas networks (including APA GasNet’s transmission network) are subject to the Declared Wholesale Market Rules in part 19 of the NGR. These rules do not provide for capacity trading. Rather, AEMO is responsible for managing capacity, on a daily basis, throughout the Victorian wholesale gas market.</w:t>
      </w:r>
      <w:r w:rsidR="009700FC">
        <w:rPr>
          <w:rStyle w:val="FootnoteReference"/>
        </w:rPr>
        <w:footnoteReference w:id="12"/>
      </w:r>
      <w:r w:rsidRPr="00A73FE7">
        <w:t xml:space="preserve"> </w:t>
      </w:r>
    </w:p>
    <w:p w:rsidR="008E7AB8" w:rsidRDefault="008E7AB8" w:rsidP="00A73FE7">
      <w:r>
        <w:t>APA propose</w:t>
      </w:r>
      <w:r w:rsidR="00464599">
        <w:t>d</w:t>
      </w:r>
      <w:r>
        <w:t xml:space="preserve"> no changes to the existing capacity trading clause, which effectively states:</w:t>
      </w:r>
    </w:p>
    <w:p w:rsidR="008E7AB8" w:rsidRDefault="008E7AB8" w:rsidP="008E7AB8">
      <w:pPr>
        <w:pStyle w:val="AERbulletlistfirststyle"/>
      </w:pPr>
      <w:r>
        <w:t>any transfer of capacity must be undertaken in accordance with the Victorian D</w:t>
      </w:r>
      <w:r w:rsidR="00B03153">
        <w:t xml:space="preserve">eclared </w:t>
      </w:r>
      <w:r>
        <w:t>W</w:t>
      </w:r>
      <w:r w:rsidR="00B03153">
        <w:t xml:space="preserve">holesale </w:t>
      </w:r>
      <w:r>
        <w:t>G</w:t>
      </w:r>
      <w:r w:rsidR="00B03153">
        <w:t xml:space="preserve">as </w:t>
      </w:r>
      <w:r>
        <w:t>M</w:t>
      </w:r>
      <w:r w:rsidR="00B03153">
        <w:t>arket</w:t>
      </w:r>
      <w:r>
        <w:t xml:space="preserve"> rules </w:t>
      </w:r>
      <w:r w:rsidR="00B03153">
        <w:t xml:space="preserve">(DWGM rules) </w:t>
      </w:r>
      <w:r>
        <w:t>(because APA is a registered participant - see NGR r. 105(1)(a))</w:t>
      </w:r>
      <w:r w:rsidR="008846FD">
        <w:t>, and</w:t>
      </w:r>
    </w:p>
    <w:p w:rsidR="008846FD" w:rsidRDefault="008846FD" w:rsidP="008E7AB8">
      <w:pPr>
        <w:pStyle w:val="AERbulletlistfirststyle"/>
      </w:pPr>
      <w:proofErr w:type="gramStart"/>
      <w:r>
        <w:t>under</w:t>
      </w:r>
      <w:proofErr w:type="gramEnd"/>
      <w:r>
        <w:t xml:space="preserve"> the DWGM rules there are no capacity trading requirements. </w:t>
      </w:r>
    </w:p>
    <w:p w:rsidR="008846FD" w:rsidRDefault="008846FD" w:rsidP="008846FD">
      <w:r>
        <w:t xml:space="preserve">We maintain our view that this approach is acceptable in the unique circumstances of the VTS. </w:t>
      </w:r>
    </w:p>
    <w:p w:rsidR="008E3F5B" w:rsidRDefault="008E3F5B" w:rsidP="007D29B1">
      <w:pPr>
        <w:pStyle w:val="Heading3"/>
        <w:ind w:left="720"/>
      </w:pPr>
      <w:bookmarkStart w:id="135" w:name="_Toc486855509"/>
      <w:r>
        <w:t>Changing receipt and delivery points</w:t>
      </w:r>
      <w:bookmarkEnd w:id="135"/>
    </w:p>
    <w:p w:rsidR="008846FD" w:rsidRDefault="008846FD" w:rsidP="008846FD">
      <w:r w:rsidRPr="000809E5">
        <w:t xml:space="preserve">A receipt or delivery point is a point on a pipeline at which a service provider takes delivery of natural gas, or delivers natural gas. </w:t>
      </w:r>
      <w:r>
        <w:t xml:space="preserve">An access arrangement must </w:t>
      </w:r>
      <w:r w:rsidRPr="000809E5">
        <w:t xml:space="preserve">allow a user, with the service provider's consent, to change the user's receipt or delivery point. </w:t>
      </w:r>
      <w:r>
        <w:t>The NGR places controls on the service provider's capacity to withhold its consent to a requested change.</w:t>
      </w:r>
    </w:p>
    <w:p w:rsidR="008846FD" w:rsidRDefault="008846FD" w:rsidP="008846FD">
      <w:r>
        <w:t>As with capacity trading, the injection and removal of gas is governed by the Victorian DWGM rules and</w:t>
      </w:r>
      <w:r w:rsidRPr="000809E5">
        <w:t xml:space="preserve"> man</w:t>
      </w:r>
      <w:r>
        <w:t xml:space="preserve">aged by AEMO on a daily basis. </w:t>
      </w:r>
      <w:r w:rsidR="00605100">
        <w:t>APA note</w:t>
      </w:r>
      <w:r w:rsidR="0087738C">
        <w:t>d</w:t>
      </w:r>
      <w:r w:rsidR="00605100">
        <w:t xml:space="preserve"> this in its access arrangement, and also that under the </w:t>
      </w:r>
      <w:r w:rsidR="00B03153">
        <w:t xml:space="preserve">DWGM </w:t>
      </w:r>
      <w:r w:rsidR="00605100">
        <w:t>rules the Service Provider's consent is not required for a user to change its receipt or delivery point.</w:t>
      </w:r>
    </w:p>
    <w:p w:rsidR="008E3F5B" w:rsidRDefault="00605100" w:rsidP="008E3F5B">
      <w:r>
        <w:t xml:space="preserve">APT-VTS's proposed clause is unchanged </w:t>
      </w:r>
      <w:proofErr w:type="gramStart"/>
      <w:r>
        <w:t>from the 201</w:t>
      </w:r>
      <w:r w:rsidR="00A11C9B">
        <w:t>3</w:t>
      </w:r>
      <w:r w:rsidR="004365B0">
        <w:rPr>
          <w:i/>
        </w:rPr>
        <w:t>–</w:t>
      </w:r>
      <w:r>
        <w:t>17 VTS Access Arrangement,</w:t>
      </w:r>
      <w:proofErr w:type="gramEnd"/>
      <w:r>
        <w:t xml:space="preserve"> and we maintain our view that it is acceptable in the circumstances of the VTS.</w:t>
      </w:r>
    </w:p>
    <w:p w:rsidR="008E3F5B" w:rsidRPr="008E3F5B" w:rsidRDefault="008E3F5B" w:rsidP="007D29B1">
      <w:pPr>
        <w:pStyle w:val="Heading3"/>
        <w:ind w:left="720"/>
      </w:pPr>
      <w:bookmarkStart w:id="136" w:name="_Toc486855510"/>
      <w:r>
        <w:t>Revision and commencement dates</w:t>
      </w:r>
      <w:bookmarkEnd w:id="136"/>
    </w:p>
    <w:p w:rsidR="00605100" w:rsidRPr="000809E5" w:rsidRDefault="00605100" w:rsidP="00605100">
      <w:r w:rsidRPr="000809E5">
        <w:t>Rule 49(1) of the NGR requires that a full access arrangement must contain a review submission date and a revision commencement date and must not contain an expiry date.</w:t>
      </w:r>
      <w:r>
        <w:t xml:space="preserve"> </w:t>
      </w:r>
      <w:r w:rsidR="00B03153">
        <w:t>Rule 50(1)</w:t>
      </w:r>
      <w:r w:rsidRPr="000809E5">
        <w:t xml:space="preserve"> </w:t>
      </w:r>
      <w:r w:rsidR="00B03153">
        <w:t xml:space="preserve">further </w:t>
      </w:r>
      <w:r w:rsidRPr="000809E5">
        <w:t>provides that, as a general rule</w:t>
      </w:r>
      <w:r w:rsidR="009C1C4F">
        <w:t>:</w:t>
      </w:r>
    </w:p>
    <w:p w:rsidR="00605100" w:rsidRPr="00605100" w:rsidRDefault="00605100" w:rsidP="00605100">
      <w:pPr>
        <w:pStyle w:val="AERbulletlistfirststyle"/>
      </w:pPr>
      <w:r w:rsidRPr="000809E5">
        <w:t xml:space="preserve">a review submission date will fall </w:t>
      </w:r>
      <w:r w:rsidRPr="00605100">
        <w:t>four years after the access arrangement took effect or the last revision commencement date; and</w:t>
      </w:r>
    </w:p>
    <w:p w:rsidR="00605100" w:rsidRPr="00605100" w:rsidRDefault="00605100" w:rsidP="00605100">
      <w:pPr>
        <w:pStyle w:val="AERbulletlistfirststyle"/>
      </w:pPr>
      <w:proofErr w:type="gramStart"/>
      <w:r w:rsidRPr="000809E5">
        <w:t>a</w:t>
      </w:r>
      <w:proofErr w:type="gramEnd"/>
      <w:r w:rsidRPr="000809E5">
        <w:t xml:space="preserve"> revision commencement date will fall </w:t>
      </w:r>
      <w:r w:rsidRPr="00605100">
        <w:t>five years after the access arrangement took effect of the last revision commencement date.</w:t>
      </w:r>
    </w:p>
    <w:p w:rsidR="00605100" w:rsidRDefault="00605100" w:rsidP="00605100">
      <w:r w:rsidRPr="000809E5">
        <w:t xml:space="preserve">The AER is required to accept a service provider’s proposed review submission and commencement dates if made in accordance with this general rule. </w:t>
      </w:r>
    </w:p>
    <w:p w:rsidR="00605100" w:rsidRDefault="00605100" w:rsidP="00605100">
      <w:r>
        <w:t xml:space="preserve">APA proposes a review submission date of 1 January 2022 and a revisions commencement date of 1 January 2023. </w:t>
      </w:r>
      <w:r w:rsidR="00E75225">
        <w:t xml:space="preserve">This complies with the general rule and </w:t>
      </w:r>
      <w:r w:rsidR="005741C8">
        <w:t>our draft decision is to accept it</w:t>
      </w:r>
      <w:r w:rsidR="00E75225">
        <w:t>.</w:t>
      </w:r>
      <w:r>
        <w:t xml:space="preserve"> </w:t>
      </w:r>
    </w:p>
    <w:p w:rsidR="00D345BB" w:rsidRPr="000809E5" w:rsidRDefault="00D345BB" w:rsidP="00605100">
      <w:r>
        <w:t>However we note that AGN has proposed a review submission date of 1 December 2021, and AusNet has indicated it is also prepared to adopt this earlier date. We welcome this approach as it will avoid the administrative difficulties of receiving review submissions in the middle of the holiday season</w:t>
      </w:r>
      <w:r w:rsidR="005741C8">
        <w:t>. We would</w:t>
      </w:r>
      <w:r>
        <w:t xml:space="preserve"> encourage APA to also bring forward its review submission date by one month</w:t>
      </w:r>
      <w:r w:rsidR="005741C8">
        <w:t xml:space="preserve"> to 1 December 2021</w:t>
      </w:r>
      <w:r>
        <w:t xml:space="preserve">. </w:t>
      </w:r>
    </w:p>
    <w:p w:rsidR="00D5015C" w:rsidRDefault="00D5015C" w:rsidP="00132D43"/>
    <w:p w:rsidR="00132D43" w:rsidRPr="00464599" w:rsidRDefault="00132D43" w:rsidP="009700FC"/>
    <w:sectPr w:rsidR="00132D43" w:rsidRPr="00464599"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EB67B3">
          <w:rPr>
            <w:noProof/>
          </w:rPr>
          <w:t>12-0</w:t>
        </w:r>
        <w:r>
          <w:rPr>
            <w:noProof/>
          </w:rPr>
          <w:fldChar w:fldCharType="end"/>
        </w:r>
        <w:r>
          <w:rPr>
            <w:noProof/>
          </w:rPr>
          <w:t xml:space="preserve">          </w:t>
        </w:r>
        <w:r>
          <w:t xml:space="preserve">Attachment </w:t>
        </w:r>
        <w:r w:rsidR="00D33F8F">
          <w:t>12</w:t>
        </w:r>
        <w:r>
          <w:t xml:space="preserve"> </w:t>
        </w:r>
        <w:r w:rsidRPr="000474DF">
          <w:t>−</w:t>
        </w:r>
        <w:r>
          <w:t xml:space="preserve"> </w:t>
        </w:r>
        <w:r w:rsidR="00D33F8F">
          <w:t>Non tariff components</w:t>
        </w:r>
        <w:r w:rsidRPr="009B6F84">
          <w:rPr>
            <w:rFonts w:cs="Gautami"/>
            <w:noProof/>
            <w:szCs w:val="16"/>
          </w:rPr>
          <w:t xml:space="preserve"> | </w:t>
        </w:r>
        <w:r w:rsidR="00D5015C">
          <w:t xml:space="preserve">Draft decision - </w:t>
        </w:r>
        <w:r w:rsidR="00340762">
          <w:t>APA VTS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EB67B3">
          <w:rPr>
            <w:noProof/>
          </w:rPr>
          <w:t>12-3</w:t>
        </w:r>
        <w:r>
          <w:rPr>
            <w:noProof/>
          </w:rPr>
          <w:fldChar w:fldCharType="end"/>
        </w:r>
        <w:r>
          <w:rPr>
            <w:noProof/>
          </w:rPr>
          <w:t xml:space="preserve">          </w:t>
        </w:r>
        <w:r w:rsidR="00D5015C">
          <w:t>Attachment 1</w:t>
        </w:r>
        <w:r w:rsidR="00D33F8F">
          <w:t>2</w:t>
        </w:r>
        <w:r w:rsidR="00D5015C">
          <w:t xml:space="preserve"> </w:t>
        </w:r>
        <w:r w:rsidR="00D5015C" w:rsidRPr="000474DF">
          <w:t>−</w:t>
        </w:r>
        <w:r w:rsidR="00D5015C">
          <w:t xml:space="preserve"> </w:t>
        </w:r>
        <w:r w:rsidR="00D33F8F">
          <w:t>Non tariff components</w:t>
        </w:r>
        <w:r w:rsidR="00D5015C" w:rsidRPr="00D5015C">
          <w:t xml:space="preserve"> | </w:t>
        </w:r>
        <w:r w:rsidR="00D5015C">
          <w:t xml:space="preserve">Draft decision - </w:t>
        </w:r>
        <w:r w:rsidR="00340762">
          <w:t>APA VTS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135151" w:rsidRDefault="00135151">
      <w:pPr>
        <w:pStyle w:val="FootnoteText"/>
      </w:pPr>
      <w:r>
        <w:rPr>
          <w:rStyle w:val="FootnoteReference"/>
        </w:rPr>
        <w:footnoteRef/>
      </w:r>
      <w:r>
        <w:t xml:space="preserve"> </w:t>
      </w:r>
      <w:r>
        <w:tab/>
      </w:r>
      <w:proofErr w:type="gramStart"/>
      <w:r w:rsidR="0087738C" w:rsidRPr="0087738C">
        <w:t>APA</w:t>
      </w:r>
      <w:r w:rsidR="0016285D">
        <w:t>,</w:t>
      </w:r>
      <w:r w:rsidR="0087738C">
        <w:t xml:space="preserve"> </w:t>
      </w:r>
      <w:r w:rsidR="0087738C" w:rsidRPr="0016285D">
        <w:rPr>
          <w:i/>
        </w:rPr>
        <w:t xml:space="preserve">VTS Revision Proposal submission </w:t>
      </w:r>
      <w:r w:rsidR="0016285D">
        <w:rPr>
          <w:i/>
        </w:rPr>
        <w:t>–</w:t>
      </w:r>
      <w:r w:rsidR="0087738C" w:rsidRPr="0016285D">
        <w:rPr>
          <w:i/>
        </w:rPr>
        <w:t xml:space="preserve"> 201</w:t>
      </w:r>
      <w:r w:rsidR="004365B0">
        <w:rPr>
          <w:i/>
        </w:rPr>
        <w:t>8</w:t>
      </w:r>
      <w:r w:rsidR="004365B0" w:rsidRPr="004365B0">
        <w:rPr>
          <w:i/>
        </w:rPr>
        <w:t>–</w:t>
      </w:r>
      <w:r w:rsidR="0016285D">
        <w:rPr>
          <w:i/>
        </w:rPr>
        <w:t>23</w:t>
      </w:r>
      <w:r w:rsidR="0087738C" w:rsidRPr="0016285D">
        <w:rPr>
          <w:i/>
        </w:rPr>
        <w:t xml:space="preserve"> - Public</w:t>
      </w:r>
      <w:r w:rsidR="0087738C">
        <w:t xml:space="preserve">, </w:t>
      </w:r>
      <w:r>
        <w:t>p. 16.</w:t>
      </w:r>
      <w:proofErr w:type="gramEnd"/>
    </w:p>
  </w:footnote>
  <w:footnote w:id="2">
    <w:p w:rsidR="002D2E6C" w:rsidRDefault="002D2E6C">
      <w:pPr>
        <w:pStyle w:val="FootnoteText"/>
      </w:pPr>
      <w:r>
        <w:rPr>
          <w:rStyle w:val="FootnoteReference"/>
        </w:rPr>
        <w:footnoteRef/>
      </w:r>
      <w:r>
        <w:t xml:space="preserve"> </w:t>
      </w:r>
      <w:r>
        <w:tab/>
        <w:t>NGR, r. 48(1</w:t>
      </w:r>
      <w:proofErr w:type="gramStart"/>
      <w:r>
        <w:t>)(</w:t>
      </w:r>
      <w:proofErr w:type="gramEnd"/>
      <w:r>
        <w:t>d)(ii).</w:t>
      </w:r>
    </w:p>
  </w:footnote>
  <w:footnote w:id="3">
    <w:p w:rsidR="00F16842" w:rsidRDefault="00F16842">
      <w:pPr>
        <w:pStyle w:val="FootnoteText"/>
      </w:pPr>
      <w:r>
        <w:rPr>
          <w:rStyle w:val="FootnoteReference"/>
        </w:rPr>
        <w:footnoteRef/>
      </w:r>
      <w:r>
        <w:t xml:space="preserve"> </w:t>
      </w:r>
      <w:r>
        <w:tab/>
      </w:r>
      <w:proofErr w:type="gramStart"/>
      <w:r>
        <w:t>NGR, r. 100.</w:t>
      </w:r>
      <w:proofErr w:type="gramEnd"/>
    </w:p>
  </w:footnote>
  <w:footnote w:id="4">
    <w:p w:rsidR="00EC5D41" w:rsidRDefault="00EC5D41">
      <w:pPr>
        <w:pStyle w:val="FootnoteText"/>
      </w:pPr>
      <w:r>
        <w:rPr>
          <w:rStyle w:val="FootnoteReference"/>
        </w:rPr>
        <w:footnoteRef/>
      </w:r>
      <w:r>
        <w:t xml:space="preserve"> </w:t>
      </w:r>
      <w:r>
        <w:tab/>
        <w:t>These are set out in NGR Part 19.</w:t>
      </w:r>
    </w:p>
  </w:footnote>
  <w:footnote w:id="5">
    <w:p w:rsidR="004D609E" w:rsidRDefault="004D609E">
      <w:pPr>
        <w:pStyle w:val="FootnoteText"/>
      </w:pPr>
      <w:r>
        <w:rPr>
          <w:rStyle w:val="FootnoteReference"/>
        </w:rPr>
        <w:footnoteRef/>
      </w:r>
      <w:r>
        <w:t xml:space="preserve"> </w:t>
      </w:r>
      <w:r>
        <w:tab/>
      </w:r>
      <w:hyperlink r:id="rId1" w:history="1">
        <w:r w:rsidR="0087738C" w:rsidRPr="00981173">
          <w:rPr>
            <w:rStyle w:val="AERtextitalic"/>
            <w:i w:val="0"/>
          </w:rPr>
          <w:t>AER</w:t>
        </w:r>
        <w:r w:rsidR="00A11C9B">
          <w:rPr>
            <w:rStyle w:val="AERtextitalic"/>
            <w:i w:val="0"/>
          </w:rPr>
          <w:t>,</w:t>
        </w:r>
        <w:r w:rsidR="0087738C" w:rsidRPr="00981173">
          <w:rPr>
            <w:rStyle w:val="AERtextitalic"/>
          </w:rPr>
          <w:t xml:space="preserve"> </w:t>
        </w:r>
        <w:r w:rsidR="00A11C9B">
          <w:rPr>
            <w:rStyle w:val="AERtextitalic"/>
          </w:rPr>
          <w:t>Access arrangement draft decision – APA GasNet Aust</w:t>
        </w:r>
        <w:r w:rsidR="004365B0">
          <w:rPr>
            <w:rStyle w:val="AERtextitalic"/>
          </w:rPr>
          <w:t>ralia (Operations) Pty Ltd 2013</w:t>
        </w:r>
        <w:r w:rsidR="004365B0">
          <w:rPr>
            <w:i/>
          </w:rPr>
          <w:t>–</w:t>
        </w:r>
        <w:r w:rsidR="00A11C9B">
          <w:rPr>
            <w:rStyle w:val="AERtextitalic"/>
          </w:rPr>
          <w:t xml:space="preserve">17 Part </w:t>
        </w:r>
        <w:r w:rsidR="00981173">
          <w:rPr>
            <w:rStyle w:val="AERtextitalic"/>
          </w:rPr>
          <w:t>2</w:t>
        </w:r>
        <w:r w:rsidR="00A11C9B">
          <w:rPr>
            <w:rStyle w:val="AERtextitalic"/>
          </w:rPr>
          <w:t xml:space="preserve">, </w:t>
        </w:r>
        <w:r w:rsidR="00A11C9B">
          <w:rPr>
            <w:rStyle w:val="AERtextitalic"/>
            <w:i w:val="0"/>
          </w:rPr>
          <w:t>September 2012</w:t>
        </w:r>
      </w:hyperlink>
      <w:r>
        <w:t>, p 34</w:t>
      </w:r>
      <w:r w:rsidR="00981173">
        <w:t>4</w:t>
      </w:r>
      <w:r>
        <w:t xml:space="preserve"> ff. </w:t>
      </w:r>
    </w:p>
  </w:footnote>
  <w:footnote w:id="6">
    <w:p w:rsidR="00AD07B3" w:rsidRDefault="00AD07B3">
      <w:pPr>
        <w:pStyle w:val="FootnoteText"/>
      </w:pPr>
      <w:r>
        <w:rPr>
          <w:rStyle w:val="FootnoteReference"/>
        </w:rPr>
        <w:footnoteRef/>
      </w:r>
      <w:r>
        <w:t xml:space="preserve"> </w:t>
      </w:r>
      <w:r>
        <w:tab/>
      </w:r>
      <w:r w:rsidR="0087738C" w:rsidRPr="0087738C">
        <w:t>APA</w:t>
      </w:r>
      <w:r w:rsidR="00D17DE8">
        <w:t xml:space="preserve">, </w:t>
      </w:r>
      <w:r w:rsidR="00D17DE8">
        <w:rPr>
          <w:i/>
        </w:rPr>
        <w:t>Victorian transmission</w:t>
      </w:r>
      <w:r w:rsidR="004365B0">
        <w:rPr>
          <w:i/>
        </w:rPr>
        <w:t xml:space="preserve"> system access arrangement 2018–</w:t>
      </w:r>
      <w:r w:rsidR="00D17DE8">
        <w:rPr>
          <w:i/>
        </w:rPr>
        <w:t>22</w:t>
      </w:r>
      <w:r w:rsidR="00B42BB9">
        <w:rPr>
          <w:i/>
        </w:rPr>
        <w:t xml:space="preserve">, </w:t>
      </w:r>
      <w:r w:rsidR="00FC4438">
        <w:t>January 2017, p. 77</w:t>
      </w:r>
      <w:r w:rsidR="00B42BB9">
        <w:t xml:space="preserve"> (marked-up version)</w:t>
      </w:r>
      <w:r w:rsidR="00FC4438">
        <w:t>.</w:t>
      </w:r>
    </w:p>
  </w:footnote>
  <w:footnote w:id="7">
    <w:p w:rsidR="00663CCA" w:rsidRPr="005C1A54" w:rsidRDefault="00663CCA" w:rsidP="00663CCA">
      <w:pPr>
        <w:pStyle w:val="FootnoteText"/>
      </w:pPr>
      <w:r>
        <w:rPr>
          <w:rStyle w:val="FootnoteReference"/>
        </w:rPr>
        <w:t>34</w:t>
      </w:r>
      <w:r w:rsidRPr="005C1A54">
        <w:tab/>
      </w:r>
      <w:proofErr w:type="gramStart"/>
      <w:r w:rsidRPr="005C1A54">
        <w:t>NGR, 103(2).</w:t>
      </w:r>
      <w:proofErr w:type="gramEnd"/>
      <w:r w:rsidRPr="005C1A54">
        <w:t xml:space="preserve"> </w:t>
      </w:r>
    </w:p>
  </w:footnote>
  <w:footnote w:id="8">
    <w:p w:rsidR="008E11FF" w:rsidRDefault="008E11FF" w:rsidP="008E11FF">
      <w:pPr>
        <w:pStyle w:val="FootnoteText"/>
      </w:pPr>
      <w:r>
        <w:rPr>
          <w:rStyle w:val="FootnoteReference"/>
        </w:rPr>
        <w:footnoteRef/>
      </w:r>
      <w:r>
        <w:t xml:space="preserve"> </w:t>
      </w:r>
      <w:r>
        <w:tab/>
      </w:r>
      <w:r w:rsidR="0087738C">
        <w:t xml:space="preserve">NGR, r. </w:t>
      </w:r>
      <w:r w:rsidRPr="0002283B">
        <w:rPr>
          <w:szCs w:val="16"/>
        </w:rPr>
        <w:t>48(1</w:t>
      </w:r>
      <w:proofErr w:type="gramStart"/>
      <w:r w:rsidRPr="0002283B">
        <w:rPr>
          <w:szCs w:val="16"/>
        </w:rPr>
        <w:t>)(</w:t>
      </w:r>
      <w:proofErr w:type="gramEnd"/>
      <w:r w:rsidRPr="0002283B">
        <w:rPr>
          <w:szCs w:val="16"/>
        </w:rPr>
        <w:t>g) for full access arrangements, r. 45(1)(f) for limited access arrangements for light regulation services, r. 129(1)(f) for international pipelines, and r. 24(2)(c)(v) for CTP access arrangements.</w:t>
      </w:r>
      <w:r>
        <w:rPr>
          <w:sz w:val="20"/>
        </w:rPr>
        <w:t xml:space="preserve"> </w:t>
      </w:r>
      <w:r>
        <w:t xml:space="preserve"> </w:t>
      </w:r>
    </w:p>
  </w:footnote>
  <w:footnote w:id="9">
    <w:p w:rsidR="00B1041D" w:rsidRDefault="00B1041D" w:rsidP="00B1041D">
      <w:pPr>
        <w:pStyle w:val="FootnoteText"/>
      </w:pPr>
      <w:r>
        <w:rPr>
          <w:rStyle w:val="FootnoteReference"/>
        </w:rPr>
        <w:footnoteRef/>
      </w:r>
      <w:r>
        <w:t xml:space="preserve"> </w:t>
      </w:r>
      <w:r>
        <w:tab/>
      </w:r>
      <w:proofErr w:type="gramStart"/>
      <w:r>
        <w:t>NGR, r. 105(2).</w:t>
      </w:r>
      <w:proofErr w:type="gramEnd"/>
      <w:r>
        <w:t xml:space="preserve">  </w:t>
      </w:r>
    </w:p>
  </w:footnote>
  <w:footnote w:id="10">
    <w:p w:rsidR="00A73FE7" w:rsidRDefault="00A73FE7">
      <w:pPr>
        <w:pStyle w:val="FootnoteText"/>
      </w:pPr>
      <w:r>
        <w:rPr>
          <w:rStyle w:val="FootnoteReference"/>
        </w:rPr>
        <w:footnoteRef/>
      </w:r>
      <w:r>
        <w:t xml:space="preserve"> </w:t>
      </w:r>
      <w:r>
        <w:tab/>
        <w:t>NGR, r. 105(1</w:t>
      </w:r>
      <w:proofErr w:type="gramStart"/>
      <w:r>
        <w:t>)(</w:t>
      </w:r>
      <w:proofErr w:type="gramEnd"/>
      <w:r>
        <w:t>a).</w:t>
      </w:r>
    </w:p>
  </w:footnote>
  <w:footnote w:id="11">
    <w:p w:rsidR="008E7AB8" w:rsidRDefault="008E7AB8">
      <w:pPr>
        <w:pStyle w:val="FootnoteText"/>
      </w:pPr>
      <w:r>
        <w:rPr>
          <w:rStyle w:val="FootnoteReference"/>
        </w:rPr>
        <w:footnoteRef/>
      </w:r>
      <w:r w:rsidR="00E96D5D">
        <w:t xml:space="preserve"> </w:t>
      </w:r>
      <w:r w:rsidR="00E96D5D">
        <w:tab/>
      </w:r>
      <w:hyperlink r:id="rId2" w:history="1">
        <w:r w:rsidR="00B42BB9" w:rsidRPr="00981173">
          <w:rPr>
            <w:rStyle w:val="AERtextitalic"/>
            <w:i w:val="0"/>
          </w:rPr>
          <w:t>AER</w:t>
        </w:r>
        <w:r w:rsidR="00B42BB9">
          <w:rPr>
            <w:rStyle w:val="AERtextitalic"/>
            <w:i w:val="0"/>
          </w:rPr>
          <w:t>,</w:t>
        </w:r>
        <w:r w:rsidR="00B42BB9" w:rsidRPr="00981173">
          <w:rPr>
            <w:rStyle w:val="AERtextitalic"/>
          </w:rPr>
          <w:t xml:space="preserve"> </w:t>
        </w:r>
        <w:r w:rsidR="00B42BB9">
          <w:rPr>
            <w:rStyle w:val="AERtextitalic"/>
          </w:rPr>
          <w:t>Access arrangement draft decision – APA GasNet Aust</w:t>
        </w:r>
        <w:r w:rsidR="004365B0">
          <w:rPr>
            <w:rStyle w:val="AERtextitalic"/>
          </w:rPr>
          <w:t>ralia (Operations) Pty Ltd 2013</w:t>
        </w:r>
        <w:r w:rsidR="004365B0">
          <w:rPr>
            <w:i/>
          </w:rPr>
          <w:t>–</w:t>
        </w:r>
        <w:r w:rsidR="00B42BB9">
          <w:rPr>
            <w:rStyle w:val="AERtextitalic"/>
          </w:rPr>
          <w:t xml:space="preserve">17 Part 2, </w:t>
        </w:r>
        <w:r w:rsidR="00B42BB9">
          <w:rPr>
            <w:rStyle w:val="AERtextitalic"/>
            <w:i w:val="0"/>
          </w:rPr>
          <w:t>September 2012</w:t>
        </w:r>
      </w:hyperlink>
      <w:r w:rsidR="00B42BB9">
        <w:t xml:space="preserve">, </w:t>
      </w:r>
      <w:r w:rsidR="00E96D5D">
        <w:t>p</w:t>
      </w:r>
      <w:r>
        <w:t>p. 351-352</w:t>
      </w:r>
      <w:r w:rsidR="00E96D5D">
        <w:t>.</w:t>
      </w:r>
    </w:p>
  </w:footnote>
  <w:footnote w:id="12">
    <w:p w:rsidR="009700FC" w:rsidRDefault="009700FC" w:rsidP="00B42BB9">
      <w:pPr>
        <w:pStyle w:val="FootnoteText"/>
        <w:tabs>
          <w:tab w:val="left" w:pos="3648"/>
        </w:tabs>
      </w:pPr>
      <w:r>
        <w:rPr>
          <w:rStyle w:val="FootnoteReference"/>
        </w:rPr>
        <w:footnoteRef/>
      </w:r>
      <w:r>
        <w:t xml:space="preserve"> </w:t>
      </w:r>
      <w:r>
        <w:tab/>
      </w:r>
      <w:proofErr w:type="gramStart"/>
      <w:r>
        <w:t>In accordance with NGR Part 19.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B7803A2"/>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3"/>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22A"/>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1081"/>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ED6"/>
    <w:rsid w:val="00104FF6"/>
    <w:rsid w:val="001109A4"/>
    <w:rsid w:val="001114AA"/>
    <w:rsid w:val="00112684"/>
    <w:rsid w:val="00115743"/>
    <w:rsid w:val="00116EB2"/>
    <w:rsid w:val="0012132C"/>
    <w:rsid w:val="00124609"/>
    <w:rsid w:val="00126A4C"/>
    <w:rsid w:val="001270E3"/>
    <w:rsid w:val="00132D43"/>
    <w:rsid w:val="00133366"/>
    <w:rsid w:val="00133F47"/>
    <w:rsid w:val="00134029"/>
    <w:rsid w:val="00135151"/>
    <w:rsid w:val="00142C2D"/>
    <w:rsid w:val="00144C96"/>
    <w:rsid w:val="0014573B"/>
    <w:rsid w:val="001463A3"/>
    <w:rsid w:val="0015073A"/>
    <w:rsid w:val="001573E4"/>
    <w:rsid w:val="00160756"/>
    <w:rsid w:val="00161DC8"/>
    <w:rsid w:val="0016285D"/>
    <w:rsid w:val="00166760"/>
    <w:rsid w:val="00166A65"/>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17A5"/>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47B1D"/>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2E6C"/>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0762"/>
    <w:rsid w:val="003424EA"/>
    <w:rsid w:val="00342C2F"/>
    <w:rsid w:val="003436EB"/>
    <w:rsid w:val="00343A18"/>
    <w:rsid w:val="00345744"/>
    <w:rsid w:val="003518B3"/>
    <w:rsid w:val="00353E79"/>
    <w:rsid w:val="00364EA0"/>
    <w:rsid w:val="00366981"/>
    <w:rsid w:val="00366C98"/>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A6DB3"/>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812"/>
    <w:rsid w:val="003E7FE9"/>
    <w:rsid w:val="003F07D4"/>
    <w:rsid w:val="003F174D"/>
    <w:rsid w:val="003F2329"/>
    <w:rsid w:val="00400FD2"/>
    <w:rsid w:val="00403711"/>
    <w:rsid w:val="00404C52"/>
    <w:rsid w:val="00412D63"/>
    <w:rsid w:val="004156D5"/>
    <w:rsid w:val="00415BA9"/>
    <w:rsid w:val="00415F31"/>
    <w:rsid w:val="0041691D"/>
    <w:rsid w:val="0042000C"/>
    <w:rsid w:val="0042090E"/>
    <w:rsid w:val="00421F27"/>
    <w:rsid w:val="004238D8"/>
    <w:rsid w:val="00423A77"/>
    <w:rsid w:val="004324F4"/>
    <w:rsid w:val="00434544"/>
    <w:rsid w:val="004365B0"/>
    <w:rsid w:val="00445D43"/>
    <w:rsid w:val="00446CD2"/>
    <w:rsid w:val="0045777E"/>
    <w:rsid w:val="00464599"/>
    <w:rsid w:val="00465258"/>
    <w:rsid w:val="00471BC6"/>
    <w:rsid w:val="00476221"/>
    <w:rsid w:val="004766F5"/>
    <w:rsid w:val="00480B4B"/>
    <w:rsid w:val="004838D8"/>
    <w:rsid w:val="00485DC4"/>
    <w:rsid w:val="00494D04"/>
    <w:rsid w:val="004A40BA"/>
    <w:rsid w:val="004A43D1"/>
    <w:rsid w:val="004A492B"/>
    <w:rsid w:val="004B4412"/>
    <w:rsid w:val="004C348C"/>
    <w:rsid w:val="004C462E"/>
    <w:rsid w:val="004C6CA3"/>
    <w:rsid w:val="004C7F5E"/>
    <w:rsid w:val="004D343C"/>
    <w:rsid w:val="004D372A"/>
    <w:rsid w:val="004D55BA"/>
    <w:rsid w:val="004D609E"/>
    <w:rsid w:val="004D720C"/>
    <w:rsid w:val="004E0FA7"/>
    <w:rsid w:val="004E22EC"/>
    <w:rsid w:val="004F0BFA"/>
    <w:rsid w:val="004F13DA"/>
    <w:rsid w:val="004F4D69"/>
    <w:rsid w:val="004F6883"/>
    <w:rsid w:val="004F6A0E"/>
    <w:rsid w:val="004F6BB3"/>
    <w:rsid w:val="005009CD"/>
    <w:rsid w:val="0050160E"/>
    <w:rsid w:val="00504E5F"/>
    <w:rsid w:val="0051337E"/>
    <w:rsid w:val="00513FA7"/>
    <w:rsid w:val="00514018"/>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41C8"/>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601E0B"/>
    <w:rsid w:val="0060258B"/>
    <w:rsid w:val="00605100"/>
    <w:rsid w:val="00610EF9"/>
    <w:rsid w:val="00612F4F"/>
    <w:rsid w:val="00614EA0"/>
    <w:rsid w:val="00615C6B"/>
    <w:rsid w:val="00617D4C"/>
    <w:rsid w:val="00621DCE"/>
    <w:rsid w:val="00621FC5"/>
    <w:rsid w:val="00624F2C"/>
    <w:rsid w:val="00632D6D"/>
    <w:rsid w:val="00636569"/>
    <w:rsid w:val="00636EF9"/>
    <w:rsid w:val="00642C3E"/>
    <w:rsid w:val="00644A01"/>
    <w:rsid w:val="00647660"/>
    <w:rsid w:val="00651E2D"/>
    <w:rsid w:val="00652324"/>
    <w:rsid w:val="006577FB"/>
    <w:rsid w:val="0066104A"/>
    <w:rsid w:val="00663066"/>
    <w:rsid w:val="00663CCA"/>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247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29B1"/>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2C29"/>
    <w:rsid w:val="008658A1"/>
    <w:rsid w:val="0086716A"/>
    <w:rsid w:val="00870613"/>
    <w:rsid w:val="0087380F"/>
    <w:rsid w:val="0087648F"/>
    <w:rsid w:val="00876612"/>
    <w:rsid w:val="0087738C"/>
    <w:rsid w:val="00882BB1"/>
    <w:rsid w:val="008837AC"/>
    <w:rsid w:val="008846FD"/>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11FF"/>
    <w:rsid w:val="008E3F5B"/>
    <w:rsid w:val="008E4089"/>
    <w:rsid w:val="008E5AFF"/>
    <w:rsid w:val="008E7031"/>
    <w:rsid w:val="008E77DE"/>
    <w:rsid w:val="008E7AB8"/>
    <w:rsid w:val="008F040C"/>
    <w:rsid w:val="008F07A3"/>
    <w:rsid w:val="008F3322"/>
    <w:rsid w:val="008F3519"/>
    <w:rsid w:val="008F3A0D"/>
    <w:rsid w:val="009001B6"/>
    <w:rsid w:val="00900E1B"/>
    <w:rsid w:val="0090131F"/>
    <w:rsid w:val="00907683"/>
    <w:rsid w:val="009132B7"/>
    <w:rsid w:val="00916A2C"/>
    <w:rsid w:val="009231FB"/>
    <w:rsid w:val="009233EE"/>
    <w:rsid w:val="00930B1A"/>
    <w:rsid w:val="00932612"/>
    <w:rsid w:val="009327DC"/>
    <w:rsid w:val="009338D9"/>
    <w:rsid w:val="009339BD"/>
    <w:rsid w:val="009356CF"/>
    <w:rsid w:val="00945E53"/>
    <w:rsid w:val="009460AA"/>
    <w:rsid w:val="00951978"/>
    <w:rsid w:val="00952C8B"/>
    <w:rsid w:val="00961A4A"/>
    <w:rsid w:val="009661DE"/>
    <w:rsid w:val="009700FC"/>
    <w:rsid w:val="00972C7C"/>
    <w:rsid w:val="0097718D"/>
    <w:rsid w:val="009776F4"/>
    <w:rsid w:val="00981173"/>
    <w:rsid w:val="00982DA2"/>
    <w:rsid w:val="00983C25"/>
    <w:rsid w:val="0098466D"/>
    <w:rsid w:val="009856B7"/>
    <w:rsid w:val="009859D6"/>
    <w:rsid w:val="00985C86"/>
    <w:rsid w:val="00992B44"/>
    <w:rsid w:val="0099775A"/>
    <w:rsid w:val="009A5FC3"/>
    <w:rsid w:val="009B6F84"/>
    <w:rsid w:val="009B74B0"/>
    <w:rsid w:val="009C0152"/>
    <w:rsid w:val="009C1A74"/>
    <w:rsid w:val="009C1C4F"/>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726D"/>
    <w:rsid w:val="00A073AE"/>
    <w:rsid w:val="00A11C9B"/>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6AB8"/>
    <w:rsid w:val="00A57D04"/>
    <w:rsid w:val="00A60A26"/>
    <w:rsid w:val="00A61598"/>
    <w:rsid w:val="00A61777"/>
    <w:rsid w:val="00A63646"/>
    <w:rsid w:val="00A63914"/>
    <w:rsid w:val="00A73FE7"/>
    <w:rsid w:val="00A80F4B"/>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07B3"/>
    <w:rsid w:val="00AD314E"/>
    <w:rsid w:val="00AD5FCD"/>
    <w:rsid w:val="00AD6B48"/>
    <w:rsid w:val="00AD7A3A"/>
    <w:rsid w:val="00AE1BF1"/>
    <w:rsid w:val="00AE23AB"/>
    <w:rsid w:val="00AE58FB"/>
    <w:rsid w:val="00AE5AF0"/>
    <w:rsid w:val="00AE663D"/>
    <w:rsid w:val="00AE6D84"/>
    <w:rsid w:val="00AE73B3"/>
    <w:rsid w:val="00AF07E7"/>
    <w:rsid w:val="00AF0DD2"/>
    <w:rsid w:val="00AF31E1"/>
    <w:rsid w:val="00AF3BBA"/>
    <w:rsid w:val="00AF4231"/>
    <w:rsid w:val="00B00B0E"/>
    <w:rsid w:val="00B00B26"/>
    <w:rsid w:val="00B02385"/>
    <w:rsid w:val="00B02F9D"/>
    <w:rsid w:val="00B03153"/>
    <w:rsid w:val="00B05766"/>
    <w:rsid w:val="00B1041D"/>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2BB9"/>
    <w:rsid w:val="00B4438A"/>
    <w:rsid w:val="00B45AA2"/>
    <w:rsid w:val="00B479CA"/>
    <w:rsid w:val="00B5084F"/>
    <w:rsid w:val="00B514DD"/>
    <w:rsid w:val="00B52AF0"/>
    <w:rsid w:val="00B53D5F"/>
    <w:rsid w:val="00B54051"/>
    <w:rsid w:val="00B561BD"/>
    <w:rsid w:val="00B56E03"/>
    <w:rsid w:val="00B62129"/>
    <w:rsid w:val="00B62765"/>
    <w:rsid w:val="00B65DF5"/>
    <w:rsid w:val="00B7679F"/>
    <w:rsid w:val="00B77159"/>
    <w:rsid w:val="00B8080B"/>
    <w:rsid w:val="00B82223"/>
    <w:rsid w:val="00B84D85"/>
    <w:rsid w:val="00B858D4"/>
    <w:rsid w:val="00B87BA5"/>
    <w:rsid w:val="00B87C39"/>
    <w:rsid w:val="00B93891"/>
    <w:rsid w:val="00B9562D"/>
    <w:rsid w:val="00BA21DA"/>
    <w:rsid w:val="00BA2B60"/>
    <w:rsid w:val="00BA3C93"/>
    <w:rsid w:val="00BA4665"/>
    <w:rsid w:val="00BA7FD7"/>
    <w:rsid w:val="00BB1681"/>
    <w:rsid w:val="00BB2FB2"/>
    <w:rsid w:val="00BB3304"/>
    <w:rsid w:val="00BB5E01"/>
    <w:rsid w:val="00BB6551"/>
    <w:rsid w:val="00BB7EE9"/>
    <w:rsid w:val="00BC4A10"/>
    <w:rsid w:val="00BC6D25"/>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17DE8"/>
    <w:rsid w:val="00D25A39"/>
    <w:rsid w:val="00D27CFA"/>
    <w:rsid w:val="00D310FA"/>
    <w:rsid w:val="00D325C6"/>
    <w:rsid w:val="00D33F8F"/>
    <w:rsid w:val="00D345BB"/>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4DB8"/>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DF5FBD"/>
    <w:rsid w:val="00E04818"/>
    <w:rsid w:val="00E06442"/>
    <w:rsid w:val="00E06952"/>
    <w:rsid w:val="00E11E61"/>
    <w:rsid w:val="00E157B2"/>
    <w:rsid w:val="00E16055"/>
    <w:rsid w:val="00E20DCB"/>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225"/>
    <w:rsid w:val="00E754B4"/>
    <w:rsid w:val="00E755EC"/>
    <w:rsid w:val="00E7624D"/>
    <w:rsid w:val="00E81724"/>
    <w:rsid w:val="00E819A4"/>
    <w:rsid w:val="00E833FA"/>
    <w:rsid w:val="00E84B74"/>
    <w:rsid w:val="00E87066"/>
    <w:rsid w:val="00E966BF"/>
    <w:rsid w:val="00E96D5D"/>
    <w:rsid w:val="00EA0C04"/>
    <w:rsid w:val="00EA3D42"/>
    <w:rsid w:val="00EA6B1B"/>
    <w:rsid w:val="00EB1CBD"/>
    <w:rsid w:val="00EB3A34"/>
    <w:rsid w:val="00EB3C3F"/>
    <w:rsid w:val="00EB67B3"/>
    <w:rsid w:val="00EC04F1"/>
    <w:rsid w:val="00EC237F"/>
    <w:rsid w:val="00EC573A"/>
    <w:rsid w:val="00EC5D41"/>
    <w:rsid w:val="00ED35C8"/>
    <w:rsid w:val="00ED3968"/>
    <w:rsid w:val="00ED7323"/>
    <w:rsid w:val="00EE12D0"/>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6842"/>
    <w:rsid w:val="00F170C7"/>
    <w:rsid w:val="00F171E0"/>
    <w:rsid w:val="00F20BD3"/>
    <w:rsid w:val="00F22A8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7F1"/>
    <w:rsid w:val="00FA3C7F"/>
    <w:rsid w:val="00FA5DF2"/>
    <w:rsid w:val="00FA6246"/>
    <w:rsid w:val="00FA63D4"/>
    <w:rsid w:val="00FB24ED"/>
    <w:rsid w:val="00FB3304"/>
    <w:rsid w:val="00FB5005"/>
    <w:rsid w:val="00FB60FE"/>
    <w:rsid w:val="00FB74E2"/>
    <w:rsid w:val="00FB778B"/>
    <w:rsid w:val="00FC4438"/>
    <w:rsid w:val="00FD0C54"/>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er.gov.au/system/files/APA%20GasNet%20-%20draft%20decision_0.pdf" TargetMode="External"/><Relationship Id="rId1" Type="http://schemas.openxmlformats.org/officeDocument/2006/relationships/hyperlink" Target="https://www.aer.gov.au/system/files/APA%20GasNet%20-%20draft%20decision_0.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0796A2-E2E2-4997-A3D7-CED2C40C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D00AD224</Template>
  <TotalTime>0</TotalTime>
  <Pages>10</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2017-07-03T04:29:00Z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