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88776A1" wp14:editId="6FDECE82">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1A55121" wp14:editId="4E263B3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926E7B" w:rsidRDefault="00926E7B" w:rsidP="00D5015C">
          <w:pPr>
            <w:pStyle w:val="ReportSubtitle"/>
          </w:pPr>
          <w:r w:rsidRPr="00926E7B">
            <w:t>DRAFT DECISION</w:t>
          </w:r>
        </w:p>
        <w:p w:rsidR="002D557F" w:rsidRDefault="00011AA3" w:rsidP="00D5015C">
          <w:pPr>
            <w:pStyle w:val="ReportSubtitle"/>
          </w:pPr>
          <w:r>
            <w:t>APA VTS Australia</w:t>
          </w:r>
        </w:p>
        <w:p w:rsidR="00D5015C" w:rsidRDefault="002D557F"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D5015C">
            <w:t>Services covered by the access arrangement</w:t>
          </w:r>
        </w:p>
        <w:p w:rsidR="00D5015C" w:rsidRDefault="00D5015C" w:rsidP="00327A1E">
          <w:pPr>
            <w:pStyle w:val="ReportDate"/>
          </w:pPr>
        </w:p>
        <w:p w:rsidR="00D5015C" w:rsidRDefault="00D5015C" w:rsidP="00327A1E">
          <w:pPr>
            <w:pStyle w:val="ReportDate"/>
          </w:pPr>
        </w:p>
        <w:p w:rsidR="000A6C7B" w:rsidRPr="00327A1E" w:rsidRDefault="003E3472"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926E7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3E3472">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171"/>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011AA3">
        <w:t>APA VTS</w:t>
      </w:r>
      <w:r>
        <w:t xml:space="preserve"> </w:t>
      </w:r>
      <w:r w:rsidR="00011AA3">
        <w:t xml:space="preserve">Australia </w:t>
      </w:r>
      <w:r>
        <w:t>for 2018</w:t>
      </w:r>
      <w:r w:rsidR="00FD2283">
        <w:t>–</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172"/>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F214D6" w:rsidRDefault="00430F2E">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55171" w:history="1">
            <w:r w:rsidR="00F214D6" w:rsidRPr="00301439">
              <w:rPr>
                <w:rStyle w:val="Hyperlink"/>
              </w:rPr>
              <w:t>Note</w:t>
            </w:r>
            <w:r w:rsidR="00F214D6">
              <w:rPr>
                <w:webHidden/>
              </w:rPr>
              <w:tab/>
            </w:r>
            <w:r w:rsidR="00F214D6">
              <w:rPr>
                <w:webHidden/>
              </w:rPr>
              <w:fldChar w:fldCharType="begin"/>
            </w:r>
            <w:r w:rsidR="00F214D6">
              <w:rPr>
                <w:webHidden/>
              </w:rPr>
              <w:instrText xml:space="preserve"> PAGEREF _Toc486855171 \h </w:instrText>
            </w:r>
            <w:r w:rsidR="00F214D6">
              <w:rPr>
                <w:webHidden/>
              </w:rPr>
            </w:r>
            <w:r w:rsidR="00F214D6">
              <w:rPr>
                <w:webHidden/>
              </w:rPr>
              <w:fldChar w:fldCharType="separate"/>
            </w:r>
            <w:r w:rsidR="000E655D">
              <w:rPr>
                <w:webHidden/>
              </w:rPr>
              <w:t>1-2</w:t>
            </w:r>
            <w:r w:rsidR="00F214D6">
              <w:rPr>
                <w:webHidden/>
              </w:rPr>
              <w:fldChar w:fldCharType="end"/>
            </w:r>
          </w:hyperlink>
        </w:p>
        <w:p w:rsidR="00F214D6" w:rsidRDefault="00F214D6">
          <w:pPr>
            <w:pStyle w:val="TOC1"/>
            <w:rPr>
              <w:rFonts w:asciiTheme="minorHAnsi" w:eastAsiaTheme="minorEastAsia" w:hAnsiTheme="minorHAnsi"/>
              <w:b w:val="0"/>
              <w:color w:val="auto"/>
              <w:sz w:val="22"/>
              <w:lang w:val="en-AU" w:eastAsia="en-AU"/>
            </w:rPr>
          </w:pPr>
          <w:hyperlink w:anchor="_Toc486855172" w:history="1">
            <w:r w:rsidRPr="00301439">
              <w:rPr>
                <w:rStyle w:val="Hyperlink"/>
              </w:rPr>
              <w:t>Contents</w:t>
            </w:r>
            <w:r>
              <w:rPr>
                <w:webHidden/>
              </w:rPr>
              <w:tab/>
            </w:r>
            <w:r>
              <w:rPr>
                <w:webHidden/>
              </w:rPr>
              <w:fldChar w:fldCharType="begin"/>
            </w:r>
            <w:r>
              <w:rPr>
                <w:webHidden/>
              </w:rPr>
              <w:instrText xml:space="preserve"> PAGEREF _Toc486855172 \h </w:instrText>
            </w:r>
            <w:r>
              <w:rPr>
                <w:webHidden/>
              </w:rPr>
            </w:r>
            <w:r>
              <w:rPr>
                <w:webHidden/>
              </w:rPr>
              <w:fldChar w:fldCharType="separate"/>
            </w:r>
            <w:r w:rsidR="000E655D">
              <w:rPr>
                <w:webHidden/>
              </w:rPr>
              <w:t>1-3</w:t>
            </w:r>
            <w:r>
              <w:rPr>
                <w:webHidden/>
              </w:rPr>
              <w:fldChar w:fldCharType="end"/>
            </w:r>
          </w:hyperlink>
        </w:p>
        <w:p w:rsidR="00F214D6" w:rsidRDefault="00F214D6">
          <w:pPr>
            <w:pStyle w:val="TOC1"/>
            <w:rPr>
              <w:rFonts w:asciiTheme="minorHAnsi" w:eastAsiaTheme="minorEastAsia" w:hAnsiTheme="minorHAnsi"/>
              <w:b w:val="0"/>
              <w:color w:val="auto"/>
              <w:sz w:val="22"/>
              <w:lang w:val="en-AU" w:eastAsia="en-AU"/>
            </w:rPr>
          </w:pPr>
          <w:hyperlink w:anchor="_Toc486855173" w:history="1">
            <w:r w:rsidRPr="00301439">
              <w:rPr>
                <w:rStyle w:val="Hyperlink"/>
              </w:rPr>
              <w:t>Shortened forms</w:t>
            </w:r>
            <w:r>
              <w:rPr>
                <w:webHidden/>
              </w:rPr>
              <w:tab/>
            </w:r>
            <w:r>
              <w:rPr>
                <w:webHidden/>
              </w:rPr>
              <w:fldChar w:fldCharType="begin"/>
            </w:r>
            <w:r>
              <w:rPr>
                <w:webHidden/>
              </w:rPr>
              <w:instrText xml:space="preserve"> PAGEREF _Toc486855173 \h </w:instrText>
            </w:r>
            <w:r>
              <w:rPr>
                <w:webHidden/>
              </w:rPr>
            </w:r>
            <w:r>
              <w:rPr>
                <w:webHidden/>
              </w:rPr>
              <w:fldChar w:fldCharType="separate"/>
            </w:r>
            <w:r w:rsidR="000E655D">
              <w:rPr>
                <w:webHidden/>
              </w:rPr>
              <w:t>1-4</w:t>
            </w:r>
            <w:r>
              <w:rPr>
                <w:webHidden/>
              </w:rPr>
              <w:fldChar w:fldCharType="end"/>
            </w:r>
          </w:hyperlink>
        </w:p>
        <w:p w:rsidR="00F214D6" w:rsidRDefault="00F214D6">
          <w:pPr>
            <w:pStyle w:val="TOC1"/>
            <w:rPr>
              <w:rFonts w:asciiTheme="minorHAnsi" w:eastAsiaTheme="minorEastAsia" w:hAnsiTheme="minorHAnsi"/>
              <w:b w:val="0"/>
              <w:color w:val="auto"/>
              <w:sz w:val="22"/>
              <w:lang w:val="en-AU" w:eastAsia="en-AU"/>
            </w:rPr>
          </w:pPr>
          <w:hyperlink w:anchor="_Toc486855174" w:history="1">
            <w:r w:rsidRPr="00301439">
              <w:rPr>
                <w:rStyle w:val="Hyperlink"/>
              </w:rPr>
              <w:t>1</w:t>
            </w:r>
            <w:r>
              <w:rPr>
                <w:rFonts w:asciiTheme="minorHAnsi" w:eastAsiaTheme="minorEastAsia" w:hAnsiTheme="minorHAnsi"/>
                <w:b w:val="0"/>
                <w:color w:val="auto"/>
                <w:sz w:val="22"/>
                <w:lang w:val="en-AU" w:eastAsia="en-AU"/>
              </w:rPr>
              <w:tab/>
            </w:r>
            <w:r w:rsidRPr="00301439">
              <w:rPr>
                <w:rStyle w:val="Hyperlink"/>
              </w:rPr>
              <w:t>Services covered by the access arrangement</w:t>
            </w:r>
            <w:r>
              <w:rPr>
                <w:webHidden/>
              </w:rPr>
              <w:tab/>
            </w:r>
            <w:r>
              <w:rPr>
                <w:webHidden/>
              </w:rPr>
              <w:fldChar w:fldCharType="begin"/>
            </w:r>
            <w:r>
              <w:rPr>
                <w:webHidden/>
              </w:rPr>
              <w:instrText xml:space="preserve"> PAGEREF _Toc486855174 \h </w:instrText>
            </w:r>
            <w:r>
              <w:rPr>
                <w:webHidden/>
              </w:rPr>
            </w:r>
            <w:r>
              <w:rPr>
                <w:webHidden/>
              </w:rPr>
              <w:fldChar w:fldCharType="separate"/>
            </w:r>
            <w:r w:rsidR="000E655D">
              <w:rPr>
                <w:webHidden/>
              </w:rPr>
              <w:t>1-5</w:t>
            </w:r>
            <w:r>
              <w:rPr>
                <w:webHidden/>
              </w:rPr>
              <w:fldChar w:fldCharType="end"/>
            </w:r>
          </w:hyperlink>
        </w:p>
        <w:p w:rsidR="00F214D6" w:rsidRDefault="00F214D6">
          <w:pPr>
            <w:pStyle w:val="TOC2"/>
            <w:rPr>
              <w:rFonts w:asciiTheme="minorHAnsi" w:eastAsiaTheme="minorEastAsia" w:hAnsiTheme="minorHAnsi"/>
              <w:b w:val="0"/>
              <w:color w:val="auto"/>
              <w:sz w:val="22"/>
              <w:lang w:eastAsia="en-AU"/>
            </w:rPr>
          </w:pPr>
          <w:hyperlink w:anchor="_Toc486855175" w:history="1">
            <w:r w:rsidRPr="00301439">
              <w:rPr>
                <w:rStyle w:val="Hyperlink"/>
              </w:rPr>
              <w:t>1.1</w:t>
            </w:r>
            <w:r>
              <w:rPr>
                <w:rFonts w:asciiTheme="minorHAnsi" w:eastAsiaTheme="minorEastAsia" w:hAnsiTheme="minorHAnsi"/>
                <w:b w:val="0"/>
                <w:color w:val="auto"/>
                <w:sz w:val="22"/>
                <w:lang w:eastAsia="en-AU"/>
              </w:rPr>
              <w:tab/>
            </w:r>
            <w:r w:rsidRPr="00301439">
              <w:rPr>
                <w:rStyle w:val="Hyperlink"/>
              </w:rPr>
              <w:t>Draft decision</w:t>
            </w:r>
            <w:r>
              <w:rPr>
                <w:webHidden/>
              </w:rPr>
              <w:tab/>
            </w:r>
            <w:r>
              <w:rPr>
                <w:webHidden/>
              </w:rPr>
              <w:fldChar w:fldCharType="begin"/>
            </w:r>
            <w:r>
              <w:rPr>
                <w:webHidden/>
              </w:rPr>
              <w:instrText xml:space="preserve"> PAGEREF _Toc486855175 \h </w:instrText>
            </w:r>
            <w:r>
              <w:rPr>
                <w:webHidden/>
              </w:rPr>
            </w:r>
            <w:r>
              <w:rPr>
                <w:webHidden/>
              </w:rPr>
              <w:fldChar w:fldCharType="separate"/>
            </w:r>
            <w:r w:rsidR="000E655D">
              <w:rPr>
                <w:webHidden/>
              </w:rPr>
              <w:t>1-5</w:t>
            </w:r>
            <w:r>
              <w:rPr>
                <w:webHidden/>
              </w:rPr>
              <w:fldChar w:fldCharType="end"/>
            </w:r>
          </w:hyperlink>
        </w:p>
        <w:p w:rsidR="00F214D6" w:rsidRDefault="00F214D6">
          <w:pPr>
            <w:pStyle w:val="TOC2"/>
            <w:rPr>
              <w:rFonts w:asciiTheme="minorHAnsi" w:eastAsiaTheme="minorEastAsia" w:hAnsiTheme="minorHAnsi"/>
              <w:b w:val="0"/>
              <w:color w:val="auto"/>
              <w:sz w:val="22"/>
              <w:lang w:eastAsia="en-AU"/>
            </w:rPr>
          </w:pPr>
          <w:hyperlink w:anchor="_Toc486855176" w:history="1">
            <w:r w:rsidRPr="00301439">
              <w:rPr>
                <w:rStyle w:val="Hyperlink"/>
              </w:rPr>
              <w:t>1.2</w:t>
            </w:r>
            <w:r>
              <w:rPr>
                <w:rFonts w:asciiTheme="minorHAnsi" w:eastAsiaTheme="minorEastAsia" w:hAnsiTheme="minorHAnsi"/>
                <w:b w:val="0"/>
                <w:color w:val="auto"/>
                <w:sz w:val="22"/>
                <w:lang w:eastAsia="en-AU"/>
              </w:rPr>
              <w:tab/>
            </w:r>
            <w:r w:rsidRPr="00301439">
              <w:rPr>
                <w:rStyle w:val="Hyperlink"/>
              </w:rPr>
              <w:t>APA’s proposal</w:t>
            </w:r>
            <w:r>
              <w:rPr>
                <w:webHidden/>
              </w:rPr>
              <w:tab/>
            </w:r>
            <w:r>
              <w:rPr>
                <w:webHidden/>
              </w:rPr>
              <w:fldChar w:fldCharType="begin"/>
            </w:r>
            <w:r>
              <w:rPr>
                <w:webHidden/>
              </w:rPr>
              <w:instrText xml:space="preserve"> PAGEREF _Toc486855176 \h </w:instrText>
            </w:r>
            <w:r>
              <w:rPr>
                <w:webHidden/>
              </w:rPr>
            </w:r>
            <w:r>
              <w:rPr>
                <w:webHidden/>
              </w:rPr>
              <w:fldChar w:fldCharType="separate"/>
            </w:r>
            <w:r w:rsidR="000E655D">
              <w:rPr>
                <w:webHidden/>
              </w:rPr>
              <w:t>1-5</w:t>
            </w:r>
            <w:r>
              <w:rPr>
                <w:webHidden/>
              </w:rPr>
              <w:fldChar w:fldCharType="end"/>
            </w:r>
          </w:hyperlink>
        </w:p>
        <w:p w:rsidR="00F214D6" w:rsidRDefault="00F214D6">
          <w:pPr>
            <w:pStyle w:val="TOC2"/>
            <w:rPr>
              <w:rFonts w:asciiTheme="minorHAnsi" w:eastAsiaTheme="minorEastAsia" w:hAnsiTheme="minorHAnsi"/>
              <w:b w:val="0"/>
              <w:color w:val="auto"/>
              <w:sz w:val="22"/>
              <w:lang w:eastAsia="en-AU"/>
            </w:rPr>
          </w:pPr>
          <w:hyperlink w:anchor="_Toc486855177" w:history="1">
            <w:r w:rsidRPr="00301439">
              <w:rPr>
                <w:rStyle w:val="Hyperlink"/>
              </w:rPr>
              <w:t>1.3</w:t>
            </w:r>
            <w:r>
              <w:rPr>
                <w:rFonts w:asciiTheme="minorHAnsi" w:eastAsiaTheme="minorEastAsia" w:hAnsiTheme="minorHAnsi"/>
                <w:b w:val="0"/>
                <w:color w:val="auto"/>
                <w:sz w:val="22"/>
                <w:lang w:eastAsia="en-AU"/>
              </w:rPr>
              <w:tab/>
            </w:r>
            <w:r w:rsidRPr="00301439">
              <w:rPr>
                <w:rStyle w:val="Hyperlink"/>
              </w:rPr>
              <w:t>Assessment approach</w:t>
            </w:r>
            <w:r>
              <w:rPr>
                <w:webHidden/>
              </w:rPr>
              <w:tab/>
            </w:r>
            <w:r>
              <w:rPr>
                <w:webHidden/>
              </w:rPr>
              <w:fldChar w:fldCharType="begin"/>
            </w:r>
            <w:r>
              <w:rPr>
                <w:webHidden/>
              </w:rPr>
              <w:instrText xml:space="preserve"> PAGEREF _Toc486855177 \h </w:instrText>
            </w:r>
            <w:r>
              <w:rPr>
                <w:webHidden/>
              </w:rPr>
            </w:r>
            <w:r>
              <w:rPr>
                <w:webHidden/>
              </w:rPr>
              <w:fldChar w:fldCharType="separate"/>
            </w:r>
            <w:r w:rsidR="000E655D">
              <w:rPr>
                <w:webHidden/>
              </w:rPr>
              <w:t>1-5</w:t>
            </w:r>
            <w:r>
              <w:rPr>
                <w:webHidden/>
              </w:rPr>
              <w:fldChar w:fldCharType="end"/>
            </w:r>
          </w:hyperlink>
        </w:p>
        <w:p w:rsidR="00F214D6" w:rsidRDefault="00F214D6">
          <w:pPr>
            <w:pStyle w:val="TOC2"/>
            <w:rPr>
              <w:rFonts w:asciiTheme="minorHAnsi" w:eastAsiaTheme="minorEastAsia" w:hAnsiTheme="minorHAnsi"/>
              <w:b w:val="0"/>
              <w:color w:val="auto"/>
              <w:sz w:val="22"/>
              <w:lang w:eastAsia="en-AU"/>
            </w:rPr>
          </w:pPr>
          <w:hyperlink w:anchor="_Toc486855178" w:history="1">
            <w:r w:rsidRPr="00301439">
              <w:rPr>
                <w:rStyle w:val="Hyperlink"/>
              </w:rPr>
              <w:t>1.4</w:t>
            </w:r>
            <w:r>
              <w:rPr>
                <w:rFonts w:asciiTheme="minorHAnsi" w:eastAsiaTheme="minorEastAsia" w:hAnsiTheme="minorHAnsi"/>
                <w:b w:val="0"/>
                <w:color w:val="auto"/>
                <w:sz w:val="22"/>
                <w:lang w:eastAsia="en-AU"/>
              </w:rPr>
              <w:tab/>
            </w:r>
            <w:r w:rsidRPr="00301439">
              <w:rPr>
                <w:rStyle w:val="Hyperlink"/>
              </w:rPr>
              <w:t>Reasons for draft decision</w:t>
            </w:r>
            <w:r>
              <w:rPr>
                <w:webHidden/>
              </w:rPr>
              <w:tab/>
            </w:r>
            <w:r>
              <w:rPr>
                <w:webHidden/>
              </w:rPr>
              <w:fldChar w:fldCharType="begin"/>
            </w:r>
            <w:r>
              <w:rPr>
                <w:webHidden/>
              </w:rPr>
              <w:instrText xml:space="preserve"> PAGEREF _Toc486855178 \h </w:instrText>
            </w:r>
            <w:r>
              <w:rPr>
                <w:webHidden/>
              </w:rPr>
            </w:r>
            <w:r>
              <w:rPr>
                <w:webHidden/>
              </w:rPr>
              <w:fldChar w:fldCharType="separate"/>
            </w:r>
            <w:r w:rsidR="000E655D">
              <w:rPr>
                <w:webHidden/>
              </w:rPr>
              <w:t>1-6</w:t>
            </w:r>
            <w:r>
              <w:rPr>
                <w:webHidden/>
              </w:rPr>
              <w:fldChar w:fldCharType="end"/>
            </w:r>
          </w:hyperlink>
        </w:p>
        <w:p w:rsidR="00CE2A23" w:rsidRDefault="00430F2E" w:rsidP="00430F2E">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55173"/>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3E3472" w:rsidTr="003E3472">
        <w:trPr>
          <w:cnfStyle w:val="100000000000" w:firstRow="1" w:lastRow="0" w:firstColumn="0" w:lastColumn="0" w:oddVBand="0" w:evenVBand="0" w:oddHBand="0" w:evenHBand="0" w:firstRowFirstColumn="0" w:firstRowLastColumn="0" w:lastRowFirstColumn="0" w:lastRowLastColumn="0"/>
        </w:trPr>
        <w:tc>
          <w:tcPr>
            <w:tcW w:w="4340" w:type="dxa"/>
          </w:tcPr>
          <w:p w:rsidR="003E3472" w:rsidRDefault="003E3472" w:rsidP="003E3472">
            <w:pPr>
              <w:numPr>
                <w:ilvl w:val="0"/>
                <w:numId w:val="24"/>
              </w:numPr>
            </w:pPr>
            <w:r>
              <w:t>Shortened form</w:t>
            </w:r>
          </w:p>
        </w:tc>
        <w:tc>
          <w:tcPr>
            <w:tcW w:w="4353" w:type="dxa"/>
          </w:tcPr>
          <w:p w:rsidR="003E3472" w:rsidRDefault="003E3472" w:rsidP="003E3472">
            <w:pPr>
              <w:numPr>
                <w:ilvl w:val="0"/>
                <w:numId w:val="24"/>
              </w:numPr>
            </w:pPr>
            <w:r>
              <w:t>Extended form</w:t>
            </w:r>
          </w:p>
        </w:tc>
      </w:tr>
      <w:tr w:rsidR="003E3472" w:rsidTr="003E3472">
        <w:tc>
          <w:tcPr>
            <w:tcW w:w="4340" w:type="dxa"/>
          </w:tcPr>
          <w:p w:rsidR="003E3472" w:rsidRDefault="003E3472" w:rsidP="003E3472">
            <w:pPr>
              <w:numPr>
                <w:ilvl w:val="0"/>
                <w:numId w:val="24"/>
              </w:numPr>
            </w:pPr>
            <w:r>
              <w:t>AER</w:t>
            </w:r>
          </w:p>
        </w:tc>
        <w:tc>
          <w:tcPr>
            <w:tcW w:w="4353" w:type="dxa"/>
          </w:tcPr>
          <w:p w:rsidR="003E3472" w:rsidRDefault="003E3472" w:rsidP="003E3472">
            <w:pPr>
              <w:numPr>
                <w:ilvl w:val="0"/>
                <w:numId w:val="24"/>
              </w:numPr>
            </w:pPr>
            <w:r>
              <w:t>Australian Energy Regulator</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ATO</w:t>
            </w:r>
          </w:p>
        </w:tc>
        <w:tc>
          <w:tcPr>
            <w:tcW w:w="4353" w:type="dxa"/>
          </w:tcPr>
          <w:p w:rsidR="003E3472" w:rsidRPr="003E3472" w:rsidRDefault="003E3472" w:rsidP="003E3472">
            <w:r>
              <w:t>Australian Tax Office</w:t>
            </w:r>
          </w:p>
        </w:tc>
      </w:tr>
      <w:tr w:rsidR="003E3472" w:rsidTr="003E3472">
        <w:tc>
          <w:tcPr>
            <w:tcW w:w="4340" w:type="dxa"/>
          </w:tcPr>
          <w:p w:rsidR="003E3472" w:rsidRDefault="003E3472" w:rsidP="003E3472">
            <w:pPr>
              <w:numPr>
                <w:ilvl w:val="0"/>
                <w:numId w:val="24"/>
              </w:numPr>
            </w:pPr>
            <w:r>
              <w:t>capex</w:t>
            </w:r>
          </w:p>
        </w:tc>
        <w:tc>
          <w:tcPr>
            <w:tcW w:w="4353" w:type="dxa"/>
          </w:tcPr>
          <w:p w:rsidR="003E3472" w:rsidRDefault="003E3472" w:rsidP="003E3472">
            <w:pPr>
              <w:numPr>
                <w:ilvl w:val="0"/>
                <w:numId w:val="24"/>
              </w:numPr>
            </w:pPr>
            <w:r>
              <w:t>capital expenditure</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CAPM</w:t>
            </w:r>
          </w:p>
        </w:tc>
        <w:tc>
          <w:tcPr>
            <w:tcW w:w="4353" w:type="dxa"/>
          </w:tcPr>
          <w:p w:rsidR="003E3472" w:rsidRDefault="003E3472" w:rsidP="003E3472">
            <w:pPr>
              <w:numPr>
                <w:ilvl w:val="0"/>
                <w:numId w:val="24"/>
              </w:numPr>
            </w:pPr>
            <w:r>
              <w:t>capital asset pricing model</w:t>
            </w:r>
          </w:p>
        </w:tc>
      </w:tr>
      <w:tr w:rsidR="003E3472" w:rsidTr="003E3472">
        <w:tc>
          <w:tcPr>
            <w:tcW w:w="4340" w:type="dxa"/>
          </w:tcPr>
          <w:p w:rsidR="003E3472" w:rsidRDefault="003E3472" w:rsidP="003E3472">
            <w:pPr>
              <w:numPr>
                <w:ilvl w:val="0"/>
                <w:numId w:val="24"/>
              </w:numPr>
            </w:pPr>
            <w:r>
              <w:t>CPI</w:t>
            </w:r>
          </w:p>
        </w:tc>
        <w:tc>
          <w:tcPr>
            <w:tcW w:w="4353" w:type="dxa"/>
          </w:tcPr>
          <w:p w:rsidR="003E3472" w:rsidRDefault="003E3472" w:rsidP="003E3472">
            <w:pPr>
              <w:numPr>
                <w:ilvl w:val="0"/>
                <w:numId w:val="24"/>
              </w:numPr>
            </w:pPr>
            <w:r>
              <w:t>consumer price index</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DRP</w:t>
            </w:r>
          </w:p>
        </w:tc>
        <w:tc>
          <w:tcPr>
            <w:tcW w:w="4353" w:type="dxa"/>
          </w:tcPr>
          <w:p w:rsidR="003E3472" w:rsidRDefault="003E3472" w:rsidP="003E3472">
            <w:pPr>
              <w:numPr>
                <w:ilvl w:val="0"/>
                <w:numId w:val="24"/>
              </w:numPr>
            </w:pPr>
            <w:r>
              <w:t>debt risk premium</w:t>
            </w:r>
          </w:p>
        </w:tc>
      </w:tr>
      <w:tr w:rsidR="003E3472" w:rsidTr="003E3472">
        <w:tc>
          <w:tcPr>
            <w:tcW w:w="4340" w:type="dxa"/>
          </w:tcPr>
          <w:p w:rsidR="003E3472" w:rsidRDefault="003E3472" w:rsidP="003E3472">
            <w:pPr>
              <w:numPr>
                <w:ilvl w:val="0"/>
                <w:numId w:val="24"/>
              </w:numPr>
            </w:pPr>
            <w:r>
              <w:t>ECM</w:t>
            </w:r>
          </w:p>
        </w:tc>
        <w:tc>
          <w:tcPr>
            <w:tcW w:w="4353" w:type="dxa"/>
          </w:tcPr>
          <w:p w:rsidR="003E3472" w:rsidRPr="003E3472" w:rsidRDefault="003E3472" w:rsidP="003E3472">
            <w:r>
              <w:t>(Opex) Efficiency Carryover Mechanism</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ERP</w:t>
            </w:r>
          </w:p>
        </w:tc>
        <w:tc>
          <w:tcPr>
            <w:tcW w:w="4353" w:type="dxa"/>
          </w:tcPr>
          <w:p w:rsidR="003E3472" w:rsidRDefault="003E3472" w:rsidP="003E3472">
            <w:pPr>
              <w:numPr>
                <w:ilvl w:val="0"/>
                <w:numId w:val="24"/>
              </w:numPr>
            </w:pPr>
            <w:r>
              <w:t>equity risk premium</w:t>
            </w:r>
          </w:p>
        </w:tc>
      </w:tr>
      <w:tr w:rsidR="003E3472" w:rsidTr="003E3472">
        <w:tc>
          <w:tcPr>
            <w:tcW w:w="4340" w:type="dxa"/>
          </w:tcPr>
          <w:p w:rsidR="003E3472" w:rsidRDefault="003E3472" w:rsidP="003E3472">
            <w:pPr>
              <w:numPr>
                <w:ilvl w:val="0"/>
                <w:numId w:val="24"/>
              </w:numPr>
            </w:pPr>
            <w:r>
              <w:t>Expenditure Guideline</w:t>
            </w:r>
          </w:p>
        </w:tc>
        <w:tc>
          <w:tcPr>
            <w:tcW w:w="4353" w:type="dxa"/>
          </w:tcPr>
          <w:p w:rsidR="003E3472" w:rsidRPr="003E3472" w:rsidRDefault="003E3472" w:rsidP="003E3472">
            <w:r>
              <w:t xml:space="preserve">Expenditure Forecast </w:t>
            </w:r>
            <w:r w:rsidRPr="003E3472">
              <w:t>Assessment Guideline</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gamma</w:t>
            </w:r>
          </w:p>
        </w:tc>
        <w:tc>
          <w:tcPr>
            <w:tcW w:w="4353" w:type="dxa"/>
          </w:tcPr>
          <w:p w:rsidR="003E3472" w:rsidRPr="003E3472" w:rsidRDefault="003E3472" w:rsidP="003E3472">
            <w:r>
              <w:t>Value of Imputation Credits</w:t>
            </w:r>
          </w:p>
        </w:tc>
      </w:tr>
      <w:tr w:rsidR="003E3472" w:rsidTr="003E3472">
        <w:tc>
          <w:tcPr>
            <w:tcW w:w="4340" w:type="dxa"/>
          </w:tcPr>
          <w:p w:rsidR="003E3472" w:rsidRDefault="003E3472" w:rsidP="003E3472">
            <w:pPr>
              <w:numPr>
                <w:ilvl w:val="0"/>
                <w:numId w:val="24"/>
              </w:numPr>
            </w:pPr>
            <w:r>
              <w:t>MRP</w:t>
            </w:r>
          </w:p>
        </w:tc>
        <w:tc>
          <w:tcPr>
            <w:tcW w:w="4353" w:type="dxa"/>
          </w:tcPr>
          <w:p w:rsidR="003E3472" w:rsidRDefault="003E3472" w:rsidP="003E3472">
            <w:pPr>
              <w:numPr>
                <w:ilvl w:val="0"/>
                <w:numId w:val="24"/>
              </w:numPr>
            </w:pPr>
            <w:r>
              <w:t>market risk premium</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NGL</w:t>
            </w:r>
          </w:p>
        </w:tc>
        <w:tc>
          <w:tcPr>
            <w:tcW w:w="4353" w:type="dxa"/>
          </w:tcPr>
          <w:p w:rsidR="003E3472" w:rsidRDefault="003E3472" w:rsidP="003E3472">
            <w:pPr>
              <w:numPr>
                <w:ilvl w:val="0"/>
                <w:numId w:val="24"/>
              </w:numPr>
            </w:pPr>
            <w:r>
              <w:t>National Gas Law</w:t>
            </w:r>
          </w:p>
        </w:tc>
      </w:tr>
      <w:tr w:rsidR="003E3472" w:rsidTr="003E3472">
        <w:tc>
          <w:tcPr>
            <w:tcW w:w="4340" w:type="dxa"/>
          </w:tcPr>
          <w:p w:rsidR="003E3472" w:rsidRDefault="003E3472" w:rsidP="003E3472">
            <w:pPr>
              <w:numPr>
                <w:ilvl w:val="0"/>
                <w:numId w:val="24"/>
              </w:numPr>
            </w:pPr>
            <w:r>
              <w:t>NGO</w:t>
            </w:r>
          </w:p>
        </w:tc>
        <w:tc>
          <w:tcPr>
            <w:tcW w:w="4353" w:type="dxa"/>
          </w:tcPr>
          <w:p w:rsidR="003E3472" w:rsidRDefault="003E3472" w:rsidP="003E3472">
            <w:pPr>
              <w:numPr>
                <w:ilvl w:val="0"/>
                <w:numId w:val="24"/>
              </w:numPr>
            </w:pPr>
            <w:r>
              <w:t>national gas objective</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NGR</w:t>
            </w:r>
          </w:p>
        </w:tc>
        <w:tc>
          <w:tcPr>
            <w:tcW w:w="4353" w:type="dxa"/>
          </w:tcPr>
          <w:p w:rsidR="003E3472" w:rsidRDefault="003E3472" w:rsidP="003E3472">
            <w:pPr>
              <w:numPr>
                <w:ilvl w:val="0"/>
                <w:numId w:val="24"/>
              </w:numPr>
            </w:pPr>
            <w:r>
              <w:t>National Gas Rules</w:t>
            </w:r>
          </w:p>
        </w:tc>
      </w:tr>
      <w:tr w:rsidR="003E3472" w:rsidTr="003E3472">
        <w:tc>
          <w:tcPr>
            <w:tcW w:w="4340" w:type="dxa"/>
          </w:tcPr>
          <w:p w:rsidR="003E3472" w:rsidRDefault="003E3472" w:rsidP="003E3472">
            <w:pPr>
              <w:numPr>
                <w:ilvl w:val="0"/>
                <w:numId w:val="24"/>
              </w:numPr>
            </w:pPr>
            <w:r>
              <w:t>NPV</w:t>
            </w:r>
          </w:p>
        </w:tc>
        <w:tc>
          <w:tcPr>
            <w:tcW w:w="4353" w:type="dxa"/>
          </w:tcPr>
          <w:p w:rsidR="003E3472" w:rsidRPr="003E3472" w:rsidRDefault="003E3472" w:rsidP="003E3472">
            <w:r>
              <w:t>net present value</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opex</w:t>
            </w:r>
          </w:p>
        </w:tc>
        <w:tc>
          <w:tcPr>
            <w:tcW w:w="4353" w:type="dxa"/>
          </w:tcPr>
          <w:p w:rsidR="003E3472" w:rsidRDefault="003E3472" w:rsidP="003E3472">
            <w:pPr>
              <w:numPr>
                <w:ilvl w:val="0"/>
                <w:numId w:val="24"/>
              </w:numPr>
            </w:pPr>
            <w:r>
              <w:t>operating expenditure</w:t>
            </w:r>
          </w:p>
        </w:tc>
      </w:tr>
      <w:tr w:rsidR="003E3472" w:rsidTr="003E3472">
        <w:tc>
          <w:tcPr>
            <w:tcW w:w="4340" w:type="dxa"/>
          </w:tcPr>
          <w:p w:rsidR="003E3472" w:rsidRDefault="003E3472" w:rsidP="003E3472">
            <w:pPr>
              <w:numPr>
                <w:ilvl w:val="0"/>
                <w:numId w:val="24"/>
              </w:numPr>
            </w:pPr>
            <w:r>
              <w:t>PTRM</w:t>
            </w:r>
          </w:p>
        </w:tc>
        <w:tc>
          <w:tcPr>
            <w:tcW w:w="4353" w:type="dxa"/>
          </w:tcPr>
          <w:p w:rsidR="003E3472" w:rsidRDefault="003E3472" w:rsidP="003E3472">
            <w:pPr>
              <w:numPr>
                <w:ilvl w:val="0"/>
                <w:numId w:val="24"/>
              </w:numPr>
            </w:pPr>
            <w:r>
              <w:t>post-tax revenue model</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RBA</w:t>
            </w:r>
          </w:p>
        </w:tc>
        <w:tc>
          <w:tcPr>
            <w:tcW w:w="4353" w:type="dxa"/>
          </w:tcPr>
          <w:p w:rsidR="003E3472" w:rsidRDefault="003E3472" w:rsidP="003E3472">
            <w:pPr>
              <w:numPr>
                <w:ilvl w:val="0"/>
                <w:numId w:val="24"/>
              </w:numPr>
            </w:pPr>
            <w:r>
              <w:t>Reserve Bank of Australia</w:t>
            </w:r>
          </w:p>
        </w:tc>
      </w:tr>
      <w:tr w:rsidR="003E3472" w:rsidTr="003E3472">
        <w:tc>
          <w:tcPr>
            <w:tcW w:w="4340" w:type="dxa"/>
          </w:tcPr>
          <w:p w:rsidR="003E3472" w:rsidRDefault="003E3472" w:rsidP="003E3472">
            <w:pPr>
              <w:numPr>
                <w:ilvl w:val="0"/>
                <w:numId w:val="24"/>
              </w:numPr>
            </w:pPr>
            <w:r>
              <w:t>RFM</w:t>
            </w:r>
          </w:p>
        </w:tc>
        <w:tc>
          <w:tcPr>
            <w:tcW w:w="4353" w:type="dxa"/>
          </w:tcPr>
          <w:p w:rsidR="003E3472" w:rsidRDefault="003E3472" w:rsidP="003E3472">
            <w:pPr>
              <w:numPr>
                <w:ilvl w:val="0"/>
                <w:numId w:val="24"/>
              </w:numPr>
            </w:pPr>
            <w:r>
              <w:t>roll forward model</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RIN</w:t>
            </w:r>
          </w:p>
        </w:tc>
        <w:tc>
          <w:tcPr>
            <w:tcW w:w="4353" w:type="dxa"/>
          </w:tcPr>
          <w:p w:rsidR="003E3472" w:rsidRDefault="003E3472" w:rsidP="003E3472">
            <w:pPr>
              <w:numPr>
                <w:ilvl w:val="0"/>
                <w:numId w:val="24"/>
              </w:numPr>
            </w:pPr>
            <w:r>
              <w:t>regulatory information notice</w:t>
            </w:r>
          </w:p>
        </w:tc>
      </w:tr>
      <w:tr w:rsidR="003E3472" w:rsidTr="003E3472">
        <w:tc>
          <w:tcPr>
            <w:tcW w:w="4340" w:type="dxa"/>
          </w:tcPr>
          <w:p w:rsidR="003E3472" w:rsidRDefault="003E3472" w:rsidP="003E3472">
            <w:pPr>
              <w:numPr>
                <w:ilvl w:val="0"/>
                <w:numId w:val="24"/>
              </w:numPr>
            </w:pPr>
            <w:r>
              <w:t>RPP</w:t>
            </w:r>
          </w:p>
        </w:tc>
        <w:tc>
          <w:tcPr>
            <w:tcW w:w="4353" w:type="dxa"/>
          </w:tcPr>
          <w:p w:rsidR="003E3472" w:rsidRDefault="003E3472" w:rsidP="003E3472">
            <w:pPr>
              <w:numPr>
                <w:ilvl w:val="0"/>
                <w:numId w:val="24"/>
              </w:numPr>
            </w:pPr>
            <w:r>
              <w:t>revenue and pricing principles</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SLCAPM</w:t>
            </w:r>
          </w:p>
        </w:tc>
        <w:tc>
          <w:tcPr>
            <w:tcW w:w="4353" w:type="dxa"/>
          </w:tcPr>
          <w:p w:rsidR="003E3472" w:rsidRDefault="003E3472" w:rsidP="003E3472">
            <w:pPr>
              <w:numPr>
                <w:ilvl w:val="0"/>
                <w:numId w:val="24"/>
              </w:numPr>
            </w:pPr>
            <w:r>
              <w:t>Sharpe-Lintner capital asset pricing model</w:t>
            </w:r>
          </w:p>
        </w:tc>
      </w:tr>
      <w:tr w:rsidR="003E3472" w:rsidTr="003E3472">
        <w:tc>
          <w:tcPr>
            <w:tcW w:w="4340" w:type="dxa"/>
          </w:tcPr>
          <w:p w:rsidR="003E3472" w:rsidRDefault="003E3472" w:rsidP="003E3472">
            <w:pPr>
              <w:numPr>
                <w:ilvl w:val="0"/>
                <w:numId w:val="24"/>
              </w:numPr>
            </w:pPr>
            <w:r>
              <w:t>STTM</w:t>
            </w:r>
          </w:p>
        </w:tc>
        <w:tc>
          <w:tcPr>
            <w:tcW w:w="4353" w:type="dxa"/>
          </w:tcPr>
          <w:p w:rsidR="003E3472" w:rsidRPr="003E3472" w:rsidRDefault="003E3472" w:rsidP="003E3472">
            <w:r>
              <w:t xml:space="preserve">Short Term Trading </w:t>
            </w:r>
            <w:r w:rsidRPr="003E3472">
              <w:t>Market</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TAB</w:t>
            </w:r>
          </w:p>
        </w:tc>
        <w:tc>
          <w:tcPr>
            <w:tcW w:w="4353" w:type="dxa"/>
          </w:tcPr>
          <w:p w:rsidR="003E3472" w:rsidRPr="003E3472" w:rsidRDefault="003E3472" w:rsidP="003E3472">
            <w:r>
              <w:t>Tax asset base</w:t>
            </w:r>
          </w:p>
        </w:tc>
      </w:tr>
      <w:tr w:rsidR="003E3472" w:rsidTr="003E3472">
        <w:tc>
          <w:tcPr>
            <w:tcW w:w="4340" w:type="dxa"/>
          </w:tcPr>
          <w:p w:rsidR="003E3472" w:rsidRDefault="003E3472" w:rsidP="003E3472">
            <w:pPr>
              <w:numPr>
                <w:ilvl w:val="0"/>
                <w:numId w:val="24"/>
              </w:numPr>
            </w:pPr>
            <w:r>
              <w:t>UAFG</w:t>
            </w:r>
          </w:p>
        </w:tc>
        <w:tc>
          <w:tcPr>
            <w:tcW w:w="4353" w:type="dxa"/>
          </w:tcPr>
          <w:p w:rsidR="003E3472" w:rsidRPr="003E3472" w:rsidRDefault="003E3472" w:rsidP="003E3472">
            <w:r>
              <w:t>Unaccounted for gas</w:t>
            </w:r>
          </w:p>
        </w:tc>
      </w:tr>
      <w:tr w:rsidR="003E3472" w:rsidTr="003E3472">
        <w:trPr>
          <w:cnfStyle w:val="000000010000" w:firstRow="0" w:lastRow="0" w:firstColumn="0" w:lastColumn="0" w:oddVBand="0" w:evenVBand="0" w:oddHBand="0" w:evenHBand="1" w:firstRowFirstColumn="0" w:firstRowLastColumn="0" w:lastRowFirstColumn="0" w:lastRowLastColumn="0"/>
        </w:trPr>
        <w:tc>
          <w:tcPr>
            <w:tcW w:w="4340" w:type="dxa"/>
          </w:tcPr>
          <w:p w:rsidR="003E3472" w:rsidRDefault="003E3472" w:rsidP="003E3472">
            <w:pPr>
              <w:numPr>
                <w:ilvl w:val="0"/>
                <w:numId w:val="24"/>
              </w:numPr>
            </w:pPr>
            <w:r>
              <w:t>WACC</w:t>
            </w:r>
          </w:p>
        </w:tc>
        <w:tc>
          <w:tcPr>
            <w:tcW w:w="4353" w:type="dxa"/>
          </w:tcPr>
          <w:p w:rsidR="003E3472" w:rsidRDefault="003E3472" w:rsidP="003E3472">
            <w:pPr>
              <w:numPr>
                <w:ilvl w:val="0"/>
                <w:numId w:val="24"/>
              </w:numPr>
            </w:pPr>
            <w:r>
              <w:t>weighted average cost of capital</w:t>
            </w:r>
          </w:p>
        </w:tc>
      </w:tr>
      <w:tr w:rsidR="003E3472" w:rsidTr="003E3472">
        <w:tc>
          <w:tcPr>
            <w:tcW w:w="4340" w:type="dxa"/>
          </w:tcPr>
          <w:p w:rsidR="003E3472" w:rsidRDefault="003E3472" w:rsidP="003E3472">
            <w:pPr>
              <w:numPr>
                <w:ilvl w:val="0"/>
                <w:numId w:val="24"/>
              </w:numPr>
            </w:pPr>
            <w:r>
              <w:t>WPI</w:t>
            </w:r>
          </w:p>
        </w:tc>
        <w:tc>
          <w:tcPr>
            <w:tcW w:w="4353" w:type="dxa"/>
          </w:tcPr>
          <w:p w:rsidR="003E3472" w:rsidRPr="003E3472" w:rsidRDefault="003E3472" w:rsidP="003E3472">
            <w:r>
              <w:t>Wage Price Index</w:t>
            </w:r>
          </w:p>
        </w:tc>
      </w:tr>
    </w:tbl>
    <w:p w:rsidR="00DE563D" w:rsidRDefault="00D5015C" w:rsidP="00471BC6">
      <w:pPr>
        <w:pStyle w:val="Heading1"/>
      </w:pPr>
      <w:bookmarkStart w:id="13" w:name="_Toc485997537"/>
      <w:bookmarkStart w:id="14" w:name="_Toc485997540"/>
      <w:bookmarkStart w:id="15" w:name="_Toc485997543"/>
      <w:bookmarkStart w:id="16" w:name="_Toc485997546"/>
      <w:bookmarkStart w:id="17" w:name="_Toc485997549"/>
      <w:bookmarkStart w:id="18" w:name="_Toc485997552"/>
      <w:bookmarkStart w:id="19" w:name="_Toc485997555"/>
      <w:bookmarkStart w:id="20" w:name="_Toc485997558"/>
      <w:bookmarkStart w:id="21" w:name="_Toc485997561"/>
      <w:bookmarkStart w:id="22" w:name="_Toc485997564"/>
      <w:bookmarkStart w:id="23" w:name="_Toc485997567"/>
      <w:bookmarkStart w:id="24" w:name="_Toc485997570"/>
      <w:bookmarkStart w:id="25" w:name="_Toc485997573"/>
      <w:bookmarkStart w:id="26" w:name="_Toc485997576"/>
      <w:bookmarkStart w:id="27" w:name="_Toc485997579"/>
      <w:bookmarkStart w:id="28" w:name="_Toc485997582"/>
      <w:bookmarkStart w:id="29" w:name="_Toc485997585"/>
      <w:bookmarkStart w:id="30" w:name="_Toc485997588"/>
      <w:bookmarkStart w:id="31" w:name="_Toc485997591"/>
      <w:bookmarkStart w:id="32" w:name="_Toc485997594"/>
      <w:bookmarkStart w:id="33" w:name="_Toc485997597"/>
      <w:bookmarkStart w:id="34" w:name="_Toc485997600"/>
      <w:bookmarkStart w:id="35" w:name="_Toc485997603"/>
      <w:bookmarkStart w:id="36" w:name="_Toc485997606"/>
      <w:bookmarkStart w:id="37" w:name="_Toc485997609"/>
      <w:bookmarkStart w:id="38" w:name="_Toc485997612"/>
      <w:bookmarkStart w:id="39" w:name="_Toc485997615"/>
      <w:bookmarkStart w:id="40" w:name="_Toc485997618"/>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85517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Services covered by the access arrangement</w:t>
      </w:r>
      <w:bookmarkEnd w:id="99"/>
    </w:p>
    <w:p w:rsidR="00390065" w:rsidRPr="00390065" w:rsidRDefault="00390065" w:rsidP="00390065">
      <w:r w:rsidRPr="00390065">
        <w:t>The NGR require an access arrangement to identify:</w:t>
      </w:r>
    </w:p>
    <w:p w:rsidR="00390065" w:rsidRPr="00390065" w:rsidRDefault="00390065" w:rsidP="00E07C42">
      <w:pPr>
        <w:pStyle w:val="AERbulletlistfirststyle"/>
      </w:pPr>
      <w:r w:rsidRPr="00390065">
        <w:t>the pipeline which the access arrangement relates to, and</w:t>
      </w:r>
    </w:p>
    <w:p w:rsidR="00283227" w:rsidRDefault="00390065" w:rsidP="00E07C42">
      <w:pPr>
        <w:pStyle w:val="AERbulletlistfirststyle"/>
      </w:pPr>
      <w:r w:rsidRPr="00390065">
        <w:t>the services which AP</w:t>
      </w:r>
      <w:r>
        <w:t>A</w:t>
      </w:r>
      <w:r w:rsidRPr="00390065">
        <w:t xml:space="preserve"> </w:t>
      </w:r>
      <w:r>
        <w:t>VTS Australia</w:t>
      </w:r>
      <w:r w:rsidRPr="00390065">
        <w:t xml:space="preserve"> (</w:t>
      </w:r>
      <w:r>
        <w:t>Operations</w:t>
      </w:r>
      <w:r w:rsidRPr="00390065">
        <w:t>) Pty Limited (AP</w:t>
      </w:r>
      <w:r>
        <w:t>A</w:t>
      </w:r>
      <w:r w:rsidRPr="00390065">
        <w:t>) proposes to offer to provide by means of that pipeline</w:t>
      </w:r>
      <w:r w:rsidR="00283227">
        <w:t>; and</w:t>
      </w:r>
    </w:p>
    <w:p w:rsidR="00132D43" w:rsidRPr="00132D43" w:rsidRDefault="00283227" w:rsidP="00E07C42">
      <w:pPr>
        <w:pStyle w:val="AERbulletlistfirststyle"/>
      </w:pPr>
      <w:r>
        <w:t>the reference services</w:t>
      </w:r>
      <w:r w:rsidR="00390065">
        <w:rPr>
          <w:rStyle w:val="FootnoteReference"/>
        </w:rPr>
        <w:footnoteReference w:id="1"/>
      </w:r>
    </w:p>
    <w:p w:rsidR="00132D43" w:rsidRDefault="00132D43" w:rsidP="00132D43">
      <w:pPr>
        <w:pStyle w:val="Heading2"/>
      </w:pPr>
      <w:bookmarkStart w:id="100" w:name="_Toc486855175"/>
      <w:r>
        <w:t>Draft decision</w:t>
      </w:r>
      <w:bookmarkEnd w:id="100"/>
    </w:p>
    <w:p w:rsidR="00132D43" w:rsidRDefault="00390065" w:rsidP="00132D43">
      <w:r w:rsidRPr="00390065">
        <w:t xml:space="preserve">We accept </w:t>
      </w:r>
      <w:r w:rsidR="00F93E51">
        <w:t xml:space="preserve">APA's </w:t>
      </w:r>
      <w:r w:rsidRPr="00390065">
        <w:t>proposal as it is compliant with the NGR.</w:t>
      </w:r>
    </w:p>
    <w:p w:rsidR="00132D43" w:rsidRDefault="00011AA3" w:rsidP="00132D43">
      <w:pPr>
        <w:pStyle w:val="Heading2"/>
      </w:pPr>
      <w:bookmarkStart w:id="101" w:name="_Ref485974307"/>
      <w:bookmarkStart w:id="102" w:name="_Toc486855176"/>
      <w:r>
        <w:t>APA</w:t>
      </w:r>
      <w:r w:rsidR="00132D43">
        <w:t>’s proposal</w:t>
      </w:r>
      <w:bookmarkEnd w:id="101"/>
      <w:bookmarkEnd w:id="102"/>
    </w:p>
    <w:p w:rsidR="00390065" w:rsidRDefault="00390065" w:rsidP="00390065">
      <w:r w:rsidRPr="00390065">
        <w:t>AP</w:t>
      </w:r>
      <w:r>
        <w:t>A</w:t>
      </w:r>
      <w:r w:rsidRPr="00390065">
        <w:t xml:space="preserve"> propose</w:t>
      </w:r>
      <w:r w:rsidR="00CD40B3">
        <w:t>s</w:t>
      </w:r>
      <w:r w:rsidRPr="00390065">
        <w:t xml:space="preserve"> to offer the following service on </w:t>
      </w:r>
      <w:r w:rsidR="00CD40B3">
        <w:t>the VTS during</w:t>
      </w:r>
      <w:r w:rsidR="00CD40B3" w:rsidRPr="00390065">
        <w:t xml:space="preserve"> </w:t>
      </w:r>
      <w:r w:rsidRPr="00390065">
        <w:t>the 201</w:t>
      </w:r>
      <w:r>
        <w:t>8</w:t>
      </w:r>
      <w:r w:rsidRPr="00390065">
        <w:t>–2</w:t>
      </w:r>
      <w:r>
        <w:t>2</w:t>
      </w:r>
      <w:r w:rsidRPr="00390065">
        <w:t xml:space="preserve"> access arrangement period:</w:t>
      </w:r>
    </w:p>
    <w:p w:rsidR="0087017C" w:rsidRDefault="0087017C" w:rsidP="00E07C42">
      <w:pPr>
        <w:pStyle w:val="AERbulletlistfirststyle"/>
      </w:pPr>
      <w:r w:rsidRPr="00390065">
        <w:t xml:space="preserve">the </w:t>
      </w:r>
      <w:r>
        <w:t xml:space="preserve">tariffed transmission service </w:t>
      </w:r>
      <w:r w:rsidRPr="00390065">
        <w:t>reference service</w:t>
      </w:r>
      <w:r>
        <w:rPr>
          <w:rStyle w:val="FootnoteReference"/>
        </w:rPr>
        <w:footnoteReference w:id="2"/>
      </w:r>
    </w:p>
    <w:p w:rsidR="00697FE5" w:rsidRDefault="00697FE5" w:rsidP="00697FE5">
      <w:r w:rsidRPr="00697FE5">
        <w:rPr>
          <w:rStyle w:val="AERbody"/>
        </w:rPr>
        <w:t xml:space="preserve">The </w:t>
      </w:r>
      <w:r w:rsidR="00FA2397">
        <w:rPr>
          <w:rStyle w:val="AERbody"/>
        </w:rPr>
        <w:t>t</w:t>
      </w:r>
      <w:r w:rsidRPr="00697FE5">
        <w:rPr>
          <w:rStyle w:val="AERbody"/>
        </w:rPr>
        <w:t xml:space="preserve">ariffed </w:t>
      </w:r>
      <w:r w:rsidR="00FA2397">
        <w:rPr>
          <w:rStyle w:val="AERbody"/>
        </w:rPr>
        <w:t>t</w:t>
      </w:r>
      <w:r w:rsidRPr="00697FE5">
        <w:rPr>
          <w:rStyle w:val="AERbody"/>
        </w:rPr>
        <w:t xml:space="preserve">ransmission </w:t>
      </w:r>
      <w:r w:rsidR="00FA2397">
        <w:rPr>
          <w:rStyle w:val="AERbody"/>
        </w:rPr>
        <w:t>s</w:t>
      </w:r>
      <w:r w:rsidRPr="00697FE5">
        <w:rPr>
          <w:rStyle w:val="AERbody"/>
        </w:rPr>
        <w:t>ervice is a bundled service comprising the</w:t>
      </w:r>
      <w:r>
        <w:rPr>
          <w:rStyle w:val="AERbody"/>
        </w:rPr>
        <w:t xml:space="preserve"> </w:t>
      </w:r>
      <w:r w:rsidRPr="00697FE5">
        <w:rPr>
          <w:rStyle w:val="AERbody"/>
        </w:rPr>
        <w:t>transportation of gas in accordance with the NGR for a declared</w:t>
      </w:r>
      <w:r>
        <w:rPr>
          <w:rStyle w:val="AERbody"/>
        </w:rPr>
        <w:t xml:space="preserve"> </w:t>
      </w:r>
      <w:r w:rsidRPr="00697FE5">
        <w:rPr>
          <w:rStyle w:val="AERbody"/>
        </w:rPr>
        <w:t xml:space="preserve">transmission system. </w:t>
      </w:r>
    </w:p>
    <w:p w:rsidR="0087017C" w:rsidRPr="00390065" w:rsidRDefault="00283227" w:rsidP="00697FE5">
      <w:r w:rsidRPr="00283227">
        <w:t xml:space="preserve">The VTS was extended during the current access arrangement period to accommodate the connection of the Tasmanian Gas Pipeline as </w:t>
      </w:r>
      <w:r w:rsidR="00FA2397">
        <w:t xml:space="preserve">a </w:t>
      </w:r>
      <w:r w:rsidRPr="00283227">
        <w:t>new injection point into the VTS (TasHub injection point).</w:t>
      </w:r>
      <w:r w:rsidR="00157755">
        <w:rPr>
          <w:rStyle w:val="FootnoteReference"/>
        </w:rPr>
        <w:footnoteReference w:id="3"/>
      </w:r>
      <w:r w:rsidR="0087017C">
        <w:t xml:space="preserve"> </w:t>
      </w:r>
    </w:p>
    <w:p w:rsidR="00132D43" w:rsidRDefault="00132D43" w:rsidP="00132D43">
      <w:pPr>
        <w:pStyle w:val="Heading2"/>
      </w:pPr>
      <w:bookmarkStart w:id="103" w:name="_Toc486855177"/>
      <w:r>
        <w:t>Assessment approach</w:t>
      </w:r>
      <w:bookmarkEnd w:id="103"/>
    </w:p>
    <w:p w:rsidR="004C3FAC" w:rsidRPr="004C3FAC" w:rsidRDefault="00FA2397" w:rsidP="004C3FAC">
      <w:r>
        <w:t>T</w:t>
      </w:r>
      <w:r w:rsidRPr="004C3FAC">
        <w:t>he NGR require</w:t>
      </w:r>
      <w:r>
        <w:t>s</w:t>
      </w:r>
      <w:r w:rsidRPr="004C3FAC">
        <w:t xml:space="preserve"> </w:t>
      </w:r>
      <w:r w:rsidR="004C3FAC" w:rsidRPr="004C3FAC">
        <w:t>APA to identify the pipeline to which its access arrangement relates</w:t>
      </w:r>
      <w:proofErr w:type="gramStart"/>
      <w:r w:rsidR="00E2473B">
        <w:t>,</w:t>
      </w:r>
      <w:proofErr w:type="gramEnd"/>
      <w:r w:rsidR="004C3FAC" w:rsidRPr="004C3FAC">
        <w:t xml:space="preserve"> describe pipeline services it proposes to offer, and specify all reference services in its access arrangement proposal.</w:t>
      </w:r>
      <w:r w:rsidR="00A16CA5">
        <w:rPr>
          <w:rStyle w:val="FootnoteReference"/>
        </w:rPr>
        <w:footnoteReference w:id="4"/>
      </w:r>
      <w:r w:rsidR="004C3FAC" w:rsidRPr="004C3FAC">
        <w:t xml:space="preserve">  A full access arrangement must specify at least one reference service to customers, on the basis that it is likely to be sought by a significant part of the market.</w:t>
      </w:r>
      <w:r w:rsidR="00A16CA5">
        <w:rPr>
          <w:rStyle w:val="FootnoteReference"/>
        </w:rPr>
        <w:footnoteReference w:id="5"/>
      </w:r>
      <w:r w:rsidR="004C3FAC" w:rsidRPr="004C3FAC">
        <w:t xml:space="preserve">  </w:t>
      </w:r>
    </w:p>
    <w:p w:rsidR="004C3FAC" w:rsidRPr="004C3FAC" w:rsidRDefault="004C3FAC" w:rsidP="004C3FAC">
      <w:r w:rsidRPr="004C3FAC">
        <w:t>A pipeline service is a:</w:t>
      </w:r>
    </w:p>
    <w:p w:rsidR="004C3FAC" w:rsidRPr="004C3FAC" w:rsidRDefault="004C3FAC" w:rsidP="00CD5178">
      <w:pPr>
        <w:pStyle w:val="AERbulletlistfirststyle"/>
      </w:pPr>
      <w:r w:rsidRPr="004C3FAC">
        <w:t>service provided by means of a pipeline, including a:</w:t>
      </w:r>
    </w:p>
    <w:p w:rsidR="004C3FAC" w:rsidRPr="004C3FAC" w:rsidRDefault="004C3FAC" w:rsidP="00CD5178">
      <w:pPr>
        <w:pStyle w:val="AERbulletlistsecondstyle"/>
      </w:pPr>
      <w:r w:rsidRPr="004C3FAC">
        <w:t>haulage service</w:t>
      </w:r>
    </w:p>
    <w:p w:rsidR="004C3FAC" w:rsidRPr="004C3FAC" w:rsidRDefault="004C3FAC" w:rsidP="00CD5178">
      <w:pPr>
        <w:pStyle w:val="AERbulletlistsecondstyle"/>
      </w:pPr>
      <w:r w:rsidRPr="004C3FAC">
        <w:tab/>
        <w:t xml:space="preserve">service providing for, or facilitating the interconnection of pipelines. </w:t>
      </w:r>
    </w:p>
    <w:p w:rsidR="004C3FAC" w:rsidRPr="004C3FAC" w:rsidRDefault="004C3FAC" w:rsidP="00E2473B">
      <w:pPr>
        <w:pStyle w:val="AERbulletlistfirststyle"/>
      </w:pPr>
      <w:r w:rsidRPr="004C3FAC">
        <w:t>service ancillary to either of the above listed services.</w:t>
      </w:r>
    </w:p>
    <w:p w:rsidR="004C3FAC" w:rsidRDefault="004C3FAC" w:rsidP="004C3FAC">
      <w:r w:rsidRPr="00390065">
        <w:t>AP</w:t>
      </w:r>
      <w:r>
        <w:t>A'</w:t>
      </w:r>
      <w:r w:rsidRPr="00390065">
        <w:t>s proposed reference service is also required to be consistent with the National Gas Objective.</w:t>
      </w:r>
      <w:r>
        <w:rPr>
          <w:rStyle w:val="FootnoteReference"/>
        </w:rPr>
        <w:footnoteReference w:id="6"/>
      </w:r>
      <w:r w:rsidRPr="00390065">
        <w:t xml:space="preserve">  </w:t>
      </w:r>
    </w:p>
    <w:p w:rsidR="004C3FAC" w:rsidRPr="004C3FAC" w:rsidRDefault="004C3FAC" w:rsidP="004C3FAC">
      <w:r w:rsidRPr="004C3FAC">
        <w:t>Our approach to assessing these requirements is to identify:</w:t>
      </w:r>
    </w:p>
    <w:p w:rsidR="004C3FAC" w:rsidRPr="004C3FAC" w:rsidRDefault="004C3FAC" w:rsidP="004C3FAC">
      <w:r w:rsidRPr="004C3FAC">
        <w:t>•</w:t>
      </w:r>
      <w:r w:rsidRPr="004C3FAC">
        <w:tab/>
        <w:t>the covered pipeline under the current access arrangement</w:t>
      </w:r>
    </w:p>
    <w:p w:rsidR="004C3FAC" w:rsidRPr="004C3FAC" w:rsidRDefault="004C3FAC" w:rsidP="004C3FAC">
      <w:r w:rsidRPr="004C3FAC">
        <w:t>•</w:t>
      </w:r>
      <w:r w:rsidRPr="004C3FAC">
        <w:tab/>
        <w:t>any extensions or expansions that were completed during the earlier access arrangement and which are taken to be ‘covered’ under that access arrangement’s extension and expansion requirements.</w:t>
      </w:r>
    </w:p>
    <w:p w:rsidR="004C3FAC" w:rsidRPr="004C3FAC" w:rsidRDefault="004C3FAC" w:rsidP="004C3FAC">
      <w:r w:rsidRPr="004C3FAC">
        <w:t>The next step is for us to review the service provider’s description of the pipeline services and reference services.</w:t>
      </w:r>
    </w:p>
    <w:p w:rsidR="00390065" w:rsidRPr="00390065" w:rsidRDefault="004C3FAC" w:rsidP="004C3FAC">
      <w:r w:rsidRPr="004C3FAC">
        <w:t>We received no submissions in relation to APA's services proposal</w:t>
      </w:r>
      <w:r w:rsidR="00FA2397">
        <w:t>.</w:t>
      </w:r>
    </w:p>
    <w:p w:rsidR="00132D43" w:rsidRDefault="00132D43" w:rsidP="00132D43">
      <w:pPr>
        <w:pStyle w:val="Heading2"/>
      </w:pPr>
      <w:bookmarkStart w:id="104" w:name="_Toc486855178"/>
      <w:r>
        <w:t>Reasons for draft decision</w:t>
      </w:r>
      <w:bookmarkEnd w:id="104"/>
    </w:p>
    <w:p w:rsidR="00DF6505" w:rsidRDefault="004C3FAC" w:rsidP="00132D43">
      <w:r>
        <w:t>We</w:t>
      </w:r>
      <w:r w:rsidR="006738E1" w:rsidRPr="006738E1">
        <w:t xml:space="preserve"> consider AP</w:t>
      </w:r>
      <w:r w:rsidR="006738E1">
        <w:t>A</w:t>
      </w:r>
      <w:r w:rsidR="006738E1" w:rsidRPr="006738E1">
        <w:t xml:space="preserve"> has complied with the NGR’s service</w:t>
      </w:r>
      <w:r w:rsidR="00C042D4">
        <w:t xml:space="preserve"> requirements</w:t>
      </w:r>
      <w:r w:rsidR="006738E1" w:rsidRPr="006738E1">
        <w:t xml:space="preserve">. </w:t>
      </w:r>
    </w:p>
    <w:p w:rsidR="00FA2397" w:rsidRDefault="00DF6505" w:rsidP="00132D43">
      <w:r w:rsidRPr="00DF6505">
        <w:t>During the current access arrangement period, APA extended the Longford gas pipeline to facilitate the connection of the Tasmanian Gas Pipeline as a new injection point (</w:t>
      </w:r>
      <w:proofErr w:type="spellStart"/>
      <w:r w:rsidRPr="00DF6505">
        <w:t>TasHub</w:t>
      </w:r>
      <w:proofErr w:type="spellEnd"/>
      <w:r w:rsidRPr="00DF6505">
        <w:t xml:space="preserve"> injection point) into the Declared Transmission System.</w:t>
      </w:r>
    </w:p>
    <w:p w:rsidR="00DF6505" w:rsidRDefault="00FA2397" w:rsidP="00132D43">
      <w:r>
        <w:t>In</w:t>
      </w:r>
      <w:r w:rsidR="00DF6505" w:rsidRPr="00DF6505">
        <w:t xml:space="preserve"> accordance with </w:t>
      </w:r>
      <w:r>
        <w:t>its</w:t>
      </w:r>
      <w:r w:rsidRPr="00DF6505">
        <w:t xml:space="preserve"> </w:t>
      </w:r>
      <w:r w:rsidR="00DF6505" w:rsidRPr="00DF6505">
        <w:t xml:space="preserve">extension and expansions provisions in </w:t>
      </w:r>
      <w:r>
        <w:t>the</w:t>
      </w:r>
      <w:r w:rsidRPr="00DF6505">
        <w:t xml:space="preserve"> </w:t>
      </w:r>
      <w:r w:rsidR="00DF6505" w:rsidRPr="00DF6505">
        <w:t>2013</w:t>
      </w:r>
      <w:r>
        <w:t>–</w:t>
      </w:r>
      <w:r w:rsidR="00DF6505" w:rsidRPr="00DF6505">
        <w:t xml:space="preserve">17 access arrangement, </w:t>
      </w:r>
      <w:r>
        <w:t xml:space="preserve">APA </w:t>
      </w:r>
      <w:r w:rsidR="00DF6505" w:rsidRPr="00DF6505">
        <w:t>applied to the AER for a decision as to whether this extension was to form part of the covered pipeline such that it would be subject to the access arrangement</w:t>
      </w:r>
      <w:r>
        <w:t xml:space="preserve"> provisions</w:t>
      </w:r>
      <w:r w:rsidR="00DF6505" w:rsidRPr="00DF6505">
        <w:t xml:space="preserve">. </w:t>
      </w:r>
      <w:r>
        <w:t>We</w:t>
      </w:r>
      <w:r w:rsidR="00DF6505" w:rsidRPr="00DF6505">
        <w:t xml:space="preserve"> recently determined that it </w:t>
      </w:r>
      <w:r>
        <w:t xml:space="preserve">does </w:t>
      </w:r>
      <w:r w:rsidR="00DF6505" w:rsidRPr="00DF6505">
        <w:t>form part of the covered pipeline</w:t>
      </w:r>
      <w:r>
        <w:t xml:space="preserve"> and therefore is </w:t>
      </w:r>
      <w:r w:rsidR="00DF6505" w:rsidRPr="00DF6505">
        <w:t>subject to the 2013</w:t>
      </w:r>
      <w:r>
        <w:t>–</w:t>
      </w:r>
      <w:r w:rsidR="00DF6505" w:rsidRPr="00DF6505">
        <w:t>17 access arrangement</w:t>
      </w:r>
      <w:r>
        <w:t>. Therefore it is automatically</w:t>
      </w:r>
      <w:r w:rsidR="00DF6505" w:rsidRPr="00DF6505">
        <w:t xml:space="preserve"> subject to the forthcoming 2018-2022 access arrangement. </w:t>
      </w:r>
    </w:p>
    <w:p w:rsidR="00132D43" w:rsidRDefault="006738E1" w:rsidP="00132D43">
      <w:r w:rsidRPr="006738E1">
        <w:t>AP</w:t>
      </w:r>
      <w:r>
        <w:t>A</w:t>
      </w:r>
      <w:r w:rsidRPr="006738E1">
        <w:t>’s proposed reference service for the 201</w:t>
      </w:r>
      <w:r>
        <w:t>8</w:t>
      </w:r>
      <w:r w:rsidRPr="006738E1">
        <w:t>–2</w:t>
      </w:r>
      <w:r>
        <w:t>2</w:t>
      </w:r>
      <w:r w:rsidRPr="006738E1">
        <w:t xml:space="preserve"> access arrangement is consistent with the reference service we </w:t>
      </w:r>
      <w:r w:rsidR="00DF6505">
        <w:t xml:space="preserve">approved </w:t>
      </w:r>
      <w:r w:rsidRPr="006738E1">
        <w:t>for the current access arrangement.</w:t>
      </w:r>
    </w:p>
    <w:p w:rsidR="00DC155B" w:rsidRPr="00FB2BC9" w:rsidRDefault="003E3472" w:rsidP="00DC155B">
      <w:pPr>
        <w:rPr>
          <w:rStyle w:val="AERbody"/>
        </w:rPr>
      </w:pPr>
      <w:r>
        <w:rPr>
          <w:rStyle w:val="AERbody"/>
        </w:rPr>
        <w:t>We</w:t>
      </w:r>
      <w:r w:rsidR="00591FC5">
        <w:rPr>
          <w:rStyle w:val="AERbody"/>
        </w:rPr>
        <w:t xml:space="preserve"> consider that the</w:t>
      </w:r>
      <w:r w:rsidR="00DF6505">
        <w:rPr>
          <w:rStyle w:val="AERbody"/>
        </w:rPr>
        <w:t xml:space="preserve"> service</w:t>
      </w:r>
      <w:r w:rsidR="00B77C75">
        <w:rPr>
          <w:rStyle w:val="AERbody"/>
        </w:rPr>
        <w:t xml:space="preserve"> </w:t>
      </w:r>
      <w:r w:rsidR="00FA2397">
        <w:rPr>
          <w:rStyle w:val="AERbody"/>
        </w:rPr>
        <w:t xml:space="preserve">(see section </w:t>
      </w:r>
      <w:r w:rsidR="00FA2397">
        <w:rPr>
          <w:rStyle w:val="AERbody"/>
        </w:rPr>
        <w:fldChar w:fldCharType="begin"/>
      </w:r>
      <w:r w:rsidR="00FA2397">
        <w:rPr>
          <w:rStyle w:val="AERbody"/>
        </w:rPr>
        <w:instrText xml:space="preserve"> REF _Ref485974307 \r \h </w:instrText>
      </w:r>
      <w:r w:rsidR="00FA2397">
        <w:rPr>
          <w:rStyle w:val="AERbody"/>
        </w:rPr>
      </w:r>
      <w:r w:rsidR="00FA2397">
        <w:rPr>
          <w:rStyle w:val="AERbody"/>
        </w:rPr>
        <w:fldChar w:fldCharType="separate"/>
      </w:r>
      <w:r w:rsidR="000E655D">
        <w:rPr>
          <w:rStyle w:val="AERbody"/>
        </w:rPr>
        <w:t>1.2</w:t>
      </w:r>
      <w:r w:rsidR="00FA2397">
        <w:rPr>
          <w:rStyle w:val="AERbody"/>
        </w:rPr>
        <w:fldChar w:fldCharType="end"/>
      </w:r>
      <w:r w:rsidR="00FA2397">
        <w:rPr>
          <w:rStyle w:val="AERbody"/>
        </w:rPr>
        <w:t>)</w:t>
      </w:r>
      <w:r w:rsidR="00DF6505">
        <w:rPr>
          <w:rStyle w:val="AERbody"/>
        </w:rPr>
        <w:t xml:space="preserve"> is </w:t>
      </w:r>
      <w:r w:rsidR="00B77C75">
        <w:rPr>
          <w:rStyle w:val="AERbody"/>
        </w:rPr>
        <w:t xml:space="preserve">likely to be </w:t>
      </w:r>
      <w:r w:rsidR="00DF6505">
        <w:rPr>
          <w:rStyle w:val="AERbody"/>
        </w:rPr>
        <w:t xml:space="preserve">sought by a significant part of the market. </w:t>
      </w:r>
      <w:r w:rsidR="007E6FB1">
        <w:rPr>
          <w:rStyle w:val="AERbody"/>
        </w:rPr>
        <w:t>Market participants</w:t>
      </w:r>
      <w:r w:rsidR="00DC155B" w:rsidRPr="00DC155B">
        <w:rPr>
          <w:rStyle w:val="AERbody"/>
        </w:rPr>
        <w:t xml:space="preserve"> </w:t>
      </w:r>
      <w:r w:rsidR="00591FC5">
        <w:rPr>
          <w:rStyle w:val="AERbody"/>
        </w:rPr>
        <w:t>using</w:t>
      </w:r>
      <w:r w:rsidR="00591FC5" w:rsidRPr="00DC155B">
        <w:rPr>
          <w:rStyle w:val="AERbody"/>
        </w:rPr>
        <w:t xml:space="preserve"> </w:t>
      </w:r>
      <w:r w:rsidR="00DC155B" w:rsidRPr="00DC155B">
        <w:rPr>
          <w:rStyle w:val="AERbody"/>
        </w:rPr>
        <w:t xml:space="preserve">the VTS are </w:t>
      </w:r>
      <w:r w:rsidR="00591FC5" w:rsidRPr="00DC155B">
        <w:rPr>
          <w:rStyle w:val="AERbody"/>
        </w:rPr>
        <w:t>regist</w:t>
      </w:r>
      <w:r w:rsidR="00591FC5">
        <w:rPr>
          <w:rStyle w:val="AERbody"/>
        </w:rPr>
        <w:t>ered</w:t>
      </w:r>
      <w:r w:rsidR="00591FC5" w:rsidRPr="00DC155B">
        <w:rPr>
          <w:rStyle w:val="AERbody"/>
        </w:rPr>
        <w:t xml:space="preserve"> </w:t>
      </w:r>
      <w:r w:rsidR="00DC155B" w:rsidRPr="00DC155B">
        <w:rPr>
          <w:rStyle w:val="AERbody"/>
        </w:rPr>
        <w:t xml:space="preserve">with </w:t>
      </w:r>
      <w:r w:rsidR="00FA2397">
        <w:rPr>
          <w:rStyle w:val="AERbody"/>
        </w:rPr>
        <w:t xml:space="preserve">the Australian Energy Market Operator </w:t>
      </w:r>
      <w:r w:rsidR="00DC155B" w:rsidRPr="00DC155B">
        <w:rPr>
          <w:rStyle w:val="AERbody"/>
        </w:rPr>
        <w:t>to operate in</w:t>
      </w:r>
      <w:r w:rsidR="00DC155B">
        <w:rPr>
          <w:rStyle w:val="AERbody"/>
        </w:rPr>
        <w:t xml:space="preserve"> </w:t>
      </w:r>
      <w:r w:rsidR="00DC155B" w:rsidRPr="00DC155B">
        <w:rPr>
          <w:rStyle w:val="AERbody"/>
        </w:rPr>
        <w:t>the Victorian wholesale gas market. Apart from the expected registration of</w:t>
      </w:r>
      <w:r w:rsidR="00DC155B">
        <w:rPr>
          <w:rStyle w:val="AERbody"/>
        </w:rPr>
        <w:t xml:space="preserve"> </w:t>
      </w:r>
      <w:r w:rsidR="00DC155B" w:rsidRPr="00DC155B">
        <w:rPr>
          <w:rStyle w:val="AERbody"/>
        </w:rPr>
        <w:t>two new participants in 2017, APA does not have</w:t>
      </w:r>
      <w:r w:rsidR="00DC155B">
        <w:rPr>
          <w:rStyle w:val="AERbody"/>
        </w:rPr>
        <w:t xml:space="preserve"> </w:t>
      </w:r>
      <w:r w:rsidR="00DC155B" w:rsidRPr="00DC155B">
        <w:rPr>
          <w:rStyle w:val="AERbody"/>
        </w:rPr>
        <w:t>any knowledge of further registrations of Market Participants nor of any</w:t>
      </w:r>
      <w:r w:rsidR="00DC155B">
        <w:rPr>
          <w:rStyle w:val="AERbody"/>
        </w:rPr>
        <w:t xml:space="preserve"> </w:t>
      </w:r>
      <w:r w:rsidR="00DC155B" w:rsidRPr="00DC155B">
        <w:rPr>
          <w:rStyle w:val="AERbody"/>
        </w:rPr>
        <w:t>current Market Participants withdrawing from the Victorian gas market. On</w:t>
      </w:r>
      <w:r w:rsidR="00DC155B">
        <w:rPr>
          <w:rStyle w:val="AERbody"/>
        </w:rPr>
        <w:t xml:space="preserve"> </w:t>
      </w:r>
      <w:r w:rsidR="00DC155B" w:rsidRPr="00DC155B">
        <w:rPr>
          <w:rStyle w:val="AERbody"/>
        </w:rPr>
        <w:t>this basis APA forecasts that the number of users of the VTS will remain at</w:t>
      </w:r>
      <w:r w:rsidR="00DC155B">
        <w:rPr>
          <w:rStyle w:val="AERbody"/>
        </w:rPr>
        <w:t xml:space="preserve"> </w:t>
      </w:r>
      <w:r w:rsidR="00DC155B" w:rsidRPr="00DC155B">
        <w:rPr>
          <w:rStyle w:val="AERbody"/>
        </w:rPr>
        <w:t>2017 levels over the access arrangement period.</w:t>
      </w:r>
      <w:r w:rsidR="00DC155B">
        <w:rPr>
          <w:rStyle w:val="FootnoteReference"/>
        </w:rPr>
        <w:footnoteReference w:id="7"/>
      </w:r>
    </w:p>
    <w:p w:rsidR="00DF6505" w:rsidRDefault="00DF6505" w:rsidP="00132D43">
      <w:r w:rsidRPr="00DF6505">
        <w:t>We note the provision of Authorised Maximum Daily Quantity Credit Certificates (AMDQ CC) is identified as a reference service in the 2013</w:t>
      </w:r>
      <w:r w:rsidR="00FC0796">
        <w:t>–</w:t>
      </w:r>
      <w:r w:rsidRPr="00DF6505">
        <w:t xml:space="preserve">17 access arrangement but will </w:t>
      </w:r>
      <w:r>
        <w:t>not</w:t>
      </w:r>
      <w:r w:rsidRPr="00DF6505">
        <w:t xml:space="preserve"> be a reference service </w:t>
      </w:r>
      <w:r w:rsidR="00FC0796">
        <w:t>during</w:t>
      </w:r>
      <w:r w:rsidR="00FC0796" w:rsidRPr="00DF6505">
        <w:t xml:space="preserve"> </w:t>
      </w:r>
      <w:r w:rsidRPr="00DF6505">
        <w:t>the 2018</w:t>
      </w:r>
      <w:r w:rsidR="00FC0796">
        <w:t>–</w:t>
      </w:r>
      <w:r w:rsidRPr="00DF6505">
        <w:t>22 access arrangement. This is because</w:t>
      </w:r>
      <w:r w:rsidR="00FC0796">
        <w:t xml:space="preserve"> </w:t>
      </w:r>
      <w:r w:rsidR="00FC0796" w:rsidRPr="00DF6505">
        <w:t>the Australian Energy Market Operator is now responsible for conducting the AMDQ CC auctio</w:t>
      </w:r>
      <w:r w:rsidR="00FC0796">
        <w:t>n based on</w:t>
      </w:r>
      <w:r w:rsidR="00CB18F9">
        <w:t xml:space="preserve"> </w:t>
      </w:r>
      <w:r w:rsidRPr="00DF6505">
        <w:t>the AEMC's rule change on 24 March 2016</w:t>
      </w:r>
      <w:r>
        <w:rPr>
          <w:rStyle w:val="FootnoteReference"/>
        </w:rPr>
        <w:footnoteReference w:id="8"/>
      </w:r>
      <w:r w:rsidRPr="00DF6505">
        <w:t xml:space="preserve"> and in accordance with the Wholesale Market AMDQ Procedures (Victoria).</w:t>
      </w:r>
    </w:p>
    <w:p w:rsidR="00D5015C" w:rsidRDefault="00D5015C" w:rsidP="00132D43"/>
    <w:sectPr w:rsidR="00D5015C"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0E655D">
          <w:rPr>
            <w:noProof/>
          </w:rPr>
          <w:t>1-0</w:t>
        </w:r>
        <w:r>
          <w:rPr>
            <w:noProof/>
          </w:rPr>
          <w:fldChar w:fldCharType="end"/>
        </w:r>
        <w:r>
          <w:rPr>
            <w:noProof/>
          </w:rPr>
          <w:t xml:space="preserve">          </w:t>
        </w:r>
        <w:r>
          <w:t xml:space="preserve">Attachment </w:t>
        </w:r>
        <w:r w:rsidR="00471BC6">
          <w:t>1</w:t>
        </w:r>
        <w:r>
          <w:t xml:space="preserve"> </w:t>
        </w:r>
        <w:r w:rsidRPr="000474DF">
          <w:t>−</w:t>
        </w:r>
        <w:r>
          <w:t xml:space="preserve"> </w:t>
        </w:r>
        <w:r w:rsidR="00D5015C">
          <w:t>Services covered by the access arrangement</w:t>
        </w:r>
        <w:r w:rsidRPr="009B6F84">
          <w:rPr>
            <w:rFonts w:cs="Gautami"/>
            <w:noProof/>
            <w:szCs w:val="16"/>
          </w:rPr>
          <w:t xml:space="preserve"> | </w:t>
        </w:r>
        <w:r w:rsidR="00D5015C">
          <w:t xml:space="preserve">Draft decision - </w:t>
        </w:r>
        <w:r w:rsidR="00011AA3">
          <w:t>APA VTS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0E655D">
          <w:rPr>
            <w:noProof/>
          </w:rPr>
          <w:t>1-3</w:t>
        </w:r>
        <w:r>
          <w:rPr>
            <w:noProof/>
          </w:rPr>
          <w:fldChar w:fldCharType="end"/>
        </w:r>
        <w:r>
          <w:rPr>
            <w:noProof/>
          </w:rPr>
          <w:t xml:space="preserve">          </w:t>
        </w:r>
        <w:r w:rsidR="00D5015C">
          <w:t xml:space="preserve">Attachment 1 </w:t>
        </w:r>
        <w:r w:rsidR="00D5015C" w:rsidRPr="000474DF">
          <w:t>−</w:t>
        </w:r>
        <w:r w:rsidR="00D5015C">
          <w:t xml:space="preserve"> Services covered by the access arrangement</w:t>
        </w:r>
        <w:r w:rsidR="00D5015C" w:rsidRPr="00D5015C">
          <w:t xml:space="preserve"> | </w:t>
        </w:r>
        <w:r w:rsidR="00D5015C">
          <w:t xml:space="preserve">Draft decision - </w:t>
        </w:r>
        <w:r w:rsidR="00011AA3">
          <w:t>APA VTS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390065" w:rsidRDefault="00390065">
      <w:pPr>
        <w:pStyle w:val="FootnoteText"/>
      </w:pPr>
      <w:r>
        <w:rPr>
          <w:rStyle w:val="FootnoteReference"/>
        </w:rPr>
        <w:footnoteRef/>
      </w:r>
      <w:r>
        <w:t xml:space="preserve"> </w:t>
      </w:r>
      <w:r w:rsidR="006E1549">
        <w:tab/>
      </w:r>
      <w:r w:rsidRPr="00390065">
        <w:t>NGR, r. 48(1</w:t>
      </w:r>
      <w:proofErr w:type="gramStart"/>
      <w:r w:rsidRPr="00390065">
        <w:t>)(</w:t>
      </w:r>
      <w:proofErr w:type="gramEnd"/>
      <w:r w:rsidRPr="00390065">
        <w:t>a), 48(1)(</w:t>
      </w:r>
      <w:r w:rsidR="00283227">
        <w:t>c</w:t>
      </w:r>
      <w:r w:rsidRPr="00390065">
        <w:t>).</w:t>
      </w:r>
    </w:p>
  </w:footnote>
  <w:footnote w:id="2">
    <w:p w:rsidR="0087017C" w:rsidRDefault="0087017C" w:rsidP="001C7F0F">
      <w:pPr>
        <w:pStyle w:val="FootnoteText"/>
      </w:pPr>
      <w:r>
        <w:rPr>
          <w:rStyle w:val="FootnoteReference"/>
        </w:rPr>
        <w:footnoteRef/>
      </w:r>
      <w:r>
        <w:t xml:space="preserve"> </w:t>
      </w:r>
      <w:r w:rsidR="006E1549">
        <w:tab/>
      </w:r>
      <w:r w:rsidR="003E3472" w:rsidRPr="00157755">
        <w:t xml:space="preserve">APA VTS, </w:t>
      </w:r>
      <w:r w:rsidR="003E3472" w:rsidRPr="00980FB7">
        <w:rPr>
          <w:rStyle w:val="AERtextitalic"/>
        </w:rPr>
        <w:t>Victorian Transmission System Revision proposal submission</w:t>
      </w:r>
      <w:r w:rsidR="003E3472" w:rsidRPr="00157755">
        <w:t>, January 2017</w:t>
      </w:r>
      <w:r w:rsidR="001C7F0F">
        <w:t>, January 2017,</w:t>
      </w:r>
      <w:r>
        <w:t xml:space="preserve"> p.14.</w:t>
      </w:r>
    </w:p>
  </w:footnote>
  <w:footnote w:id="3">
    <w:p w:rsidR="00157755" w:rsidRDefault="00157755">
      <w:pPr>
        <w:pStyle w:val="FootnoteText"/>
      </w:pPr>
      <w:r>
        <w:rPr>
          <w:rStyle w:val="FootnoteReference"/>
        </w:rPr>
        <w:footnoteRef/>
      </w:r>
      <w:r>
        <w:t xml:space="preserve"> </w:t>
      </w:r>
      <w:r>
        <w:tab/>
      </w:r>
      <w:r w:rsidR="003E3472" w:rsidRPr="00157755">
        <w:t xml:space="preserve">APA VTS, </w:t>
      </w:r>
      <w:r w:rsidR="003E3472" w:rsidRPr="00980FB7">
        <w:rPr>
          <w:rStyle w:val="AERtextitalic"/>
        </w:rPr>
        <w:t>Victorian Transmission System Revision proposal submission</w:t>
      </w:r>
      <w:r w:rsidR="003E3472" w:rsidRPr="00157755">
        <w:t>, January 2017</w:t>
      </w:r>
      <w:r w:rsidRPr="00157755">
        <w:t>, January 2017, p.</w:t>
      </w:r>
      <w:r w:rsidR="00FB2BC9">
        <w:t>6</w:t>
      </w:r>
      <w:r w:rsidRPr="00157755">
        <w:t>.</w:t>
      </w:r>
    </w:p>
  </w:footnote>
  <w:footnote w:id="4">
    <w:p w:rsidR="00A16CA5" w:rsidRDefault="00A16CA5">
      <w:pPr>
        <w:pStyle w:val="FootnoteText"/>
      </w:pPr>
      <w:r>
        <w:rPr>
          <w:rStyle w:val="FootnoteReference"/>
        </w:rPr>
        <w:footnoteRef/>
      </w:r>
      <w:r>
        <w:t xml:space="preserve"> </w:t>
      </w:r>
      <w:r>
        <w:tab/>
      </w:r>
      <w:proofErr w:type="gramStart"/>
      <w:r>
        <w:t>NGR, r 48)1).</w:t>
      </w:r>
      <w:proofErr w:type="gramEnd"/>
    </w:p>
  </w:footnote>
  <w:footnote w:id="5">
    <w:p w:rsidR="00A16CA5" w:rsidRDefault="00A16CA5">
      <w:pPr>
        <w:pStyle w:val="FootnoteText"/>
      </w:pPr>
      <w:r>
        <w:rPr>
          <w:rStyle w:val="FootnoteReference"/>
        </w:rPr>
        <w:footnoteRef/>
      </w:r>
      <w:r>
        <w:t xml:space="preserve"> </w:t>
      </w:r>
      <w:r>
        <w:tab/>
        <w:t>NGR, r101(1)</w:t>
      </w:r>
    </w:p>
  </w:footnote>
  <w:footnote w:id="6">
    <w:p w:rsidR="004C3FAC" w:rsidRDefault="004C3FAC" w:rsidP="004C3FAC">
      <w:pPr>
        <w:pStyle w:val="FootnoteText"/>
      </w:pPr>
      <w:r>
        <w:rPr>
          <w:rStyle w:val="FootnoteReference"/>
        </w:rPr>
        <w:footnoteRef/>
      </w:r>
      <w:r>
        <w:t xml:space="preserve"> </w:t>
      </w:r>
      <w:r>
        <w:tab/>
      </w:r>
      <w:r w:rsidRPr="00317E88">
        <w:t xml:space="preserve">NGR, r. </w:t>
      </w:r>
      <w:r>
        <w:t>100(a)</w:t>
      </w:r>
    </w:p>
  </w:footnote>
  <w:footnote w:id="7">
    <w:p w:rsidR="00DC155B" w:rsidRDefault="00DC155B" w:rsidP="00DC155B">
      <w:pPr>
        <w:pStyle w:val="FootnoteText"/>
      </w:pPr>
      <w:r>
        <w:rPr>
          <w:rStyle w:val="FootnoteReference"/>
        </w:rPr>
        <w:footnoteRef/>
      </w:r>
      <w:r>
        <w:t xml:space="preserve"> </w:t>
      </w:r>
      <w:r>
        <w:tab/>
      </w:r>
      <w:r w:rsidRPr="00157755">
        <w:t xml:space="preserve">APA VTS, </w:t>
      </w:r>
      <w:r w:rsidRPr="00B97E8B">
        <w:rPr>
          <w:rStyle w:val="AERtextitalic"/>
        </w:rPr>
        <w:t xml:space="preserve">Victorian Transmission System </w:t>
      </w:r>
      <w:r w:rsidR="003E3472" w:rsidRPr="00B97E8B">
        <w:rPr>
          <w:rStyle w:val="AERtextitalic"/>
        </w:rPr>
        <w:t>Revision proposal</w:t>
      </w:r>
      <w:r w:rsidRPr="00B97E8B">
        <w:rPr>
          <w:rStyle w:val="AERtextitalic"/>
        </w:rPr>
        <w:t xml:space="preserve"> submission</w:t>
      </w:r>
      <w:r w:rsidRPr="00157755">
        <w:t>, January 2017, p.</w:t>
      </w:r>
      <w:r>
        <w:t>46</w:t>
      </w:r>
      <w:r w:rsidRPr="00157755">
        <w:t>.</w:t>
      </w:r>
    </w:p>
  </w:footnote>
  <w:footnote w:id="8">
    <w:p w:rsidR="00DF6505" w:rsidRDefault="00DF6505">
      <w:pPr>
        <w:pStyle w:val="FootnoteText"/>
      </w:pPr>
      <w:r>
        <w:rPr>
          <w:rStyle w:val="FootnoteReference"/>
        </w:rPr>
        <w:footnoteRef/>
      </w:r>
      <w:r>
        <w:t xml:space="preserve"> </w:t>
      </w:r>
      <w:r>
        <w:tab/>
      </w:r>
      <w:r w:rsidRPr="00DF6505">
        <w:t>National Gas Rule 329G; see AEMC Rules Change, 24 March 2016</w:t>
      </w:r>
      <w:r>
        <w:t xml:space="preserve">, National Gas Amendment Rule (DWGM - AMDQ </w:t>
      </w:r>
      <w:r w:rsidR="00CD5178">
        <w:t xml:space="preserve">allocation) Rule </w:t>
      </w:r>
      <w:r>
        <w:t>2016 No.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p4nOEKNHXuZpec7zKSHJBlILiwmnCPt6L/jky/mCRY=" w:saltValue="xxh8yF1vFgPYO2auSvReXA==" w:algorithmName="SHA-256"/>
  <w:defaultTabStop w:val="34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1AA3"/>
    <w:rsid w:val="0001507B"/>
    <w:rsid w:val="00020016"/>
    <w:rsid w:val="00021202"/>
    <w:rsid w:val="00021C2B"/>
    <w:rsid w:val="0002498B"/>
    <w:rsid w:val="00024AF5"/>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479B"/>
    <w:rsid w:val="00085663"/>
    <w:rsid w:val="00085EBF"/>
    <w:rsid w:val="0009012B"/>
    <w:rsid w:val="00091B15"/>
    <w:rsid w:val="00094E3C"/>
    <w:rsid w:val="00095186"/>
    <w:rsid w:val="000A0E71"/>
    <w:rsid w:val="000A1C0C"/>
    <w:rsid w:val="000A3020"/>
    <w:rsid w:val="000A4840"/>
    <w:rsid w:val="000A62C1"/>
    <w:rsid w:val="000A6A79"/>
    <w:rsid w:val="000A6C7B"/>
    <w:rsid w:val="000B0A7B"/>
    <w:rsid w:val="000B1173"/>
    <w:rsid w:val="000B4827"/>
    <w:rsid w:val="000B5827"/>
    <w:rsid w:val="000B7037"/>
    <w:rsid w:val="000C02D1"/>
    <w:rsid w:val="000C0C63"/>
    <w:rsid w:val="000C2B40"/>
    <w:rsid w:val="000C5255"/>
    <w:rsid w:val="000D07A7"/>
    <w:rsid w:val="000D122C"/>
    <w:rsid w:val="000D75B0"/>
    <w:rsid w:val="000E1819"/>
    <w:rsid w:val="000E4821"/>
    <w:rsid w:val="000E4AA9"/>
    <w:rsid w:val="000E655D"/>
    <w:rsid w:val="000E6C72"/>
    <w:rsid w:val="000E7F39"/>
    <w:rsid w:val="00100D6A"/>
    <w:rsid w:val="00100EA2"/>
    <w:rsid w:val="00101AA1"/>
    <w:rsid w:val="00102338"/>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57755"/>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97DEF"/>
    <w:rsid w:val="001A530D"/>
    <w:rsid w:val="001A5FB3"/>
    <w:rsid w:val="001A7155"/>
    <w:rsid w:val="001B45A0"/>
    <w:rsid w:val="001B680E"/>
    <w:rsid w:val="001C7F0F"/>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0C08"/>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3227"/>
    <w:rsid w:val="00286874"/>
    <w:rsid w:val="00290C63"/>
    <w:rsid w:val="00291A99"/>
    <w:rsid w:val="00293B6D"/>
    <w:rsid w:val="00294B08"/>
    <w:rsid w:val="0029518C"/>
    <w:rsid w:val="002963DD"/>
    <w:rsid w:val="00296B65"/>
    <w:rsid w:val="002A7DEF"/>
    <w:rsid w:val="002B0696"/>
    <w:rsid w:val="002C0222"/>
    <w:rsid w:val="002C1499"/>
    <w:rsid w:val="002C233C"/>
    <w:rsid w:val="002C336E"/>
    <w:rsid w:val="002C517B"/>
    <w:rsid w:val="002D3509"/>
    <w:rsid w:val="002D5457"/>
    <w:rsid w:val="002D557F"/>
    <w:rsid w:val="002D72E8"/>
    <w:rsid w:val="002D79AD"/>
    <w:rsid w:val="002E268F"/>
    <w:rsid w:val="002E78DD"/>
    <w:rsid w:val="002E7B22"/>
    <w:rsid w:val="002F12EC"/>
    <w:rsid w:val="002F1484"/>
    <w:rsid w:val="002F7986"/>
    <w:rsid w:val="00301B40"/>
    <w:rsid w:val="00301C82"/>
    <w:rsid w:val="003029EE"/>
    <w:rsid w:val="00304D38"/>
    <w:rsid w:val="00305CC8"/>
    <w:rsid w:val="00307F6D"/>
    <w:rsid w:val="00314D83"/>
    <w:rsid w:val="0031571F"/>
    <w:rsid w:val="003177A2"/>
    <w:rsid w:val="00317E02"/>
    <w:rsid w:val="00317E88"/>
    <w:rsid w:val="003271B5"/>
    <w:rsid w:val="00327A1E"/>
    <w:rsid w:val="00327E28"/>
    <w:rsid w:val="00331264"/>
    <w:rsid w:val="00334C8D"/>
    <w:rsid w:val="003378BD"/>
    <w:rsid w:val="003424EA"/>
    <w:rsid w:val="00342C2F"/>
    <w:rsid w:val="003436EB"/>
    <w:rsid w:val="00343A18"/>
    <w:rsid w:val="00345744"/>
    <w:rsid w:val="00347272"/>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065"/>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472"/>
    <w:rsid w:val="003E3AAB"/>
    <w:rsid w:val="003E7C5C"/>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0F2E"/>
    <w:rsid w:val="004324F4"/>
    <w:rsid w:val="00434544"/>
    <w:rsid w:val="00445D43"/>
    <w:rsid w:val="00446CD2"/>
    <w:rsid w:val="0045777E"/>
    <w:rsid w:val="00465258"/>
    <w:rsid w:val="00471BC6"/>
    <w:rsid w:val="00474280"/>
    <w:rsid w:val="00476221"/>
    <w:rsid w:val="004766F5"/>
    <w:rsid w:val="00480B4B"/>
    <w:rsid w:val="004838D8"/>
    <w:rsid w:val="00485DC4"/>
    <w:rsid w:val="00494D04"/>
    <w:rsid w:val="004A40BA"/>
    <w:rsid w:val="004A43D1"/>
    <w:rsid w:val="004A492B"/>
    <w:rsid w:val="004B4412"/>
    <w:rsid w:val="004C348C"/>
    <w:rsid w:val="004C3FAC"/>
    <w:rsid w:val="004C462E"/>
    <w:rsid w:val="004C6CA3"/>
    <w:rsid w:val="004C6F3A"/>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1FC5"/>
    <w:rsid w:val="005A0BEC"/>
    <w:rsid w:val="005A404D"/>
    <w:rsid w:val="005B1E3C"/>
    <w:rsid w:val="005B6518"/>
    <w:rsid w:val="005B704A"/>
    <w:rsid w:val="005B72D7"/>
    <w:rsid w:val="005C045F"/>
    <w:rsid w:val="005C16FE"/>
    <w:rsid w:val="005C1FAB"/>
    <w:rsid w:val="005C21A4"/>
    <w:rsid w:val="005C26CC"/>
    <w:rsid w:val="005C4463"/>
    <w:rsid w:val="005D1A6E"/>
    <w:rsid w:val="005D349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04F8"/>
    <w:rsid w:val="00632D6D"/>
    <w:rsid w:val="00636569"/>
    <w:rsid w:val="00636EF9"/>
    <w:rsid w:val="00642C3E"/>
    <w:rsid w:val="00644A01"/>
    <w:rsid w:val="00651E2D"/>
    <w:rsid w:val="00652324"/>
    <w:rsid w:val="006577FB"/>
    <w:rsid w:val="00660D0C"/>
    <w:rsid w:val="0066104A"/>
    <w:rsid w:val="00663066"/>
    <w:rsid w:val="00663DAD"/>
    <w:rsid w:val="00664206"/>
    <w:rsid w:val="006649E7"/>
    <w:rsid w:val="00666634"/>
    <w:rsid w:val="00671692"/>
    <w:rsid w:val="006738E1"/>
    <w:rsid w:val="00675E20"/>
    <w:rsid w:val="00676679"/>
    <w:rsid w:val="00683C89"/>
    <w:rsid w:val="00691B53"/>
    <w:rsid w:val="00697D0B"/>
    <w:rsid w:val="00697FE5"/>
    <w:rsid w:val="006A12BA"/>
    <w:rsid w:val="006A4739"/>
    <w:rsid w:val="006A66A1"/>
    <w:rsid w:val="006B032D"/>
    <w:rsid w:val="006B2395"/>
    <w:rsid w:val="006B40AC"/>
    <w:rsid w:val="006B4CF9"/>
    <w:rsid w:val="006B7122"/>
    <w:rsid w:val="006B797C"/>
    <w:rsid w:val="006B7AC8"/>
    <w:rsid w:val="006C1736"/>
    <w:rsid w:val="006C1F50"/>
    <w:rsid w:val="006C329B"/>
    <w:rsid w:val="006C6303"/>
    <w:rsid w:val="006D550F"/>
    <w:rsid w:val="006D6146"/>
    <w:rsid w:val="006D7F7E"/>
    <w:rsid w:val="006E0CFF"/>
    <w:rsid w:val="006E1549"/>
    <w:rsid w:val="006E7CDB"/>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7AB"/>
    <w:rsid w:val="00746E01"/>
    <w:rsid w:val="00751DCD"/>
    <w:rsid w:val="00755084"/>
    <w:rsid w:val="00757364"/>
    <w:rsid w:val="00757BDF"/>
    <w:rsid w:val="007609D0"/>
    <w:rsid w:val="00761454"/>
    <w:rsid w:val="0076193D"/>
    <w:rsid w:val="00763E5D"/>
    <w:rsid w:val="00766527"/>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E6FB1"/>
    <w:rsid w:val="007F066B"/>
    <w:rsid w:val="007F4EAB"/>
    <w:rsid w:val="007F5B16"/>
    <w:rsid w:val="007F7C9D"/>
    <w:rsid w:val="008033C4"/>
    <w:rsid w:val="00806731"/>
    <w:rsid w:val="00806C88"/>
    <w:rsid w:val="0081034E"/>
    <w:rsid w:val="00810806"/>
    <w:rsid w:val="00815882"/>
    <w:rsid w:val="00820454"/>
    <w:rsid w:val="00822AC7"/>
    <w:rsid w:val="00822E86"/>
    <w:rsid w:val="008239C2"/>
    <w:rsid w:val="008344F6"/>
    <w:rsid w:val="0083510F"/>
    <w:rsid w:val="00837BF3"/>
    <w:rsid w:val="008415DE"/>
    <w:rsid w:val="008420DE"/>
    <w:rsid w:val="00845865"/>
    <w:rsid w:val="0084799B"/>
    <w:rsid w:val="00850C90"/>
    <w:rsid w:val="00851209"/>
    <w:rsid w:val="0085171F"/>
    <w:rsid w:val="008658A1"/>
    <w:rsid w:val="0086716A"/>
    <w:rsid w:val="0087017C"/>
    <w:rsid w:val="00870613"/>
    <w:rsid w:val="0087380F"/>
    <w:rsid w:val="0087648F"/>
    <w:rsid w:val="00876612"/>
    <w:rsid w:val="00882BB1"/>
    <w:rsid w:val="008837AC"/>
    <w:rsid w:val="008909DC"/>
    <w:rsid w:val="00894255"/>
    <w:rsid w:val="008945AD"/>
    <w:rsid w:val="00897A7C"/>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6911"/>
    <w:rsid w:val="008D72F1"/>
    <w:rsid w:val="008E4089"/>
    <w:rsid w:val="008E5AFF"/>
    <w:rsid w:val="008E7031"/>
    <w:rsid w:val="008E77DE"/>
    <w:rsid w:val="008F040C"/>
    <w:rsid w:val="008F07A3"/>
    <w:rsid w:val="008F3322"/>
    <w:rsid w:val="008F3519"/>
    <w:rsid w:val="008F3824"/>
    <w:rsid w:val="008F3A0D"/>
    <w:rsid w:val="009001B6"/>
    <w:rsid w:val="00900E1B"/>
    <w:rsid w:val="0090131F"/>
    <w:rsid w:val="00907683"/>
    <w:rsid w:val="009132B7"/>
    <w:rsid w:val="00916A2C"/>
    <w:rsid w:val="009233EE"/>
    <w:rsid w:val="009263E3"/>
    <w:rsid w:val="00926E7B"/>
    <w:rsid w:val="00930B1A"/>
    <w:rsid w:val="00932612"/>
    <w:rsid w:val="009327DC"/>
    <w:rsid w:val="009338D9"/>
    <w:rsid w:val="009339BD"/>
    <w:rsid w:val="009356CF"/>
    <w:rsid w:val="009433FD"/>
    <w:rsid w:val="00945E53"/>
    <w:rsid w:val="009460AA"/>
    <w:rsid w:val="00951978"/>
    <w:rsid w:val="00952C8B"/>
    <w:rsid w:val="00960563"/>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16CA5"/>
    <w:rsid w:val="00A206C6"/>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259C"/>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69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0ACE"/>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77C75"/>
    <w:rsid w:val="00B8080B"/>
    <w:rsid w:val="00B82223"/>
    <w:rsid w:val="00B87BA5"/>
    <w:rsid w:val="00B87C39"/>
    <w:rsid w:val="00B93891"/>
    <w:rsid w:val="00B9562D"/>
    <w:rsid w:val="00B97E8B"/>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42D4"/>
    <w:rsid w:val="00C0572A"/>
    <w:rsid w:val="00C13EBD"/>
    <w:rsid w:val="00C1631B"/>
    <w:rsid w:val="00C163AB"/>
    <w:rsid w:val="00C170F0"/>
    <w:rsid w:val="00C25962"/>
    <w:rsid w:val="00C25FA6"/>
    <w:rsid w:val="00C3099D"/>
    <w:rsid w:val="00C33011"/>
    <w:rsid w:val="00C362C1"/>
    <w:rsid w:val="00C41950"/>
    <w:rsid w:val="00C42C3B"/>
    <w:rsid w:val="00C51672"/>
    <w:rsid w:val="00C535E4"/>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18F9"/>
    <w:rsid w:val="00CB4A13"/>
    <w:rsid w:val="00CB571D"/>
    <w:rsid w:val="00CB666B"/>
    <w:rsid w:val="00CB734B"/>
    <w:rsid w:val="00CC41B6"/>
    <w:rsid w:val="00CC7ADA"/>
    <w:rsid w:val="00CC7F1D"/>
    <w:rsid w:val="00CD0A88"/>
    <w:rsid w:val="00CD125D"/>
    <w:rsid w:val="00CD283C"/>
    <w:rsid w:val="00CD3641"/>
    <w:rsid w:val="00CD40B3"/>
    <w:rsid w:val="00CD5178"/>
    <w:rsid w:val="00CD66EA"/>
    <w:rsid w:val="00CD7432"/>
    <w:rsid w:val="00CE0FA5"/>
    <w:rsid w:val="00CE2A23"/>
    <w:rsid w:val="00CE31C8"/>
    <w:rsid w:val="00CE484B"/>
    <w:rsid w:val="00CE4B42"/>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1355"/>
    <w:rsid w:val="00D25A39"/>
    <w:rsid w:val="00D27CFA"/>
    <w:rsid w:val="00D310FA"/>
    <w:rsid w:val="00D325C6"/>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55B"/>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6505"/>
    <w:rsid w:val="00E04818"/>
    <w:rsid w:val="00E06442"/>
    <w:rsid w:val="00E06952"/>
    <w:rsid w:val="00E07C42"/>
    <w:rsid w:val="00E111DC"/>
    <w:rsid w:val="00E11E61"/>
    <w:rsid w:val="00E157B2"/>
    <w:rsid w:val="00E16055"/>
    <w:rsid w:val="00E2332D"/>
    <w:rsid w:val="00E23993"/>
    <w:rsid w:val="00E2473B"/>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4D6"/>
    <w:rsid w:val="00F22A8C"/>
    <w:rsid w:val="00F2762E"/>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0C61"/>
    <w:rsid w:val="00F75A26"/>
    <w:rsid w:val="00F76706"/>
    <w:rsid w:val="00F77D6D"/>
    <w:rsid w:val="00F80206"/>
    <w:rsid w:val="00F83034"/>
    <w:rsid w:val="00F83FAD"/>
    <w:rsid w:val="00F844C6"/>
    <w:rsid w:val="00F92FA6"/>
    <w:rsid w:val="00F9353B"/>
    <w:rsid w:val="00F937F1"/>
    <w:rsid w:val="00F93E51"/>
    <w:rsid w:val="00F952A0"/>
    <w:rsid w:val="00FA2397"/>
    <w:rsid w:val="00FA31B1"/>
    <w:rsid w:val="00FA3320"/>
    <w:rsid w:val="00FA3C7F"/>
    <w:rsid w:val="00FA6246"/>
    <w:rsid w:val="00FB24ED"/>
    <w:rsid w:val="00FB2BC9"/>
    <w:rsid w:val="00FB3304"/>
    <w:rsid w:val="00FB5005"/>
    <w:rsid w:val="00FB60FE"/>
    <w:rsid w:val="00FB74E2"/>
    <w:rsid w:val="00FB778B"/>
    <w:rsid w:val="00FC0796"/>
    <w:rsid w:val="00FD2283"/>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B9252F-6893-4A9D-B73F-A62F8138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A2A49E99</Template>
  <TotalTime>0</TotalTime>
  <Pages>8</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