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4B7" w:rsidRDefault="009026D8" w:rsidP="00290C63">
      <w:bookmarkStart w:id="0" w:name="_GoBack"/>
      <w:bookmarkEnd w:id="0"/>
      <w:r w:rsidRPr="00290C63">
        <w:rPr>
          <w:noProof/>
          <w:lang w:val="en-US"/>
        </w:rPr>
        <w:drawing>
          <wp:anchor distT="0" distB="0" distL="114300" distR="114300" simplePos="0" relativeHeight="251659264" behindDoc="1" locked="0" layoutInCell="1" allowOverlap="1" wp14:anchorId="265F8908" wp14:editId="3A18C861">
            <wp:simplePos x="0" y="0"/>
            <wp:positionH relativeFrom="column">
              <wp:posOffset>-1097915</wp:posOffset>
            </wp:positionH>
            <wp:positionV relativeFrom="paragraph">
              <wp:posOffset>-952500</wp:posOffset>
            </wp:positionV>
            <wp:extent cx="7588729" cy="11020425"/>
            <wp:effectExtent l="0" t="0" r="0"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1024340"/>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B9733D">
            <w:t>DRAFT</w:t>
          </w:r>
          <w:r w:rsidR="00DA4752">
            <w:t xml:space="preserve"> DECISION</w:t>
          </w:r>
        </w:p>
        <w:p w:rsidR="009026D8" w:rsidRDefault="009026D8" w:rsidP="001754EE">
          <w:pPr>
            <w:pStyle w:val="ReportSubtitle"/>
            <w:tabs>
              <w:tab w:val="left" w:pos="1122"/>
              <w:tab w:val="center" w:pos="4238"/>
            </w:tabs>
            <w:jc w:val="left"/>
          </w:pPr>
        </w:p>
        <w:p w:rsidR="009026D8" w:rsidRDefault="009026D8" w:rsidP="008F07A3">
          <w:pPr>
            <w:pStyle w:val="ReportSubtitle"/>
          </w:pPr>
          <w:r>
            <w:t>Advanced metering infrastructure</w:t>
          </w:r>
        </w:p>
        <w:p w:rsidR="009026D8" w:rsidRDefault="009026D8" w:rsidP="008F07A3">
          <w:pPr>
            <w:pStyle w:val="ReportSubtitle"/>
          </w:pPr>
          <w:r>
            <w:t xml:space="preserve"> </w:t>
          </w:r>
        </w:p>
        <w:p w:rsidR="000A6C7B" w:rsidRDefault="009026D8" w:rsidP="008F07A3">
          <w:pPr>
            <w:pStyle w:val="ReportSubtitle"/>
          </w:pPr>
          <w:r>
            <w:t>Transition Charges Application</w:t>
          </w:r>
          <w:r w:rsidR="00FA4835">
            <w:t>s</w:t>
          </w:r>
        </w:p>
        <w:p w:rsidR="008F07A3" w:rsidRPr="000A6C7B" w:rsidRDefault="008F07A3" w:rsidP="008F07A3">
          <w:pPr>
            <w:pStyle w:val="ReportSubtitle"/>
          </w:pPr>
        </w:p>
        <w:p w:rsidR="00B9733D" w:rsidRDefault="00B9733D" w:rsidP="00327A1E">
          <w:pPr>
            <w:pStyle w:val="ReportDate"/>
          </w:pPr>
        </w:p>
        <w:p w:rsidR="000A6C7B" w:rsidRPr="00327A1E" w:rsidRDefault="00BD397E" w:rsidP="00327A1E">
          <w:pPr>
            <w:pStyle w:val="ReportDate"/>
          </w:pPr>
          <w:r>
            <w:t>September</w:t>
          </w:r>
          <w:r w:rsidR="009026D8">
            <w:t xml:space="preserve"> 2016</w:t>
          </w:r>
        </w:p>
      </w:sdtContent>
    </w:sdt>
    <w:p w:rsidR="00327A1E" w:rsidRPr="00290C63" w:rsidRDefault="00327A1E" w:rsidP="00290C63">
      <w:r>
        <w:br w:type="page"/>
      </w:r>
    </w:p>
    <w:p w:rsidR="000A6C7B" w:rsidRDefault="009026D8" w:rsidP="00961A4A">
      <w:pPr>
        <w:pStyle w:val="Copyright"/>
      </w:pPr>
      <w:r>
        <w:lastRenderedPageBreak/>
        <w:t>© Commonwealth of 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8F07A3" w:rsidRPr="009D3906" w:rsidRDefault="00415F31" w:rsidP="00B9562D">
      <w:pPr>
        <w:pStyle w:val="Copyright"/>
      </w:pPr>
      <w:r w:rsidRPr="009D3906">
        <w:t>AER reference:</w:t>
      </w:r>
      <w:r w:rsidRPr="009D3906">
        <w:tab/>
      </w:r>
      <w:r w:rsidR="00BC3EEE" w:rsidRPr="00BC3EEE">
        <w:t>59278</w:t>
      </w:r>
    </w:p>
    <w:p w:rsidR="009001B6" w:rsidRDefault="009001B6">
      <w:pPr>
        <w:spacing w:line="240" w:lineRule="auto"/>
      </w:pPr>
      <w:bookmarkStart w:id="1" w:name="_Toc404354899"/>
      <w:bookmarkStart w:id="2" w:name="_Toc404353070"/>
      <w:bookmarkStart w:id="3" w:name="_Toc404684201"/>
      <w:bookmarkStart w:id="4" w:name="_Toc404700923"/>
      <w:r>
        <w:br w:type="page"/>
      </w:r>
    </w:p>
    <w:bookmarkEnd w:id="1"/>
    <w:bookmarkEnd w:id="2"/>
    <w:bookmarkEnd w:id="3"/>
    <w:bookmarkEnd w:id="4"/>
    <w:p w:rsidR="008F07A3" w:rsidRPr="008F07A3" w:rsidRDefault="008F07A3" w:rsidP="00415F31">
      <w:pPr>
        <w:numPr>
          <w:ilvl w:val="0"/>
          <w:numId w:val="25"/>
        </w:numPr>
        <w:sectPr w:rsidR="008F07A3"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5" w:name="_Toc403144133"/>
      <w:bookmarkStart w:id="6" w:name="_Toc461526251"/>
      <w:r>
        <w:lastRenderedPageBreak/>
        <w:t>Contents</w:t>
      </w:r>
      <w:bookmarkEnd w:id="5"/>
      <w:bookmarkEnd w:id="6"/>
    </w:p>
    <w:p w:rsidR="005D7BA2" w:rsidRDefault="005D7BA2">
      <w:pPr>
        <w:spacing w:line="240" w:lineRule="auto"/>
      </w:pPr>
    </w:p>
    <w:sdt>
      <w:sdtPr>
        <w:rPr>
          <w:rFonts w:eastAsiaTheme="minorHAnsi" w:cstheme="minorBidi"/>
          <w:bCs w:val="0"/>
          <w:noProof/>
          <w:color w:val="70635A" w:themeColor="text2"/>
          <w:sz w:val="24"/>
          <w:szCs w:val="22"/>
          <w:lang w:val="en-AU" w:eastAsia="en-US"/>
        </w:rPr>
        <w:id w:val="719166766"/>
        <w:docPartObj>
          <w:docPartGallery w:val="Table of Contents"/>
          <w:docPartUnique/>
        </w:docPartObj>
      </w:sdtPr>
      <w:sdtEndPr/>
      <w:sdtContent>
        <w:p w:rsidR="008E3B21" w:rsidRPr="008E3B21" w:rsidRDefault="008E3B21">
          <w:pPr>
            <w:pStyle w:val="TOCHeading"/>
          </w:pPr>
          <w:r w:rsidRPr="008E3B21">
            <w:t>Table of Contents</w:t>
          </w:r>
        </w:p>
        <w:p w:rsidR="00564E56" w:rsidRDefault="008E3B21">
          <w:pPr>
            <w:pStyle w:val="TOC1"/>
            <w:rPr>
              <w:rFonts w:asciiTheme="minorHAnsi" w:eastAsiaTheme="minorEastAsia" w:hAnsiTheme="minorHAnsi"/>
              <w:b w:val="0"/>
              <w:color w:val="auto"/>
              <w:sz w:val="22"/>
              <w:lang w:val="en-AU" w:eastAsia="en-AU"/>
            </w:rPr>
          </w:pPr>
          <w:r w:rsidRPr="008E3B21">
            <w:fldChar w:fldCharType="begin"/>
          </w:r>
          <w:r w:rsidRPr="008E3B21">
            <w:instrText xml:space="preserve"> TOC \o "1-3" \h \z \u </w:instrText>
          </w:r>
          <w:r w:rsidRPr="008E3B21">
            <w:fldChar w:fldCharType="separate"/>
          </w:r>
          <w:hyperlink w:anchor="_Toc461526251" w:history="1">
            <w:r w:rsidR="00564E56" w:rsidRPr="00FB0BBF">
              <w:rPr>
                <w:rStyle w:val="Hyperlink"/>
              </w:rPr>
              <w:t>Contents</w:t>
            </w:r>
            <w:r w:rsidR="00564E56">
              <w:rPr>
                <w:webHidden/>
              </w:rPr>
              <w:tab/>
            </w:r>
            <w:r w:rsidR="00564E56">
              <w:rPr>
                <w:webHidden/>
              </w:rPr>
              <w:fldChar w:fldCharType="begin"/>
            </w:r>
            <w:r w:rsidR="00564E56">
              <w:rPr>
                <w:webHidden/>
              </w:rPr>
              <w:instrText xml:space="preserve"> PAGEREF _Toc461526251 \h </w:instrText>
            </w:r>
            <w:r w:rsidR="00564E56">
              <w:rPr>
                <w:webHidden/>
              </w:rPr>
            </w:r>
            <w:r w:rsidR="00564E56">
              <w:rPr>
                <w:webHidden/>
              </w:rPr>
              <w:fldChar w:fldCharType="separate"/>
            </w:r>
            <w:r w:rsidR="003C3A1D">
              <w:rPr>
                <w:webHidden/>
              </w:rPr>
              <w:t>2</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52" w:history="1">
            <w:r w:rsidR="00564E56" w:rsidRPr="00FB0BBF">
              <w:rPr>
                <w:rStyle w:val="Hyperlink"/>
              </w:rPr>
              <w:t>Shortened forms</w:t>
            </w:r>
            <w:r w:rsidR="00564E56">
              <w:rPr>
                <w:webHidden/>
              </w:rPr>
              <w:tab/>
            </w:r>
            <w:r w:rsidR="00564E56">
              <w:rPr>
                <w:webHidden/>
              </w:rPr>
              <w:fldChar w:fldCharType="begin"/>
            </w:r>
            <w:r w:rsidR="00564E56">
              <w:rPr>
                <w:webHidden/>
              </w:rPr>
              <w:instrText xml:space="preserve"> PAGEREF _Toc461526252 \h </w:instrText>
            </w:r>
            <w:r w:rsidR="00564E56">
              <w:rPr>
                <w:webHidden/>
              </w:rPr>
            </w:r>
            <w:r w:rsidR="00564E56">
              <w:rPr>
                <w:webHidden/>
              </w:rPr>
              <w:fldChar w:fldCharType="separate"/>
            </w:r>
            <w:r w:rsidR="003C3A1D">
              <w:rPr>
                <w:webHidden/>
              </w:rPr>
              <w:t>4</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53" w:history="1">
            <w:r w:rsidR="00564E56" w:rsidRPr="00FB0BBF">
              <w:rPr>
                <w:rStyle w:val="Hyperlink"/>
              </w:rPr>
              <w:t>1</w:t>
            </w:r>
            <w:r w:rsidR="00564E56">
              <w:rPr>
                <w:rFonts w:asciiTheme="minorHAnsi" w:eastAsiaTheme="minorEastAsia" w:hAnsiTheme="minorHAnsi"/>
                <w:b w:val="0"/>
                <w:color w:val="auto"/>
                <w:sz w:val="22"/>
                <w:lang w:val="en-AU" w:eastAsia="en-AU"/>
              </w:rPr>
              <w:tab/>
            </w:r>
            <w:r w:rsidR="00564E56" w:rsidRPr="00FB0BBF">
              <w:rPr>
                <w:rStyle w:val="Hyperlink"/>
              </w:rPr>
              <w:t>Summary</w:t>
            </w:r>
            <w:r w:rsidR="00564E56">
              <w:rPr>
                <w:webHidden/>
              </w:rPr>
              <w:tab/>
            </w:r>
            <w:r w:rsidR="00564E56">
              <w:rPr>
                <w:webHidden/>
              </w:rPr>
              <w:fldChar w:fldCharType="begin"/>
            </w:r>
            <w:r w:rsidR="00564E56">
              <w:rPr>
                <w:webHidden/>
              </w:rPr>
              <w:instrText xml:space="preserve"> PAGEREF _Toc461526253 \h </w:instrText>
            </w:r>
            <w:r w:rsidR="00564E56">
              <w:rPr>
                <w:webHidden/>
              </w:rPr>
            </w:r>
            <w:r w:rsidR="00564E56">
              <w:rPr>
                <w:webHidden/>
              </w:rPr>
              <w:fldChar w:fldCharType="separate"/>
            </w:r>
            <w:r w:rsidR="003C3A1D">
              <w:rPr>
                <w:webHidden/>
              </w:rPr>
              <w:t>5</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54" w:history="1">
            <w:r w:rsidR="00564E56" w:rsidRPr="00FB0BBF">
              <w:rPr>
                <w:rStyle w:val="Hyperlink"/>
              </w:rPr>
              <w:t>2</w:t>
            </w:r>
            <w:r w:rsidR="00564E56">
              <w:rPr>
                <w:rFonts w:asciiTheme="minorHAnsi" w:eastAsiaTheme="minorEastAsia" w:hAnsiTheme="minorHAnsi"/>
                <w:b w:val="0"/>
                <w:color w:val="auto"/>
                <w:sz w:val="22"/>
                <w:lang w:val="en-AU" w:eastAsia="en-AU"/>
              </w:rPr>
              <w:tab/>
            </w:r>
            <w:r w:rsidR="00564E56" w:rsidRPr="00FB0BBF">
              <w:rPr>
                <w:rStyle w:val="Hyperlink"/>
              </w:rPr>
              <w:t>Background</w:t>
            </w:r>
            <w:r w:rsidR="00564E56">
              <w:rPr>
                <w:webHidden/>
              </w:rPr>
              <w:tab/>
            </w:r>
            <w:r w:rsidR="00564E56">
              <w:rPr>
                <w:webHidden/>
              </w:rPr>
              <w:fldChar w:fldCharType="begin"/>
            </w:r>
            <w:r w:rsidR="00564E56">
              <w:rPr>
                <w:webHidden/>
              </w:rPr>
              <w:instrText xml:space="preserve"> PAGEREF _Toc461526254 \h </w:instrText>
            </w:r>
            <w:r w:rsidR="00564E56">
              <w:rPr>
                <w:webHidden/>
              </w:rPr>
            </w:r>
            <w:r w:rsidR="00564E56">
              <w:rPr>
                <w:webHidden/>
              </w:rPr>
              <w:fldChar w:fldCharType="separate"/>
            </w:r>
            <w:r w:rsidR="003C3A1D">
              <w:rPr>
                <w:webHidden/>
              </w:rPr>
              <w:t>9</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55" w:history="1">
            <w:r w:rsidR="00564E56" w:rsidRPr="00FB0BBF">
              <w:rPr>
                <w:rStyle w:val="Hyperlink"/>
              </w:rPr>
              <w:t>3</w:t>
            </w:r>
            <w:r w:rsidR="00564E56">
              <w:rPr>
                <w:rFonts w:asciiTheme="minorHAnsi" w:eastAsiaTheme="minorEastAsia" w:hAnsiTheme="minorHAnsi"/>
                <w:b w:val="0"/>
                <w:color w:val="auto"/>
                <w:sz w:val="22"/>
                <w:lang w:val="en-AU" w:eastAsia="en-AU"/>
              </w:rPr>
              <w:tab/>
            </w:r>
            <w:r w:rsidR="00564E56" w:rsidRPr="00FB0BBF">
              <w:rPr>
                <w:rStyle w:val="Hyperlink"/>
              </w:rPr>
              <w:t>Assessment approach</w:t>
            </w:r>
            <w:r w:rsidR="00564E56">
              <w:rPr>
                <w:webHidden/>
              </w:rPr>
              <w:tab/>
            </w:r>
            <w:r w:rsidR="00564E56">
              <w:rPr>
                <w:webHidden/>
              </w:rPr>
              <w:fldChar w:fldCharType="begin"/>
            </w:r>
            <w:r w:rsidR="00564E56">
              <w:rPr>
                <w:webHidden/>
              </w:rPr>
              <w:instrText xml:space="preserve"> PAGEREF _Toc461526255 \h </w:instrText>
            </w:r>
            <w:r w:rsidR="00564E56">
              <w:rPr>
                <w:webHidden/>
              </w:rPr>
            </w:r>
            <w:r w:rsidR="00564E56">
              <w:rPr>
                <w:webHidden/>
              </w:rPr>
              <w:fldChar w:fldCharType="separate"/>
            </w:r>
            <w:r w:rsidR="003C3A1D">
              <w:rPr>
                <w:webHidden/>
              </w:rPr>
              <w:t>12</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56" w:history="1">
            <w:r w:rsidR="00564E56" w:rsidRPr="00FB0BBF">
              <w:rPr>
                <w:rStyle w:val="Hyperlink"/>
              </w:rPr>
              <w:t>3.1</w:t>
            </w:r>
            <w:r w:rsidR="00564E56">
              <w:rPr>
                <w:rFonts w:asciiTheme="minorHAnsi" w:eastAsiaTheme="minorEastAsia" w:hAnsiTheme="minorHAnsi"/>
                <w:b w:val="0"/>
                <w:color w:val="auto"/>
                <w:sz w:val="22"/>
                <w:lang w:eastAsia="en-AU"/>
              </w:rPr>
              <w:tab/>
            </w:r>
            <w:r w:rsidR="00564E56" w:rsidRPr="00FB0BBF">
              <w:rPr>
                <w:rStyle w:val="Hyperlink"/>
              </w:rPr>
              <w:t>Calculation of transition charge</w:t>
            </w:r>
            <w:r w:rsidR="00564E56">
              <w:rPr>
                <w:webHidden/>
              </w:rPr>
              <w:tab/>
            </w:r>
            <w:r w:rsidR="00564E56">
              <w:rPr>
                <w:webHidden/>
              </w:rPr>
              <w:fldChar w:fldCharType="begin"/>
            </w:r>
            <w:r w:rsidR="00564E56">
              <w:rPr>
                <w:webHidden/>
              </w:rPr>
              <w:instrText xml:space="preserve"> PAGEREF _Toc461526256 \h </w:instrText>
            </w:r>
            <w:r w:rsidR="00564E56">
              <w:rPr>
                <w:webHidden/>
              </w:rPr>
            </w:r>
            <w:r w:rsidR="00564E56">
              <w:rPr>
                <w:webHidden/>
              </w:rPr>
              <w:fldChar w:fldCharType="separate"/>
            </w:r>
            <w:r w:rsidR="003C3A1D">
              <w:rPr>
                <w:webHidden/>
              </w:rPr>
              <w:t>12</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57" w:history="1">
            <w:r w:rsidR="00564E56" w:rsidRPr="00FB0BBF">
              <w:rPr>
                <w:rStyle w:val="Hyperlink"/>
              </w:rPr>
              <w:t>3.1.1</w:t>
            </w:r>
            <w:r w:rsidR="00564E56">
              <w:rPr>
                <w:rFonts w:asciiTheme="minorHAnsi" w:eastAsiaTheme="minorEastAsia" w:hAnsiTheme="minorHAnsi"/>
                <w:lang w:eastAsia="en-AU"/>
              </w:rPr>
              <w:tab/>
            </w:r>
            <w:r w:rsidR="00564E56" w:rsidRPr="00FB0BBF">
              <w:rPr>
                <w:rStyle w:val="Hyperlink"/>
              </w:rPr>
              <w:t>Revenue and costs true–up</w:t>
            </w:r>
            <w:r w:rsidR="00564E56">
              <w:rPr>
                <w:webHidden/>
              </w:rPr>
              <w:tab/>
            </w:r>
            <w:r w:rsidR="00564E56">
              <w:rPr>
                <w:webHidden/>
              </w:rPr>
              <w:fldChar w:fldCharType="begin"/>
            </w:r>
            <w:r w:rsidR="00564E56">
              <w:rPr>
                <w:webHidden/>
              </w:rPr>
              <w:instrText xml:space="preserve"> PAGEREF _Toc461526257 \h </w:instrText>
            </w:r>
            <w:r w:rsidR="00564E56">
              <w:rPr>
                <w:webHidden/>
              </w:rPr>
            </w:r>
            <w:r w:rsidR="00564E56">
              <w:rPr>
                <w:webHidden/>
              </w:rPr>
              <w:fldChar w:fldCharType="separate"/>
            </w:r>
            <w:r w:rsidR="003C3A1D">
              <w:rPr>
                <w:webHidden/>
              </w:rPr>
              <w:t>12</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58" w:history="1">
            <w:r w:rsidR="00564E56" w:rsidRPr="00FB0BBF">
              <w:rPr>
                <w:rStyle w:val="Hyperlink"/>
              </w:rPr>
              <w:t>3.1.2</w:t>
            </w:r>
            <w:r w:rsidR="00564E56">
              <w:rPr>
                <w:rFonts w:asciiTheme="minorHAnsi" w:eastAsiaTheme="minorEastAsia" w:hAnsiTheme="minorHAnsi"/>
                <w:lang w:eastAsia="en-AU"/>
              </w:rPr>
              <w:tab/>
            </w:r>
            <w:r w:rsidR="00564E56" w:rsidRPr="00FB0BBF">
              <w:rPr>
                <w:rStyle w:val="Hyperlink"/>
              </w:rPr>
              <w:t>Metering asset base true–up</w:t>
            </w:r>
            <w:r w:rsidR="00564E56">
              <w:rPr>
                <w:webHidden/>
              </w:rPr>
              <w:tab/>
            </w:r>
            <w:r w:rsidR="00564E56">
              <w:rPr>
                <w:webHidden/>
              </w:rPr>
              <w:fldChar w:fldCharType="begin"/>
            </w:r>
            <w:r w:rsidR="00564E56">
              <w:rPr>
                <w:webHidden/>
              </w:rPr>
              <w:instrText xml:space="preserve"> PAGEREF _Toc461526258 \h </w:instrText>
            </w:r>
            <w:r w:rsidR="00564E56">
              <w:rPr>
                <w:webHidden/>
              </w:rPr>
            </w:r>
            <w:r w:rsidR="00564E56">
              <w:rPr>
                <w:webHidden/>
              </w:rPr>
              <w:fldChar w:fldCharType="separate"/>
            </w:r>
            <w:r w:rsidR="003C3A1D">
              <w:rPr>
                <w:webHidden/>
              </w:rPr>
              <w:t>13</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59" w:history="1">
            <w:r w:rsidR="00564E56" w:rsidRPr="00FB0BBF">
              <w:rPr>
                <w:rStyle w:val="Hyperlink"/>
              </w:rPr>
              <w:t>3.2</w:t>
            </w:r>
            <w:r w:rsidR="00564E56">
              <w:rPr>
                <w:rFonts w:asciiTheme="minorHAnsi" w:eastAsiaTheme="minorEastAsia" w:hAnsiTheme="minorHAnsi"/>
                <w:b w:val="0"/>
                <w:color w:val="auto"/>
                <w:sz w:val="22"/>
                <w:lang w:eastAsia="en-AU"/>
              </w:rPr>
              <w:tab/>
            </w:r>
            <w:r w:rsidR="00564E56" w:rsidRPr="00FB0BBF">
              <w:rPr>
                <w:rStyle w:val="Hyperlink"/>
              </w:rPr>
              <w:t>Assessment of 2014 and 2015 costs</w:t>
            </w:r>
            <w:r w:rsidR="00564E56">
              <w:rPr>
                <w:webHidden/>
              </w:rPr>
              <w:tab/>
            </w:r>
            <w:r w:rsidR="00564E56">
              <w:rPr>
                <w:webHidden/>
              </w:rPr>
              <w:fldChar w:fldCharType="begin"/>
            </w:r>
            <w:r w:rsidR="00564E56">
              <w:rPr>
                <w:webHidden/>
              </w:rPr>
              <w:instrText xml:space="preserve"> PAGEREF _Toc461526259 \h </w:instrText>
            </w:r>
            <w:r w:rsidR="00564E56">
              <w:rPr>
                <w:webHidden/>
              </w:rPr>
            </w:r>
            <w:r w:rsidR="00564E56">
              <w:rPr>
                <w:webHidden/>
              </w:rPr>
              <w:fldChar w:fldCharType="separate"/>
            </w:r>
            <w:r w:rsidR="003C3A1D">
              <w:rPr>
                <w:webHidden/>
              </w:rPr>
              <w:t>13</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60" w:history="1">
            <w:r w:rsidR="00564E56" w:rsidRPr="00FB0BBF">
              <w:rPr>
                <w:rStyle w:val="Hyperlink"/>
              </w:rPr>
              <w:t>3.2.1</w:t>
            </w:r>
            <w:r w:rsidR="00564E56">
              <w:rPr>
                <w:rFonts w:asciiTheme="minorHAnsi" w:eastAsiaTheme="minorEastAsia" w:hAnsiTheme="minorHAnsi"/>
                <w:lang w:eastAsia="en-AU"/>
              </w:rPr>
              <w:tab/>
            </w:r>
            <w:r w:rsidR="00564E56" w:rsidRPr="00FB0BBF">
              <w:rPr>
                <w:rStyle w:val="Hyperlink"/>
              </w:rPr>
              <w:t>Scope test</w:t>
            </w:r>
            <w:r w:rsidR="00564E56">
              <w:rPr>
                <w:webHidden/>
              </w:rPr>
              <w:tab/>
            </w:r>
            <w:r w:rsidR="00564E56">
              <w:rPr>
                <w:webHidden/>
              </w:rPr>
              <w:fldChar w:fldCharType="begin"/>
            </w:r>
            <w:r w:rsidR="00564E56">
              <w:rPr>
                <w:webHidden/>
              </w:rPr>
              <w:instrText xml:space="preserve"> PAGEREF _Toc461526260 \h </w:instrText>
            </w:r>
            <w:r w:rsidR="00564E56">
              <w:rPr>
                <w:webHidden/>
              </w:rPr>
            </w:r>
            <w:r w:rsidR="00564E56">
              <w:rPr>
                <w:webHidden/>
              </w:rPr>
              <w:fldChar w:fldCharType="separate"/>
            </w:r>
            <w:r w:rsidR="003C3A1D">
              <w:rPr>
                <w:webHidden/>
              </w:rPr>
              <w:t>14</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61" w:history="1">
            <w:r w:rsidR="00564E56" w:rsidRPr="00FB0BBF">
              <w:rPr>
                <w:rStyle w:val="Hyperlink"/>
              </w:rPr>
              <w:t>3.2.2</w:t>
            </w:r>
            <w:r w:rsidR="00564E56">
              <w:rPr>
                <w:rFonts w:asciiTheme="minorHAnsi" w:eastAsiaTheme="minorEastAsia" w:hAnsiTheme="minorHAnsi"/>
                <w:lang w:eastAsia="en-AU"/>
              </w:rPr>
              <w:tab/>
            </w:r>
            <w:r w:rsidR="00564E56" w:rsidRPr="00FB0BBF">
              <w:rPr>
                <w:rStyle w:val="Hyperlink"/>
              </w:rPr>
              <w:t>Prudency test</w:t>
            </w:r>
            <w:r w:rsidR="00564E56">
              <w:rPr>
                <w:webHidden/>
              </w:rPr>
              <w:tab/>
            </w:r>
            <w:r w:rsidR="00564E56">
              <w:rPr>
                <w:webHidden/>
              </w:rPr>
              <w:fldChar w:fldCharType="begin"/>
            </w:r>
            <w:r w:rsidR="00564E56">
              <w:rPr>
                <w:webHidden/>
              </w:rPr>
              <w:instrText xml:space="preserve"> PAGEREF _Toc461526261 \h </w:instrText>
            </w:r>
            <w:r w:rsidR="00564E56">
              <w:rPr>
                <w:webHidden/>
              </w:rPr>
            </w:r>
            <w:r w:rsidR="00564E56">
              <w:rPr>
                <w:webHidden/>
              </w:rPr>
              <w:fldChar w:fldCharType="separate"/>
            </w:r>
            <w:r w:rsidR="003C3A1D">
              <w:rPr>
                <w:webHidden/>
              </w:rPr>
              <w:t>14</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62" w:history="1">
            <w:r w:rsidR="00564E56" w:rsidRPr="00FB0BBF">
              <w:rPr>
                <w:rStyle w:val="Hyperlink"/>
              </w:rPr>
              <w:t>3.2.3</w:t>
            </w:r>
            <w:r w:rsidR="00564E56">
              <w:rPr>
                <w:rFonts w:asciiTheme="minorHAnsi" w:eastAsiaTheme="minorEastAsia" w:hAnsiTheme="minorHAnsi"/>
                <w:lang w:eastAsia="en-AU"/>
              </w:rPr>
              <w:tab/>
            </w:r>
            <w:r w:rsidR="00564E56" w:rsidRPr="00FB0BBF">
              <w:rPr>
                <w:rStyle w:val="Hyperlink"/>
              </w:rPr>
              <w:t>Benchmarking</w:t>
            </w:r>
            <w:r w:rsidR="00564E56">
              <w:rPr>
                <w:webHidden/>
              </w:rPr>
              <w:tab/>
            </w:r>
            <w:r w:rsidR="00564E56">
              <w:rPr>
                <w:webHidden/>
              </w:rPr>
              <w:fldChar w:fldCharType="begin"/>
            </w:r>
            <w:r w:rsidR="00564E56">
              <w:rPr>
                <w:webHidden/>
              </w:rPr>
              <w:instrText xml:space="preserve"> PAGEREF _Toc461526262 \h </w:instrText>
            </w:r>
            <w:r w:rsidR="00564E56">
              <w:rPr>
                <w:webHidden/>
              </w:rPr>
            </w:r>
            <w:r w:rsidR="00564E56">
              <w:rPr>
                <w:webHidden/>
              </w:rPr>
              <w:fldChar w:fldCharType="separate"/>
            </w:r>
            <w:r w:rsidR="003C3A1D">
              <w:rPr>
                <w:webHidden/>
              </w:rPr>
              <w:t>15</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63" w:history="1">
            <w:r w:rsidR="00564E56" w:rsidRPr="00FB0BBF">
              <w:rPr>
                <w:rStyle w:val="Hyperlink"/>
              </w:rPr>
              <w:t>4</w:t>
            </w:r>
            <w:r w:rsidR="00564E56">
              <w:rPr>
                <w:rFonts w:asciiTheme="minorHAnsi" w:eastAsiaTheme="minorEastAsia" w:hAnsiTheme="minorHAnsi"/>
                <w:b w:val="0"/>
                <w:color w:val="auto"/>
                <w:sz w:val="22"/>
                <w:lang w:val="en-AU" w:eastAsia="en-AU"/>
              </w:rPr>
              <w:tab/>
            </w:r>
            <w:r w:rsidR="00564E56" w:rsidRPr="00FB0BBF">
              <w:rPr>
                <w:rStyle w:val="Hyperlink"/>
              </w:rPr>
              <w:t>AusNet Services</w:t>
            </w:r>
            <w:r w:rsidR="00564E56">
              <w:rPr>
                <w:webHidden/>
              </w:rPr>
              <w:tab/>
            </w:r>
            <w:r w:rsidR="00564E56">
              <w:rPr>
                <w:webHidden/>
              </w:rPr>
              <w:fldChar w:fldCharType="begin"/>
            </w:r>
            <w:r w:rsidR="00564E56">
              <w:rPr>
                <w:webHidden/>
              </w:rPr>
              <w:instrText xml:space="preserve"> PAGEREF _Toc461526263 \h </w:instrText>
            </w:r>
            <w:r w:rsidR="00564E56">
              <w:rPr>
                <w:webHidden/>
              </w:rPr>
            </w:r>
            <w:r w:rsidR="00564E56">
              <w:rPr>
                <w:webHidden/>
              </w:rPr>
              <w:fldChar w:fldCharType="separate"/>
            </w:r>
            <w:r w:rsidR="003C3A1D">
              <w:rPr>
                <w:webHidden/>
              </w:rPr>
              <w:t>18</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64" w:history="1">
            <w:r w:rsidR="00564E56" w:rsidRPr="00FB0BBF">
              <w:rPr>
                <w:rStyle w:val="Hyperlink"/>
              </w:rPr>
              <w:t>4.1</w:t>
            </w:r>
            <w:r w:rsidR="00564E56">
              <w:rPr>
                <w:rFonts w:asciiTheme="minorHAnsi" w:eastAsiaTheme="minorEastAsia" w:hAnsiTheme="minorHAnsi"/>
                <w:b w:val="0"/>
                <w:color w:val="auto"/>
                <w:sz w:val="22"/>
                <w:lang w:eastAsia="en-AU"/>
              </w:rPr>
              <w:tab/>
            </w:r>
            <w:r w:rsidR="00564E56" w:rsidRPr="00FB0BBF">
              <w:rPr>
                <w:rStyle w:val="Hyperlink"/>
              </w:rPr>
              <w:t>Draft decision</w:t>
            </w:r>
            <w:r w:rsidR="00564E56">
              <w:rPr>
                <w:webHidden/>
              </w:rPr>
              <w:tab/>
            </w:r>
            <w:r w:rsidR="00564E56">
              <w:rPr>
                <w:webHidden/>
              </w:rPr>
              <w:fldChar w:fldCharType="begin"/>
            </w:r>
            <w:r w:rsidR="00564E56">
              <w:rPr>
                <w:webHidden/>
              </w:rPr>
              <w:instrText xml:space="preserve"> PAGEREF _Toc461526264 \h </w:instrText>
            </w:r>
            <w:r w:rsidR="00564E56">
              <w:rPr>
                <w:webHidden/>
              </w:rPr>
            </w:r>
            <w:r w:rsidR="00564E56">
              <w:rPr>
                <w:webHidden/>
              </w:rPr>
              <w:fldChar w:fldCharType="separate"/>
            </w:r>
            <w:r w:rsidR="003C3A1D">
              <w:rPr>
                <w:webHidden/>
              </w:rPr>
              <w:t>18</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65" w:history="1">
            <w:r w:rsidR="00564E56" w:rsidRPr="00FB0BBF">
              <w:rPr>
                <w:rStyle w:val="Hyperlink"/>
              </w:rPr>
              <w:t>4.1.1</w:t>
            </w:r>
            <w:r w:rsidR="00564E56">
              <w:rPr>
                <w:rFonts w:asciiTheme="minorHAnsi" w:eastAsiaTheme="minorEastAsia" w:hAnsiTheme="minorHAnsi"/>
                <w:lang w:eastAsia="en-AU"/>
              </w:rPr>
              <w:tab/>
            </w:r>
            <w:r w:rsidR="00564E56" w:rsidRPr="00FB0BBF">
              <w:rPr>
                <w:rStyle w:val="Hyperlink"/>
              </w:rPr>
              <w:t>Revenue and costs true–up</w:t>
            </w:r>
            <w:r w:rsidR="00564E56">
              <w:rPr>
                <w:webHidden/>
              </w:rPr>
              <w:tab/>
            </w:r>
            <w:r w:rsidR="00564E56">
              <w:rPr>
                <w:webHidden/>
              </w:rPr>
              <w:fldChar w:fldCharType="begin"/>
            </w:r>
            <w:r w:rsidR="00564E56">
              <w:rPr>
                <w:webHidden/>
              </w:rPr>
              <w:instrText xml:space="preserve"> PAGEREF _Toc461526265 \h </w:instrText>
            </w:r>
            <w:r w:rsidR="00564E56">
              <w:rPr>
                <w:webHidden/>
              </w:rPr>
            </w:r>
            <w:r w:rsidR="00564E56">
              <w:rPr>
                <w:webHidden/>
              </w:rPr>
              <w:fldChar w:fldCharType="separate"/>
            </w:r>
            <w:r w:rsidR="003C3A1D">
              <w:rPr>
                <w:webHidden/>
              </w:rPr>
              <w:t>18</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66" w:history="1">
            <w:r w:rsidR="00564E56" w:rsidRPr="00FB0BBF">
              <w:rPr>
                <w:rStyle w:val="Hyperlink"/>
              </w:rPr>
              <w:t>4.1.2</w:t>
            </w:r>
            <w:r w:rsidR="00564E56">
              <w:rPr>
                <w:rFonts w:asciiTheme="minorHAnsi" w:eastAsiaTheme="minorEastAsia" w:hAnsiTheme="minorHAnsi"/>
                <w:lang w:eastAsia="en-AU"/>
              </w:rPr>
              <w:tab/>
            </w:r>
            <w:r w:rsidR="00564E56" w:rsidRPr="00FB0BBF">
              <w:rPr>
                <w:rStyle w:val="Hyperlink"/>
              </w:rPr>
              <w:t>MAB true–up</w:t>
            </w:r>
            <w:r w:rsidR="00564E56">
              <w:rPr>
                <w:webHidden/>
              </w:rPr>
              <w:tab/>
            </w:r>
            <w:r w:rsidR="00564E56">
              <w:rPr>
                <w:webHidden/>
              </w:rPr>
              <w:fldChar w:fldCharType="begin"/>
            </w:r>
            <w:r w:rsidR="00564E56">
              <w:rPr>
                <w:webHidden/>
              </w:rPr>
              <w:instrText xml:space="preserve"> PAGEREF _Toc461526266 \h </w:instrText>
            </w:r>
            <w:r w:rsidR="00564E56">
              <w:rPr>
                <w:webHidden/>
              </w:rPr>
            </w:r>
            <w:r w:rsidR="00564E56">
              <w:rPr>
                <w:webHidden/>
              </w:rPr>
              <w:fldChar w:fldCharType="separate"/>
            </w:r>
            <w:r w:rsidR="003C3A1D">
              <w:rPr>
                <w:webHidden/>
              </w:rPr>
              <w:t>21</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67" w:history="1">
            <w:r w:rsidR="00564E56" w:rsidRPr="00FB0BBF">
              <w:rPr>
                <w:rStyle w:val="Hyperlink"/>
              </w:rPr>
              <w:t>4.2</w:t>
            </w:r>
            <w:r w:rsidR="00564E56">
              <w:rPr>
                <w:rFonts w:asciiTheme="minorHAnsi" w:eastAsiaTheme="minorEastAsia" w:hAnsiTheme="minorHAnsi"/>
                <w:b w:val="0"/>
                <w:color w:val="auto"/>
                <w:sz w:val="22"/>
                <w:lang w:eastAsia="en-AU"/>
              </w:rPr>
              <w:tab/>
            </w:r>
            <w:r w:rsidR="00564E56" w:rsidRPr="00FB0BBF">
              <w:rPr>
                <w:rStyle w:val="Hyperlink"/>
              </w:rPr>
              <w:t>Reasons for draft decision</w:t>
            </w:r>
            <w:r w:rsidR="00564E56">
              <w:rPr>
                <w:webHidden/>
              </w:rPr>
              <w:tab/>
            </w:r>
            <w:r w:rsidR="00564E56">
              <w:rPr>
                <w:webHidden/>
              </w:rPr>
              <w:fldChar w:fldCharType="begin"/>
            </w:r>
            <w:r w:rsidR="00564E56">
              <w:rPr>
                <w:webHidden/>
              </w:rPr>
              <w:instrText xml:space="preserve"> PAGEREF _Toc461526267 \h </w:instrText>
            </w:r>
            <w:r w:rsidR="00564E56">
              <w:rPr>
                <w:webHidden/>
              </w:rPr>
            </w:r>
            <w:r w:rsidR="00564E56">
              <w:rPr>
                <w:webHidden/>
              </w:rPr>
              <w:fldChar w:fldCharType="separate"/>
            </w:r>
            <w:r w:rsidR="003C3A1D">
              <w:rPr>
                <w:webHidden/>
              </w:rPr>
              <w:t>23</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68" w:history="1">
            <w:r w:rsidR="00564E56" w:rsidRPr="00FB0BBF">
              <w:rPr>
                <w:rStyle w:val="Hyperlink"/>
              </w:rPr>
              <w:t>4.2.1</w:t>
            </w:r>
            <w:r w:rsidR="00564E56">
              <w:rPr>
                <w:rFonts w:asciiTheme="minorHAnsi" w:eastAsiaTheme="minorEastAsia" w:hAnsiTheme="minorHAnsi"/>
                <w:lang w:eastAsia="en-AU"/>
              </w:rPr>
              <w:tab/>
            </w:r>
            <w:r w:rsidR="00564E56" w:rsidRPr="00FB0BBF">
              <w:rPr>
                <w:rStyle w:val="Hyperlink"/>
              </w:rPr>
              <w:t>Expenditure excess</w:t>
            </w:r>
            <w:r w:rsidR="00564E56">
              <w:rPr>
                <w:webHidden/>
              </w:rPr>
              <w:tab/>
            </w:r>
            <w:r w:rsidR="00564E56">
              <w:rPr>
                <w:webHidden/>
              </w:rPr>
              <w:fldChar w:fldCharType="begin"/>
            </w:r>
            <w:r w:rsidR="00564E56">
              <w:rPr>
                <w:webHidden/>
              </w:rPr>
              <w:instrText xml:space="preserve"> PAGEREF _Toc461526268 \h </w:instrText>
            </w:r>
            <w:r w:rsidR="00564E56">
              <w:rPr>
                <w:webHidden/>
              </w:rPr>
            </w:r>
            <w:r w:rsidR="00564E56">
              <w:rPr>
                <w:webHidden/>
              </w:rPr>
              <w:fldChar w:fldCharType="separate"/>
            </w:r>
            <w:r w:rsidR="003C3A1D">
              <w:rPr>
                <w:webHidden/>
              </w:rPr>
              <w:t>23</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69" w:history="1">
            <w:r w:rsidR="00564E56" w:rsidRPr="00FB0BBF">
              <w:rPr>
                <w:rStyle w:val="Hyperlink"/>
              </w:rPr>
              <w:t>4.2.2</w:t>
            </w:r>
            <w:r w:rsidR="00564E56">
              <w:rPr>
                <w:rFonts w:asciiTheme="minorHAnsi" w:eastAsiaTheme="minorEastAsia" w:hAnsiTheme="minorHAnsi"/>
                <w:lang w:eastAsia="en-AU"/>
              </w:rPr>
              <w:tab/>
            </w:r>
            <w:r w:rsidR="00564E56" w:rsidRPr="00FB0BBF">
              <w:rPr>
                <w:rStyle w:val="Hyperlink"/>
              </w:rPr>
              <w:t>Excess capital expenditure</w:t>
            </w:r>
            <w:r w:rsidR="00564E56">
              <w:rPr>
                <w:webHidden/>
              </w:rPr>
              <w:tab/>
            </w:r>
            <w:r w:rsidR="00564E56">
              <w:rPr>
                <w:webHidden/>
              </w:rPr>
              <w:fldChar w:fldCharType="begin"/>
            </w:r>
            <w:r w:rsidR="00564E56">
              <w:rPr>
                <w:webHidden/>
              </w:rPr>
              <w:instrText xml:space="preserve"> PAGEREF _Toc461526269 \h </w:instrText>
            </w:r>
            <w:r w:rsidR="00564E56">
              <w:rPr>
                <w:webHidden/>
              </w:rPr>
            </w:r>
            <w:r w:rsidR="00564E56">
              <w:rPr>
                <w:webHidden/>
              </w:rPr>
              <w:fldChar w:fldCharType="separate"/>
            </w:r>
            <w:r w:rsidR="003C3A1D">
              <w:rPr>
                <w:webHidden/>
              </w:rPr>
              <w:t>23</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70" w:history="1">
            <w:r w:rsidR="00564E56" w:rsidRPr="00FB0BBF">
              <w:rPr>
                <w:rStyle w:val="Hyperlink"/>
              </w:rPr>
              <w:t>4.2.3</w:t>
            </w:r>
            <w:r w:rsidR="00564E56">
              <w:rPr>
                <w:rFonts w:asciiTheme="minorHAnsi" w:eastAsiaTheme="minorEastAsia" w:hAnsiTheme="minorHAnsi"/>
                <w:lang w:eastAsia="en-AU"/>
              </w:rPr>
              <w:tab/>
            </w:r>
            <w:r w:rsidR="00564E56" w:rsidRPr="00FB0BBF">
              <w:rPr>
                <w:rStyle w:val="Hyperlink"/>
              </w:rPr>
              <w:t>Excess operating expenditure</w:t>
            </w:r>
            <w:r w:rsidR="00564E56">
              <w:rPr>
                <w:webHidden/>
              </w:rPr>
              <w:tab/>
            </w:r>
            <w:r w:rsidR="00564E56">
              <w:rPr>
                <w:webHidden/>
              </w:rPr>
              <w:fldChar w:fldCharType="begin"/>
            </w:r>
            <w:r w:rsidR="00564E56">
              <w:rPr>
                <w:webHidden/>
              </w:rPr>
              <w:instrText xml:space="preserve"> PAGEREF _Toc461526270 \h </w:instrText>
            </w:r>
            <w:r w:rsidR="00564E56">
              <w:rPr>
                <w:webHidden/>
              </w:rPr>
            </w:r>
            <w:r w:rsidR="00564E56">
              <w:rPr>
                <w:webHidden/>
              </w:rPr>
              <w:fldChar w:fldCharType="separate"/>
            </w:r>
            <w:r w:rsidR="003C3A1D">
              <w:rPr>
                <w:webHidden/>
              </w:rPr>
              <w:t>32</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71" w:history="1">
            <w:r w:rsidR="00564E56" w:rsidRPr="00FB0BBF">
              <w:rPr>
                <w:rStyle w:val="Hyperlink"/>
              </w:rPr>
              <w:t>5</w:t>
            </w:r>
            <w:r w:rsidR="00564E56">
              <w:rPr>
                <w:rFonts w:asciiTheme="minorHAnsi" w:eastAsiaTheme="minorEastAsia" w:hAnsiTheme="minorHAnsi"/>
                <w:b w:val="0"/>
                <w:color w:val="auto"/>
                <w:sz w:val="22"/>
                <w:lang w:val="en-AU" w:eastAsia="en-AU"/>
              </w:rPr>
              <w:tab/>
            </w:r>
            <w:r w:rsidR="00564E56" w:rsidRPr="00FB0BBF">
              <w:rPr>
                <w:rStyle w:val="Hyperlink"/>
              </w:rPr>
              <w:t>United Energy</w:t>
            </w:r>
            <w:r w:rsidR="00564E56">
              <w:rPr>
                <w:webHidden/>
              </w:rPr>
              <w:tab/>
            </w:r>
            <w:r w:rsidR="00564E56">
              <w:rPr>
                <w:webHidden/>
              </w:rPr>
              <w:fldChar w:fldCharType="begin"/>
            </w:r>
            <w:r w:rsidR="00564E56">
              <w:rPr>
                <w:webHidden/>
              </w:rPr>
              <w:instrText xml:space="preserve"> PAGEREF _Toc461526271 \h </w:instrText>
            </w:r>
            <w:r w:rsidR="00564E56">
              <w:rPr>
                <w:webHidden/>
              </w:rPr>
            </w:r>
            <w:r w:rsidR="00564E56">
              <w:rPr>
                <w:webHidden/>
              </w:rPr>
              <w:fldChar w:fldCharType="separate"/>
            </w:r>
            <w:r w:rsidR="003C3A1D">
              <w:rPr>
                <w:webHidden/>
              </w:rPr>
              <w:t>35</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72" w:history="1">
            <w:r w:rsidR="00564E56" w:rsidRPr="00FB0BBF">
              <w:rPr>
                <w:rStyle w:val="Hyperlink"/>
              </w:rPr>
              <w:t>5.1</w:t>
            </w:r>
            <w:r w:rsidR="00564E56">
              <w:rPr>
                <w:rFonts w:asciiTheme="minorHAnsi" w:eastAsiaTheme="minorEastAsia" w:hAnsiTheme="minorHAnsi"/>
                <w:b w:val="0"/>
                <w:color w:val="auto"/>
                <w:sz w:val="22"/>
                <w:lang w:eastAsia="en-AU"/>
              </w:rPr>
              <w:tab/>
            </w:r>
            <w:r w:rsidR="00564E56" w:rsidRPr="00FB0BBF">
              <w:rPr>
                <w:rStyle w:val="Hyperlink"/>
              </w:rPr>
              <w:t>Draft decision</w:t>
            </w:r>
            <w:r w:rsidR="00564E56">
              <w:rPr>
                <w:webHidden/>
              </w:rPr>
              <w:tab/>
            </w:r>
            <w:r w:rsidR="00564E56">
              <w:rPr>
                <w:webHidden/>
              </w:rPr>
              <w:fldChar w:fldCharType="begin"/>
            </w:r>
            <w:r w:rsidR="00564E56">
              <w:rPr>
                <w:webHidden/>
              </w:rPr>
              <w:instrText xml:space="preserve"> PAGEREF _Toc461526272 \h </w:instrText>
            </w:r>
            <w:r w:rsidR="00564E56">
              <w:rPr>
                <w:webHidden/>
              </w:rPr>
            </w:r>
            <w:r w:rsidR="00564E56">
              <w:rPr>
                <w:webHidden/>
              </w:rPr>
              <w:fldChar w:fldCharType="separate"/>
            </w:r>
            <w:r w:rsidR="003C3A1D">
              <w:rPr>
                <w:webHidden/>
              </w:rPr>
              <w:t>35</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73" w:history="1">
            <w:r w:rsidR="00564E56" w:rsidRPr="00FB0BBF">
              <w:rPr>
                <w:rStyle w:val="Hyperlink"/>
              </w:rPr>
              <w:t>5.1.1</w:t>
            </w:r>
            <w:r w:rsidR="00564E56">
              <w:rPr>
                <w:rFonts w:asciiTheme="minorHAnsi" w:eastAsiaTheme="minorEastAsia" w:hAnsiTheme="minorHAnsi"/>
                <w:lang w:eastAsia="en-AU"/>
              </w:rPr>
              <w:tab/>
            </w:r>
            <w:r w:rsidR="00564E56" w:rsidRPr="00FB0BBF">
              <w:rPr>
                <w:rStyle w:val="Hyperlink"/>
              </w:rPr>
              <w:t>Revenue and costs true–up</w:t>
            </w:r>
            <w:r w:rsidR="00564E56">
              <w:rPr>
                <w:webHidden/>
              </w:rPr>
              <w:tab/>
            </w:r>
            <w:r w:rsidR="00564E56">
              <w:rPr>
                <w:webHidden/>
              </w:rPr>
              <w:fldChar w:fldCharType="begin"/>
            </w:r>
            <w:r w:rsidR="00564E56">
              <w:rPr>
                <w:webHidden/>
              </w:rPr>
              <w:instrText xml:space="preserve"> PAGEREF _Toc461526273 \h </w:instrText>
            </w:r>
            <w:r w:rsidR="00564E56">
              <w:rPr>
                <w:webHidden/>
              </w:rPr>
            </w:r>
            <w:r w:rsidR="00564E56">
              <w:rPr>
                <w:webHidden/>
              </w:rPr>
              <w:fldChar w:fldCharType="separate"/>
            </w:r>
            <w:r w:rsidR="003C3A1D">
              <w:rPr>
                <w:webHidden/>
              </w:rPr>
              <w:t>35</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74" w:history="1">
            <w:r w:rsidR="00564E56" w:rsidRPr="00FB0BBF">
              <w:rPr>
                <w:rStyle w:val="Hyperlink"/>
              </w:rPr>
              <w:t>5.1.2</w:t>
            </w:r>
            <w:r w:rsidR="00564E56">
              <w:rPr>
                <w:rFonts w:asciiTheme="minorHAnsi" w:eastAsiaTheme="minorEastAsia" w:hAnsiTheme="minorHAnsi"/>
                <w:lang w:eastAsia="en-AU"/>
              </w:rPr>
              <w:tab/>
            </w:r>
            <w:r w:rsidR="00564E56" w:rsidRPr="00FB0BBF">
              <w:rPr>
                <w:rStyle w:val="Hyperlink"/>
              </w:rPr>
              <w:t>MAB true–up</w:t>
            </w:r>
            <w:r w:rsidR="00564E56">
              <w:rPr>
                <w:webHidden/>
              </w:rPr>
              <w:tab/>
            </w:r>
            <w:r w:rsidR="00564E56">
              <w:rPr>
                <w:webHidden/>
              </w:rPr>
              <w:fldChar w:fldCharType="begin"/>
            </w:r>
            <w:r w:rsidR="00564E56">
              <w:rPr>
                <w:webHidden/>
              </w:rPr>
              <w:instrText xml:space="preserve"> PAGEREF _Toc461526274 \h </w:instrText>
            </w:r>
            <w:r w:rsidR="00564E56">
              <w:rPr>
                <w:webHidden/>
              </w:rPr>
            </w:r>
            <w:r w:rsidR="00564E56">
              <w:rPr>
                <w:webHidden/>
              </w:rPr>
              <w:fldChar w:fldCharType="separate"/>
            </w:r>
            <w:r w:rsidR="003C3A1D">
              <w:rPr>
                <w:webHidden/>
              </w:rPr>
              <w:t>37</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75" w:history="1">
            <w:r w:rsidR="00564E56" w:rsidRPr="00FB0BBF">
              <w:rPr>
                <w:rStyle w:val="Hyperlink"/>
              </w:rPr>
              <w:t>5.2</w:t>
            </w:r>
            <w:r w:rsidR="00564E56">
              <w:rPr>
                <w:rFonts w:asciiTheme="minorHAnsi" w:eastAsiaTheme="minorEastAsia" w:hAnsiTheme="minorHAnsi"/>
                <w:b w:val="0"/>
                <w:color w:val="auto"/>
                <w:sz w:val="22"/>
                <w:lang w:eastAsia="en-AU"/>
              </w:rPr>
              <w:tab/>
            </w:r>
            <w:r w:rsidR="00564E56" w:rsidRPr="00FB0BBF">
              <w:rPr>
                <w:rStyle w:val="Hyperlink"/>
              </w:rPr>
              <w:t>Reasons for draft decision</w:t>
            </w:r>
            <w:r w:rsidR="00564E56">
              <w:rPr>
                <w:webHidden/>
              </w:rPr>
              <w:tab/>
            </w:r>
            <w:r w:rsidR="00564E56">
              <w:rPr>
                <w:webHidden/>
              </w:rPr>
              <w:fldChar w:fldCharType="begin"/>
            </w:r>
            <w:r w:rsidR="00564E56">
              <w:rPr>
                <w:webHidden/>
              </w:rPr>
              <w:instrText xml:space="preserve"> PAGEREF _Toc461526275 \h </w:instrText>
            </w:r>
            <w:r w:rsidR="00564E56">
              <w:rPr>
                <w:webHidden/>
              </w:rPr>
            </w:r>
            <w:r w:rsidR="00564E56">
              <w:rPr>
                <w:webHidden/>
              </w:rPr>
              <w:fldChar w:fldCharType="separate"/>
            </w:r>
            <w:r w:rsidR="003C3A1D">
              <w:rPr>
                <w:webHidden/>
              </w:rPr>
              <w:t>39</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76" w:history="1">
            <w:r w:rsidR="00564E56" w:rsidRPr="00FB0BBF">
              <w:rPr>
                <w:rStyle w:val="Hyperlink"/>
              </w:rPr>
              <w:t>5.2.1</w:t>
            </w:r>
            <w:r w:rsidR="00564E56">
              <w:rPr>
                <w:rFonts w:asciiTheme="minorHAnsi" w:eastAsiaTheme="minorEastAsia" w:hAnsiTheme="minorHAnsi"/>
                <w:lang w:eastAsia="en-AU"/>
              </w:rPr>
              <w:tab/>
            </w:r>
            <w:r w:rsidR="00564E56" w:rsidRPr="00FB0BBF">
              <w:rPr>
                <w:rStyle w:val="Hyperlink"/>
              </w:rPr>
              <w:t>Excess capital expenditure</w:t>
            </w:r>
            <w:r w:rsidR="00564E56">
              <w:rPr>
                <w:webHidden/>
              </w:rPr>
              <w:tab/>
            </w:r>
            <w:r w:rsidR="00564E56">
              <w:rPr>
                <w:webHidden/>
              </w:rPr>
              <w:fldChar w:fldCharType="begin"/>
            </w:r>
            <w:r w:rsidR="00564E56">
              <w:rPr>
                <w:webHidden/>
              </w:rPr>
              <w:instrText xml:space="preserve"> PAGEREF _Toc461526276 \h </w:instrText>
            </w:r>
            <w:r w:rsidR="00564E56">
              <w:rPr>
                <w:webHidden/>
              </w:rPr>
            </w:r>
            <w:r w:rsidR="00564E56">
              <w:rPr>
                <w:webHidden/>
              </w:rPr>
              <w:fldChar w:fldCharType="separate"/>
            </w:r>
            <w:r w:rsidR="003C3A1D">
              <w:rPr>
                <w:webHidden/>
              </w:rPr>
              <w:t>39</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77" w:history="1">
            <w:r w:rsidR="00564E56" w:rsidRPr="00FB0BBF">
              <w:rPr>
                <w:rStyle w:val="Hyperlink"/>
              </w:rPr>
              <w:t>6</w:t>
            </w:r>
            <w:r w:rsidR="00564E56">
              <w:rPr>
                <w:rFonts w:asciiTheme="minorHAnsi" w:eastAsiaTheme="minorEastAsia" w:hAnsiTheme="minorHAnsi"/>
                <w:b w:val="0"/>
                <w:color w:val="auto"/>
                <w:sz w:val="22"/>
                <w:lang w:val="en-AU" w:eastAsia="en-AU"/>
              </w:rPr>
              <w:tab/>
            </w:r>
            <w:r w:rsidR="00564E56" w:rsidRPr="00FB0BBF">
              <w:rPr>
                <w:rStyle w:val="Hyperlink"/>
              </w:rPr>
              <w:t>Jemena</w:t>
            </w:r>
            <w:r w:rsidR="00564E56">
              <w:rPr>
                <w:webHidden/>
              </w:rPr>
              <w:tab/>
            </w:r>
            <w:r w:rsidR="00564E56">
              <w:rPr>
                <w:webHidden/>
              </w:rPr>
              <w:fldChar w:fldCharType="begin"/>
            </w:r>
            <w:r w:rsidR="00564E56">
              <w:rPr>
                <w:webHidden/>
              </w:rPr>
              <w:instrText xml:space="preserve"> PAGEREF _Toc461526277 \h </w:instrText>
            </w:r>
            <w:r w:rsidR="00564E56">
              <w:rPr>
                <w:webHidden/>
              </w:rPr>
            </w:r>
            <w:r w:rsidR="00564E56">
              <w:rPr>
                <w:webHidden/>
              </w:rPr>
              <w:fldChar w:fldCharType="separate"/>
            </w:r>
            <w:r w:rsidR="003C3A1D">
              <w:rPr>
                <w:webHidden/>
              </w:rPr>
              <w:t>42</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78" w:history="1">
            <w:r w:rsidR="00564E56" w:rsidRPr="00FB0BBF">
              <w:rPr>
                <w:rStyle w:val="Hyperlink"/>
              </w:rPr>
              <w:t>6.1</w:t>
            </w:r>
            <w:r w:rsidR="00564E56">
              <w:rPr>
                <w:rFonts w:asciiTheme="minorHAnsi" w:eastAsiaTheme="minorEastAsia" w:hAnsiTheme="minorHAnsi"/>
                <w:b w:val="0"/>
                <w:color w:val="auto"/>
                <w:sz w:val="22"/>
                <w:lang w:eastAsia="en-AU"/>
              </w:rPr>
              <w:tab/>
            </w:r>
            <w:r w:rsidR="00564E56" w:rsidRPr="00FB0BBF">
              <w:rPr>
                <w:rStyle w:val="Hyperlink"/>
              </w:rPr>
              <w:t>Draft decision</w:t>
            </w:r>
            <w:r w:rsidR="00564E56">
              <w:rPr>
                <w:webHidden/>
              </w:rPr>
              <w:tab/>
            </w:r>
            <w:r w:rsidR="00564E56">
              <w:rPr>
                <w:webHidden/>
              </w:rPr>
              <w:fldChar w:fldCharType="begin"/>
            </w:r>
            <w:r w:rsidR="00564E56">
              <w:rPr>
                <w:webHidden/>
              </w:rPr>
              <w:instrText xml:space="preserve"> PAGEREF _Toc461526278 \h </w:instrText>
            </w:r>
            <w:r w:rsidR="00564E56">
              <w:rPr>
                <w:webHidden/>
              </w:rPr>
            </w:r>
            <w:r w:rsidR="00564E56">
              <w:rPr>
                <w:webHidden/>
              </w:rPr>
              <w:fldChar w:fldCharType="separate"/>
            </w:r>
            <w:r w:rsidR="003C3A1D">
              <w:rPr>
                <w:webHidden/>
              </w:rPr>
              <w:t>42</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79" w:history="1">
            <w:r w:rsidR="00564E56" w:rsidRPr="00FB0BBF">
              <w:rPr>
                <w:rStyle w:val="Hyperlink"/>
              </w:rPr>
              <w:t>6.1.1</w:t>
            </w:r>
            <w:r w:rsidR="00564E56">
              <w:rPr>
                <w:rFonts w:asciiTheme="minorHAnsi" w:eastAsiaTheme="minorEastAsia" w:hAnsiTheme="minorHAnsi"/>
                <w:lang w:eastAsia="en-AU"/>
              </w:rPr>
              <w:tab/>
            </w:r>
            <w:r w:rsidR="00564E56" w:rsidRPr="00FB0BBF">
              <w:rPr>
                <w:rStyle w:val="Hyperlink"/>
              </w:rPr>
              <w:t>Revenue and costs true–up</w:t>
            </w:r>
            <w:r w:rsidR="00564E56">
              <w:rPr>
                <w:webHidden/>
              </w:rPr>
              <w:tab/>
            </w:r>
            <w:r w:rsidR="00564E56">
              <w:rPr>
                <w:webHidden/>
              </w:rPr>
              <w:fldChar w:fldCharType="begin"/>
            </w:r>
            <w:r w:rsidR="00564E56">
              <w:rPr>
                <w:webHidden/>
              </w:rPr>
              <w:instrText xml:space="preserve"> PAGEREF _Toc461526279 \h </w:instrText>
            </w:r>
            <w:r w:rsidR="00564E56">
              <w:rPr>
                <w:webHidden/>
              </w:rPr>
            </w:r>
            <w:r w:rsidR="00564E56">
              <w:rPr>
                <w:webHidden/>
              </w:rPr>
              <w:fldChar w:fldCharType="separate"/>
            </w:r>
            <w:r w:rsidR="003C3A1D">
              <w:rPr>
                <w:webHidden/>
              </w:rPr>
              <w:t>42</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80" w:history="1">
            <w:r w:rsidR="00564E56" w:rsidRPr="00FB0BBF">
              <w:rPr>
                <w:rStyle w:val="Hyperlink"/>
              </w:rPr>
              <w:t>6.1.2</w:t>
            </w:r>
            <w:r w:rsidR="00564E56">
              <w:rPr>
                <w:rFonts w:asciiTheme="minorHAnsi" w:eastAsiaTheme="minorEastAsia" w:hAnsiTheme="minorHAnsi"/>
                <w:lang w:eastAsia="en-AU"/>
              </w:rPr>
              <w:tab/>
            </w:r>
            <w:r w:rsidR="00564E56" w:rsidRPr="00FB0BBF">
              <w:rPr>
                <w:rStyle w:val="Hyperlink"/>
              </w:rPr>
              <w:t>MAB true–up</w:t>
            </w:r>
            <w:r w:rsidR="00564E56">
              <w:rPr>
                <w:webHidden/>
              </w:rPr>
              <w:tab/>
            </w:r>
            <w:r w:rsidR="00564E56">
              <w:rPr>
                <w:webHidden/>
              </w:rPr>
              <w:fldChar w:fldCharType="begin"/>
            </w:r>
            <w:r w:rsidR="00564E56">
              <w:rPr>
                <w:webHidden/>
              </w:rPr>
              <w:instrText xml:space="preserve"> PAGEREF _Toc461526280 \h </w:instrText>
            </w:r>
            <w:r w:rsidR="00564E56">
              <w:rPr>
                <w:webHidden/>
              </w:rPr>
            </w:r>
            <w:r w:rsidR="00564E56">
              <w:rPr>
                <w:webHidden/>
              </w:rPr>
              <w:fldChar w:fldCharType="separate"/>
            </w:r>
            <w:r w:rsidR="003C3A1D">
              <w:rPr>
                <w:webHidden/>
              </w:rPr>
              <w:t>44</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81" w:history="1">
            <w:r w:rsidR="00564E56" w:rsidRPr="00FB0BBF">
              <w:rPr>
                <w:rStyle w:val="Hyperlink"/>
              </w:rPr>
              <w:t>6.2</w:t>
            </w:r>
            <w:r w:rsidR="00564E56">
              <w:rPr>
                <w:rFonts w:asciiTheme="minorHAnsi" w:eastAsiaTheme="minorEastAsia" w:hAnsiTheme="minorHAnsi"/>
                <w:b w:val="0"/>
                <w:color w:val="auto"/>
                <w:sz w:val="22"/>
                <w:lang w:eastAsia="en-AU"/>
              </w:rPr>
              <w:tab/>
            </w:r>
            <w:r w:rsidR="00564E56" w:rsidRPr="00FB0BBF">
              <w:rPr>
                <w:rStyle w:val="Hyperlink"/>
              </w:rPr>
              <w:t>Reasons for draft decision</w:t>
            </w:r>
            <w:r w:rsidR="00564E56">
              <w:rPr>
                <w:webHidden/>
              </w:rPr>
              <w:tab/>
            </w:r>
            <w:r w:rsidR="00564E56">
              <w:rPr>
                <w:webHidden/>
              </w:rPr>
              <w:fldChar w:fldCharType="begin"/>
            </w:r>
            <w:r w:rsidR="00564E56">
              <w:rPr>
                <w:webHidden/>
              </w:rPr>
              <w:instrText xml:space="preserve"> PAGEREF _Toc461526281 \h </w:instrText>
            </w:r>
            <w:r w:rsidR="00564E56">
              <w:rPr>
                <w:webHidden/>
              </w:rPr>
            </w:r>
            <w:r w:rsidR="00564E56">
              <w:rPr>
                <w:webHidden/>
              </w:rPr>
              <w:fldChar w:fldCharType="separate"/>
            </w:r>
            <w:r w:rsidR="003C3A1D">
              <w:rPr>
                <w:webHidden/>
              </w:rPr>
              <w:t>46</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82" w:history="1">
            <w:r w:rsidR="00564E56" w:rsidRPr="00FB0BBF">
              <w:rPr>
                <w:rStyle w:val="Hyperlink"/>
              </w:rPr>
              <w:t>6.2.1</w:t>
            </w:r>
            <w:r w:rsidR="00564E56">
              <w:rPr>
                <w:rFonts w:asciiTheme="minorHAnsi" w:eastAsiaTheme="minorEastAsia" w:hAnsiTheme="minorHAnsi"/>
                <w:lang w:eastAsia="en-AU"/>
              </w:rPr>
              <w:tab/>
            </w:r>
            <w:r w:rsidR="00564E56" w:rsidRPr="00FB0BBF">
              <w:rPr>
                <w:rStyle w:val="Hyperlink"/>
              </w:rPr>
              <w:t>Excess capital expenditure</w:t>
            </w:r>
            <w:r w:rsidR="00564E56">
              <w:rPr>
                <w:webHidden/>
              </w:rPr>
              <w:tab/>
            </w:r>
            <w:r w:rsidR="00564E56">
              <w:rPr>
                <w:webHidden/>
              </w:rPr>
              <w:fldChar w:fldCharType="begin"/>
            </w:r>
            <w:r w:rsidR="00564E56">
              <w:rPr>
                <w:webHidden/>
              </w:rPr>
              <w:instrText xml:space="preserve"> PAGEREF _Toc461526282 \h </w:instrText>
            </w:r>
            <w:r w:rsidR="00564E56">
              <w:rPr>
                <w:webHidden/>
              </w:rPr>
            </w:r>
            <w:r w:rsidR="00564E56">
              <w:rPr>
                <w:webHidden/>
              </w:rPr>
              <w:fldChar w:fldCharType="separate"/>
            </w:r>
            <w:r w:rsidR="003C3A1D">
              <w:rPr>
                <w:webHidden/>
              </w:rPr>
              <w:t>46</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83" w:history="1">
            <w:r w:rsidR="00564E56" w:rsidRPr="00FB0BBF">
              <w:rPr>
                <w:rStyle w:val="Hyperlink"/>
              </w:rPr>
              <w:t>6.2.2</w:t>
            </w:r>
            <w:r w:rsidR="00564E56">
              <w:rPr>
                <w:rFonts w:asciiTheme="minorHAnsi" w:eastAsiaTheme="minorEastAsia" w:hAnsiTheme="minorHAnsi"/>
                <w:lang w:eastAsia="en-AU"/>
              </w:rPr>
              <w:tab/>
            </w:r>
            <w:r w:rsidR="00564E56" w:rsidRPr="00FB0BBF">
              <w:rPr>
                <w:rStyle w:val="Hyperlink"/>
              </w:rPr>
              <w:t>Excess operating expenditure</w:t>
            </w:r>
            <w:r w:rsidR="00564E56">
              <w:rPr>
                <w:webHidden/>
              </w:rPr>
              <w:tab/>
            </w:r>
            <w:r w:rsidR="00564E56">
              <w:rPr>
                <w:webHidden/>
              </w:rPr>
              <w:fldChar w:fldCharType="begin"/>
            </w:r>
            <w:r w:rsidR="00564E56">
              <w:rPr>
                <w:webHidden/>
              </w:rPr>
              <w:instrText xml:space="preserve"> PAGEREF _Toc461526283 \h </w:instrText>
            </w:r>
            <w:r w:rsidR="00564E56">
              <w:rPr>
                <w:webHidden/>
              </w:rPr>
            </w:r>
            <w:r w:rsidR="00564E56">
              <w:rPr>
                <w:webHidden/>
              </w:rPr>
              <w:fldChar w:fldCharType="separate"/>
            </w:r>
            <w:r w:rsidR="003C3A1D">
              <w:rPr>
                <w:webHidden/>
              </w:rPr>
              <w:t>49</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84" w:history="1">
            <w:r w:rsidR="00564E56" w:rsidRPr="00FB0BBF">
              <w:rPr>
                <w:rStyle w:val="Hyperlink"/>
              </w:rPr>
              <w:t>7</w:t>
            </w:r>
            <w:r w:rsidR="00564E56">
              <w:rPr>
                <w:rFonts w:asciiTheme="minorHAnsi" w:eastAsiaTheme="minorEastAsia" w:hAnsiTheme="minorHAnsi"/>
                <w:b w:val="0"/>
                <w:color w:val="auto"/>
                <w:sz w:val="22"/>
                <w:lang w:val="en-AU" w:eastAsia="en-AU"/>
              </w:rPr>
              <w:tab/>
            </w:r>
            <w:r w:rsidR="00564E56" w:rsidRPr="00FB0BBF">
              <w:rPr>
                <w:rStyle w:val="Hyperlink"/>
              </w:rPr>
              <w:t>CitiPower</w:t>
            </w:r>
            <w:r w:rsidR="00564E56">
              <w:rPr>
                <w:webHidden/>
              </w:rPr>
              <w:tab/>
            </w:r>
            <w:r w:rsidR="00564E56">
              <w:rPr>
                <w:webHidden/>
              </w:rPr>
              <w:fldChar w:fldCharType="begin"/>
            </w:r>
            <w:r w:rsidR="00564E56">
              <w:rPr>
                <w:webHidden/>
              </w:rPr>
              <w:instrText xml:space="preserve"> PAGEREF _Toc461526284 \h </w:instrText>
            </w:r>
            <w:r w:rsidR="00564E56">
              <w:rPr>
                <w:webHidden/>
              </w:rPr>
            </w:r>
            <w:r w:rsidR="00564E56">
              <w:rPr>
                <w:webHidden/>
              </w:rPr>
              <w:fldChar w:fldCharType="separate"/>
            </w:r>
            <w:r w:rsidR="003C3A1D">
              <w:rPr>
                <w:webHidden/>
              </w:rPr>
              <w:t>51</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85" w:history="1">
            <w:r w:rsidR="00564E56" w:rsidRPr="00FB0BBF">
              <w:rPr>
                <w:rStyle w:val="Hyperlink"/>
              </w:rPr>
              <w:t>7.1</w:t>
            </w:r>
            <w:r w:rsidR="00564E56">
              <w:rPr>
                <w:rFonts w:asciiTheme="minorHAnsi" w:eastAsiaTheme="minorEastAsia" w:hAnsiTheme="minorHAnsi"/>
                <w:b w:val="0"/>
                <w:color w:val="auto"/>
                <w:sz w:val="22"/>
                <w:lang w:eastAsia="en-AU"/>
              </w:rPr>
              <w:tab/>
            </w:r>
            <w:r w:rsidR="00564E56" w:rsidRPr="00FB0BBF">
              <w:rPr>
                <w:rStyle w:val="Hyperlink"/>
              </w:rPr>
              <w:t>Draft decision</w:t>
            </w:r>
            <w:r w:rsidR="00564E56">
              <w:rPr>
                <w:webHidden/>
              </w:rPr>
              <w:tab/>
            </w:r>
            <w:r w:rsidR="00564E56">
              <w:rPr>
                <w:webHidden/>
              </w:rPr>
              <w:fldChar w:fldCharType="begin"/>
            </w:r>
            <w:r w:rsidR="00564E56">
              <w:rPr>
                <w:webHidden/>
              </w:rPr>
              <w:instrText xml:space="preserve"> PAGEREF _Toc461526285 \h </w:instrText>
            </w:r>
            <w:r w:rsidR="00564E56">
              <w:rPr>
                <w:webHidden/>
              </w:rPr>
            </w:r>
            <w:r w:rsidR="00564E56">
              <w:rPr>
                <w:webHidden/>
              </w:rPr>
              <w:fldChar w:fldCharType="separate"/>
            </w:r>
            <w:r w:rsidR="003C3A1D">
              <w:rPr>
                <w:webHidden/>
              </w:rPr>
              <w:t>51</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86" w:history="1">
            <w:r w:rsidR="00564E56" w:rsidRPr="00FB0BBF">
              <w:rPr>
                <w:rStyle w:val="Hyperlink"/>
              </w:rPr>
              <w:t>7.1.1</w:t>
            </w:r>
            <w:r w:rsidR="00564E56">
              <w:rPr>
                <w:rFonts w:asciiTheme="minorHAnsi" w:eastAsiaTheme="minorEastAsia" w:hAnsiTheme="minorHAnsi"/>
                <w:lang w:eastAsia="en-AU"/>
              </w:rPr>
              <w:tab/>
            </w:r>
            <w:r w:rsidR="00564E56" w:rsidRPr="00FB0BBF">
              <w:rPr>
                <w:rStyle w:val="Hyperlink"/>
              </w:rPr>
              <w:t>Revenue and costs true–up</w:t>
            </w:r>
            <w:r w:rsidR="00564E56">
              <w:rPr>
                <w:webHidden/>
              </w:rPr>
              <w:tab/>
            </w:r>
            <w:r w:rsidR="00564E56">
              <w:rPr>
                <w:webHidden/>
              </w:rPr>
              <w:fldChar w:fldCharType="begin"/>
            </w:r>
            <w:r w:rsidR="00564E56">
              <w:rPr>
                <w:webHidden/>
              </w:rPr>
              <w:instrText xml:space="preserve"> PAGEREF _Toc461526286 \h </w:instrText>
            </w:r>
            <w:r w:rsidR="00564E56">
              <w:rPr>
                <w:webHidden/>
              </w:rPr>
            </w:r>
            <w:r w:rsidR="00564E56">
              <w:rPr>
                <w:webHidden/>
              </w:rPr>
              <w:fldChar w:fldCharType="separate"/>
            </w:r>
            <w:r w:rsidR="003C3A1D">
              <w:rPr>
                <w:webHidden/>
              </w:rPr>
              <w:t>51</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87" w:history="1">
            <w:r w:rsidR="00564E56" w:rsidRPr="00FB0BBF">
              <w:rPr>
                <w:rStyle w:val="Hyperlink"/>
              </w:rPr>
              <w:t>7.1.2</w:t>
            </w:r>
            <w:r w:rsidR="00564E56">
              <w:rPr>
                <w:rFonts w:asciiTheme="minorHAnsi" w:eastAsiaTheme="minorEastAsia" w:hAnsiTheme="minorHAnsi"/>
                <w:lang w:eastAsia="en-AU"/>
              </w:rPr>
              <w:tab/>
            </w:r>
            <w:r w:rsidR="00564E56" w:rsidRPr="00FB0BBF">
              <w:rPr>
                <w:rStyle w:val="Hyperlink"/>
              </w:rPr>
              <w:t>MAB true–up</w:t>
            </w:r>
            <w:r w:rsidR="00564E56">
              <w:rPr>
                <w:webHidden/>
              </w:rPr>
              <w:tab/>
            </w:r>
            <w:r w:rsidR="00564E56">
              <w:rPr>
                <w:webHidden/>
              </w:rPr>
              <w:fldChar w:fldCharType="begin"/>
            </w:r>
            <w:r w:rsidR="00564E56">
              <w:rPr>
                <w:webHidden/>
              </w:rPr>
              <w:instrText xml:space="preserve"> PAGEREF _Toc461526287 \h </w:instrText>
            </w:r>
            <w:r w:rsidR="00564E56">
              <w:rPr>
                <w:webHidden/>
              </w:rPr>
            </w:r>
            <w:r w:rsidR="00564E56">
              <w:rPr>
                <w:webHidden/>
              </w:rPr>
              <w:fldChar w:fldCharType="separate"/>
            </w:r>
            <w:r w:rsidR="003C3A1D">
              <w:rPr>
                <w:webHidden/>
              </w:rPr>
              <w:t>53</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88" w:history="1">
            <w:r w:rsidR="00564E56" w:rsidRPr="00FB0BBF">
              <w:rPr>
                <w:rStyle w:val="Hyperlink"/>
              </w:rPr>
              <w:t>8</w:t>
            </w:r>
            <w:r w:rsidR="00564E56">
              <w:rPr>
                <w:rFonts w:asciiTheme="minorHAnsi" w:eastAsiaTheme="minorEastAsia" w:hAnsiTheme="minorHAnsi"/>
                <w:b w:val="0"/>
                <w:color w:val="auto"/>
                <w:sz w:val="22"/>
                <w:lang w:val="en-AU" w:eastAsia="en-AU"/>
              </w:rPr>
              <w:tab/>
            </w:r>
            <w:r w:rsidR="00564E56" w:rsidRPr="00FB0BBF">
              <w:rPr>
                <w:rStyle w:val="Hyperlink"/>
              </w:rPr>
              <w:t>Powercor</w:t>
            </w:r>
            <w:r w:rsidR="00564E56">
              <w:rPr>
                <w:webHidden/>
              </w:rPr>
              <w:tab/>
            </w:r>
            <w:r w:rsidR="00564E56">
              <w:rPr>
                <w:webHidden/>
              </w:rPr>
              <w:fldChar w:fldCharType="begin"/>
            </w:r>
            <w:r w:rsidR="00564E56">
              <w:rPr>
                <w:webHidden/>
              </w:rPr>
              <w:instrText xml:space="preserve"> PAGEREF _Toc461526288 \h </w:instrText>
            </w:r>
            <w:r w:rsidR="00564E56">
              <w:rPr>
                <w:webHidden/>
              </w:rPr>
            </w:r>
            <w:r w:rsidR="00564E56">
              <w:rPr>
                <w:webHidden/>
              </w:rPr>
              <w:fldChar w:fldCharType="separate"/>
            </w:r>
            <w:r w:rsidR="003C3A1D">
              <w:rPr>
                <w:webHidden/>
              </w:rPr>
              <w:t>56</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89" w:history="1">
            <w:r w:rsidR="00564E56" w:rsidRPr="00FB0BBF">
              <w:rPr>
                <w:rStyle w:val="Hyperlink"/>
              </w:rPr>
              <w:t>8.1</w:t>
            </w:r>
            <w:r w:rsidR="00564E56">
              <w:rPr>
                <w:rFonts w:asciiTheme="minorHAnsi" w:eastAsiaTheme="minorEastAsia" w:hAnsiTheme="minorHAnsi"/>
                <w:b w:val="0"/>
                <w:color w:val="auto"/>
                <w:sz w:val="22"/>
                <w:lang w:eastAsia="en-AU"/>
              </w:rPr>
              <w:tab/>
            </w:r>
            <w:r w:rsidR="00564E56" w:rsidRPr="00FB0BBF">
              <w:rPr>
                <w:rStyle w:val="Hyperlink"/>
              </w:rPr>
              <w:t>Draft decision</w:t>
            </w:r>
            <w:r w:rsidR="00564E56">
              <w:rPr>
                <w:webHidden/>
              </w:rPr>
              <w:tab/>
            </w:r>
            <w:r w:rsidR="00564E56">
              <w:rPr>
                <w:webHidden/>
              </w:rPr>
              <w:fldChar w:fldCharType="begin"/>
            </w:r>
            <w:r w:rsidR="00564E56">
              <w:rPr>
                <w:webHidden/>
              </w:rPr>
              <w:instrText xml:space="preserve"> PAGEREF _Toc461526289 \h </w:instrText>
            </w:r>
            <w:r w:rsidR="00564E56">
              <w:rPr>
                <w:webHidden/>
              </w:rPr>
            </w:r>
            <w:r w:rsidR="00564E56">
              <w:rPr>
                <w:webHidden/>
              </w:rPr>
              <w:fldChar w:fldCharType="separate"/>
            </w:r>
            <w:r w:rsidR="003C3A1D">
              <w:rPr>
                <w:webHidden/>
              </w:rPr>
              <w:t>56</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90" w:history="1">
            <w:r w:rsidR="00564E56" w:rsidRPr="00FB0BBF">
              <w:rPr>
                <w:rStyle w:val="Hyperlink"/>
              </w:rPr>
              <w:t>8.1.1</w:t>
            </w:r>
            <w:r w:rsidR="00564E56">
              <w:rPr>
                <w:rFonts w:asciiTheme="minorHAnsi" w:eastAsiaTheme="minorEastAsia" w:hAnsiTheme="minorHAnsi"/>
                <w:lang w:eastAsia="en-AU"/>
              </w:rPr>
              <w:tab/>
            </w:r>
            <w:r w:rsidR="00564E56" w:rsidRPr="00FB0BBF">
              <w:rPr>
                <w:rStyle w:val="Hyperlink"/>
              </w:rPr>
              <w:t>Revenue and costs true–up</w:t>
            </w:r>
            <w:r w:rsidR="00564E56">
              <w:rPr>
                <w:webHidden/>
              </w:rPr>
              <w:tab/>
            </w:r>
            <w:r w:rsidR="00564E56">
              <w:rPr>
                <w:webHidden/>
              </w:rPr>
              <w:fldChar w:fldCharType="begin"/>
            </w:r>
            <w:r w:rsidR="00564E56">
              <w:rPr>
                <w:webHidden/>
              </w:rPr>
              <w:instrText xml:space="preserve"> PAGEREF _Toc461526290 \h </w:instrText>
            </w:r>
            <w:r w:rsidR="00564E56">
              <w:rPr>
                <w:webHidden/>
              </w:rPr>
            </w:r>
            <w:r w:rsidR="00564E56">
              <w:rPr>
                <w:webHidden/>
              </w:rPr>
              <w:fldChar w:fldCharType="separate"/>
            </w:r>
            <w:r w:rsidR="003C3A1D">
              <w:rPr>
                <w:webHidden/>
              </w:rPr>
              <w:t>56</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91" w:history="1">
            <w:r w:rsidR="00564E56" w:rsidRPr="00FB0BBF">
              <w:rPr>
                <w:rStyle w:val="Hyperlink"/>
              </w:rPr>
              <w:t>8.1.2</w:t>
            </w:r>
            <w:r w:rsidR="00564E56">
              <w:rPr>
                <w:rFonts w:asciiTheme="minorHAnsi" w:eastAsiaTheme="minorEastAsia" w:hAnsiTheme="minorHAnsi"/>
                <w:lang w:eastAsia="en-AU"/>
              </w:rPr>
              <w:tab/>
            </w:r>
            <w:r w:rsidR="00564E56" w:rsidRPr="00FB0BBF">
              <w:rPr>
                <w:rStyle w:val="Hyperlink"/>
              </w:rPr>
              <w:t>MAB true–up</w:t>
            </w:r>
            <w:r w:rsidR="00564E56">
              <w:rPr>
                <w:webHidden/>
              </w:rPr>
              <w:tab/>
            </w:r>
            <w:r w:rsidR="00564E56">
              <w:rPr>
                <w:webHidden/>
              </w:rPr>
              <w:fldChar w:fldCharType="begin"/>
            </w:r>
            <w:r w:rsidR="00564E56">
              <w:rPr>
                <w:webHidden/>
              </w:rPr>
              <w:instrText xml:space="preserve"> PAGEREF _Toc461526291 \h </w:instrText>
            </w:r>
            <w:r w:rsidR="00564E56">
              <w:rPr>
                <w:webHidden/>
              </w:rPr>
            </w:r>
            <w:r w:rsidR="00564E56">
              <w:rPr>
                <w:webHidden/>
              </w:rPr>
              <w:fldChar w:fldCharType="separate"/>
            </w:r>
            <w:r w:rsidR="003C3A1D">
              <w:rPr>
                <w:webHidden/>
              </w:rPr>
              <w:t>58</w:t>
            </w:r>
            <w:r w:rsidR="00564E56">
              <w:rPr>
                <w:webHidden/>
              </w:rPr>
              <w:fldChar w:fldCharType="end"/>
            </w:r>
          </w:hyperlink>
        </w:p>
        <w:p w:rsidR="00564E56" w:rsidRDefault="004F0568">
          <w:pPr>
            <w:pStyle w:val="TOC1"/>
            <w:rPr>
              <w:rFonts w:asciiTheme="minorHAnsi" w:eastAsiaTheme="minorEastAsia" w:hAnsiTheme="minorHAnsi"/>
              <w:b w:val="0"/>
              <w:color w:val="auto"/>
              <w:sz w:val="22"/>
              <w:lang w:val="en-AU" w:eastAsia="en-AU"/>
            </w:rPr>
          </w:pPr>
          <w:hyperlink w:anchor="_Toc461526292" w:history="1">
            <w:r w:rsidR="00564E56" w:rsidRPr="00FB0BBF">
              <w:rPr>
                <w:rStyle w:val="Hyperlink"/>
              </w:rPr>
              <w:t>9</w:t>
            </w:r>
            <w:r w:rsidR="00564E56">
              <w:rPr>
                <w:rFonts w:asciiTheme="minorHAnsi" w:eastAsiaTheme="minorEastAsia" w:hAnsiTheme="minorHAnsi"/>
                <w:b w:val="0"/>
                <w:color w:val="auto"/>
                <w:sz w:val="22"/>
                <w:lang w:val="en-AU" w:eastAsia="en-AU"/>
              </w:rPr>
              <w:tab/>
            </w:r>
            <w:r w:rsidR="00564E56" w:rsidRPr="00FB0BBF">
              <w:rPr>
                <w:rStyle w:val="Hyperlink"/>
              </w:rPr>
              <w:t>Benchmarking</w:t>
            </w:r>
            <w:r w:rsidR="00564E56">
              <w:rPr>
                <w:webHidden/>
              </w:rPr>
              <w:tab/>
            </w:r>
            <w:r w:rsidR="00564E56">
              <w:rPr>
                <w:webHidden/>
              </w:rPr>
              <w:fldChar w:fldCharType="begin"/>
            </w:r>
            <w:r w:rsidR="00564E56">
              <w:rPr>
                <w:webHidden/>
              </w:rPr>
              <w:instrText xml:space="preserve"> PAGEREF _Toc461526292 \h </w:instrText>
            </w:r>
            <w:r w:rsidR="00564E56">
              <w:rPr>
                <w:webHidden/>
              </w:rPr>
            </w:r>
            <w:r w:rsidR="00564E56">
              <w:rPr>
                <w:webHidden/>
              </w:rPr>
              <w:fldChar w:fldCharType="separate"/>
            </w:r>
            <w:r w:rsidR="003C3A1D">
              <w:rPr>
                <w:webHidden/>
              </w:rPr>
              <w:t>61</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93" w:history="1">
            <w:r w:rsidR="00564E56" w:rsidRPr="00FB0BBF">
              <w:rPr>
                <w:rStyle w:val="Hyperlink"/>
              </w:rPr>
              <w:t>9.1</w:t>
            </w:r>
            <w:r w:rsidR="00564E56">
              <w:rPr>
                <w:rFonts w:asciiTheme="minorHAnsi" w:eastAsiaTheme="minorEastAsia" w:hAnsiTheme="minorHAnsi"/>
                <w:b w:val="0"/>
                <w:color w:val="auto"/>
                <w:sz w:val="22"/>
                <w:lang w:eastAsia="en-AU"/>
              </w:rPr>
              <w:tab/>
            </w:r>
            <w:r w:rsidR="00564E56" w:rsidRPr="00FB0BBF">
              <w:rPr>
                <w:rStyle w:val="Hyperlink"/>
              </w:rPr>
              <w:t>Review approach</w:t>
            </w:r>
            <w:r w:rsidR="00564E56">
              <w:rPr>
                <w:webHidden/>
              </w:rPr>
              <w:tab/>
            </w:r>
            <w:r w:rsidR="00564E56">
              <w:rPr>
                <w:webHidden/>
              </w:rPr>
              <w:fldChar w:fldCharType="begin"/>
            </w:r>
            <w:r w:rsidR="00564E56">
              <w:rPr>
                <w:webHidden/>
              </w:rPr>
              <w:instrText xml:space="preserve"> PAGEREF _Toc461526293 \h </w:instrText>
            </w:r>
            <w:r w:rsidR="00564E56">
              <w:rPr>
                <w:webHidden/>
              </w:rPr>
            </w:r>
            <w:r w:rsidR="00564E56">
              <w:rPr>
                <w:webHidden/>
              </w:rPr>
              <w:fldChar w:fldCharType="separate"/>
            </w:r>
            <w:r w:rsidR="003C3A1D">
              <w:rPr>
                <w:webHidden/>
              </w:rPr>
              <w:t>61</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94" w:history="1">
            <w:r w:rsidR="00564E56" w:rsidRPr="00FB0BBF">
              <w:rPr>
                <w:rStyle w:val="Hyperlink"/>
              </w:rPr>
              <w:t>9.2</w:t>
            </w:r>
            <w:r w:rsidR="00564E56">
              <w:rPr>
                <w:rFonts w:asciiTheme="minorHAnsi" w:eastAsiaTheme="minorEastAsia" w:hAnsiTheme="minorHAnsi"/>
                <w:b w:val="0"/>
                <w:color w:val="auto"/>
                <w:sz w:val="22"/>
                <w:lang w:eastAsia="en-AU"/>
              </w:rPr>
              <w:tab/>
            </w:r>
            <w:r w:rsidR="00564E56" w:rsidRPr="00FB0BBF">
              <w:rPr>
                <w:rStyle w:val="Hyperlink"/>
              </w:rPr>
              <w:t>Category level benchmarking</w:t>
            </w:r>
            <w:r w:rsidR="00564E56">
              <w:rPr>
                <w:webHidden/>
              </w:rPr>
              <w:tab/>
            </w:r>
            <w:r w:rsidR="00564E56">
              <w:rPr>
                <w:webHidden/>
              </w:rPr>
              <w:fldChar w:fldCharType="begin"/>
            </w:r>
            <w:r w:rsidR="00564E56">
              <w:rPr>
                <w:webHidden/>
              </w:rPr>
              <w:instrText xml:space="preserve"> PAGEREF _Toc461526294 \h </w:instrText>
            </w:r>
            <w:r w:rsidR="00564E56">
              <w:rPr>
                <w:webHidden/>
              </w:rPr>
            </w:r>
            <w:r w:rsidR="00564E56">
              <w:rPr>
                <w:webHidden/>
              </w:rPr>
              <w:fldChar w:fldCharType="separate"/>
            </w:r>
            <w:r w:rsidR="003C3A1D">
              <w:rPr>
                <w:webHidden/>
              </w:rPr>
              <w:t>61</w:t>
            </w:r>
            <w:r w:rsidR="00564E56">
              <w:rPr>
                <w:webHidden/>
              </w:rPr>
              <w:fldChar w:fldCharType="end"/>
            </w:r>
          </w:hyperlink>
        </w:p>
        <w:p w:rsidR="00564E56" w:rsidRDefault="004F0568">
          <w:pPr>
            <w:pStyle w:val="TOC2"/>
            <w:rPr>
              <w:rFonts w:asciiTheme="minorHAnsi" w:eastAsiaTheme="minorEastAsia" w:hAnsiTheme="minorHAnsi"/>
              <w:b w:val="0"/>
              <w:color w:val="auto"/>
              <w:sz w:val="22"/>
              <w:lang w:eastAsia="en-AU"/>
            </w:rPr>
          </w:pPr>
          <w:hyperlink w:anchor="_Toc461526295" w:history="1">
            <w:r w:rsidR="00564E56" w:rsidRPr="00FB0BBF">
              <w:rPr>
                <w:rStyle w:val="Hyperlink"/>
              </w:rPr>
              <w:t>9.3</w:t>
            </w:r>
            <w:r w:rsidR="00564E56">
              <w:rPr>
                <w:rFonts w:asciiTheme="minorHAnsi" w:eastAsiaTheme="minorEastAsia" w:hAnsiTheme="minorHAnsi"/>
                <w:b w:val="0"/>
                <w:color w:val="auto"/>
                <w:sz w:val="22"/>
                <w:lang w:eastAsia="en-AU"/>
              </w:rPr>
              <w:tab/>
            </w:r>
            <w:r w:rsidR="00564E56" w:rsidRPr="00FB0BBF">
              <w:rPr>
                <w:rStyle w:val="Hyperlink"/>
              </w:rPr>
              <w:t>Sub–category level benchmarking</w:t>
            </w:r>
            <w:r w:rsidR="00564E56">
              <w:rPr>
                <w:webHidden/>
              </w:rPr>
              <w:tab/>
            </w:r>
            <w:r w:rsidR="00564E56">
              <w:rPr>
                <w:webHidden/>
              </w:rPr>
              <w:fldChar w:fldCharType="begin"/>
            </w:r>
            <w:r w:rsidR="00564E56">
              <w:rPr>
                <w:webHidden/>
              </w:rPr>
              <w:instrText xml:space="preserve"> PAGEREF _Toc461526295 \h </w:instrText>
            </w:r>
            <w:r w:rsidR="00564E56">
              <w:rPr>
                <w:webHidden/>
              </w:rPr>
            </w:r>
            <w:r w:rsidR="00564E56">
              <w:rPr>
                <w:webHidden/>
              </w:rPr>
              <w:fldChar w:fldCharType="separate"/>
            </w:r>
            <w:r w:rsidR="003C3A1D">
              <w:rPr>
                <w:webHidden/>
              </w:rPr>
              <w:t>61</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96" w:history="1">
            <w:r w:rsidR="00564E56" w:rsidRPr="00FB0BBF">
              <w:rPr>
                <w:rStyle w:val="Hyperlink"/>
              </w:rPr>
              <w:t>9.3.1</w:t>
            </w:r>
            <w:r w:rsidR="00564E56">
              <w:rPr>
                <w:rFonts w:asciiTheme="minorHAnsi" w:eastAsiaTheme="minorEastAsia" w:hAnsiTheme="minorHAnsi"/>
                <w:lang w:eastAsia="en-AU"/>
              </w:rPr>
              <w:tab/>
            </w:r>
            <w:r w:rsidR="00564E56" w:rsidRPr="00FB0BBF">
              <w:rPr>
                <w:rStyle w:val="Hyperlink"/>
              </w:rPr>
              <w:t>United Energy</w:t>
            </w:r>
            <w:r w:rsidR="00564E56">
              <w:rPr>
                <w:webHidden/>
              </w:rPr>
              <w:tab/>
            </w:r>
            <w:r w:rsidR="00564E56">
              <w:rPr>
                <w:webHidden/>
              </w:rPr>
              <w:fldChar w:fldCharType="begin"/>
            </w:r>
            <w:r w:rsidR="00564E56">
              <w:rPr>
                <w:webHidden/>
              </w:rPr>
              <w:instrText xml:space="preserve"> PAGEREF _Toc461526296 \h </w:instrText>
            </w:r>
            <w:r w:rsidR="00564E56">
              <w:rPr>
                <w:webHidden/>
              </w:rPr>
            </w:r>
            <w:r w:rsidR="00564E56">
              <w:rPr>
                <w:webHidden/>
              </w:rPr>
              <w:fldChar w:fldCharType="separate"/>
            </w:r>
            <w:r w:rsidR="003C3A1D">
              <w:rPr>
                <w:webHidden/>
              </w:rPr>
              <w:t>62</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97" w:history="1">
            <w:r w:rsidR="00564E56" w:rsidRPr="00FB0BBF">
              <w:rPr>
                <w:rStyle w:val="Hyperlink"/>
              </w:rPr>
              <w:t>9.3.2</w:t>
            </w:r>
            <w:r w:rsidR="00564E56">
              <w:rPr>
                <w:rFonts w:asciiTheme="minorHAnsi" w:eastAsiaTheme="minorEastAsia" w:hAnsiTheme="minorHAnsi"/>
                <w:lang w:eastAsia="en-AU"/>
              </w:rPr>
              <w:tab/>
            </w:r>
            <w:r w:rsidR="00564E56" w:rsidRPr="00FB0BBF">
              <w:rPr>
                <w:rStyle w:val="Hyperlink"/>
              </w:rPr>
              <w:t>Jemena</w:t>
            </w:r>
            <w:r w:rsidR="00564E56">
              <w:rPr>
                <w:webHidden/>
              </w:rPr>
              <w:tab/>
            </w:r>
            <w:r w:rsidR="00564E56">
              <w:rPr>
                <w:webHidden/>
              </w:rPr>
              <w:fldChar w:fldCharType="begin"/>
            </w:r>
            <w:r w:rsidR="00564E56">
              <w:rPr>
                <w:webHidden/>
              </w:rPr>
              <w:instrText xml:space="preserve"> PAGEREF _Toc461526297 \h </w:instrText>
            </w:r>
            <w:r w:rsidR="00564E56">
              <w:rPr>
                <w:webHidden/>
              </w:rPr>
            </w:r>
            <w:r w:rsidR="00564E56">
              <w:rPr>
                <w:webHidden/>
              </w:rPr>
              <w:fldChar w:fldCharType="separate"/>
            </w:r>
            <w:r w:rsidR="003C3A1D">
              <w:rPr>
                <w:webHidden/>
              </w:rPr>
              <w:t>62</w:t>
            </w:r>
            <w:r w:rsidR="00564E56">
              <w:rPr>
                <w:webHidden/>
              </w:rPr>
              <w:fldChar w:fldCharType="end"/>
            </w:r>
          </w:hyperlink>
        </w:p>
        <w:p w:rsidR="00564E56" w:rsidRDefault="004F0568">
          <w:pPr>
            <w:pStyle w:val="TOC3"/>
            <w:rPr>
              <w:rFonts w:asciiTheme="minorHAnsi" w:eastAsiaTheme="minorEastAsia" w:hAnsiTheme="minorHAnsi"/>
              <w:lang w:eastAsia="en-AU"/>
            </w:rPr>
          </w:pPr>
          <w:hyperlink w:anchor="_Toc461526298" w:history="1">
            <w:r w:rsidR="00564E56" w:rsidRPr="00FB0BBF">
              <w:rPr>
                <w:rStyle w:val="Hyperlink"/>
              </w:rPr>
              <w:t>9.3.3</w:t>
            </w:r>
            <w:r w:rsidR="00564E56">
              <w:rPr>
                <w:rFonts w:asciiTheme="minorHAnsi" w:eastAsiaTheme="minorEastAsia" w:hAnsiTheme="minorHAnsi"/>
                <w:lang w:eastAsia="en-AU"/>
              </w:rPr>
              <w:tab/>
            </w:r>
            <w:r w:rsidR="00564E56" w:rsidRPr="00FB0BBF">
              <w:rPr>
                <w:rStyle w:val="Hyperlink"/>
              </w:rPr>
              <w:t>AusNet Services</w:t>
            </w:r>
            <w:r w:rsidR="00564E56">
              <w:rPr>
                <w:webHidden/>
              </w:rPr>
              <w:tab/>
            </w:r>
            <w:r w:rsidR="00564E56">
              <w:rPr>
                <w:webHidden/>
              </w:rPr>
              <w:fldChar w:fldCharType="begin"/>
            </w:r>
            <w:r w:rsidR="00564E56">
              <w:rPr>
                <w:webHidden/>
              </w:rPr>
              <w:instrText xml:space="preserve"> PAGEREF _Toc461526298 \h </w:instrText>
            </w:r>
            <w:r w:rsidR="00564E56">
              <w:rPr>
                <w:webHidden/>
              </w:rPr>
            </w:r>
            <w:r w:rsidR="00564E56">
              <w:rPr>
                <w:webHidden/>
              </w:rPr>
              <w:fldChar w:fldCharType="separate"/>
            </w:r>
            <w:r w:rsidR="003C3A1D">
              <w:rPr>
                <w:webHidden/>
              </w:rPr>
              <w:t>63</w:t>
            </w:r>
            <w:r w:rsidR="00564E56">
              <w:rPr>
                <w:webHidden/>
              </w:rPr>
              <w:fldChar w:fldCharType="end"/>
            </w:r>
          </w:hyperlink>
        </w:p>
        <w:p w:rsidR="008E3B21" w:rsidRPr="008E3B21" w:rsidRDefault="008E3B21" w:rsidP="008E3B21">
          <w:pPr>
            <w:pStyle w:val="TOC2"/>
          </w:pPr>
          <w:r w:rsidRPr="008E3B21">
            <w:fldChar w:fldCharType="end"/>
          </w:r>
        </w:p>
      </w:sdtContent>
    </w:sdt>
    <w:p w:rsidR="00DE563D" w:rsidRDefault="00C84560">
      <w:pPr>
        <w:spacing w:line="240" w:lineRule="auto"/>
      </w:pPr>
      <w:r>
        <w:t xml:space="preserve"> </w:t>
      </w:r>
    </w:p>
    <w:p w:rsidR="00DE563D" w:rsidRDefault="00DE563D" w:rsidP="00DE563D">
      <w:pPr>
        <w:pStyle w:val="UnnumberedHeading"/>
        <w:numPr>
          <w:ilvl w:val="0"/>
          <w:numId w:val="24"/>
        </w:numPr>
      </w:pPr>
      <w:bookmarkStart w:id="7" w:name="_Toc404700925"/>
      <w:bookmarkStart w:id="8" w:name="_Toc461526252"/>
      <w:r>
        <w:t>Shortened forms</w:t>
      </w:r>
      <w:bookmarkEnd w:id="7"/>
      <w:bookmarkEnd w:id="8"/>
    </w:p>
    <w:p w:rsidR="00DE563D" w:rsidRDefault="00DE563D" w:rsidP="00415F31"/>
    <w:tbl>
      <w:tblPr>
        <w:tblStyle w:val="AERtable-numbers"/>
        <w:tblW w:w="0" w:type="auto"/>
        <w:tblLook w:val="04A0" w:firstRow="1" w:lastRow="0" w:firstColumn="1" w:lastColumn="0" w:noHBand="0" w:noVBand="1"/>
      </w:tblPr>
      <w:tblGrid>
        <w:gridCol w:w="4340"/>
        <w:gridCol w:w="4353"/>
      </w:tblGrid>
      <w:tr w:rsidR="009026D8" w:rsidTr="009026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r>
              <w:t>Shortened form</w:t>
            </w:r>
          </w:p>
        </w:tc>
        <w:tc>
          <w:tcPr>
            <w:tcW w:w="4353" w:type="dxa"/>
          </w:tcPr>
          <w:p w:rsidR="009026D8" w:rsidRPr="009026D8" w:rsidRDefault="009026D8" w:rsidP="009026D8">
            <w:pPr>
              <w:cnfStyle w:val="100000000000" w:firstRow="1" w:lastRow="0" w:firstColumn="0" w:lastColumn="0" w:oddVBand="0" w:evenVBand="0" w:oddHBand="0" w:evenHBand="0" w:firstRowFirstColumn="0" w:firstRowLastColumn="0" w:lastRowFirstColumn="0" w:lastRowLastColumn="0"/>
            </w:pPr>
            <w:r>
              <w:t>Extended form</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AEMC</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Australian Energy Market Commission</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AEMO</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Australian Energy Market Operator</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AER</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 xml:space="preserve">Australian Energy </w:t>
            </w:r>
            <w:r w:rsidRPr="009026D8">
              <w:rPr>
                <w:rStyle w:val="AERtextsize8"/>
              </w:rPr>
              <w:t>Regulator</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Pr>
                <w:rStyle w:val="AERtextsize8"/>
              </w:rPr>
              <w:t>AMI</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Advanced metering infrastructure</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capex</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 xml:space="preserve">capital </w:t>
            </w:r>
            <w:r w:rsidRPr="009026D8">
              <w:rPr>
                <w:rStyle w:val="AERtextsize8"/>
              </w:rPr>
              <w:t>expenditure</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CPI</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consumer price index</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DRP</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debt risk premium</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distributor</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 xml:space="preserve">distribution network </w:t>
            </w:r>
            <w:r w:rsidRPr="009026D8">
              <w:rPr>
                <w:rStyle w:val="AERtextsize8"/>
              </w:rPr>
              <w:t>service provider</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DUoS</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distribution use of system</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EBSS</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efficiency benefit sharing scheme</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ERP</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equity risk premium</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Expenditure A</w:t>
            </w:r>
            <w:r w:rsidRPr="009026D8">
              <w:rPr>
                <w:rStyle w:val="AERtextsize8"/>
              </w:rPr>
              <w:t>ssessment Guideline</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E</w:t>
            </w:r>
            <w:r w:rsidRPr="009026D8">
              <w:rPr>
                <w:rStyle w:val="AERtextsize8"/>
              </w:rPr>
              <w:t>xpenditure Forecast Assessment Guideline for Electricity Distribution</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F&amp;A</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framework and approach</w:t>
            </w:r>
          </w:p>
        </w:tc>
      </w:tr>
      <w:tr w:rsidR="00DA479A"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A479A" w:rsidRPr="00712239" w:rsidRDefault="00DA479A" w:rsidP="009026D8">
            <w:pPr>
              <w:pStyle w:val="AERtabletextleft"/>
              <w:rPr>
                <w:rStyle w:val="AERtextsize8"/>
              </w:rPr>
            </w:pPr>
            <w:r>
              <w:rPr>
                <w:rStyle w:val="AERtextsize8"/>
              </w:rPr>
              <w:t>MAB</w:t>
            </w:r>
          </w:p>
        </w:tc>
        <w:tc>
          <w:tcPr>
            <w:tcW w:w="4353" w:type="dxa"/>
          </w:tcPr>
          <w:p w:rsidR="00DA479A" w:rsidRPr="00712239" w:rsidRDefault="00AA55D1"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metering asset b</w:t>
            </w:r>
            <w:r w:rsidR="00DA479A">
              <w:rPr>
                <w:rStyle w:val="AERtextsize8"/>
              </w:rPr>
              <w:t>ase</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MRP</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market risk premium</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NEL</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national electricity law</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NEM</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national electricity market</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NEO</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national electricity objective</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NER</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national electricity rules</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NSP</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 xml:space="preserve">network service </w:t>
            </w:r>
            <w:r w:rsidRPr="009026D8">
              <w:rPr>
                <w:rStyle w:val="AERtextsize8"/>
              </w:rPr>
              <w:t>provider</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opex</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operating expenditure</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PPI</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partial performance indicators</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PTRM</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post-tax revenue model</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RAB</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regulatory asset base</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RBA</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Reserve Bank of Australia</w:t>
            </w:r>
          </w:p>
        </w:tc>
      </w:tr>
      <w:tr w:rsidR="009026D8" w:rsidTr="00902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RFM</w:t>
            </w:r>
          </w:p>
        </w:tc>
        <w:tc>
          <w:tcPr>
            <w:tcW w:w="4353" w:type="dxa"/>
          </w:tcPr>
          <w:p w:rsidR="009026D8" w:rsidRPr="009026D8" w:rsidRDefault="009026D8" w:rsidP="009026D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712239">
              <w:rPr>
                <w:rStyle w:val="AERtextsize8"/>
              </w:rPr>
              <w:t>roll forward model</w:t>
            </w:r>
          </w:p>
        </w:tc>
      </w:tr>
      <w:tr w:rsidR="009026D8" w:rsidTr="009026D8">
        <w:tc>
          <w:tcPr>
            <w:cnfStyle w:val="001000000000" w:firstRow="0" w:lastRow="0" w:firstColumn="1" w:lastColumn="0" w:oddVBand="0" w:evenVBand="0" w:oddHBand="0" w:evenHBand="0" w:firstRowFirstColumn="0" w:firstRowLastColumn="0" w:lastRowFirstColumn="0" w:lastRowLastColumn="0"/>
            <w:tcW w:w="4340" w:type="dxa"/>
          </w:tcPr>
          <w:p w:rsidR="009026D8" w:rsidRPr="009026D8" w:rsidRDefault="009026D8" w:rsidP="009026D8">
            <w:pPr>
              <w:pStyle w:val="AERtabletextleft"/>
              <w:rPr>
                <w:rStyle w:val="AERtextsize8"/>
              </w:rPr>
            </w:pPr>
            <w:r w:rsidRPr="00712239">
              <w:rPr>
                <w:rStyle w:val="AERtextsize8"/>
              </w:rPr>
              <w:t>RIN</w:t>
            </w:r>
          </w:p>
        </w:tc>
        <w:tc>
          <w:tcPr>
            <w:tcW w:w="4353" w:type="dxa"/>
          </w:tcPr>
          <w:p w:rsidR="009026D8" w:rsidRPr="009026D8" w:rsidRDefault="009026D8" w:rsidP="009026D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712239">
              <w:rPr>
                <w:rStyle w:val="AERtextsize8"/>
              </w:rPr>
              <w:t>regulatory information notice</w:t>
            </w:r>
          </w:p>
        </w:tc>
      </w:tr>
    </w:tbl>
    <w:p w:rsidR="00DE563D" w:rsidRPr="00436A39" w:rsidRDefault="00DE563D" w:rsidP="007D4722"/>
    <w:p w:rsidR="00DE563D" w:rsidRDefault="00DF70F3" w:rsidP="001754EE">
      <w:pPr>
        <w:pStyle w:val="Heading1"/>
      </w:pPr>
      <w:bookmarkStart w:id="9" w:name="_Ref461452768"/>
      <w:bookmarkStart w:id="10" w:name="_Toc461526253"/>
      <w:r>
        <w:t>Summary</w:t>
      </w:r>
      <w:bookmarkEnd w:id="9"/>
      <w:bookmarkEnd w:id="10"/>
    </w:p>
    <w:p w:rsidR="0030583E" w:rsidRDefault="0030583E" w:rsidP="0030583E">
      <w:pPr>
        <w:pStyle w:val="AERbulletlistfirststyle"/>
        <w:numPr>
          <w:ilvl w:val="0"/>
          <w:numId w:val="0"/>
        </w:numPr>
      </w:pPr>
      <w:r>
        <w:t>On 31 May 2016 we received</w:t>
      </w:r>
      <w:r w:rsidRPr="0030583E">
        <w:t xml:space="preserve"> AMI transition charge applications from all five Victorian electricity distribution businesses. </w:t>
      </w:r>
    </w:p>
    <w:p w:rsidR="0030583E" w:rsidRDefault="0030583E" w:rsidP="0030583E">
      <w:pPr>
        <w:pStyle w:val="AERbulletlistfirststyle"/>
        <w:numPr>
          <w:ilvl w:val="0"/>
          <w:numId w:val="0"/>
        </w:numPr>
      </w:pPr>
      <w:r w:rsidRPr="0030583E">
        <w:t>These applications were submitted in accordance with the Victorian Government’s AMI Cost Recovery Order in Council (Order).</w:t>
      </w:r>
      <w:r>
        <w:rPr>
          <w:rStyle w:val="FootnoteReference"/>
        </w:rPr>
        <w:footnoteReference w:id="1"/>
      </w:r>
      <w:r w:rsidR="008F6177">
        <w:t xml:space="preserve"> </w:t>
      </w:r>
      <w:r w:rsidR="008F6177">
        <w:rPr>
          <w:rStyle w:val="FootnoteReference"/>
        </w:rPr>
        <w:footnoteReference w:id="2"/>
      </w:r>
      <w:r w:rsidR="008F6177" w:rsidRPr="008F6177">
        <w:t xml:space="preserve"> </w:t>
      </w:r>
      <w:r w:rsidRPr="0030583E">
        <w:t xml:space="preserve">  They follow on from the completion of the AMI roll–out period which ran from 1 January 2009 to 31 December 2015. This is the last task the AER is required to do under the Order.</w:t>
      </w:r>
    </w:p>
    <w:p w:rsidR="008F6177" w:rsidRDefault="0030583E" w:rsidP="0030583E">
      <w:r w:rsidRPr="0030583E">
        <w:t>A transition charge (if applied) is an amount that may allow a distributor to recover from the consumer AMI costs that it has not already recovered to date.  Alternatively, a distributor may be required to return an amount to consumers if it has recovered costs for AMI that exceed the costs provided for under the Order.</w:t>
      </w:r>
      <w:r w:rsidR="008F6177">
        <w:t xml:space="preserve"> </w:t>
      </w:r>
    </w:p>
    <w:p w:rsidR="0030583E" w:rsidRPr="0030583E" w:rsidRDefault="0030583E" w:rsidP="0030583E">
      <w:r w:rsidRPr="0030583E">
        <w:t>The transition charge amount is determined under the Order by:</w:t>
      </w:r>
    </w:p>
    <w:p w:rsidR="0030583E" w:rsidRPr="0030583E" w:rsidRDefault="0030583E" w:rsidP="0030583E">
      <w:pPr>
        <w:pStyle w:val="Listalphabet"/>
      </w:pPr>
      <w:r w:rsidRPr="0030583E">
        <w:t xml:space="preserve">applying a 'true up' </w:t>
      </w:r>
      <w:r w:rsidR="008F6177">
        <w:t>of 2009–</w:t>
      </w:r>
      <w:r w:rsidRPr="0030583E">
        <w:t>15 costs and revenues that corrects for the difference between:</w:t>
      </w:r>
    </w:p>
    <w:p w:rsidR="0030583E" w:rsidRPr="0030583E" w:rsidRDefault="0030583E" w:rsidP="0030583E">
      <w:pPr>
        <w:pStyle w:val="AERbulletlistsecondstyle"/>
      </w:pPr>
      <w:r w:rsidRPr="0030583E">
        <w:t>the AMI costs over the 2009–15 period as approved by us in previous decisions</w:t>
      </w:r>
      <w:r w:rsidR="007D4722">
        <w:rPr>
          <w:rStyle w:val="FootnoteReference"/>
        </w:rPr>
        <w:footnoteReference w:id="3"/>
      </w:r>
      <w:r w:rsidRPr="0030583E">
        <w:t xml:space="preserve"> for each distributor</w:t>
      </w:r>
    </w:p>
    <w:p w:rsidR="0030583E" w:rsidRPr="0030583E" w:rsidRDefault="0030583E" w:rsidP="0030583E">
      <w:pPr>
        <w:pStyle w:val="AERbulletlistsecondstyle"/>
      </w:pPr>
      <w:r w:rsidRPr="0030583E">
        <w:t>the distributor's actual revenues from AMI metering charges</w:t>
      </w:r>
      <w:r w:rsidR="00AA55D1">
        <w:t>;</w:t>
      </w:r>
      <w:r w:rsidRPr="0030583E">
        <w:rPr>
          <w:rStyle w:val="FootnoteReference"/>
        </w:rPr>
        <w:footnoteReference w:id="4"/>
      </w:r>
      <w:r w:rsidR="00AA55D1">
        <w:t xml:space="preserve"> </w:t>
      </w:r>
      <w:r w:rsidRPr="0030583E">
        <w:t>and</w:t>
      </w:r>
    </w:p>
    <w:p w:rsidR="0030583E" w:rsidRPr="0030583E" w:rsidRDefault="0030583E" w:rsidP="0030583E">
      <w:pPr>
        <w:pStyle w:val="Listalphabet"/>
      </w:pPr>
      <w:r w:rsidRPr="0030583E">
        <w:t>incorporating any 'excess' expenditure incurred in 2014 and 2015 that we determine is prudent.  Excess expenditure is prudent where it reasonably reflects the efficient costs of a business providing AMI service</w:t>
      </w:r>
      <w:r w:rsidR="00E21CDF">
        <w:t>s.</w:t>
      </w:r>
      <w:r w:rsidRPr="0030583E">
        <w:rPr>
          <w:rStyle w:val="FootnoteReference"/>
        </w:rPr>
        <w:footnoteReference w:id="5"/>
      </w:r>
      <w:r w:rsidRPr="0030583E">
        <w:rPr>
          <w:rStyle w:val="FootnoteReference"/>
        </w:rPr>
        <w:t xml:space="preserve"> </w:t>
      </w:r>
      <w:r w:rsidRPr="0030583E">
        <w:rPr>
          <w:rStyle w:val="FootnoteReference"/>
        </w:rPr>
        <w:footnoteReference w:id="6"/>
      </w:r>
    </w:p>
    <w:p w:rsidR="008F6177" w:rsidRPr="008F6177" w:rsidRDefault="008F6177" w:rsidP="008F6177">
      <w:pPr>
        <w:pStyle w:val="Listalphabet"/>
        <w:numPr>
          <w:ilvl w:val="0"/>
          <w:numId w:val="0"/>
        </w:numPr>
      </w:pPr>
      <w:r w:rsidRPr="008F6177">
        <w:t>Our draft decisions for AusNet Services, Jemena and United Energy apply a true-up between approved AMI costs an</w:t>
      </w:r>
      <w:r w:rsidR="00E21CDF">
        <w:t>d actual revenues over the 2009–</w:t>
      </w:r>
      <w:r w:rsidRPr="008F6177">
        <w:t>15 period.  In addition, AusNet Services, Jemena and United Energy have sought expenditure excesses. We assessed this spending as it exceeds the 2012–15 Approved Budget</w:t>
      </w:r>
      <w:r w:rsidRPr="008F6177">
        <w:rPr>
          <w:rStyle w:val="FootnoteReference"/>
        </w:rPr>
        <w:footnoteReference w:id="7"/>
      </w:r>
      <w:r w:rsidRPr="008F6177">
        <w:t xml:space="preserve"> for each of those distributors.  We have approved recovery from consumers of that part of </w:t>
      </w:r>
      <w:r w:rsidR="00332E90">
        <w:t>the excess expenditure for 2014 and 20</w:t>
      </w:r>
      <w:r w:rsidRPr="008F6177">
        <w:t>15 which we determined to be prudent.</w:t>
      </w:r>
    </w:p>
    <w:p w:rsidR="008F6177" w:rsidRDefault="008F6177" w:rsidP="008F6177">
      <w:pPr>
        <w:pStyle w:val="Listalphabet"/>
        <w:numPr>
          <w:ilvl w:val="0"/>
          <w:numId w:val="0"/>
        </w:numPr>
      </w:pPr>
      <w:r w:rsidRPr="008F6177">
        <w:t xml:space="preserve">Not all of the Victorian electricity distributors sought the recovery of excess expenditure for 2014 and 2015 in their applications. </w:t>
      </w:r>
    </w:p>
    <w:p w:rsidR="008F6177" w:rsidRPr="0030583E" w:rsidRDefault="008F6177" w:rsidP="0030583E">
      <w:r>
        <w:t>CitiPower and Powercor spent less than their 2014 and 2015 approved costs and therefore there is no excess expenditure to assess. Underspends by CitiPower and Powercor in 2014 and 2015 will result in savings being returned to customers through a negative transition charge. Accordingly, for Citipower and Powercor, our draft decisions only apply a true-up between approved AMI costs an</w:t>
      </w:r>
      <w:r w:rsidR="00332E90">
        <w:t>d actual revenues over the 2009–</w:t>
      </w:r>
      <w:r>
        <w:t>15 period.</w:t>
      </w:r>
    </w:p>
    <w:p w:rsidR="00BD1ABB" w:rsidRDefault="00BD1ABB" w:rsidP="00173D96">
      <w:pPr>
        <w:pStyle w:val="HeadingBoldItalic"/>
      </w:pPr>
      <w:r>
        <w:t>Transition charges for 2018</w:t>
      </w:r>
    </w:p>
    <w:p w:rsidR="006C1347" w:rsidRDefault="00A4640E" w:rsidP="00ED5F00">
      <w:pPr>
        <w:pStyle w:val="AERbulletlistfirststyle"/>
        <w:numPr>
          <w:ilvl w:val="0"/>
          <w:numId w:val="0"/>
        </w:numPr>
      </w:pPr>
      <w:r>
        <w:t>T</w:t>
      </w:r>
      <w:r w:rsidR="006C1347">
        <w:t>he Order</w:t>
      </w:r>
      <w:r w:rsidR="006C1347" w:rsidRPr="006C1347">
        <w:t xml:space="preserve"> allow</w:t>
      </w:r>
      <w:r>
        <w:t>s</w:t>
      </w:r>
      <w:r w:rsidR="006C1347" w:rsidRPr="006C1347">
        <w:t xml:space="preserve"> us to apply the recovery of the transition charge in </w:t>
      </w:r>
      <w:r>
        <w:t xml:space="preserve">2017 and in </w:t>
      </w:r>
      <w:r w:rsidR="006C1347" w:rsidRPr="006C1347">
        <w:t>any subsequent years of the 2016–20</w:t>
      </w:r>
      <w:r w:rsidR="00332E90">
        <w:t>20</w:t>
      </w:r>
      <w:r w:rsidR="006C1347" w:rsidRPr="006C1347">
        <w:t xml:space="preserve"> regulatory control period.</w:t>
      </w:r>
      <w:r w:rsidR="006C1347" w:rsidRPr="006C1347">
        <w:rPr>
          <w:rStyle w:val="FootnoteReference"/>
        </w:rPr>
        <w:footnoteReference w:id="8"/>
      </w:r>
    </w:p>
    <w:p w:rsidR="00336568" w:rsidRDefault="005029E0" w:rsidP="00ED5F00">
      <w:pPr>
        <w:pStyle w:val="AERbulletlistfirststyle"/>
        <w:numPr>
          <w:ilvl w:val="0"/>
          <w:numId w:val="0"/>
        </w:numPr>
      </w:pPr>
      <w:r>
        <w:t xml:space="preserve">Our draft decision is </w:t>
      </w:r>
      <w:r w:rsidR="00336568">
        <w:t>that the</w:t>
      </w:r>
      <w:r>
        <w:t xml:space="preserve"> transition charges</w:t>
      </w:r>
      <w:r w:rsidR="00336568">
        <w:t xml:space="preserve"> we approve will not be applied by the Victorian electricity distributors in 2017. Instead, they will take effect in 2018.</w:t>
      </w:r>
    </w:p>
    <w:p w:rsidR="00BF1525" w:rsidRDefault="003B2B38" w:rsidP="00ED5F00">
      <w:pPr>
        <w:pStyle w:val="AERbulletlistfirststyle"/>
        <w:numPr>
          <w:ilvl w:val="0"/>
          <w:numId w:val="0"/>
        </w:numPr>
      </w:pPr>
      <w:r>
        <w:t>Following consultation</w:t>
      </w:r>
      <w:r w:rsidR="0000676A">
        <w:t xml:space="preserve"> with each of the distributors, w</w:t>
      </w:r>
      <w:r w:rsidR="00336568">
        <w:t>e have selected 2018 because it</w:t>
      </w:r>
      <w:r w:rsidR="005B0D30">
        <w:t xml:space="preserve"> is consistent with our</w:t>
      </w:r>
      <w:r w:rsidR="00230EBA">
        <w:t xml:space="preserve"> </w:t>
      </w:r>
      <w:r w:rsidR="005B0D30">
        <w:t>annual pricing approval processes</w:t>
      </w:r>
      <w:r w:rsidR="00230EBA">
        <w:t xml:space="preserve">. </w:t>
      </w:r>
      <w:r w:rsidR="005029E0">
        <w:t xml:space="preserve">In accordance with the </w:t>
      </w:r>
      <w:r w:rsidR="005B0D30">
        <w:t>deadlines</w:t>
      </w:r>
      <w:r w:rsidR="005029E0">
        <w:t xml:space="preserve"> set out in the Order, we anticipate making our final determination on the Transition Charges Applications on 1</w:t>
      </w:r>
      <w:r w:rsidR="00BD397E">
        <w:t>6</w:t>
      </w:r>
      <w:r w:rsidR="005029E0">
        <w:t xml:space="preserve"> December 2016. By this time,</w:t>
      </w:r>
      <w:r w:rsidR="009F4965">
        <w:t xml:space="preserve"> however,</w:t>
      </w:r>
      <w:r w:rsidR="005029E0">
        <w:t xml:space="preserve"> we would have already approved each of the Victorian electricity distributors' 2017 pricing proposals</w:t>
      </w:r>
      <w:r w:rsidR="00BF1525">
        <w:t>.</w:t>
      </w:r>
      <w:r w:rsidR="002E0C56">
        <w:rPr>
          <w:rStyle w:val="FootnoteReference"/>
        </w:rPr>
        <w:footnoteReference w:id="9"/>
      </w:r>
      <w:r w:rsidR="00BF1525">
        <w:t xml:space="preserve"> We have accordingly selected the following year (2018) for the transition charges to be applied. To facilitate this, we have adjusted for the time value of money. This is so that both the Victorian electricity distributors and their customers will be no better or worse off by our selection of 2018 as the year in which the transition charges </w:t>
      </w:r>
      <w:r w:rsidR="00BD11EC">
        <w:t>are levied</w:t>
      </w:r>
      <w:r w:rsidR="00BF1525">
        <w:t>.</w:t>
      </w:r>
    </w:p>
    <w:p w:rsidR="00E13CF0" w:rsidRDefault="00192798" w:rsidP="00ED5F00">
      <w:pPr>
        <w:pStyle w:val="AERbulletlistfirststyle"/>
        <w:numPr>
          <w:ilvl w:val="0"/>
          <w:numId w:val="0"/>
        </w:numPr>
      </w:pPr>
      <w:r>
        <w:fldChar w:fldCharType="begin"/>
      </w:r>
      <w:r>
        <w:instrText xml:space="preserve"> REF _Ref452653682 \h </w:instrText>
      </w:r>
      <w:r>
        <w:fldChar w:fldCharType="separate"/>
      </w:r>
      <w:r w:rsidR="003C3A1D">
        <w:t xml:space="preserve">Table </w:t>
      </w:r>
      <w:r w:rsidR="003C3A1D">
        <w:rPr>
          <w:noProof/>
        </w:rPr>
        <w:t>1</w:t>
      </w:r>
      <w:r w:rsidR="003C3A1D">
        <w:t>.</w:t>
      </w:r>
      <w:r w:rsidR="003C3A1D">
        <w:rPr>
          <w:noProof/>
        </w:rPr>
        <w:t>1</w:t>
      </w:r>
      <w:r>
        <w:fldChar w:fldCharType="end"/>
      </w:r>
      <w:r>
        <w:t xml:space="preserve"> sets out our draft decision. It shows the expenditure adjustment</w:t>
      </w:r>
      <w:r w:rsidR="00CF2AE9">
        <w:t xml:space="preserve"> ($million 2018</w:t>
      </w:r>
      <w:r w:rsidR="007E0434">
        <w:t>)</w:t>
      </w:r>
      <w:r>
        <w:t xml:space="preserve"> we have determined as a result of our assessment of each</w:t>
      </w:r>
      <w:r w:rsidR="007E0434">
        <w:t xml:space="preserve"> Victorian electricity</w:t>
      </w:r>
      <w:r>
        <w:t xml:space="preserve"> distributors' approved costs and actual AMI revenues over the 2009–15 period. </w:t>
      </w:r>
      <w:r w:rsidR="00F6084E">
        <w:t xml:space="preserve">Each of these represents a negative revenue amount. </w:t>
      </w:r>
      <w:r w:rsidR="00852B11">
        <w:t xml:space="preserve">The estimated bill impact </w:t>
      </w:r>
      <w:r w:rsidR="00E875FB">
        <w:t>of each adjustment, to be applied</w:t>
      </w:r>
      <w:r w:rsidR="00852B11">
        <w:t xml:space="preserve"> via a transition charge in 201</w:t>
      </w:r>
      <w:r w:rsidR="00257428">
        <w:t>8</w:t>
      </w:r>
      <w:r w:rsidR="00852B11">
        <w:t xml:space="preserve">, is also shown.  </w:t>
      </w:r>
      <w:r w:rsidR="00A423DA">
        <w:t xml:space="preserve">This shows that for each distributor revenues will be returned to customers and </w:t>
      </w:r>
      <w:r w:rsidR="004A65EB">
        <w:t xml:space="preserve">will </w:t>
      </w:r>
      <w:r w:rsidR="00A423DA">
        <w:t xml:space="preserve">result in lower </w:t>
      </w:r>
      <w:r w:rsidR="00F6084E">
        <w:t xml:space="preserve">annual </w:t>
      </w:r>
      <w:r w:rsidR="00A423DA">
        <w:t>charges.</w:t>
      </w:r>
    </w:p>
    <w:p w:rsidR="00F102B6" w:rsidRDefault="00F102B6" w:rsidP="00F102B6">
      <w:pPr>
        <w:pStyle w:val="Caption"/>
      </w:pPr>
      <w:bookmarkStart w:id="11" w:name="_Ref452653682"/>
      <w:r>
        <w:t xml:space="preserve">Table </w:t>
      </w:r>
      <w:r w:rsidR="004F0568">
        <w:fldChar w:fldCharType="begin"/>
      </w:r>
      <w:r w:rsidR="004F0568">
        <w:instrText xml:space="preserve"> STYLEREF 1 \s </w:instrText>
      </w:r>
      <w:r w:rsidR="004F0568">
        <w:fldChar w:fldCharType="separate"/>
      </w:r>
      <w:r w:rsidR="003C3A1D">
        <w:rPr>
          <w:noProof/>
        </w:rPr>
        <w:t>1</w:t>
      </w:r>
      <w:r w:rsidR="004F0568">
        <w:rPr>
          <w:noProof/>
        </w:rPr>
        <w:fldChar w:fldCharType="end"/>
      </w:r>
      <w:r w:rsidR="00696CDC">
        <w:t>.</w:t>
      </w:r>
      <w:fldSimple w:instr=" SEQ Table \* ARABIC \s 1 ">
        <w:r w:rsidR="003C3A1D">
          <w:rPr>
            <w:noProof/>
          </w:rPr>
          <w:t>1</w:t>
        </w:r>
      </w:fldSimple>
      <w:bookmarkEnd w:id="11"/>
      <w:r>
        <w:tab/>
        <w:t>Draft d</w:t>
      </w:r>
      <w:r w:rsidR="00192798">
        <w:t xml:space="preserve">ecision </w:t>
      </w:r>
      <w:r w:rsidR="00332E90">
        <w:t>on transition</w:t>
      </w:r>
      <w:r w:rsidR="00F11613">
        <w:t xml:space="preserve"> charge</w:t>
      </w:r>
      <w:r w:rsidR="0012448F">
        <w:t xml:space="preserve"> ($2018)</w:t>
      </w:r>
    </w:p>
    <w:tbl>
      <w:tblPr>
        <w:tblStyle w:val="AERtable-numbers"/>
        <w:tblW w:w="0" w:type="auto"/>
        <w:tblLook w:val="04A0" w:firstRow="1" w:lastRow="0" w:firstColumn="1" w:lastColumn="0" w:noHBand="0" w:noVBand="1"/>
      </w:tblPr>
      <w:tblGrid>
        <w:gridCol w:w="2897"/>
        <w:gridCol w:w="2898"/>
        <w:gridCol w:w="2898"/>
      </w:tblGrid>
      <w:tr w:rsidR="000B6029" w:rsidTr="000B6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B6029" w:rsidRDefault="000B6029" w:rsidP="000B6029"/>
        </w:tc>
        <w:tc>
          <w:tcPr>
            <w:tcW w:w="2898" w:type="dxa"/>
          </w:tcPr>
          <w:p w:rsidR="000B6029" w:rsidRDefault="00332E90" w:rsidP="000B6029">
            <w:pPr>
              <w:cnfStyle w:val="100000000000" w:firstRow="1" w:lastRow="0" w:firstColumn="0" w:lastColumn="0" w:oddVBand="0" w:evenVBand="0" w:oddHBand="0" w:evenHBand="0" w:firstRowFirstColumn="0" w:firstRowLastColumn="0" w:lastRowFirstColumn="0" w:lastRowLastColumn="0"/>
            </w:pPr>
            <w:r>
              <w:t>Transition</w:t>
            </w:r>
            <w:r w:rsidR="000B6029">
              <w:t xml:space="preserve"> charge revenue adjustmen</w:t>
            </w:r>
            <w:r w:rsidR="002C30C6">
              <w:t>t</w:t>
            </w:r>
          </w:p>
        </w:tc>
        <w:tc>
          <w:tcPr>
            <w:tcW w:w="2898" w:type="dxa"/>
          </w:tcPr>
          <w:p w:rsidR="000B6029" w:rsidRDefault="000B6029" w:rsidP="000B6029">
            <w:pPr>
              <w:cnfStyle w:val="100000000000" w:firstRow="1" w:lastRow="0" w:firstColumn="0" w:lastColumn="0" w:oddVBand="0" w:evenVBand="0" w:oddHBand="0" w:evenHBand="0" w:firstRowFirstColumn="0" w:firstRowLastColumn="0" w:lastRowFirstColumn="0" w:lastRowLastColumn="0"/>
            </w:pPr>
            <w:r>
              <w:t>Estimated bill impact</w:t>
            </w:r>
          </w:p>
        </w:tc>
      </w:tr>
      <w:tr w:rsidR="00B03E41" w:rsidTr="000A333B">
        <w:tc>
          <w:tcPr>
            <w:cnfStyle w:val="001000000000" w:firstRow="0" w:lastRow="0" w:firstColumn="1" w:lastColumn="0" w:oddVBand="0" w:evenVBand="0" w:oddHBand="0" w:evenHBand="0" w:firstRowFirstColumn="0" w:firstRowLastColumn="0" w:lastRowFirstColumn="0" w:lastRowLastColumn="0"/>
            <w:tcW w:w="2897" w:type="dxa"/>
          </w:tcPr>
          <w:p w:rsidR="00B03E41" w:rsidRPr="00B03E41" w:rsidRDefault="00B03E41" w:rsidP="00B03E41">
            <w:r w:rsidRPr="00B03E41">
              <w:t>AusNet Services</w:t>
            </w:r>
          </w:p>
        </w:tc>
        <w:tc>
          <w:tcPr>
            <w:tcW w:w="2898" w:type="dxa"/>
          </w:tcPr>
          <w:p w:rsidR="00B03E41" w:rsidRPr="00B03E41" w:rsidRDefault="00B03E41" w:rsidP="006D4FD9">
            <w:pPr>
              <w:cnfStyle w:val="000000000000" w:firstRow="0" w:lastRow="0" w:firstColumn="0" w:lastColumn="0" w:oddVBand="0" w:evenVBand="0" w:oddHBand="0" w:evenHBand="0" w:firstRowFirstColumn="0" w:firstRowLastColumn="0" w:lastRowFirstColumn="0" w:lastRowLastColumn="0"/>
            </w:pPr>
            <w:r w:rsidRPr="00B03E41">
              <w:t>($</w:t>
            </w:r>
            <w:r w:rsidR="00AC57A6">
              <w:t>62.1</w:t>
            </w:r>
            <w:r w:rsidR="00D9027C">
              <w:t xml:space="preserve"> million</w:t>
            </w:r>
            <w:r w:rsidRPr="00B03E41">
              <w:t>)</w:t>
            </w:r>
          </w:p>
        </w:tc>
        <w:tc>
          <w:tcPr>
            <w:tcW w:w="2898" w:type="dxa"/>
            <w:vAlign w:val="bottom"/>
          </w:tcPr>
          <w:p w:rsidR="00B03E41" w:rsidRPr="00B03E41" w:rsidRDefault="00B03E41" w:rsidP="006D4FD9">
            <w:pPr>
              <w:cnfStyle w:val="000000000000" w:firstRow="0" w:lastRow="0" w:firstColumn="0" w:lastColumn="0" w:oddVBand="0" w:evenVBand="0" w:oddHBand="0" w:evenHBand="0" w:firstRowFirstColumn="0" w:firstRowLastColumn="0" w:lastRowFirstColumn="0" w:lastRowLastColumn="0"/>
            </w:pPr>
            <w:r>
              <w:t>($</w:t>
            </w:r>
            <w:r w:rsidR="00AC57A6">
              <w:t>83.15</w:t>
            </w:r>
            <w:r>
              <w:t>)</w:t>
            </w:r>
          </w:p>
        </w:tc>
      </w:tr>
      <w:tr w:rsidR="00B03E41" w:rsidTr="000A3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B03E41" w:rsidRPr="00B03E41" w:rsidRDefault="00B03E41" w:rsidP="00B03E41">
            <w:r w:rsidRPr="00B03E41">
              <w:t>CitiPower</w:t>
            </w:r>
          </w:p>
        </w:tc>
        <w:tc>
          <w:tcPr>
            <w:tcW w:w="2898" w:type="dxa"/>
          </w:tcPr>
          <w:p w:rsidR="00B03E41" w:rsidRPr="00B03E41" w:rsidRDefault="00B03E41" w:rsidP="00B03E41">
            <w:pPr>
              <w:cnfStyle w:val="000000010000" w:firstRow="0" w:lastRow="0" w:firstColumn="0" w:lastColumn="0" w:oddVBand="0" w:evenVBand="0" w:oddHBand="0" w:evenHBand="1" w:firstRowFirstColumn="0" w:firstRowLastColumn="0" w:lastRowFirstColumn="0" w:lastRowLastColumn="0"/>
            </w:pPr>
            <w:r w:rsidRPr="00B03E41">
              <w:t>($1.8 million)</w:t>
            </w:r>
          </w:p>
        </w:tc>
        <w:tc>
          <w:tcPr>
            <w:tcW w:w="2898" w:type="dxa"/>
            <w:vAlign w:val="bottom"/>
          </w:tcPr>
          <w:p w:rsidR="00B03E41" w:rsidRPr="00B03E41" w:rsidRDefault="00B03E41" w:rsidP="00B03E41">
            <w:pPr>
              <w:cnfStyle w:val="000000010000" w:firstRow="0" w:lastRow="0" w:firstColumn="0" w:lastColumn="0" w:oddVBand="0" w:evenVBand="0" w:oddHBand="0" w:evenHBand="1" w:firstRowFirstColumn="0" w:firstRowLastColumn="0" w:lastRowFirstColumn="0" w:lastRowLastColumn="0"/>
            </w:pPr>
            <w:r>
              <w:t>($</w:t>
            </w:r>
            <w:r w:rsidRPr="00B03E41">
              <w:t>5.60</w:t>
            </w:r>
            <w:r>
              <w:t>)</w:t>
            </w:r>
          </w:p>
        </w:tc>
      </w:tr>
      <w:tr w:rsidR="00B03E41" w:rsidTr="000A333B">
        <w:tc>
          <w:tcPr>
            <w:cnfStyle w:val="001000000000" w:firstRow="0" w:lastRow="0" w:firstColumn="1" w:lastColumn="0" w:oddVBand="0" w:evenVBand="0" w:oddHBand="0" w:evenHBand="0" w:firstRowFirstColumn="0" w:firstRowLastColumn="0" w:lastRowFirstColumn="0" w:lastRowLastColumn="0"/>
            <w:tcW w:w="2897" w:type="dxa"/>
          </w:tcPr>
          <w:p w:rsidR="00B03E41" w:rsidRPr="00B03E41" w:rsidRDefault="00B03E41" w:rsidP="00B03E41">
            <w:r w:rsidRPr="00B03E41">
              <w:t>Jemena</w:t>
            </w:r>
          </w:p>
        </w:tc>
        <w:tc>
          <w:tcPr>
            <w:tcW w:w="2898" w:type="dxa"/>
          </w:tcPr>
          <w:p w:rsidR="00B03E41" w:rsidRPr="00B03E41" w:rsidRDefault="00B03E41" w:rsidP="006D4FD9">
            <w:pPr>
              <w:cnfStyle w:val="000000000000" w:firstRow="0" w:lastRow="0" w:firstColumn="0" w:lastColumn="0" w:oddVBand="0" w:evenVBand="0" w:oddHBand="0" w:evenHBand="0" w:firstRowFirstColumn="0" w:firstRowLastColumn="0" w:lastRowFirstColumn="0" w:lastRowLastColumn="0"/>
            </w:pPr>
            <w:r w:rsidRPr="00B03E41">
              <w:t>($</w:t>
            </w:r>
            <w:r w:rsidR="00D9027C">
              <w:t>16.5 million</w:t>
            </w:r>
            <w:r w:rsidRPr="00B03E41">
              <w:t>)</w:t>
            </w:r>
          </w:p>
        </w:tc>
        <w:tc>
          <w:tcPr>
            <w:tcW w:w="2898" w:type="dxa"/>
            <w:vAlign w:val="bottom"/>
          </w:tcPr>
          <w:p w:rsidR="00B03E41" w:rsidRPr="00B03E41" w:rsidRDefault="00B03E41" w:rsidP="006D4FD9">
            <w:pPr>
              <w:cnfStyle w:val="000000000000" w:firstRow="0" w:lastRow="0" w:firstColumn="0" w:lastColumn="0" w:oddVBand="0" w:evenVBand="0" w:oddHBand="0" w:evenHBand="0" w:firstRowFirstColumn="0" w:firstRowLastColumn="0" w:lastRowFirstColumn="0" w:lastRowLastColumn="0"/>
            </w:pPr>
            <w:r>
              <w:t>($</w:t>
            </w:r>
            <w:r w:rsidR="00FD0FB6">
              <w:t>48.59</w:t>
            </w:r>
            <w:r>
              <w:t>)</w:t>
            </w:r>
          </w:p>
        </w:tc>
      </w:tr>
      <w:tr w:rsidR="00B03E41" w:rsidTr="000A3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B03E41" w:rsidRPr="00B03E41" w:rsidRDefault="00B03E41" w:rsidP="00B03E41">
            <w:r w:rsidRPr="00B03E41">
              <w:t>Powercor</w:t>
            </w:r>
          </w:p>
        </w:tc>
        <w:tc>
          <w:tcPr>
            <w:tcW w:w="2898" w:type="dxa"/>
          </w:tcPr>
          <w:p w:rsidR="00B03E41" w:rsidRPr="00B03E41" w:rsidRDefault="00B03E41" w:rsidP="00B03E41">
            <w:pPr>
              <w:cnfStyle w:val="000000010000" w:firstRow="0" w:lastRow="0" w:firstColumn="0" w:lastColumn="0" w:oddVBand="0" w:evenVBand="0" w:oddHBand="0" w:evenHBand="1" w:firstRowFirstColumn="0" w:firstRowLastColumn="0" w:lastRowFirstColumn="0" w:lastRowLastColumn="0"/>
            </w:pPr>
            <w:r w:rsidRPr="00B03E41">
              <w:t>($9.8 million)</w:t>
            </w:r>
          </w:p>
        </w:tc>
        <w:tc>
          <w:tcPr>
            <w:tcW w:w="2898" w:type="dxa"/>
            <w:vAlign w:val="bottom"/>
          </w:tcPr>
          <w:p w:rsidR="00B03E41" w:rsidRPr="00B03E41" w:rsidRDefault="00B03E41" w:rsidP="00B03E41">
            <w:pPr>
              <w:cnfStyle w:val="000000010000" w:firstRow="0" w:lastRow="0" w:firstColumn="0" w:lastColumn="0" w:oddVBand="0" w:evenVBand="0" w:oddHBand="0" w:evenHBand="1" w:firstRowFirstColumn="0" w:firstRowLastColumn="0" w:lastRowFirstColumn="0" w:lastRowLastColumn="0"/>
            </w:pPr>
            <w:r>
              <w:t>($</w:t>
            </w:r>
            <w:r w:rsidRPr="00B03E41">
              <w:t>12.14</w:t>
            </w:r>
            <w:r>
              <w:t>)</w:t>
            </w:r>
          </w:p>
        </w:tc>
      </w:tr>
      <w:tr w:rsidR="00B03E41" w:rsidTr="000A333B">
        <w:tc>
          <w:tcPr>
            <w:cnfStyle w:val="001000000000" w:firstRow="0" w:lastRow="0" w:firstColumn="1" w:lastColumn="0" w:oddVBand="0" w:evenVBand="0" w:oddHBand="0" w:evenHBand="0" w:firstRowFirstColumn="0" w:firstRowLastColumn="0" w:lastRowFirstColumn="0" w:lastRowLastColumn="0"/>
            <w:tcW w:w="2897" w:type="dxa"/>
          </w:tcPr>
          <w:p w:rsidR="00B03E41" w:rsidRPr="00B03E41" w:rsidRDefault="00B03E41" w:rsidP="00B03E41">
            <w:r w:rsidRPr="00B03E41">
              <w:t>United Energy</w:t>
            </w:r>
          </w:p>
        </w:tc>
        <w:tc>
          <w:tcPr>
            <w:tcW w:w="2898" w:type="dxa"/>
          </w:tcPr>
          <w:p w:rsidR="00B03E41" w:rsidRPr="00B03E41" w:rsidRDefault="00B03E41" w:rsidP="00B03E41">
            <w:pPr>
              <w:cnfStyle w:val="000000000000" w:firstRow="0" w:lastRow="0" w:firstColumn="0" w:lastColumn="0" w:oddVBand="0" w:evenVBand="0" w:oddHBand="0" w:evenHBand="0" w:firstRowFirstColumn="0" w:firstRowLastColumn="0" w:lastRowFirstColumn="0" w:lastRowLastColumn="0"/>
            </w:pPr>
            <w:r w:rsidRPr="00B03E41">
              <w:t>($3.9 million)</w:t>
            </w:r>
          </w:p>
        </w:tc>
        <w:tc>
          <w:tcPr>
            <w:tcW w:w="2898" w:type="dxa"/>
            <w:vAlign w:val="bottom"/>
          </w:tcPr>
          <w:p w:rsidR="00B03E41" w:rsidRPr="00B03E41" w:rsidRDefault="00B03E41" w:rsidP="00B03E41">
            <w:pPr>
              <w:cnfStyle w:val="000000000000" w:firstRow="0" w:lastRow="0" w:firstColumn="0" w:lastColumn="0" w:oddVBand="0" w:evenVBand="0" w:oddHBand="0" w:evenHBand="0" w:firstRowFirstColumn="0" w:firstRowLastColumn="0" w:lastRowFirstColumn="0" w:lastRowLastColumn="0"/>
            </w:pPr>
            <w:r>
              <w:t>($</w:t>
            </w:r>
            <w:r w:rsidRPr="00B03E41">
              <w:t>5.63</w:t>
            </w:r>
            <w:r>
              <w:t>)</w:t>
            </w:r>
          </w:p>
        </w:tc>
      </w:tr>
    </w:tbl>
    <w:p w:rsidR="00ED6277" w:rsidRDefault="00114942" w:rsidP="000B6029">
      <w:pPr>
        <w:pStyle w:val="AERtablesource"/>
        <w:ind w:left="0" w:firstLine="0"/>
      </w:pPr>
      <w:r>
        <w:t>Source:</w:t>
      </w:r>
      <w:r>
        <w:tab/>
        <w:t>AER analysis.</w:t>
      </w:r>
    </w:p>
    <w:p w:rsidR="008D0E3B" w:rsidRPr="008D0E3B" w:rsidRDefault="008D0E3B" w:rsidP="008D0E3B">
      <w:pPr>
        <w:pStyle w:val="AERtablesource"/>
      </w:pPr>
      <w:r>
        <w:t>Notes:</w:t>
      </w:r>
      <w:r>
        <w:tab/>
      </w:r>
      <w:r w:rsidRPr="008D0E3B">
        <w:t xml:space="preserve">When discounting </w:t>
      </w:r>
      <w:r>
        <w:t>the transition charge to</w:t>
      </w:r>
      <w:r w:rsidRPr="008D0E3B">
        <w:t xml:space="preserve"> a 2018 NPV, we used forecast CPI for the 2018 year. We also applied a forecast WACC for the 2017 and 2018 years. We will update these forecast CPI and WACC values for actuals when we apply the transition charge through our 2018 annual pricing approval processes.</w:t>
      </w:r>
    </w:p>
    <w:p w:rsidR="008F6177" w:rsidRDefault="008F6177" w:rsidP="008F6177">
      <w:pPr>
        <w:numPr>
          <w:ilvl w:val="0"/>
          <w:numId w:val="25"/>
        </w:numPr>
        <w:rPr>
          <w:rStyle w:val="AERbody"/>
        </w:rPr>
      </w:pPr>
      <w:r>
        <w:rPr>
          <w:rStyle w:val="AERbody"/>
        </w:rPr>
        <w:fldChar w:fldCharType="begin"/>
      </w:r>
      <w:r>
        <w:rPr>
          <w:rStyle w:val="AERbody"/>
        </w:rPr>
        <w:instrText xml:space="preserve"> REF _Ref461282590 \h </w:instrText>
      </w:r>
      <w:r>
        <w:rPr>
          <w:rStyle w:val="AERbody"/>
        </w:rPr>
      </w:r>
      <w:r>
        <w:rPr>
          <w:rStyle w:val="AERbody"/>
        </w:rPr>
        <w:fldChar w:fldCharType="separate"/>
      </w:r>
      <w:r w:rsidR="003C3A1D">
        <w:t xml:space="preserve">Table </w:t>
      </w:r>
      <w:r w:rsidR="003C3A1D">
        <w:rPr>
          <w:noProof/>
        </w:rPr>
        <w:t>1</w:t>
      </w:r>
      <w:r w:rsidR="003C3A1D">
        <w:t>.</w:t>
      </w:r>
      <w:r w:rsidR="003C3A1D">
        <w:rPr>
          <w:noProof/>
        </w:rPr>
        <w:t>2</w:t>
      </w:r>
      <w:r>
        <w:rPr>
          <w:rStyle w:val="AERbody"/>
        </w:rPr>
        <w:fldChar w:fldCharType="end"/>
      </w:r>
      <w:r>
        <w:rPr>
          <w:rStyle w:val="AERbody"/>
        </w:rPr>
        <w:t xml:space="preserve"> sets out </w:t>
      </w:r>
      <w:r w:rsidR="006D4FD9">
        <w:rPr>
          <w:rStyle w:val="AERbody"/>
        </w:rPr>
        <w:t>our estimate of the</w:t>
      </w:r>
      <w:r>
        <w:rPr>
          <w:rStyle w:val="AERbody"/>
        </w:rPr>
        <w:t xml:space="preserve"> price path for alternative metering services for each Victorian distributor in the current 2016–20 regulatory control period. It shows that our draft decision </w:t>
      </w:r>
      <w:r w:rsidR="006D4FD9">
        <w:rPr>
          <w:rStyle w:val="AERbody"/>
        </w:rPr>
        <w:t>would give rise to a large fall in metering prices in 2018 followed by an increase in the following year. We are open to consulting with stakeholders on taking steps to smooth this price path in our final decision.</w:t>
      </w:r>
      <w:r>
        <w:rPr>
          <w:rStyle w:val="AERbody"/>
        </w:rPr>
        <w:t xml:space="preserve"> </w:t>
      </w:r>
    </w:p>
    <w:p w:rsidR="008F6177" w:rsidRDefault="008F6177" w:rsidP="008F6177">
      <w:pPr>
        <w:pStyle w:val="Caption"/>
      </w:pPr>
      <w:bookmarkStart w:id="12" w:name="_Ref461282590"/>
      <w:r>
        <w:t xml:space="preserve">Table </w:t>
      </w:r>
      <w:r w:rsidRPr="008F6177">
        <w:fldChar w:fldCharType="begin"/>
      </w:r>
      <w:r>
        <w:instrText xml:space="preserve"> STYLEREF 1 \s </w:instrText>
      </w:r>
      <w:r w:rsidRPr="008F6177">
        <w:fldChar w:fldCharType="separate"/>
      </w:r>
      <w:r w:rsidR="003C3A1D">
        <w:rPr>
          <w:noProof/>
        </w:rPr>
        <w:t>1</w:t>
      </w:r>
      <w:r w:rsidRPr="008F6177">
        <w:fldChar w:fldCharType="end"/>
      </w:r>
      <w:r>
        <w:t>.</w:t>
      </w:r>
      <w:r w:rsidRPr="008F6177">
        <w:fldChar w:fldCharType="begin"/>
      </w:r>
      <w:r>
        <w:instrText xml:space="preserve"> SEQ Table \* ARABIC \s 1 </w:instrText>
      </w:r>
      <w:r w:rsidRPr="008F6177">
        <w:fldChar w:fldCharType="separate"/>
      </w:r>
      <w:r w:rsidR="003C3A1D">
        <w:rPr>
          <w:noProof/>
        </w:rPr>
        <w:t>2</w:t>
      </w:r>
      <w:r w:rsidRPr="008F6177">
        <w:fldChar w:fldCharType="end"/>
      </w:r>
      <w:bookmarkEnd w:id="12"/>
      <w:r>
        <w:tab/>
      </w:r>
      <w:r w:rsidR="006D4FD9">
        <w:t>Indicative average annual</w:t>
      </w:r>
      <w:r>
        <w:t xml:space="preserve"> meter</w:t>
      </w:r>
      <w:r w:rsidR="006D4FD9">
        <w:t>ing</w:t>
      </w:r>
      <w:r>
        <w:t xml:space="preserve"> bill in Victoria ($ 2018)</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8F6177" w:rsidTr="00040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8F6177" w:rsidRDefault="008F6177" w:rsidP="008F6177"/>
        </w:tc>
        <w:tc>
          <w:tcPr>
            <w:tcW w:w="1449" w:type="dxa"/>
          </w:tcPr>
          <w:p w:rsidR="008F6177" w:rsidRPr="008F6177" w:rsidRDefault="008F6177" w:rsidP="008F6177">
            <w:pPr>
              <w:cnfStyle w:val="100000000000" w:firstRow="1" w:lastRow="0" w:firstColumn="0" w:lastColumn="0" w:oddVBand="0" w:evenVBand="0" w:oddHBand="0" w:evenHBand="0" w:firstRowFirstColumn="0" w:firstRowLastColumn="0" w:lastRowFirstColumn="0" w:lastRowLastColumn="0"/>
            </w:pPr>
            <w:r>
              <w:t>2016</w:t>
            </w:r>
          </w:p>
        </w:tc>
        <w:tc>
          <w:tcPr>
            <w:tcW w:w="1449" w:type="dxa"/>
          </w:tcPr>
          <w:p w:rsidR="008F6177" w:rsidRPr="008F6177" w:rsidRDefault="008F6177" w:rsidP="008F6177">
            <w:pPr>
              <w:cnfStyle w:val="100000000000" w:firstRow="1" w:lastRow="0" w:firstColumn="0" w:lastColumn="0" w:oddVBand="0" w:evenVBand="0" w:oddHBand="0" w:evenHBand="0" w:firstRowFirstColumn="0" w:firstRowLastColumn="0" w:lastRowFirstColumn="0" w:lastRowLastColumn="0"/>
            </w:pPr>
            <w:r>
              <w:t>2017</w:t>
            </w:r>
          </w:p>
        </w:tc>
        <w:tc>
          <w:tcPr>
            <w:tcW w:w="1449" w:type="dxa"/>
          </w:tcPr>
          <w:p w:rsidR="008F6177" w:rsidRPr="008F6177" w:rsidRDefault="008F6177" w:rsidP="008F6177">
            <w:pPr>
              <w:cnfStyle w:val="100000000000" w:firstRow="1" w:lastRow="0" w:firstColumn="0" w:lastColumn="0" w:oddVBand="0" w:evenVBand="0" w:oddHBand="0" w:evenHBand="0" w:firstRowFirstColumn="0" w:firstRowLastColumn="0" w:lastRowFirstColumn="0" w:lastRowLastColumn="0"/>
            </w:pPr>
            <w:r>
              <w:t>2018</w:t>
            </w:r>
          </w:p>
        </w:tc>
        <w:tc>
          <w:tcPr>
            <w:tcW w:w="1449" w:type="dxa"/>
          </w:tcPr>
          <w:p w:rsidR="008F6177" w:rsidRPr="008F6177" w:rsidRDefault="008F6177" w:rsidP="008F6177">
            <w:pPr>
              <w:cnfStyle w:val="100000000000" w:firstRow="1" w:lastRow="0" w:firstColumn="0" w:lastColumn="0" w:oddVBand="0" w:evenVBand="0" w:oddHBand="0" w:evenHBand="0" w:firstRowFirstColumn="0" w:firstRowLastColumn="0" w:lastRowFirstColumn="0" w:lastRowLastColumn="0"/>
            </w:pPr>
            <w:r>
              <w:t>2019</w:t>
            </w:r>
          </w:p>
        </w:tc>
        <w:tc>
          <w:tcPr>
            <w:tcW w:w="1449" w:type="dxa"/>
          </w:tcPr>
          <w:p w:rsidR="008F6177" w:rsidRPr="008F6177" w:rsidRDefault="008F6177" w:rsidP="008F6177">
            <w:pPr>
              <w:cnfStyle w:val="100000000000" w:firstRow="1" w:lastRow="0" w:firstColumn="0" w:lastColumn="0" w:oddVBand="0" w:evenVBand="0" w:oddHBand="0" w:evenHBand="0" w:firstRowFirstColumn="0" w:firstRowLastColumn="0" w:lastRowFirstColumn="0" w:lastRowLastColumn="0"/>
            </w:pPr>
            <w:r>
              <w:t>2020</w:t>
            </w:r>
          </w:p>
        </w:tc>
      </w:tr>
      <w:tr w:rsidR="008F6177" w:rsidTr="00040612">
        <w:tc>
          <w:tcPr>
            <w:cnfStyle w:val="001000000000" w:firstRow="0" w:lastRow="0" w:firstColumn="1" w:lastColumn="0" w:oddVBand="0" w:evenVBand="0" w:oddHBand="0" w:evenHBand="0" w:firstRowFirstColumn="0" w:firstRowLastColumn="0" w:lastRowFirstColumn="0" w:lastRowLastColumn="0"/>
            <w:tcW w:w="1448" w:type="dxa"/>
          </w:tcPr>
          <w:p w:rsidR="008F6177" w:rsidRPr="008F6177" w:rsidRDefault="008F6177" w:rsidP="008F6177">
            <w:r w:rsidRPr="00B03E41">
              <w:t xml:space="preserve">AusNet </w:t>
            </w:r>
            <w:r w:rsidRPr="008F6177">
              <w:t>Services</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130.19</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127.31</w:t>
            </w:r>
          </w:p>
        </w:tc>
        <w:tc>
          <w:tcPr>
            <w:tcW w:w="1449" w:type="dxa"/>
            <w:vAlign w:val="bottom"/>
          </w:tcPr>
          <w:p w:rsidR="008F6177" w:rsidRPr="008F6177" w:rsidRDefault="005F343A" w:rsidP="005F343A">
            <w:pPr>
              <w:cnfStyle w:val="000000000000" w:firstRow="0" w:lastRow="0" w:firstColumn="0" w:lastColumn="0" w:oddVBand="0" w:evenVBand="0" w:oddHBand="0" w:evenHBand="0" w:firstRowFirstColumn="0" w:firstRowLastColumn="0" w:lastRowFirstColumn="0" w:lastRowLastColumn="0"/>
            </w:pPr>
            <w:r>
              <w:t>23.13</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88.78</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74.19</w:t>
            </w:r>
          </w:p>
        </w:tc>
      </w:tr>
      <w:tr w:rsidR="008F6177" w:rsidTr="000406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8F6177" w:rsidRPr="008F6177" w:rsidRDefault="008F6177" w:rsidP="008F6177">
            <w:r w:rsidRPr="00B03E41">
              <w:t>CitiPower</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100.74</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88.75</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79.19</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81.01</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77.39</w:t>
            </w:r>
          </w:p>
        </w:tc>
      </w:tr>
      <w:tr w:rsidR="008F6177" w:rsidTr="00040612">
        <w:tc>
          <w:tcPr>
            <w:cnfStyle w:val="001000000000" w:firstRow="0" w:lastRow="0" w:firstColumn="1" w:lastColumn="0" w:oddVBand="0" w:evenVBand="0" w:oddHBand="0" w:evenHBand="0" w:firstRowFirstColumn="0" w:firstRowLastColumn="0" w:lastRowFirstColumn="0" w:lastRowLastColumn="0"/>
            <w:tcW w:w="1448" w:type="dxa"/>
          </w:tcPr>
          <w:p w:rsidR="008F6177" w:rsidRPr="008F6177" w:rsidRDefault="008F6177" w:rsidP="008F6177">
            <w:r w:rsidRPr="00B03E41">
              <w:t>Jemena</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134.21</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88.56</w:t>
            </w:r>
          </w:p>
        </w:tc>
        <w:tc>
          <w:tcPr>
            <w:tcW w:w="1449" w:type="dxa"/>
            <w:vAlign w:val="bottom"/>
          </w:tcPr>
          <w:p w:rsidR="008F6177" w:rsidRPr="008F6177" w:rsidRDefault="00EC2F97" w:rsidP="008F6177">
            <w:pPr>
              <w:cnfStyle w:val="000000000000" w:firstRow="0" w:lastRow="0" w:firstColumn="0" w:lastColumn="0" w:oddVBand="0" w:evenVBand="0" w:oddHBand="0" w:evenHBand="0" w:firstRowFirstColumn="0" w:firstRowLastColumn="0" w:lastRowFirstColumn="0" w:lastRowLastColumn="0"/>
            </w:pPr>
            <w:r>
              <w:t>41.66</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91.99</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93.84</w:t>
            </w:r>
          </w:p>
        </w:tc>
      </w:tr>
      <w:tr w:rsidR="008F6177" w:rsidTr="000406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8F6177" w:rsidRPr="008F6177" w:rsidRDefault="008F6177" w:rsidP="008F6177">
            <w:r w:rsidRPr="00B03E41">
              <w:t>Powercor</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100.50</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90.36</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72.48</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80.04</w:t>
            </w:r>
          </w:p>
        </w:tc>
        <w:tc>
          <w:tcPr>
            <w:tcW w:w="1449" w:type="dxa"/>
            <w:vAlign w:val="bottom"/>
          </w:tcPr>
          <w:p w:rsidR="008F6177" w:rsidRPr="008F6177" w:rsidRDefault="008F6177" w:rsidP="008F6177">
            <w:pPr>
              <w:cnfStyle w:val="000000010000" w:firstRow="0" w:lastRow="0" w:firstColumn="0" w:lastColumn="0" w:oddVBand="0" w:evenVBand="0" w:oddHBand="0" w:evenHBand="1" w:firstRowFirstColumn="0" w:firstRowLastColumn="0" w:lastRowFirstColumn="0" w:lastRowLastColumn="0"/>
            </w:pPr>
            <w:r w:rsidRPr="00B03E41">
              <w:t>75.70</w:t>
            </w:r>
          </w:p>
        </w:tc>
      </w:tr>
      <w:tr w:rsidR="008F6177" w:rsidTr="00040612">
        <w:tc>
          <w:tcPr>
            <w:cnfStyle w:val="001000000000" w:firstRow="0" w:lastRow="0" w:firstColumn="1" w:lastColumn="0" w:oddVBand="0" w:evenVBand="0" w:oddHBand="0" w:evenHBand="0" w:firstRowFirstColumn="0" w:firstRowLastColumn="0" w:lastRowFirstColumn="0" w:lastRowLastColumn="0"/>
            <w:tcW w:w="1448" w:type="dxa"/>
          </w:tcPr>
          <w:p w:rsidR="008F6177" w:rsidRPr="008F6177" w:rsidRDefault="008F6177" w:rsidP="008F6177">
            <w:r w:rsidRPr="00B03E41">
              <w:t>United Energy</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93.23</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65.52</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57.08</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60.07</w:t>
            </w:r>
          </w:p>
        </w:tc>
        <w:tc>
          <w:tcPr>
            <w:tcW w:w="1449" w:type="dxa"/>
            <w:vAlign w:val="bottom"/>
          </w:tcPr>
          <w:p w:rsidR="008F6177" w:rsidRPr="008F6177" w:rsidRDefault="008F6177" w:rsidP="008F6177">
            <w:pPr>
              <w:cnfStyle w:val="000000000000" w:firstRow="0" w:lastRow="0" w:firstColumn="0" w:lastColumn="0" w:oddVBand="0" w:evenVBand="0" w:oddHBand="0" w:evenHBand="0" w:firstRowFirstColumn="0" w:firstRowLastColumn="0" w:lastRowFirstColumn="0" w:lastRowLastColumn="0"/>
            </w:pPr>
            <w:r w:rsidRPr="00B03E41">
              <w:t>57.57</w:t>
            </w:r>
          </w:p>
        </w:tc>
      </w:tr>
    </w:tbl>
    <w:p w:rsidR="008F6177" w:rsidRPr="008F6177" w:rsidRDefault="008F6177" w:rsidP="006D4FD9">
      <w:pPr>
        <w:pStyle w:val="AERtablesource"/>
      </w:pPr>
      <w:r w:rsidRPr="008F6177">
        <w:rPr>
          <w:rStyle w:val="AERbody"/>
          <w:sz w:val="16"/>
        </w:rPr>
        <w:t>Source: AER analysis.</w:t>
      </w:r>
    </w:p>
    <w:p w:rsidR="00852B11" w:rsidRDefault="00852B11" w:rsidP="00852B11">
      <w:pPr>
        <w:pStyle w:val="HeadingBoldItalic"/>
      </w:pPr>
      <w:r>
        <w:t>Invitation for submissions</w:t>
      </w:r>
    </w:p>
    <w:p w:rsidR="00852B11" w:rsidRDefault="00852B11" w:rsidP="00852B11">
      <w:r w:rsidRPr="00592A78">
        <w:t xml:space="preserve">We are seeking submissions from interested parties in relation to </w:t>
      </w:r>
      <w:r w:rsidR="00712539">
        <w:t>this</w:t>
      </w:r>
      <w:r w:rsidR="005654C0">
        <w:t xml:space="preserve"> draft decision on the five Victorian electricity distributors' Transition Charges Applications</w:t>
      </w:r>
      <w:r w:rsidRPr="00592A78">
        <w:t xml:space="preserve">. Submissions on </w:t>
      </w:r>
      <w:r w:rsidR="00021C36">
        <w:t xml:space="preserve">our draft decision close </w:t>
      </w:r>
      <w:r w:rsidR="00E21CDF">
        <w:t xml:space="preserve">2 November </w:t>
      </w:r>
      <w:r w:rsidR="00984E7F">
        <w:t>2016</w:t>
      </w:r>
      <w:r w:rsidRPr="00592A78">
        <w:t>.</w:t>
      </w:r>
    </w:p>
    <w:p w:rsidR="0000676A" w:rsidRPr="00592A78" w:rsidRDefault="0000676A" w:rsidP="00852B11">
      <w:r>
        <w:t>We note that we have taken into</w:t>
      </w:r>
      <w:r w:rsidR="009C680D">
        <w:t xml:space="preserve"> account a</w:t>
      </w:r>
      <w:r>
        <w:t xml:space="preserve"> late submission received from the Victorian Government</w:t>
      </w:r>
      <w:r w:rsidR="009C680D">
        <w:rPr>
          <w:rStyle w:val="FootnoteReference"/>
        </w:rPr>
        <w:footnoteReference w:id="10"/>
      </w:r>
      <w:r>
        <w:t xml:space="preserve"> to the extent possible given our timeframe for this draft decision. In addition to inviting comment on our draft decision, we seek comment on the Victorian Government's submission also as we </w:t>
      </w:r>
      <w:r w:rsidR="003B2B38">
        <w:t>will be able to fully take this submission and any responses to it into account</w:t>
      </w:r>
      <w:r>
        <w:t xml:space="preserve"> when making our final decision. </w:t>
      </w:r>
    </w:p>
    <w:p w:rsidR="00852B11" w:rsidRPr="00592A78" w:rsidRDefault="00852B11" w:rsidP="00852B11">
      <w:r w:rsidRPr="00592A78">
        <w:t>We prefer that all written submissions be publicly available to facilitate an informed and transparent consultative process. Submissions will be treated as public documents unless otherwise requested. Parties wishing to submit confidential information are asked to pr</w:t>
      </w:r>
      <w:r w:rsidR="00E21CDF">
        <w:t>ovide both confidential and non–</w:t>
      </w:r>
      <w:r w:rsidRPr="00592A78">
        <w:t>confidential versio</w:t>
      </w:r>
      <w:r w:rsidR="00E21CDF">
        <w:t>ns of their submission. All non–</w:t>
      </w:r>
      <w:r w:rsidRPr="00592A78">
        <w:t xml:space="preserve">confidential submissions will be placed on our website </w:t>
      </w:r>
      <w:hyperlink r:id="rId15" w:history="1">
        <w:r w:rsidRPr="00592A78">
          <w:rPr>
            <w:rStyle w:val="Hyperlink"/>
          </w:rPr>
          <w:t>www.aer.gov.au</w:t>
        </w:r>
      </w:hyperlink>
      <w:r w:rsidRPr="00592A78">
        <w:t xml:space="preserve">. </w:t>
      </w:r>
    </w:p>
    <w:p w:rsidR="00852B11" w:rsidRPr="00592A78" w:rsidRDefault="00852B11" w:rsidP="00852B11">
      <w:r w:rsidRPr="00592A78">
        <w:t>We will treat all information and documents provided to us as part of this process in accordance with the ACCC/AER’s Information Policy</w:t>
      </w:r>
      <w:r>
        <w:t xml:space="preserve"> (June 2014)</w:t>
      </w:r>
      <w:r w:rsidRPr="00592A78">
        <w:t>, which is available on our website.</w:t>
      </w:r>
    </w:p>
    <w:p w:rsidR="00852B11" w:rsidRPr="00592A78" w:rsidRDefault="00852B11" w:rsidP="00852B11">
      <w:r w:rsidRPr="00592A78">
        <w:t>Submissions can be sent electronically to</w:t>
      </w:r>
      <w:r w:rsidR="00021C36">
        <w:t xml:space="preserve"> </w:t>
      </w:r>
      <w:hyperlink r:id="rId16" w:history="1">
        <w:r w:rsidR="00021C36" w:rsidRPr="0049503D">
          <w:rPr>
            <w:rStyle w:val="Hyperlink"/>
          </w:rPr>
          <w:t>AERInquiry@gov.au</w:t>
        </w:r>
      </w:hyperlink>
      <w:r w:rsidR="00021C36">
        <w:t>.</w:t>
      </w:r>
      <w:r>
        <w:t xml:space="preserve"> </w:t>
      </w:r>
    </w:p>
    <w:p w:rsidR="00852B11" w:rsidRDefault="00852B11" w:rsidP="00852B11">
      <w:r w:rsidRPr="00592A78">
        <w:t>Alternatively, they can be sent to:</w:t>
      </w:r>
    </w:p>
    <w:p w:rsidR="00852B11" w:rsidRPr="00592A78" w:rsidRDefault="00852B11" w:rsidP="00852B11">
      <w:pPr>
        <w:pStyle w:val="NoSpacing"/>
      </w:pPr>
    </w:p>
    <w:p w:rsidR="00852B11" w:rsidRPr="00592A78" w:rsidRDefault="00852B11" w:rsidP="00852B11">
      <w:pPr>
        <w:pStyle w:val="NoSpacing"/>
      </w:pPr>
      <w:r w:rsidRPr="00592A78">
        <w:t xml:space="preserve">Mr </w:t>
      </w:r>
      <w:r w:rsidR="005654C0">
        <w:t>Chris Pattas</w:t>
      </w:r>
    </w:p>
    <w:p w:rsidR="00852B11" w:rsidRPr="00592A78" w:rsidRDefault="00852B11" w:rsidP="00852B11">
      <w:pPr>
        <w:pStyle w:val="NoSpacing"/>
      </w:pPr>
      <w:r w:rsidRPr="00592A78">
        <w:t>General Manager</w:t>
      </w:r>
    </w:p>
    <w:p w:rsidR="00852B11" w:rsidRPr="00592A78" w:rsidRDefault="00852B11" w:rsidP="00852B11">
      <w:pPr>
        <w:pStyle w:val="NoSpacing"/>
      </w:pPr>
      <w:r w:rsidRPr="00592A78">
        <w:t>Network</w:t>
      </w:r>
      <w:r w:rsidR="009F4965">
        <w:t>s</w:t>
      </w:r>
      <w:r w:rsidRPr="00592A78">
        <w:t xml:space="preserve"> </w:t>
      </w:r>
    </w:p>
    <w:p w:rsidR="00852B11" w:rsidRPr="00592A78" w:rsidRDefault="00852B11" w:rsidP="00852B11">
      <w:pPr>
        <w:pStyle w:val="NoSpacing"/>
      </w:pPr>
      <w:r w:rsidRPr="00592A78">
        <w:t>Australian Energy Regulator</w:t>
      </w:r>
    </w:p>
    <w:p w:rsidR="00852B11" w:rsidRPr="00592A78" w:rsidRDefault="00852B11" w:rsidP="00852B11">
      <w:pPr>
        <w:pStyle w:val="NoSpacing"/>
      </w:pPr>
      <w:r w:rsidRPr="00592A78">
        <w:t>GPO Box 520</w:t>
      </w:r>
    </w:p>
    <w:p w:rsidR="00852B11" w:rsidRPr="00592A78" w:rsidRDefault="00852B11" w:rsidP="00852B11">
      <w:pPr>
        <w:pStyle w:val="NoSpacing"/>
      </w:pPr>
      <w:r w:rsidRPr="00592A78">
        <w:t>Canberra ACT 2601</w:t>
      </w:r>
    </w:p>
    <w:p w:rsidR="00EF022B" w:rsidRDefault="00852B11" w:rsidP="00852B11">
      <w:r w:rsidRPr="00592A78">
        <w:t>Inquiries on this matter should be directed to the Network Regulation Branch (Melbourne office) of the AER on 03 9290 1444.</w:t>
      </w:r>
    </w:p>
    <w:p w:rsidR="003138E3" w:rsidRDefault="003138E3" w:rsidP="003138E3">
      <w:pPr>
        <w:pStyle w:val="Caption"/>
        <w:rPr>
          <w:rStyle w:val="AERbody"/>
        </w:rPr>
      </w:pPr>
      <w:bookmarkStart w:id="13" w:name="_Ref452997926"/>
      <w:r>
        <w:t xml:space="preserve">Table </w:t>
      </w:r>
      <w:r w:rsidR="004F0568">
        <w:fldChar w:fldCharType="begin"/>
      </w:r>
      <w:r w:rsidR="004F0568">
        <w:instrText xml:space="preserve"> STYLEREF 1 \s </w:instrText>
      </w:r>
      <w:r w:rsidR="004F0568">
        <w:fldChar w:fldCharType="separate"/>
      </w:r>
      <w:r w:rsidR="003C3A1D">
        <w:rPr>
          <w:noProof/>
        </w:rPr>
        <w:t>1</w:t>
      </w:r>
      <w:r w:rsidR="004F0568">
        <w:rPr>
          <w:noProof/>
        </w:rPr>
        <w:fldChar w:fldCharType="end"/>
      </w:r>
      <w:r w:rsidR="00696CDC">
        <w:t>.</w:t>
      </w:r>
      <w:fldSimple w:instr=" SEQ Table \* ARABIC \s 1 ">
        <w:r w:rsidR="003C3A1D">
          <w:rPr>
            <w:noProof/>
          </w:rPr>
          <w:t>3</w:t>
        </w:r>
      </w:fldSimple>
      <w:bookmarkEnd w:id="13"/>
      <w:r>
        <w:tab/>
      </w:r>
      <w:r w:rsidR="00712539">
        <w:t>Timetable</w:t>
      </w:r>
      <w:r>
        <w:t xml:space="preserve"> for transitional charge determination</w:t>
      </w:r>
    </w:p>
    <w:tbl>
      <w:tblPr>
        <w:tblStyle w:val="AERtable-text1"/>
        <w:tblW w:w="0" w:type="auto"/>
        <w:tblInd w:w="0" w:type="dxa"/>
        <w:tblLook w:val="04A0" w:firstRow="1" w:lastRow="0" w:firstColumn="1" w:lastColumn="0" w:noHBand="0" w:noVBand="1"/>
      </w:tblPr>
      <w:tblGrid>
        <w:gridCol w:w="4349"/>
        <w:gridCol w:w="4344"/>
      </w:tblGrid>
      <w:tr w:rsidR="003138E3" w:rsidTr="00712539">
        <w:trPr>
          <w:cnfStyle w:val="100000000000" w:firstRow="1" w:lastRow="0" w:firstColumn="0" w:lastColumn="0" w:oddVBand="0" w:evenVBand="0" w:oddHBand="0" w:evenHBand="0" w:firstRowFirstColumn="0" w:firstRowLastColumn="0" w:lastRowFirstColumn="0" w:lastRowLastColumn="0"/>
        </w:trPr>
        <w:tc>
          <w:tcPr>
            <w:tcW w:w="4349" w:type="dxa"/>
          </w:tcPr>
          <w:p w:rsidR="003138E3" w:rsidRPr="00E92408" w:rsidRDefault="003138E3" w:rsidP="003138E3"/>
        </w:tc>
        <w:tc>
          <w:tcPr>
            <w:tcW w:w="4344" w:type="dxa"/>
          </w:tcPr>
          <w:p w:rsidR="003138E3" w:rsidRPr="00E92408" w:rsidRDefault="003138E3" w:rsidP="003138E3"/>
        </w:tc>
      </w:tr>
      <w:tr w:rsidR="003138E3" w:rsidTr="00712539">
        <w:tc>
          <w:tcPr>
            <w:tcW w:w="4349" w:type="dxa"/>
          </w:tcPr>
          <w:p w:rsidR="003138E3" w:rsidRPr="003138E3" w:rsidRDefault="003138E3" w:rsidP="003138E3">
            <w:r w:rsidRPr="00E92408">
              <w:t>Submission on applications close</w:t>
            </w:r>
            <w:r w:rsidR="00712539">
              <w:t>d</w:t>
            </w:r>
          </w:p>
        </w:tc>
        <w:tc>
          <w:tcPr>
            <w:tcW w:w="4344" w:type="dxa"/>
          </w:tcPr>
          <w:p w:rsidR="003138E3" w:rsidRPr="003138E3" w:rsidRDefault="003138E3" w:rsidP="003138E3">
            <w:r w:rsidRPr="00E92408">
              <w:t>19 July 2016</w:t>
            </w:r>
          </w:p>
        </w:tc>
      </w:tr>
      <w:tr w:rsidR="003138E3" w:rsidTr="00712539">
        <w:trPr>
          <w:cnfStyle w:val="000000010000" w:firstRow="0" w:lastRow="0" w:firstColumn="0" w:lastColumn="0" w:oddVBand="0" w:evenVBand="0" w:oddHBand="0" w:evenHBand="1" w:firstRowFirstColumn="0" w:firstRowLastColumn="0" w:lastRowFirstColumn="0" w:lastRowLastColumn="0"/>
        </w:trPr>
        <w:tc>
          <w:tcPr>
            <w:tcW w:w="4349" w:type="dxa"/>
          </w:tcPr>
          <w:p w:rsidR="003138E3" w:rsidRPr="003138E3" w:rsidRDefault="003138E3" w:rsidP="003138E3">
            <w:r w:rsidRPr="00E92408">
              <w:t>AER draft decision</w:t>
            </w:r>
          </w:p>
        </w:tc>
        <w:tc>
          <w:tcPr>
            <w:tcW w:w="4344" w:type="dxa"/>
          </w:tcPr>
          <w:p w:rsidR="003138E3" w:rsidRPr="003138E3" w:rsidRDefault="00E21CDF" w:rsidP="003138E3">
            <w:r>
              <w:t>20 September</w:t>
            </w:r>
            <w:r w:rsidR="00BD397E">
              <w:t xml:space="preserve"> </w:t>
            </w:r>
            <w:r w:rsidR="003138E3" w:rsidRPr="00E92408">
              <w:t xml:space="preserve"> 2016</w:t>
            </w:r>
          </w:p>
        </w:tc>
      </w:tr>
      <w:tr w:rsidR="003138E3" w:rsidTr="00712539">
        <w:tc>
          <w:tcPr>
            <w:tcW w:w="4349" w:type="dxa"/>
          </w:tcPr>
          <w:p w:rsidR="003138E3" w:rsidRPr="003138E3" w:rsidRDefault="003138E3" w:rsidP="003138E3">
            <w:r w:rsidRPr="00E92408">
              <w:t>Submission on AER draft decision close</w:t>
            </w:r>
          </w:p>
        </w:tc>
        <w:tc>
          <w:tcPr>
            <w:tcW w:w="4344" w:type="dxa"/>
          </w:tcPr>
          <w:p w:rsidR="003138E3" w:rsidRPr="003138E3" w:rsidRDefault="00E21CDF" w:rsidP="003138E3">
            <w:r>
              <w:t>2 November</w:t>
            </w:r>
            <w:r w:rsidR="003138E3" w:rsidRPr="00E92408">
              <w:t xml:space="preserve"> 2016</w:t>
            </w:r>
          </w:p>
        </w:tc>
      </w:tr>
      <w:tr w:rsidR="003138E3" w:rsidTr="00712539">
        <w:trPr>
          <w:cnfStyle w:val="000000010000" w:firstRow="0" w:lastRow="0" w:firstColumn="0" w:lastColumn="0" w:oddVBand="0" w:evenVBand="0" w:oddHBand="0" w:evenHBand="1" w:firstRowFirstColumn="0" w:firstRowLastColumn="0" w:lastRowFirstColumn="0" w:lastRowLastColumn="0"/>
        </w:trPr>
        <w:tc>
          <w:tcPr>
            <w:tcW w:w="4349" w:type="dxa"/>
          </w:tcPr>
          <w:p w:rsidR="003138E3" w:rsidRPr="003138E3" w:rsidRDefault="003138E3" w:rsidP="003138E3">
            <w:r w:rsidRPr="00E92408">
              <w:t>AER final decision</w:t>
            </w:r>
          </w:p>
        </w:tc>
        <w:tc>
          <w:tcPr>
            <w:tcW w:w="4344" w:type="dxa"/>
          </w:tcPr>
          <w:p w:rsidR="003138E3" w:rsidRPr="003138E3" w:rsidRDefault="00BD397E" w:rsidP="003138E3">
            <w:r>
              <w:t>16 December</w:t>
            </w:r>
            <w:r w:rsidR="003138E3" w:rsidRPr="00E92408">
              <w:t xml:space="preserve"> 2016</w:t>
            </w:r>
          </w:p>
        </w:tc>
      </w:tr>
    </w:tbl>
    <w:p w:rsidR="003138E3" w:rsidRDefault="003138E3" w:rsidP="003138E3">
      <w:pPr>
        <w:numPr>
          <w:ilvl w:val="0"/>
          <w:numId w:val="25"/>
        </w:numPr>
      </w:pPr>
    </w:p>
    <w:p w:rsidR="003138E3" w:rsidRPr="00852B11" w:rsidRDefault="003138E3" w:rsidP="00852B11"/>
    <w:p w:rsidR="00093F95" w:rsidRDefault="00093F95" w:rsidP="00093F95">
      <w:pPr>
        <w:pStyle w:val="Heading1"/>
      </w:pPr>
      <w:bookmarkStart w:id="14" w:name="_Ref453083889"/>
      <w:bookmarkStart w:id="15" w:name="_Toc461526254"/>
      <w:r>
        <w:t>Background</w:t>
      </w:r>
      <w:bookmarkEnd w:id="14"/>
      <w:bookmarkEnd w:id="15"/>
    </w:p>
    <w:p w:rsidR="00693E11" w:rsidRDefault="00055F7E" w:rsidP="006711D8">
      <w:r>
        <w:t>In 2006, the Victorian Governmen</w:t>
      </w:r>
      <w:r w:rsidR="005E221A">
        <w:t xml:space="preserve">t mandated the roll–out of AMI </w:t>
      </w:r>
      <w:r w:rsidR="00F11613">
        <w:t>for all customers consuming less than 160 MWh per annum.</w:t>
      </w:r>
      <w:r w:rsidR="00693E11">
        <w:t xml:space="preserve"> </w:t>
      </w:r>
      <w:r w:rsidR="005E221A">
        <w:t>This involved the replacement of</w:t>
      </w:r>
      <w:r w:rsidR="00693E11">
        <w:t xml:space="preserve"> manually read meter</w:t>
      </w:r>
      <w:r w:rsidR="000B776C">
        <w:t>s</w:t>
      </w:r>
      <w:r w:rsidR="00693E11">
        <w:t xml:space="preserve"> with </w:t>
      </w:r>
      <w:r w:rsidR="005E221A">
        <w:t>'</w:t>
      </w:r>
      <w:r w:rsidR="00693E11">
        <w:t>smart meter</w:t>
      </w:r>
      <w:r w:rsidR="005E221A">
        <w:t xml:space="preserve">' </w:t>
      </w:r>
      <w:r w:rsidR="000B776C">
        <w:t>technology</w:t>
      </w:r>
      <w:r w:rsidR="005E221A">
        <w:t xml:space="preserve"> that allows for the remote communication</w:t>
      </w:r>
      <w:r w:rsidR="00693E11">
        <w:t xml:space="preserve"> </w:t>
      </w:r>
      <w:r w:rsidR="006264EF">
        <w:t xml:space="preserve">of </w:t>
      </w:r>
      <w:r w:rsidR="00693E11">
        <w:t>a customer's half–hourly consumption data to an electricity distributor.</w:t>
      </w:r>
    </w:p>
    <w:p w:rsidR="00F5445F" w:rsidRDefault="00E95FAA" w:rsidP="00F5445F">
      <w:pPr>
        <w:pStyle w:val="HeadingBoldItalic"/>
      </w:pPr>
      <w:r>
        <w:t>AMI roll–out</w:t>
      </w:r>
    </w:p>
    <w:p w:rsidR="00546A52" w:rsidRDefault="00F5445F" w:rsidP="00F5445F">
      <w:r>
        <w:t xml:space="preserve">The regulatory arrangements relating to the AMI roll–out in Victoria were initially set out in an August 2007 Order made under the </w:t>
      </w:r>
      <w:r w:rsidRPr="00693E11">
        <w:rPr>
          <w:rStyle w:val="AERtextitalic"/>
        </w:rPr>
        <w:t>Electricity Industry Act 2000</w:t>
      </w:r>
      <w:r>
        <w:t xml:space="preserve"> (Vic). </w:t>
      </w:r>
      <w:r w:rsidR="00AD272E">
        <w:t xml:space="preserve"> </w:t>
      </w:r>
    </w:p>
    <w:p w:rsidR="00A27F5C" w:rsidRDefault="00546A52" w:rsidP="00F5445F">
      <w:r>
        <w:t xml:space="preserve">The </w:t>
      </w:r>
      <w:r w:rsidR="004279A4">
        <w:t xml:space="preserve">Order </w:t>
      </w:r>
      <w:r w:rsidR="000B776C">
        <w:t>adopts</w:t>
      </w:r>
      <w:r>
        <w:t xml:space="preserve"> a 'cost pass through'</w:t>
      </w:r>
      <w:r w:rsidR="000B776C">
        <w:t xml:space="preserve"> regulatory</w:t>
      </w:r>
      <w:r>
        <w:t xml:space="preserve"> model. </w:t>
      </w:r>
      <w:r w:rsidR="00A27F5C">
        <w:t>Under this model, the recovery of costs incurred in relation to the AMI roll–out involves the following three processes:</w:t>
      </w:r>
    </w:p>
    <w:p w:rsidR="00A27F5C" w:rsidRDefault="00546A52" w:rsidP="00F5445F">
      <w:pPr>
        <w:pStyle w:val="ListNumber"/>
      </w:pPr>
      <w:r>
        <w:t xml:space="preserve">setting </w:t>
      </w:r>
      <w:r w:rsidR="00A27F5C">
        <w:t xml:space="preserve">AMI </w:t>
      </w:r>
      <w:r>
        <w:t xml:space="preserve">budgets at the beginning of </w:t>
      </w:r>
      <w:r w:rsidR="00E11544">
        <w:t>a</w:t>
      </w:r>
      <w:r w:rsidR="00A27F5C">
        <w:t xml:space="preserve"> period</w:t>
      </w:r>
      <w:r w:rsidR="00FA4835">
        <w:rPr>
          <w:rStyle w:val="FootnoteReference"/>
        </w:rPr>
        <w:footnoteReference w:id="11"/>
      </w:r>
    </w:p>
    <w:p w:rsidR="00A27F5C" w:rsidRDefault="00F35322" w:rsidP="00F5445F">
      <w:pPr>
        <w:pStyle w:val="ListNumber"/>
      </w:pPr>
      <w:r>
        <w:t>making determinations on revised charges that update for actual expenditure</w:t>
      </w:r>
      <w:r w:rsidR="00FA4835">
        <w:rPr>
          <w:rStyle w:val="FootnoteReference"/>
        </w:rPr>
        <w:footnoteReference w:id="12"/>
      </w:r>
    </w:p>
    <w:p w:rsidR="00750EC0" w:rsidRDefault="00A27F5C" w:rsidP="00F5445F">
      <w:pPr>
        <w:pStyle w:val="ListNumber"/>
      </w:pPr>
      <w:r>
        <w:t xml:space="preserve">the approval of </w:t>
      </w:r>
      <w:r w:rsidR="007221BC">
        <w:t xml:space="preserve">a </w:t>
      </w:r>
      <w:r>
        <w:t>transition charge</w:t>
      </w:r>
      <w:r w:rsidR="007221BC">
        <w:t xml:space="preserve"> </w:t>
      </w:r>
      <w:r>
        <w:t>that correct</w:t>
      </w:r>
      <w:r w:rsidR="007221BC">
        <w:t>s</w:t>
      </w:r>
      <w:r>
        <w:t xml:space="preserve"> for the difference between costs and revenues</w:t>
      </w:r>
      <w:r w:rsidR="006264EF">
        <w:t xml:space="preserve"> </w:t>
      </w:r>
      <w:r w:rsidR="000C06DC">
        <w:t>over the entirety of the 2009–15 period</w:t>
      </w:r>
      <w:r w:rsidR="008C04D0">
        <w:t xml:space="preserve"> and which includes an assessment of any excess expenditure for the last two years of the rollout, 2014 and 2015</w:t>
      </w:r>
      <w:r>
        <w:t>.</w:t>
      </w:r>
      <w:r w:rsidR="007E77BF">
        <w:rPr>
          <w:rStyle w:val="FootnoteReference"/>
        </w:rPr>
        <w:footnoteReference w:id="13"/>
      </w:r>
    </w:p>
    <w:p w:rsidR="000C06DC" w:rsidRDefault="000C06DC" w:rsidP="000C06DC">
      <w:pPr>
        <w:pStyle w:val="ListNumber"/>
        <w:numPr>
          <w:ilvl w:val="0"/>
          <w:numId w:val="0"/>
        </w:numPr>
      </w:pPr>
      <w:r>
        <w:t>This draft decision relates to the third process of the cost pass through</w:t>
      </w:r>
      <w:r w:rsidR="00FE5473">
        <w:t xml:space="preserve"> model</w:t>
      </w:r>
      <w:r>
        <w:t>. In making this draft decis</w:t>
      </w:r>
      <w:r w:rsidR="00F97143">
        <w:t>ion, we are nonetheless required to</w:t>
      </w:r>
      <w:r>
        <w:t xml:space="preserve"> consider past AMI budget and revised charges determinations. </w:t>
      </w:r>
    </w:p>
    <w:p w:rsidR="005C628A" w:rsidRPr="00E95FAA" w:rsidRDefault="00404FE2" w:rsidP="00E95FAA">
      <w:pPr>
        <w:rPr>
          <w:rStyle w:val="Strong"/>
        </w:rPr>
      </w:pPr>
      <w:r w:rsidRPr="00E95FAA">
        <w:rPr>
          <w:rStyle w:val="Strong"/>
        </w:rPr>
        <w:t>AMI budge</w:t>
      </w:r>
      <w:r w:rsidR="00E95FAA" w:rsidRPr="00E95FAA">
        <w:rPr>
          <w:rStyle w:val="Strong"/>
        </w:rPr>
        <w:t>t</w:t>
      </w:r>
      <w:r w:rsidRPr="00E95FAA">
        <w:rPr>
          <w:rStyle w:val="Strong"/>
        </w:rPr>
        <w:t xml:space="preserve"> determinations</w:t>
      </w:r>
    </w:p>
    <w:p w:rsidR="00F402FA" w:rsidRDefault="00750EC0" w:rsidP="006711D8">
      <w:r>
        <w:t>We set budgets</w:t>
      </w:r>
      <w:r w:rsidR="005C628A">
        <w:t xml:space="preserve"> </w:t>
      </w:r>
      <w:r>
        <w:t>for two separate periods</w:t>
      </w:r>
      <w:r w:rsidR="00E15BFA">
        <w:t xml:space="preserve">. </w:t>
      </w:r>
    </w:p>
    <w:p w:rsidR="005C628A" w:rsidRDefault="00E15BFA" w:rsidP="006711D8">
      <w:r>
        <w:t>The first</w:t>
      </w:r>
      <w:r w:rsidR="00F402FA">
        <w:t>, published in October 2009,</w:t>
      </w:r>
      <w:r>
        <w:t xml:space="preserve"> </w:t>
      </w:r>
      <w:r w:rsidR="005C628A">
        <w:t>ap</w:t>
      </w:r>
      <w:r w:rsidR="00750EC0">
        <w:t>plied from 1 January 2009 to 31 </w:t>
      </w:r>
      <w:r w:rsidR="005C628A">
        <w:t>December 2011</w:t>
      </w:r>
      <w:r>
        <w:t xml:space="preserve"> (2009–11 Approved Budget)</w:t>
      </w:r>
      <w:r w:rsidR="005C628A">
        <w:t>.</w:t>
      </w:r>
      <w:r w:rsidR="001B380B">
        <w:t xml:space="preserve"> </w:t>
      </w:r>
      <w:r>
        <w:t>The</w:t>
      </w:r>
      <w:r w:rsidR="001B380B">
        <w:t xml:space="preserve"> second</w:t>
      </w:r>
      <w:r w:rsidR="00F402FA">
        <w:t>, published in October 2011,</w:t>
      </w:r>
      <w:r w:rsidR="001B380B">
        <w:t xml:space="preserve"> </w:t>
      </w:r>
      <w:r>
        <w:t>applied from 1 January 2012 to 31 </w:t>
      </w:r>
      <w:r w:rsidR="001B380B">
        <w:t>December 2015</w:t>
      </w:r>
      <w:r>
        <w:t xml:space="preserve"> (2012–15 Approved Budget)</w:t>
      </w:r>
      <w:r w:rsidR="001B380B">
        <w:t>.</w:t>
      </w:r>
    </w:p>
    <w:p w:rsidR="006264EF" w:rsidRPr="006264EF" w:rsidRDefault="006264EF" w:rsidP="00750EC0">
      <w:pPr>
        <w:rPr>
          <w:rStyle w:val="Strong"/>
          <w:b w:val="0"/>
          <w:bCs w:val="0"/>
        </w:rPr>
      </w:pPr>
      <w:r w:rsidRPr="006264EF">
        <w:t xml:space="preserve">The framework under the Order in respect of the two budget periods was similar. It required the Victorian electricity distributors to provide a budget </w:t>
      </w:r>
      <w:r w:rsidR="00D87322">
        <w:t>for the AMI roll–</w:t>
      </w:r>
      <w:r w:rsidR="009F4965">
        <w:t xml:space="preserve">out and operation </w:t>
      </w:r>
      <w:r w:rsidRPr="006264EF">
        <w:t>as part of its budget application to us.</w:t>
      </w:r>
      <w:r w:rsidR="00FA4835">
        <w:rPr>
          <w:rStyle w:val="FootnoteReference"/>
        </w:rPr>
        <w:footnoteReference w:id="14"/>
      </w:r>
      <w:r w:rsidRPr="006264EF">
        <w:t xml:space="preserve"> We approve</w:t>
      </w:r>
      <w:r w:rsidR="008C04D0">
        <w:t>d</w:t>
      </w:r>
      <w:r w:rsidRPr="006264EF">
        <w:t xml:space="preserve"> that proposed budget unless it could be established that the expenditure was for activities that </w:t>
      </w:r>
      <w:r w:rsidR="00FE5473">
        <w:t>were</w:t>
      </w:r>
      <w:r w:rsidRPr="006264EF">
        <w:t xml:space="preserve"> out of scope or not prudent.</w:t>
      </w:r>
      <w:r w:rsidR="00FA4835">
        <w:rPr>
          <w:rStyle w:val="FootnoteReference"/>
        </w:rPr>
        <w:footnoteReference w:id="15"/>
      </w:r>
      <w:r w:rsidRPr="006264EF">
        <w:t xml:space="preserve"> </w:t>
      </w:r>
    </w:p>
    <w:p w:rsidR="00750EC0" w:rsidRPr="007221BC" w:rsidRDefault="007221BC" w:rsidP="00750EC0">
      <w:pPr>
        <w:rPr>
          <w:rStyle w:val="Strong"/>
        </w:rPr>
      </w:pPr>
      <w:r w:rsidRPr="007221BC">
        <w:rPr>
          <w:rStyle w:val="Strong"/>
        </w:rPr>
        <w:t>Revised charges</w:t>
      </w:r>
    </w:p>
    <w:p w:rsidR="00FE5473" w:rsidRDefault="00FE5473" w:rsidP="005302B0">
      <w:r>
        <w:t>Our approved budgets were updated by revised charges determinations.</w:t>
      </w:r>
    </w:p>
    <w:p w:rsidR="00F402FA" w:rsidRDefault="00F402FA" w:rsidP="00E95FAA">
      <w:r>
        <w:t>The regulatory framework governing the AMI roll–out required us to determine revised charges for the years commencing 1 January 2011, 2013, 2014 and 2015.</w:t>
      </w:r>
      <w:r>
        <w:rPr>
          <w:rStyle w:val="FootnoteReference"/>
        </w:rPr>
        <w:footnoteReference w:id="16"/>
      </w:r>
    </w:p>
    <w:p w:rsidR="007B2A98" w:rsidRDefault="007B2A98" w:rsidP="00E95FAA">
      <w:r>
        <w:t>The setting</w:t>
      </w:r>
      <w:r w:rsidR="004B54E4">
        <w:t xml:space="preserve"> of</w:t>
      </w:r>
      <w:r>
        <w:t xml:space="preserve"> revised charges involved a reconciliation process. </w:t>
      </w:r>
      <w:r w:rsidR="00F402FA">
        <w:t>W</w:t>
      </w:r>
      <w:r>
        <w:t xml:space="preserve">e determined AMI budgets based on </w:t>
      </w:r>
      <w:r w:rsidRPr="007B2A98">
        <w:rPr>
          <w:rStyle w:val="AERtextitalic"/>
        </w:rPr>
        <w:t>forecast</w:t>
      </w:r>
      <w:r>
        <w:t xml:space="preserve"> expenditure. The revised charges adjusted for this by updating for </w:t>
      </w:r>
      <w:r w:rsidRPr="007B2A98">
        <w:rPr>
          <w:rStyle w:val="AERtextitalic"/>
        </w:rPr>
        <w:t>actual</w:t>
      </w:r>
      <w:r>
        <w:t xml:space="preserve"> expenditure. </w:t>
      </w:r>
    </w:p>
    <w:p w:rsidR="004B54E4" w:rsidRDefault="004B54E4" w:rsidP="00E95FAA">
      <w:r>
        <w:t xml:space="preserve">The process for setting revised charges operated </w:t>
      </w:r>
      <w:r w:rsidR="00F402FA">
        <w:t>as follows</w:t>
      </w:r>
      <w:r>
        <w:t xml:space="preserve">. </w:t>
      </w:r>
      <w:r w:rsidR="00F402FA">
        <w:t xml:space="preserve">The </w:t>
      </w:r>
      <w:r w:rsidR="002368F5">
        <w:t>Victorian electricity distributors submit</w:t>
      </w:r>
      <w:r w:rsidR="00F402FA">
        <w:t>ted</w:t>
      </w:r>
      <w:r w:rsidR="002368F5">
        <w:t xml:space="preserve"> </w:t>
      </w:r>
      <w:r>
        <w:t>revised charges applications</w:t>
      </w:r>
      <w:r w:rsidR="002447ED">
        <w:t xml:space="preserve"> for </w:t>
      </w:r>
      <w:r w:rsidR="006005B2">
        <w:t>a</w:t>
      </w:r>
      <w:r w:rsidR="002447ED">
        <w:t xml:space="preserve"> particular year (</w:t>
      </w:r>
      <w:r w:rsidR="00FA4835">
        <w:t>'</w:t>
      </w:r>
      <w:r w:rsidR="002368F5">
        <w:t>year t'</w:t>
      </w:r>
      <w:r w:rsidR="002447ED">
        <w:t>)</w:t>
      </w:r>
      <w:r w:rsidR="002368F5">
        <w:t>.</w:t>
      </w:r>
      <w:r w:rsidR="00E81022">
        <w:rPr>
          <w:rStyle w:val="FootnoteReference"/>
        </w:rPr>
        <w:footnoteReference w:id="17"/>
      </w:r>
      <w:r w:rsidR="002368F5">
        <w:t xml:space="preserve"> These applications </w:t>
      </w:r>
      <w:r w:rsidR="00F402FA">
        <w:t>contained</w:t>
      </w:r>
      <w:r w:rsidR="002368F5">
        <w:t xml:space="preserve"> audited accounts on their actual expenditure in</w:t>
      </w:r>
      <w:r w:rsidR="00E21CDF">
        <w:t>curred in the previous year (t –</w:t>
      </w:r>
      <w:r w:rsidR="002368F5">
        <w:t>1).</w:t>
      </w:r>
      <w:r w:rsidR="00E81022">
        <w:rPr>
          <w:rStyle w:val="FootnoteReference"/>
        </w:rPr>
        <w:footnoteReference w:id="18"/>
      </w:r>
      <w:r w:rsidR="002368F5">
        <w:t xml:space="preserve"> Our role was to consider the applications and make a determination on revised charges that would apply in </w:t>
      </w:r>
      <w:r w:rsidR="002447ED">
        <w:t>the following year (</w:t>
      </w:r>
      <w:r w:rsidR="002368F5">
        <w:t>'year t + 1'</w:t>
      </w:r>
      <w:r w:rsidR="002447ED">
        <w:t>)</w:t>
      </w:r>
      <w:r w:rsidR="002368F5">
        <w:t>.</w:t>
      </w:r>
      <w:r w:rsidR="00E81022">
        <w:rPr>
          <w:rStyle w:val="FootnoteReference"/>
        </w:rPr>
        <w:footnoteReference w:id="19"/>
      </w:r>
      <w:r w:rsidR="002368F5">
        <w:t xml:space="preserve"> </w:t>
      </w:r>
    </w:p>
    <w:p w:rsidR="002368F5" w:rsidRDefault="00B5203A" w:rsidP="00E95FAA">
      <w:r>
        <w:t xml:space="preserve">In making revised charges determinations, we could consider applications for </w:t>
      </w:r>
      <w:r w:rsidR="007273B0">
        <w:t>'</w:t>
      </w:r>
      <w:r>
        <w:t>expenditure excess</w:t>
      </w:r>
      <w:r w:rsidR="007273B0">
        <w:t>'</w:t>
      </w:r>
      <w:r>
        <w:t>.</w:t>
      </w:r>
      <w:r w:rsidR="00E81022">
        <w:rPr>
          <w:rStyle w:val="FootnoteReference"/>
        </w:rPr>
        <w:footnoteReference w:id="20"/>
      </w:r>
      <w:r>
        <w:t xml:space="preserve"> That is, expenditure that has been incurred in excess of the 2009–11 or 2012–15 Approved Budgets. The process for assessing whether excess expenditure should be included in a revised charges determination was set out in the Order.</w:t>
      </w:r>
      <w:r w:rsidR="00E81022">
        <w:rPr>
          <w:rStyle w:val="FootnoteReference"/>
        </w:rPr>
        <w:footnoteReference w:id="21"/>
      </w:r>
      <w:r>
        <w:t xml:space="preserve"> Broadly, it involved considering whether the expenditure was for activities that were within scope and prudent. </w:t>
      </w:r>
    </w:p>
    <w:p w:rsidR="007B2A98" w:rsidRDefault="008C04D0" w:rsidP="00E95FAA">
      <w:r>
        <w:t>T</w:t>
      </w:r>
      <w:r w:rsidR="009F4965">
        <w:t xml:space="preserve">he Order </w:t>
      </w:r>
      <w:r w:rsidR="000E7D8F">
        <w:t xml:space="preserve">also </w:t>
      </w:r>
      <w:r w:rsidR="009F4965">
        <w:t xml:space="preserve">allowed us to defer the assessment </w:t>
      </w:r>
      <w:r w:rsidR="0022175D">
        <w:t xml:space="preserve">of revised charges applications that were due in 2014 and 2015 because the </w:t>
      </w:r>
      <w:r>
        <w:t xml:space="preserve">AER </w:t>
      </w:r>
      <w:r w:rsidR="003E250A">
        <w:t xml:space="preserve">was undertaking a </w:t>
      </w:r>
      <w:r>
        <w:t>revenue determination</w:t>
      </w:r>
      <w:r w:rsidR="003E250A">
        <w:t xml:space="preserve"> review</w:t>
      </w:r>
      <w:r>
        <w:t xml:space="preserve"> under the National Electricity Law </w:t>
      </w:r>
      <w:r w:rsidR="003E250A">
        <w:t xml:space="preserve">and Rules </w:t>
      </w:r>
      <w:r>
        <w:t xml:space="preserve">for each of the </w:t>
      </w:r>
      <w:r w:rsidR="0022175D">
        <w:t>Victorian distribut</w:t>
      </w:r>
      <w:r>
        <w:t>ors</w:t>
      </w:r>
      <w:r w:rsidR="0022175D">
        <w:t xml:space="preserve"> </w:t>
      </w:r>
      <w:r w:rsidR="006D47AE">
        <w:t xml:space="preserve">for </w:t>
      </w:r>
      <w:r w:rsidR="009C1048">
        <w:t xml:space="preserve">the </w:t>
      </w:r>
      <w:r w:rsidR="00E21CDF">
        <w:t>2016–</w:t>
      </w:r>
      <w:r w:rsidR="006D47AE">
        <w:t>2020</w:t>
      </w:r>
      <w:r w:rsidR="003E250A">
        <w:t xml:space="preserve"> period</w:t>
      </w:r>
      <w:r w:rsidR="006D47AE">
        <w:t xml:space="preserve"> </w:t>
      </w:r>
      <w:r>
        <w:t>at this time</w:t>
      </w:r>
      <w:r w:rsidR="003E250A">
        <w:t>,</w:t>
      </w:r>
      <w:r w:rsidR="006D47AE">
        <w:t xml:space="preserve"> with the final decision made by the AER in </w:t>
      </w:r>
      <w:r w:rsidR="003E250A">
        <w:t xml:space="preserve">May </w:t>
      </w:r>
      <w:r w:rsidR="006D47AE">
        <w:t>2016</w:t>
      </w:r>
      <w:r>
        <w:t xml:space="preserve"> (</w:t>
      </w:r>
      <w:r w:rsidR="00E21CDF">
        <w:t>2016–</w:t>
      </w:r>
      <w:r w:rsidR="006D47AE">
        <w:t>2020 distribution determinations</w:t>
      </w:r>
      <w:r>
        <w:t>)</w:t>
      </w:r>
      <w:r w:rsidR="0022175D">
        <w:t>.</w:t>
      </w:r>
      <w:r>
        <w:t xml:space="preserve"> </w:t>
      </w:r>
      <w:r w:rsidR="0022175D">
        <w:t xml:space="preserve"> </w:t>
      </w:r>
      <w:r w:rsidR="000E7D8F">
        <w:t xml:space="preserve">These revenue determinations also </w:t>
      </w:r>
      <w:r w:rsidR="00E21CDF">
        <w:t>set AMI charges over this (2016–</w:t>
      </w:r>
      <w:r w:rsidR="000E7D8F">
        <w:t>20</w:t>
      </w:r>
      <w:r w:rsidR="006D63F1">
        <w:t>20</w:t>
      </w:r>
      <w:r w:rsidR="000E7D8F">
        <w:t xml:space="preserve">) period. </w:t>
      </w:r>
      <w:r w:rsidR="0022175D">
        <w:t xml:space="preserve">As a result, </w:t>
      </w:r>
      <w:r w:rsidR="00B5203A">
        <w:t xml:space="preserve">we did not make </w:t>
      </w:r>
      <w:r w:rsidR="0022175D">
        <w:t xml:space="preserve">AMI </w:t>
      </w:r>
      <w:r w:rsidR="00B5203A">
        <w:t xml:space="preserve">revised charges determinations in 2014 and 2015. </w:t>
      </w:r>
      <w:r w:rsidR="00F402FA">
        <w:t>In t</w:t>
      </w:r>
      <w:r w:rsidR="00B5203A">
        <w:t xml:space="preserve">his draft decision </w:t>
      </w:r>
      <w:r w:rsidR="00F402FA">
        <w:t xml:space="preserve">we </w:t>
      </w:r>
      <w:r w:rsidR="00B5203A">
        <w:t>must therefore consider actual expenditure in those years when considering whether to a</w:t>
      </w:r>
      <w:r w:rsidR="00E81022">
        <w:t xml:space="preserve">pply transition charges </w:t>
      </w:r>
      <w:r w:rsidR="00B5203A">
        <w:t>that true up costs and revenues over the entire 2009–15 period.</w:t>
      </w:r>
    </w:p>
    <w:p w:rsidR="00750EC0" w:rsidRPr="00E95FAA" w:rsidRDefault="00750EC0" w:rsidP="00E95FAA">
      <w:pPr>
        <w:rPr>
          <w:rStyle w:val="Strong"/>
        </w:rPr>
      </w:pPr>
      <w:r w:rsidRPr="00E95FAA">
        <w:rPr>
          <w:rStyle w:val="Strong"/>
        </w:rPr>
        <w:t>Transition charge</w:t>
      </w:r>
    </w:p>
    <w:p w:rsidR="00750EC0" w:rsidRDefault="00750EC0" w:rsidP="00750EC0">
      <w:r>
        <w:t xml:space="preserve">We are required to set transition charges </w:t>
      </w:r>
      <w:r w:rsidR="0068246C">
        <w:t>to be recovered</w:t>
      </w:r>
      <w:r w:rsidR="0068246C" w:rsidRPr="006C1347">
        <w:t xml:space="preserve"> in </w:t>
      </w:r>
      <w:r w:rsidR="0068246C">
        <w:t xml:space="preserve">2017 and in </w:t>
      </w:r>
      <w:r w:rsidR="0068246C" w:rsidRPr="006C1347">
        <w:t>any subsequent years of the 2016–20 regulatory control period.</w:t>
      </w:r>
      <w:r>
        <w:rPr>
          <w:rStyle w:val="FootnoteReference"/>
        </w:rPr>
        <w:footnoteReference w:id="22"/>
      </w:r>
    </w:p>
    <w:p w:rsidR="00750EC0" w:rsidRDefault="00750EC0" w:rsidP="00750EC0">
      <w:pPr>
        <w:pStyle w:val="ListParagraph"/>
        <w:numPr>
          <w:ilvl w:val="0"/>
          <w:numId w:val="25"/>
        </w:numPr>
      </w:pPr>
      <w:r w:rsidRPr="00317D44">
        <w:t xml:space="preserve">The amount to be recovered through </w:t>
      </w:r>
      <w:r>
        <w:t>a</w:t>
      </w:r>
      <w:r w:rsidRPr="00317D44">
        <w:t xml:space="preserve"> transition charge is</w:t>
      </w:r>
      <w:r>
        <w:t>:</w:t>
      </w:r>
    </w:p>
    <w:p w:rsidR="00750EC0" w:rsidRDefault="00750EC0" w:rsidP="00750EC0">
      <w:pPr>
        <w:pStyle w:val="AERquote"/>
      </w:pPr>
      <w:r>
        <w:t xml:space="preserve">the </w:t>
      </w:r>
      <w:r w:rsidRPr="00317D44">
        <w:t>difference between the future value in 2017</w:t>
      </w:r>
      <w:r w:rsidR="00E21CDF">
        <w:t xml:space="preserve"> (or 2018)</w:t>
      </w:r>
      <w:r w:rsidRPr="00317D44">
        <w:t xml:space="preserve"> dollars of costs and the future value of revenue fo</w:t>
      </w:r>
      <w:r>
        <w:t>r the [2009–15 period]</w:t>
      </w:r>
      <w:r w:rsidRPr="00317D44">
        <w:t>.</w:t>
      </w:r>
      <w:r w:rsidRPr="00317D44">
        <w:rPr>
          <w:rStyle w:val="FootnoteReference"/>
        </w:rPr>
        <w:footnoteReference w:id="23"/>
      </w:r>
      <w:r w:rsidRPr="00317D44">
        <w:t xml:space="preserve"> </w:t>
      </w:r>
    </w:p>
    <w:p w:rsidR="00E95FAA" w:rsidRDefault="00750EC0" w:rsidP="00750EC0">
      <w:r>
        <w:t xml:space="preserve">In effect, the transition charge is a true up between costs and revenues over the AMI roll–out period from 1 January 2009 to 31 December 2015. </w:t>
      </w:r>
      <w:r w:rsidR="00CE6129">
        <w:t xml:space="preserve">The approval of a transition charge for a distributor will have the effect of increasing or decreasing the revenue </w:t>
      </w:r>
      <w:r w:rsidR="007273B0">
        <w:t>that</w:t>
      </w:r>
      <w:r w:rsidR="00CE6129">
        <w:t xml:space="preserve"> can </w:t>
      </w:r>
      <w:r w:rsidR="007273B0">
        <w:t xml:space="preserve">be </w:t>
      </w:r>
      <w:r w:rsidR="00CE6129">
        <w:t>recover</w:t>
      </w:r>
      <w:r w:rsidR="007273B0">
        <w:t>ed</w:t>
      </w:r>
      <w:r w:rsidR="00CE6129">
        <w:t xml:space="preserve"> from customers. </w:t>
      </w:r>
      <w:r w:rsidR="007273B0">
        <w:t>I</w:t>
      </w:r>
      <w:r w:rsidR="00CE6129">
        <w:t>t</w:t>
      </w:r>
      <w:r w:rsidR="00907616">
        <w:t xml:space="preserve"> </w:t>
      </w:r>
      <w:r w:rsidR="0022175D">
        <w:t xml:space="preserve">also </w:t>
      </w:r>
      <w:r w:rsidR="00CE6129">
        <w:t>acts a</w:t>
      </w:r>
      <w:r w:rsidR="007273B0">
        <w:t>s a</w:t>
      </w:r>
      <w:r w:rsidR="00CE6129">
        <w:t xml:space="preserve"> single year adjustment to our </w:t>
      </w:r>
      <w:r w:rsidR="00E21CDF">
        <w:t>2016–</w:t>
      </w:r>
      <w:r w:rsidR="006D47AE">
        <w:t xml:space="preserve">2020 distribution </w:t>
      </w:r>
      <w:r w:rsidR="00CE6129">
        <w:t>determination</w:t>
      </w:r>
      <w:r w:rsidR="006D47AE">
        <w:t>s</w:t>
      </w:r>
      <w:r w:rsidR="00CE6129">
        <w:t xml:space="preserve"> on the Victorian distributors' </w:t>
      </w:r>
      <w:r w:rsidR="007273B0">
        <w:t xml:space="preserve">revenue for </w:t>
      </w:r>
      <w:r w:rsidR="00CE6129">
        <w:t xml:space="preserve">metering </w:t>
      </w:r>
      <w:r w:rsidR="000E7D8F">
        <w:t xml:space="preserve">(AMI) </w:t>
      </w:r>
      <w:r w:rsidR="00CE6129">
        <w:t xml:space="preserve">services </w:t>
      </w:r>
      <w:r w:rsidR="003E250A">
        <w:t xml:space="preserve">for </w:t>
      </w:r>
      <w:r w:rsidR="00CE6129">
        <w:t>the</w:t>
      </w:r>
      <w:r w:rsidR="007273B0">
        <w:t xml:space="preserve"> current</w:t>
      </w:r>
      <w:r w:rsidR="00CE6129">
        <w:t xml:space="preserve"> 2016–20</w:t>
      </w:r>
      <w:r w:rsidR="001B06BF">
        <w:t>20</w:t>
      </w:r>
      <w:r w:rsidR="00CE6129">
        <w:t xml:space="preserve"> regulatory control period</w:t>
      </w:r>
      <w:r w:rsidR="0068246C">
        <w:t>, as explained below</w:t>
      </w:r>
    </w:p>
    <w:p w:rsidR="00E95FAA" w:rsidRDefault="00E95FAA" w:rsidP="00E95FAA">
      <w:pPr>
        <w:pStyle w:val="HeadingBoldItalic"/>
      </w:pPr>
      <w:r>
        <w:t>Post AMI roll–out: 2016–20</w:t>
      </w:r>
      <w:r w:rsidR="001B06BF">
        <w:t>20</w:t>
      </w:r>
      <w:r>
        <w:t xml:space="preserve"> determination</w:t>
      </w:r>
    </w:p>
    <w:p w:rsidR="00E95FAA" w:rsidRDefault="00E95FAA" w:rsidP="00E95FAA">
      <w:pPr>
        <w:numPr>
          <w:ilvl w:val="0"/>
          <w:numId w:val="25"/>
        </w:numPr>
      </w:pPr>
      <w:r>
        <w:t>With over 2.8 million meters installed across the state,</w:t>
      </w:r>
      <w:r>
        <w:rPr>
          <w:rStyle w:val="FootnoteReference"/>
        </w:rPr>
        <w:footnoteReference w:id="24"/>
      </w:r>
      <w:r>
        <w:t xml:space="preserve"> the Victorian electricity distributors have now effectively completed their AMI roll–out and entered into a business as usual phase in their smart meter operations. </w:t>
      </w:r>
    </w:p>
    <w:p w:rsidR="00E95FAA" w:rsidRDefault="006D47AE" w:rsidP="00E95FAA">
      <w:pPr>
        <w:numPr>
          <w:ilvl w:val="0"/>
          <w:numId w:val="25"/>
        </w:numPr>
        <w:rPr>
          <w:rStyle w:val="AERbody"/>
        </w:rPr>
      </w:pPr>
      <w:r>
        <w:t xml:space="preserve">As </w:t>
      </w:r>
      <w:r w:rsidR="00E21CDF">
        <w:t>part of our 2016–</w:t>
      </w:r>
      <w:r>
        <w:t>2020 distribution determinations, we</w:t>
      </w:r>
      <w:r w:rsidR="00E95FAA">
        <w:t xml:space="preserve"> set revenues </w:t>
      </w:r>
      <w:r>
        <w:t xml:space="preserve">for </w:t>
      </w:r>
      <w:r w:rsidR="00E95FAA">
        <w:t>the post AMI roll–out phase.</w:t>
      </w:r>
      <w:r w:rsidR="00907616">
        <w:rPr>
          <w:rStyle w:val="FootnoteReference"/>
        </w:rPr>
        <w:footnoteReference w:id="25"/>
      </w:r>
      <w:r w:rsidR="0022175D">
        <w:t xml:space="preserve"> This means</w:t>
      </w:r>
      <w:r w:rsidR="00BF7E8F">
        <w:t xml:space="preserve"> now that smart meters have been rolled out, the ongoing costs related to those meters has been incorporated into the </w:t>
      </w:r>
      <w:r w:rsidR="0022175D">
        <w:t xml:space="preserve">current </w:t>
      </w:r>
      <w:r w:rsidR="00BF7E8F">
        <w:t>revenue determinations for the 2016–2020 regulatory control period. These determinations are made under the National Electricity Law (NEL) and National Electricity Rules (NER).</w:t>
      </w:r>
      <w:r w:rsidR="00BF7E8F">
        <w:rPr>
          <w:rStyle w:val="FootnoteReference"/>
        </w:rPr>
        <w:footnoteReference w:id="26"/>
      </w:r>
    </w:p>
    <w:p w:rsidR="00C52B87" w:rsidRDefault="00CF00AE" w:rsidP="00C46A68">
      <w:pPr>
        <w:pStyle w:val="Heading1"/>
      </w:pPr>
      <w:bookmarkStart w:id="16" w:name="_Ref453139411"/>
      <w:bookmarkStart w:id="17" w:name="_Toc461526255"/>
      <w:r>
        <w:t>Assessment approach</w:t>
      </w:r>
      <w:bookmarkEnd w:id="16"/>
      <w:bookmarkEnd w:id="17"/>
    </w:p>
    <w:p w:rsidR="006D4FD9" w:rsidRDefault="006D4FD9" w:rsidP="006D4FD9">
      <w:pPr>
        <w:rPr>
          <w:rStyle w:val="AERbody"/>
        </w:rPr>
      </w:pPr>
      <w:r>
        <w:rPr>
          <w:rStyle w:val="AERbody"/>
        </w:rPr>
        <w:t>The Order sets out the assessment framework for our draft decision on the five Victorian electricity distributors' transition charge applications.</w:t>
      </w:r>
    </w:p>
    <w:p w:rsidR="006D4FD9" w:rsidRDefault="006D4FD9" w:rsidP="000E55FD">
      <w:pPr>
        <w:pStyle w:val="Heading2"/>
      </w:pPr>
      <w:bookmarkStart w:id="18" w:name="_Toc461447498"/>
      <w:bookmarkStart w:id="19" w:name="_Ref461458739"/>
      <w:bookmarkStart w:id="20" w:name="_Toc461526256"/>
      <w:r>
        <w:t>Calculation of transition charge</w:t>
      </w:r>
      <w:bookmarkEnd w:id="18"/>
      <w:bookmarkEnd w:id="19"/>
      <w:bookmarkEnd w:id="20"/>
    </w:p>
    <w:p w:rsidR="006D4FD9" w:rsidRDefault="00AE418D" w:rsidP="006D4FD9">
      <w:r>
        <w:t>Under the Order, the</w:t>
      </w:r>
      <w:r w:rsidR="006D4FD9">
        <w:t xml:space="preserve"> transition charge comprises of two 'true–up' adjustments</w:t>
      </w:r>
      <w:r w:rsidR="00E21CDF">
        <w:t>:</w:t>
      </w:r>
      <w:r w:rsidR="00D87322">
        <w:t xml:space="preserve"> the 'revenue and costs true–</w:t>
      </w:r>
      <w:r w:rsidR="000E7D8F">
        <w:t>up' and the 'metering asset</w:t>
      </w:r>
      <w:r w:rsidR="00D87322">
        <w:t xml:space="preserve"> base true–</w:t>
      </w:r>
      <w:r w:rsidR="000E7D8F">
        <w:t>up'. These are outlined below.</w:t>
      </w:r>
    </w:p>
    <w:p w:rsidR="009A436D" w:rsidRDefault="00AA098F" w:rsidP="006D4FD9">
      <w:r>
        <w:t xml:space="preserve">The </w:t>
      </w:r>
      <w:r w:rsidR="009A436D">
        <w:t xml:space="preserve">value of these </w:t>
      </w:r>
      <w:r w:rsidR="000E7D8F">
        <w:t xml:space="preserve">(true-up) </w:t>
      </w:r>
      <w:r w:rsidR="009A436D">
        <w:t>adjustments are</w:t>
      </w:r>
      <w:r w:rsidR="000E7D8F">
        <w:t xml:space="preserve"> also</w:t>
      </w:r>
      <w:r w:rsidR="009A436D">
        <w:t xml:space="preserve"> effected by the ex post review of the Victorian distributors</w:t>
      </w:r>
      <w:r>
        <w:t>'</w:t>
      </w:r>
      <w:r w:rsidR="009A436D">
        <w:t xml:space="preserve"> expenditure in 2014 and 2015</w:t>
      </w:r>
      <w:r w:rsidR="00AC0C71">
        <w:t>, which we refer to as our assessment of any expenditure excess in these years</w:t>
      </w:r>
      <w:r w:rsidR="009A436D">
        <w:t xml:space="preserve">. In accordance with the Order, </w:t>
      </w:r>
      <w:r>
        <w:t xml:space="preserve">this </w:t>
      </w:r>
      <w:r w:rsidR="009A436D">
        <w:t xml:space="preserve">ex post review </w:t>
      </w:r>
      <w:r>
        <w:t>must be conducted as part of this</w:t>
      </w:r>
      <w:r w:rsidR="009A436D">
        <w:t xml:space="preserve"> transition charges decision.</w:t>
      </w:r>
    </w:p>
    <w:p w:rsidR="006D4FD9" w:rsidRDefault="00AE418D" w:rsidP="000E55FD">
      <w:pPr>
        <w:pStyle w:val="Heading3"/>
      </w:pPr>
      <w:bookmarkStart w:id="21" w:name="_Toc461526257"/>
      <w:r>
        <w:t>Revenue and costs true–up</w:t>
      </w:r>
      <w:bookmarkEnd w:id="21"/>
    </w:p>
    <w:p w:rsidR="00AE418D" w:rsidRDefault="00AE418D" w:rsidP="00AE418D">
      <w:pPr>
        <w:pStyle w:val="ListParagraph"/>
        <w:numPr>
          <w:ilvl w:val="0"/>
          <w:numId w:val="25"/>
        </w:numPr>
      </w:pPr>
      <w:r>
        <w:t xml:space="preserve">The first adjustment required under the Order corrects for: </w:t>
      </w:r>
    </w:p>
    <w:p w:rsidR="00AE418D" w:rsidRDefault="00AE418D" w:rsidP="00AE418D">
      <w:pPr>
        <w:pStyle w:val="AERquote"/>
      </w:pPr>
      <w:r>
        <w:t xml:space="preserve">the </w:t>
      </w:r>
      <w:r w:rsidRPr="00317D44">
        <w:t>difference between the future value in 2017</w:t>
      </w:r>
      <w:r w:rsidR="009A436D">
        <w:t xml:space="preserve"> [or 2018]</w:t>
      </w:r>
      <w:r w:rsidRPr="00317D44">
        <w:t xml:space="preserve"> dollars of costs and the future value of revenue fo</w:t>
      </w:r>
      <w:r>
        <w:t>r the [2009–15 period]</w:t>
      </w:r>
      <w:r w:rsidRPr="00317D44">
        <w:t>.</w:t>
      </w:r>
      <w:r w:rsidRPr="00317D44">
        <w:rPr>
          <w:rStyle w:val="FootnoteReference"/>
        </w:rPr>
        <w:footnoteReference w:id="27"/>
      </w:r>
      <w:r w:rsidRPr="00317D44">
        <w:t xml:space="preserve"> </w:t>
      </w:r>
    </w:p>
    <w:p w:rsidR="009A436D" w:rsidRDefault="00AE418D" w:rsidP="009A436D">
      <w:pPr>
        <w:rPr>
          <w:rStyle w:val="AERbody"/>
        </w:rPr>
      </w:pPr>
      <w:r w:rsidRPr="00640593">
        <w:t>The term 'costs' refers to the 'building block costs' we have determined to be recoverable from customers</w:t>
      </w:r>
      <w:r>
        <w:t xml:space="preserve"> in our previous budget determinations</w:t>
      </w:r>
      <w:r w:rsidRPr="00640593">
        <w:t xml:space="preserve">. For the purposes of the transition charge, 'revenue' is </w:t>
      </w:r>
      <w:r w:rsidR="00AC0C71">
        <w:t xml:space="preserve">what has been actually recovered from customers and is </w:t>
      </w:r>
      <w:r w:rsidRPr="00640593">
        <w:t>to be calculated 'by using the actual revenue figures in the distributor's Regulatory Accounting Statements for each year of the [2009–15 period]'.</w:t>
      </w:r>
      <w:r>
        <w:rPr>
          <w:rStyle w:val="FootnoteReference"/>
        </w:rPr>
        <w:footnoteReference w:id="28"/>
      </w:r>
      <w:r w:rsidR="009A436D">
        <w:t xml:space="preserve"> </w:t>
      </w:r>
      <w:r w:rsidR="009A436D">
        <w:rPr>
          <w:rStyle w:val="AERbody"/>
        </w:rPr>
        <w:fldChar w:fldCharType="begin"/>
      </w:r>
      <w:r w:rsidR="009A436D">
        <w:rPr>
          <w:rStyle w:val="AERbody"/>
        </w:rPr>
        <w:instrText xml:space="preserve"> REF _Ref453083543 \h </w:instrText>
      </w:r>
      <w:r w:rsidR="009A436D">
        <w:rPr>
          <w:rStyle w:val="AERbody"/>
        </w:rPr>
      </w:r>
      <w:r w:rsidR="009A436D">
        <w:rPr>
          <w:rStyle w:val="AERbody"/>
        </w:rPr>
        <w:fldChar w:fldCharType="separate"/>
      </w:r>
      <w:r w:rsidR="003C3A1D">
        <w:t xml:space="preserve">Table </w:t>
      </w:r>
      <w:r w:rsidR="003C3A1D">
        <w:rPr>
          <w:noProof/>
        </w:rPr>
        <w:t>3</w:t>
      </w:r>
      <w:r w:rsidR="003C3A1D">
        <w:t>.</w:t>
      </w:r>
      <w:r w:rsidR="003C3A1D">
        <w:rPr>
          <w:noProof/>
        </w:rPr>
        <w:t>1</w:t>
      </w:r>
      <w:r w:rsidR="009A436D">
        <w:rPr>
          <w:rStyle w:val="AERbody"/>
        </w:rPr>
        <w:fldChar w:fldCharType="end"/>
      </w:r>
      <w:r w:rsidR="009A436D">
        <w:rPr>
          <w:rStyle w:val="AERbody"/>
        </w:rPr>
        <w:t xml:space="preserve"> sets out how AMI revenues and costs are to be calculated. </w:t>
      </w:r>
    </w:p>
    <w:p w:rsidR="009A436D" w:rsidRDefault="009A436D" w:rsidP="009A436D">
      <w:pPr>
        <w:pStyle w:val="Caption"/>
      </w:pPr>
      <w:bookmarkStart w:id="22" w:name="_Ref453083543"/>
      <w:r>
        <w:t xml:space="preserve">Table </w:t>
      </w:r>
      <w:r w:rsidRPr="009A436D">
        <w:fldChar w:fldCharType="begin"/>
      </w:r>
      <w:r>
        <w:instrText xml:space="preserve"> STYLEREF 1 \s </w:instrText>
      </w:r>
      <w:r w:rsidRPr="009A436D">
        <w:fldChar w:fldCharType="separate"/>
      </w:r>
      <w:r w:rsidR="003C3A1D">
        <w:rPr>
          <w:noProof/>
        </w:rPr>
        <w:t>3</w:t>
      </w:r>
      <w:r w:rsidRPr="009A436D">
        <w:fldChar w:fldCharType="end"/>
      </w:r>
      <w:r>
        <w:t>.</w:t>
      </w:r>
      <w:r w:rsidRPr="009A436D">
        <w:fldChar w:fldCharType="begin"/>
      </w:r>
      <w:r>
        <w:instrText xml:space="preserve"> SEQ Table \* ARABIC \s 1 </w:instrText>
      </w:r>
      <w:r w:rsidRPr="009A436D">
        <w:fldChar w:fldCharType="separate"/>
      </w:r>
      <w:r w:rsidR="003C3A1D">
        <w:rPr>
          <w:noProof/>
        </w:rPr>
        <w:t>1</w:t>
      </w:r>
      <w:r w:rsidRPr="009A436D">
        <w:fldChar w:fldCharType="end"/>
      </w:r>
      <w:bookmarkEnd w:id="22"/>
      <w:r>
        <w:tab/>
        <w:t>Calculation of costs and revenue under the Order</w:t>
      </w:r>
    </w:p>
    <w:tbl>
      <w:tblPr>
        <w:tblStyle w:val="AERtable-text0"/>
        <w:tblW w:w="0" w:type="auto"/>
        <w:tblLook w:val="04A0" w:firstRow="1" w:lastRow="0" w:firstColumn="1" w:lastColumn="0" w:noHBand="0" w:noVBand="1"/>
      </w:tblPr>
      <w:tblGrid>
        <w:gridCol w:w="2642"/>
        <w:gridCol w:w="3074"/>
        <w:gridCol w:w="2977"/>
      </w:tblGrid>
      <w:tr w:rsidR="009A436D" w:rsidTr="00040612">
        <w:trPr>
          <w:cnfStyle w:val="100000000000" w:firstRow="1" w:lastRow="0" w:firstColumn="0" w:lastColumn="0" w:oddVBand="0" w:evenVBand="0" w:oddHBand="0" w:evenHBand="0" w:firstRowFirstColumn="0" w:firstRowLastColumn="0" w:lastRowFirstColumn="0" w:lastRowLastColumn="0"/>
        </w:trPr>
        <w:tc>
          <w:tcPr>
            <w:tcW w:w="2642" w:type="dxa"/>
          </w:tcPr>
          <w:p w:rsidR="009A436D" w:rsidRPr="009A436D" w:rsidRDefault="009A436D" w:rsidP="009A436D">
            <w:r>
              <w:t>Year</w:t>
            </w:r>
          </w:p>
        </w:tc>
        <w:tc>
          <w:tcPr>
            <w:tcW w:w="3074" w:type="dxa"/>
          </w:tcPr>
          <w:p w:rsidR="009A436D" w:rsidRDefault="009A436D" w:rsidP="009A436D">
            <w:r>
              <w:t>Costs</w:t>
            </w:r>
          </w:p>
        </w:tc>
        <w:tc>
          <w:tcPr>
            <w:tcW w:w="2977" w:type="dxa"/>
          </w:tcPr>
          <w:p w:rsidR="009A436D" w:rsidRDefault="009A436D" w:rsidP="009A436D">
            <w:r>
              <w:t>Revenue</w:t>
            </w:r>
          </w:p>
        </w:tc>
      </w:tr>
      <w:tr w:rsidR="009A436D" w:rsidTr="00040612">
        <w:tc>
          <w:tcPr>
            <w:tcW w:w="2642" w:type="dxa"/>
          </w:tcPr>
          <w:p w:rsidR="009A436D" w:rsidRPr="009A436D" w:rsidRDefault="009A436D" w:rsidP="009A436D">
            <w:r>
              <w:t>2009, 2011, 2012 and 2013</w:t>
            </w:r>
          </w:p>
        </w:tc>
        <w:tc>
          <w:tcPr>
            <w:tcW w:w="3074" w:type="dxa"/>
          </w:tcPr>
          <w:p w:rsidR="009A436D" w:rsidRPr="009A436D" w:rsidRDefault="009A436D" w:rsidP="009A436D">
            <w:pPr>
              <w:rPr>
                <w:rStyle w:val="AERtextboldunderline"/>
              </w:rPr>
            </w:pPr>
            <w:r w:rsidRPr="009A436D">
              <w:rPr>
                <w:rStyle w:val="AERtextboldunderline"/>
              </w:rPr>
              <w:t>Already determined.</w:t>
            </w:r>
          </w:p>
          <w:p w:rsidR="009A436D" w:rsidRPr="009A436D" w:rsidRDefault="00AA098F" w:rsidP="00AA098F">
            <w:r>
              <w:t xml:space="preserve">Building block costs are taken from the </w:t>
            </w:r>
            <w:r w:rsidR="009A436D" w:rsidRPr="009A436D">
              <w:t>Revised Charges Determinations.</w:t>
            </w:r>
          </w:p>
        </w:tc>
        <w:tc>
          <w:tcPr>
            <w:tcW w:w="2977" w:type="dxa"/>
            <w:vMerge w:val="restart"/>
          </w:tcPr>
          <w:p w:rsidR="009A436D" w:rsidRPr="009A436D" w:rsidRDefault="009A436D" w:rsidP="009A436D">
            <w:r>
              <w:t xml:space="preserve">Revenue is to be calculated by using the actual revenue figures in the distributor's Regulatory Accounting Statements for each year of the initial regulatory period </w:t>
            </w:r>
            <w:r w:rsidRPr="009A436D">
              <w:t>(2009–15).</w:t>
            </w:r>
          </w:p>
        </w:tc>
      </w:tr>
      <w:tr w:rsidR="009A436D" w:rsidTr="00040612">
        <w:trPr>
          <w:cnfStyle w:val="000000010000" w:firstRow="0" w:lastRow="0" w:firstColumn="0" w:lastColumn="0" w:oddVBand="0" w:evenVBand="0" w:oddHBand="0" w:evenHBand="1" w:firstRowFirstColumn="0" w:firstRowLastColumn="0" w:lastRowFirstColumn="0" w:lastRowLastColumn="0"/>
        </w:trPr>
        <w:tc>
          <w:tcPr>
            <w:tcW w:w="2642" w:type="dxa"/>
          </w:tcPr>
          <w:p w:rsidR="009A436D" w:rsidRPr="009A436D" w:rsidRDefault="009A436D" w:rsidP="009A436D">
            <w:r>
              <w:t>2010</w:t>
            </w:r>
          </w:p>
        </w:tc>
        <w:tc>
          <w:tcPr>
            <w:tcW w:w="3074" w:type="dxa"/>
          </w:tcPr>
          <w:p w:rsidR="009A436D" w:rsidRPr="009A436D" w:rsidRDefault="009A436D" w:rsidP="009A436D">
            <w:pPr>
              <w:rPr>
                <w:rStyle w:val="AERtextboldunderline"/>
              </w:rPr>
            </w:pPr>
            <w:r w:rsidRPr="009A436D">
              <w:rPr>
                <w:rStyle w:val="AERtextboldunderline"/>
              </w:rPr>
              <w:t>Already determined.</w:t>
            </w:r>
          </w:p>
          <w:p w:rsidR="009A436D" w:rsidRPr="009A436D" w:rsidRDefault="00AA098F" w:rsidP="009A436D">
            <w:r>
              <w:t>Building block costs are taken from the</w:t>
            </w:r>
            <w:r w:rsidR="009A436D" w:rsidRPr="009A436D">
              <w:t xml:space="preserve"> 2012–15 Approved Budget.</w:t>
            </w:r>
          </w:p>
        </w:tc>
        <w:tc>
          <w:tcPr>
            <w:tcW w:w="2977" w:type="dxa"/>
            <w:vMerge/>
          </w:tcPr>
          <w:p w:rsidR="009A436D" w:rsidRDefault="009A436D" w:rsidP="009A436D"/>
        </w:tc>
      </w:tr>
      <w:tr w:rsidR="009A436D" w:rsidTr="00040612">
        <w:tc>
          <w:tcPr>
            <w:tcW w:w="2642" w:type="dxa"/>
          </w:tcPr>
          <w:p w:rsidR="009A436D" w:rsidRPr="009A436D" w:rsidRDefault="009A436D" w:rsidP="009A436D">
            <w:r>
              <w:t>2014</w:t>
            </w:r>
            <w:r w:rsidRPr="009A436D">
              <w:t>, 2015</w:t>
            </w:r>
          </w:p>
        </w:tc>
        <w:tc>
          <w:tcPr>
            <w:tcW w:w="3074" w:type="dxa"/>
          </w:tcPr>
          <w:p w:rsidR="009A436D" w:rsidRPr="009A436D" w:rsidRDefault="009A436D" w:rsidP="009A436D">
            <w:pPr>
              <w:rPr>
                <w:rStyle w:val="AERtextboldunderline"/>
              </w:rPr>
            </w:pPr>
            <w:r w:rsidRPr="009A436D">
              <w:rPr>
                <w:rStyle w:val="AERtextboldunderline"/>
              </w:rPr>
              <w:t>Not yet determined.</w:t>
            </w:r>
          </w:p>
          <w:p w:rsidR="009A436D" w:rsidRPr="009A436D" w:rsidRDefault="009A436D" w:rsidP="009A436D">
            <w:r>
              <w:t>We</w:t>
            </w:r>
            <w:r w:rsidRPr="009A436D">
              <w:t xml:space="preserve"> must determine the 2014 and 2015 b</w:t>
            </w:r>
            <w:r w:rsidR="00AA098F">
              <w:t>uilding block costs in this</w:t>
            </w:r>
            <w:r w:rsidRPr="009A436D">
              <w:t xml:space="preserve"> transition charges determination. </w:t>
            </w:r>
          </w:p>
        </w:tc>
        <w:tc>
          <w:tcPr>
            <w:tcW w:w="2977" w:type="dxa"/>
            <w:vMerge/>
          </w:tcPr>
          <w:p w:rsidR="009A436D" w:rsidRDefault="009A436D" w:rsidP="009A436D"/>
        </w:tc>
      </w:tr>
    </w:tbl>
    <w:p w:rsidR="009A436D" w:rsidRDefault="009A436D" w:rsidP="009A436D">
      <w:pPr>
        <w:pStyle w:val="AERtablesource"/>
        <w:rPr>
          <w:rStyle w:val="AERtextitalic"/>
        </w:rPr>
      </w:pPr>
      <w:r>
        <w:t>Source:</w:t>
      </w:r>
      <w:r>
        <w:tab/>
      </w:r>
      <w:r w:rsidRPr="000D6BDF">
        <w:rPr>
          <w:rStyle w:val="AERtextitalic"/>
        </w:rPr>
        <w:t>Victorian Advanced Metering Infrastructure Cost Recovery Order In Council</w:t>
      </w:r>
      <w:r>
        <w:rPr>
          <w:rStyle w:val="AERtextitalic"/>
        </w:rPr>
        <w:t>, cl 5L.4.</w:t>
      </w:r>
    </w:p>
    <w:p w:rsidR="009A436D" w:rsidRDefault="009A436D" w:rsidP="009A436D">
      <w:pPr>
        <w:rPr>
          <w:rStyle w:val="AERbody"/>
        </w:rPr>
      </w:pPr>
      <w:r>
        <w:rPr>
          <w:rStyle w:val="AERbody"/>
        </w:rPr>
        <w:t xml:space="preserve">As noted in </w:t>
      </w:r>
      <w:r>
        <w:rPr>
          <w:rStyle w:val="AERbody"/>
        </w:rPr>
        <w:fldChar w:fldCharType="begin"/>
      </w:r>
      <w:r>
        <w:rPr>
          <w:rStyle w:val="AERbody"/>
        </w:rPr>
        <w:instrText xml:space="preserve"> REF _Ref453083543 \h </w:instrText>
      </w:r>
      <w:r>
        <w:rPr>
          <w:rStyle w:val="AERbody"/>
        </w:rPr>
      </w:r>
      <w:r>
        <w:rPr>
          <w:rStyle w:val="AERbody"/>
        </w:rPr>
        <w:fldChar w:fldCharType="separate"/>
      </w:r>
      <w:r w:rsidR="003C3A1D">
        <w:t xml:space="preserve">Table </w:t>
      </w:r>
      <w:r w:rsidR="003C3A1D">
        <w:rPr>
          <w:noProof/>
        </w:rPr>
        <w:t>3</w:t>
      </w:r>
      <w:r w:rsidR="003C3A1D">
        <w:t>.</w:t>
      </w:r>
      <w:r w:rsidR="003C3A1D">
        <w:rPr>
          <w:noProof/>
        </w:rPr>
        <w:t>1</w:t>
      </w:r>
      <w:r>
        <w:rPr>
          <w:rStyle w:val="AERbody"/>
        </w:rPr>
        <w:fldChar w:fldCharType="end"/>
      </w:r>
      <w:r>
        <w:rPr>
          <w:rStyle w:val="AERbody"/>
        </w:rPr>
        <w:t xml:space="preserve"> above, we are required to determine the Victorian electricity distributors' 2014 and 2015 approved building block costs in making this determination. In doing this we must have regard to a number of factors. These include the application of 'scope' and 'prudency' tests.</w:t>
      </w:r>
      <w:r>
        <w:rPr>
          <w:rStyle w:val="FootnoteReference"/>
        </w:rPr>
        <w:footnoteReference w:id="29"/>
      </w:r>
      <w:r>
        <w:rPr>
          <w:rStyle w:val="AERbody"/>
        </w:rPr>
        <w:t xml:space="preserve"> See section </w:t>
      </w:r>
      <w:r w:rsidR="00706790">
        <w:rPr>
          <w:rStyle w:val="AERbody"/>
        </w:rPr>
        <w:fldChar w:fldCharType="begin"/>
      </w:r>
      <w:r w:rsidR="00706790">
        <w:rPr>
          <w:rStyle w:val="AERbody"/>
        </w:rPr>
        <w:instrText xml:space="preserve"> REF _Ref461285610 \r \h </w:instrText>
      </w:r>
      <w:r w:rsidR="00706790">
        <w:rPr>
          <w:rStyle w:val="AERbody"/>
        </w:rPr>
      </w:r>
      <w:r w:rsidR="00706790">
        <w:rPr>
          <w:rStyle w:val="AERbody"/>
        </w:rPr>
        <w:fldChar w:fldCharType="separate"/>
      </w:r>
      <w:r w:rsidR="003C3A1D">
        <w:rPr>
          <w:rStyle w:val="AERbody"/>
        </w:rPr>
        <w:t>3.2</w:t>
      </w:r>
      <w:r w:rsidR="00706790">
        <w:rPr>
          <w:rStyle w:val="AERbody"/>
        </w:rPr>
        <w:fldChar w:fldCharType="end"/>
      </w:r>
      <w:r w:rsidR="00706790">
        <w:rPr>
          <w:rStyle w:val="AERbody"/>
        </w:rPr>
        <w:t xml:space="preserve"> </w:t>
      </w:r>
      <w:r>
        <w:rPr>
          <w:rStyle w:val="AERbody"/>
        </w:rPr>
        <w:t>for more information.</w:t>
      </w:r>
    </w:p>
    <w:p w:rsidR="00AE418D" w:rsidRDefault="00AE418D" w:rsidP="000E55FD">
      <w:pPr>
        <w:pStyle w:val="Heading3"/>
      </w:pPr>
      <w:bookmarkStart w:id="23" w:name="_Toc461526258"/>
      <w:r>
        <w:t>Metering asset base true–up</w:t>
      </w:r>
      <w:bookmarkEnd w:id="23"/>
    </w:p>
    <w:p w:rsidR="009A436D" w:rsidRDefault="009A436D" w:rsidP="00AE418D">
      <w:r>
        <w:t>The second true–up adjustment relates to the metering asset base (MAB).</w:t>
      </w:r>
    </w:p>
    <w:p w:rsidR="00AE418D" w:rsidRDefault="00AE418D" w:rsidP="00AE418D">
      <w:r w:rsidRPr="00D4283A">
        <w:t xml:space="preserve">We calculated an opening MAB value for each of the Victorian electricity distributors in our </w:t>
      </w:r>
      <w:r>
        <w:t>2016–2020 distribution determination</w:t>
      </w:r>
      <w:r w:rsidRPr="00D4283A">
        <w:t>. These MAB values were based on actual capex from 2011 to 2013. However, we used forecast capex for 2014 and 2015. These forecast amounts were taken</w:t>
      </w:r>
      <w:r>
        <w:t xml:space="preserve"> from</w:t>
      </w:r>
      <w:r w:rsidRPr="00D4283A">
        <w:t xml:space="preserve"> </w:t>
      </w:r>
      <w:r>
        <w:t>the Victorian distributors' 2015 AMI Charges Revision Applications.</w:t>
      </w:r>
      <w:r>
        <w:rPr>
          <w:rStyle w:val="FootnoteReference"/>
        </w:rPr>
        <w:footnoteReference w:id="30"/>
      </w:r>
      <w:r>
        <w:t xml:space="preserve"> The 2014 and 2015 capex amounts that were an input into our calculation of the opening MAB in our 2016–20 distribution determination, therefore, reflect the Victorian distributors' forecasts, </w:t>
      </w:r>
      <w:r w:rsidR="000254C6">
        <w:t xml:space="preserve">submitted </w:t>
      </w:r>
      <w:r>
        <w:t xml:space="preserve">in August 2014.  </w:t>
      </w:r>
    </w:p>
    <w:p w:rsidR="00706790" w:rsidRPr="00D4283A" w:rsidRDefault="00AE418D" w:rsidP="00AE418D">
      <w:r w:rsidRPr="00D4283A">
        <w:t xml:space="preserve">To </w:t>
      </w:r>
      <w:r w:rsidR="000254C6">
        <w:t xml:space="preserve">update these capex forecast values </w:t>
      </w:r>
      <w:r w:rsidR="006D63F1">
        <w:t>with actual amounts</w:t>
      </w:r>
      <w:r w:rsidRPr="00D4283A">
        <w:t>, we are required to make a revenue adjustment.</w:t>
      </w:r>
      <w:r w:rsidRPr="00D4283A">
        <w:rPr>
          <w:rStyle w:val="FootnoteReference"/>
        </w:rPr>
        <w:footnoteReference w:id="31"/>
      </w:r>
      <w:r w:rsidRPr="00D4283A">
        <w:t xml:space="preserve"> This involves, first, calculating the return on capital and depreciation building blocks </w:t>
      </w:r>
      <w:r>
        <w:t xml:space="preserve">components </w:t>
      </w:r>
      <w:r w:rsidRPr="00D4283A">
        <w:t xml:space="preserve">using the opening MAB value set in our </w:t>
      </w:r>
      <w:r>
        <w:t xml:space="preserve">2016–2020 distribution </w:t>
      </w:r>
      <w:r w:rsidRPr="00D4283A">
        <w:t xml:space="preserve">determination. We are then required to perform the same calculation again. However, when making the calculation the second time we are required to </w:t>
      </w:r>
      <w:r>
        <w:t>use the actual capex amounts for 2014 and 2015 which have been determined in this draft decision</w:t>
      </w:r>
      <w:r w:rsidRPr="00D4283A">
        <w:t xml:space="preserve">. The difference between these two calculations produces a higher (or lower) revenue amount which a distributor must recover (or return) to customers. This higher (or lower) amount </w:t>
      </w:r>
      <w:r>
        <w:t>is included or accounted for in</w:t>
      </w:r>
      <w:r w:rsidRPr="00D4283A">
        <w:t xml:space="preserve"> the transition charge. </w:t>
      </w:r>
    </w:p>
    <w:p w:rsidR="00AE418D" w:rsidRPr="0052146F" w:rsidRDefault="00AE418D" w:rsidP="00AE418D">
      <w:pPr>
        <w:rPr>
          <w:rStyle w:val="AERbody"/>
        </w:rPr>
      </w:pPr>
      <w:r w:rsidRPr="00163DFA">
        <w:t>Through this process,</w:t>
      </w:r>
      <w:r w:rsidRPr="00163DFA" w:rsidDel="00434BEC">
        <w:t xml:space="preserve"> </w:t>
      </w:r>
      <w:r w:rsidRPr="00163DFA">
        <w:t xml:space="preserve">we will not be </w:t>
      </w:r>
      <w:r>
        <w:t xml:space="preserve">actually </w:t>
      </w:r>
      <w:r w:rsidRPr="00163DFA">
        <w:t>amending the MAB value or building blocks approved in the 2016–20</w:t>
      </w:r>
      <w:r>
        <w:t>20 distribution determination.</w:t>
      </w:r>
      <w:r w:rsidRPr="00163DFA">
        <w:t xml:space="preserve"> They will remain </w:t>
      </w:r>
      <w:r>
        <w:t>the same</w:t>
      </w:r>
      <w:r w:rsidRPr="00163DFA">
        <w:t>. Any differences in the return on capital and depreciation building blocks will be adjusted for via a single–year revenue adjustment, incorporated into the transition charge.</w:t>
      </w:r>
      <w:r>
        <w:t xml:space="preserve"> In this way, we do not have to reopen the 2016–2020 distribution determination</w:t>
      </w:r>
      <w:r w:rsidR="00E21CDF">
        <w:t xml:space="preserve"> in relation to smart metering</w:t>
      </w:r>
      <w:r w:rsidR="000254C6">
        <w:t xml:space="preserve"> services</w:t>
      </w:r>
      <w:r>
        <w:t>.</w:t>
      </w:r>
    </w:p>
    <w:p w:rsidR="00AE418D" w:rsidRDefault="00AA098F" w:rsidP="000E55FD">
      <w:pPr>
        <w:pStyle w:val="Heading2"/>
      </w:pPr>
      <w:bookmarkStart w:id="24" w:name="_Ref461285610"/>
      <w:bookmarkStart w:id="25" w:name="_Toc461447499"/>
      <w:bookmarkStart w:id="26" w:name="_Toc461526259"/>
      <w:r>
        <w:t>Assessment of 2014 and 2015 costs</w:t>
      </w:r>
      <w:bookmarkEnd w:id="24"/>
      <w:bookmarkEnd w:id="25"/>
      <w:bookmarkEnd w:id="26"/>
    </w:p>
    <w:p w:rsidR="00AA098F" w:rsidRDefault="00706790" w:rsidP="00AA098F">
      <w:r>
        <w:t>As part of our transition charges determination, we are required to conduct a review of the Victorian electricity distributors' actual expenditure in 2014 and 2015.</w:t>
      </w:r>
    </w:p>
    <w:p w:rsidR="00706790" w:rsidRDefault="00706790" w:rsidP="00706790">
      <w:r>
        <w:t xml:space="preserve">Our determination on the AMI costs in 2014 and 2015 follows a similar process to making past Revised Charges Determinations (see section </w:t>
      </w:r>
      <w:r>
        <w:fldChar w:fldCharType="begin"/>
      </w:r>
      <w:r>
        <w:instrText xml:space="preserve"> REF _Ref453083889 \r \h </w:instrText>
      </w:r>
      <w:r>
        <w:fldChar w:fldCharType="separate"/>
      </w:r>
      <w:r w:rsidR="003C3A1D">
        <w:t>2</w:t>
      </w:r>
      <w:r>
        <w:fldChar w:fldCharType="end"/>
      </w:r>
      <w:r>
        <w:t xml:space="preserve"> above). This involves considering the </w:t>
      </w:r>
      <w:r w:rsidRPr="00EB49AA">
        <w:rPr>
          <w:rStyle w:val="AERtextitalic"/>
        </w:rPr>
        <w:t>forecast</w:t>
      </w:r>
      <w:r>
        <w:t xml:space="preserve"> expenditure allowed in the 2012–15 Approved Budget and reconciling those amounts with the </w:t>
      </w:r>
      <w:r w:rsidRPr="00EB49AA">
        <w:rPr>
          <w:rStyle w:val="AERtextitalic"/>
        </w:rPr>
        <w:t>actual</w:t>
      </w:r>
      <w:r>
        <w:t xml:space="preserve"> capex and opex incurred in the 2014 and 2015 years.</w:t>
      </w:r>
    </w:p>
    <w:p w:rsidR="00706790" w:rsidRDefault="00706790" w:rsidP="00706790">
      <w:pPr>
        <w:rPr>
          <w:rStyle w:val="Strong"/>
        </w:rPr>
      </w:pPr>
      <w:r>
        <w:t>We are not required to accept all expenditure that has been incurred. We can approve only capex and opex that satisfies the 'scope' and 'prudency' tests.</w:t>
      </w:r>
      <w:r>
        <w:rPr>
          <w:rStyle w:val="FootnoteReference"/>
        </w:rPr>
        <w:footnoteReference w:id="32"/>
      </w:r>
    </w:p>
    <w:p w:rsidR="00706790" w:rsidRDefault="00706790" w:rsidP="000E55FD">
      <w:pPr>
        <w:pStyle w:val="Heading3"/>
      </w:pPr>
      <w:bookmarkStart w:id="27" w:name="_Toc460504638"/>
      <w:bookmarkStart w:id="28" w:name="_Toc461526260"/>
      <w:r>
        <w:t>Scope test</w:t>
      </w:r>
      <w:bookmarkEnd w:id="27"/>
      <w:bookmarkEnd w:id="28"/>
    </w:p>
    <w:p w:rsidR="00706790" w:rsidRPr="00A8059B" w:rsidRDefault="00706790" w:rsidP="00706790">
      <w:r>
        <w:t>We are to include actual 2014 and 2015 capex and opex that is:</w:t>
      </w:r>
    </w:p>
    <w:p w:rsidR="00706790" w:rsidRDefault="00706790" w:rsidP="00706790">
      <w:pPr>
        <w:pStyle w:val="AERbulletlistfirststyle"/>
      </w:pPr>
      <w:r>
        <w:t>certified by an auditor as for activities within scope (AMI related activities) and has been incurred in the amount claimed</w:t>
      </w:r>
    </w:p>
    <w:p w:rsidR="00706790" w:rsidRDefault="00706790" w:rsidP="00706790">
      <w:pPr>
        <w:pStyle w:val="AERbulletlistfirststyle"/>
      </w:pPr>
      <w:r>
        <w:t>for activities within scope (AMI related activities) as determined by us; and</w:t>
      </w:r>
    </w:p>
    <w:p w:rsidR="00706790" w:rsidRDefault="00706790" w:rsidP="00706790">
      <w:pPr>
        <w:pStyle w:val="AERbulletlistfirststyle"/>
      </w:pPr>
      <w:r>
        <w:t>which does not exceed the approved budget.</w:t>
      </w:r>
      <w:r>
        <w:rPr>
          <w:rStyle w:val="FootnoteReference"/>
        </w:rPr>
        <w:footnoteReference w:id="33"/>
      </w:r>
    </w:p>
    <w:p w:rsidR="00706790" w:rsidRPr="00706790" w:rsidRDefault="00706790" w:rsidP="00365502">
      <w:r>
        <w:t>In practice,</w:t>
      </w:r>
      <w:r w:rsidRPr="00706790">
        <w:t xml:space="preserve"> this means that if actual capex and opex in 2014 and 2015 is </w:t>
      </w:r>
      <w:r w:rsidRPr="00706790">
        <w:rPr>
          <w:rStyle w:val="AERtextitalic"/>
        </w:rPr>
        <w:t>less than</w:t>
      </w:r>
      <w:r w:rsidRPr="00706790">
        <w:t xml:space="preserve"> forecast in the 2012–15 Approved Budget, then we will accept it subject to it being certified by an auditor and relating to AMI matters.</w:t>
      </w:r>
    </w:p>
    <w:p w:rsidR="00706790" w:rsidRPr="00706790" w:rsidRDefault="00706790" w:rsidP="00365502">
      <w:r>
        <w:t xml:space="preserve">CitiPower and Powercor submitted </w:t>
      </w:r>
      <w:r w:rsidRPr="00706790">
        <w:t>Transition Charges Applications that did not exceed the approved budget. Our assessments for these businesses are outlined in section</w:t>
      </w:r>
      <w:r w:rsidR="00D0274B">
        <w:t>s</w:t>
      </w:r>
      <w:r w:rsidRPr="00706790">
        <w:t xml:space="preserve"> </w:t>
      </w:r>
      <w:r w:rsidR="00D0274B">
        <w:fldChar w:fldCharType="begin"/>
      </w:r>
      <w:r w:rsidR="00D0274B">
        <w:instrText xml:space="preserve"> REF _Ref461439155 \r \h  \* MERGEFORMAT </w:instrText>
      </w:r>
      <w:r w:rsidR="00D0274B">
        <w:fldChar w:fldCharType="separate"/>
      </w:r>
      <w:r w:rsidR="003C3A1D">
        <w:t>7</w:t>
      </w:r>
      <w:r w:rsidR="00D0274B">
        <w:fldChar w:fldCharType="end"/>
      </w:r>
      <w:r w:rsidR="00D0274B">
        <w:t xml:space="preserve"> and</w:t>
      </w:r>
      <w:r w:rsidR="00E21CDF">
        <w:t xml:space="preserve"> </w:t>
      </w:r>
      <w:r w:rsidR="00E21CDF">
        <w:fldChar w:fldCharType="begin"/>
      </w:r>
      <w:r w:rsidR="00E21CDF">
        <w:instrText xml:space="preserve"> REF _Ref461804768 \n \h </w:instrText>
      </w:r>
      <w:r w:rsidR="00E21CDF">
        <w:fldChar w:fldCharType="separate"/>
      </w:r>
      <w:r w:rsidR="003C3A1D">
        <w:t>8</w:t>
      </w:r>
      <w:r w:rsidR="00E21CDF">
        <w:fldChar w:fldCharType="end"/>
      </w:r>
      <w:r w:rsidR="00D0274B">
        <w:t>, respectively</w:t>
      </w:r>
      <w:r w:rsidRPr="00706790">
        <w:t xml:space="preserve">. </w:t>
      </w:r>
    </w:p>
    <w:p w:rsidR="00706790" w:rsidRDefault="00706790" w:rsidP="000E55FD">
      <w:pPr>
        <w:pStyle w:val="Heading3"/>
      </w:pPr>
      <w:bookmarkStart w:id="29" w:name="_Toc460504639"/>
      <w:bookmarkStart w:id="30" w:name="_Toc461526261"/>
      <w:r>
        <w:t>Prudency test</w:t>
      </w:r>
      <w:bookmarkEnd w:id="29"/>
      <w:bookmarkEnd w:id="30"/>
    </w:p>
    <w:p w:rsidR="00706790" w:rsidRPr="00706790" w:rsidRDefault="00706790" w:rsidP="00365502">
      <w:r>
        <w:t>When</w:t>
      </w:r>
      <w:r w:rsidRPr="00706790">
        <w:t xml:space="preserve"> the total capex and opex is </w:t>
      </w:r>
      <w:r w:rsidRPr="00706790">
        <w:rPr>
          <w:rStyle w:val="AERtextitalic"/>
        </w:rPr>
        <w:t>greater than</w:t>
      </w:r>
      <w:r w:rsidRPr="00706790">
        <w:t xml:space="preserve"> the approved budget, the Order establishes a process to determine if the 'expenditure excess' should be approved.</w:t>
      </w:r>
      <w:r w:rsidRPr="00706790">
        <w:rPr>
          <w:rStyle w:val="FootnoteReference"/>
        </w:rPr>
        <w:footnoteReference w:id="34"/>
      </w:r>
      <w:r w:rsidRPr="00706790">
        <w:t xml:space="preserve"> If the expenditure excess is approved under this process, then the distributor will be able to recover it from customers via a transition charge.</w:t>
      </w:r>
      <w:r w:rsidRPr="00706790">
        <w:rPr>
          <w:rStyle w:val="FootnoteReference"/>
        </w:rPr>
        <w:footnoteReference w:id="35"/>
      </w:r>
      <w:r w:rsidRPr="00706790">
        <w:t xml:space="preserve"> </w:t>
      </w:r>
    </w:p>
    <w:p w:rsidR="00706790" w:rsidRDefault="00706790" w:rsidP="00706790">
      <w:r>
        <w:t>The process for determining whether an expenditure excess should be included in the calculation of a transition charge is set out in clauses 5I of the Order. It involves assessing whether the expenditure excess is 'prudent'.</w:t>
      </w:r>
      <w:r>
        <w:rPr>
          <w:rStyle w:val="FootnoteReference"/>
        </w:rPr>
        <w:footnoteReference w:id="36"/>
      </w:r>
      <w:r>
        <w:t xml:space="preserve"> This is defined to mean 'reasonably reflects the efficient costs of a business providing the Regulated Services (AMI roll–out associated obligations)'.</w:t>
      </w:r>
      <w:r>
        <w:rPr>
          <w:rStyle w:val="FootnoteReference"/>
        </w:rPr>
        <w:footnoteReference w:id="37"/>
      </w:r>
      <w:r>
        <w:t xml:space="preserve"> </w:t>
      </w:r>
    </w:p>
    <w:p w:rsidR="00706790" w:rsidRDefault="00706790" w:rsidP="00706790">
      <w:r>
        <w:t xml:space="preserve">In deciding whether we are satisfied that expenditure 'reasonably reflects the efficient costs of a business providing the Regulated Service', we are able to take into account the following factors. </w:t>
      </w:r>
    </w:p>
    <w:p w:rsidR="00706790" w:rsidRDefault="00706790" w:rsidP="00706790">
      <w:r>
        <w:t>The Order provides that where the expenditure excess is a contract, it will reasonably reflect the efficient costs of a business providing the Regulated Service if the contract was let in accordance with a competitive tender process.</w:t>
      </w:r>
      <w:r>
        <w:rPr>
          <w:rStyle w:val="FootnoteReference"/>
        </w:rPr>
        <w:footnoteReference w:id="38"/>
      </w:r>
      <w:r>
        <w:t xml:space="preserve"> </w:t>
      </w:r>
    </w:p>
    <w:p w:rsidR="00706790" w:rsidRDefault="00706790" w:rsidP="00706790">
      <w:r>
        <w:t>Additionally, we may take into account the following when determining whether expenditure incurred in 2014 and 2015 in excess of the 2012–15 Approved Budget would satisfy the prudency test in the Order:</w:t>
      </w:r>
      <w:r>
        <w:rPr>
          <w:rStyle w:val="FootnoteReference"/>
        </w:rPr>
        <w:footnoteReference w:id="39"/>
      </w:r>
    </w:p>
    <w:p w:rsidR="00706790" w:rsidRDefault="00706790" w:rsidP="00706790">
      <w:pPr>
        <w:pStyle w:val="AERbulletlistfirststyle"/>
      </w:pPr>
      <w:r>
        <w:t>information available to the distributor</w:t>
      </w:r>
    </w:p>
    <w:p w:rsidR="00706790" w:rsidRDefault="00706790" w:rsidP="00706790">
      <w:pPr>
        <w:pStyle w:val="AERbulletlistfirststyle"/>
      </w:pPr>
      <w:r>
        <w:t>nature of provision, installation and operation of AMI</w:t>
      </w:r>
    </w:p>
    <w:p w:rsidR="00706790" w:rsidRDefault="00706790" w:rsidP="00706790">
      <w:pPr>
        <w:pStyle w:val="AERbulletlistfirststyle"/>
      </w:pPr>
      <w:r>
        <w:t>the roll–out obligation (i.e. the distributors' obligations to roll–out AMI according to the Order timetable)</w:t>
      </w:r>
    </w:p>
    <w:p w:rsidR="00706790" w:rsidRDefault="00706790" w:rsidP="00706790">
      <w:pPr>
        <w:pStyle w:val="AERbulletlistfirststyle"/>
      </w:pPr>
      <w:r>
        <w:t>state of relevant technology</w:t>
      </w:r>
    </w:p>
    <w:p w:rsidR="00706790" w:rsidRDefault="00706790" w:rsidP="00706790">
      <w:pPr>
        <w:pStyle w:val="AERbulletlistfirststyle"/>
      </w:pPr>
      <w:r>
        <w:t>project risks inherent in the AMI project</w:t>
      </w:r>
    </w:p>
    <w:p w:rsidR="00706790" w:rsidRDefault="00706790" w:rsidP="00706790">
      <w:pPr>
        <w:pStyle w:val="AERbulletlistfirststyle"/>
      </w:pPr>
      <w:r>
        <w:t>relevant market conditions</w:t>
      </w:r>
    </w:p>
    <w:p w:rsidR="00706790" w:rsidRDefault="00706790" w:rsidP="00706790">
      <w:pPr>
        <w:pStyle w:val="AERbulletlistfirststyle"/>
      </w:pPr>
      <w:r>
        <w:t>other metering regulatory obligations</w:t>
      </w:r>
    </w:p>
    <w:p w:rsidR="00706790" w:rsidRDefault="00706790" w:rsidP="00706790">
      <w:pPr>
        <w:pStyle w:val="AERbulletlistfirststyle"/>
      </w:pPr>
      <w:r>
        <w:t>any other relevant matter.</w:t>
      </w:r>
    </w:p>
    <w:p w:rsidR="00706790" w:rsidRPr="00706790" w:rsidRDefault="00706790" w:rsidP="00706790">
      <w:pPr>
        <w:pStyle w:val="AERbulletlistfirststyle"/>
        <w:numPr>
          <w:ilvl w:val="0"/>
          <w:numId w:val="0"/>
        </w:numPr>
      </w:pPr>
      <w:r>
        <w:t>When making our assessment of 2014 and 2015 costs, the Order states that we are required to have regard to 'expenditure of the distributor over the entirety of the [2009–15 period</w:t>
      </w:r>
      <w:r w:rsidRPr="00706790">
        <w:t>]'.</w:t>
      </w:r>
      <w:r w:rsidRPr="00706790">
        <w:rPr>
          <w:rStyle w:val="FootnoteReference"/>
        </w:rPr>
        <w:footnoteReference w:id="40"/>
      </w:r>
    </w:p>
    <w:p w:rsidR="00706790" w:rsidRPr="00706790" w:rsidRDefault="00706790" w:rsidP="00706790">
      <w:pPr>
        <w:pStyle w:val="AERbulletlistfirststyle"/>
        <w:numPr>
          <w:ilvl w:val="0"/>
          <w:numId w:val="0"/>
        </w:numPr>
      </w:pPr>
      <w:r>
        <w:t xml:space="preserve">AusNet Services, United Energy and Jemena </w:t>
      </w:r>
      <w:r w:rsidRPr="00706790">
        <w:t xml:space="preserve">submitted Transition Charges Applications that did exceed the approved budget. Our assessments for these businesses are outlined in sections </w:t>
      </w:r>
      <w:r>
        <w:fldChar w:fldCharType="begin"/>
      </w:r>
      <w:r>
        <w:instrText xml:space="preserve"> REF _Ref459906016 \r \h </w:instrText>
      </w:r>
      <w:r>
        <w:fldChar w:fldCharType="separate"/>
      </w:r>
      <w:r w:rsidR="003C3A1D">
        <w:t>4</w:t>
      </w:r>
      <w:r>
        <w:fldChar w:fldCharType="end"/>
      </w:r>
      <w:r>
        <w:t xml:space="preserve">, </w:t>
      </w:r>
      <w:r>
        <w:fldChar w:fldCharType="begin"/>
      </w:r>
      <w:r>
        <w:instrText xml:space="preserve"> REF _Ref459906018 \r \h </w:instrText>
      </w:r>
      <w:r>
        <w:fldChar w:fldCharType="separate"/>
      </w:r>
      <w:r w:rsidR="003C3A1D">
        <w:t>5</w:t>
      </w:r>
      <w:r>
        <w:fldChar w:fldCharType="end"/>
      </w:r>
      <w:r>
        <w:t xml:space="preserve"> and </w:t>
      </w:r>
      <w:r>
        <w:fldChar w:fldCharType="begin"/>
      </w:r>
      <w:r>
        <w:instrText xml:space="preserve"> REF _Ref461285672 \r \h </w:instrText>
      </w:r>
      <w:r>
        <w:fldChar w:fldCharType="separate"/>
      </w:r>
      <w:r w:rsidR="003C3A1D">
        <w:t>6</w:t>
      </w:r>
      <w:r>
        <w:fldChar w:fldCharType="end"/>
      </w:r>
      <w:r w:rsidRPr="00706790">
        <w:t>, respectively.</w:t>
      </w:r>
    </w:p>
    <w:p w:rsidR="00706790" w:rsidRPr="00B22906" w:rsidRDefault="00706790" w:rsidP="000E55FD">
      <w:pPr>
        <w:pStyle w:val="Heading3"/>
        <w:rPr>
          <w:rStyle w:val="Strong"/>
        </w:rPr>
      </w:pPr>
      <w:bookmarkStart w:id="31" w:name="_Toc460504640"/>
      <w:bookmarkStart w:id="32" w:name="_Toc461526262"/>
      <w:bookmarkStart w:id="33" w:name="_Ref461616833"/>
      <w:r>
        <w:t>Benchmarking</w:t>
      </w:r>
      <w:bookmarkEnd w:id="31"/>
      <w:bookmarkEnd w:id="32"/>
      <w:bookmarkEnd w:id="33"/>
      <w:r>
        <w:t xml:space="preserve">  </w:t>
      </w:r>
    </w:p>
    <w:p w:rsidR="00706790" w:rsidRDefault="00706790" w:rsidP="00706790">
      <w:r>
        <w:t>When making this determination, we must take into account 'the expenditure of a benchmark efficient entity'.</w:t>
      </w:r>
      <w:r>
        <w:rPr>
          <w:rStyle w:val="FootnoteReference"/>
        </w:rPr>
        <w:footnoteReference w:id="41"/>
      </w:r>
      <w:r>
        <w:t xml:space="preserve"> </w:t>
      </w:r>
    </w:p>
    <w:p w:rsidR="00EB6502" w:rsidRDefault="00EB6502" w:rsidP="00EB6502">
      <w:pPr>
        <w:pStyle w:val="HeadingBoldItalic"/>
      </w:pPr>
      <w:r>
        <w:t>Order in council</w:t>
      </w:r>
    </w:p>
    <w:p w:rsidR="00706790" w:rsidRDefault="00706790" w:rsidP="00706790">
      <w:r>
        <w:t>In determining what may be or is a benchmark efficient entity, we may, among other things, have regard to:</w:t>
      </w:r>
    </w:p>
    <w:p w:rsidR="00706790" w:rsidRDefault="00706790" w:rsidP="00706790">
      <w:pPr>
        <w:pStyle w:val="AERbulletlistfirststyle"/>
      </w:pPr>
      <w:r>
        <w:t>meter density</w:t>
      </w:r>
    </w:p>
    <w:p w:rsidR="00706790" w:rsidRDefault="00706790" w:rsidP="00706790">
      <w:pPr>
        <w:pStyle w:val="AERbulletlistfirststyle"/>
      </w:pPr>
      <w:r>
        <w:t>number of meters subject to regulation.</w:t>
      </w:r>
      <w:r>
        <w:rPr>
          <w:rStyle w:val="FootnoteReference"/>
        </w:rPr>
        <w:footnoteReference w:id="42"/>
      </w:r>
    </w:p>
    <w:p w:rsidR="00706790" w:rsidRPr="00706790" w:rsidRDefault="00706790" w:rsidP="00706790">
      <w:pPr>
        <w:pStyle w:val="AERbulletlistfirststyle"/>
        <w:numPr>
          <w:ilvl w:val="0"/>
          <w:numId w:val="0"/>
        </w:numPr>
      </w:pPr>
      <w:r>
        <w:t>With respect to benchmarking methods, the Order states that we may make use of either or both category level benchmarking and aggregated benchmarking.</w:t>
      </w:r>
      <w:r w:rsidRPr="00706790">
        <w:rPr>
          <w:rStyle w:val="FootnoteReference"/>
        </w:rPr>
        <w:footnoteReference w:id="43"/>
      </w:r>
      <w:r w:rsidRPr="00706790">
        <w:t xml:space="preserve"> </w:t>
      </w:r>
    </w:p>
    <w:p w:rsidR="00706790" w:rsidRDefault="00706790" w:rsidP="00706790">
      <w:pPr>
        <w:pStyle w:val="AERbulletlistfirststyle"/>
        <w:numPr>
          <w:ilvl w:val="0"/>
          <w:numId w:val="0"/>
        </w:numPr>
      </w:pPr>
      <w:r>
        <w:t>When benchmarking we are required to take a number of factors into account. These factors are set out in clause 5I.8(c) of the Order. They provide:</w:t>
      </w:r>
    </w:p>
    <w:p w:rsidR="00706790" w:rsidRDefault="00706790" w:rsidP="00706790">
      <w:pPr>
        <w:pStyle w:val="AERbulletlistfirststyle"/>
      </w:pPr>
      <w:r>
        <w:t>that a distributor is the only distributor that incurs particular expenditure or engages in a particular activity is not a matter, and is not to be taken as a matter, that prevents or limits the use of benchmarking</w:t>
      </w:r>
    </w:p>
    <w:p w:rsidR="00706790" w:rsidRDefault="00706790" w:rsidP="00706790">
      <w:pPr>
        <w:pStyle w:val="AERbulletlistfirststyle"/>
      </w:pPr>
      <w:r>
        <w:t xml:space="preserve">that a benchmark efficient entity might not have incurred particular expenditure or engaged in a particular activity is not a matter, and is not to be taken as a matter, that prevents or limits benchmarking of that entity against a distributor or </w:t>
      </w:r>
      <w:r w:rsidRPr="00376F80">
        <w:rPr>
          <w:rStyle w:val="AERtextitalic"/>
        </w:rPr>
        <w:t>vice versa</w:t>
      </w:r>
    </w:p>
    <w:p w:rsidR="00706790" w:rsidRDefault="00706790" w:rsidP="00706790">
      <w:pPr>
        <w:pStyle w:val="AERbulletlistfirststyle"/>
      </w:pPr>
      <w:r>
        <w:t xml:space="preserve">the AER is not bound to proceed on the basis that the starting point for benchmarking is what a distributor has in fact done but may instead proceed from the starting point of what a </w:t>
      </w:r>
      <w:r w:rsidRPr="00A57790">
        <w:rPr>
          <w:rStyle w:val="AERtextitalic"/>
        </w:rPr>
        <w:t>hypothetical benchmark efficient entity</w:t>
      </w:r>
      <w:r>
        <w:t xml:space="preserve"> would have done</w:t>
      </w:r>
    </w:p>
    <w:p w:rsidR="00706790" w:rsidRDefault="00706790" w:rsidP="00706790">
      <w:pPr>
        <w:pStyle w:val="AERbulletlistfirststyle"/>
      </w:pPr>
      <w:r>
        <w:t>benchmarking may proceed on the basis that a benchmark efficient entity's remotely read interval meters become logically converted remotely read interval meters at either or both different rates and different times from the rates and times of the distributor</w:t>
      </w:r>
    </w:p>
    <w:p w:rsidR="00706790" w:rsidRDefault="00706790" w:rsidP="00706790">
      <w:pPr>
        <w:pStyle w:val="AERbulletlistfirststyle"/>
      </w:pPr>
      <w:r>
        <w:t>regard may be had to expenditure on Distribution IT Systems</w:t>
      </w:r>
    </w:p>
    <w:p w:rsidR="00706790" w:rsidRDefault="00706790" w:rsidP="00706790">
      <w:pPr>
        <w:pStyle w:val="AERbulletlistsecondstyle"/>
      </w:pPr>
      <w:r>
        <w:t xml:space="preserve">where such systems are required for all customers of a distributor and not just distribution services that are metering services </w:t>
      </w:r>
    </w:p>
    <w:p w:rsidR="00706790" w:rsidRDefault="00706790" w:rsidP="00706790">
      <w:pPr>
        <w:pStyle w:val="AERbulletlistsecondstyle"/>
      </w:pPr>
      <w:r>
        <w:t>where the expenditure has been or is ought to be brought into account as expenditure for the purposes of standard control services.</w:t>
      </w:r>
      <w:r>
        <w:rPr>
          <w:rStyle w:val="FootnoteReference"/>
        </w:rPr>
        <w:footnoteReference w:id="44"/>
      </w:r>
    </w:p>
    <w:p w:rsidR="00706790" w:rsidRDefault="00706790" w:rsidP="00706790">
      <w:r w:rsidRPr="00E14BFD">
        <w:t>We therefore must take into account benchmarking</w:t>
      </w:r>
      <w:r w:rsidR="000254C6">
        <w:t>,</w:t>
      </w:r>
      <w:r w:rsidRPr="00E14BFD">
        <w:t xml:space="preserve"> but we are also provided with a degree of discretion as to the benchmarking approach we adopt and how we apply the benchmarking.   </w:t>
      </w:r>
    </w:p>
    <w:p w:rsidR="00EB6502" w:rsidRDefault="00FB3ED2" w:rsidP="00BF64E5">
      <w:pPr>
        <w:pStyle w:val="HeadingBoldItalic"/>
      </w:pPr>
      <w:r>
        <w:t>Our</w:t>
      </w:r>
      <w:r w:rsidR="00EB6502">
        <w:t xml:space="preserve"> approach</w:t>
      </w:r>
    </w:p>
    <w:p w:rsidR="00EB6502" w:rsidRPr="00EB6502" w:rsidRDefault="00EB6502" w:rsidP="00EB6502">
      <w:r w:rsidRPr="00EB6502">
        <w:t xml:space="preserve">We engaged Energeia to assist us in conducting the benchmarking required under the Order. The benchmarking which Energeia performed consisted of both a 'top down' and 'bottom up' comparative analysis. </w:t>
      </w:r>
    </w:p>
    <w:p w:rsidR="00EB6502" w:rsidRPr="00EB6502" w:rsidRDefault="00EB6502" w:rsidP="00EB6502">
      <w:r w:rsidRPr="00EB6502">
        <w:t xml:space="preserve">The top down approach is set out in section </w:t>
      </w:r>
      <w:r w:rsidRPr="00EB6502">
        <w:fldChar w:fldCharType="begin"/>
      </w:r>
      <w:r w:rsidRPr="00EB6502">
        <w:instrText xml:space="preserve"> REF _Ref460402362 \r \h </w:instrText>
      </w:r>
      <w:r w:rsidRPr="00EB6502">
        <w:fldChar w:fldCharType="separate"/>
      </w:r>
      <w:r w:rsidR="003C3A1D">
        <w:t>9</w:t>
      </w:r>
      <w:r w:rsidRPr="00EB6502">
        <w:fldChar w:fldCharType="end"/>
      </w:r>
      <w:r w:rsidRPr="00EB6502">
        <w:t xml:space="preserve"> of this draft decision. It included both category level and sub–category level benchmarking analysis. The bottom up approach consisted of, among other things, identifying benchmark efficient unit rates for various AMI roll–out activities. This analysis is consistent with how we have assessed previous applications made by the Victorian distributors to recover 'excess expenditure'.</w:t>
      </w:r>
    </w:p>
    <w:p w:rsidR="00EB6502" w:rsidRPr="00EB6502" w:rsidRDefault="00EB6502" w:rsidP="00EB6502">
      <w:r w:rsidRPr="00EB6502">
        <w:t xml:space="preserve">In making this draft decision, we have had regard to the top down benchmarking outcomes (section </w:t>
      </w:r>
      <w:r w:rsidRPr="00EB6502">
        <w:fldChar w:fldCharType="begin"/>
      </w:r>
      <w:r w:rsidRPr="00EB6502">
        <w:instrText xml:space="preserve"> REF _Ref460402362 \r \h </w:instrText>
      </w:r>
      <w:r w:rsidRPr="00EB6502">
        <w:fldChar w:fldCharType="separate"/>
      </w:r>
      <w:r w:rsidR="003C3A1D">
        <w:t>9</w:t>
      </w:r>
      <w:r w:rsidRPr="00EB6502">
        <w:fldChar w:fldCharType="end"/>
      </w:r>
      <w:r w:rsidRPr="00EB6502">
        <w:t>) to test the relative efficiency of the Victorian distributors' AMI programs. We have not, however, used that analysis to make specific reductions to any of the distributors' proposed excess expenditure.</w:t>
      </w:r>
    </w:p>
    <w:p w:rsidR="00EB6502" w:rsidRPr="00EB6502" w:rsidRDefault="00EB6502" w:rsidP="00EB6502">
      <w:r w:rsidRPr="00EB6502">
        <w:t xml:space="preserve">When we have not accepted an aspect of the Victorian distributors' proposed excess expenditure we have placed greater reliance on Energeia's bottom up benchmarking approach. In conducting this analysis, Energeia assessed the following key issues: </w:t>
      </w:r>
    </w:p>
    <w:p w:rsidR="00EB6502" w:rsidRPr="00EB6502" w:rsidRDefault="00EB6502" w:rsidP="00BF64E5">
      <w:pPr>
        <w:pStyle w:val="AERbulletlistfirststyle"/>
      </w:pPr>
      <w:r w:rsidRPr="00EB6502">
        <w:t>benchmark meter installation costs</w:t>
      </w:r>
    </w:p>
    <w:p w:rsidR="00EB6502" w:rsidRPr="00EB6502" w:rsidRDefault="00EB6502" w:rsidP="00BF64E5">
      <w:pPr>
        <w:pStyle w:val="AERbulletlistfirststyle"/>
      </w:pPr>
      <w:r w:rsidRPr="00EB6502">
        <w:t>volume versus pricing variations in meter installation costs</w:t>
      </w:r>
    </w:p>
    <w:p w:rsidR="00EB6502" w:rsidRPr="00EB6502" w:rsidRDefault="00EB6502" w:rsidP="00BF64E5">
      <w:pPr>
        <w:pStyle w:val="AERbulletlistfirststyle"/>
      </w:pPr>
      <w:r w:rsidRPr="00EB6502">
        <w:t>efficient project management costs</w:t>
      </w:r>
    </w:p>
    <w:p w:rsidR="00EB6502" w:rsidRPr="00EB6502" w:rsidRDefault="00EB6502" w:rsidP="00BF64E5">
      <w:pPr>
        <w:pStyle w:val="AERbulletlistfirststyle"/>
      </w:pPr>
      <w:r w:rsidRPr="00EB6502">
        <w:t>benchmark program management costs</w:t>
      </w:r>
      <w:r w:rsidR="00D87322">
        <w:t>.</w:t>
      </w:r>
    </w:p>
    <w:p w:rsidR="00BF64E5" w:rsidRPr="00EB6502" w:rsidRDefault="00FB3ED2" w:rsidP="00EB6502">
      <w:r w:rsidRPr="00EB6502">
        <w:t>In this draft decision, we have reviewed and accepted Energeia’s benchmarking results for each of the businesses.  We consider that the reasoning behind Energeia’s methodology, as set out in section 3.1 of its report, is sound and the methodology it has applied is in accordance with the Order.  Energeia has taken into account limitations in relation to the dataset available and satisfactorily addressed the limitations of category and sub-category level benchmarking for the purposes of assessing particular expenditure under the Order.  We also concur with its assessment of the methodologies proposed by some of the distributors for the reasons set out in its report.</w:t>
      </w:r>
      <w:r w:rsidR="00BF64E5">
        <w:rPr>
          <w:rStyle w:val="FootnoteReference"/>
        </w:rPr>
        <w:footnoteReference w:id="45"/>
      </w:r>
      <w:r w:rsidRPr="00EB6502">
        <w:t xml:space="preserve"> Energeia accepted some aspects of those methodologies but also i</w:t>
      </w:r>
      <w:r w:rsidR="00EB6502" w:rsidRPr="00EB6502">
        <w:t>dentified certain deficiencies.</w:t>
      </w:r>
    </w:p>
    <w:p w:rsidR="00EB6502" w:rsidRPr="00EB6502" w:rsidRDefault="00EB6502" w:rsidP="00EB6502"/>
    <w:p w:rsidR="00511D62" w:rsidRDefault="00D25591" w:rsidP="00511D62">
      <w:pPr>
        <w:pStyle w:val="Heading1"/>
      </w:pPr>
      <w:bookmarkStart w:id="34" w:name="_Ref459906016"/>
      <w:bookmarkStart w:id="35" w:name="_Toc461526263"/>
      <w:r>
        <w:t>AusNet Services</w:t>
      </w:r>
      <w:bookmarkEnd w:id="34"/>
      <w:bookmarkEnd w:id="35"/>
    </w:p>
    <w:p w:rsidR="00510A73" w:rsidRDefault="004D03FA" w:rsidP="000837DF">
      <w:r>
        <w:t>We do not accept AusNet Services</w:t>
      </w:r>
      <w:r w:rsidR="00AF7B94">
        <w:t>'</w:t>
      </w:r>
      <w:r w:rsidR="00BF6685">
        <w:t xml:space="preserve"> Transition C</w:t>
      </w:r>
      <w:r w:rsidR="00D004FB">
        <w:t>harge</w:t>
      </w:r>
      <w:r w:rsidR="00BF6685">
        <w:t xml:space="preserve"> A</w:t>
      </w:r>
      <w:r>
        <w:t>pplication</w:t>
      </w:r>
      <w:r w:rsidR="000254C6">
        <w:t xml:space="preserve">, which proposed a </w:t>
      </w:r>
      <w:r w:rsidR="00596D1C">
        <w:t xml:space="preserve">negative </w:t>
      </w:r>
      <w:r w:rsidR="000254C6">
        <w:t xml:space="preserve">transition charge of </w:t>
      </w:r>
      <w:r w:rsidR="00596D1C">
        <w:t>$25</w:t>
      </w:r>
      <w:r w:rsidR="00C95CD9">
        <w:t>.5 million ($2018).</w:t>
      </w:r>
      <w:r w:rsidR="00C95CD9">
        <w:rPr>
          <w:rStyle w:val="FootnoteReference"/>
        </w:rPr>
        <w:footnoteReference w:id="46"/>
      </w:r>
      <w:r w:rsidR="00082863">
        <w:t xml:space="preserve"> </w:t>
      </w:r>
      <w:r w:rsidR="009D4991">
        <w:t xml:space="preserve">In place of </w:t>
      </w:r>
      <w:r w:rsidR="00991849">
        <w:t xml:space="preserve">its </w:t>
      </w:r>
      <w:r w:rsidR="009D4991">
        <w:t xml:space="preserve">proposal, we have calculated a substitute transition charge. </w:t>
      </w:r>
    </w:p>
    <w:p w:rsidR="00AF19A7" w:rsidRDefault="00AF19A7" w:rsidP="00AF19A7">
      <w:pPr>
        <w:pStyle w:val="Heading2"/>
      </w:pPr>
      <w:bookmarkStart w:id="36" w:name="_Toc461526264"/>
      <w:r>
        <w:t>Draft decision</w:t>
      </w:r>
      <w:bookmarkEnd w:id="36"/>
    </w:p>
    <w:p w:rsidR="00C5458E" w:rsidRDefault="00EA403A" w:rsidP="00EA403A">
      <w:r w:rsidRPr="00EA403A">
        <w:t>Our draft decision provides for a neg</w:t>
      </w:r>
      <w:r w:rsidR="005A119A">
        <w:t>ativ</w:t>
      </w:r>
      <w:r w:rsidR="005F343A">
        <w:t>e transition charge of $62.1</w:t>
      </w:r>
      <w:r w:rsidRPr="00EA403A">
        <w:t xml:space="preserve"> million ($2018). </w:t>
      </w:r>
    </w:p>
    <w:p w:rsidR="00A83852" w:rsidRDefault="00A83852" w:rsidP="00EA403A">
      <w:r>
        <w:t xml:space="preserve">Under the Order, the calculation of AusNet Services' transition charge must consist of a revenue and costs true–up and a MAB adjustment (see section </w:t>
      </w:r>
      <w:r>
        <w:fldChar w:fldCharType="begin"/>
      </w:r>
      <w:r>
        <w:instrText xml:space="preserve"> REF _Ref461458739 \n \h </w:instrText>
      </w:r>
      <w:r>
        <w:fldChar w:fldCharType="separate"/>
      </w:r>
      <w:r w:rsidR="003C3A1D">
        <w:t>3.1</w:t>
      </w:r>
      <w:r>
        <w:fldChar w:fldCharType="end"/>
      </w:r>
      <w:r>
        <w:t>).</w:t>
      </w:r>
      <w:r>
        <w:rPr>
          <w:rStyle w:val="FootnoteReference"/>
        </w:rPr>
        <w:footnoteReference w:id="47"/>
      </w:r>
      <w:r>
        <w:t xml:space="preserve"> A</w:t>
      </w:r>
      <w:r w:rsidR="00365502">
        <w:t>usNet Services' application</w:t>
      </w:r>
      <w:r>
        <w:t xml:space="preserve"> included the revenue and costs true–up in the calculation of its proposed transition charge</w:t>
      </w:r>
      <w:r w:rsidR="00365502">
        <w:t xml:space="preserve"> but </w:t>
      </w:r>
      <w:r w:rsidR="000254C6">
        <w:t xml:space="preserve">did </w:t>
      </w:r>
      <w:r w:rsidR="00365502">
        <w:t xml:space="preserve">not </w:t>
      </w:r>
      <w:r w:rsidR="000254C6">
        <w:t xml:space="preserve">include </w:t>
      </w:r>
      <w:r w:rsidR="00365502">
        <w:t>the MAB adjustment</w:t>
      </w:r>
      <w:r>
        <w:t>. We have not accepted this aspect of AusNet Services' proposal.</w:t>
      </w:r>
    </w:p>
    <w:p w:rsidR="00755C4C" w:rsidRDefault="00434015" w:rsidP="00EA403A">
      <w:r>
        <w:fldChar w:fldCharType="begin"/>
      </w:r>
      <w:r>
        <w:instrText xml:space="preserve"> REF _Ref461206278 \h </w:instrText>
      </w:r>
      <w:r>
        <w:fldChar w:fldCharType="separate"/>
      </w:r>
      <w:r w:rsidR="003C3A1D">
        <w:t xml:space="preserve">Figure </w:t>
      </w:r>
      <w:r w:rsidR="003C3A1D">
        <w:rPr>
          <w:noProof/>
        </w:rPr>
        <w:t>4</w:t>
      </w:r>
      <w:r w:rsidR="003C3A1D">
        <w:t>.</w:t>
      </w:r>
      <w:r w:rsidR="003C3A1D">
        <w:rPr>
          <w:noProof/>
        </w:rPr>
        <w:t>1</w:t>
      </w:r>
      <w:r>
        <w:fldChar w:fldCharType="end"/>
      </w:r>
      <w:r>
        <w:t xml:space="preserve"> </w:t>
      </w:r>
      <w:r w:rsidR="006715B3">
        <w:t>sets out the components that make up our d</w:t>
      </w:r>
      <w:r w:rsidR="00051190">
        <w:t xml:space="preserve">raft decision. </w:t>
      </w:r>
      <w:r w:rsidR="00732808">
        <w:t>It shows that our </w:t>
      </w:r>
      <w:r w:rsidR="006D3CCA">
        <w:t>draft decision transition charge consists of a revenue and costs true–up</w:t>
      </w:r>
      <w:r w:rsidR="00732808">
        <w:t xml:space="preserve"> of </w:t>
      </w:r>
      <w:r w:rsidR="003D3DB2">
        <w:t xml:space="preserve">negative </w:t>
      </w:r>
      <w:r w:rsidR="00732808">
        <w:t>$42.0 million ($2018)</w:t>
      </w:r>
      <w:r w:rsidR="006D3CCA">
        <w:t xml:space="preserve"> </w:t>
      </w:r>
      <w:r w:rsidR="003D3DB2">
        <w:t xml:space="preserve">plus a </w:t>
      </w:r>
      <w:r w:rsidR="006D3CCA">
        <w:t xml:space="preserve"> </w:t>
      </w:r>
      <w:r w:rsidR="00732808">
        <w:t xml:space="preserve">MAB </w:t>
      </w:r>
      <w:r w:rsidR="003B5A94">
        <w:t>adjustment</w:t>
      </w:r>
      <w:r w:rsidR="00732808">
        <w:t xml:space="preserve"> of </w:t>
      </w:r>
      <w:r w:rsidR="003D3DB2">
        <w:t xml:space="preserve">negative </w:t>
      </w:r>
      <w:r w:rsidR="005F343A">
        <w:t>$20.1</w:t>
      </w:r>
      <w:r w:rsidR="00732808">
        <w:t xml:space="preserve"> million ($2018)</w:t>
      </w:r>
      <w:r w:rsidR="003D3DB2">
        <w:t xml:space="preserve"> giving a total transition charge of </w:t>
      </w:r>
      <w:r w:rsidR="005F343A">
        <w:t>negative $62.1</w:t>
      </w:r>
      <w:r w:rsidR="003D3DB2">
        <w:t xml:space="preserve"> million ($2018)</w:t>
      </w:r>
      <w:r w:rsidR="006D3CCA">
        <w:t>.</w:t>
      </w:r>
    </w:p>
    <w:p w:rsidR="00434015" w:rsidRDefault="00434015" w:rsidP="00434015">
      <w:pPr>
        <w:pStyle w:val="Caption"/>
      </w:pPr>
      <w:bookmarkStart w:id="37" w:name="_Ref461206278"/>
      <w:r>
        <w:t xml:space="preserve">Figure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t>.</w:t>
      </w:r>
      <w:fldSimple w:instr=" SEQ Figure \* ARABIC \s 1 ">
        <w:r w:rsidR="003C3A1D">
          <w:rPr>
            <w:noProof/>
          </w:rPr>
          <w:t>1</w:t>
        </w:r>
      </w:fldSimple>
      <w:bookmarkEnd w:id="37"/>
      <w:r>
        <w:tab/>
        <w:t>Draft decision transition charge ($2018)</w:t>
      </w:r>
    </w:p>
    <w:p w:rsidR="00434015" w:rsidRDefault="00434015" w:rsidP="00EA403A">
      <w:r>
        <w:rPr>
          <w:noProof/>
          <w:lang w:val="en-US"/>
        </w:rPr>
        <w:drawing>
          <wp:inline distT="0" distB="0" distL="0" distR="0" wp14:anchorId="5A5F6FCC" wp14:editId="1A50BA15">
            <wp:extent cx="5382883" cy="1319842"/>
            <wp:effectExtent l="0" t="0" r="889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51190" w:rsidRDefault="00051190" w:rsidP="00051190">
      <w:pPr>
        <w:pStyle w:val="AERtablesource"/>
      </w:pPr>
      <w:r>
        <w:t>Source:</w:t>
      </w:r>
      <w:r>
        <w:tab/>
        <w:t>AER analysis</w:t>
      </w:r>
    </w:p>
    <w:p w:rsidR="000744D6" w:rsidRDefault="00C5458E" w:rsidP="00EA403A">
      <w:pPr>
        <w:pStyle w:val="Heading3"/>
      </w:pPr>
      <w:bookmarkStart w:id="38" w:name="_Ref461206501"/>
      <w:bookmarkStart w:id="39" w:name="_Toc461447502"/>
      <w:bookmarkStart w:id="40" w:name="_Toc461526265"/>
      <w:r>
        <w:t>Revenue and costs true–up</w:t>
      </w:r>
      <w:bookmarkEnd w:id="38"/>
      <w:bookmarkEnd w:id="39"/>
      <w:bookmarkEnd w:id="40"/>
      <w:r w:rsidR="00EA403A" w:rsidRPr="00EA403A">
        <w:t xml:space="preserve"> </w:t>
      </w:r>
    </w:p>
    <w:p w:rsidR="006715B3" w:rsidRDefault="00434015" w:rsidP="006715B3">
      <w:r>
        <w:t>We have calculated a</w:t>
      </w:r>
      <w:r w:rsidR="00E542E4">
        <w:t xml:space="preserve"> negative</w:t>
      </w:r>
      <w:r>
        <w:t xml:space="preserve"> revenue and </w:t>
      </w:r>
      <w:r w:rsidR="00991849">
        <w:t>costs true–up of $</w:t>
      </w:r>
      <w:r w:rsidR="00132AEB">
        <w:t>42.0</w:t>
      </w:r>
      <w:r>
        <w:t xml:space="preserve"> million ($2018).</w:t>
      </w:r>
    </w:p>
    <w:p w:rsidR="00551400" w:rsidRDefault="00E542E4" w:rsidP="006715B3">
      <w:r>
        <w:t>Our draft decision will provide for a greater return of revenue to customers in the 2018 year of the 2016–20</w:t>
      </w:r>
      <w:r w:rsidR="00E0035F">
        <w:t>20</w:t>
      </w:r>
      <w:r>
        <w:t xml:space="preserve"> regulatory control period. This compare</w:t>
      </w:r>
      <w:r w:rsidR="003D3DB2">
        <w:t>s</w:t>
      </w:r>
      <w:r>
        <w:t xml:space="preserve"> to AusNet Services' proposal</w:t>
      </w:r>
      <w:r w:rsidR="00132AEB">
        <w:t xml:space="preserve"> </w:t>
      </w:r>
      <w:r w:rsidR="003D3DB2">
        <w:t>that would have meant a return of revenue to customers  of</w:t>
      </w:r>
      <w:r w:rsidR="00132AEB">
        <w:t xml:space="preserve"> $12.5 million ($2009) </w:t>
      </w:r>
      <w:r w:rsidR="003D3DB2">
        <w:t xml:space="preserve">if their revenue and costs </w:t>
      </w:r>
      <w:r w:rsidR="00132AEB">
        <w:t>true–up</w:t>
      </w:r>
      <w:r>
        <w:t xml:space="preserve"> was accepted.</w:t>
      </w:r>
      <w:r w:rsidR="00551400">
        <w:t xml:space="preserve"> </w:t>
      </w:r>
    </w:p>
    <w:p w:rsidR="002B6D1B" w:rsidRDefault="00E542E4" w:rsidP="006715B3">
      <w:r>
        <w:t>The key difference</w:t>
      </w:r>
      <w:r w:rsidR="00FD3501">
        <w:t>s</w:t>
      </w:r>
      <w:r>
        <w:t xml:space="preserve"> between our draft decision and AusNet Services' proposal</w:t>
      </w:r>
      <w:r w:rsidR="00551400">
        <w:t xml:space="preserve"> are</w:t>
      </w:r>
      <w:r w:rsidR="002B6D1B">
        <w:t>:</w:t>
      </w:r>
    </w:p>
    <w:p w:rsidR="002B6D1B" w:rsidRDefault="00E542E4" w:rsidP="00551400">
      <w:pPr>
        <w:pStyle w:val="AERbulletlistfirststyle"/>
      </w:pPr>
      <w:r>
        <w:t>the net present value (NPV) to which we have discounted</w:t>
      </w:r>
    </w:p>
    <w:p w:rsidR="002B6D1B" w:rsidRDefault="000E55FD" w:rsidP="00551400">
      <w:pPr>
        <w:pStyle w:val="AERbulletlistfirststyle"/>
      </w:pPr>
      <w:r>
        <w:t>o</w:t>
      </w:r>
      <w:r w:rsidR="002B6D1B">
        <w:t>ur assessment of AusNet Services' proposed 2014 and 2015 excess expenditure</w:t>
      </w:r>
      <w:r w:rsidR="00E542E4">
        <w:t>.</w:t>
      </w:r>
      <w:r w:rsidR="00132AEB">
        <w:t xml:space="preserve"> </w:t>
      </w:r>
    </w:p>
    <w:p w:rsidR="00132AEB" w:rsidRDefault="00132AEB">
      <w:r>
        <w:t>In its proposal AusNet Services discounted its true–up amount to a 2009 NPV. Since the transition charge will apply in 2018, we do not consider this aspect of AusNet Services' proposal to reflect the requirements of the Order.</w:t>
      </w:r>
      <w:r w:rsidR="000979FC">
        <w:rPr>
          <w:rStyle w:val="FootnoteReference"/>
        </w:rPr>
        <w:footnoteReference w:id="48"/>
      </w:r>
      <w:r>
        <w:t xml:space="preserve"> </w:t>
      </w:r>
    </w:p>
    <w:p w:rsidR="00132AEB" w:rsidRDefault="00132AEB" w:rsidP="006715B3">
      <w:r>
        <w:t xml:space="preserve">When we </w:t>
      </w:r>
      <w:r w:rsidR="003D3DB2">
        <w:t xml:space="preserve">correctly </w:t>
      </w:r>
      <w:r>
        <w:t xml:space="preserve">discounted AusNet Services' proposal to its 2018 NPV, we calculate that the distributor's </w:t>
      </w:r>
      <w:r w:rsidR="00D51702">
        <w:t xml:space="preserve">proposal </w:t>
      </w:r>
      <w:r w:rsidR="003D3DB2">
        <w:t xml:space="preserve">actually </w:t>
      </w:r>
      <w:r w:rsidR="00D51702">
        <w:t>equates to</w:t>
      </w:r>
      <w:r>
        <w:t xml:space="preserve"> a negative revenue and costs true–up of $25.5 million ($2018). This is </w:t>
      </w:r>
      <w:r w:rsidR="00551400">
        <w:t>still a smaller return to customers</w:t>
      </w:r>
      <w:r>
        <w:t xml:space="preserve"> </w:t>
      </w:r>
      <w:r w:rsidR="000979FC">
        <w:t>than</w:t>
      </w:r>
      <w:r>
        <w:t xml:space="preserve"> the $42.0 million ($2018) we have calculated in this draft decision.</w:t>
      </w:r>
      <w:r w:rsidR="000979FC">
        <w:t xml:space="preserve"> </w:t>
      </w:r>
      <w:r w:rsidR="00551400">
        <w:t>The reason for this</w:t>
      </w:r>
      <w:r w:rsidR="002B6D1B">
        <w:t xml:space="preserve"> </w:t>
      </w:r>
      <w:r w:rsidR="000979FC">
        <w:t xml:space="preserve">is that we have not accepted all of AusNet Services' proposed 2014 and 2015 excess expenditure. Our reasons on this aspect of our draft decision are set out in section </w:t>
      </w:r>
      <w:r w:rsidR="000979FC">
        <w:fldChar w:fldCharType="begin"/>
      </w:r>
      <w:r w:rsidR="000979FC">
        <w:instrText xml:space="preserve"> REF _Ref461204081 \r \h </w:instrText>
      </w:r>
      <w:r w:rsidR="000979FC">
        <w:fldChar w:fldCharType="separate"/>
      </w:r>
      <w:r w:rsidR="003C3A1D">
        <w:t>4.2</w:t>
      </w:r>
      <w:r w:rsidR="000979FC">
        <w:fldChar w:fldCharType="end"/>
      </w:r>
      <w:r w:rsidR="000979FC">
        <w:t>.</w:t>
      </w:r>
    </w:p>
    <w:p w:rsidR="00132AEB" w:rsidRDefault="000979FC" w:rsidP="006715B3">
      <w:r>
        <w:t>To calculate the revenue and costs true–up</w:t>
      </w:r>
      <w:r w:rsidR="00D51702">
        <w:t xml:space="preserve"> in accordance with the Order, </w:t>
      </w:r>
      <w:r w:rsidR="00A2652A">
        <w:t>we followed a</w:t>
      </w:r>
      <w:r w:rsidR="00D51702">
        <w:t xml:space="preserve"> series of steps outlined below</w:t>
      </w:r>
      <w:r w:rsidR="00132AEB">
        <w:t>.</w:t>
      </w:r>
    </w:p>
    <w:p w:rsidR="006715B3" w:rsidRPr="004A3CA1" w:rsidRDefault="006715B3" w:rsidP="004A3CA1">
      <w:pPr>
        <w:pStyle w:val="HeadingBoldItalic"/>
        <w:rPr>
          <w:rStyle w:val="Strong"/>
          <w:b/>
          <w:bCs/>
        </w:rPr>
      </w:pPr>
      <w:r w:rsidRPr="004A3CA1">
        <w:rPr>
          <w:rStyle w:val="Strong"/>
          <w:b/>
          <w:bCs/>
        </w:rPr>
        <w:t>Step one</w:t>
      </w:r>
    </w:p>
    <w:p w:rsidR="004A3CA1" w:rsidRDefault="007217BE" w:rsidP="006715B3">
      <w:r>
        <w:t>The first step we took in calculating AusNet Services' revenue and costs</w:t>
      </w:r>
      <w:r w:rsidR="004A3CA1">
        <w:t xml:space="preserve"> true–up</w:t>
      </w:r>
      <w:r>
        <w:t xml:space="preserve"> was to verify </w:t>
      </w:r>
      <w:r w:rsidR="00732808">
        <w:t xml:space="preserve">the </w:t>
      </w:r>
      <w:r w:rsidR="004A3CA1">
        <w:t>distributor's</w:t>
      </w:r>
      <w:r>
        <w:t xml:space="preserve"> </w:t>
      </w:r>
      <w:r w:rsidR="003D3DB2">
        <w:t xml:space="preserve">actual </w:t>
      </w:r>
      <w:r>
        <w:t>AMI revenue</w:t>
      </w:r>
      <w:r w:rsidR="004A3CA1">
        <w:t xml:space="preserve"> </w:t>
      </w:r>
      <w:r w:rsidR="003D3DB2">
        <w:t xml:space="preserve">recovered from its customers </w:t>
      </w:r>
      <w:r w:rsidR="004A3CA1">
        <w:t>over the 2009–15 period</w:t>
      </w:r>
      <w:r>
        <w:t xml:space="preserve">. </w:t>
      </w:r>
    </w:p>
    <w:p w:rsidR="006715B3" w:rsidRPr="006715B3" w:rsidRDefault="007217BE" w:rsidP="006715B3">
      <w:r>
        <w:fldChar w:fldCharType="begin"/>
      </w:r>
      <w:r>
        <w:instrText xml:space="preserve"> REF _Ref461203153 \h </w:instrText>
      </w:r>
      <w:r>
        <w:fldChar w:fldCharType="separate"/>
      </w:r>
      <w:r w:rsidR="003C3A1D">
        <w:t xml:space="preserve">Table </w:t>
      </w:r>
      <w:r w:rsidR="003C3A1D">
        <w:rPr>
          <w:noProof/>
        </w:rPr>
        <w:t>4</w:t>
      </w:r>
      <w:r w:rsidR="003C3A1D">
        <w:t>.</w:t>
      </w:r>
      <w:r w:rsidR="003C3A1D">
        <w:rPr>
          <w:noProof/>
        </w:rPr>
        <w:t>1</w:t>
      </w:r>
      <w:r>
        <w:fldChar w:fldCharType="end"/>
      </w:r>
      <w:r w:rsidR="004A3CA1">
        <w:t xml:space="preserve"> sets out AusNet Services' AMI tariff revenue which we have verified against audited regulatory information notices.</w:t>
      </w:r>
    </w:p>
    <w:p w:rsidR="004B2781" w:rsidRDefault="004B2781" w:rsidP="004B2781">
      <w:pPr>
        <w:pStyle w:val="Caption"/>
      </w:pPr>
      <w:bookmarkStart w:id="41" w:name="_Ref461203153"/>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1</w:t>
        </w:r>
      </w:fldSimple>
      <w:bookmarkEnd w:id="41"/>
      <w:r>
        <w:tab/>
      </w:r>
      <w:r w:rsidR="005A119A">
        <w:t>AMI tariff revenue</w:t>
      </w:r>
      <w:r w:rsidR="00755C4C">
        <w:t xml:space="preserve"> ($m,</w:t>
      </w:r>
      <w:r w:rsidR="006715B3">
        <w:t xml:space="preserve"> NPV</w:t>
      </w:r>
      <w:r w:rsidR="00755C4C">
        <w:t xml:space="preserve"> 2009)</w:t>
      </w:r>
    </w:p>
    <w:tbl>
      <w:tblPr>
        <w:tblStyle w:val="AERtable-numbers"/>
        <w:tblW w:w="0" w:type="auto"/>
        <w:tblLook w:val="04A0" w:firstRow="1" w:lastRow="0" w:firstColumn="1" w:lastColumn="0" w:noHBand="0" w:noVBand="1"/>
      </w:tblPr>
      <w:tblGrid>
        <w:gridCol w:w="1066"/>
        <w:gridCol w:w="962"/>
        <w:gridCol w:w="964"/>
        <w:gridCol w:w="964"/>
        <w:gridCol w:w="964"/>
        <w:gridCol w:w="999"/>
        <w:gridCol w:w="999"/>
        <w:gridCol w:w="930"/>
        <w:gridCol w:w="845"/>
      </w:tblGrid>
      <w:tr w:rsidR="008F441F" w:rsidTr="008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rsidR="008F441F" w:rsidRDefault="008F441F" w:rsidP="00EA403A"/>
        </w:tc>
        <w:tc>
          <w:tcPr>
            <w:tcW w:w="962" w:type="dxa"/>
          </w:tcPr>
          <w:p w:rsidR="008F441F" w:rsidRDefault="008F441F" w:rsidP="00EA403A">
            <w:pPr>
              <w:cnfStyle w:val="100000000000" w:firstRow="1" w:lastRow="0" w:firstColumn="0" w:lastColumn="0" w:oddVBand="0" w:evenVBand="0" w:oddHBand="0" w:evenHBand="0" w:firstRowFirstColumn="0" w:firstRowLastColumn="0" w:lastRowFirstColumn="0" w:lastRowLastColumn="0"/>
            </w:pPr>
            <w:r>
              <w:t>2009</w:t>
            </w:r>
          </w:p>
        </w:tc>
        <w:tc>
          <w:tcPr>
            <w:tcW w:w="964" w:type="dxa"/>
          </w:tcPr>
          <w:p w:rsidR="008F441F" w:rsidRDefault="008F441F" w:rsidP="00EA403A">
            <w:pPr>
              <w:cnfStyle w:val="100000000000" w:firstRow="1" w:lastRow="0" w:firstColumn="0" w:lastColumn="0" w:oddVBand="0" w:evenVBand="0" w:oddHBand="0" w:evenHBand="0" w:firstRowFirstColumn="0" w:firstRowLastColumn="0" w:lastRowFirstColumn="0" w:lastRowLastColumn="0"/>
            </w:pPr>
            <w:r>
              <w:t>2010</w:t>
            </w:r>
          </w:p>
        </w:tc>
        <w:tc>
          <w:tcPr>
            <w:tcW w:w="964" w:type="dxa"/>
          </w:tcPr>
          <w:p w:rsidR="008F441F" w:rsidRDefault="008F441F" w:rsidP="00EA403A">
            <w:pPr>
              <w:cnfStyle w:val="100000000000" w:firstRow="1" w:lastRow="0" w:firstColumn="0" w:lastColumn="0" w:oddVBand="0" w:evenVBand="0" w:oddHBand="0" w:evenHBand="0" w:firstRowFirstColumn="0" w:firstRowLastColumn="0" w:lastRowFirstColumn="0" w:lastRowLastColumn="0"/>
            </w:pPr>
            <w:r>
              <w:t>2011</w:t>
            </w:r>
          </w:p>
        </w:tc>
        <w:tc>
          <w:tcPr>
            <w:tcW w:w="964" w:type="dxa"/>
          </w:tcPr>
          <w:p w:rsidR="008F441F" w:rsidRDefault="008F441F" w:rsidP="00EA403A">
            <w:pPr>
              <w:cnfStyle w:val="100000000000" w:firstRow="1" w:lastRow="0" w:firstColumn="0" w:lastColumn="0" w:oddVBand="0" w:evenVBand="0" w:oddHBand="0" w:evenHBand="0" w:firstRowFirstColumn="0" w:firstRowLastColumn="0" w:lastRowFirstColumn="0" w:lastRowLastColumn="0"/>
            </w:pPr>
            <w:r>
              <w:t>2012</w:t>
            </w:r>
          </w:p>
        </w:tc>
        <w:tc>
          <w:tcPr>
            <w:tcW w:w="999" w:type="dxa"/>
          </w:tcPr>
          <w:p w:rsidR="008F441F" w:rsidRDefault="008F441F" w:rsidP="00EA403A">
            <w:pPr>
              <w:cnfStyle w:val="100000000000" w:firstRow="1" w:lastRow="0" w:firstColumn="0" w:lastColumn="0" w:oddVBand="0" w:evenVBand="0" w:oddHBand="0" w:evenHBand="0" w:firstRowFirstColumn="0" w:firstRowLastColumn="0" w:lastRowFirstColumn="0" w:lastRowLastColumn="0"/>
            </w:pPr>
            <w:r>
              <w:t>2013</w:t>
            </w:r>
          </w:p>
        </w:tc>
        <w:tc>
          <w:tcPr>
            <w:tcW w:w="999" w:type="dxa"/>
          </w:tcPr>
          <w:p w:rsidR="008F441F" w:rsidRDefault="008F441F" w:rsidP="00EA403A">
            <w:pPr>
              <w:cnfStyle w:val="100000000000" w:firstRow="1" w:lastRow="0" w:firstColumn="0" w:lastColumn="0" w:oddVBand="0" w:evenVBand="0" w:oddHBand="0" w:evenHBand="0" w:firstRowFirstColumn="0" w:firstRowLastColumn="0" w:lastRowFirstColumn="0" w:lastRowLastColumn="0"/>
            </w:pPr>
            <w:r>
              <w:t>2014</w:t>
            </w:r>
          </w:p>
        </w:tc>
        <w:tc>
          <w:tcPr>
            <w:tcW w:w="930" w:type="dxa"/>
          </w:tcPr>
          <w:p w:rsidR="008F441F" w:rsidRDefault="008F441F" w:rsidP="00EA403A">
            <w:pPr>
              <w:cnfStyle w:val="100000000000" w:firstRow="1" w:lastRow="0" w:firstColumn="0" w:lastColumn="0" w:oddVBand="0" w:evenVBand="0" w:oddHBand="0" w:evenHBand="0" w:firstRowFirstColumn="0" w:firstRowLastColumn="0" w:lastRowFirstColumn="0" w:lastRowLastColumn="0"/>
            </w:pPr>
            <w:r>
              <w:t>2015</w:t>
            </w:r>
          </w:p>
        </w:tc>
        <w:tc>
          <w:tcPr>
            <w:tcW w:w="845" w:type="dxa"/>
          </w:tcPr>
          <w:p w:rsidR="008F441F" w:rsidRDefault="008F441F" w:rsidP="00EA403A">
            <w:pPr>
              <w:cnfStyle w:val="100000000000" w:firstRow="1" w:lastRow="0" w:firstColumn="0" w:lastColumn="0" w:oddVBand="0" w:evenVBand="0" w:oddHBand="0" w:evenHBand="0" w:firstRowFirstColumn="0" w:firstRowLastColumn="0" w:lastRowFirstColumn="0" w:lastRowLastColumn="0"/>
            </w:pPr>
            <w:r>
              <w:t>Total</w:t>
            </w:r>
          </w:p>
        </w:tc>
      </w:tr>
      <w:tr w:rsidR="008F441F" w:rsidTr="008F441F">
        <w:tc>
          <w:tcPr>
            <w:cnfStyle w:val="001000000000" w:firstRow="0" w:lastRow="0" w:firstColumn="1" w:lastColumn="0" w:oddVBand="0" w:evenVBand="0" w:oddHBand="0" w:evenHBand="0" w:firstRowFirstColumn="0" w:firstRowLastColumn="0" w:lastRowFirstColumn="0" w:lastRowLastColumn="0"/>
            <w:tcW w:w="1066" w:type="dxa"/>
          </w:tcPr>
          <w:p w:rsidR="008F441F" w:rsidRDefault="008F441F" w:rsidP="00EA403A">
            <w:r>
              <w:t>Tariff revenue</w:t>
            </w:r>
          </w:p>
        </w:tc>
        <w:tc>
          <w:tcPr>
            <w:tcW w:w="962" w:type="dxa"/>
          </w:tcPr>
          <w:p w:rsidR="008F441F" w:rsidRDefault="008F441F" w:rsidP="00EA403A">
            <w:pPr>
              <w:cnfStyle w:val="000000000000" w:firstRow="0" w:lastRow="0" w:firstColumn="0" w:lastColumn="0" w:oddVBand="0" w:evenVBand="0" w:oddHBand="0" w:evenHBand="0" w:firstRowFirstColumn="0" w:firstRowLastColumn="0" w:lastRowFirstColumn="0" w:lastRowLastColumn="0"/>
            </w:pPr>
            <w:r>
              <w:t>35.8</w:t>
            </w:r>
          </w:p>
        </w:tc>
        <w:tc>
          <w:tcPr>
            <w:tcW w:w="964" w:type="dxa"/>
          </w:tcPr>
          <w:p w:rsidR="008F441F" w:rsidRDefault="008F441F" w:rsidP="00EA403A">
            <w:pPr>
              <w:cnfStyle w:val="000000000000" w:firstRow="0" w:lastRow="0" w:firstColumn="0" w:lastColumn="0" w:oddVBand="0" w:evenVBand="0" w:oddHBand="0" w:evenHBand="0" w:firstRowFirstColumn="0" w:firstRowLastColumn="0" w:lastRowFirstColumn="0" w:lastRowLastColumn="0"/>
            </w:pPr>
            <w:r>
              <w:t>57.3</w:t>
            </w:r>
          </w:p>
        </w:tc>
        <w:tc>
          <w:tcPr>
            <w:tcW w:w="964" w:type="dxa"/>
          </w:tcPr>
          <w:p w:rsidR="008F441F" w:rsidRDefault="008F441F" w:rsidP="00EA403A">
            <w:pPr>
              <w:cnfStyle w:val="000000000000" w:firstRow="0" w:lastRow="0" w:firstColumn="0" w:lastColumn="0" w:oddVBand="0" w:evenVBand="0" w:oddHBand="0" w:evenHBand="0" w:firstRowFirstColumn="0" w:firstRowLastColumn="0" w:lastRowFirstColumn="0" w:lastRowLastColumn="0"/>
            </w:pPr>
            <w:r>
              <w:t>58.4</w:t>
            </w:r>
          </w:p>
        </w:tc>
        <w:tc>
          <w:tcPr>
            <w:tcW w:w="964" w:type="dxa"/>
          </w:tcPr>
          <w:p w:rsidR="008F441F" w:rsidRDefault="008F441F" w:rsidP="00EA403A">
            <w:pPr>
              <w:cnfStyle w:val="000000000000" w:firstRow="0" w:lastRow="0" w:firstColumn="0" w:lastColumn="0" w:oddVBand="0" w:evenVBand="0" w:oddHBand="0" w:evenHBand="0" w:firstRowFirstColumn="0" w:firstRowLastColumn="0" w:lastRowFirstColumn="0" w:lastRowLastColumn="0"/>
            </w:pPr>
            <w:r>
              <w:t>60.2</w:t>
            </w:r>
          </w:p>
        </w:tc>
        <w:tc>
          <w:tcPr>
            <w:tcW w:w="999" w:type="dxa"/>
          </w:tcPr>
          <w:p w:rsidR="008F441F" w:rsidRDefault="008F441F" w:rsidP="00EA403A">
            <w:pPr>
              <w:cnfStyle w:val="000000000000" w:firstRow="0" w:lastRow="0" w:firstColumn="0" w:lastColumn="0" w:oddVBand="0" w:evenVBand="0" w:oddHBand="0" w:evenHBand="0" w:firstRowFirstColumn="0" w:firstRowLastColumn="0" w:lastRowFirstColumn="0" w:lastRowLastColumn="0"/>
            </w:pPr>
            <w:r>
              <w:t>67.0</w:t>
            </w:r>
          </w:p>
        </w:tc>
        <w:tc>
          <w:tcPr>
            <w:tcW w:w="999" w:type="dxa"/>
          </w:tcPr>
          <w:p w:rsidR="008F441F" w:rsidRDefault="008F441F" w:rsidP="00EA403A">
            <w:pPr>
              <w:cnfStyle w:val="000000000000" w:firstRow="0" w:lastRow="0" w:firstColumn="0" w:lastColumn="0" w:oddVBand="0" w:evenVBand="0" w:oddHBand="0" w:evenHBand="0" w:firstRowFirstColumn="0" w:firstRowLastColumn="0" w:lastRowFirstColumn="0" w:lastRowLastColumn="0"/>
            </w:pPr>
            <w:r>
              <w:t>77.3</w:t>
            </w:r>
          </w:p>
        </w:tc>
        <w:tc>
          <w:tcPr>
            <w:tcW w:w="930" w:type="dxa"/>
          </w:tcPr>
          <w:p w:rsidR="008F441F" w:rsidRDefault="008F441F" w:rsidP="00EA403A">
            <w:pPr>
              <w:cnfStyle w:val="000000000000" w:firstRow="0" w:lastRow="0" w:firstColumn="0" w:lastColumn="0" w:oddVBand="0" w:evenVBand="0" w:oddHBand="0" w:evenHBand="0" w:firstRowFirstColumn="0" w:firstRowLastColumn="0" w:lastRowFirstColumn="0" w:lastRowLastColumn="0"/>
            </w:pPr>
            <w:r>
              <w:t>93.4</w:t>
            </w:r>
          </w:p>
        </w:tc>
        <w:tc>
          <w:tcPr>
            <w:tcW w:w="845" w:type="dxa"/>
          </w:tcPr>
          <w:p w:rsidR="008F441F" w:rsidRDefault="008F441F" w:rsidP="00EA403A">
            <w:pPr>
              <w:cnfStyle w:val="000000000000" w:firstRow="0" w:lastRow="0" w:firstColumn="0" w:lastColumn="0" w:oddVBand="0" w:evenVBand="0" w:oddHBand="0" w:evenHBand="0" w:firstRowFirstColumn="0" w:firstRowLastColumn="0" w:lastRowFirstColumn="0" w:lastRowLastColumn="0"/>
            </w:pPr>
            <w:r>
              <w:t>449.6</w:t>
            </w:r>
          </w:p>
        </w:tc>
      </w:tr>
    </w:tbl>
    <w:p w:rsidR="004A3CA1" w:rsidRDefault="004A3CA1" w:rsidP="004A3CA1">
      <w:pPr>
        <w:pStyle w:val="AERtablesource"/>
      </w:pPr>
      <w:r>
        <w:t>Source:</w:t>
      </w:r>
      <w:r>
        <w:tab/>
      </w:r>
      <w:r w:rsidR="00706790">
        <w:t>AusNet Services, 2009–15 Regulatory Information Notices</w:t>
      </w:r>
      <w:r w:rsidR="00D87322">
        <w:t>.</w:t>
      </w:r>
    </w:p>
    <w:p w:rsidR="004A3CA1" w:rsidRPr="004A3CA1" w:rsidRDefault="004A3CA1" w:rsidP="004A3CA1">
      <w:pPr>
        <w:pStyle w:val="HeadingBoldItalic"/>
      </w:pPr>
      <w:r w:rsidRPr="004A3CA1">
        <w:t>Step two</w:t>
      </w:r>
    </w:p>
    <w:p w:rsidR="004A3CA1" w:rsidRDefault="006F52C5" w:rsidP="004A3CA1">
      <w:r>
        <w:t>T</w:t>
      </w:r>
      <w:r w:rsidR="004A3CA1">
        <w:t>he next step we took was to calculate AusNet Services' approved building block costs</w:t>
      </w:r>
      <w:r w:rsidR="003D3DB2">
        <w:t xml:space="preserve"> or approved budget costs</w:t>
      </w:r>
      <w:r w:rsidR="004A3CA1">
        <w:t>.</w:t>
      </w:r>
      <w:r>
        <w:t xml:space="preserve"> When doing this, the </w:t>
      </w:r>
      <w:r w:rsidR="004A3CA1">
        <w:t xml:space="preserve">Order provides that we are required to give consideration to </w:t>
      </w:r>
      <w:r>
        <w:t>a</w:t>
      </w:r>
      <w:r w:rsidR="004A3CA1">
        <w:t xml:space="preserve"> proposal</w:t>
      </w:r>
      <w:r>
        <w:t xml:space="preserve"> (if any)</w:t>
      </w:r>
      <w:r w:rsidR="004A3CA1">
        <w:t xml:space="preserve"> </w:t>
      </w:r>
      <w:r>
        <w:t>to recover</w:t>
      </w:r>
      <w:r w:rsidR="004A3CA1">
        <w:t xml:space="preserve"> excess expenditure</w:t>
      </w:r>
      <w:r>
        <w:t xml:space="preserve"> incurred </w:t>
      </w:r>
      <w:r w:rsidR="004A3CA1">
        <w:t xml:space="preserve">in 2014 and 2015. </w:t>
      </w:r>
    </w:p>
    <w:p w:rsidR="006F52C5" w:rsidRDefault="006F52C5" w:rsidP="004A3CA1">
      <w:r>
        <w:t xml:space="preserve">AusNet Services' proposed to recover $103.0 million ($2018) in </w:t>
      </w:r>
      <w:r w:rsidR="001C508F">
        <w:t xml:space="preserve">total </w:t>
      </w:r>
      <w:r>
        <w:t>excess expenditure</w:t>
      </w:r>
      <w:r w:rsidR="001C508F">
        <w:t xml:space="preserve"> (capex and opex)</w:t>
      </w:r>
      <w:r>
        <w:t xml:space="preserve"> which it incurred in 2014 and 2015. Of this amount, </w:t>
      </w:r>
      <w:r w:rsidR="00EC2F97">
        <w:t>our draft decision accepts $49.1</w:t>
      </w:r>
      <w:r>
        <w:t xml:space="preserve"> million ($2018). Our reasons are set out in section </w:t>
      </w:r>
      <w:r>
        <w:fldChar w:fldCharType="begin"/>
      </w:r>
      <w:r>
        <w:instrText xml:space="preserve"> REF _Ref461204081 \n \h </w:instrText>
      </w:r>
      <w:r>
        <w:fldChar w:fldCharType="separate"/>
      </w:r>
      <w:r w:rsidR="003C3A1D">
        <w:t>4.2</w:t>
      </w:r>
      <w:r>
        <w:fldChar w:fldCharType="end"/>
      </w:r>
      <w:r>
        <w:t>.</w:t>
      </w:r>
    </w:p>
    <w:p w:rsidR="006F52C5" w:rsidRPr="004A3CA1" w:rsidRDefault="006F52C5" w:rsidP="004A3CA1">
      <w:r>
        <w:t xml:space="preserve">The revenue impact of our draft decision to accept less excess expenditure than AusNet Services proposed is set out in </w:t>
      </w:r>
      <w:r>
        <w:fldChar w:fldCharType="begin"/>
      </w:r>
      <w:r>
        <w:instrText xml:space="preserve"> REF _Ref461204137 \h </w:instrText>
      </w:r>
      <w:r>
        <w:fldChar w:fldCharType="separate"/>
      </w:r>
      <w:r w:rsidR="003C3A1D">
        <w:t xml:space="preserve">Table </w:t>
      </w:r>
      <w:r w:rsidR="003C3A1D">
        <w:rPr>
          <w:noProof/>
        </w:rPr>
        <w:t>4</w:t>
      </w:r>
      <w:r w:rsidR="003C3A1D">
        <w:t>.</w:t>
      </w:r>
      <w:r w:rsidR="003C3A1D">
        <w:rPr>
          <w:noProof/>
        </w:rPr>
        <w:t>2</w:t>
      </w:r>
      <w:r>
        <w:fldChar w:fldCharType="end"/>
      </w:r>
      <w:r>
        <w:t xml:space="preserve">. It shows that by not accepting the full amount of excess expenditure, </w:t>
      </w:r>
      <w:r w:rsidR="00FB73AA">
        <w:t>AusNet Services'</w:t>
      </w:r>
      <w:r>
        <w:t xml:space="preserve"> recoverable building block costs are lower than </w:t>
      </w:r>
      <w:r w:rsidR="00FB73AA">
        <w:t xml:space="preserve">proposed. </w:t>
      </w:r>
      <w:r w:rsidR="00732808">
        <w:t xml:space="preserve">We convert the values in </w:t>
      </w:r>
      <w:r w:rsidR="00732808">
        <w:fldChar w:fldCharType="begin"/>
      </w:r>
      <w:r w:rsidR="00732808">
        <w:instrText xml:space="preserve"> REF _Ref461204137 \h </w:instrText>
      </w:r>
      <w:r w:rsidR="00732808">
        <w:fldChar w:fldCharType="separate"/>
      </w:r>
      <w:r w:rsidR="003C3A1D">
        <w:t xml:space="preserve">Table </w:t>
      </w:r>
      <w:r w:rsidR="003C3A1D">
        <w:rPr>
          <w:noProof/>
        </w:rPr>
        <w:t>4</w:t>
      </w:r>
      <w:r w:rsidR="003C3A1D">
        <w:t>.</w:t>
      </w:r>
      <w:r w:rsidR="003C3A1D">
        <w:rPr>
          <w:noProof/>
        </w:rPr>
        <w:t>2</w:t>
      </w:r>
      <w:r w:rsidR="00732808">
        <w:fldChar w:fldCharType="end"/>
      </w:r>
      <w:r w:rsidR="00D51702">
        <w:t xml:space="preserve"> from a 2009 NPV to a 2018 NPV i</w:t>
      </w:r>
      <w:r w:rsidR="00732808">
        <w:t>n step four below.</w:t>
      </w:r>
    </w:p>
    <w:p w:rsidR="000744D6" w:rsidRDefault="004B2781" w:rsidP="004B2781">
      <w:pPr>
        <w:pStyle w:val="Caption"/>
      </w:pPr>
      <w:bookmarkStart w:id="42" w:name="_Ref461204137"/>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2</w:t>
        </w:r>
      </w:fldSimple>
      <w:bookmarkEnd w:id="42"/>
      <w:r w:rsidR="005A119A">
        <w:tab/>
      </w:r>
      <w:r w:rsidR="006715B3">
        <w:t>A</w:t>
      </w:r>
      <w:r w:rsidR="00755C4C">
        <w:t>pproved recoverable costs</w:t>
      </w:r>
      <w:r w:rsidR="005A119A">
        <w:t xml:space="preserve"> ($m,</w:t>
      </w:r>
      <w:r w:rsidR="006715B3">
        <w:t xml:space="preserve"> NPV</w:t>
      </w:r>
      <w:r w:rsidR="005A119A">
        <w:t xml:space="preserve"> </w:t>
      </w:r>
      <w:r w:rsidR="00755C4C">
        <w:t>2009</w:t>
      </w:r>
      <w:r w:rsidR="005A119A">
        <w:t xml:space="preserve">) </w:t>
      </w:r>
    </w:p>
    <w:tbl>
      <w:tblPr>
        <w:tblStyle w:val="AERtable-numbers"/>
        <w:tblW w:w="0" w:type="auto"/>
        <w:tblLook w:val="04A0" w:firstRow="1" w:lastRow="0" w:firstColumn="1" w:lastColumn="0" w:noHBand="0" w:noVBand="1"/>
      </w:tblPr>
      <w:tblGrid>
        <w:gridCol w:w="1071"/>
        <w:gridCol w:w="962"/>
        <w:gridCol w:w="963"/>
        <w:gridCol w:w="963"/>
        <w:gridCol w:w="963"/>
        <w:gridCol w:w="998"/>
        <w:gridCol w:w="998"/>
        <w:gridCol w:w="930"/>
        <w:gridCol w:w="845"/>
      </w:tblGrid>
      <w:tr w:rsidR="006715B3" w:rsidTr="008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8F441F" w:rsidRPr="008F441F" w:rsidRDefault="008F441F" w:rsidP="008F441F"/>
        </w:tc>
        <w:tc>
          <w:tcPr>
            <w:tcW w:w="962" w:type="dxa"/>
          </w:tcPr>
          <w:p w:rsidR="008F441F" w:rsidRPr="008F441F" w:rsidRDefault="008F441F" w:rsidP="008F441F">
            <w:pPr>
              <w:cnfStyle w:val="100000000000" w:firstRow="1" w:lastRow="0" w:firstColumn="0" w:lastColumn="0" w:oddVBand="0" w:evenVBand="0" w:oddHBand="0" w:evenHBand="0" w:firstRowFirstColumn="0" w:firstRowLastColumn="0" w:lastRowFirstColumn="0" w:lastRowLastColumn="0"/>
            </w:pPr>
            <w:r w:rsidRPr="008F441F">
              <w:t>2009</w:t>
            </w:r>
          </w:p>
        </w:tc>
        <w:tc>
          <w:tcPr>
            <w:tcW w:w="963" w:type="dxa"/>
          </w:tcPr>
          <w:p w:rsidR="008F441F" w:rsidRPr="008F441F" w:rsidRDefault="008F441F" w:rsidP="008F441F">
            <w:pPr>
              <w:cnfStyle w:val="100000000000" w:firstRow="1" w:lastRow="0" w:firstColumn="0" w:lastColumn="0" w:oddVBand="0" w:evenVBand="0" w:oddHBand="0" w:evenHBand="0" w:firstRowFirstColumn="0" w:firstRowLastColumn="0" w:lastRowFirstColumn="0" w:lastRowLastColumn="0"/>
            </w:pPr>
            <w:r w:rsidRPr="008F441F">
              <w:t>2010</w:t>
            </w:r>
          </w:p>
        </w:tc>
        <w:tc>
          <w:tcPr>
            <w:tcW w:w="963" w:type="dxa"/>
          </w:tcPr>
          <w:p w:rsidR="008F441F" w:rsidRPr="008F441F" w:rsidRDefault="008F441F" w:rsidP="008F441F">
            <w:pPr>
              <w:cnfStyle w:val="100000000000" w:firstRow="1" w:lastRow="0" w:firstColumn="0" w:lastColumn="0" w:oddVBand="0" w:evenVBand="0" w:oddHBand="0" w:evenHBand="0" w:firstRowFirstColumn="0" w:firstRowLastColumn="0" w:lastRowFirstColumn="0" w:lastRowLastColumn="0"/>
            </w:pPr>
            <w:r w:rsidRPr="008F441F">
              <w:t>2011</w:t>
            </w:r>
          </w:p>
        </w:tc>
        <w:tc>
          <w:tcPr>
            <w:tcW w:w="963" w:type="dxa"/>
          </w:tcPr>
          <w:p w:rsidR="008F441F" w:rsidRPr="008F441F" w:rsidRDefault="008F441F" w:rsidP="008F441F">
            <w:pPr>
              <w:cnfStyle w:val="100000000000" w:firstRow="1" w:lastRow="0" w:firstColumn="0" w:lastColumn="0" w:oddVBand="0" w:evenVBand="0" w:oddHBand="0" w:evenHBand="0" w:firstRowFirstColumn="0" w:firstRowLastColumn="0" w:lastRowFirstColumn="0" w:lastRowLastColumn="0"/>
            </w:pPr>
            <w:r w:rsidRPr="008F441F">
              <w:t>2012</w:t>
            </w:r>
          </w:p>
        </w:tc>
        <w:tc>
          <w:tcPr>
            <w:tcW w:w="998" w:type="dxa"/>
          </w:tcPr>
          <w:p w:rsidR="008F441F" w:rsidRPr="008F441F" w:rsidRDefault="008F441F" w:rsidP="008F441F">
            <w:pPr>
              <w:cnfStyle w:val="100000000000" w:firstRow="1" w:lastRow="0" w:firstColumn="0" w:lastColumn="0" w:oddVBand="0" w:evenVBand="0" w:oddHBand="0" w:evenHBand="0" w:firstRowFirstColumn="0" w:firstRowLastColumn="0" w:lastRowFirstColumn="0" w:lastRowLastColumn="0"/>
            </w:pPr>
            <w:r w:rsidRPr="008F441F">
              <w:t>2013</w:t>
            </w:r>
          </w:p>
        </w:tc>
        <w:tc>
          <w:tcPr>
            <w:tcW w:w="998" w:type="dxa"/>
          </w:tcPr>
          <w:p w:rsidR="008F441F" w:rsidRPr="008F441F" w:rsidRDefault="008F441F" w:rsidP="008F441F">
            <w:pPr>
              <w:cnfStyle w:val="100000000000" w:firstRow="1" w:lastRow="0" w:firstColumn="0" w:lastColumn="0" w:oddVBand="0" w:evenVBand="0" w:oddHBand="0" w:evenHBand="0" w:firstRowFirstColumn="0" w:firstRowLastColumn="0" w:lastRowFirstColumn="0" w:lastRowLastColumn="0"/>
            </w:pPr>
            <w:r w:rsidRPr="008F441F">
              <w:t>2014</w:t>
            </w:r>
          </w:p>
        </w:tc>
        <w:tc>
          <w:tcPr>
            <w:tcW w:w="930" w:type="dxa"/>
          </w:tcPr>
          <w:p w:rsidR="008F441F" w:rsidRPr="008F441F" w:rsidRDefault="008F441F" w:rsidP="008F441F">
            <w:pPr>
              <w:cnfStyle w:val="100000000000" w:firstRow="1" w:lastRow="0" w:firstColumn="0" w:lastColumn="0" w:oddVBand="0" w:evenVBand="0" w:oddHBand="0" w:evenHBand="0" w:firstRowFirstColumn="0" w:firstRowLastColumn="0" w:lastRowFirstColumn="0" w:lastRowLastColumn="0"/>
            </w:pPr>
            <w:r w:rsidRPr="008F441F">
              <w:t>2015</w:t>
            </w:r>
          </w:p>
        </w:tc>
        <w:tc>
          <w:tcPr>
            <w:tcW w:w="845" w:type="dxa"/>
          </w:tcPr>
          <w:p w:rsidR="008F441F" w:rsidRPr="008F441F" w:rsidRDefault="008F441F" w:rsidP="008F441F">
            <w:pPr>
              <w:cnfStyle w:val="100000000000" w:firstRow="1" w:lastRow="0" w:firstColumn="0" w:lastColumn="0" w:oddVBand="0" w:evenVBand="0" w:oddHBand="0" w:evenHBand="0" w:firstRowFirstColumn="0" w:firstRowLastColumn="0" w:lastRowFirstColumn="0" w:lastRowLastColumn="0"/>
            </w:pPr>
            <w:r w:rsidRPr="008F441F">
              <w:t>Total</w:t>
            </w:r>
          </w:p>
        </w:tc>
      </w:tr>
      <w:tr w:rsidR="006715B3" w:rsidTr="008F441F">
        <w:tc>
          <w:tcPr>
            <w:cnfStyle w:val="001000000000" w:firstRow="0" w:lastRow="0" w:firstColumn="1" w:lastColumn="0" w:oddVBand="0" w:evenVBand="0" w:oddHBand="0" w:evenHBand="0" w:firstRowFirstColumn="0" w:firstRowLastColumn="0" w:lastRowFirstColumn="0" w:lastRowLastColumn="0"/>
            <w:tcW w:w="1071" w:type="dxa"/>
          </w:tcPr>
          <w:p w:rsidR="005A119A" w:rsidRPr="005A119A" w:rsidRDefault="005A119A" w:rsidP="006715B3">
            <w:r w:rsidRPr="005A119A">
              <w:t xml:space="preserve">AusNet Services' proposal </w:t>
            </w:r>
          </w:p>
        </w:tc>
        <w:tc>
          <w:tcPr>
            <w:tcW w:w="962" w:type="dxa"/>
          </w:tcPr>
          <w:p w:rsidR="005A119A" w:rsidRPr="005A119A" w:rsidRDefault="005A119A" w:rsidP="005A119A">
            <w:pPr>
              <w:cnfStyle w:val="000000000000" w:firstRow="0" w:lastRow="0" w:firstColumn="0" w:lastColumn="0" w:oddVBand="0" w:evenVBand="0" w:oddHBand="0" w:evenHBand="0" w:firstRowFirstColumn="0" w:firstRowLastColumn="0" w:lastRowFirstColumn="0" w:lastRowLastColumn="0"/>
            </w:pPr>
            <w:r w:rsidRPr="005A119A">
              <w:t>32.8</w:t>
            </w:r>
          </w:p>
        </w:tc>
        <w:tc>
          <w:tcPr>
            <w:tcW w:w="963" w:type="dxa"/>
          </w:tcPr>
          <w:p w:rsidR="005A119A" w:rsidRPr="005A119A" w:rsidRDefault="005A119A" w:rsidP="005A119A">
            <w:pPr>
              <w:cnfStyle w:val="000000000000" w:firstRow="0" w:lastRow="0" w:firstColumn="0" w:lastColumn="0" w:oddVBand="0" w:evenVBand="0" w:oddHBand="0" w:evenHBand="0" w:firstRowFirstColumn="0" w:firstRowLastColumn="0" w:lastRowFirstColumn="0" w:lastRowLastColumn="0"/>
            </w:pPr>
            <w:r w:rsidRPr="005A119A">
              <w:t>57.9</w:t>
            </w:r>
          </w:p>
        </w:tc>
        <w:tc>
          <w:tcPr>
            <w:tcW w:w="963" w:type="dxa"/>
          </w:tcPr>
          <w:p w:rsidR="005A119A" w:rsidRPr="005A119A" w:rsidRDefault="005A119A" w:rsidP="005A119A">
            <w:pPr>
              <w:cnfStyle w:val="000000000000" w:firstRow="0" w:lastRow="0" w:firstColumn="0" w:lastColumn="0" w:oddVBand="0" w:evenVBand="0" w:oddHBand="0" w:evenHBand="0" w:firstRowFirstColumn="0" w:firstRowLastColumn="0" w:lastRowFirstColumn="0" w:lastRowLastColumn="0"/>
            </w:pPr>
            <w:r w:rsidRPr="005A119A">
              <w:t>68.6</w:t>
            </w:r>
          </w:p>
        </w:tc>
        <w:tc>
          <w:tcPr>
            <w:tcW w:w="963" w:type="dxa"/>
          </w:tcPr>
          <w:p w:rsidR="005A119A" w:rsidRPr="005A119A" w:rsidRDefault="005A119A" w:rsidP="005A119A">
            <w:pPr>
              <w:cnfStyle w:val="000000000000" w:firstRow="0" w:lastRow="0" w:firstColumn="0" w:lastColumn="0" w:oddVBand="0" w:evenVBand="0" w:oddHBand="0" w:evenHBand="0" w:firstRowFirstColumn="0" w:firstRowLastColumn="0" w:lastRowFirstColumn="0" w:lastRowLastColumn="0"/>
            </w:pPr>
            <w:r w:rsidRPr="005A119A">
              <w:t>74.0</w:t>
            </w:r>
          </w:p>
        </w:tc>
        <w:tc>
          <w:tcPr>
            <w:tcW w:w="998" w:type="dxa"/>
          </w:tcPr>
          <w:p w:rsidR="005A119A" w:rsidRPr="005A119A" w:rsidRDefault="005A119A" w:rsidP="005A119A">
            <w:pPr>
              <w:cnfStyle w:val="000000000000" w:firstRow="0" w:lastRow="0" w:firstColumn="0" w:lastColumn="0" w:oddVBand="0" w:evenVBand="0" w:oddHBand="0" w:evenHBand="0" w:firstRowFirstColumn="0" w:firstRowLastColumn="0" w:lastRowFirstColumn="0" w:lastRowLastColumn="0"/>
            </w:pPr>
            <w:r w:rsidRPr="005A119A">
              <w:t>75.4</w:t>
            </w:r>
          </w:p>
        </w:tc>
        <w:tc>
          <w:tcPr>
            <w:tcW w:w="998" w:type="dxa"/>
          </w:tcPr>
          <w:p w:rsidR="005A119A" w:rsidRPr="005A119A" w:rsidRDefault="005A119A" w:rsidP="005A119A">
            <w:pPr>
              <w:cnfStyle w:val="000000000000" w:firstRow="0" w:lastRow="0" w:firstColumn="0" w:lastColumn="0" w:oddVBand="0" w:evenVBand="0" w:oddHBand="0" w:evenHBand="0" w:firstRowFirstColumn="0" w:firstRowLastColumn="0" w:lastRowFirstColumn="0" w:lastRowLastColumn="0"/>
            </w:pPr>
            <w:r w:rsidRPr="005A119A">
              <w:t>66.4</w:t>
            </w:r>
          </w:p>
        </w:tc>
        <w:tc>
          <w:tcPr>
            <w:tcW w:w="930" w:type="dxa"/>
          </w:tcPr>
          <w:p w:rsidR="005A119A" w:rsidRPr="005A119A" w:rsidRDefault="005A119A" w:rsidP="005A119A">
            <w:pPr>
              <w:cnfStyle w:val="000000000000" w:firstRow="0" w:lastRow="0" w:firstColumn="0" w:lastColumn="0" w:oddVBand="0" w:evenVBand="0" w:oddHBand="0" w:evenHBand="0" w:firstRowFirstColumn="0" w:firstRowLastColumn="0" w:lastRowFirstColumn="0" w:lastRowLastColumn="0"/>
            </w:pPr>
            <w:r w:rsidRPr="005A119A">
              <w:t>61.9</w:t>
            </w:r>
          </w:p>
        </w:tc>
        <w:tc>
          <w:tcPr>
            <w:tcW w:w="845" w:type="dxa"/>
          </w:tcPr>
          <w:p w:rsidR="005A119A" w:rsidRPr="005A119A" w:rsidRDefault="005A119A" w:rsidP="005A119A">
            <w:pPr>
              <w:cnfStyle w:val="000000000000" w:firstRow="0" w:lastRow="0" w:firstColumn="0" w:lastColumn="0" w:oddVBand="0" w:evenVBand="0" w:oddHBand="0" w:evenHBand="0" w:firstRowFirstColumn="0" w:firstRowLastColumn="0" w:lastRowFirstColumn="0" w:lastRowLastColumn="0"/>
            </w:pPr>
            <w:r w:rsidRPr="005A119A">
              <w:t>437.1</w:t>
            </w:r>
          </w:p>
        </w:tc>
      </w:tr>
      <w:tr w:rsidR="006715B3" w:rsidTr="008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4B2781" w:rsidRPr="004B2781" w:rsidRDefault="004B2781" w:rsidP="004B2781">
            <w:r w:rsidRPr="004B2781">
              <w:t xml:space="preserve">AER </w:t>
            </w:r>
            <w:r>
              <w:t>draft decision</w:t>
            </w:r>
          </w:p>
        </w:tc>
        <w:tc>
          <w:tcPr>
            <w:tcW w:w="962" w:type="dxa"/>
          </w:tcPr>
          <w:p w:rsidR="004B2781" w:rsidRPr="004B2781" w:rsidRDefault="004B2781" w:rsidP="004B2781">
            <w:pPr>
              <w:cnfStyle w:val="000000010000" w:firstRow="0" w:lastRow="0" w:firstColumn="0" w:lastColumn="0" w:oddVBand="0" w:evenVBand="0" w:oddHBand="0" w:evenHBand="1" w:firstRowFirstColumn="0" w:firstRowLastColumn="0" w:lastRowFirstColumn="0" w:lastRowLastColumn="0"/>
            </w:pPr>
            <w:r w:rsidRPr="004B2781">
              <w:t>32.8</w:t>
            </w:r>
          </w:p>
        </w:tc>
        <w:tc>
          <w:tcPr>
            <w:tcW w:w="963" w:type="dxa"/>
          </w:tcPr>
          <w:p w:rsidR="004B2781" w:rsidRPr="004B2781" w:rsidRDefault="004B2781" w:rsidP="004B2781">
            <w:pPr>
              <w:cnfStyle w:val="000000010000" w:firstRow="0" w:lastRow="0" w:firstColumn="0" w:lastColumn="0" w:oddVBand="0" w:evenVBand="0" w:oddHBand="0" w:evenHBand="1" w:firstRowFirstColumn="0" w:firstRowLastColumn="0" w:lastRowFirstColumn="0" w:lastRowLastColumn="0"/>
            </w:pPr>
            <w:r w:rsidRPr="004B2781">
              <w:t>57.9</w:t>
            </w:r>
          </w:p>
        </w:tc>
        <w:tc>
          <w:tcPr>
            <w:tcW w:w="963" w:type="dxa"/>
          </w:tcPr>
          <w:p w:rsidR="004B2781" w:rsidRPr="004B2781" w:rsidRDefault="004B2781" w:rsidP="004B2781">
            <w:pPr>
              <w:cnfStyle w:val="000000010000" w:firstRow="0" w:lastRow="0" w:firstColumn="0" w:lastColumn="0" w:oddVBand="0" w:evenVBand="0" w:oddHBand="0" w:evenHBand="1" w:firstRowFirstColumn="0" w:firstRowLastColumn="0" w:lastRowFirstColumn="0" w:lastRowLastColumn="0"/>
            </w:pPr>
            <w:r w:rsidRPr="004B2781">
              <w:t>68.6</w:t>
            </w:r>
          </w:p>
        </w:tc>
        <w:tc>
          <w:tcPr>
            <w:tcW w:w="963" w:type="dxa"/>
          </w:tcPr>
          <w:p w:rsidR="004B2781" w:rsidRPr="004B2781" w:rsidRDefault="004B2781" w:rsidP="004B2781">
            <w:pPr>
              <w:cnfStyle w:val="000000010000" w:firstRow="0" w:lastRow="0" w:firstColumn="0" w:lastColumn="0" w:oddVBand="0" w:evenVBand="0" w:oddHBand="0" w:evenHBand="1" w:firstRowFirstColumn="0" w:firstRowLastColumn="0" w:lastRowFirstColumn="0" w:lastRowLastColumn="0"/>
            </w:pPr>
            <w:r w:rsidRPr="004B2781">
              <w:t>74.0</w:t>
            </w:r>
          </w:p>
        </w:tc>
        <w:tc>
          <w:tcPr>
            <w:tcW w:w="998" w:type="dxa"/>
          </w:tcPr>
          <w:p w:rsidR="004B2781" w:rsidRPr="004B2781" w:rsidRDefault="004B2781" w:rsidP="004B2781">
            <w:pPr>
              <w:cnfStyle w:val="000000010000" w:firstRow="0" w:lastRow="0" w:firstColumn="0" w:lastColumn="0" w:oddVBand="0" w:evenVBand="0" w:oddHBand="0" w:evenHBand="1" w:firstRowFirstColumn="0" w:firstRowLastColumn="0" w:lastRowFirstColumn="0" w:lastRowLastColumn="0"/>
            </w:pPr>
            <w:r w:rsidRPr="004B2781">
              <w:t>75.4</w:t>
            </w:r>
          </w:p>
        </w:tc>
        <w:tc>
          <w:tcPr>
            <w:tcW w:w="998" w:type="dxa"/>
          </w:tcPr>
          <w:p w:rsidR="004B2781" w:rsidRPr="004B2781" w:rsidRDefault="004B2781" w:rsidP="004B2781">
            <w:pPr>
              <w:cnfStyle w:val="000000010000" w:firstRow="0" w:lastRow="0" w:firstColumn="0" w:lastColumn="0" w:oddVBand="0" w:evenVBand="0" w:oddHBand="0" w:evenHBand="1" w:firstRowFirstColumn="0" w:firstRowLastColumn="0" w:lastRowFirstColumn="0" w:lastRowLastColumn="0"/>
            </w:pPr>
            <w:r w:rsidRPr="004B2781">
              <w:t>61.</w:t>
            </w:r>
            <w:r w:rsidR="005F343A">
              <w:t>6</w:t>
            </w:r>
          </w:p>
        </w:tc>
        <w:tc>
          <w:tcPr>
            <w:tcW w:w="930" w:type="dxa"/>
          </w:tcPr>
          <w:p w:rsidR="004B2781" w:rsidRPr="004B2781" w:rsidRDefault="004B2781" w:rsidP="004B2781">
            <w:pPr>
              <w:cnfStyle w:val="000000010000" w:firstRow="0" w:lastRow="0" w:firstColumn="0" w:lastColumn="0" w:oddVBand="0" w:evenVBand="0" w:oddHBand="0" w:evenHBand="1" w:firstRowFirstColumn="0" w:firstRowLastColumn="0" w:lastRowFirstColumn="0" w:lastRowLastColumn="0"/>
            </w:pPr>
            <w:r w:rsidRPr="004B2781">
              <w:t>58.7</w:t>
            </w:r>
          </w:p>
        </w:tc>
        <w:tc>
          <w:tcPr>
            <w:tcW w:w="845" w:type="dxa"/>
          </w:tcPr>
          <w:p w:rsidR="004B2781" w:rsidRPr="004B2781" w:rsidRDefault="004B2781" w:rsidP="004B2781">
            <w:pPr>
              <w:cnfStyle w:val="000000010000" w:firstRow="0" w:lastRow="0" w:firstColumn="0" w:lastColumn="0" w:oddVBand="0" w:evenVBand="0" w:oddHBand="0" w:evenHBand="1" w:firstRowFirstColumn="0" w:firstRowLastColumn="0" w:lastRowFirstColumn="0" w:lastRowLastColumn="0"/>
            </w:pPr>
            <w:r w:rsidRPr="004B2781">
              <w:t>429.</w:t>
            </w:r>
            <w:r w:rsidR="005F343A">
              <w:t>1</w:t>
            </w:r>
          </w:p>
        </w:tc>
      </w:tr>
      <w:tr w:rsidR="006715B3" w:rsidTr="008F441F">
        <w:tc>
          <w:tcPr>
            <w:cnfStyle w:val="001000000000" w:firstRow="0" w:lastRow="0" w:firstColumn="1" w:lastColumn="0" w:oddVBand="0" w:evenVBand="0" w:oddHBand="0" w:evenHBand="0" w:firstRowFirstColumn="0" w:firstRowLastColumn="0" w:lastRowFirstColumn="0" w:lastRowLastColumn="0"/>
            <w:tcW w:w="1071" w:type="dxa"/>
          </w:tcPr>
          <w:p w:rsidR="008F441F" w:rsidRPr="008F441F" w:rsidRDefault="008F441F" w:rsidP="008F441F">
            <w:r>
              <w:t>Difference</w:t>
            </w:r>
          </w:p>
        </w:tc>
        <w:tc>
          <w:tcPr>
            <w:tcW w:w="962" w:type="dxa"/>
          </w:tcPr>
          <w:p w:rsidR="008F441F" w:rsidRPr="008F441F" w:rsidRDefault="008F441F" w:rsidP="008F441F">
            <w:pPr>
              <w:cnfStyle w:val="000000000000" w:firstRow="0" w:lastRow="0" w:firstColumn="0" w:lastColumn="0" w:oddVBand="0" w:evenVBand="0" w:oddHBand="0" w:evenHBand="0" w:firstRowFirstColumn="0" w:firstRowLastColumn="0" w:lastRowFirstColumn="0" w:lastRowLastColumn="0"/>
            </w:pPr>
            <w:r>
              <w:t>0.0</w:t>
            </w:r>
          </w:p>
        </w:tc>
        <w:tc>
          <w:tcPr>
            <w:tcW w:w="963" w:type="dxa"/>
          </w:tcPr>
          <w:p w:rsidR="008F441F" w:rsidRPr="008F441F" w:rsidRDefault="008F441F" w:rsidP="008F441F">
            <w:pPr>
              <w:cnfStyle w:val="000000000000" w:firstRow="0" w:lastRow="0" w:firstColumn="0" w:lastColumn="0" w:oddVBand="0" w:evenVBand="0" w:oddHBand="0" w:evenHBand="0" w:firstRowFirstColumn="0" w:firstRowLastColumn="0" w:lastRowFirstColumn="0" w:lastRowLastColumn="0"/>
            </w:pPr>
            <w:r>
              <w:t>0.0</w:t>
            </w:r>
          </w:p>
        </w:tc>
        <w:tc>
          <w:tcPr>
            <w:tcW w:w="963" w:type="dxa"/>
          </w:tcPr>
          <w:p w:rsidR="008F441F" w:rsidRPr="008F441F" w:rsidRDefault="008F441F" w:rsidP="008F441F">
            <w:pPr>
              <w:cnfStyle w:val="000000000000" w:firstRow="0" w:lastRow="0" w:firstColumn="0" w:lastColumn="0" w:oddVBand="0" w:evenVBand="0" w:oddHBand="0" w:evenHBand="0" w:firstRowFirstColumn="0" w:firstRowLastColumn="0" w:lastRowFirstColumn="0" w:lastRowLastColumn="0"/>
            </w:pPr>
            <w:r>
              <w:t>0.0</w:t>
            </w:r>
          </w:p>
        </w:tc>
        <w:tc>
          <w:tcPr>
            <w:tcW w:w="963" w:type="dxa"/>
          </w:tcPr>
          <w:p w:rsidR="008F441F" w:rsidRPr="008F441F" w:rsidRDefault="008F441F" w:rsidP="008F441F">
            <w:pPr>
              <w:cnfStyle w:val="000000000000" w:firstRow="0" w:lastRow="0" w:firstColumn="0" w:lastColumn="0" w:oddVBand="0" w:evenVBand="0" w:oddHBand="0" w:evenHBand="0" w:firstRowFirstColumn="0" w:firstRowLastColumn="0" w:lastRowFirstColumn="0" w:lastRowLastColumn="0"/>
            </w:pPr>
            <w:r>
              <w:t>0.0</w:t>
            </w:r>
          </w:p>
        </w:tc>
        <w:tc>
          <w:tcPr>
            <w:tcW w:w="998" w:type="dxa"/>
          </w:tcPr>
          <w:p w:rsidR="008F441F" w:rsidRPr="008F441F" w:rsidRDefault="008F441F" w:rsidP="008F441F">
            <w:pPr>
              <w:cnfStyle w:val="000000000000" w:firstRow="0" w:lastRow="0" w:firstColumn="0" w:lastColumn="0" w:oddVBand="0" w:evenVBand="0" w:oddHBand="0" w:evenHBand="0" w:firstRowFirstColumn="0" w:firstRowLastColumn="0" w:lastRowFirstColumn="0" w:lastRowLastColumn="0"/>
            </w:pPr>
            <w:r>
              <w:t>0.0</w:t>
            </w:r>
          </w:p>
        </w:tc>
        <w:tc>
          <w:tcPr>
            <w:tcW w:w="998" w:type="dxa"/>
          </w:tcPr>
          <w:p w:rsidR="008F441F" w:rsidRPr="008F441F" w:rsidRDefault="00181C1C" w:rsidP="008F441F">
            <w:pPr>
              <w:cnfStyle w:val="000000000000" w:firstRow="0" w:lastRow="0" w:firstColumn="0" w:lastColumn="0" w:oddVBand="0" w:evenVBand="0" w:oddHBand="0" w:evenHBand="0" w:firstRowFirstColumn="0" w:firstRowLastColumn="0" w:lastRowFirstColumn="0" w:lastRowLastColumn="0"/>
            </w:pPr>
            <w:r>
              <w:t>(4.8)</w:t>
            </w:r>
          </w:p>
        </w:tc>
        <w:tc>
          <w:tcPr>
            <w:tcW w:w="930" w:type="dxa"/>
          </w:tcPr>
          <w:p w:rsidR="008F441F" w:rsidRPr="008F441F" w:rsidRDefault="00181C1C" w:rsidP="008F441F">
            <w:pPr>
              <w:cnfStyle w:val="000000000000" w:firstRow="0" w:lastRow="0" w:firstColumn="0" w:lastColumn="0" w:oddVBand="0" w:evenVBand="0" w:oddHBand="0" w:evenHBand="0" w:firstRowFirstColumn="0" w:firstRowLastColumn="0" w:lastRowFirstColumn="0" w:lastRowLastColumn="0"/>
            </w:pPr>
            <w:r>
              <w:t>(3.2)</w:t>
            </w:r>
          </w:p>
        </w:tc>
        <w:tc>
          <w:tcPr>
            <w:tcW w:w="845" w:type="dxa"/>
          </w:tcPr>
          <w:p w:rsidR="008F441F" w:rsidRPr="008F441F" w:rsidRDefault="005F343A" w:rsidP="008F441F">
            <w:pPr>
              <w:cnfStyle w:val="000000000000" w:firstRow="0" w:lastRow="0" w:firstColumn="0" w:lastColumn="0" w:oddVBand="0" w:evenVBand="0" w:oddHBand="0" w:evenHBand="0" w:firstRowFirstColumn="0" w:firstRowLastColumn="0" w:lastRowFirstColumn="0" w:lastRowLastColumn="0"/>
            </w:pPr>
            <w:r>
              <w:t>(8.0</w:t>
            </w:r>
            <w:r w:rsidR="00181C1C">
              <w:t>)</w:t>
            </w:r>
          </w:p>
        </w:tc>
      </w:tr>
    </w:tbl>
    <w:p w:rsidR="00FB73AA" w:rsidRDefault="00FB73AA" w:rsidP="00FB73AA">
      <w:pPr>
        <w:pStyle w:val="AERtablesource"/>
      </w:pPr>
      <w:r>
        <w:t>Source:</w:t>
      </w:r>
      <w:r>
        <w:tab/>
      </w:r>
      <w:r w:rsidR="008F660D">
        <w:t>AER analysis.</w:t>
      </w:r>
    </w:p>
    <w:p w:rsidR="00FB73AA" w:rsidRDefault="00FB73AA" w:rsidP="00FB73AA">
      <w:pPr>
        <w:pStyle w:val="HeadingBoldItalic"/>
      </w:pPr>
      <w:r>
        <w:t>Step three</w:t>
      </w:r>
    </w:p>
    <w:p w:rsidR="00FB73AA" w:rsidRPr="00FB73AA" w:rsidRDefault="00FB73AA" w:rsidP="00FB73AA">
      <w:r>
        <w:t>The third step we took was to calculate the difference between AusNet Services' revenue and approved costs.</w:t>
      </w:r>
      <w:r w:rsidR="00D51702">
        <w:t xml:space="preserve"> </w:t>
      </w:r>
      <w:r>
        <w:fldChar w:fldCharType="begin"/>
      </w:r>
      <w:r>
        <w:instrText xml:space="preserve"> REF _Ref461204658 \h </w:instrText>
      </w:r>
      <w:r>
        <w:fldChar w:fldCharType="separate"/>
      </w:r>
      <w:r w:rsidR="003C3A1D">
        <w:t xml:space="preserve">Table </w:t>
      </w:r>
      <w:r w:rsidR="003C3A1D">
        <w:rPr>
          <w:noProof/>
        </w:rPr>
        <w:t>4</w:t>
      </w:r>
      <w:r w:rsidR="003C3A1D">
        <w:t>.</w:t>
      </w:r>
      <w:r w:rsidR="003C3A1D">
        <w:rPr>
          <w:noProof/>
        </w:rPr>
        <w:t>3</w:t>
      </w:r>
      <w:r>
        <w:fldChar w:fldCharType="end"/>
      </w:r>
      <w:r>
        <w:t xml:space="preserve"> sets out this calculation in 2009 NPV terms</w:t>
      </w:r>
      <w:r w:rsidR="001C508F">
        <w:t xml:space="preserve"> as AusNet Services had used in its proposal</w:t>
      </w:r>
      <w:r>
        <w:t xml:space="preserve">. </w:t>
      </w:r>
    </w:p>
    <w:p w:rsidR="008F441F" w:rsidRDefault="004B2781" w:rsidP="006715B3">
      <w:pPr>
        <w:pStyle w:val="Caption"/>
      </w:pPr>
      <w:bookmarkStart w:id="43" w:name="_Ref461204658"/>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3</w:t>
        </w:r>
      </w:fldSimple>
      <w:bookmarkEnd w:id="43"/>
      <w:r w:rsidR="00755C4C">
        <w:tab/>
      </w:r>
      <w:r w:rsidR="006715B3">
        <w:t>R</w:t>
      </w:r>
      <w:r w:rsidR="00755C4C">
        <w:t xml:space="preserve">evenue and costs true–up </w:t>
      </w:r>
      <w:r w:rsidR="006715B3">
        <w:t>($m, NPV 2009)</w:t>
      </w:r>
    </w:p>
    <w:tbl>
      <w:tblPr>
        <w:tblStyle w:val="AERtable-numbers"/>
        <w:tblW w:w="0" w:type="auto"/>
        <w:tblLook w:val="04A0" w:firstRow="1" w:lastRow="0" w:firstColumn="1" w:lastColumn="0" w:noHBand="0" w:noVBand="1"/>
      </w:tblPr>
      <w:tblGrid>
        <w:gridCol w:w="2173"/>
        <w:gridCol w:w="2173"/>
        <w:gridCol w:w="2173"/>
        <w:gridCol w:w="2174"/>
      </w:tblGrid>
      <w:tr w:rsidR="006715B3" w:rsidTr="0067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6715B3" w:rsidRDefault="006715B3" w:rsidP="006715B3"/>
        </w:tc>
        <w:tc>
          <w:tcPr>
            <w:tcW w:w="2173" w:type="dxa"/>
          </w:tcPr>
          <w:p w:rsidR="006715B3" w:rsidRDefault="006715B3" w:rsidP="006715B3">
            <w:pPr>
              <w:cnfStyle w:val="100000000000" w:firstRow="1" w:lastRow="0" w:firstColumn="0" w:lastColumn="0" w:oddVBand="0" w:evenVBand="0" w:oddHBand="0" w:evenHBand="0" w:firstRowFirstColumn="0" w:firstRowLastColumn="0" w:lastRowFirstColumn="0" w:lastRowLastColumn="0"/>
            </w:pPr>
            <w:r>
              <w:t>Revenue</w:t>
            </w:r>
          </w:p>
        </w:tc>
        <w:tc>
          <w:tcPr>
            <w:tcW w:w="2173" w:type="dxa"/>
          </w:tcPr>
          <w:p w:rsidR="006715B3" w:rsidRDefault="006715B3" w:rsidP="006715B3">
            <w:pPr>
              <w:cnfStyle w:val="100000000000" w:firstRow="1" w:lastRow="0" w:firstColumn="0" w:lastColumn="0" w:oddVBand="0" w:evenVBand="0" w:oddHBand="0" w:evenHBand="0" w:firstRowFirstColumn="0" w:firstRowLastColumn="0" w:lastRowFirstColumn="0" w:lastRowLastColumn="0"/>
            </w:pPr>
            <w:r>
              <w:t>Approved c</w:t>
            </w:r>
            <w:r w:rsidRPr="006715B3">
              <w:t>ost</w:t>
            </w:r>
            <w:r>
              <w:t>s</w:t>
            </w:r>
          </w:p>
        </w:tc>
        <w:tc>
          <w:tcPr>
            <w:tcW w:w="2174" w:type="dxa"/>
          </w:tcPr>
          <w:p w:rsidR="006715B3" w:rsidRDefault="006715B3" w:rsidP="006715B3">
            <w:pPr>
              <w:cnfStyle w:val="100000000000" w:firstRow="1" w:lastRow="0" w:firstColumn="0" w:lastColumn="0" w:oddVBand="0" w:evenVBand="0" w:oddHBand="0" w:evenHBand="0" w:firstRowFirstColumn="0" w:firstRowLastColumn="0" w:lastRowFirstColumn="0" w:lastRowLastColumn="0"/>
            </w:pPr>
            <w:r>
              <w:t>T</w:t>
            </w:r>
            <w:r w:rsidRPr="006715B3">
              <w:t xml:space="preserve">rue-up </w:t>
            </w:r>
          </w:p>
        </w:tc>
      </w:tr>
      <w:tr w:rsidR="006715B3" w:rsidTr="006715B3">
        <w:tc>
          <w:tcPr>
            <w:cnfStyle w:val="001000000000" w:firstRow="0" w:lastRow="0" w:firstColumn="1" w:lastColumn="0" w:oddVBand="0" w:evenVBand="0" w:oddHBand="0" w:evenHBand="0" w:firstRowFirstColumn="0" w:firstRowLastColumn="0" w:lastRowFirstColumn="0" w:lastRowLastColumn="0"/>
            <w:tcW w:w="2173" w:type="dxa"/>
          </w:tcPr>
          <w:p w:rsidR="006715B3" w:rsidRPr="006715B3" w:rsidRDefault="006715B3" w:rsidP="006715B3">
            <w:r>
              <w:t>AusNet</w:t>
            </w:r>
            <w:r w:rsidRPr="006715B3">
              <w:t> Services' proposal</w:t>
            </w:r>
          </w:p>
        </w:tc>
        <w:tc>
          <w:tcPr>
            <w:tcW w:w="2173" w:type="dxa"/>
          </w:tcPr>
          <w:p w:rsidR="006715B3" w:rsidRPr="006715B3" w:rsidRDefault="006715B3" w:rsidP="006715B3">
            <w:pPr>
              <w:cnfStyle w:val="000000000000" w:firstRow="0" w:lastRow="0" w:firstColumn="0" w:lastColumn="0" w:oddVBand="0" w:evenVBand="0" w:oddHBand="0" w:evenHBand="0" w:firstRowFirstColumn="0" w:firstRowLastColumn="0" w:lastRowFirstColumn="0" w:lastRowLastColumn="0"/>
            </w:pPr>
            <w:r>
              <w:t>449.6</w:t>
            </w:r>
          </w:p>
        </w:tc>
        <w:tc>
          <w:tcPr>
            <w:tcW w:w="2173" w:type="dxa"/>
          </w:tcPr>
          <w:p w:rsidR="006715B3" w:rsidRPr="006715B3" w:rsidRDefault="006715B3" w:rsidP="006715B3">
            <w:pPr>
              <w:cnfStyle w:val="000000000000" w:firstRow="0" w:lastRow="0" w:firstColumn="0" w:lastColumn="0" w:oddVBand="0" w:evenVBand="0" w:oddHBand="0" w:evenHBand="0" w:firstRowFirstColumn="0" w:firstRowLastColumn="0" w:lastRowFirstColumn="0" w:lastRowLastColumn="0"/>
            </w:pPr>
            <w:r>
              <w:t>437.1</w:t>
            </w:r>
          </w:p>
        </w:tc>
        <w:tc>
          <w:tcPr>
            <w:tcW w:w="2174" w:type="dxa"/>
          </w:tcPr>
          <w:p w:rsidR="006715B3" w:rsidRPr="006715B3" w:rsidRDefault="006715B3" w:rsidP="006715B3">
            <w:pPr>
              <w:cnfStyle w:val="000000000000" w:firstRow="0" w:lastRow="0" w:firstColumn="0" w:lastColumn="0" w:oddVBand="0" w:evenVBand="0" w:oddHBand="0" w:evenHBand="0" w:firstRowFirstColumn="0" w:firstRowLastColumn="0" w:lastRowFirstColumn="0" w:lastRowLastColumn="0"/>
            </w:pPr>
            <w:r>
              <w:t>(</w:t>
            </w:r>
            <w:r w:rsidRPr="006715B3">
              <w:t>12.5)</w:t>
            </w:r>
          </w:p>
        </w:tc>
      </w:tr>
      <w:tr w:rsidR="006715B3" w:rsidTr="00671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6715B3" w:rsidRPr="006715B3" w:rsidRDefault="006715B3" w:rsidP="006715B3">
            <w:r>
              <w:t>AER draft decision</w:t>
            </w:r>
          </w:p>
        </w:tc>
        <w:tc>
          <w:tcPr>
            <w:tcW w:w="2173" w:type="dxa"/>
          </w:tcPr>
          <w:p w:rsidR="006715B3" w:rsidRPr="006715B3" w:rsidRDefault="006715B3" w:rsidP="006715B3">
            <w:pPr>
              <w:cnfStyle w:val="000000010000" w:firstRow="0" w:lastRow="0" w:firstColumn="0" w:lastColumn="0" w:oddVBand="0" w:evenVBand="0" w:oddHBand="0" w:evenHBand="1" w:firstRowFirstColumn="0" w:firstRowLastColumn="0" w:lastRowFirstColumn="0" w:lastRowLastColumn="0"/>
            </w:pPr>
            <w:r>
              <w:t>449.6</w:t>
            </w:r>
          </w:p>
        </w:tc>
        <w:tc>
          <w:tcPr>
            <w:tcW w:w="2173" w:type="dxa"/>
          </w:tcPr>
          <w:p w:rsidR="006715B3" w:rsidRPr="006715B3" w:rsidRDefault="006715B3" w:rsidP="006715B3">
            <w:pPr>
              <w:cnfStyle w:val="000000010000" w:firstRow="0" w:lastRow="0" w:firstColumn="0" w:lastColumn="0" w:oddVBand="0" w:evenVBand="0" w:oddHBand="0" w:evenHBand="1" w:firstRowFirstColumn="0" w:firstRowLastColumn="0" w:lastRowFirstColumn="0" w:lastRowLastColumn="0"/>
            </w:pPr>
            <w:r>
              <w:t>429.</w:t>
            </w:r>
            <w:r w:rsidR="003A05F7">
              <w:t>1</w:t>
            </w:r>
          </w:p>
        </w:tc>
        <w:tc>
          <w:tcPr>
            <w:tcW w:w="2174" w:type="dxa"/>
          </w:tcPr>
          <w:p w:rsidR="006715B3" w:rsidRPr="006715B3" w:rsidRDefault="006715B3" w:rsidP="006715B3">
            <w:pPr>
              <w:cnfStyle w:val="000000010000" w:firstRow="0" w:lastRow="0" w:firstColumn="0" w:lastColumn="0" w:oddVBand="0" w:evenVBand="0" w:oddHBand="0" w:evenHBand="1" w:firstRowFirstColumn="0" w:firstRowLastColumn="0" w:lastRowFirstColumn="0" w:lastRowLastColumn="0"/>
            </w:pPr>
            <w:r>
              <w:t>(</w:t>
            </w:r>
            <w:r w:rsidRPr="006715B3">
              <w:t>20.5)</w:t>
            </w:r>
          </w:p>
        </w:tc>
      </w:tr>
    </w:tbl>
    <w:p w:rsidR="00E542E4" w:rsidRDefault="00991849" w:rsidP="00132AEB">
      <w:pPr>
        <w:pStyle w:val="AERtablesource"/>
      </w:pPr>
      <w:r>
        <w:t>Source:</w:t>
      </w:r>
      <w:r w:rsidR="008F660D">
        <w:tab/>
        <w:t>AER analysis.</w:t>
      </w:r>
    </w:p>
    <w:p w:rsidR="00991849" w:rsidRDefault="00991849" w:rsidP="00991849">
      <w:pPr>
        <w:pStyle w:val="HeadingBoldItalic"/>
      </w:pPr>
      <w:r>
        <w:t>Step four</w:t>
      </w:r>
    </w:p>
    <w:p w:rsidR="00991849" w:rsidRDefault="00991849" w:rsidP="00991849">
      <w:r>
        <w:t>Our final step was to discount the true–up amount to its correct NPV.</w:t>
      </w:r>
    </w:p>
    <w:p w:rsidR="00991849" w:rsidRPr="00991849" w:rsidRDefault="00991849" w:rsidP="00991849">
      <w:r>
        <w:t>We have decided in this draft decision to apply the transition charge in the 2018 year of the Victorian electricity distributor's 2016–20</w:t>
      </w:r>
      <w:r w:rsidR="00E0035F">
        <w:t>20</w:t>
      </w:r>
      <w:r>
        <w:t xml:space="preserve"> regulatory control period. We therefore discounted the amount we calculated in step three to its 2018 NPV</w:t>
      </w:r>
      <w:r w:rsidR="008F660D">
        <w:t>.</w:t>
      </w:r>
      <w:r w:rsidR="00E21CDF">
        <w:rPr>
          <w:rStyle w:val="FootnoteReference"/>
        </w:rPr>
        <w:footnoteReference w:id="49"/>
      </w:r>
      <w:r w:rsidR="008F660D">
        <w:t xml:space="preserve"> This amount </w:t>
      </w:r>
      <w:r>
        <w:t xml:space="preserve">is set out in </w:t>
      </w:r>
      <w:r>
        <w:fldChar w:fldCharType="begin"/>
      </w:r>
      <w:r>
        <w:instrText xml:space="preserve"> REF _Ref461205260 \h </w:instrText>
      </w:r>
      <w:r>
        <w:fldChar w:fldCharType="separate"/>
      </w:r>
      <w:r w:rsidR="003C3A1D">
        <w:t xml:space="preserve">Table </w:t>
      </w:r>
      <w:r w:rsidR="003C3A1D">
        <w:rPr>
          <w:noProof/>
        </w:rPr>
        <w:t>4</w:t>
      </w:r>
      <w:r w:rsidR="003C3A1D">
        <w:t>.</w:t>
      </w:r>
      <w:r w:rsidR="003C3A1D">
        <w:rPr>
          <w:noProof/>
        </w:rPr>
        <w:t>4</w:t>
      </w:r>
      <w:r>
        <w:fldChar w:fldCharType="end"/>
      </w:r>
      <w:r>
        <w:t>.</w:t>
      </w:r>
    </w:p>
    <w:p w:rsidR="006715B3" w:rsidRDefault="006715B3" w:rsidP="006715B3">
      <w:pPr>
        <w:pStyle w:val="Caption"/>
      </w:pPr>
      <w:bookmarkStart w:id="44" w:name="_Ref461205260"/>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4</w:t>
        </w:r>
      </w:fldSimple>
      <w:bookmarkEnd w:id="44"/>
      <w:r>
        <w:tab/>
        <w:t>Draft decision on revenue and costs true–up ($m, NPV 2018)</w:t>
      </w:r>
    </w:p>
    <w:tbl>
      <w:tblPr>
        <w:tblStyle w:val="AERtable-numbers"/>
        <w:tblW w:w="0" w:type="auto"/>
        <w:tblLook w:val="04A0" w:firstRow="1" w:lastRow="0" w:firstColumn="1" w:lastColumn="0" w:noHBand="0" w:noVBand="1"/>
      </w:tblPr>
      <w:tblGrid>
        <w:gridCol w:w="4346"/>
        <w:gridCol w:w="4347"/>
      </w:tblGrid>
      <w:tr w:rsidR="006715B3" w:rsidTr="0067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6715B3" w:rsidRDefault="006715B3" w:rsidP="00EA403A"/>
        </w:tc>
        <w:tc>
          <w:tcPr>
            <w:tcW w:w="4347" w:type="dxa"/>
          </w:tcPr>
          <w:p w:rsidR="006715B3" w:rsidRDefault="00991849" w:rsidP="00EA403A">
            <w:pPr>
              <w:cnfStyle w:val="100000000000" w:firstRow="1" w:lastRow="0" w:firstColumn="0" w:lastColumn="0" w:oddVBand="0" w:evenVBand="0" w:oddHBand="0" w:evenHBand="0" w:firstRowFirstColumn="0" w:firstRowLastColumn="0" w:lastRowFirstColumn="0" w:lastRowLastColumn="0"/>
            </w:pPr>
            <w:r>
              <w:t>True–up</w:t>
            </w:r>
          </w:p>
        </w:tc>
      </w:tr>
      <w:tr w:rsidR="006715B3" w:rsidTr="006715B3">
        <w:tc>
          <w:tcPr>
            <w:cnfStyle w:val="001000000000" w:firstRow="0" w:lastRow="0" w:firstColumn="1" w:lastColumn="0" w:oddVBand="0" w:evenVBand="0" w:oddHBand="0" w:evenHBand="0" w:firstRowFirstColumn="0" w:firstRowLastColumn="0" w:lastRowFirstColumn="0" w:lastRowLastColumn="0"/>
            <w:tcW w:w="4346" w:type="dxa"/>
          </w:tcPr>
          <w:p w:rsidR="006715B3" w:rsidRDefault="006715B3" w:rsidP="00EA403A">
            <w:r>
              <w:t>AER draft decision</w:t>
            </w:r>
          </w:p>
        </w:tc>
        <w:tc>
          <w:tcPr>
            <w:tcW w:w="4347" w:type="dxa"/>
          </w:tcPr>
          <w:p w:rsidR="006715B3" w:rsidRDefault="006715B3" w:rsidP="00EA403A">
            <w:pPr>
              <w:cnfStyle w:val="000000000000" w:firstRow="0" w:lastRow="0" w:firstColumn="0" w:lastColumn="0" w:oddVBand="0" w:evenVBand="0" w:oddHBand="0" w:evenHBand="0" w:firstRowFirstColumn="0" w:firstRowLastColumn="0" w:lastRowFirstColumn="0" w:lastRowLastColumn="0"/>
            </w:pPr>
            <w:r>
              <w:t>(</w:t>
            </w:r>
            <w:r w:rsidR="003A05F7">
              <w:t>42.0</w:t>
            </w:r>
            <w:r w:rsidRPr="006715B3">
              <w:t>)</w:t>
            </w:r>
          </w:p>
        </w:tc>
      </w:tr>
    </w:tbl>
    <w:p w:rsidR="00991849" w:rsidRDefault="00991849" w:rsidP="00991849">
      <w:pPr>
        <w:pStyle w:val="AERtablesource"/>
      </w:pPr>
      <w:r>
        <w:t>Source:</w:t>
      </w:r>
      <w:r w:rsidR="008F660D">
        <w:tab/>
        <w:t>AER analysis.</w:t>
      </w:r>
    </w:p>
    <w:p w:rsidR="005504AB" w:rsidRDefault="005504AB" w:rsidP="00BF6685">
      <w:pPr>
        <w:pStyle w:val="Heading3"/>
      </w:pPr>
      <w:bookmarkStart w:id="45" w:name="_Ref460413451"/>
      <w:bookmarkStart w:id="46" w:name="_Toc461447503"/>
      <w:bookmarkStart w:id="47" w:name="_Toc461526266"/>
      <w:bookmarkStart w:id="48" w:name="_Ref459990816"/>
      <w:r>
        <w:t>MAB true–up</w:t>
      </w:r>
      <w:bookmarkEnd w:id="45"/>
      <w:bookmarkEnd w:id="46"/>
      <w:bookmarkEnd w:id="47"/>
    </w:p>
    <w:p w:rsidR="00430536" w:rsidRDefault="007C550E" w:rsidP="007C550E">
      <w:r>
        <w:t>We have calculated</w:t>
      </w:r>
      <w:r w:rsidR="003A05F7">
        <w:t xml:space="preserve"> a negative MAB true–up of $20.1</w:t>
      </w:r>
      <w:r>
        <w:t xml:space="preserve"> million ($2018).</w:t>
      </w:r>
    </w:p>
    <w:p w:rsidR="00EA5FB4" w:rsidRDefault="00EA5FB4" w:rsidP="00EA5FB4">
      <w:pPr>
        <w:pStyle w:val="HeadingBoldItalic"/>
      </w:pPr>
      <w:r>
        <w:t>Step one</w:t>
      </w:r>
    </w:p>
    <w:p w:rsidR="00EA5FB4" w:rsidRDefault="00EA5FB4" w:rsidP="00EA5FB4">
      <w:r>
        <w:t xml:space="preserve">The first step we took was to </w:t>
      </w:r>
      <w:r w:rsidR="00424045">
        <w:t>recalculate the 2016–20</w:t>
      </w:r>
      <w:r w:rsidR="00570B48">
        <w:t>20</w:t>
      </w:r>
      <w:r w:rsidR="00424045">
        <w:t xml:space="preserve"> opening MAB value.</w:t>
      </w:r>
    </w:p>
    <w:p w:rsidR="00EA5FB4" w:rsidRPr="00EA5FB4" w:rsidRDefault="00803C8A" w:rsidP="00EA5FB4">
      <w:r>
        <w:t>This process involved a</w:t>
      </w:r>
      <w:r w:rsidR="0008672B">
        <w:t xml:space="preserve"> </w:t>
      </w:r>
      <w:r w:rsidR="00517224">
        <w:t>comparison</w:t>
      </w:r>
      <w:r>
        <w:t>. In particular, we compared the opening MAB value which we determined in our 2016–20</w:t>
      </w:r>
      <w:r w:rsidR="00E0035F">
        <w:t>20</w:t>
      </w:r>
      <w:r>
        <w:t xml:space="preserve"> </w:t>
      </w:r>
      <w:r w:rsidR="0093628B">
        <w:t>distribution</w:t>
      </w:r>
      <w:r>
        <w:t xml:space="preserve"> determination with the opening MAB value that we h</w:t>
      </w:r>
      <w:r w:rsidR="0008672B">
        <w:t xml:space="preserve">ave </w:t>
      </w:r>
      <w:r>
        <w:t xml:space="preserve">calculated in this transition charges draft decision. </w:t>
      </w:r>
      <w:r w:rsidR="00732808">
        <w:fldChar w:fldCharType="begin"/>
      </w:r>
      <w:r w:rsidR="00732808">
        <w:instrText xml:space="preserve"> REF _Ref461213273 \h </w:instrText>
      </w:r>
      <w:r w:rsidR="00732808">
        <w:fldChar w:fldCharType="separate"/>
      </w:r>
      <w:r w:rsidR="003C3A1D">
        <w:t xml:space="preserve">Table </w:t>
      </w:r>
      <w:r w:rsidR="003C3A1D">
        <w:rPr>
          <w:noProof/>
        </w:rPr>
        <w:t>4</w:t>
      </w:r>
      <w:r w:rsidR="003C3A1D">
        <w:t>.</w:t>
      </w:r>
      <w:r w:rsidR="003C3A1D">
        <w:rPr>
          <w:noProof/>
        </w:rPr>
        <w:t>5</w:t>
      </w:r>
      <w:r w:rsidR="00732808">
        <w:fldChar w:fldCharType="end"/>
      </w:r>
      <w:r w:rsidR="00732808">
        <w:t xml:space="preserve"> </w:t>
      </w:r>
      <w:r>
        <w:t xml:space="preserve"> sets out that </w:t>
      </w:r>
      <w:r w:rsidR="0008672B">
        <w:t>recalculation</w:t>
      </w:r>
      <w:r>
        <w:t>.</w:t>
      </w:r>
    </w:p>
    <w:p w:rsidR="00EA5FB4" w:rsidRDefault="00EA5FB4" w:rsidP="00EA5FB4">
      <w:pPr>
        <w:pStyle w:val="Caption"/>
      </w:pPr>
      <w:bookmarkStart w:id="49" w:name="_Ref461213273"/>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5</w:t>
        </w:r>
      </w:fldSimple>
      <w:bookmarkEnd w:id="49"/>
      <w:r>
        <w:tab/>
        <w:t>Calculation of opening MAB value ($m, 2008)</w:t>
      </w:r>
    </w:p>
    <w:tbl>
      <w:tblPr>
        <w:tblStyle w:val="AERtable-numbers"/>
        <w:tblW w:w="0" w:type="auto"/>
        <w:tblLook w:val="04A0" w:firstRow="1" w:lastRow="0" w:firstColumn="1" w:lastColumn="0" w:noHBand="0" w:noVBand="1"/>
      </w:tblPr>
      <w:tblGrid>
        <w:gridCol w:w="1853"/>
        <w:gridCol w:w="1159"/>
        <w:gridCol w:w="1158"/>
        <w:gridCol w:w="1158"/>
        <w:gridCol w:w="1158"/>
        <w:gridCol w:w="1106"/>
        <w:gridCol w:w="1101"/>
      </w:tblGrid>
      <w:tr w:rsidR="00430536" w:rsidTr="00430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430536" w:rsidRDefault="00430536" w:rsidP="007C550E"/>
        </w:tc>
        <w:tc>
          <w:tcPr>
            <w:tcW w:w="1159" w:type="dxa"/>
          </w:tcPr>
          <w:p w:rsidR="00430536" w:rsidRDefault="00430536" w:rsidP="007C550E">
            <w:pPr>
              <w:cnfStyle w:val="100000000000" w:firstRow="1" w:lastRow="0" w:firstColumn="0" w:lastColumn="0" w:oddVBand="0" w:evenVBand="0" w:oddHBand="0" w:evenHBand="0" w:firstRowFirstColumn="0" w:firstRowLastColumn="0" w:lastRowFirstColumn="0" w:lastRowLastColumn="0"/>
            </w:pPr>
            <w:r>
              <w:t>2011</w:t>
            </w:r>
          </w:p>
        </w:tc>
        <w:tc>
          <w:tcPr>
            <w:tcW w:w="1158" w:type="dxa"/>
          </w:tcPr>
          <w:p w:rsidR="00430536" w:rsidRDefault="00430536" w:rsidP="007C550E">
            <w:pPr>
              <w:cnfStyle w:val="100000000000" w:firstRow="1" w:lastRow="0" w:firstColumn="0" w:lastColumn="0" w:oddVBand="0" w:evenVBand="0" w:oddHBand="0" w:evenHBand="0" w:firstRowFirstColumn="0" w:firstRowLastColumn="0" w:lastRowFirstColumn="0" w:lastRowLastColumn="0"/>
            </w:pPr>
            <w:r>
              <w:t>2012</w:t>
            </w:r>
          </w:p>
        </w:tc>
        <w:tc>
          <w:tcPr>
            <w:tcW w:w="1158" w:type="dxa"/>
          </w:tcPr>
          <w:p w:rsidR="00430536" w:rsidRDefault="00430536" w:rsidP="007C550E">
            <w:pPr>
              <w:cnfStyle w:val="100000000000" w:firstRow="1" w:lastRow="0" w:firstColumn="0" w:lastColumn="0" w:oddVBand="0" w:evenVBand="0" w:oddHBand="0" w:evenHBand="0" w:firstRowFirstColumn="0" w:firstRowLastColumn="0" w:lastRowFirstColumn="0" w:lastRowLastColumn="0"/>
            </w:pPr>
            <w:r>
              <w:t>2013</w:t>
            </w:r>
          </w:p>
        </w:tc>
        <w:tc>
          <w:tcPr>
            <w:tcW w:w="1158" w:type="dxa"/>
          </w:tcPr>
          <w:p w:rsidR="00430536" w:rsidRDefault="00430536" w:rsidP="007C550E">
            <w:pPr>
              <w:cnfStyle w:val="100000000000" w:firstRow="1" w:lastRow="0" w:firstColumn="0" w:lastColumn="0" w:oddVBand="0" w:evenVBand="0" w:oddHBand="0" w:evenHBand="0" w:firstRowFirstColumn="0" w:firstRowLastColumn="0" w:lastRowFirstColumn="0" w:lastRowLastColumn="0"/>
            </w:pPr>
            <w:r>
              <w:t>2014</w:t>
            </w:r>
          </w:p>
        </w:tc>
        <w:tc>
          <w:tcPr>
            <w:tcW w:w="1106" w:type="dxa"/>
          </w:tcPr>
          <w:p w:rsidR="00430536" w:rsidRDefault="00430536" w:rsidP="007C550E">
            <w:pPr>
              <w:cnfStyle w:val="100000000000" w:firstRow="1" w:lastRow="0" w:firstColumn="0" w:lastColumn="0" w:oddVBand="0" w:evenVBand="0" w:oddHBand="0" w:evenHBand="0" w:firstRowFirstColumn="0" w:firstRowLastColumn="0" w:lastRowFirstColumn="0" w:lastRowLastColumn="0"/>
            </w:pPr>
            <w:r>
              <w:t>2015</w:t>
            </w:r>
          </w:p>
        </w:tc>
        <w:tc>
          <w:tcPr>
            <w:tcW w:w="1101" w:type="dxa"/>
          </w:tcPr>
          <w:p w:rsidR="00430536" w:rsidRDefault="00430536" w:rsidP="007C550E">
            <w:pPr>
              <w:cnfStyle w:val="100000000000" w:firstRow="1" w:lastRow="0" w:firstColumn="0" w:lastColumn="0" w:oddVBand="0" w:evenVBand="0" w:oddHBand="0" w:evenHBand="0" w:firstRowFirstColumn="0" w:firstRowLastColumn="0" w:lastRowFirstColumn="0" w:lastRowLastColumn="0"/>
            </w:pPr>
            <w:r>
              <w:t>Opening MAB</w:t>
            </w:r>
          </w:p>
        </w:tc>
      </w:tr>
      <w:tr w:rsidR="00430536" w:rsidTr="00430536">
        <w:tc>
          <w:tcPr>
            <w:cnfStyle w:val="001000000000" w:firstRow="0" w:lastRow="0" w:firstColumn="1" w:lastColumn="0" w:oddVBand="0" w:evenVBand="0" w:oddHBand="0" w:evenHBand="0" w:firstRowFirstColumn="0" w:firstRowLastColumn="0" w:lastRowFirstColumn="0" w:lastRowLastColumn="0"/>
            <w:tcW w:w="1853" w:type="dxa"/>
          </w:tcPr>
          <w:p w:rsidR="00430536" w:rsidRDefault="00430536" w:rsidP="00430536">
            <w:r>
              <w:t>2016–20</w:t>
            </w:r>
            <w:r w:rsidR="003A43B3">
              <w:t>20</w:t>
            </w:r>
            <w:r>
              <w:t xml:space="preserve"> Victorian determination</w:t>
            </w:r>
          </w:p>
        </w:tc>
        <w:tc>
          <w:tcPr>
            <w:tcW w:w="1159" w:type="dxa"/>
          </w:tcPr>
          <w:p w:rsidR="00430536" w:rsidRDefault="00EA5FB4" w:rsidP="007C550E">
            <w:pPr>
              <w:cnfStyle w:val="000000000000" w:firstRow="0" w:lastRow="0" w:firstColumn="0" w:lastColumn="0" w:oddVBand="0" w:evenVBand="0" w:oddHBand="0" w:evenHBand="0" w:firstRowFirstColumn="0" w:firstRowLastColumn="0" w:lastRowFirstColumn="0" w:lastRowLastColumn="0"/>
            </w:pPr>
            <w:r>
              <w:t>202.3</w:t>
            </w:r>
          </w:p>
        </w:tc>
        <w:tc>
          <w:tcPr>
            <w:tcW w:w="1158" w:type="dxa"/>
          </w:tcPr>
          <w:p w:rsidR="00430536" w:rsidRDefault="00EA5FB4" w:rsidP="007C550E">
            <w:pPr>
              <w:cnfStyle w:val="000000000000" w:firstRow="0" w:lastRow="0" w:firstColumn="0" w:lastColumn="0" w:oddVBand="0" w:evenVBand="0" w:oddHBand="0" w:evenHBand="0" w:firstRowFirstColumn="0" w:firstRowLastColumn="0" w:lastRowFirstColumn="0" w:lastRowLastColumn="0"/>
            </w:pPr>
            <w:r>
              <w:t>288.1</w:t>
            </w:r>
          </w:p>
        </w:tc>
        <w:tc>
          <w:tcPr>
            <w:tcW w:w="1158" w:type="dxa"/>
          </w:tcPr>
          <w:p w:rsidR="00430536" w:rsidRDefault="00EA5FB4" w:rsidP="007C550E">
            <w:pPr>
              <w:cnfStyle w:val="000000000000" w:firstRow="0" w:lastRow="0" w:firstColumn="0" w:lastColumn="0" w:oddVBand="0" w:evenVBand="0" w:oddHBand="0" w:evenHBand="0" w:firstRowFirstColumn="0" w:firstRowLastColumn="0" w:lastRowFirstColumn="0" w:lastRowLastColumn="0"/>
            </w:pPr>
            <w:r>
              <w:t>344.9</w:t>
            </w:r>
          </w:p>
        </w:tc>
        <w:tc>
          <w:tcPr>
            <w:tcW w:w="1158" w:type="dxa"/>
          </w:tcPr>
          <w:p w:rsidR="00430536" w:rsidRDefault="00EA5FB4" w:rsidP="007C550E">
            <w:pPr>
              <w:cnfStyle w:val="000000000000" w:firstRow="0" w:lastRow="0" w:firstColumn="0" w:lastColumn="0" w:oddVBand="0" w:evenVBand="0" w:oddHBand="0" w:evenHBand="0" w:firstRowFirstColumn="0" w:firstRowLastColumn="0" w:lastRowFirstColumn="0" w:lastRowLastColumn="0"/>
            </w:pPr>
            <w:r>
              <w:t>350.1</w:t>
            </w:r>
          </w:p>
        </w:tc>
        <w:tc>
          <w:tcPr>
            <w:tcW w:w="1106" w:type="dxa"/>
          </w:tcPr>
          <w:p w:rsidR="00430536" w:rsidRDefault="00EA5FB4" w:rsidP="007C550E">
            <w:pPr>
              <w:cnfStyle w:val="000000000000" w:firstRow="0" w:lastRow="0" w:firstColumn="0" w:lastColumn="0" w:oddVBand="0" w:evenVBand="0" w:oddHBand="0" w:evenHBand="0" w:firstRowFirstColumn="0" w:firstRowLastColumn="0" w:lastRowFirstColumn="0" w:lastRowLastColumn="0"/>
            </w:pPr>
            <w:r>
              <w:t>311.6</w:t>
            </w:r>
          </w:p>
        </w:tc>
        <w:tc>
          <w:tcPr>
            <w:tcW w:w="1101" w:type="dxa"/>
          </w:tcPr>
          <w:p w:rsidR="00430536" w:rsidRDefault="00EA5FB4" w:rsidP="007C550E">
            <w:pPr>
              <w:cnfStyle w:val="000000000000" w:firstRow="0" w:lastRow="0" w:firstColumn="0" w:lastColumn="0" w:oddVBand="0" w:evenVBand="0" w:oddHBand="0" w:evenHBand="0" w:firstRowFirstColumn="0" w:firstRowLastColumn="0" w:lastRowFirstColumn="0" w:lastRowLastColumn="0"/>
            </w:pPr>
            <w:r>
              <w:t>311.6</w:t>
            </w:r>
          </w:p>
        </w:tc>
      </w:tr>
      <w:tr w:rsidR="00430536" w:rsidTr="00430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430536" w:rsidRDefault="00430536" w:rsidP="007C550E">
            <w:r>
              <w:t>Transition charge draft decision</w:t>
            </w:r>
          </w:p>
        </w:tc>
        <w:tc>
          <w:tcPr>
            <w:tcW w:w="1159" w:type="dxa"/>
          </w:tcPr>
          <w:p w:rsidR="00430536" w:rsidRDefault="00EA5FB4" w:rsidP="007C550E">
            <w:pPr>
              <w:cnfStyle w:val="000000010000" w:firstRow="0" w:lastRow="0" w:firstColumn="0" w:lastColumn="0" w:oddVBand="0" w:evenVBand="0" w:oddHBand="0" w:evenHBand="1" w:firstRowFirstColumn="0" w:firstRowLastColumn="0" w:lastRowFirstColumn="0" w:lastRowLastColumn="0"/>
            </w:pPr>
            <w:r>
              <w:t>202.3</w:t>
            </w:r>
          </w:p>
        </w:tc>
        <w:tc>
          <w:tcPr>
            <w:tcW w:w="1158" w:type="dxa"/>
          </w:tcPr>
          <w:p w:rsidR="00430536" w:rsidRDefault="00EA5FB4" w:rsidP="007C550E">
            <w:pPr>
              <w:cnfStyle w:val="000000010000" w:firstRow="0" w:lastRow="0" w:firstColumn="0" w:lastColumn="0" w:oddVBand="0" w:evenVBand="0" w:oddHBand="0" w:evenHBand="1" w:firstRowFirstColumn="0" w:firstRowLastColumn="0" w:lastRowFirstColumn="0" w:lastRowLastColumn="0"/>
            </w:pPr>
            <w:r>
              <w:t>288.1</w:t>
            </w:r>
          </w:p>
        </w:tc>
        <w:tc>
          <w:tcPr>
            <w:tcW w:w="1158" w:type="dxa"/>
          </w:tcPr>
          <w:p w:rsidR="00430536" w:rsidRDefault="00EA5FB4" w:rsidP="007C550E">
            <w:pPr>
              <w:cnfStyle w:val="000000010000" w:firstRow="0" w:lastRow="0" w:firstColumn="0" w:lastColumn="0" w:oddVBand="0" w:evenVBand="0" w:oddHBand="0" w:evenHBand="1" w:firstRowFirstColumn="0" w:firstRowLastColumn="0" w:lastRowFirstColumn="0" w:lastRowLastColumn="0"/>
            </w:pPr>
            <w:r>
              <w:t>344.9</w:t>
            </w:r>
          </w:p>
        </w:tc>
        <w:tc>
          <w:tcPr>
            <w:tcW w:w="1158" w:type="dxa"/>
          </w:tcPr>
          <w:p w:rsidR="00430536" w:rsidRDefault="00EA5FB4" w:rsidP="007C550E">
            <w:pPr>
              <w:cnfStyle w:val="000000010000" w:firstRow="0" w:lastRow="0" w:firstColumn="0" w:lastColumn="0" w:oddVBand="0" w:evenVBand="0" w:oddHBand="0" w:evenHBand="1" w:firstRowFirstColumn="0" w:firstRowLastColumn="0" w:lastRowFirstColumn="0" w:lastRowLastColumn="0"/>
            </w:pPr>
            <w:r>
              <w:t>320.</w:t>
            </w:r>
            <w:r w:rsidR="003A05F7">
              <w:t>5</w:t>
            </w:r>
          </w:p>
        </w:tc>
        <w:tc>
          <w:tcPr>
            <w:tcW w:w="1106" w:type="dxa"/>
          </w:tcPr>
          <w:p w:rsidR="00430536" w:rsidRDefault="00EA5FB4" w:rsidP="007C550E">
            <w:pPr>
              <w:cnfStyle w:val="000000010000" w:firstRow="0" w:lastRow="0" w:firstColumn="0" w:lastColumn="0" w:oddVBand="0" w:evenVBand="0" w:oddHBand="0" w:evenHBand="1" w:firstRowFirstColumn="0" w:firstRowLastColumn="0" w:lastRowFirstColumn="0" w:lastRowLastColumn="0"/>
            </w:pPr>
            <w:r>
              <w:t>28</w:t>
            </w:r>
            <w:r w:rsidR="003A05F7">
              <w:t>3.9</w:t>
            </w:r>
          </w:p>
        </w:tc>
        <w:tc>
          <w:tcPr>
            <w:tcW w:w="1101" w:type="dxa"/>
          </w:tcPr>
          <w:p w:rsidR="00430536" w:rsidRDefault="00EA5FB4" w:rsidP="007C550E">
            <w:pPr>
              <w:cnfStyle w:val="000000010000" w:firstRow="0" w:lastRow="0" w:firstColumn="0" w:lastColumn="0" w:oddVBand="0" w:evenVBand="0" w:oddHBand="0" w:evenHBand="1" w:firstRowFirstColumn="0" w:firstRowLastColumn="0" w:lastRowFirstColumn="0" w:lastRowLastColumn="0"/>
            </w:pPr>
            <w:r>
              <w:t>28</w:t>
            </w:r>
            <w:r w:rsidR="003A05F7">
              <w:t>3.9</w:t>
            </w:r>
          </w:p>
        </w:tc>
      </w:tr>
    </w:tbl>
    <w:p w:rsidR="007C550E" w:rsidRDefault="007C550E" w:rsidP="00EA5FB4">
      <w:pPr>
        <w:pStyle w:val="AERtablesource"/>
      </w:pPr>
      <w:r>
        <w:t xml:space="preserve"> </w:t>
      </w:r>
      <w:r w:rsidR="00EA5FB4">
        <w:t>Source:</w:t>
      </w:r>
      <w:r w:rsidR="00706790">
        <w:tab/>
        <w:t>AER analysis.</w:t>
      </w:r>
    </w:p>
    <w:p w:rsidR="00EA5FB4" w:rsidRDefault="003328EC" w:rsidP="0008672B">
      <w:r>
        <w:t xml:space="preserve">As shown in </w:t>
      </w:r>
      <w:r>
        <w:fldChar w:fldCharType="begin"/>
      </w:r>
      <w:r>
        <w:instrText xml:space="preserve"> REF _Ref461204658 \h </w:instrText>
      </w:r>
      <w:r>
        <w:fldChar w:fldCharType="separate"/>
      </w:r>
      <w:r w:rsidR="003C3A1D">
        <w:t xml:space="preserve">Table </w:t>
      </w:r>
      <w:r w:rsidR="003C3A1D">
        <w:rPr>
          <w:noProof/>
        </w:rPr>
        <w:t>4</w:t>
      </w:r>
      <w:r w:rsidR="003C3A1D">
        <w:t>.</w:t>
      </w:r>
      <w:r w:rsidR="003C3A1D">
        <w:rPr>
          <w:noProof/>
        </w:rPr>
        <w:t>3</w:t>
      </w:r>
      <w:r>
        <w:fldChar w:fldCharType="end"/>
      </w:r>
      <w:r>
        <w:t xml:space="preserve"> above, the opening MAB value we have calculated in this transition charges draft decision is lower than in our 2016–20</w:t>
      </w:r>
      <w:r w:rsidR="00E0035F">
        <w:t>20</w:t>
      </w:r>
      <w:r>
        <w:t xml:space="preserve"> </w:t>
      </w:r>
      <w:r w:rsidR="0093628B">
        <w:t>distribution</w:t>
      </w:r>
      <w:r>
        <w:t xml:space="preserve"> determination. The reason for this is that our 2016–20</w:t>
      </w:r>
      <w:r w:rsidR="00E0035F">
        <w:t>20</w:t>
      </w:r>
      <w:r>
        <w:t xml:space="preserve"> </w:t>
      </w:r>
      <w:r w:rsidR="0093628B">
        <w:t>distribution</w:t>
      </w:r>
      <w:r>
        <w:t xml:space="preserve"> determination relied on forecast data. </w:t>
      </w:r>
      <w:r w:rsidR="00C90A9E">
        <w:t>In particular, when determining the capex to be rolled into the MAB for the 2014 and 2015 years we</w:t>
      </w:r>
      <w:r>
        <w:t xml:space="preserve"> </w:t>
      </w:r>
      <w:r w:rsidR="00C90A9E">
        <w:t>used</w:t>
      </w:r>
      <w:r>
        <w:t xml:space="preserve"> AusNet Services' </w:t>
      </w:r>
      <w:r w:rsidRPr="0008672B">
        <w:t>forecast</w:t>
      </w:r>
      <w:r>
        <w:t xml:space="preserve"> capex in</w:t>
      </w:r>
      <w:r w:rsidR="00C90A9E">
        <w:t xml:space="preserve"> </w:t>
      </w:r>
      <w:r w:rsidR="005556D1">
        <w:t>its</w:t>
      </w:r>
      <w:r w:rsidR="00C90A9E">
        <w:t xml:space="preserve"> 2015 AMI Charges Revision Applications.</w:t>
      </w:r>
      <w:r w:rsidR="00C90A9E">
        <w:rPr>
          <w:rStyle w:val="FootnoteReference"/>
        </w:rPr>
        <w:footnoteReference w:id="50"/>
      </w:r>
      <w:r w:rsidR="00C90A9E">
        <w:t xml:space="preserve"> </w:t>
      </w:r>
      <w:r w:rsidR="00517224">
        <w:t>In effect</w:t>
      </w:r>
      <w:r w:rsidR="0008672B">
        <w:t xml:space="preserve">, </w:t>
      </w:r>
      <w:r w:rsidR="00517224">
        <w:t>we used a forecast AusNet Services had</w:t>
      </w:r>
      <w:r w:rsidR="0008672B">
        <w:t xml:space="preserve"> made in August 2014</w:t>
      </w:r>
      <w:r w:rsidR="00517224">
        <w:t>, which had not been subject to a prudency assessment</w:t>
      </w:r>
      <w:r w:rsidR="0008672B">
        <w:t>.</w:t>
      </w:r>
    </w:p>
    <w:p w:rsidR="0008672B" w:rsidRDefault="0008672B" w:rsidP="0008672B">
      <w:r>
        <w:t xml:space="preserve">Our transition charge draft decision, by contrast, takes AusNet Services </w:t>
      </w:r>
      <w:r w:rsidRPr="0008672B">
        <w:rPr>
          <w:rStyle w:val="AERtextitalic"/>
        </w:rPr>
        <w:t>actual</w:t>
      </w:r>
      <w:r>
        <w:t xml:space="preserve"> capex in 2014 and 2015 into consideration. We have also consider</w:t>
      </w:r>
      <w:r w:rsidR="00517224">
        <w:t>ed</w:t>
      </w:r>
      <w:r>
        <w:t xml:space="preserve"> a proposal from AusNet Services to recover excess capex in the 2014 and 2015 years. </w:t>
      </w:r>
      <w:r w:rsidR="00517224">
        <w:t xml:space="preserve">With respect to this, we have only rolled into our recalculation of the MAB, any excess capex that we consider to be prudent. Our reasons regarding this prudency assessment are outlined in section </w:t>
      </w:r>
      <w:r w:rsidR="00517224">
        <w:fldChar w:fldCharType="begin"/>
      </w:r>
      <w:r w:rsidR="00517224">
        <w:instrText xml:space="preserve"> REF _Ref461204081 \n \h </w:instrText>
      </w:r>
      <w:r w:rsidR="00517224">
        <w:fldChar w:fldCharType="separate"/>
      </w:r>
      <w:r w:rsidR="003C3A1D">
        <w:t>4.2</w:t>
      </w:r>
      <w:r w:rsidR="00517224">
        <w:fldChar w:fldCharType="end"/>
      </w:r>
      <w:r w:rsidR="00517224">
        <w:t xml:space="preserve"> below.</w:t>
      </w:r>
    </w:p>
    <w:p w:rsidR="00517224" w:rsidRDefault="00517224" w:rsidP="00517224">
      <w:pPr>
        <w:pStyle w:val="HeadingBoldItalic"/>
      </w:pPr>
      <w:r>
        <w:t>Step two</w:t>
      </w:r>
    </w:p>
    <w:p w:rsidR="00D804A6" w:rsidRDefault="00517224" w:rsidP="0008672B">
      <w:r>
        <w:t>Once we had recalculated AusNet Services</w:t>
      </w:r>
      <w:r w:rsidR="00D804A6">
        <w:t>'</w:t>
      </w:r>
      <w:r>
        <w:t xml:space="preserve"> MAB value, </w:t>
      </w:r>
      <w:r w:rsidR="00D804A6">
        <w:t xml:space="preserve">the next step we took was to escalate the value of the recalculated MAB value to 2015 </w:t>
      </w:r>
      <w:r w:rsidR="0093628B">
        <w:t xml:space="preserve">dollar </w:t>
      </w:r>
      <w:r w:rsidR="00EF43F4">
        <w:t>terms</w:t>
      </w:r>
      <w:r w:rsidR="00D804A6">
        <w:t xml:space="preserve">. </w:t>
      </w:r>
    </w:p>
    <w:p w:rsidR="00517224" w:rsidRDefault="00D804A6" w:rsidP="0008672B">
      <w:r>
        <w:t xml:space="preserve">The reason why we escalated it to 2015 </w:t>
      </w:r>
      <w:r w:rsidR="0093628B">
        <w:t xml:space="preserve">dollar </w:t>
      </w:r>
      <w:r w:rsidR="00EF43F4">
        <w:t>terms</w:t>
      </w:r>
      <w:r>
        <w:t xml:space="preserve"> was that this is the </w:t>
      </w:r>
      <w:r w:rsidR="00EF43F4">
        <w:t>value</w:t>
      </w:r>
      <w:r>
        <w:t xml:space="preserve"> which we applied in our 2016–20</w:t>
      </w:r>
      <w:r w:rsidR="00E0035F">
        <w:t>20</w:t>
      </w:r>
      <w:r>
        <w:t xml:space="preserve"> </w:t>
      </w:r>
      <w:r w:rsidR="0093628B">
        <w:t>distribution</w:t>
      </w:r>
      <w:r>
        <w:t xml:space="preserve"> determination. </w:t>
      </w:r>
      <w:r w:rsidR="00696CDC">
        <w:fldChar w:fldCharType="begin"/>
      </w:r>
      <w:r w:rsidR="00696CDC">
        <w:instrText xml:space="preserve"> REF _Ref461216714 \h </w:instrText>
      </w:r>
      <w:r w:rsidR="00696CDC">
        <w:fldChar w:fldCharType="separate"/>
      </w:r>
      <w:r w:rsidR="003C3A1D">
        <w:t xml:space="preserve">Table </w:t>
      </w:r>
      <w:r w:rsidR="003C3A1D">
        <w:rPr>
          <w:noProof/>
        </w:rPr>
        <w:t>4</w:t>
      </w:r>
      <w:r w:rsidR="003C3A1D">
        <w:t>.</w:t>
      </w:r>
      <w:r w:rsidR="003C3A1D">
        <w:rPr>
          <w:noProof/>
        </w:rPr>
        <w:t>6</w:t>
      </w:r>
      <w:r w:rsidR="00696CDC">
        <w:fldChar w:fldCharType="end"/>
      </w:r>
      <w:r w:rsidR="00696CDC">
        <w:t xml:space="preserve"> </w:t>
      </w:r>
      <w:r>
        <w:t xml:space="preserve">sets out the results of the escalation we applied. </w:t>
      </w:r>
    </w:p>
    <w:p w:rsidR="00DC269A" w:rsidRDefault="00696CDC" w:rsidP="00696CDC">
      <w:pPr>
        <w:pStyle w:val="Caption"/>
      </w:pPr>
      <w:bookmarkStart w:id="50" w:name="_Ref461216714"/>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t>.</w:t>
      </w:r>
      <w:fldSimple w:instr=" SEQ Table \* ARABIC \s 1 ">
        <w:r w:rsidR="003C3A1D">
          <w:rPr>
            <w:noProof/>
          </w:rPr>
          <w:t>6</w:t>
        </w:r>
      </w:fldSimple>
      <w:bookmarkEnd w:id="50"/>
      <w:r>
        <w:tab/>
        <w:t>Recalculation of</w:t>
      </w:r>
      <w:r w:rsidR="006545D4">
        <w:t xml:space="preserve"> opening</w:t>
      </w:r>
      <w:r>
        <w:t xml:space="preserve"> MAB</w:t>
      </w:r>
      <w:r w:rsidR="006545D4">
        <w:t xml:space="preserve"> value</w:t>
      </w:r>
      <w:r>
        <w:t xml:space="preserve"> </w:t>
      </w:r>
    </w:p>
    <w:tbl>
      <w:tblPr>
        <w:tblStyle w:val="AERtable-numbers"/>
        <w:tblW w:w="0" w:type="auto"/>
        <w:tblLook w:val="04A0" w:firstRow="1" w:lastRow="0" w:firstColumn="1" w:lastColumn="0" w:noHBand="0" w:noVBand="1"/>
      </w:tblPr>
      <w:tblGrid>
        <w:gridCol w:w="3045"/>
        <w:gridCol w:w="2824"/>
        <w:gridCol w:w="2824"/>
      </w:tblGrid>
      <w:tr w:rsidR="00696CDC" w:rsidTr="0069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696CDC" w:rsidRDefault="00696CDC" w:rsidP="0008672B"/>
        </w:tc>
        <w:tc>
          <w:tcPr>
            <w:tcW w:w="2824" w:type="dxa"/>
          </w:tcPr>
          <w:p w:rsidR="00696CDC" w:rsidRDefault="00A2652A" w:rsidP="00A2652A">
            <w:pPr>
              <w:cnfStyle w:val="100000000000" w:firstRow="1" w:lastRow="0" w:firstColumn="0" w:lastColumn="0" w:oddVBand="0" w:evenVBand="0" w:oddHBand="0" w:evenHBand="0" w:firstRowFirstColumn="0" w:firstRowLastColumn="0" w:lastRowFirstColumn="0" w:lastRowLastColumn="0"/>
            </w:pPr>
            <w:r>
              <w:t>(</w:t>
            </w:r>
            <w:r w:rsidR="006545D4">
              <w:t>$</w:t>
            </w:r>
            <w:r>
              <w:t xml:space="preserve">m, </w:t>
            </w:r>
            <w:r w:rsidR="00696CDC">
              <w:t>2008</w:t>
            </w:r>
            <w:r w:rsidR="006545D4">
              <w:t>)</w:t>
            </w:r>
          </w:p>
        </w:tc>
        <w:tc>
          <w:tcPr>
            <w:tcW w:w="2824" w:type="dxa"/>
          </w:tcPr>
          <w:p w:rsidR="00696CDC" w:rsidRDefault="006545D4" w:rsidP="0008672B">
            <w:pPr>
              <w:cnfStyle w:val="100000000000" w:firstRow="1" w:lastRow="0" w:firstColumn="0" w:lastColumn="0" w:oddVBand="0" w:evenVBand="0" w:oddHBand="0" w:evenHBand="0" w:firstRowFirstColumn="0" w:firstRowLastColumn="0" w:lastRowFirstColumn="0" w:lastRowLastColumn="0"/>
            </w:pPr>
            <w:r>
              <w:t>(</w:t>
            </w:r>
            <w:r w:rsidR="00696CDC">
              <w:t>$</w:t>
            </w:r>
            <w:r>
              <w:t xml:space="preserve">m, </w:t>
            </w:r>
            <w:r w:rsidR="00696CDC">
              <w:t>2015</w:t>
            </w:r>
            <w:r>
              <w:t>)</w:t>
            </w:r>
          </w:p>
        </w:tc>
      </w:tr>
      <w:tr w:rsidR="00696CDC" w:rsidTr="00696CDC">
        <w:tc>
          <w:tcPr>
            <w:cnfStyle w:val="001000000000" w:firstRow="0" w:lastRow="0" w:firstColumn="1" w:lastColumn="0" w:oddVBand="0" w:evenVBand="0" w:oddHBand="0" w:evenHBand="0" w:firstRowFirstColumn="0" w:firstRowLastColumn="0" w:lastRowFirstColumn="0" w:lastRowLastColumn="0"/>
            <w:tcW w:w="3045" w:type="dxa"/>
          </w:tcPr>
          <w:p w:rsidR="00696CDC" w:rsidRDefault="00696CDC" w:rsidP="0008672B">
            <w:r>
              <w:t>Opening MAB</w:t>
            </w:r>
            <w:r w:rsidR="006545D4">
              <w:t xml:space="preserve"> as of 1 January 2016</w:t>
            </w:r>
          </w:p>
        </w:tc>
        <w:tc>
          <w:tcPr>
            <w:tcW w:w="2824" w:type="dxa"/>
          </w:tcPr>
          <w:p w:rsidR="00696CDC" w:rsidRDefault="00696CDC" w:rsidP="0008672B">
            <w:pPr>
              <w:cnfStyle w:val="000000000000" w:firstRow="0" w:lastRow="0" w:firstColumn="0" w:lastColumn="0" w:oddVBand="0" w:evenVBand="0" w:oddHBand="0" w:evenHBand="0" w:firstRowFirstColumn="0" w:firstRowLastColumn="0" w:lastRowFirstColumn="0" w:lastRowLastColumn="0"/>
            </w:pPr>
            <w:r>
              <w:t>28</w:t>
            </w:r>
            <w:r w:rsidR="003A05F7">
              <w:t>3.9</w:t>
            </w:r>
          </w:p>
        </w:tc>
        <w:tc>
          <w:tcPr>
            <w:tcW w:w="2824" w:type="dxa"/>
          </w:tcPr>
          <w:p w:rsidR="00696CDC" w:rsidRDefault="003A05F7" w:rsidP="0008672B">
            <w:pPr>
              <w:cnfStyle w:val="000000000000" w:firstRow="0" w:lastRow="0" w:firstColumn="0" w:lastColumn="0" w:oddVBand="0" w:evenVBand="0" w:oddHBand="0" w:evenHBand="0" w:firstRowFirstColumn="0" w:firstRowLastColumn="0" w:lastRowFirstColumn="0" w:lastRowLastColumn="0"/>
            </w:pPr>
            <w:r>
              <w:t>345.2</w:t>
            </w:r>
          </w:p>
        </w:tc>
      </w:tr>
    </w:tbl>
    <w:p w:rsidR="00DC269A" w:rsidRDefault="00696CDC" w:rsidP="00696CDC">
      <w:pPr>
        <w:pStyle w:val="AERtablesource"/>
      </w:pPr>
      <w:r>
        <w:t>Source:</w:t>
      </w:r>
      <w:r>
        <w:tab/>
        <w:t>AER analysis</w:t>
      </w:r>
      <w:r w:rsidR="00570B48">
        <w:t>.</w:t>
      </w:r>
    </w:p>
    <w:p w:rsidR="00DC269A" w:rsidRDefault="00696CDC" w:rsidP="00696CDC">
      <w:pPr>
        <w:pStyle w:val="HeadingBoldItalic"/>
      </w:pPr>
      <w:r>
        <w:t>Step three</w:t>
      </w:r>
    </w:p>
    <w:p w:rsidR="00696CDC" w:rsidRDefault="00696CDC" w:rsidP="00696CDC">
      <w:r>
        <w:t>The next step we took was to compare the revenue recoverable from the opening MAB we set our 2016–20</w:t>
      </w:r>
      <w:r w:rsidR="00E0035F">
        <w:t>20</w:t>
      </w:r>
      <w:r>
        <w:t xml:space="preserve"> </w:t>
      </w:r>
      <w:r w:rsidR="0093628B">
        <w:t>distribution</w:t>
      </w:r>
      <w:r>
        <w:t xml:space="preserve"> determination with our recalculation of the MAB in this transition charge draft decision.</w:t>
      </w:r>
      <w:r w:rsidR="00EF43F4">
        <w:t xml:space="preserve"> </w:t>
      </w:r>
      <w:r>
        <w:fldChar w:fldCharType="begin"/>
      </w:r>
      <w:r>
        <w:instrText xml:space="preserve"> REF _Ref461216959 \h </w:instrText>
      </w:r>
      <w:r>
        <w:fldChar w:fldCharType="separate"/>
      </w:r>
      <w:r w:rsidR="003C3A1D">
        <w:t xml:space="preserve">Table </w:t>
      </w:r>
      <w:r w:rsidR="003C3A1D">
        <w:rPr>
          <w:noProof/>
        </w:rPr>
        <w:t>4</w:t>
      </w:r>
      <w:r w:rsidR="003C3A1D">
        <w:t>.</w:t>
      </w:r>
      <w:r w:rsidR="003C3A1D">
        <w:rPr>
          <w:noProof/>
        </w:rPr>
        <w:t>7</w:t>
      </w:r>
      <w:r>
        <w:fldChar w:fldCharType="end"/>
      </w:r>
      <w:r>
        <w:t xml:space="preserve"> sets out the results of this comparison.</w:t>
      </w:r>
    </w:p>
    <w:p w:rsidR="00696CDC" w:rsidRPr="00696CDC" w:rsidRDefault="00696CDC" w:rsidP="00696CDC">
      <w:pPr>
        <w:pStyle w:val="Caption"/>
      </w:pPr>
      <w:bookmarkStart w:id="51" w:name="_Ref461216959"/>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t>.</w:t>
      </w:r>
      <w:fldSimple w:instr=" SEQ Table \* ARABIC \s 1 ">
        <w:r w:rsidR="003C3A1D">
          <w:rPr>
            <w:noProof/>
          </w:rPr>
          <w:t>7</w:t>
        </w:r>
      </w:fldSimple>
      <w:bookmarkEnd w:id="51"/>
      <w:r w:rsidR="006545D4">
        <w:tab/>
        <w:t>Recalculation of MAB revenue ($m</w:t>
      </w:r>
      <w:r w:rsidR="004C32B3">
        <w:t>illion</w:t>
      </w:r>
      <w:r w:rsidR="006545D4">
        <w:t>)</w:t>
      </w:r>
    </w:p>
    <w:tbl>
      <w:tblPr>
        <w:tblStyle w:val="AERtable-numbers"/>
        <w:tblW w:w="0" w:type="auto"/>
        <w:tblLook w:val="04A0" w:firstRow="1" w:lastRow="0" w:firstColumn="1" w:lastColumn="0" w:noHBand="0" w:noVBand="1"/>
      </w:tblPr>
      <w:tblGrid>
        <w:gridCol w:w="1853"/>
        <w:gridCol w:w="1158"/>
        <w:gridCol w:w="1157"/>
        <w:gridCol w:w="1157"/>
        <w:gridCol w:w="1157"/>
        <w:gridCol w:w="1105"/>
        <w:gridCol w:w="1106"/>
      </w:tblGrid>
      <w:tr w:rsidR="00EF43F4" w:rsidTr="00E54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EF43F4" w:rsidRDefault="00EF43F4" w:rsidP="00EF43F4"/>
        </w:tc>
        <w:tc>
          <w:tcPr>
            <w:tcW w:w="1159" w:type="dxa"/>
          </w:tcPr>
          <w:p w:rsidR="00EF43F4" w:rsidRDefault="00EF43F4" w:rsidP="00EF43F4">
            <w:pPr>
              <w:cnfStyle w:val="100000000000" w:firstRow="1" w:lastRow="0" w:firstColumn="0" w:lastColumn="0" w:oddVBand="0" w:evenVBand="0" w:oddHBand="0" w:evenHBand="0" w:firstRowFirstColumn="0" w:firstRowLastColumn="0" w:lastRowFirstColumn="0" w:lastRowLastColumn="0"/>
            </w:pPr>
            <w:r>
              <w:t>2016</w:t>
            </w:r>
          </w:p>
          <w:p w:rsidR="004C32B3" w:rsidRDefault="004C32B3" w:rsidP="00EF43F4">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EF43F4" w:rsidRDefault="00EF43F4" w:rsidP="00EF43F4">
            <w:pPr>
              <w:cnfStyle w:val="100000000000" w:firstRow="1" w:lastRow="0" w:firstColumn="0" w:lastColumn="0" w:oddVBand="0" w:evenVBand="0" w:oddHBand="0" w:evenHBand="0" w:firstRowFirstColumn="0" w:firstRowLastColumn="0" w:lastRowFirstColumn="0" w:lastRowLastColumn="0"/>
            </w:pPr>
            <w:r>
              <w:t>2017</w:t>
            </w:r>
          </w:p>
          <w:p w:rsidR="004C32B3" w:rsidRDefault="004C32B3" w:rsidP="00EF43F4">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EF43F4" w:rsidRDefault="00EF43F4" w:rsidP="00EF43F4">
            <w:pPr>
              <w:cnfStyle w:val="100000000000" w:firstRow="1" w:lastRow="0" w:firstColumn="0" w:lastColumn="0" w:oddVBand="0" w:evenVBand="0" w:oddHBand="0" w:evenHBand="0" w:firstRowFirstColumn="0" w:firstRowLastColumn="0" w:lastRowFirstColumn="0" w:lastRowLastColumn="0"/>
            </w:pPr>
            <w:r>
              <w:t>2018</w:t>
            </w:r>
          </w:p>
          <w:p w:rsidR="004C32B3" w:rsidRDefault="004C32B3" w:rsidP="00EF43F4">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EF43F4" w:rsidRDefault="00EF43F4" w:rsidP="00EF43F4">
            <w:pPr>
              <w:cnfStyle w:val="100000000000" w:firstRow="1" w:lastRow="0" w:firstColumn="0" w:lastColumn="0" w:oddVBand="0" w:evenVBand="0" w:oddHBand="0" w:evenHBand="0" w:firstRowFirstColumn="0" w:firstRowLastColumn="0" w:lastRowFirstColumn="0" w:lastRowLastColumn="0"/>
            </w:pPr>
            <w:r>
              <w:t>2019</w:t>
            </w:r>
          </w:p>
          <w:p w:rsidR="004C32B3" w:rsidRDefault="004C32B3" w:rsidP="00EF43F4">
            <w:pPr>
              <w:cnfStyle w:val="100000000000" w:firstRow="1" w:lastRow="0" w:firstColumn="0" w:lastColumn="0" w:oddVBand="0" w:evenVBand="0" w:oddHBand="0" w:evenHBand="0" w:firstRowFirstColumn="0" w:firstRowLastColumn="0" w:lastRowFirstColumn="0" w:lastRowLastColumn="0"/>
            </w:pPr>
            <w:r>
              <w:t>($nominal)</w:t>
            </w:r>
          </w:p>
        </w:tc>
        <w:tc>
          <w:tcPr>
            <w:tcW w:w="1106" w:type="dxa"/>
          </w:tcPr>
          <w:p w:rsidR="00EF43F4" w:rsidRDefault="00EF43F4" w:rsidP="00EF43F4">
            <w:pPr>
              <w:cnfStyle w:val="100000000000" w:firstRow="1" w:lastRow="0" w:firstColumn="0" w:lastColumn="0" w:oddVBand="0" w:evenVBand="0" w:oddHBand="0" w:evenHBand="0" w:firstRowFirstColumn="0" w:firstRowLastColumn="0" w:lastRowFirstColumn="0" w:lastRowLastColumn="0"/>
            </w:pPr>
            <w:r>
              <w:t>2020</w:t>
            </w:r>
          </w:p>
          <w:p w:rsidR="004C32B3" w:rsidRDefault="004C32B3" w:rsidP="00EF43F4">
            <w:pPr>
              <w:cnfStyle w:val="100000000000" w:firstRow="1" w:lastRow="0" w:firstColumn="0" w:lastColumn="0" w:oddVBand="0" w:evenVBand="0" w:oddHBand="0" w:evenHBand="0" w:firstRowFirstColumn="0" w:firstRowLastColumn="0" w:lastRowFirstColumn="0" w:lastRowLastColumn="0"/>
            </w:pPr>
            <w:r>
              <w:t>($nominal)</w:t>
            </w:r>
          </w:p>
        </w:tc>
        <w:tc>
          <w:tcPr>
            <w:tcW w:w="1101" w:type="dxa"/>
          </w:tcPr>
          <w:p w:rsidR="00EF43F4" w:rsidRDefault="00EF43F4" w:rsidP="00EF43F4">
            <w:pPr>
              <w:cnfStyle w:val="100000000000" w:firstRow="1" w:lastRow="0" w:firstColumn="0" w:lastColumn="0" w:oddVBand="0" w:evenVBand="0" w:oddHBand="0" w:evenHBand="0" w:firstRowFirstColumn="0" w:firstRowLastColumn="0" w:lastRowFirstColumn="0" w:lastRowLastColumn="0"/>
            </w:pPr>
            <w:r>
              <w:t>Total</w:t>
            </w:r>
          </w:p>
          <w:p w:rsidR="004C32B3" w:rsidRDefault="004C32B3" w:rsidP="00EF43F4">
            <w:pPr>
              <w:cnfStyle w:val="100000000000" w:firstRow="1" w:lastRow="0" w:firstColumn="0" w:lastColumn="0" w:oddVBand="0" w:evenVBand="0" w:oddHBand="0" w:evenHBand="0" w:firstRowFirstColumn="0" w:firstRowLastColumn="0" w:lastRowFirstColumn="0" w:lastRowLastColumn="0"/>
            </w:pPr>
            <w:r>
              <w:t>($Dec 2015)</w:t>
            </w:r>
          </w:p>
        </w:tc>
      </w:tr>
      <w:tr w:rsidR="004C32B3" w:rsidTr="00E542E4">
        <w:tc>
          <w:tcPr>
            <w:cnfStyle w:val="001000000000" w:firstRow="0" w:lastRow="0" w:firstColumn="1" w:lastColumn="0" w:oddVBand="0" w:evenVBand="0" w:oddHBand="0" w:evenHBand="0" w:firstRowFirstColumn="0" w:firstRowLastColumn="0" w:lastRowFirstColumn="0" w:lastRowLastColumn="0"/>
            <w:tcW w:w="1853" w:type="dxa"/>
          </w:tcPr>
          <w:p w:rsidR="004C32B3" w:rsidRDefault="004C32B3" w:rsidP="004C32B3">
            <w:r>
              <w:t>2016–20</w:t>
            </w:r>
            <w:r w:rsidR="003A43B3">
              <w:t>20</w:t>
            </w:r>
            <w:r>
              <w:t xml:space="preserve"> Victorian determination</w:t>
            </w:r>
          </w:p>
        </w:tc>
        <w:tc>
          <w:tcPr>
            <w:tcW w:w="1159" w:type="dxa"/>
          </w:tcPr>
          <w:p w:rsidR="004C32B3" w:rsidRPr="004C32B3" w:rsidRDefault="004C32B3" w:rsidP="004C32B3">
            <w:pPr>
              <w:cnfStyle w:val="000000000000" w:firstRow="0" w:lastRow="0" w:firstColumn="0" w:lastColumn="0" w:oddVBand="0" w:evenVBand="0" w:oddHBand="0" w:evenHBand="0" w:firstRowFirstColumn="0" w:firstRowLastColumn="0" w:lastRowFirstColumn="0" w:lastRowLastColumn="0"/>
            </w:pPr>
            <w:r>
              <w:t>65.1</w:t>
            </w:r>
          </w:p>
        </w:tc>
        <w:tc>
          <w:tcPr>
            <w:tcW w:w="1158" w:type="dxa"/>
          </w:tcPr>
          <w:p w:rsidR="004C32B3" w:rsidRPr="004C32B3" w:rsidRDefault="004C32B3" w:rsidP="004C32B3">
            <w:pPr>
              <w:cnfStyle w:val="000000000000" w:firstRow="0" w:lastRow="0" w:firstColumn="0" w:lastColumn="0" w:oddVBand="0" w:evenVBand="0" w:oddHBand="0" w:evenHBand="0" w:firstRowFirstColumn="0" w:firstRowLastColumn="0" w:lastRowFirstColumn="0" w:lastRowLastColumn="0"/>
            </w:pPr>
            <w:r>
              <w:t>64.6</w:t>
            </w:r>
          </w:p>
        </w:tc>
        <w:tc>
          <w:tcPr>
            <w:tcW w:w="1158" w:type="dxa"/>
          </w:tcPr>
          <w:p w:rsidR="004C32B3" w:rsidRPr="004C32B3" w:rsidRDefault="004C32B3" w:rsidP="004C32B3">
            <w:pPr>
              <w:cnfStyle w:val="000000000000" w:firstRow="0" w:lastRow="0" w:firstColumn="0" w:lastColumn="0" w:oddVBand="0" w:evenVBand="0" w:oddHBand="0" w:evenHBand="0" w:firstRowFirstColumn="0" w:firstRowLastColumn="0" w:lastRowFirstColumn="0" w:lastRowLastColumn="0"/>
            </w:pPr>
            <w:r>
              <w:t>64.0</w:t>
            </w:r>
          </w:p>
        </w:tc>
        <w:tc>
          <w:tcPr>
            <w:tcW w:w="1158" w:type="dxa"/>
          </w:tcPr>
          <w:p w:rsidR="004C32B3" w:rsidRPr="004C32B3" w:rsidRDefault="004C32B3" w:rsidP="004C32B3">
            <w:pPr>
              <w:cnfStyle w:val="000000000000" w:firstRow="0" w:lastRow="0" w:firstColumn="0" w:lastColumn="0" w:oddVBand="0" w:evenVBand="0" w:oddHBand="0" w:evenHBand="0" w:firstRowFirstColumn="0" w:firstRowLastColumn="0" w:lastRowFirstColumn="0" w:lastRowLastColumn="0"/>
            </w:pPr>
            <w:r>
              <w:t>49.9</w:t>
            </w:r>
          </w:p>
        </w:tc>
        <w:tc>
          <w:tcPr>
            <w:tcW w:w="1106" w:type="dxa"/>
          </w:tcPr>
          <w:p w:rsidR="004C32B3" w:rsidRPr="004C32B3" w:rsidRDefault="004C32B3" w:rsidP="004C32B3">
            <w:pPr>
              <w:cnfStyle w:val="000000000000" w:firstRow="0" w:lastRow="0" w:firstColumn="0" w:lastColumn="0" w:oddVBand="0" w:evenVBand="0" w:oddHBand="0" w:evenHBand="0" w:firstRowFirstColumn="0" w:firstRowLastColumn="0" w:lastRowFirstColumn="0" w:lastRowLastColumn="0"/>
            </w:pPr>
            <w:r>
              <w:t>36.7</w:t>
            </w:r>
          </w:p>
        </w:tc>
        <w:tc>
          <w:tcPr>
            <w:tcW w:w="1101" w:type="dxa"/>
          </w:tcPr>
          <w:p w:rsidR="004C32B3" w:rsidRPr="004C32B3" w:rsidRDefault="004C32B3" w:rsidP="004C32B3">
            <w:pPr>
              <w:cnfStyle w:val="000000000000" w:firstRow="0" w:lastRow="0" w:firstColumn="0" w:lastColumn="0" w:oddVBand="0" w:evenVBand="0" w:oddHBand="0" w:evenHBand="0" w:firstRowFirstColumn="0" w:firstRowLastColumn="0" w:lastRowFirstColumn="0" w:lastRowLastColumn="0"/>
            </w:pPr>
            <w:r>
              <w:t>237.7</w:t>
            </w:r>
          </w:p>
        </w:tc>
      </w:tr>
      <w:tr w:rsidR="004C32B3" w:rsidTr="00E54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4C32B3" w:rsidRDefault="004C32B3" w:rsidP="004C32B3">
            <w:r>
              <w:t>Transition charge draft decision</w:t>
            </w:r>
          </w:p>
        </w:tc>
        <w:tc>
          <w:tcPr>
            <w:tcW w:w="1159" w:type="dxa"/>
          </w:tcPr>
          <w:p w:rsidR="004C32B3" w:rsidRPr="004C32B3" w:rsidRDefault="004C32B3" w:rsidP="004C32B3">
            <w:pPr>
              <w:cnfStyle w:val="000000010000" w:firstRow="0" w:lastRow="0" w:firstColumn="0" w:lastColumn="0" w:oddVBand="0" w:evenVBand="0" w:oddHBand="0" w:evenHBand="1" w:firstRowFirstColumn="0" w:firstRowLastColumn="0" w:lastRowFirstColumn="0" w:lastRowLastColumn="0"/>
            </w:pPr>
            <w:r>
              <w:t>61.0</w:t>
            </w:r>
          </w:p>
        </w:tc>
        <w:tc>
          <w:tcPr>
            <w:tcW w:w="1158" w:type="dxa"/>
          </w:tcPr>
          <w:p w:rsidR="004C32B3" w:rsidRPr="004C32B3" w:rsidRDefault="004C32B3" w:rsidP="004C32B3">
            <w:pPr>
              <w:cnfStyle w:val="000000010000" w:firstRow="0" w:lastRow="0" w:firstColumn="0" w:lastColumn="0" w:oddVBand="0" w:evenVBand="0" w:oddHBand="0" w:evenHBand="1" w:firstRowFirstColumn="0" w:firstRowLastColumn="0" w:lastRowFirstColumn="0" w:lastRowLastColumn="0"/>
            </w:pPr>
            <w:r>
              <w:t>60.</w:t>
            </w:r>
            <w:r w:rsidR="003A05F7">
              <w:t>6</w:t>
            </w:r>
          </w:p>
        </w:tc>
        <w:tc>
          <w:tcPr>
            <w:tcW w:w="1158" w:type="dxa"/>
          </w:tcPr>
          <w:p w:rsidR="004C32B3" w:rsidRPr="004C32B3" w:rsidRDefault="004C32B3" w:rsidP="004C32B3">
            <w:pPr>
              <w:cnfStyle w:val="000000010000" w:firstRow="0" w:lastRow="0" w:firstColumn="0" w:lastColumn="0" w:oddVBand="0" w:evenVBand="0" w:oddHBand="0" w:evenHBand="1" w:firstRowFirstColumn="0" w:firstRowLastColumn="0" w:lastRowFirstColumn="0" w:lastRowLastColumn="0"/>
            </w:pPr>
            <w:r>
              <w:t>60.0</w:t>
            </w:r>
          </w:p>
        </w:tc>
        <w:tc>
          <w:tcPr>
            <w:tcW w:w="1158" w:type="dxa"/>
          </w:tcPr>
          <w:p w:rsidR="004C32B3" w:rsidRPr="004C32B3" w:rsidRDefault="004C32B3" w:rsidP="004C32B3">
            <w:pPr>
              <w:cnfStyle w:val="000000010000" w:firstRow="0" w:lastRow="0" w:firstColumn="0" w:lastColumn="0" w:oddVBand="0" w:evenVBand="0" w:oddHBand="0" w:evenHBand="1" w:firstRowFirstColumn="0" w:firstRowLastColumn="0" w:lastRowFirstColumn="0" w:lastRowLastColumn="0"/>
            </w:pPr>
            <w:r>
              <w:t>4</w:t>
            </w:r>
            <w:r w:rsidR="003A05F7">
              <w:t>5.0</w:t>
            </w:r>
          </w:p>
        </w:tc>
        <w:tc>
          <w:tcPr>
            <w:tcW w:w="1106" w:type="dxa"/>
          </w:tcPr>
          <w:p w:rsidR="004C32B3" w:rsidRPr="004C32B3" w:rsidRDefault="004C32B3" w:rsidP="004C32B3">
            <w:pPr>
              <w:cnfStyle w:val="000000010000" w:firstRow="0" w:lastRow="0" w:firstColumn="0" w:lastColumn="0" w:oddVBand="0" w:evenVBand="0" w:oddHBand="0" w:evenHBand="1" w:firstRowFirstColumn="0" w:firstRowLastColumn="0" w:lastRowFirstColumn="0" w:lastRowLastColumn="0"/>
            </w:pPr>
            <w:r>
              <w:t>33.</w:t>
            </w:r>
            <w:r w:rsidR="003A05F7">
              <w:t>3</w:t>
            </w:r>
          </w:p>
        </w:tc>
        <w:tc>
          <w:tcPr>
            <w:tcW w:w="1101" w:type="dxa"/>
          </w:tcPr>
          <w:p w:rsidR="004C32B3" w:rsidRPr="004C32B3" w:rsidRDefault="004C32B3" w:rsidP="004C32B3">
            <w:pPr>
              <w:cnfStyle w:val="000000010000" w:firstRow="0" w:lastRow="0" w:firstColumn="0" w:lastColumn="0" w:oddVBand="0" w:evenVBand="0" w:oddHBand="0" w:evenHBand="1" w:firstRowFirstColumn="0" w:firstRowLastColumn="0" w:lastRowFirstColumn="0" w:lastRowLastColumn="0"/>
            </w:pPr>
            <w:r>
              <w:t>2</w:t>
            </w:r>
            <w:r w:rsidR="003A05F7">
              <w:t>20.7</w:t>
            </w:r>
          </w:p>
        </w:tc>
      </w:tr>
      <w:tr w:rsidR="00EF43F4" w:rsidTr="00E542E4">
        <w:tc>
          <w:tcPr>
            <w:cnfStyle w:val="001000000000" w:firstRow="0" w:lastRow="0" w:firstColumn="1" w:lastColumn="0" w:oddVBand="0" w:evenVBand="0" w:oddHBand="0" w:evenHBand="0" w:firstRowFirstColumn="0" w:firstRowLastColumn="0" w:lastRowFirstColumn="0" w:lastRowLastColumn="0"/>
            <w:tcW w:w="1853" w:type="dxa"/>
          </w:tcPr>
          <w:p w:rsidR="00EF43F4" w:rsidRDefault="00EF43F4" w:rsidP="00EF43F4">
            <w:r>
              <w:t>Difference</w:t>
            </w:r>
          </w:p>
        </w:tc>
        <w:tc>
          <w:tcPr>
            <w:tcW w:w="1159" w:type="dxa"/>
          </w:tcPr>
          <w:p w:rsidR="00EF43F4" w:rsidRDefault="00EF43F4" w:rsidP="00EF43F4">
            <w:pPr>
              <w:cnfStyle w:val="000000000000" w:firstRow="0" w:lastRow="0" w:firstColumn="0" w:lastColumn="0" w:oddVBand="0" w:evenVBand="0" w:oddHBand="0" w:evenHBand="0" w:firstRowFirstColumn="0" w:firstRowLastColumn="0" w:lastRowFirstColumn="0" w:lastRowLastColumn="0"/>
            </w:pPr>
          </w:p>
        </w:tc>
        <w:tc>
          <w:tcPr>
            <w:tcW w:w="1158" w:type="dxa"/>
          </w:tcPr>
          <w:p w:rsidR="00EF43F4" w:rsidRDefault="00EF43F4" w:rsidP="00EF43F4">
            <w:pPr>
              <w:cnfStyle w:val="000000000000" w:firstRow="0" w:lastRow="0" w:firstColumn="0" w:lastColumn="0" w:oddVBand="0" w:evenVBand="0" w:oddHBand="0" w:evenHBand="0" w:firstRowFirstColumn="0" w:firstRowLastColumn="0" w:lastRowFirstColumn="0" w:lastRowLastColumn="0"/>
            </w:pPr>
          </w:p>
        </w:tc>
        <w:tc>
          <w:tcPr>
            <w:tcW w:w="1158" w:type="dxa"/>
          </w:tcPr>
          <w:p w:rsidR="00EF43F4" w:rsidRDefault="00EF43F4" w:rsidP="00EF43F4">
            <w:pPr>
              <w:cnfStyle w:val="000000000000" w:firstRow="0" w:lastRow="0" w:firstColumn="0" w:lastColumn="0" w:oddVBand="0" w:evenVBand="0" w:oddHBand="0" w:evenHBand="0" w:firstRowFirstColumn="0" w:firstRowLastColumn="0" w:lastRowFirstColumn="0" w:lastRowLastColumn="0"/>
            </w:pPr>
          </w:p>
        </w:tc>
        <w:tc>
          <w:tcPr>
            <w:tcW w:w="1158" w:type="dxa"/>
          </w:tcPr>
          <w:p w:rsidR="00EF43F4" w:rsidRDefault="00EF43F4" w:rsidP="00EF43F4">
            <w:pPr>
              <w:cnfStyle w:val="000000000000" w:firstRow="0" w:lastRow="0" w:firstColumn="0" w:lastColumn="0" w:oddVBand="0" w:evenVBand="0" w:oddHBand="0" w:evenHBand="0" w:firstRowFirstColumn="0" w:firstRowLastColumn="0" w:lastRowFirstColumn="0" w:lastRowLastColumn="0"/>
            </w:pPr>
          </w:p>
        </w:tc>
        <w:tc>
          <w:tcPr>
            <w:tcW w:w="1106" w:type="dxa"/>
          </w:tcPr>
          <w:p w:rsidR="00EF43F4" w:rsidRDefault="00EF43F4" w:rsidP="00EF43F4">
            <w:pPr>
              <w:cnfStyle w:val="000000000000" w:firstRow="0" w:lastRow="0" w:firstColumn="0" w:lastColumn="0" w:oddVBand="0" w:evenVBand="0" w:oddHBand="0" w:evenHBand="0" w:firstRowFirstColumn="0" w:firstRowLastColumn="0" w:lastRowFirstColumn="0" w:lastRowLastColumn="0"/>
            </w:pPr>
          </w:p>
        </w:tc>
        <w:tc>
          <w:tcPr>
            <w:tcW w:w="1101" w:type="dxa"/>
          </w:tcPr>
          <w:p w:rsidR="00EF43F4" w:rsidRDefault="003A05F7" w:rsidP="00EF43F4">
            <w:pPr>
              <w:cnfStyle w:val="000000000000" w:firstRow="0" w:lastRow="0" w:firstColumn="0" w:lastColumn="0" w:oddVBand="0" w:evenVBand="0" w:oddHBand="0" w:evenHBand="0" w:firstRowFirstColumn="0" w:firstRowLastColumn="0" w:lastRowFirstColumn="0" w:lastRowLastColumn="0"/>
            </w:pPr>
            <w:r>
              <w:t>(17.1</w:t>
            </w:r>
            <w:r w:rsidR="00EF43F4">
              <w:t>)</w:t>
            </w:r>
          </w:p>
        </w:tc>
      </w:tr>
    </w:tbl>
    <w:p w:rsidR="00D804A6" w:rsidRDefault="00EF43F4" w:rsidP="00EF43F4">
      <w:pPr>
        <w:pStyle w:val="AERtablesource"/>
      </w:pPr>
      <w:r>
        <w:t>Source:</w:t>
      </w:r>
      <w:r>
        <w:tab/>
        <w:t>AER analysis</w:t>
      </w:r>
      <w:r w:rsidR="00570B48">
        <w:t>.</w:t>
      </w:r>
    </w:p>
    <w:p w:rsidR="00EF43F4" w:rsidRDefault="00EF43F4" w:rsidP="00EF43F4">
      <w:pPr>
        <w:pStyle w:val="HeadingBoldItalic"/>
      </w:pPr>
      <w:r>
        <w:t>Step four</w:t>
      </w:r>
    </w:p>
    <w:p w:rsidR="008D6883" w:rsidRPr="00830E97" w:rsidRDefault="006545D4" w:rsidP="00830E97">
      <w:r>
        <w:t>The final step we took to calculate the MAB adjustment was to discount the revenue difference calculated in step 3 to its 2018 NPV.</w:t>
      </w:r>
      <w:r w:rsidR="008D0E3B">
        <w:rPr>
          <w:rStyle w:val="FootnoteReference"/>
        </w:rPr>
        <w:footnoteReference w:id="51"/>
      </w:r>
      <w:r>
        <w:t xml:space="preserve"> When we did this, we calculated a negative MAB adjustment of</w:t>
      </w:r>
      <w:r w:rsidR="003A05F7">
        <w:t xml:space="preserve"> $20.1</w:t>
      </w:r>
      <w:r>
        <w:t xml:space="preserve"> million ($2018).</w:t>
      </w:r>
    </w:p>
    <w:p w:rsidR="00AF19A7" w:rsidRDefault="00AF19A7" w:rsidP="00AF19A7">
      <w:pPr>
        <w:pStyle w:val="Heading2"/>
      </w:pPr>
      <w:bookmarkStart w:id="52" w:name="_Toc460336328"/>
      <w:bookmarkStart w:id="53" w:name="_Toc460336329"/>
      <w:bookmarkStart w:id="54" w:name="_Ref461204081"/>
      <w:bookmarkStart w:id="55" w:name="_Toc461526267"/>
      <w:bookmarkEnd w:id="48"/>
      <w:bookmarkEnd w:id="52"/>
      <w:bookmarkEnd w:id="53"/>
      <w:r>
        <w:t>Reasons for draft decision</w:t>
      </w:r>
      <w:bookmarkEnd w:id="54"/>
      <w:bookmarkEnd w:id="55"/>
    </w:p>
    <w:p w:rsidR="002059A7" w:rsidRDefault="00E31642" w:rsidP="002059A7">
      <w:r>
        <w:t>Our draft decision does not accept the proposed excess capital and operating expenditure included in AusNet Services' transition charges application. Our reasons are outlined below.</w:t>
      </w:r>
      <w:r w:rsidR="00517224">
        <w:t xml:space="preserve"> </w:t>
      </w:r>
    </w:p>
    <w:p w:rsidR="00051190" w:rsidRDefault="00570B48" w:rsidP="00051190">
      <w:pPr>
        <w:pStyle w:val="Heading3"/>
      </w:pPr>
      <w:bookmarkStart w:id="56" w:name="_Ref460413462"/>
      <w:bookmarkStart w:id="57" w:name="_Toc461447505"/>
      <w:bookmarkStart w:id="58" w:name="_Toc461526268"/>
      <w:r>
        <w:t>E</w:t>
      </w:r>
      <w:r w:rsidR="00051190">
        <w:t>x</w:t>
      </w:r>
      <w:bookmarkEnd w:id="56"/>
      <w:bookmarkEnd w:id="57"/>
      <w:bookmarkEnd w:id="58"/>
      <w:r>
        <w:t>penditure excess</w:t>
      </w:r>
    </w:p>
    <w:p w:rsidR="00051190" w:rsidRDefault="00EC2F97" w:rsidP="00051190">
      <w:r>
        <w:t>Our draft decision accepts $49.1</w:t>
      </w:r>
      <w:r w:rsidR="00051190">
        <w:t xml:space="preserve"> million ($2018) in 2014 and 2015 expenditure excess which AusNet Services proposed to recover through the transition charge. </w:t>
      </w:r>
      <w:r>
        <w:t>This amounts to approximately 48</w:t>
      </w:r>
      <w:r w:rsidR="00051190">
        <w:t xml:space="preserve"> percent of the $103.0 million ($2018) AusNet Services sought to recover. </w:t>
      </w:r>
      <w:r w:rsidR="00051190">
        <w:fldChar w:fldCharType="begin"/>
      </w:r>
      <w:r w:rsidR="00051190">
        <w:instrText xml:space="preserve"> REF _Ref459308344 \h </w:instrText>
      </w:r>
      <w:r w:rsidR="00051190">
        <w:fldChar w:fldCharType="separate"/>
      </w:r>
      <w:r w:rsidR="003C3A1D">
        <w:t xml:space="preserve">Table </w:t>
      </w:r>
      <w:r w:rsidR="003C3A1D">
        <w:rPr>
          <w:noProof/>
        </w:rPr>
        <w:t>4</w:t>
      </w:r>
      <w:r w:rsidR="003C3A1D">
        <w:t>.</w:t>
      </w:r>
      <w:r w:rsidR="003C3A1D">
        <w:rPr>
          <w:noProof/>
        </w:rPr>
        <w:t>8</w:t>
      </w:r>
      <w:r w:rsidR="00051190">
        <w:fldChar w:fldCharType="end"/>
      </w:r>
      <w:r w:rsidR="00051190">
        <w:t xml:space="preserve"> sets out our draft decision.</w:t>
      </w:r>
    </w:p>
    <w:p w:rsidR="00051190" w:rsidRDefault="00051190" w:rsidP="00051190">
      <w:pPr>
        <w:pStyle w:val="Caption"/>
      </w:pPr>
      <w:bookmarkStart w:id="59" w:name="_Ref459308344"/>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8</w:t>
        </w:r>
      </w:fldSimple>
      <w:bookmarkEnd w:id="59"/>
      <w:r>
        <w:tab/>
        <w:t>Draft decision on AusNet Services' application ($m 2018)</w:t>
      </w:r>
    </w:p>
    <w:tbl>
      <w:tblPr>
        <w:tblStyle w:val="AERtable-numbers"/>
        <w:tblW w:w="0" w:type="auto"/>
        <w:tblLook w:val="04A0" w:firstRow="1" w:lastRow="0" w:firstColumn="1" w:lastColumn="0" w:noHBand="0" w:noVBand="1"/>
      </w:tblPr>
      <w:tblGrid>
        <w:gridCol w:w="2897"/>
        <w:gridCol w:w="2898"/>
        <w:gridCol w:w="2898"/>
      </w:tblGrid>
      <w:tr w:rsidR="00051190" w:rsidTr="006D3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51190" w:rsidRDefault="00051190" w:rsidP="00051190"/>
        </w:tc>
        <w:tc>
          <w:tcPr>
            <w:tcW w:w="2898" w:type="dxa"/>
          </w:tcPr>
          <w:p w:rsidR="00051190" w:rsidRDefault="00051190" w:rsidP="00051190">
            <w:pPr>
              <w:cnfStyle w:val="100000000000" w:firstRow="1" w:lastRow="0" w:firstColumn="0" w:lastColumn="0" w:oddVBand="0" w:evenVBand="0" w:oddHBand="0" w:evenHBand="0" w:firstRowFirstColumn="0" w:firstRowLastColumn="0" w:lastRowFirstColumn="0" w:lastRowLastColumn="0"/>
            </w:pPr>
            <w:r>
              <w:t>Proposed</w:t>
            </w:r>
          </w:p>
        </w:tc>
        <w:tc>
          <w:tcPr>
            <w:tcW w:w="2898" w:type="dxa"/>
          </w:tcPr>
          <w:p w:rsidR="00051190" w:rsidRPr="00051190" w:rsidRDefault="00051190" w:rsidP="00051190">
            <w:pPr>
              <w:cnfStyle w:val="100000000000" w:firstRow="1" w:lastRow="0" w:firstColumn="0" w:lastColumn="0" w:oddVBand="0" w:evenVBand="0" w:oddHBand="0" w:evenHBand="0" w:firstRowFirstColumn="0" w:firstRowLastColumn="0" w:lastRowFirstColumn="0" w:lastRowLastColumn="0"/>
            </w:pPr>
            <w:r>
              <w:t>D</w:t>
            </w:r>
            <w:r w:rsidRPr="00051190">
              <w:t>raft decision</w:t>
            </w:r>
          </w:p>
        </w:tc>
      </w:tr>
      <w:tr w:rsidR="00051190" w:rsidTr="006D3CCA">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rPr>
                <w:rStyle w:val="AERtextunderline"/>
              </w:rPr>
            </w:pPr>
            <w:r w:rsidRPr="00510A73">
              <w:rPr>
                <w:rStyle w:val="AERtextunderline"/>
              </w:rPr>
              <w:t>Capex</w:t>
            </w:r>
          </w:p>
        </w:tc>
        <w:tc>
          <w:tcPr>
            <w:tcW w:w="2898" w:type="dxa"/>
          </w:tcPr>
          <w:p w:rsidR="00051190" w:rsidRDefault="00051190" w:rsidP="00051190">
            <w:pPr>
              <w:cnfStyle w:val="000000000000" w:firstRow="0" w:lastRow="0" w:firstColumn="0" w:lastColumn="0" w:oddVBand="0" w:evenVBand="0" w:oddHBand="0" w:evenHBand="0" w:firstRowFirstColumn="0" w:firstRowLastColumn="0" w:lastRowFirstColumn="0" w:lastRowLastColumn="0"/>
            </w:pPr>
          </w:p>
        </w:tc>
        <w:tc>
          <w:tcPr>
            <w:tcW w:w="2898" w:type="dxa"/>
          </w:tcPr>
          <w:p w:rsidR="00051190" w:rsidRDefault="00051190" w:rsidP="00051190">
            <w:pPr>
              <w:cnfStyle w:val="000000000000" w:firstRow="0" w:lastRow="0" w:firstColumn="0" w:lastColumn="0" w:oddVBand="0" w:evenVBand="0" w:oddHBand="0" w:evenHBand="0" w:firstRowFirstColumn="0" w:firstRowLastColumn="0" w:lastRowFirstColumn="0" w:lastRowLastColumn="0"/>
            </w:pPr>
          </w:p>
        </w:tc>
      </w:tr>
      <w:tr w:rsidR="00051190" w:rsidTr="006D3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Meter supply</w:t>
            </w:r>
          </w:p>
        </w:tc>
        <w:tc>
          <w:tcPr>
            <w:tcW w:w="2898" w:type="dxa"/>
          </w:tcPr>
          <w:p w:rsidR="00051190" w:rsidRPr="00051190" w:rsidRDefault="00051190" w:rsidP="00051190">
            <w:pPr>
              <w:cnfStyle w:val="000000010000" w:firstRow="0" w:lastRow="0" w:firstColumn="0" w:lastColumn="0" w:oddVBand="0" w:evenVBand="0" w:oddHBand="0" w:evenHBand="1" w:firstRowFirstColumn="0" w:firstRowLastColumn="0" w:lastRowFirstColumn="0" w:lastRowLastColumn="0"/>
            </w:pPr>
            <w:r>
              <w:t>25.6</w:t>
            </w:r>
          </w:p>
        </w:tc>
        <w:tc>
          <w:tcPr>
            <w:tcW w:w="2898" w:type="dxa"/>
          </w:tcPr>
          <w:p w:rsidR="00051190" w:rsidRPr="00051190" w:rsidRDefault="00051190" w:rsidP="00051190">
            <w:pPr>
              <w:cnfStyle w:val="000000010000" w:firstRow="0" w:lastRow="0" w:firstColumn="0" w:lastColumn="0" w:oddVBand="0" w:evenVBand="0" w:oddHBand="0" w:evenHBand="1" w:firstRowFirstColumn="0" w:firstRowLastColumn="0" w:lastRowFirstColumn="0" w:lastRowLastColumn="0"/>
            </w:pPr>
            <w:r>
              <w:t>13.9</w:t>
            </w:r>
          </w:p>
        </w:tc>
      </w:tr>
      <w:tr w:rsidR="00051190" w:rsidTr="006D3CCA">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Meter installation</w:t>
            </w:r>
          </w:p>
        </w:tc>
        <w:tc>
          <w:tcPr>
            <w:tcW w:w="2898" w:type="dxa"/>
          </w:tcPr>
          <w:p w:rsidR="00051190" w:rsidRPr="00051190" w:rsidRDefault="00051190" w:rsidP="00051190">
            <w:pPr>
              <w:cnfStyle w:val="000000000000" w:firstRow="0" w:lastRow="0" w:firstColumn="0" w:lastColumn="0" w:oddVBand="0" w:evenVBand="0" w:oddHBand="0" w:evenHBand="0" w:firstRowFirstColumn="0" w:firstRowLastColumn="0" w:lastRowFirstColumn="0" w:lastRowLastColumn="0"/>
            </w:pPr>
            <w:r>
              <w:t>15.5</w:t>
            </w:r>
          </w:p>
        </w:tc>
        <w:tc>
          <w:tcPr>
            <w:tcW w:w="2898" w:type="dxa"/>
          </w:tcPr>
          <w:p w:rsidR="00051190" w:rsidRPr="00051190" w:rsidRDefault="00051190" w:rsidP="00051190">
            <w:pPr>
              <w:cnfStyle w:val="000000000000" w:firstRow="0" w:lastRow="0" w:firstColumn="0" w:lastColumn="0" w:oddVBand="0" w:evenVBand="0" w:oddHBand="0" w:evenHBand="0" w:firstRowFirstColumn="0" w:firstRowLastColumn="0" w:lastRowFirstColumn="0" w:lastRowLastColumn="0"/>
            </w:pPr>
            <w:r>
              <w:t>7.4</w:t>
            </w:r>
          </w:p>
        </w:tc>
      </w:tr>
      <w:tr w:rsidR="00051190" w:rsidTr="006D3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 xml:space="preserve">IT </w:t>
            </w:r>
          </w:p>
        </w:tc>
        <w:tc>
          <w:tcPr>
            <w:tcW w:w="2898" w:type="dxa"/>
          </w:tcPr>
          <w:p w:rsidR="00051190" w:rsidRPr="00051190" w:rsidRDefault="00051190" w:rsidP="00051190">
            <w:pPr>
              <w:cnfStyle w:val="000000010000" w:firstRow="0" w:lastRow="0" w:firstColumn="0" w:lastColumn="0" w:oddVBand="0" w:evenVBand="0" w:oddHBand="0" w:evenHBand="1" w:firstRowFirstColumn="0" w:firstRowLastColumn="0" w:lastRowFirstColumn="0" w:lastRowLastColumn="0"/>
            </w:pPr>
            <w:r>
              <w:t>33.3</w:t>
            </w:r>
          </w:p>
        </w:tc>
        <w:tc>
          <w:tcPr>
            <w:tcW w:w="2898" w:type="dxa"/>
          </w:tcPr>
          <w:p w:rsidR="00051190" w:rsidRPr="00051190" w:rsidRDefault="00EC2F97" w:rsidP="00051190">
            <w:pPr>
              <w:cnfStyle w:val="000000010000" w:firstRow="0" w:lastRow="0" w:firstColumn="0" w:lastColumn="0" w:oddVBand="0" w:evenVBand="0" w:oddHBand="0" w:evenHBand="1" w:firstRowFirstColumn="0" w:firstRowLastColumn="0" w:lastRowFirstColumn="0" w:lastRowLastColumn="0"/>
            </w:pPr>
            <w:r>
              <w:t>5.7</w:t>
            </w:r>
          </w:p>
        </w:tc>
      </w:tr>
      <w:tr w:rsidR="00051190" w:rsidTr="006D3CCA">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Subtotal: capex</w:t>
            </w:r>
          </w:p>
        </w:tc>
        <w:tc>
          <w:tcPr>
            <w:tcW w:w="2898" w:type="dxa"/>
          </w:tcPr>
          <w:p w:rsidR="00051190" w:rsidRPr="00051190" w:rsidRDefault="00051190" w:rsidP="00051190">
            <w:pPr>
              <w:cnfStyle w:val="000000000000" w:firstRow="0" w:lastRow="0" w:firstColumn="0" w:lastColumn="0" w:oddVBand="0" w:evenVBand="0" w:oddHBand="0" w:evenHBand="0" w:firstRowFirstColumn="0" w:firstRowLastColumn="0" w:lastRowFirstColumn="0" w:lastRowLastColumn="0"/>
            </w:pPr>
            <w:r>
              <w:t>74.4</w:t>
            </w:r>
          </w:p>
        </w:tc>
        <w:tc>
          <w:tcPr>
            <w:tcW w:w="2898" w:type="dxa"/>
          </w:tcPr>
          <w:p w:rsidR="00051190" w:rsidRPr="00051190" w:rsidRDefault="00EC2F97" w:rsidP="00051190">
            <w:pPr>
              <w:cnfStyle w:val="000000000000" w:firstRow="0" w:lastRow="0" w:firstColumn="0" w:lastColumn="0" w:oddVBand="0" w:evenVBand="0" w:oddHBand="0" w:evenHBand="0" w:firstRowFirstColumn="0" w:firstRowLastColumn="0" w:lastRowFirstColumn="0" w:lastRowLastColumn="0"/>
            </w:pPr>
            <w:r>
              <w:t>26.9</w:t>
            </w:r>
          </w:p>
        </w:tc>
      </w:tr>
      <w:tr w:rsidR="00051190" w:rsidTr="006D3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rPr>
                <w:rStyle w:val="AERtextunderline"/>
              </w:rPr>
            </w:pPr>
            <w:r>
              <w:rPr>
                <w:rStyle w:val="AERtextunderline"/>
              </w:rPr>
              <w:t>Opex</w:t>
            </w:r>
          </w:p>
        </w:tc>
        <w:tc>
          <w:tcPr>
            <w:tcW w:w="2898" w:type="dxa"/>
          </w:tcPr>
          <w:p w:rsidR="00051190" w:rsidRPr="002059A7" w:rsidRDefault="00051190" w:rsidP="00051190">
            <w:pPr>
              <w:cnfStyle w:val="000000010000" w:firstRow="0" w:lastRow="0" w:firstColumn="0" w:lastColumn="0" w:oddVBand="0" w:evenVBand="0" w:oddHBand="0" w:evenHBand="1" w:firstRowFirstColumn="0" w:firstRowLastColumn="0" w:lastRowFirstColumn="0" w:lastRowLastColumn="0"/>
            </w:pPr>
          </w:p>
        </w:tc>
        <w:tc>
          <w:tcPr>
            <w:tcW w:w="2898" w:type="dxa"/>
          </w:tcPr>
          <w:p w:rsidR="00051190" w:rsidRPr="002059A7" w:rsidRDefault="00051190" w:rsidP="00051190">
            <w:pPr>
              <w:cnfStyle w:val="000000010000" w:firstRow="0" w:lastRow="0" w:firstColumn="0" w:lastColumn="0" w:oddVBand="0" w:evenVBand="0" w:oddHBand="0" w:evenHBand="1" w:firstRowFirstColumn="0" w:firstRowLastColumn="0" w:lastRowFirstColumn="0" w:lastRowLastColumn="0"/>
            </w:pPr>
          </w:p>
        </w:tc>
      </w:tr>
      <w:tr w:rsidR="00051190" w:rsidTr="006D3CCA">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Meter reading</w:t>
            </w:r>
          </w:p>
        </w:tc>
        <w:tc>
          <w:tcPr>
            <w:tcW w:w="2898" w:type="dxa"/>
          </w:tcPr>
          <w:p w:rsidR="00051190" w:rsidRPr="00051190" w:rsidRDefault="00051190" w:rsidP="00051190">
            <w:pPr>
              <w:cnfStyle w:val="000000000000" w:firstRow="0" w:lastRow="0" w:firstColumn="0" w:lastColumn="0" w:oddVBand="0" w:evenVBand="0" w:oddHBand="0" w:evenHBand="0" w:firstRowFirstColumn="0" w:firstRowLastColumn="0" w:lastRowFirstColumn="0" w:lastRowLastColumn="0"/>
            </w:pPr>
            <w:r>
              <w:t>3.4</w:t>
            </w:r>
          </w:p>
        </w:tc>
        <w:tc>
          <w:tcPr>
            <w:tcW w:w="2898" w:type="dxa"/>
          </w:tcPr>
          <w:p w:rsidR="00051190" w:rsidRPr="00051190" w:rsidRDefault="00051190" w:rsidP="00051190">
            <w:pPr>
              <w:cnfStyle w:val="000000000000" w:firstRow="0" w:lastRow="0" w:firstColumn="0" w:lastColumn="0" w:oddVBand="0" w:evenVBand="0" w:oddHBand="0" w:evenHBand="0" w:firstRowFirstColumn="0" w:firstRowLastColumn="0" w:lastRowFirstColumn="0" w:lastRowLastColumn="0"/>
            </w:pPr>
            <w:r>
              <w:t>1.7</w:t>
            </w:r>
          </w:p>
        </w:tc>
      </w:tr>
      <w:tr w:rsidR="00051190" w:rsidTr="006D3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 xml:space="preserve">Meter maintenance </w:t>
            </w:r>
          </w:p>
        </w:tc>
        <w:tc>
          <w:tcPr>
            <w:tcW w:w="2898" w:type="dxa"/>
          </w:tcPr>
          <w:p w:rsidR="00051190" w:rsidRPr="00051190" w:rsidRDefault="00051190" w:rsidP="00051190">
            <w:pPr>
              <w:cnfStyle w:val="000000010000" w:firstRow="0" w:lastRow="0" w:firstColumn="0" w:lastColumn="0" w:oddVBand="0" w:evenVBand="0" w:oddHBand="0" w:evenHBand="1" w:firstRowFirstColumn="0" w:firstRowLastColumn="0" w:lastRowFirstColumn="0" w:lastRowLastColumn="0"/>
            </w:pPr>
            <w:r>
              <w:t>2.0</w:t>
            </w:r>
          </w:p>
        </w:tc>
        <w:tc>
          <w:tcPr>
            <w:tcW w:w="2898" w:type="dxa"/>
          </w:tcPr>
          <w:p w:rsidR="00051190" w:rsidRPr="00051190" w:rsidRDefault="00EC2F97" w:rsidP="00051190">
            <w:pPr>
              <w:cnfStyle w:val="000000010000" w:firstRow="0" w:lastRow="0" w:firstColumn="0" w:lastColumn="0" w:oddVBand="0" w:evenVBand="0" w:oddHBand="0" w:evenHBand="1" w:firstRowFirstColumn="0" w:firstRowLastColumn="0" w:lastRowFirstColumn="0" w:lastRowLastColumn="0"/>
            </w:pPr>
            <w:r>
              <w:t>2.0</w:t>
            </w:r>
          </w:p>
        </w:tc>
      </w:tr>
      <w:tr w:rsidR="00051190" w:rsidTr="006D3CCA">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Meter data management</w:t>
            </w:r>
          </w:p>
        </w:tc>
        <w:tc>
          <w:tcPr>
            <w:tcW w:w="2898" w:type="dxa"/>
          </w:tcPr>
          <w:p w:rsidR="00051190" w:rsidRPr="00051190" w:rsidRDefault="00051190" w:rsidP="00051190">
            <w:pPr>
              <w:cnfStyle w:val="000000000000" w:firstRow="0" w:lastRow="0" w:firstColumn="0" w:lastColumn="0" w:oddVBand="0" w:evenVBand="0" w:oddHBand="0" w:evenHBand="0" w:firstRowFirstColumn="0" w:firstRowLastColumn="0" w:lastRowFirstColumn="0" w:lastRowLastColumn="0"/>
            </w:pPr>
            <w:r>
              <w:t>4.8</w:t>
            </w:r>
          </w:p>
        </w:tc>
        <w:tc>
          <w:tcPr>
            <w:tcW w:w="2898" w:type="dxa"/>
          </w:tcPr>
          <w:p w:rsidR="00051190" w:rsidRPr="00051190" w:rsidRDefault="00EC2F97" w:rsidP="00051190">
            <w:pPr>
              <w:cnfStyle w:val="000000000000" w:firstRow="0" w:lastRow="0" w:firstColumn="0" w:lastColumn="0" w:oddVBand="0" w:evenVBand="0" w:oddHBand="0" w:evenHBand="0" w:firstRowFirstColumn="0" w:firstRowLastColumn="0" w:lastRowFirstColumn="0" w:lastRowLastColumn="0"/>
            </w:pPr>
            <w:r>
              <w:t>4.8</w:t>
            </w:r>
          </w:p>
        </w:tc>
      </w:tr>
      <w:tr w:rsidR="00051190" w:rsidTr="006D3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Communications infrastructure</w:t>
            </w:r>
          </w:p>
        </w:tc>
        <w:tc>
          <w:tcPr>
            <w:tcW w:w="2898" w:type="dxa"/>
          </w:tcPr>
          <w:p w:rsidR="00051190" w:rsidRPr="00051190" w:rsidRDefault="00051190" w:rsidP="00051190">
            <w:pPr>
              <w:cnfStyle w:val="000000010000" w:firstRow="0" w:lastRow="0" w:firstColumn="0" w:lastColumn="0" w:oddVBand="0" w:evenVBand="0" w:oddHBand="0" w:evenHBand="1" w:firstRowFirstColumn="0" w:firstRowLastColumn="0" w:lastRowFirstColumn="0" w:lastRowLastColumn="0"/>
            </w:pPr>
            <w:r>
              <w:t>4.0</w:t>
            </w:r>
          </w:p>
        </w:tc>
        <w:tc>
          <w:tcPr>
            <w:tcW w:w="2898" w:type="dxa"/>
          </w:tcPr>
          <w:p w:rsidR="00051190" w:rsidRPr="00051190" w:rsidRDefault="00EC2F97" w:rsidP="00051190">
            <w:pPr>
              <w:cnfStyle w:val="000000010000" w:firstRow="0" w:lastRow="0" w:firstColumn="0" w:lastColumn="0" w:oddVBand="0" w:evenVBand="0" w:oddHBand="0" w:evenHBand="1" w:firstRowFirstColumn="0" w:firstRowLastColumn="0" w:lastRowFirstColumn="0" w:lastRowLastColumn="0"/>
            </w:pPr>
            <w:r>
              <w:t>4.0</w:t>
            </w:r>
          </w:p>
        </w:tc>
      </w:tr>
      <w:tr w:rsidR="00051190" w:rsidTr="006D3CCA">
        <w:tc>
          <w:tcPr>
            <w:cnfStyle w:val="001000000000" w:firstRow="0" w:lastRow="0" w:firstColumn="1" w:lastColumn="0" w:oddVBand="0" w:evenVBand="0" w:oddHBand="0" w:evenHBand="0" w:firstRowFirstColumn="0" w:firstRowLastColumn="0" w:lastRowFirstColumn="0" w:lastRowLastColumn="0"/>
            <w:tcW w:w="2897" w:type="dxa"/>
          </w:tcPr>
          <w:p w:rsidR="00051190" w:rsidRDefault="00051190" w:rsidP="00051190">
            <w:pPr>
              <w:pStyle w:val="ListContinue"/>
            </w:pPr>
            <w:r>
              <w:t>IT</w:t>
            </w:r>
          </w:p>
        </w:tc>
        <w:tc>
          <w:tcPr>
            <w:tcW w:w="2898" w:type="dxa"/>
          </w:tcPr>
          <w:p w:rsidR="00051190" w:rsidRPr="00051190" w:rsidRDefault="00051190" w:rsidP="00051190">
            <w:pPr>
              <w:cnfStyle w:val="000000000000" w:firstRow="0" w:lastRow="0" w:firstColumn="0" w:lastColumn="0" w:oddVBand="0" w:evenVBand="0" w:oddHBand="0" w:evenHBand="0" w:firstRowFirstColumn="0" w:firstRowLastColumn="0" w:lastRowFirstColumn="0" w:lastRowLastColumn="0"/>
            </w:pPr>
            <w:r>
              <w:t>8.5</w:t>
            </w:r>
          </w:p>
        </w:tc>
        <w:tc>
          <w:tcPr>
            <w:tcW w:w="2898" w:type="dxa"/>
          </w:tcPr>
          <w:p w:rsidR="00051190" w:rsidRPr="00051190" w:rsidRDefault="00EC2F97" w:rsidP="00051190">
            <w:pPr>
              <w:cnfStyle w:val="000000000000" w:firstRow="0" w:lastRow="0" w:firstColumn="0" w:lastColumn="0" w:oddVBand="0" w:evenVBand="0" w:oddHBand="0" w:evenHBand="0" w:firstRowFirstColumn="0" w:firstRowLastColumn="0" w:lastRowFirstColumn="0" w:lastRowLastColumn="0"/>
            </w:pPr>
            <w:r>
              <w:t>8.5</w:t>
            </w:r>
          </w:p>
        </w:tc>
      </w:tr>
      <w:tr w:rsidR="00051190" w:rsidTr="006D3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51190" w:rsidRDefault="00051190" w:rsidP="00051190">
            <w:pPr>
              <w:pStyle w:val="ListContinue"/>
            </w:pPr>
            <w:r>
              <w:t>Customer service and PM</w:t>
            </w:r>
          </w:p>
        </w:tc>
        <w:tc>
          <w:tcPr>
            <w:tcW w:w="2898" w:type="dxa"/>
          </w:tcPr>
          <w:p w:rsidR="00051190" w:rsidRPr="00051190" w:rsidRDefault="00051190" w:rsidP="00051190">
            <w:pPr>
              <w:cnfStyle w:val="000000010000" w:firstRow="0" w:lastRow="0" w:firstColumn="0" w:lastColumn="0" w:oddVBand="0" w:evenVBand="0" w:oddHBand="0" w:evenHBand="1" w:firstRowFirstColumn="0" w:firstRowLastColumn="0" w:lastRowFirstColumn="0" w:lastRowLastColumn="0"/>
            </w:pPr>
            <w:r>
              <w:t>5.8</w:t>
            </w:r>
          </w:p>
        </w:tc>
        <w:tc>
          <w:tcPr>
            <w:tcW w:w="2898" w:type="dxa"/>
          </w:tcPr>
          <w:p w:rsidR="00051190" w:rsidRPr="00051190" w:rsidRDefault="00EC2F97" w:rsidP="00051190">
            <w:pPr>
              <w:cnfStyle w:val="000000010000" w:firstRow="0" w:lastRow="0" w:firstColumn="0" w:lastColumn="0" w:oddVBand="0" w:evenVBand="0" w:oddHBand="0" w:evenHBand="1" w:firstRowFirstColumn="0" w:firstRowLastColumn="0" w:lastRowFirstColumn="0" w:lastRowLastColumn="0"/>
            </w:pPr>
            <w:r>
              <w:t>1.1</w:t>
            </w:r>
          </w:p>
        </w:tc>
      </w:tr>
      <w:tr w:rsidR="00051190" w:rsidTr="006D3CCA">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51190">
            <w:pPr>
              <w:pStyle w:val="ListContinue"/>
            </w:pPr>
            <w:r>
              <w:t>Subtotal: opex</w:t>
            </w:r>
          </w:p>
        </w:tc>
        <w:tc>
          <w:tcPr>
            <w:tcW w:w="2898" w:type="dxa"/>
          </w:tcPr>
          <w:p w:rsidR="00051190" w:rsidRPr="00051190" w:rsidRDefault="00051190" w:rsidP="00051190">
            <w:pPr>
              <w:cnfStyle w:val="000000000000" w:firstRow="0" w:lastRow="0" w:firstColumn="0" w:lastColumn="0" w:oddVBand="0" w:evenVBand="0" w:oddHBand="0" w:evenHBand="0" w:firstRowFirstColumn="0" w:firstRowLastColumn="0" w:lastRowFirstColumn="0" w:lastRowLastColumn="0"/>
            </w:pPr>
            <w:r>
              <w:t>28.6</w:t>
            </w:r>
          </w:p>
        </w:tc>
        <w:tc>
          <w:tcPr>
            <w:tcW w:w="2898" w:type="dxa"/>
          </w:tcPr>
          <w:p w:rsidR="00051190" w:rsidRPr="00051190" w:rsidRDefault="00EC2F97" w:rsidP="00051190">
            <w:pPr>
              <w:cnfStyle w:val="000000000000" w:firstRow="0" w:lastRow="0" w:firstColumn="0" w:lastColumn="0" w:oddVBand="0" w:evenVBand="0" w:oddHBand="0" w:evenHBand="0" w:firstRowFirstColumn="0" w:firstRowLastColumn="0" w:lastRowFirstColumn="0" w:lastRowLastColumn="0"/>
            </w:pPr>
            <w:r>
              <w:t>22.2</w:t>
            </w:r>
          </w:p>
        </w:tc>
      </w:tr>
      <w:tr w:rsidR="00051190" w:rsidTr="006D3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rsidR="00051190" w:rsidRPr="00051190" w:rsidRDefault="00051190" w:rsidP="00040612">
            <w:pPr>
              <w:pStyle w:val="ListContinue"/>
              <w:ind w:left="0"/>
            </w:pPr>
            <w:r>
              <w:t>Total excess expenditure</w:t>
            </w:r>
          </w:p>
        </w:tc>
        <w:tc>
          <w:tcPr>
            <w:tcW w:w="2898" w:type="dxa"/>
          </w:tcPr>
          <w:p w:rsidR="00051190" w:rsidRPr="00051190" w:rsidRDefault="00051190" w:rsidP="00051190">
            <w:pPr>
              <w:cnfStyle w:val="000000010000" w:firstRow="0" w:lastRow="0" w:firstColumn="0" w:lastColumn="0" w:oddVBand="0" w:evenVBand="0" w:oddHBand="0" w:evenHBand="1" w:firstRowFirstColumn="0" w:firstRowLastColumn="0" w:lastRowFirstColumn="0" w:lastRowLastColumn="0"/>
            </w:pPr>
            <w:r>
              <w:t>103.0</w:t>
            </w:r>
          </w:p>
        </w:tc>
        <w:tc>
          <w:tcPr>
            <w:tcW w:w="2898" w:type="dxa"/>
          </w:tcPr>
          <w:p w:rsidR="00051190" w:rsidRPr="00051190" w:rsidRDefault="00EC2F97" w:rsidP="00051190">
            <w:pPr>
              <w:cnfStyle w:val="000000010000" w:firstRow="0" w:lastRow="0" w:firstColumn="0" w:lastColumn="0" w:oddVBand="0" w:evenVBand="0" w:oddHBand="0" w:evenHBand="1" w:firstRowFirstColumn="0" w:firstRowLastColumn="0" w:lastRowFirstColumn="0" w:lastRowLastColumn="0"/>
            </w:pPr>
            <w:r>
              <w:t>49.1</w:t>
            </w:r>
          </w:p>
        </w:tc>
      </w:tr>
    </w:tbl>
    <w:p w:rsidR="00051190" w:rsidRDefault="00051190" w:rsidP="00051190">
      <w:pPr>
        <w:pStyle w:val="AERtablesource"/>
      </w:pPr>
      <w:r>
        <w:t>Source:</w:t>
      </w:r>
      <w:r>
        <w:tab/>
        <w:t>AER analysis</w:t>
      </w:r>
      <w:r w:rsidRPr="00051190">
        <w:t>.</w:t>
      </w:r>
    </w:p>
    <w:p w:rsidR="002059A7" w:rsidRDefault="002059A7" w:rsidP="002059A7">
      <w:pPr>
        <w:pStyle w:val="Heading3"/>
      </w:pPr>
      <w:bookmarkStart w:id="60" w:name="_Toc461447506"/>
      <w:bookmarkStart w:id="61" w:name="_Toc461526269"/>
      <w:r>
        <w:t>Excess capital expenditure</w:t>
      </w:r>
      <w:bookmarkEnd w:id="60"/>
      <w:bookmarkEnd w:id="61"/>
    </w:p>
    <w:p w:rsidR="00127B23" w:rsidRDefault="00EC2F97" w:rsidP="00127B23">
      <w:r>
        <w:t>We accept $26.9</w:t>
      </w:r>
      <w:r w:rsidR="00127B23">
        <w:t xml:space="preserve"> million ($2018) of AusNet Services' proposed excess capital expenditure for 2014 and 2015. Our draft decision is that this amount meets the requirements in the Order to be recovered through the transition charge. </w:t>
      </w:r>
    </w:p>
    <w:p w:rsidR="00127B23" w:rsidRDefault="00127B23" w:rsidP="00127B23">
      <w:r>
        <w:fldChar w:fldCharType="begin"/>
      </w:r>
      <w:r>
        <w:instrText xml:space="preserve"> REF _Ref461440210 \h </w:instrText>
      </w:r>
      <w:r>
        <w:fldChar w:fldCharType="separate"/>
      </w:r>
      <w:r w:rsidR="003C3A1D">
        <w:t xml:space="preserve">Figure </w:t>
      </w:r>
      <w:r w:rsidR="003C3A1D">
        <w:rPr>
          <w:noProof/>
        </w:rPr>
        <w:t>4</w:t>
      </w:r>
      <w:r w:rsidR="003C3A1D">
        <w:t>.</w:t>
      </w:r>
      <w:r w:rsidR="003C3A1D">
        <w:rPr>
          <w:noProof/>
        </w:rPr>
        <w:t>2</w:t>
      </w:r>
      <w:r>
        <w:fldChar w:fldCharType="end"/>
      </w:r>
      <w:r>
        <w:t xml:space="preserve"> sets out the components of our draft decision on AusNet Services' excess capital expenditure. In reaching our draft decision on each component we have had regard to analysis performed by Energeia.</w:t>
      </w:r>
    </w:p>
    <w:p w:rsidR="00127B23" w:rsidRDefault="00127B23" w:rsidP="00127B23">
      <w:pPr>
        <w:pStyle w:val="Caption"/>
      </w:pPr>
      <w:bookmarkStart w:id="62" w:name="_Ref461440210"/>
      <w:r>
        <w:t xml:space="preserve">Figure </w:t>
      </w:r>
      <w:r w:rsidRPr="00127B23">
        <w:fldChar w:fldCharType="begin"/>
      </w:r>
      <w:r>
        <w:instrText xml:space="preserve"> STYLEREF 1 \s </w:instrText>
      </w:r>
      <w:r w:rsidRPr="00127B23">
        <w:fldChar w:fldCharType="separate"/>
      </w:r>
      <w:r w:rsidR="003C3A1D">
        <w:rPr>
          <w:noProof/>
        </w:rPr>
        <w:t>4</w:t>
      </w:r>
      <w:r w:rsidRPr="00127B23">
        <w:fldChar w:fldCharType="end"/>
      </w:r>
      <w:r>
        <w:t>.</w:t>
      </w:r>
      <w:fldSimple w:instr=" SEQ Figure \* ARABIC \s 1 ">
        <w:r w:rsidR="003C3A1D">
          <w:rPr>
            <w:noProof/>
          </w:rPr>
          <w:t>2</w:t>
        </w:r>
      </w:fldSimple>
      <w:bookmarkEnd w:id="62"/>
      <w:r>
        <w:tab/>
        <w:t>AER draft decision on AusNet Services' capex ($m 2018)</w:t>
      </w:r>
    </w:p>
    <w:p w:rsidR="00127B23" w:rsidRPr="001463F9" w:rsidRDefault="00B634AD" w:rsidP="00127B23">
      <w:r w:rsidRPr="00B634AD">
        <w:rPr>
          <w:noProof/>
          <w:lang w:val="en-US"/>
        </w:rPr>
        <w:drawing>
          <wp:inline distT="0" distB="0" distL="0" distR="0" wp14:anchorId="53253318" wp14:editId="552613DB">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7B23" w:rsidRDefault="00127B23" w:rsidP="00127B23">
      <w:pPr>
        <w:pStyle w:val="AERtablesource"/>
      </w:pPr>
      <w:r>
        <w:t>Source:</w:t>
      </w:r>
      <w:r>
        <w:tab/>
        <w:t>AER analysis; Energeia, Draft decision DNSP excess expenditure model, 14 September 2016, 'ANS_M' tab.</w:t>
      </w:r>
    </w:p>
    <w:p w:rsidR="00EB6502" w:rsidRDefault="00127B23" w:rsidP="00127B23">
      <w:r>
        <w:t>We should note that Energeia's analysis included both 'top down' and 'bottom up' benchmarking</w:t>
      </w:r>
      <w:r w:rsidR="00EB6502">
        <w:t xml:space="preserve"> (see section </w:t>
      </w:r>
      <w:r w:rsidR="00EB6502">
        <w:fldChar w:fldCharType="begin"/>
      </w:r>
      <w:r w:rsidR="00EB6502">
        <w:instrText xml:space="preserve"> REF _Ref461616833 \r \h </w:instrText>
      </w:r>
      <w:r w:rsidR="00EB6502">
        <w:fldChar w:fldCharType="separate"/>
      </w:r>
      <w:r w:rsidR="003C3A1D">
        <w:t>3.2.3</w:t>
      </w:r>
      <w:r w:rsidR="00EB6502">
        <w:fldChar w:fldCharType="end"/>
      </w:r>
      <w:r w:rsidR="00EB6502">
        <w:t xml:space="preserve"> above)</w:t>
      </w:r>
      <w:r>
        <w:t xml:space="preserve">. </w:t>
      </w:r>
    </w:p>
    <w:p w:rsidR="00EB6502" w:rsidRDefault="00127B23" w:rsidP="00EB6502">
      <w:r>
        <w:t xml:space="preserve">The top down analysis is set out in section </w:t>
      </w:r>
      <w:r>
        <w:fldChar w:fldCharType="begin"/>
      </w:r>
      <w:r>
        <w:instrText xml:space="preserve"> REF _Ref460402362 \r \h </w:instrText>
      </w:r>
      <w:r>
        <w:fldChar w:fldCharType="separate"/>
      </w:r>
      <w:r w:rsidR="003C3A1D">
        <w:t>9</w:t>
      </w:r>
      <w:r>
        <w:fldChar w:fldCharType="end"/>
      </w:r>
      <w:r>
        <w:t xml:space="preserve">. </w:t>
      </w:r>
      <w:r w:rsidR="00EB6502">
        <w:t xml:space="preserve">In making this draft decision, we have had regard to the top down analysis to test the relative efficiency of AusNet Services' AMI roll–out against that of the other Victorian distributors. We have not, however, used that top down approach to make specific reductions to AusNet Services' proposed 2014 and 2015 excess capital expenditure. </w:t>
      </w:r>
    </w:p>
    <w:p w:rsidR="00127B23" w:rsidRPr="001463F9" w:rsidRDefault="00EB6502" w:rsidP="00127B23">
      <w:r>
        <w:t xml:space="preserve">Instead, we have principally relied on Energeia's bottom up benchmarking. </w:t>
      </w:r>
      <w:r w:rsidR="00127B23">
        <w:t>This bottom up approach consisted of analysis performed by Energeia on the efficient benchmark unit rates for smart meters and meter installations. We also had regard to Energeia's benchmarking of AusNet Services' IT capex against the expenditure incurred by CitiPower and Powercor. Each of AusNet Services' excess capital expenditure categories are considered below.</w:t>
      </w:r>
    </w:p>
    <w:p w:rsidR="00320379" w:rsidRDefault="00320379" w:rsidP="00320379">
      <w:pPr>
        <w:pStyle w:val="HeadingBoldItalic"/>
      </w:pPr>
      <w:r>
        <w:t>Meter supply</w:t>
      </w:r>
    </w:p>
    <w:p w:rsidR="00A9579E" w:rsidRDefault="009159BF" w:rsidP="00320379">
      <w:r>
        <w:t>We</w:t>
      </w:r>
      <w:r w:rsidR="00F87208">
        <w:t xml:space="preserve"> accept $</w:t>
      </w:r>
      <w:r w:rsidR="00C10341">
        <w:t>13.9</w:t>
      </w:r>
      <w:r w:rsidR="008B5C08">
        <w:t xml:space="preserve"> million ($2018)</w:t>
      </w:r>
      <w:r>
        <w:t xml:space="preserve"> in excess</w:t>
      </w:r>
      <w:r w:rsidR="006C4CDF">
        <w:t xml:space="preserve"> </w:t>
      </w:r>
      <w:r>
        <w:t>capital expenditure</w:t>
      </w:r>
      <w:r w:rsidR="008B5C08">
        <w:t xml:space="preserve"> for 'meter supply'.</w:t>
      </w:r>
      <w:r w:rsidR="00D80AF3">
        <w:t xml:space="preserve"> This is equal to around</w:t>
      </w:r>
      <w:r w:rsidR="00E93D93">
        <w:t xml:space="preserve"> 55 percent of </w:t>
      </w:r>
      <w:r w:rsidR="00C10341">
        <w:t>AusNet Services proposed $25.6</w:t>
      </w:r>
      <w:r w:rsidR="00A9579E">
        <w:t xml:space="preserve"> million ($2018) in excess capital expenditure</w:t>
      </w:r>
      <w:r w:rsidR="00E93D93">
        <w:t xml:space="preserve"> for the </w:t>
      </w:r>
      <w:r w:rsidR="00A9579E">
        <w:t xml:space="preserve">acquisition of additional metering units. </w:t>
      </w:r>
      <w:r w:rsidR="00A9579E">
        <w:fldChar w:fldCharType="begin"/>
      </w:r>
      <w:r w:rsidR="00A9579E">
        <w:instrText xml:space="preserve"> REF _Ref459800833 \h </w:instrText>
      </w:r>
      <w:r w:rsidR="00A9579E">
        <w:fldChar w:fldCharType="separate"/>
      </w:r>
      <w:r w:rsidR="003C3A1D">
        <w:t xml:space="preserve">Table </w:t>
      </w:r>
      <w:r w:rsidR="003C3A1D">
        <w:rPr>
          <w:noProof/>
        </w:rPr>
        <w:t>4</w:t>
      </w:r>
      <w:r w:rsidR="003C3A1D">
        <w:t>.</w:t>
      </w:r>
      <w:r w:rsidR="003C3A1D">
        <w:rPr>
          <w:noProof/>
        </w:rPr>
        <w:t>9</w:t>
      </w:r>
      <w:r w:rsidR="00A9579E">
        <w:fldChar w:fldCharType="end"/>
      </w:r>
      <w:r w:rsidR="00A9579E">
        <w:t xml:space="preserve"> sets out our draft decision.</w:t>
      </w:r>
    </w:p>
    <w:p w:rsidR="000221E5" w:rsidRDefault="000221E5" w:rsidP="000221E5">
      <w:pPr>
        <w:pStyle w:val="Caption"/>
      </w:pPr>
      <w:bookmarkStart w:id="63" w:name="_Ref459800833"/>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9</w:t>
        </w:r>
      </w:fldSimple>
      <w:bookmarkEnd w:id="63"/>
      <w:r>
        <w:tab/>
        <w:t>Draft decision on meter supply</w:t>
      </w:r>
      <w:r w:rsidR="00BE6EB2">
        <w:t xml:space="preserve"> capex ($m 2018)</w:t>
      </w:r>
    </w:p>
    <w:tbl>
      <w:tblPr>
        <w:tblStyle w:val="AERtable-numbers"/>
        <w:tblW w:w="0" w:type="auto"/>
        <w:tblLook w:val="04A0" w:firstRow="1" w:lastRow="0" w:firstColumn="1" w:lastColumn="0" w:noHBand="0" w:noVBand="1"/>
      </w:tblPr>
      <w:tblGrid>
        <w:gridCol w:w="2358"/>
        <w:gridCol w:w="1988"/>
        <w:gridCol w:w="2173"/>
        <w:gridCol w:w="2174"/>
      </w:tblGrid>
      <w:tr w:rsidR="000221E5" w:rsidTr="00022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21E5" w:rsidRDefault="000221E5" w:rsidP="00320379"/>
        </w:tc>
        <w:tc>
          <w:tcPr>
            <w:tcW w:w="1988" w:type="dxa"/>
          </w:tcPr>
          <w:p w:rsidR="000221E5" w:rsidRDefault="000221E5" w:rsidP="00320379">
            <w:pPr>
              <w:cnfStyle w:val="100000000000" w:firstRow="1" w:lastRow="0" w:firstColumn="0" w:lastColumn="0" w:oddVBand="0" w:evenVBand="0" w:oddHBand="0" w:evenHBand="0" w:firstRowFirstColumn="0" w:firstRowLastColumn="0" w:lastRowFirstColumn="0" w:lastRowLastColumn="0"/>
            </w:pPr>
            <w:r>
              <w:t>Approved budget</w:t>
            </w:r>
          </w:p>
          <w:p w:rsidR="00BE6EB2" w:rsidRDefault="00BE6EB2" w:rsidP="00320379">
            <w:pPr>
              <w:cnfStyle w:val="100000000000" w:firstRow="1" w:lastRow="0" w:firstColumn="0" w:lastColumn="0" w:oddVBand="0" w:evenVBand="0" w:oddHBand="0" w:evenHBand="0" w:firstRowFirstColumn="0" w:firstRowLastColumn="0" w:lastRowFirstColumn="0" w:lastRowLastColumn="0"/>
            </w:pPr>
            <w:r>
              <w:t>(2012–15 Budget)</w:t>
            </w:r>
          </w:p>
        </w:tc>
        <w:tc>
          <w:tcPr>
            <w:tcW w:w="2173" w:type="dxa"/>
          </w:tcPr>
          <w:p w:rsidR="000221E5" w:rsidRDefault="000221E5" w:rsidP="00320379">
            <w:pPr>
              <w:cnfStyle w:val="100000000000" w:firstRow="1" w:lastRow="0" w:firstColumn="0" w:lastColumn="0" w:oddVBand="0" w:evenVBand="0" w:oddHBand="0" w:evenHBand="0" w:firstRowFirstColumn="0" w:firstRowLastColumn="0" w:lastRowFirstColumn="0" w:lastRowLastColumn="0"/>
            </w:pPr>
            <w:r>
              <w:t>Proposed excess</w:t>
            </w:r>
          </w:p>
        </w:tc>
        <w:tc>
          <w:tcPr>
            <w:tcW w:w="2174" w:type="dxa"/>
          </w:tcPr>
          <w:p w:rsidR="000221E5" w:rsidRDefault="000221E5" w:rsidP="00320379">
            <w:pPr>
              <w:cnfStyle w:val="100000000000" w:firstRow="1" w:lastRow="0" w:firstColumn="0" w:lastColumn="0" w:oddVBand="0" w:evenVBand="0" w:oddHBand="0" w:evenHBand="0" w:firstRowFirstColumn="0" w:firstRowLastColumn="0" w:lastRowFirstColumn="0" w:lastRowLastColumn="0"/>
            </w:pPr>
            <w:r>
              <w:t>Draft decision</w:t>
            </w:r>
          </w:p>
        </w:tc>
      </w:tr>
      <w:tr w:rsidR="000221E5" w:rsidTr="000221E5">
        <w:tc>
          <w:tcPr>
            <w:cnfStyle w:val="001000000000" w:firstRow="0" w:lastRow="0" w:firstColumn="1" w:lastColumn="0" w:oddVBand="0" w:evenVBand="0" w:oddHBand="0" w:evenHBand="0" w:firstRowFirstColumn="0" w:firstRowLastColumn="0" w:lastRowFirstColumn="0" w:lastRowLastColumn="0"/>
            <w:tcW w:w="2358" w:type="dxa"/>
          </w:tcPr>
          <w:p w:rsidR="000221E5" w:rsidRDefault="00C91575" w:rsidP="00C91575">
            <w:pPr>
              <w:pStyle w:val="ListContinue"/>
              <w:ind w:left="0"/>
            </w:pPr>
            <w:r>
              <w:t>2014</w:t>
            </w:r>
          </w:p>
        </w:tc>
        <w:tc>
          <w:tcPr>
            <w:tcW w:w="1988" w:type="dxa"/>
          </w:tcPr>
          <w:p w:rsidR="000221E5" w:rsidRDefault="00E2508C" w:rsidP="00BE6EB2">
            <w:pPr>
              <w:cnfStyle w:val="000000000000" w:firstRow="0" w:lastRow="0" w:firstColumn="0" w:lastColumn="0" w:oddVBand="0" w:evenVBand="0" w:oddHBand="0" w:evenHBand="0" w:firstRowFirstColumn="0" w:firstRowLastColumn="0" w:lastRowFirstColumn="0" w:lastRowLastColumn="0"/>
            </w:pPr>
            <w:r>
              <w:t>2.4</w:t>
            </w:r>
          </w:p>
        </w:tc>
        <w:tc>
          <w:tcPr>
            <w:tcW w:w="2173" w:type="dxa"/>
          </w:tcPr>
          <w:p w:rsidR="000221E5" w:rsidRDefault="00E2508C" w:rsidP="00BE6EB2">
            <w:pPr>
              <w:cnfStyle w:val="000000000000" w:firstRow="0" w:lastRow="0" w:firstColumn="0" w:lastColumn="0" w:oddVBand="0" w:evenVBand="0" w:oddHBand="0" w:evenHBand="0" w:firstRowFirstColumn="0" w:firstRowLastColumn="0" w:lastRowFirstColumn="0" w:lastRowLastColumn="0"/>
            </w:pPr>
            <w:r>
              <w:t>24.2</w:t>
            </w:r>
          </w:p>
        </w:tc>
        <w:tc>
          <w:tcPr>
            <w:tcW w:w="2174" w:type="dxa"/>
          </w:tcPr>
          <w:p w:rsidR="000221E5" w:rsidRDefault="00E2508C" w:rsidP="00BE6EB2">
            <w:pPr>
              <w:cnfStyle w:val="000000000000" w:firstRow="0" w:lastRow="0" w:firstColumn="0" w:lastColumn="0" w:oddVBand="0" w:evenVBand="0" w:oddHBand="0" w:evenHBand="0" w:firstRowFirstColumn="0" w:firstRowLastColumn="0" w:lastRowFirstColumn="0" w:lastRowLastColumn="0"/>
            </w:pPr>
            <w:r>
              <w:t>12.5</w:t>
            </w:r>
          </w:p>
        </w:tc>
      </w:tr>
      <w:tr w:rsidR="000221E5" w:rsidTr="00022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21E5" w:rsidRPr="000221E5" w:rsidRDefault="00C91575" w:rsidP="00C91575">
            <w:pPr>
              <w:pStyle w:val="ListContinue"/>
              <w:ind w:left="0"/>
            </w:pPr>
            <w:r>
              <w:t>2015</w:t>
            </w:r>
          </w:p>
        </w:tc>
        <w:tc>
          <w:tcPr>
            <w:tcW w:w="1988" w:type="dxa"/>
          </w:tcPr>
          <w:p w:rsidR="000221E5" w:rsidRDefault="00BE6EB2" w:rsidP="00BE6EB2">
            <w:pPr>
              <w:cnfStyle w:val="000000010000" w:firstRow="0" w:lastRow="0" w:firstColumn="0" w:lastColumn="0" w:oddVBand="0" w:evenVBand="0" w:oddHBand="0" w:evenHBand="1" w:firstRowFirstColumn="0" w:firstRowLastColumn="0" w:lastRowFirstColumn="0" w:lastRowLastColumn="0"/>
            </w:pPr>
            <w:r>
              <w:t>2.3</w:t>
            </w:r>
          </w:p>
        </w:tc>
        <w:tc>
          <w:tcPr>
            <w:tcW w:w="2173" w:type="dxa"/>
          </w:tcPr>
          <w:p w:rsidR="000221E5" w:rsidRDefault="00BE6EB2" w:rsidP="00BE6EB2">
            <w:pPr>
              <w:cnfStyle w:val="000000010000" w:firstRow="0" w:lastRow="0" w:firstColumn="0" w:lastColumn="0" w:oddVBand="0" w:evenVBand="0" w:oddHBand="0" w:evenHBand="1" w:firstRowFirstColumn="0" w:firstRowLastColumn="0" w:lastRowFirstColumn="0" w:lastRowLastColumn="0"/>
            </w:pPr>
            <w:r>
              <w:t xml:space="preserve">1.4 </w:t>
            </w:r>
          </w:p>
        </w:tc>
        <w:tc>
          <w:tcPr>
            <w:tcW w:w="2174" w:type="dxa"/>
          </w:tcPr>
          <w:p w:rsidR="000221E5" w:rsidRDefault="00BE6EB2" w:rsidP="00BE6EB2">
            <w:pPr>
              <w:cnfStyle w:val="000000010000" w:firstRow="0" w:lastRow="0" w:firstColumn="0" w:lastColumn="0" w:oddVBand="0" w:evenVBand="0" w:oddHBand="0" w:evenHBand="1" w:firstRowFirstColumn="0" w:firstRowLastColumn="0" w:lastRowFirstColumn="0" w:lastRowLastColumn="0"/>
            </w:pPr>
            <w:r>
              <w:t>1.4</w:t>
            </w:r>
          </w:p>
        </w:tc>
      </w:tr>
      <w:tr w:rsidR="007D576B" w:rsidTr="000221E5">
        <w:tc>
          <w:tcPr>
            <w:cnfStyle w:val="001000000000" w:firstRow="0" w:lastRow="0" w:firstColumn="1" w:lastColumn="0" w:oddVBand="0" w:evenVBand="0" w:oddHBand="0" w:evenHBand="0" w:firstRowFirstColumn="0" w:firstRowLastColumn="0" w:lastRowFirstColumn="0" w:lastRowLastColumn="0"/>
            <w:tcW w:w="2358" w:type="dxa"/>
          </w:tcPr>
          <w:p w:rsidR="007D576B" w:rsidRPr="007D576B" w:rsidRDefault="00C91575" w:rsidP="00C91575">
            <w:pPr>
              <w:pStyle w:val="ListContinue"/>
              <w:ind w:left="0"/>
            </w:pPr>
            <w:r>
              <w:t>Total</w:t>
            </w:r>
            <w:r w:rsidR="00C10341">
              <w:t xml:space="preserve"> </w:t>
            </w:r>
          </w:p>
        </w:tc>
        <w:tc>
          <w:tcPr>
            <w:tcW w:w="1988" w:type="dxa"/>
          </w:tcPr>
          <w:p w:rsidR="007D576B" w:rsidRDefault="00BE6EB2" w:rsidP="00BE6EB2">
            <w:pPr>
              <w:cnfStyle w:val="000000000000" w:firstRow="0" w:lastRow="0" w:firstColumn="0" w:lastColumn="0" w:oddVBand="0" w:evenVBand="0" w:oddHBand="0" w:evenHBand="0" w:firstRowFirstColumn="0" w:firstRowLastColumn="0" w:lastRowFirstColumn="0" w:lastRowLastColumn="0"/>
            </w:pPr>
            <w:r>
              <w:t>4.7</w:t>
            </w:r>
          </w:p>
        </w:tc>
        <w:tc>
          <w:tcPr>
            <w:tcW w:w="2173" w:type="dxa"/>
          </w:tcPr>
          <w:p w:rsidR="007D576B" w:rsidRDefault="00BE6EB2" w:rsidP="00BE6EB2">
            <w:pPr>
              <w:cnfStyle w:val="000000000000" w:firstRow="0" w:lastRow="0" w:firstColumn="0" w:lastColumn="0" w:oddVBand="0" w:evenVBand="0" w:oddHBand="0" w:evenHBand="0" w:firstRowFirstColumn="0" w:firstRowLastColumn="0" w:lastRowFirstColumn="0" w:lastRowLastColumn="0"/>
            </w:pPr>
            <w:r>
              <w:t>25.6</w:t>
            </w:r>
          </w:p>
        </w:tc>
        <w:tc>
          <w:tcPr>
            <w:tcW w:w="2174" w:type="dxa"/>
          </w:tcPr>
          <w:p w:rsidR="007D576B" w:rsidRDefault="00BE6EB2" w:rsidP="00BE6EB2">
            <w:pPr>
              <w:cnfStyle w:val="000000000000" w:firstRow="0" w:lastRow="0" w:firstColumn="0" w:lastColumn="0" w:oddVBand="0" w:evenVBand="0" w:oddHBand="0" w:evenHBand="0" w:firstRowFirstColumn="0" w:firstRowLastColumn="0" w:lastRowFirstColumn="0" w:lastRowLastColumn="0"/>
            </w:pPr>
            <w:r>
              <w:t>13.9</w:t>
            </w:r>
          </w:p>
        </w:tc>
      </w:tr>
    </w:tbl>
    <w:p w:rsidR="00C91575" w:rsidRPr="00C91575" w:rsidRDefault="00D836DD" w:rsidP="00DF0917">
      <w:pPr>
        <w:pStyle w:val="AERtablesource"/>
      </w:pPr>
      <w:r>
        <w:t xml:space="preserve">Source: </w:t>
      </w:r>
      <w:r>
        <w:tab/>
      </w:r>
      <w:r w:rsidR="008F0AAC">
        <w:t>AER analysis</w:t>
      </w:r>
      <w:r>
        <w:t>.</w:t>
      </w:r>
    </w:p>
    <w:p w:rsidR="00921F86" w:rsidRPr="00921F86" w:rsidRDefault="00921F86" w:rsidP="00A9579E">
      <w:pPr>
        <w:rPr>
          <w:rStyle w:val="Strong"/>
        </w:rPr>
      </w:pPr>
      <w:r>
        <w:rPr>
          <w:rStyle w:val="Strong"/>
        </w:rPr>
        <w:t>2014 meter supply</w:t>
      </w:r>
    </w:p>
    <w:p w:rsidR="00921F86" w:rsidRDefault="00921F86" w:rsidP="00A9579E">
      <w:r>
        <w:t>We accept $</w:t>
      </w:r>
      <w:r w:rsidR="00C10341">
        <w:t>12.5</w:t>
      </w:r>
      <w:r>
        <w:t xml:space="preserve"> million ($2018) in excess expenditure for 2014 meter supply.</w:t>
      </w:r>
    </w:p>
    <w:p w:rsidR="003B7A04" w:rsidRDefault="003B7A04" w:rsidP="00A9579E">
      <w:r>
        <w:t>The Victorian Government submitted that a</w:t>
      </w:r>
      <w:r w:rsidR="00604B08">
        <w:t>n</w:t>
      </w:r>
      <w:r>
        <w:t xml:space="preserve"> issue for us to consider is whether the number of 3G communications modules required is higher than would have been had AusNet Services converted to a mesh radio communications technology during the rollout when there was information showing that it was a less costly, market proven solution.</w:t>
      </w:r>
      <w:r>
        <w:rPr>
          <w:rStyle w:val="FootnoteReference"/>
        </w:rPr>
        <w:footnoteReference w:id="52"/>
      </w:r>
      <w:r>
        <w:t xml:space="preserve"> </w:t>
      </w:r>
      <w:r w:rsidR="00DC142D">
        <w:t>We considered this issue in arriving at our draft decision.</w:t>
      </w:r>
    </w:p>
    <w:p w:rsidR="00BE6EB2" w:rsidRDefault="00143BE2" w:rsidP="00A9579E">
      <w:r>
        <w:fldChar w:fldCharType="begin"/>
      </w:r>
      <w:r>
        <w:instrText xml:space="preserve"> REF _Ref459825088 \h </w:instrText>
      </w:r>
      <w:r>
        <w:fldChar w:fldCharType="separate"/>
      </w:r>
      <w:r w:rsidR="003C3A1D">
        <w:t xml:space="preserve">Table </w:t>
      </w:r>
      <w:r w:rsidR="003C3A1D">
        <w:rPr>
          <w:noProof/>
        </w:rPr>
        <w:t>4</w:t>
      </w:r>
      <w:r w:rsidR="003C3A1D">
        <w:t>.</w:t>
      </w:r>
      <w:r w:rsidR="003C3A1D">
        <w:rPr>
          <w:noProof/>
        </w:rPr>
        <w:t>10</w:t>
      </w:r>
      <w:r>
        <w:fldChar w:fldCharType="end"/>
      </w:r>
      <w:r>
        <w:t xml:space="preserve"> sets out the components of our draft decision. It shows that we accept the total volume of AusNet Services' proposed additional metering units, which amounts to 145 856. We have nonetheless based our draft decision on a different technology mix between 3G, WiMAX and mesh radio communication modules </w:t>
      </w:r>
      <w:r w:rsidR="00DC6B85">
        <w:t xml:space="preserve">that </w:t>
      </w:r>
      <w:r w:rsidR="00DA23A4">
        <w:t>we consider is</w:t>
      </w:r>
      <w:r w:rsidR="00D80AF3">
        <w:t xml:space="preserve"> </w:t>
      </w:r>
      <w:r w:rsidR="00DC6B85">
        <w:t xml:space="preserve">more efficient </w:t>
      </w:r>
      <w:r>
        <w:t>than AusNet Services proposed</w:t>
      </w:r>
      <w:r w:rsidR="003B7A04">
        <w:t xml:space="preserve"> as explained further below</w:t>
      </w:r>
      <w:r>
        <w:t>.</w:t>
      </w:r>
      <w:r w:rsidR="00392A61">
        <w:t xml:space="preserve"> </w:t>
      </w:r>
    </w:p>
    <w:p w:rsidR="00BE6EB2" w:rsidRDefault="00BE6EB2" w:rsidP="00BE6EB2">
      <w:pPr>
        <w:pStyle w:val="Caption"/>
      </w:pPr>
      <w:bookmarkStart w:id="64" w:name="_Ref459825088"/>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10</w:t>
        </w:r>
      </w:fldSimple>
      <w:bookmarkEnd w:id="64"/>
      <w:r>
        <w:tab/>
        <w:t>Draft decision on</w:t>
      </w:r>
      <w:r w:rsidR="00143BE2">
        <w:t xml:space="preserve"> 2014</w:t>
      </w:r>
      <w:r>
        <w:t xml:space="preserve"> meter supply</w:t>
      </w:r>
      <w:r w:rsidR="00143BE2">
        <w:t xml:space="preserve"> capex</w:t>
      </w:r>
      <w:r>
        <w:t xml:space="preserve"> volumes</w:t>
      </w:r>
    </w:p>
    <w:tbl>
      <w:tblPr>
        <w:tblStyle w:val="AERtable-numbers"/>
        <w:tblW w:w="0" w:type="auto"/>
        <w:tblLook w:val="04A0" w:firstRow="1" w:lastRow="0" w:firstColumn="1" w:lastColumn="0" w:noHBand="0" w:noVBand="1"/>
      </w:tblPr>
      <w:tblGrid>
        <w:gridCol w:w="2118"/>
        <w:gridCol w:w="2335"/>
        <w:gridCol w:w="2120"/>
        <w:gridCol w:w="2120"/>
      </w:tblGrid>
      <w:tr w:rsidR="00BE6EB2" w:rsidTr="00BE6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rsidR="00BE6EB2" w:rsidRDefault="00BE6EB2" w:rsidP="00A9579E"/>
        </w:tc>
        <w:tc>
          <w:tcPr>
            <w:tcW w:w="2335" w:type="dxa"/>
          </w:tcPr>
          <w:p w:rsidR="00BE6EB2" w:rsidRDefault="00BE6EB2" w:rsidP="00BE6EB2">
            <w:pPr>
              <w:cnfStyle w:val="100000000000" w:firstRow="1" w:lastRow="0" w:firstColumn="0" w:lastColumn="0" w:oddVBand="0" w:evenVBand="0" w:oddHBand="0" w:evenHBand="0" w:firstRowFirstColumn="0" w:firstRowLastColumn="0" w:lastRowFirstColumn="0" w:lastRowLastColumn="0"/>
            </w:pPr>
            <w:r>
              <w:t xml:space="preserve">Approved volumes </w:t>
            </w:r>
          </w:p>
          <w:p w:rsidR="00BE6EB2" w:rsidRDefault="00BE6EB2" w:rsidP="00BE6EB2">
            <w:pPr>
              <w:cnfStyle w:val="100000000000" w:firstRow="1" w:lastRow="0" w:firstColumn="0" w:lastColumn="0" w:oddVBand="0" w:evenVBand="0" w:oddHBand="0" w:evenHBand="0" w:firstRowFirstColumn="0" w:firstRowLastColumn="0" w:lastRowFirstColumn="0" w:lastRowLastColumn="0"/>
            </w:pPr>
            <w:r>
              <w:t>(2012–15 Budget)</w:t>
            </w:r>
          </w:p>
        </w:tc>
        <w:tc>
          <w:tcPr>
            <w:tcW w:w="2120" w:type="dxa"/>
          </w:tcPr>
          <w:p w:rsidR="00BE6EB2" w:rsidRDefault="00BE6EB2" w:rsidP="00A9579E">
            <w:pPr>
              <w:cnfStyle w:val="100000000000" w:firstRow="1" w:lastRow="0" w:firstColumn="0" w:lastColumn="0" w:oddVBand="0" w:evenVBand="0" w:oddHBand="0" w:evenHBand="0" w:firstRowFirstColumn="0" w:firstRowLastColumn="0" w:lastRowFirstColumn="0" w:lastRowLastColumn="0"/>
            </w:pPr>
            <w:r>
              <w:t>Proposed additional volumes</w:t>
            </w:r>
          </w:p>
        </w:tc>
        <w:tc>
          <w:tcPr>
            <w:tcW w:w="2120" w:type="dxa"/>
          </w:tcPr>
          <w:p w:rsidR="00BE6EB2" w:rsidRDefault="00BE6EB2" w:rsidP="00A9579E">
            <w:pPr>
              <w:cnfStyle w:val="100000000000" w:firstRow="1" w:lastRow="0" w:firstColumn="0" w:lastColumn="0" w:oddVBand="0" w:evenVBand="0" w:oddHBand="0" w:evenHBand="0" w:firstRowFirstColumn="0" w:firstRowLastColumn="0" w:lastRowFirstColumn="0" w:lastRowLastColumn="0"/>
            </w:pPr>
            <w:r>
              <w:t>Draft decision</w:t>
            </w:r>
          </w:p>
        </w:tc>
      </w:tr>
      <w:tr w:rsidR="00BE6EB2" w:rsidTr="00BE6EB2">
        <w:tc>
          <w:tcPr>
            <w:cnfStyle w:val="001000000000" w:firstRow="0" w:lastRow="0" w:firstColumn="1" w:lastColumn="0" w:oddVBand="0" w:evenVBand="0" w:oddHBand="0" w:evenHBand="0" w:firstRowFirstColumn="0" w:firstRowLastColumn="0" w:lastRowFirstColumn="0" w:lastRowLastColumn="0"/>
            <w:tcW w:w="2118" w:type="dxa"/>
          </w:tcPr>
          <w:p w:rsidR="00BE6EB2" w:rsidRDefault="00BE6EB2" w:rsidP="00BE6EB2">
            <w:r>
              <w:t>Meters</w:t>
            </w:r>
          </w:p>
        </w:tc>
        <w:tc>
          <w:tcPr>
            <w:tcW w:w="2335" w:type="dxa"/>
          </w:tcPr>
          <w:p w:rsidR="00BE6EB2" w:rsidRPr="00BE6EB2" w:rsidRDefault="00BE6EB2" w:rsidP="00BE6EB2">
            <w:pPr>
              <w:cnfStyle w:val="000000000000" w:firstRow="0" w:lastRow="0" w:firstColumn="0" w:lastColumn="0" w:oddVBand="0" w:evenVBand="0" w:oddHBand="0" w:evenHBand="0" w:firstRowFirstColumn="0" w:firstRowLastColumn="0" w:lastRowFirstColumn="0" w:lastRowLastColumn="0"/>
            </w:pPr>
            <w:r>
              <w:t>10 112</w:t>
            </w:r>
          </w:p>
        </w:tc>
        <w:tc>
          <w:tcPr>
            <w:tcW w:w="2120" w:type="dxa"/>
          </w:tcPr>
          <w:p w:rsidR="00BE6EB2" w:rsidRPr="00BE6EB2" w:rsidRDefault="00BE6EB2" w:rsidP="00BE6EB2">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BE6EB2" w:rsidRPr="00BE6EB2" w:rsidRDefault="00BE6EB2" w:rsidP="00BE6EB2">
            <w:pPr>
              <w:cnfStyle w:val="000000000000" w:firstRow="0" w:lastRow="0" w:firstColumn="0" w:lastColumn="0" w:oddVBand="0" w:evenVBand="0" w:oddHBand="0" w:evenHBand="0" w:firstRowFirstColumn="0" w:firstRowLastColumn="0" w:lastRowFirstColumn="0" w:lastRowLastColumn="0"/>
            </w:pPr>
            <w:r>
              <w:t>0</w:t>
            </w:r>
          </w:p>
        </w:tc>
      </w:tr>
      <w:tr w:rsidR="00BE6EB2" w:rsidTr="00BE6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rsidR="00BE6EB2" w:rsidRDefault="00BE6EB2" w:rsidP="00BE6EB2">
            <w:r>
              <w:t>3G modules</w:t>
            </w:r>
          </w:p>
        </w:tc>
        <w:tc>
          <w:tcPr>
            <w:tcW w:w="2335" w:type="dxa"/>
          </w:tcPr>
          <w:p w:rsidR="00BE6EB2" w:rsidRDefault="00BE6EB2" w:rsidP="00BE6EB2">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BE6EB2" w:rsidRDefault="00BE6EB2" w:rsidP="00BE6EB2">
            <w:pPr>
              <w:cnfStyle w:val="000000010000" w:firstRow="0" w:lastRow="0" w:firstColumn="0" w:lastColumn="0" w:oddVBand="0" w:evenVBand="0" w:oddHBand="0" w:evenHBand="1" w:firstRowFirstColumn="0" w:firstRowLastColumn="0" w:lastRowFirstColumn="0" w:lastRowLastColumn="0"/>
            </w:pPr>
            <w:r>
              <w:t>122 579</w:t>
            </w:r>
          </w:p>
        </w:tc>
        <w:tc>
          <w:tcPr>
            <w:tcW w:w="2120" w:type="dxa"/>
          </w:tcPr>
          <w:p w:rsidR="00BE6EB2" w:rsidRDefault="00BE6EB2" w:rsidP="00BE6EB2">
            <w:pPr>
              <w:cnfStyle w:val="000000010000" w:firstRow="0" w:lastRow="0" w:firstColumn="0" w:lastColumn="0" w:oddVBand="0" w:evenVBand="0" w:oddHBand="0" w:evenHBand="1" w:firstRowFirstColumn="0" w:firstRowLastColumn="0" w:lastRowFirstColumn="0" w:lastRowLastColumn="0"/>
            </w:pPr>
            <w:r>
              <w:t>4 376</w:t>
            </w:r>
          </w:p>
        </w:tc>
      </w:tr>
      <w:tr w:rsidR="00BE6EB2" w:rsidTr="00BE6EB2">
        <w:tc>
          <w:tcPr>
            <w:cnfStyle w:val="001000000000" w:firstRow="0" w:lastRow="0" w:firstColumn="1" w:lastColumn="0" w:oddVBand="0" w:evenVBand="0" w:oddHBand="0" w:evenHBand="0" w:firstRowFirstColumn="0" w:firstRowLastColumn="0" w:lastRowFirstColumn="0" w:lastRowLastColumn="0"/>
            <w:tcW w:w="2118" w:type="dxa"/>
          </w:tcPr>
          <w:p w:rsidR="00BE6EB2" w:rsidRDefault="00BE6EB2" w:rsidP="00BE6EB2">
            <w:r>
              <w:t>WiMAX modules</w:t>
            </w:r>
          </w:p>
        </w:tc>
        <w:tc>
          <w:tcPr>
            <w:tcW w:w="2335" w:type="dxa"/>
          </w:tcPr>
          <w:p w:rsidR="00BE6EB2" w:rsidRDefault="00BE6EB2" w:rsidP="00BE6EB2">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BE6EB2" w:rsidRDefault="00BE6EB2" w:rsidP="00BE6EB2">
            <w:pPr>
              <w:cnfStyle w:val="000000000000" w:firstRow="0" w:lastRow="0" w:firstColumn="0" w:lastColumn="0" w:oddVBand="0" w:evenVBand="0" w:oddHBand="0" w:evenHBand="0" w:firstRowFirstColumn="0" w:firstRowLastColumn="0" w:lastRowFirstColumn="0" w:lastRowLastColumn="0"/>
            </w:pPr>
            <w:r>
              <w:t>23 277</w:t>
            </w:r>
          </w:p>
        </w:tc>
        <w:tc>
          <w:tcPr>
            <w:tcW w:w="2120" w:type="dxa"/>
          </w:tcPr>
          <w:p w:rsidR="00BE6EB2" w:rsidRDefault="00BE6EB2" w:rsidP="00BE6EB2">
            <w:pPr>
              <w:cnfStyle w:val="000000000000" w:firstRow="0" w:lastRow="0" w:firstColumn="0" w:lastColumn="0" w:oddVBand="0" w:evenVBand="0" w:oddHBand="0" w:evenHBand="0" w:firstRowFirstColumn="0" w:firstRowLastColumn="0" w:lastRowFirstColumn="0" w:lastRowLastColumn="0"/>
            </w:pPr>
            <w:r>
              <w:t>0</w:t>
            </w:r>
          </w:p>
        </w:tc>
      </w:tr>
      <w:tr w:rsidR="00BE6EB2" w:rsidTr="00BE6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rsidR="00BE6EB2" w:rsidRDefault="00BE6EB2" w:rsidP="00BE6EB2">
            <w:r>
              <w:t>Mesh radio modules</w:t>
            </w:r>
          </w:p>
        </w:tc>
        <w:tc>
          <w:tcPr>
            <w:tcW w:w="2335" w:type="dxa"/>
          </w:tcPr>
          <w:p w:rsidR="00BE6EB2" w:rsidRDefault="00BE6EB2" w:rsidP="00BE6EB2">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BE6EB2" w:rsidRDefault="00BE6EB2" w:rsidP="00BE6EB2">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BE6EB2" w:rsidRDefault="00BE6EB2" w:rsidP="00BE6EB2">
            <w:pPr>
              <w:cnfStyle w:val="000000010000" w:firstRow="0" w:lastRow="0" w:firstColumn="0" w:lastColumn="0" w:oddVBand="0" w:evenVBand="0" w:oddHBand="0" w:evenHBand="1" w:firstRowFirstColumn="0" w:firstRowLastColumn="0" w:lastRowFirstColumn="0" w:lastRowLastColumn="0"/>
            </w:pPr>
            <w:r>
              <w:t>141 480</w:t>
            </w:r>
          </w:p>
        </w:tc>
      </w:tr>
      <w:tr w:rsidR="00BE6EB2" w:rsidTr="00BE6EB2">
        <w:tc>
          <w:tcPr>
            <w:cnfStyle w:val="001000000000" w:firstRow="0" w:lastRow="0" w:firstColumn="1" w:lastColumn="0" w:oddVBand="0" w:evenVBand="0" w:oddHBand="0" w:evenHBand="0" w:firstRowFirstColumn="0" w:firstRowLastColumn="0" w:lastRowFirstColumn="0" w:lastRowLastColumn="0"/>
            <w:tcW w:w="2118" w:type="dxa"/>
          </w:tcPr>
          <w:p w:rsidR="00BE6EB2" w:rsidRDefault="00BE6EB2" w:rsidP="00BE6EB2">
            <w:r>
              <w:t>Total metering units</w:t>
            </w:r>
          </w:p>
        </w:tc>
        <w:tc>
          <w:tcPr>
            <w:tcW w:w="2335" w:type="dxa"/>
          </w:tcPr>
          <w:p w:rsidR="00BE6EB2" w:rsidRDefault="00BE6EB2" w:rsidP="00BE6EB2">
            <w:pPr>
              <w:cnfStyle w:val="000000000000" w:firstRow="0" w:lastRow="0" w:firstColumn="0" w:lastColumn="0" w:oddVBand="0" w:evenVBand="0" w:oddHBand="0" w:evenHBand="0" w:firstRowFirstColumn="0" w:firstRowLastColumn="0" w:lastRowFirstColumn="0" w:lastRowLastColumn="0"/>
            </w:pPr>
            <w:r>
              <w:t>10 112</w:t>
            </w:r>
          </w:p>
        </w:tc>
        <w:tc>
          <w:tcPr>
            <w:tcW w:w="2120" w:type="dxa"/>
          </w:tcPr>
          <w:p w:rsidR="00BE6EB2" w:rsidRDefault="00BE6EB2" w:rsidP="00BE6EB2">
            <w:pPr>
              <w:cnfStyle w:val="000000000000" w:firstRow="0" w:lastRow="0" w:firstColumn="0" w:lastColumn="0" w:oddVBand="0" w:evenVBand="0" w:oddHBand="0" w:evenHBand="0" w:firstRowFirstColumn="0" w:firstRowLastColumn="0" w:lastRowFirstColumn="0" w:lastRowLastColumn="0"/>
            </w:pPr>
            <w:r>
              <w:t>145 856</w:t>
            </w:r>
          </w:p>
        </w:tc>
        <w:tc>
          <w:tcPr>
            <w:tcW w:w="2120" w:type="dxa"/>
          </w:tcPr>
          <w:p w:rsidR="00BE6EB2" w:rsidRDefault="00BE6EB2" w:rsidP="00BE6EB2">
            <w:pPr>
              <w:cnfStyle w:val="000000000000" w:firstRow="0" w:lastRow="0" w:firstColumn="0" w:lastColumn="0" w:oddVBand="0" w:evenVBand="0" w:oddHBand="0" w:evenHBand="0" w:firstRowFirstColumn="0" w:firstRowLastColumn="0" w:lastRowFirstColumn="0" w:lastRowLastColumn="0"/>
            </w:pPr>
            <w:r>
              <w:t>145 856</w:t>
            </w:r>
          </w:p>
        </w:tc>
      </w:tr>
    </w:tbl>
    <w:p w:rsidR="00BE6EB2" w:rsidRDefault="00392A61" w:rsidP="00392A61">
      <w:pPr>
        <w:pStyle w:val="AERtablesource"/>
      </w:pPr>
      <w:r>
        <w:t>Source:</w:t>
      </w:r>
      <w:r>
        <w:tab/>
        <w:t>AER analysis.</w:t>
      </w:r>
    </w:p>
    <w:p w:rsidR="00392A61" w:rsidRPr="00392A61" w:rsidRDefault="00392A61" w:rsidP="00A9579E">
      <w:pPr>
        <w:rPr>
          <w:i/>
        </w:rPr>
      </w:pPr>
      <w:r>
        <w:rPr>
          <w:rStyle w:val="AERtextitalic"/>
        </w:rPr>
        <w:t>Total metering unit volumes</w:t>
      </w:r>
    </w:p>
    <w:p w:rsidR="00392A61" w:rsidRDefault="00392A61" w:rsidP="00A9579E">
      <w:r>
        <w:t>We accept AusNet Services</w:t>
      </w:r>
      <w:r w:rsidR="00C91FEB">
        <w:t>'</w:t>
      </w:r>
      <w:r>
        <w:t xml:space="preserve"> total proposed additional metering units of 145 856.</w:t>
      </w:r>
    </w:p>
    <w:p w:rsidR="00D22DFC" w:rsidRDefault="00703550" w:rsidP="00A9579E">
      <w:r>
        <w:t>Our</w:t>
      </w:r>
      <w:r w:rsidR="000B7141">
        <w:t xml:space="preserve"> </w:t>
      </w:r>
      <w:r>
        <w:t>2</w:t>
      </w:r>
      <w:r w:rsidR="00392A61">
        <w:t>012–15 Approved Budge</w:t>
      </w:r>
      <w:r w:rsidR="00D80AF3">
        <w:t>t forecast AusNet Services procuring</w:t>
      </w:r>
      <w:r w:rsidR="00392A61">
        <w:t xml:space="preserve"> 10 112 metering units in 2014. This forecast was bas</w:t>
      </w:r>
      <w:r w:rsidR="00F40EF6">
        <w:t>ed on a requirement in the Order</w:t>
      </w:r>
      <w:r w:rsidR="00392A61">
        <w:t xml:space="preserve"> that </w:t>
      </w:r>
      <w:r w:rsidR="00F40EF6">
        <w:t>AusNet Services would have to complete its</w:t>
      </w:r>
      <w:r w:rsidR="00392A61">
        <w:t xml:space="preserve"> roll–out by the end of 2013. </w:t>
      </w:r>
    </w:p>
    <w:p w:rsidR="00ED10D1" w:rsidRDefault="00D80AF3" w:rsidP="00A9579E">
      <w:r>
        <w:t>T</w:t>
      </w:r>
      <w:r w:rsidR="00392A61">
        <w:t xml:space="preserve">he Order was amended on 10 December 2013 to require the Victorian electricity distributors to continue to use their best endeavours to install a complying </w:t>
      </w:r>
      <w:r w:rsidR="00F40EF6">
        <w:t>AMI</w:t>
      </w:r>
      <w:r w:rsidR="00392A61">
        <w:t xml:space="preserve"> meter for prescribed customers.</w:t>
      </w:r>
      <w:r w:rsidR="00AD72C6">
        <w:t xml:space="preserve"> This new regulatory requirement allowed AusNet Services to continue to roll–out AMI meters after 2013</w:t>
      </w:r>
      <w:r w:rsidR="00D22DFC">
        <w:t>.</w:t>
      </w:r>
      <w:r w:rsidR="00AD72C6">
        <w:t xml:space="preserve"> </w:t>
      </w:r>
    </w:p>
    <w:p w:rsidR="00D22DFC" w:rsidRDefault="00082863" w:rsidP="00A9579E">
      <w:r>
        <w:t>T</w:t>
      </w:r>
      <w:r w:rsidR="00ED10D1">
        <w:t>here were external factors that are likely to have contributed to the extension of AusNet Services' AMI roll–out beyond the original completion date</w:t>
      </w:r>
      <w:r w:rsidR="00C91FEB">
        <w:t>.</w:t>
      </w:r>
      <w:r w:rsidR="008A0F00">
        <w:t xml:space="preserve"> </w:t>
      </w:r>
      <w:r w:rsidR="00E85005">
        <w:fldChar w:fldCharType="begin"/>
      </w:r>
      <w:r w:rsidR="00E85005">
        <w:instrText xml:space="preserve"> REF _Ref459828041 \h </w:instrText>
      </w:r>
      <w:r w:rsidR="00E85005">
        <w:fldChar w:fldCharType="separate"/>
      </w:r>
      <w:r w:rsidR="003C3A1D">
        <w:t xml:space="preserve">Figure </w:t>
      </w:r>
      <w:r w:rsidR="003C3A1D">
        <w:rPr>
          <w:noProof/>
        </w:rPr>
        <w:t>4</w:t>
      </w:r>
      <w:r w:rsidR="003C3A1D">
        <w:t>.</w:t>
      </w:r>
      <w:r w:rsidR="003C3A1D">
        <w:rPr>
          <w:noProof/>
        </w:rPr>
        <w:t>3</w:t>
      </w:r>
      <w:r w:rsidR="00E85005">
        <w:fldChar w:fldCharType="end"/>
      </w:r>
      <w:r w:rsidR="004C1478">
        <w:t xml:space="preserve"> shows AusNet Services' AMI deployment schedule since the commencement of the roll–out period until June 2014. It highlights the timing of external factors and gives an indication of the impact that they may have had </w:t>
      </w:r>
      <w:r>
        <w:t xml:space="preserve">on </w:t>
      </w:r>
      <w:r w:rsidR="0070265D">
        <w:t>AusNet Services'</w:t>
      </w:r>
      <w:r w:rsidR="004C1478">
        <w:t xml:space="preserve"> deployment of AMI meters.</w:t>
      </w:r>
      <w:r w:rsidR="0070265D">
        <w:rPr>
          <w:rStyle w:val="FootnoteReference"/>
        </w:rPr>
        <w:footnoteReference w:id="53"/>
      </w:r>
      <w:r w:rsidR="00C91FEB">
        <w:t xml:space="preserve"> </w:t>
      </w:r>
      <w:r w:rsidR="0070265D">
        <w:t xml:space="preserve"> Such external factors included a 2011 review of the AMI roll–out which AusNet Services stated led to 13 months of uncertainty between November 2010 and December 2011.</w:t>
      </w:r>
      <w:r w:rsidR="0070265D">
        <w:rPr>
          <w:rStyle w:val="FootnoteReference"/>
        </w:rPr>
        <w:footnoteReference w:id="54"/>
      </w:r>
      <w:r w:rsidR="0070265D">
        <w:t xml:space="preserve"> We accept that such uncertainty is likely to have increased customer concerns regarding AMI meters and, potentially, lead to a higher rate of customer refusals. </w:t>
      </w:r>
      <w:r w:rsidR="0092383A">
        <w:t>This is consistent with our assessment in our 2014 excess charges report.</w:t>
      </w:r>
    </w:p>
    <w:p w:rsidR="00F40EF6" w:rsidRDefault="00F40EF6" w:rsidP="00F40EF6">
      <w:pPr>
        <w:pStyle w:val="Caption"/>
      </w:pPr>
      <w:bookmarkStart w:id="65" w:name="_Ref459828041"/>
      <w:r>
        <w:t xml:space="preserve">Figure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434015">
        <w:t>.</w:t>
      </w:r>
      <w:fldSimple w:instr=" SEQ Figure \* ARABIC \s 1 ">
        <w:r w:rsidR="003C3A1D">
          <w:rPr>
            <w:noProof/>
          </w:rPr>
          <w:t>3</w:t>
        </w:r>
      </w:fldSimple>
      <w:bookmarkEnd w:id="65"/>
      <w:r>
        <w:tab/>
      </w:r>
      <w:r w:rsidR="00E85005">
        <w:t>AusNet Services AMI deployment</w:t>
      </w:r>
    </w:p>
    <w:p w:rsidR="00F40EF6" w:rsidRPr="00F40EF6" w:rsidRDefault="00E85005" w:rsidP="00F40EF6">
      <w:r w:rsidRPr="00E85005">
        <w:rPr>
          <w:noProof/>
          <w:lang w:val="en-US"/>
        </w:rPr>
        <w:drawing>
          <wp:inline distT="0" distB="0" distL="0" distR="0" wp14:anchorId="5ED7712A" wp14:editId="0A1D491A">
            <wp:extent cx="5382895" cy="364647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2895" cy="3646477"/>
                    </a:xfrm>
                    <a:prstGeom prst="rect">
                      <a:avLst/>
                    </a:prstGeom>
                    <a:noFill/>
                    <a:ln>
                      <a:noFill/>
                    </a:ln>
                  </pic:spPr>
                </pic:pic>
              </a:graphicData>
            </a:graphic>
          </wp:inline>
        </w:drawing>
      </w:r>
    </w:p>
    <w:p w:rsidR="00392A61" w:rsidRDefault="00D22DFC" w:rsidP="00E85005">
      <w:pPr>
        <w:pStyle w:val="AERtablesource"/>
      </w:pPr>
      <w:r>
        <w:t xml:space="preserve"> </w:t>
      </w:r>
      <w:r w:rsidR="00E85005">
        <w:t>Source:</w:t>
      </w:r>
      <w:r w:rsidR="00E85005">
        <w:tab/>
        <w:t>AusNet Services, AMI Transition Charges Application, 31 May 2016, p. 11.</w:t>
      </w:r>
    </w:p>
    <w:p w:rsidR="008A0F00" w:rsidRDefault="00F421DD" w:rsidP="008A0F00">
      <w:r>
        <w:t xml:space="preserve">Our draft decision accepts that </w:t>
      </w:r>
      <w:r w:rsidR="00703550">
        <w:t>regulatory changes to the AMI roll–out and</w:t>
      </w:r>
      <w:r>
        <w:t xml:space="preserve"> customer concern</w:t>
      </w:r>
      <w:r w:rsidR="00703550">
        <w:t xml:space="preserve"> </w:t>
      </w:r>
      <w:r>
        <w:t>about remotely read interval meters are likely to have led to delays in AusNet Services' deployment program</w:t>
      </w:r>
      <w:r w:rsidR="00703550">
        <w:t>.</w:t>
      </w:r>
      <w:r w:rsidR="00E93D93">
        <w:t xml:space="preserve"> These delays were out of AusNet Services' control and </w:t>
      </w:r>
      <w:r w:rsidR="00DC6B85">
        <w:t xml:space="preserve">on this basis we </w:t>
      </w:r>
      <w:r>
        <w:t>accept</w:t>
      </w:r>
      <w:r w:rsidR="00E93D93">
        <w:t xml:space="preserve"> the</w:t>
      </w:r>
      <w:r>
        <w:t xml:space="preserve"> </w:t>
      </w:r>
      <w:r w:rsidR="008A0F00">
        <w:t>proposed a</w:t>
      </w:r>
      <w:r w:rsidR="00703550">
        <w:t xml:space="preserve">dditional metering </w:t>
      </w:r>
      <w:r w:rsidR="00E93D93">
        <w:t>units of</w:t>
      </w:r>
      <w:r w:rsidR="00703550">
        <w:t xml:space="preserve"> 145 </w:t>
      </w:r>
      <w:r w:rsidR="008A0F00">
        <w:t>856</w:t>
      </w:r>
      <w:r w:rsidR="0092383A">
        <w:t xml:space="preserve"> needed to be installed after 2013</w:t>
      </w:r>
      <w:r w:rsidR="008A0F00">
        <w:t>.</w:t>
      </w:r>
    </w:p>
    <w:p w:rsidR="008A0F00" w:rsidRDefault="008A0F00" w:rsidP="00A9579E">
      <w:pPr>
        <w:rPr>
          <w:rStyle w:val="AERtextitalic"/>
        </w:rPr>
      </w:pPr>
      <w:r>
        <w:rPr>
          <w:rStyle w:val="AERtextitalic"/>
        </w:rPr>
        <w:t>Technology mix</w:t>
      </w:r>
    </w:p>
    <w:p w:rsidR="008A0F00" w:rsidRDefault="00464264" w:rsidP="00A9579E">
      <w:r>
        <w:t xml:space="preserve">We do not accept the technology mix that makes up AusNet Services' 2014 excess capital </w:t>
      </w:r>
      <w:r w:rsidR="00C91575">
        <w:t xml:space="preserve">expenditure </w:t>
      </w:r>
      <w:r>
        <w:t xml:space="preserve">proposal (see </w:t>
      </w:r>
      <w:r>
        <w:fldChar w:fldCharType="begin"/>
      </w:r>
      <w:r>
        <w:instrText xml:space="preserve"> REF _Ref459825088 \h </w:instrText>
      </w:r>
      <w:r>
        <w:fldChar w:fldCharType="separate"/>
      </w:r>
      <w:r w:rsidR="003C3A1D">
        <w:t xml:space="preserve">Table </w:t>
      </w:r>
      <w:r w:rsidR="003C3A1D">
        <w:rPr>
          <w:noProof/>
        </w:rPr>
        <w:t>4</w:t>
      </w:r>
      <w:r w:rsidR="003C3A1D">
        <w:t>.</w:t>
      </w:r>
      <w:r w:rsidR="003C3A1D">
        <w:rPr>
          <w:noProof/>
        </w:rPr>
        <w:t>10</w:t>
      </w:r>
      <w:r>
        <w:fldChar w:fldCharType="end"/>
      </w:r>
      <w:r w:rsidR="00C91575">
        <w:t xml:space="preserve"> above</w:t>
      </w:r>
      <w:r>
        <w:t>).</w:t>
      </w:r>
      <w:r w:rsidR="00C91575">
        <w:t xml:space="preserve"> Our draft decision applies a mix of technologies which we consider to reflect a prudent </w:t>
      </w:r>
      <w:r w:rsidR="00DC6B85">
        <w:t xml:space="preserve">and efficient </w:t>
      </w:r>
      <w:r w:rsidR="00C91575">
        <w:t>entity</w:t>
      </w:r>
      <w:r w:rsidR="00DC6B85">
        <w:t>'s</w:t>
      </w:r>
      <w:r w:rsidR="00C91575">
        <w:t xml:space="preserve"> provi</w:t>
      </w:r>
      <w:r w:rsidR="00DC6B85">
        <w:t>sion of</w:t>
      </w:r>
      <w:r w:rsidR="00C91575">
        <w:t xml:space="preserve"> AMI services.</w:t>
      </w:r>
      <w:r>
        <w:t xml:space="preserve"> </w:t>
      </w:r>
    </w:p>
    <w:p w:rsidR="0088115C" w:rsidRDefault="00C66275" w:rsidP="00A9579E">
      <w:r>
        <w:t xml:space="preserve">AusNet Services </w:t>
      </w:r>
      <w:r w:rsidR="00570B48">
        <w:t>roll–</w:t>
      </w:r>
      <w:r w:rsidR="00464264">
        <w:t>out applied</w:t>
      </w:r>
      <w:r>
        <w:t xml:space="preserve"> a mix of communication technologies. </w:t>
      </w:r>
      <w:r w:rsidR="00464264">
        <w:t>Initially, it sought to use WiMAX for</w:t>
      </w:r>
      <w:r w:rsidR="00C91575">
        <w:t xml:space="preserve"> the majority of installation</w:t>
      </w:r>
      <w:r w:rsidR="008140CE">
        <w:t>s</w:t>
      </w:r>
      <w:r w:rsidR="00C91575">
        <w:t>. But i</w:t>
      </w:r>
      <w:r w:rsidR="00464264">
        <w:t xml:space="preserve">n more recent years, it has begun a transition to </w:t>
      </w:r>
      <w:r w:rsidR="00C91575">
        <w:t xml:space="preserve">a mesh radio solution. Additionally for </w:t>
      </w:r>
      <w:r w:rsidR="00C663A7">
        <w:t>a proportion of customer</w:t>
      </w:r>
      <w:r w:rsidR="00C91575">
        <w:t>s</w:t>
      </w:r>
      <w:r w:rsidR="00A310E2">
        <w:t>,</w:t>
      </w:r>
      <w:r w:rsidR="00C91575">
        <w:t xml:space="preserve"> AusNet Services</w:t>
      </w:r>
      <w:r w:rsidR="00A310E2">
        <w:t xml:space="preserve"> </w:t>
      </w:r>
      <w:r w:rsidR="0088115C">
        <w:t>has used</w:t>
      </w:r>
      <w:r w:rsidR="00A310E2">
        <w:t xml:space="preserve"> 3G communications technology. This </w:t>
      </w:r>
      <w:r w:rsidR="00D61291">
        <w:t>was</w:t>
      </w:r>
      <w:r w:rsidR="00C663A7">
        <w:t xml:space="preserve"> to provide</w:t>
      </w:r>
      <w:r>
        <w:t xml:space="preserve"> 'i</w:t>
      </w:r>
      <w:r w:rsidR="00C663A7">
        <w:t xml:space="preserve">nfill coverage where the [WiMAX or </w:t>
      </w:r>
      <w:r>
        <w:t>mesh</w:t>
      </w:r>
      <w:r w:rsidR="00C663A7">
        <w:t xml:space="preserve"> radio</w:t>
      </w:r>
      <w:r>
        <w:t>] communication technology coverage was not available or was insufficient'.</w:t>
      </w:r>
      <w:r>
        <w:rPr>
          <w:rStyle w:val="FootnoteReference"/>
        </w:rPr>
        <w:footnoteReference w:id="55"/>
      </w:r>
      <w:r>
        <w:t xml:space="preserve"> Compared to </w:t>
      </w:r>
      <w:r w:rsidR="00C663A7">
        <w:t>WiMAX and mesh radio</w:t>
      </w:r>
      <w:r>
        <w:t xml:space="preserve">, 3G is </w:t>
      </w:r>
      <w:r w:rsidR="00A310E2">
        <w:t>a more</w:t>
      </w:r>
      <w:r>
        <w:t xml:space="preserve"> expensive</w:t>
      </w:r>
      <w:r w:rsidR="00A310E2">
        <w:t xml:space="preserve"> form of</w:t>
      </w:r>
      <w:r w:rsidR="00C663A7">
        <w:t xml:space="preserve"> communications</w:t>
      </w:r>
      <w:r>
        <w:t xml:space="preserve"> technology.</w:t>
      </w:r>
    </w:p>
    <w:p w:rsidR="00C663A7" w:rsidRDefault="0088115C" w:rsidP="00A9579E">
      <w:r>
        <w:t>In</w:t>
      </w:r>
      <w:r w:rsidR="00C66275">
        <w:t xml:space="preserve"> </w:t>
      </w:r>
      <w:r w:rsidR="00C663A7">
        <w:t>the</w:t>
      </w:r>
      <w:r w:rsidR="00757337">
        <w:t xml:space="preserve"> 2012</w:t>
      </w:r>
      <w:r w:rsidR="00C66275">
        <w:t xml:space="preserve">–15 Approved Budget, </w:t>
      </w:r>
      <w:r w:rsidR="0093285E">
        <w:t>we forecast</w:t>
      </w:r>
      <w:r w:rsidR="00C32379">
        <w:t>ed</w:t>
      </w:r>
      <w:r w:rsidR="0093285E">
        <w:t xml:space="preserve"> </w:t>
      </w:r>
      <w:r w:rsidR="00D61291">
        <w:t>a</w:t>
      </w:r>
      <w:r>
        <w:t xml:space="preserve"> 3G</w:t>
      </w:r>
      <w:r w:rsidR="00D61291">
        <w:t xml:space="preserve"> infill of 3 percent</w:t>
      </w:r>
      <w:r w:rsidR="0093285E">
        <w:t xml:space="preserve">. </w:t>
      </w:r>
      <w:r w:rsidR="00D61291">
        <w:t xml:space="preserve">AusNet Services' transition charges application stated that this </w:t>
      </w:r>
      <w:r>
        <w:t>was</w:t>
      </w:r>
      <w:r w:rsidR="00D61291">
        <w:t xml:space="preserve"> not a sufficient </w:t>
      </w:r>
      <w:r w:rsidR="002A646E">
        <w:t xml:space="preserve">allowance. </w:t>
      </w:r>
      <w:r w:rsidR="00CF54E5">
        <w:t>It</w:t>
      </w:r>
      <w:r w:rsidR="00B25127">
        <w:t>s</w:t>
      </w:r>
      <w:r w:rsidR="002A646E">
        <w:t xml:space="preserve"> principal argument was that in calculating an infill level of 3 percent we used </w:t>
      </w:r>
      <w:r w:rsidR="00D61291">
        <w:t>Powercor</w:t>
      </w:r>
      <w:r>
        <w:t xml:space="preserve">'s </w:t>
      </w:r>
      <w:r w:rsidR="002A646E">
        <w:t>3G coverage</w:t>
      </w:r>
      <w:r w:rsidR="00D61291">
        <w:t xml:space="preserve"> as </w:t>
      </w:r>
      <w:r w:rsidR="00757337">
        <w:t>the efficient</w:t>
      </w:r>
      <w:r w:rsidR="00D61291">
        <w:t xml:space="preserve"> benchmark.</w:t>
      </w:r>
      <w:r w:rsidR="00757337">
        <w:t xml:space="preserve"> </w:t>
      </w:r>
      <w:r w:rsidR="002A646E">
        <w:t xml:space="preserve"> For AusNet Services, this was not appropriate</w:t>
      </w:r>
      <w:r w:rsidR="00CF54E5">
        <w:t xml:space="preserve"> given findings from </w:t>
      </w:r>
      <w:r w:rsidR="00C91575">
        <w:t>a</w:t>
      </w:r>
      <w:r w:rsidR="00CF54E5">
        <w:t xml:space="preserve"> geospatial consultant</w:t>
      </w:r>
      <w:r w:rsidR="00B25127">
        <w:t>, We–do–IT,</w:t>
      </w:r>
      <w:r w:rsidR="00CF54E5">
        <w:t xml:space="preserve"> that AusNet Services'</w:t>
      </w:r>
      <w:r w:rsidR="00633BB6">
        <w:t xml:space="preserve"> network is </w:t>
      </w:r>
      <w:r w:rsidR="0092383A">
        <w:t xml:space="preserve">among </w:t>
      </w:r>
      <w:r w:rsidR="00633BB6">
        <w:t xml:space="preserve">the most difficult terrain of all the Victorian </w:t>
      </w:r>
      <w:r w:rsidR="00CF54E5">
        <w:t>distributors</w:t>
      </w:r>
      <w:r w:rsidR="000D5226">
        <w:t>.</w:t>
      </w:r>
      <w:r w:rsidR="00C663A7">
        <w:rPr>
          <w:rStyle w:val="FootnoteReference"/>
        </w:rPr>
        <w:footnoteReference w:id="56"/>
      </w:r>
      <w:r w:rsidR="00A345B5">
        <w:t xml:space="preserve"> </w:t>
      </w:r>
      <w:r w:rsidR="002A646E">
        <w:t>Implicit i</w:t>
      </w:r>
      <w:r w:rsidR="00CF54E5">
        <w:t xml:space="preserve">n this </w:t>
      </w:r>
      <w:r w:rsidR="00B25127">
        <w:t>finding</w:t>
      </w:r>
      <w:r w:rsidR="00CF54E5">
        <w:t xml:space="preserve"> </w:t>
      </w:r>
      <w:r w:rsidR="002A646E">
        <w:t>is the contention</w:t>
      </w:r>
      <w:r w:rsidR="00790D17">
        <w:t xml:space="preserve"> that</w:t>
      </w:r>
      <w:r w:rsidR="002A646E">
        <w:t xml:space="preserve"> </w:t>
      </w:r>
      <w:r w:rsidR="00B25127">
        <w:t>a</w:t>
      </w:r>
      <w:r w:rsidR="002A646E">
        <w:t xml:space="preserve"> greater 3G</w:t>
      </w:r>
      <w:r w:rsidR="00790D17">
        <w:t xml:space="preserve"> infill</w:t>
      </w:r>
      <w:r w:rsidR="002A646E">
        <w:t xml:space="preserve"> is needed</w:t>
      </w:r>
      <w:r w:rsidR="00790D17">
        <w:t xml:space="preserve"> for more difficult terrains</w:t>
      </w:r>
      <w:r w:rsidR="002A646E">
        <w:t>.</w:t>
      </w:r>
    </w:p>
    <w:p w:rsidR="000221E5" w:rsidRDefault="00D50AFD" w:rsidP="00F87208">
      <w:r>
        <w:t xml:space="preserve">Energeia provided us with advice on AusNet Services' </w:t>
      </w:r>
      <w:r w:rsidR="0088115C">
        <w:t xml:space="preserve">efficient </w:t>
      </w:r>
      <w:r w:rsidR="00C10341">
        <w:t>level of 3G infill</w:t>
      </w:r>
      <w:r w:rsidR="00F87208">
        <w:t xml:space="preserve">. </w:t>
      </w:r>
      <w:r w:rsidR="00C10341">
        <w:t>It observed that AusNet Services</w:t>
      </w:r>
      <w:r w:rsidR="00505CFB">
        <w:t>'</w:t>
      </w:r>
      <w:r w:rsidR="00C10341">
        <w:t xml:space="preserve"> proposal represented the use of 3G communications technology at 17.3 percent of total metering installations.</w:t>
      </w:r>
      <w:r w:rsidR="00505CFB">
        <w:rPr>
          <w:rStyle w:val="FootnoteReference"/>
        </w:rPr>
        <w:footnoteReference w:id="57"/>
      </w:r>
      <w:r w:rsidR="00C10341">
        <w:t xml:space="preserve"> </w:t>
      </w:r>
      <w:r w:rsidR="006A1B81">
        <w:t xml:space="preserve">Energeia stated that this level of infill was not supported by the technical design of AusNet Services' communications network. In particular, the proposed infill of 17.3 percent was based on using a 'micro access point' device that was not available </w:t>
      </w:r>
      <w:r w:rsidR="00D30E13">
        <w:t>when AusNet Services was designing its communications network</w:t>
      </w:r>
      <w:r w:rsidR="00B21D21">
        <w:t>.</w:t>
      </w:r>
      <w:r w:rsidR="004D141C">
        <w:rPr>
          <w:rStyle w:val="FootnoteReference"/>
        </w:rPr>
        <w:footnoteReference w:id="58"/>
      </w:r>
      <w:r w:rsidR="00B21D21">
        <w:t xml:space="preserve"> Energeia concluded that in the absence of technical design information supporting AusNet Services' proposed infill </w:t>
      </w:r>
      <w:r w:rsidR="00D30E13">
        <w:t>level,</w:t>
      </w:r>
      <w:r w:rsidR="00B21D21">
        <w:t xml:space="preserve"> the 2012–15 Approved Budget</w:t>
      </w:r>
      <w:r w:rsidR="00D30E13">
        <w:t xml:space="preserve"> of 3 percent </w:t>
      </w:r>
      <w:r w:rsidR="00B21D21">
        <w:t>should be maintained.</w:t>
      </w:r>
      <w:r w:rsidR="00D30E13">
        <w:rPr>
          <w:rStyle w:val="FootnoteReference"/>
        </w:rPr>
        <w:footnoteReference w:id="59"/>
      </w:r>
    </w:p>
    <w:p w:rsidR="00065F2F" w:rsidRDefault="00D30E13" w:rsidP="00320379">
      <w:r>
        <w:t>Based on Energeia</w:t>
      </w:r>
      <w:r w:rsidR="004B32E0">
        <w:t>'s</w:t>
      </w:r>
      <w:r>
        <w:t xml:space="preserve"> advice, we do not accept AusNet Services' </w:t>
      </w:r>
      <w:r w:rsidR="004B32E0">
        <w:t xml:space="preserve">proposals. We are not satisfied that AusNet Services has provided sufficient information that supports </w:t>
      </w:r>
      <w:r w:rsidR="00DC6B85">
        <w:t>an alternative</w:t>
      </w:r>
      <w:r w:rsidR="004B32E0">
        <w:t xml:space="preserve"> benchmark comparator for determining its efficient level of 3G communications infill. </w:t>
      </w:r>
      <w:r>
        <w:t xml:space="preserve"> </w:t>
      </w:r>
      <w:r w:rsidR="004D141C">
        <w:t>We have accordingly maintained the 3 percent infill in making this draft decision. This led us to substituting AusNet Services' proposed 122 579</w:t>
      </w:r>
      <w:r w:rsidR="005D6019">
        <w:t xml:space="preserve"> 3G communication modules</w:t>
      </w:r>
      <w:r w:rsidR="004D141C">
        <w:t xml:space="preserve"> with 4 376 (see </w:t>
      </w:r>
      <w:r w:rsidR="004D141C">
        <w:fldChar w:fldCharType="begin"/>
      </w:r>
      <w:r w:rsidR="004D141C">
        <w:instrText xml:space="preserve"> REF _Ref459825088 \h </w:instrText>
      </w:r>
      <w:r w:rsidR="004D141C">
        <w:fldChar w:fldCharType="separate"/>
      </w:r>
      <w:r w:rsidR="003C3A1D">
        <w:t xml:space="preserve">Table </w:t>
      </w:r>
      <w:r w:rsidR="003C3A1D">
        <w:rPr>
          <w:noProof/>
        </w:rPr>
        <w:t>4</w:t>
      </w:r>
      <w:r w:rsidR="003C3A1D">
        <w:t>.</w:t>
      </w:r>
      <w:r w:rsidR="003C3A1D">
        <w:rPr>
          <w:noProof/>
        </w:rPr>
        <w:t>10</w:t>
      </w:r>
      <w:r w:rsidR="004D141C">
        <w:fldChar w:fldCharType="end"/>
      </w:r>
      <w:r w:rsidR="004D141C">
        <w:t xml:space="preserve"> above). </w:t>
      </w:r>
    </w:p>
    <w:p w:rsidR="006C4CDF" w:rsidRDefault="004D141C" w:rsidP="00320379">
      <w:r>
        <w:t>For the remaining</w:t>
      </w:r>
      <w:r w:rsidR="00065F2F">
        <w:t xml:space="preserve"> 141 480 additional meter unit volumes accepted in this draft decision, we have determined a capital expenditure excess based on a mesh radio equivalent unit cost. Consistent with past Tribunal decisions and AER determinations,</w:t>
      </w:r>
      <w:r w:rsidR="00604765">
        <w:rPr>
          <w:rStyle w:val="FootnoteReference"/>
        </w:rPr>
        <w:footnoteReference w:id="60"/>
      </w:r>
      <w:r w:rsidR="00065F2F">
        <w:t xml:space="preserve"> we have not accepted any costs associated with WiMAX communication modules (see </w:t>
      </w:r>
      <w:r w:rsidR="00065F2F">
        <w:fldChar w:fldCharType="begin"/>
      </w:r>
      <w:r w:rsidR="00065F2F">
        <w:instrText xml:space="preserve"> REF _Ref459825088 \h </w:instrText>
      </w:r>
      <w:r w:rsidR="00065F2F">
        <w:fldChar w:fldCharType="separate"/>
      </w:r>
      <w:r w:rsidR="003C3A1D">
        <w:t xml:space="preserve">Table </w:t>
      </w:r>
      <w:r w:rsidR="003C3A1D">
        <w:rPr>
          <w:noProof/>
        </w:rPr>
        <w:t>4</w:t>
      </w:r>
      <w:r w:rsidR="003C3A1D">
        <w:t>.</w:t>
      </w:r>
      <w:r w:rsidR="003C3A1D">
        <w:rPr>
          <w:noProof/>
        </w:rPr>
        <w:t>10</w:t>
      </w:r>
      <w:r w:rsidR="00065F2F">
        <w:fldChar w:fldCharType="end"/>
      </w:r>
      <w:r w:rsidR="00065F2F">
        <w:t xml:space="preserve"> above). This aspect of our draft decision, al</w:t>
      </w:r>
      <w:r w:rsidR="005D6019">
        <w:t xml:space="preserve">ong with the application of a </w:t>
      </w:r>
      <w:r w:rsidR="00065F2F">
        <w:t>3G infill</w:t>
      </w:r>
      <w:r w:rsidR="005D6019">
        <w:t xml:space="preserve"> of 3 percent</w:t>
      </w:r>
      <w:r w:rsidR="00065F2F">
        <w:t xml:space="preserve">, leads to us substituting AusNet Services' </w:t>
      </w:r>
      <w:r>
        <w:t xml:space="preserve">proposed 2014 additional capex of $24.2 million </w:t>
      </w:r>
      <w:r w:rsidR="005D6019">
        <w:t>with $12.5 million ($2018</w:t>
      </w:r>
      <w:r>
        <w:t xml:space="preserve">). </w:t>
      </w:r>
    </w:p>
    <w:p w:rsidR="00F87208" w:rsidRPr="00F87208" w:rsidRDefault="00F87208" w:rsidP="00320379">
      <w:pPr>
        <w:rPr>
          <w:rStyle w:val="Strong"/>
        </w:rPr>
      </w:pPr>
      <w:r w:rsidRPr="00F87208">
        <w:rPr>
          <w:rStyle w:val="Strong"/>
        </w:rPr>
        <w:t>2015 meter supply</w:t>
      </w:r>
    </w:p>
    <w:p w:rsidR="00ED10D1" w:rsidRDefault="00ED10D1" w:rsidP="00ED10D1">
      <w:r>
        <w:t>We accept $1.4 million ($2018) in excess expenditure for 2015 meter supply.</w:t>
      </w:r>
    </w:p>
    <w:p w:rsidR="00ED10D1" w:rsidRDefault="00ED10D1" w:rsidP="00ED10D1">
      <w:r>
        <w:fldChar w:fldCharType="begin"/>
      </w:r>
      <w:r>
        <w:instrText xml:space="preserve"> REF _Ref459834773 \h </w:instrText>
      </w:r>
      <w:r>
        <w:fldChar w:fldCharType="separate"/>
      </w:r>
      <w:r w:rsidR="003C3A1D">
        <w:t xml:space="preserve">Table </w:t>
      </w:r>
      <w:r w:rsidR="003C3A1D">
        <w:rPr>
          <w:noProof/>
        </w:rPr>
        <w:t>4</w:t>
      </w:r>
      <w:r w:rsidR="003C3A1D">
        <w:t>.</w:t>
      </w:r>
      <w:r w:rsidR="003C3A1D">
        <w:rPr>
          <w:noProof/>
        </w:rPr>
        <w:t>11</w:t>
      </w:r>
      <w:r>
        <w:fldChar w:fldCharType="end"/>
      </w:r>
      <w:r>
        <w:t xml:space="preserve"> sets out the components of our draft decision. It shows that we accept the total volume of AusNet Services' proposed additional metering units, which amounts to 12 570. We have accepted these volumes because we are satisfied that regulatory changes and customers concerns caused delays in AusNet Services' AMI meter deployment. We also accept the technology mix which AusNet Services proposed given that it consisted of complete metering units</w:t>
      </w:r>
      <w:r w:rsidR="00DC6B85">
        <w:t xml:space="preserve"> using mesh radio modules</w:t>
      </w:r>
      <w:r>
        <w:t xml:space="preserve">. </w:t>
      </w:r>
    </w:p>
    <w:p w:rsidR="00ED10D1" w:rsidRDefault="00ED10D1" w:rsidP="00ED10D1">
      <w:pPr>
        <w:pStyle w:val="Caption"/>
      </w:pPr>
      <w:bookmarkStart w:id="66" w:name="_Ref459834773"/>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11</w:t>
        </w:r>
      </w:fldSimple>
      <w:bookmarkEnd w:id="66"/>
      <w:r>
        <w:tab/>
        <w:t>Draft decision on</w:t>
      </w:r>
      <w:r w:rsidR="00570B48">
        <w:t xml:space="preserve"> 2015</w:t>
      </w:r>
      <w:r>
        <w:t xml:space="preserve"> meter supply capex volumes</w:t>
      </w:r>
    </w:p>
    <w:tbl>
      <w:tblPr>
        <w:tblStyle w:val="AERtable-numbers"/>
        <w:tblW w:w="0" w:type="auto"/>
        <w:tblLook w:val="04A0" w:firstRow="1" w:lastRow="0" w:firstColumn="1" w:lastColumn="0" w:noHBand="0" w:noVBand="1"/>
      </w:tblPr>
      <w:tblGrid>
        <w:gridCol w:w="2118"/>
        <w:gridCol w:w="2335"/>
        <w:gridCol w:w="2120"/>
        <w:gridCol w:w="2120"/>
      </w:tblGrid>
      <w:tr w:rsidR="00ED10D1" w:rsidTr="00ED1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rsidR="00ED10D1" w:rsidRDefault="00ED10D1" w:rsidP="00ED10D1"/>
        </w:tc>
        <w:tc>
          <w:tcPr>
            <w:tcW w:w="2335" w:type="dxa"/>
          </w:tcPr>
          <w:p w:rsidR="00ED10D1" w:rsidRPr="00ED10D1" w:rsidRDefault="00ED10D1" w:rsidP="00ED10D1">
            <w:pPr>
              <w:cnfStyle w:val="100000000000" w:firstRow="1" w:lastRow="0" w:firstColumn="0" w:lastColumn="0" w:oddVBand="0" w:evenVBand="0" w:oddHBand="0" w:evenHBand="0" w:firstRowFirstColumn="0" w:firstRowLastColumn="0" w:lastRowFirstColumn="0" w:lastRowLastColumn="0"/>
            </w:pPr>
            <w:r>
              <w:t xml:space="preserve">Approved </w:t>
            </w:r>
            <w:r w:rsidRPr="00ED10D1">
              <w:t xml:space="preserve">volumes </w:t>
            </w:r>
          </w:p>
          <w:p w:rsidR="00ED10D1" w:rsidRPr="00ED10D1" w:rsidRDefault="00ED10D1" w:rsidP="00ED10D1">
            <w:pPr>
              <w:cnfStyle w:val="100000000000" w:firstRow="1" w:lastRow="0" w:firstColumn="0" w:lastColumn="0" w:oddVBand="0" w:evenVBand="0" w:oddHBand="0" w:evenHBand="0" w:firstRowFirstColumn="0" w:firstRowLastColumn="0" w:lastRowFirstColumn="0" w:lastRowLastColumn="0"/>
            </w:pPr>
            <w:r>
              <w:t>(2012–15</w:t>
            </w:r>
            <w:r w:rsidRPr="00ED10D1">
              <w:t xml:space="preserve"> Budget)</w:t>
            </w:r>
          </w:p>
        </w:tc>
        <w:tc>
          <w:tcPr>
            <w:tcW w:w="2120" w:type="dxa"/>
          </w:tcPr>
          <w:p w:rsidR="00ED10D1" w:rsidRPr="00ED10D1" w:rsidRDefault="00ED10D1" w:rsidP="00ED10D1">
            <w:pPr>
              <w:cnfStyle w:val="100000000000" w:firstRow="1" w:lastRow="0" w:firstColumn="0" w:lastColumn="0" w:oddVBand="0" w:evenVBand="0" w:oddHBand="0" w:evenHBand="0" w:firstRowFirstColumn="0" w:firstRowLastColumn="0" w:lastRowFirstColumn="0" w:lastRowLastColumn="0"/>
            </w:pPr>
            <w:r>
              <w:t>Proposed additional volumes</w:t>
            </w:r>
          </w:p>
        </w:tc>
        <w:tc>
          <w:tcPr>
            <w:tcW w:w="2120" w:type="dxa"/>
          </w:tcPr>
          <w:p w:rsidR="00ED10D1" w:rsidRPr="00ED10D1" w:rsidRDefault="00ED10D1" w:rsidP="00ED10D1">
            <w:pPr>
              <w:cnfStyle w:val="100000000000" w:firstRow="1" w:lastRow="0" w:firstColumn="0" w:lastColumn="0" w:oddVBand="0" w:evenVBand="0" w:oddHBand="0" w:evenHBand="0" w:firstRowFirstColumn="0" w:firstRowLastColumn="0" w:lastRowFirstColumn="0" w:lastRowLastColumn="0"/>
            </w:pPr>
            <w:r>
              <w:t>Draft decision</w:t>
            </w:r>
          </w:p>
        </w:tc>
      </w:tr>
      <w:tr w:rsidR="00ED10D1" w:rsidTr="00ED10D1">
        <w:tc>
          <w:tcPr>
            <w:cnfStyle w:val="001000000000" w:firstRow="0" w:lastRow="0" w:firstColumn="1" w:lastColumn="0" w:oddVBand="0" w:evenVBand="0" w:oddHBand="0" w:evenHBand="0" w:firstRowFirstColumn="0" w:firstRowLastColumn="0" w:lastRowFirstColumn="0" w:lastRowLastColumn="0"/>
            <w:tcW w:w="2118" w:type="dxa"/>
          </w:tcPr>
          <w:p w:rsidR="00ED10D1" w:rsidRPr="00ED10D1" w:rsidRDefault="00ED10D1" w:rsidP="00ED10D1">
            <w:r>
              <w:t>Meters</w:t>
            </w:r>
          </w:p>
        </w:tc>
        <w:tc>
          <w:tcPr>
            <w:tcW w:w="2335"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9 852</w:t>
            </w:r>
          </w:p>
        </w:tc>
        <w:tc>
          <w:tcPr>
            <w:tcW w:w="2120"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12 570</w:t>
            </w:r>
          </w:p>
        </w:tc>
        <w:tc>
          <w:tcPr>
            <w:tcW w:w="2120"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12 570</w:t>
            </w:r>
          </w:p>
        </w:tc>
      </w:tr>
      <w:tr w:rsidR="00ED10D1" w:rsidTr="00ED1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rsidR="00ED10D1" w:rsidRPr="00ED10D1" w:rsidRDefault="00ED10D1" w:rsidP="00ED10D1">
            <w:r>
              <w:t xml:space="preserve">3G </w:t>
            </w:r>
            <w:r w:rsidRPr="00ED10D1">
              <w:t>modules</w:t>
            </w:r>
          </w:p>
        </w:tc>
        <w:tc>
          <w:tcPr>
            <w:tcW w:w="2335" w:type="dxa"/>
          </w:tcPr>
          <w:p w:rsidR="00ED10D1" w:rsidRPr="00ED10D1" w:rsidRDefault="00ED10D1" w:rsidP="00ED10D1">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ED10D1" w:rsidRPr="00ED10D1" w:rsidRDefault="00ED10D1" w:rsidP="00ED10D1">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ED10D1" w:rsidRPr="00ED10D1" w:rsidRDefault="00ED10D1" w:rsidP="00ED10D1">
            <w:pPr>
              <w:cnfStyle w:val="000000010000" w:firstRow="0" w:lastRow="0" w:firstColumn="0" w:lastColumn="0" w:oddVBand="0" w:evenVBand="0" w:oddHBand="0" w:evenHBand="1" w:firstRowFirstColumn="0" w:firstRowLastColumn="0" w:lastRowFirstColumn="0" w:lastRowLastColumn="0"/>
            </w:pPr>
            <w:r>
              <w:t>0</w:t>
            </w:r>
          </w:p>
        </w:tc>
      </w:tr>
      <w:tr w:rsidR="00ED10D1" w:rsidTr="00ED10D1">
        <w:tc>
          <w:tcPr>
            <w:cnfStyle w:val="001000000000" w:firstRow="0" w:lastRow="0" w:firstColumn="1" w:lastColumn="0" w:oddVBand="0" w:evenVBand="0" w:oddHBand="0" w:evenHBand="0" w:firstRowFirstColumn="0" w:firstRowLastColumn="0" w:lastRowFirstColumn="0" w:lastRowLastColumn="0"/>
            <w:tcW w:w="2118" w:type="dxa"/>
          </w:tcPr>
          <w:p w:rsidR="00ED10D1" w:rsidRPr="00ED10D1" w:rsidRDefault="00ED10D1" w:rsidP="00ED10D1">
            <w:r>
              <w:t>WiMAX modules</w:t>
            </w:r>
          </w:p>
        </w:tc>
        <w:tc>
          <w:tcPr>
            <w:tcW w:w="2335"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0</w:t>
            </w:r>
          </w:p>
        </w:tc>
      </w:tr>
      <w:tr w:rsidR="00ED10D1" w:rsidTr="00ED1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rsidR="00ED10D1" w:rsidRPr="00ED10D1" w:rsidRDefault="00ED10D1" w:rsidP="00ED10D1">
            <w:r>
              <w:t>Mesh radio modules</w:t>
            </w:r>
          </w:p>
        </w:tc>
        <w:tc>
          <w:tcPr>
            <w:tcW w:w="2335" w:type="dxa"/>
          </w:tcPr>
          <w:p w:rsidR="00ED10D1" w:rsidRPr="00ED10D1" w:rsidRDefault="00ED10D1" w:rsidP="00ED10D1">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ED10D1" w:rsidRPr="00ED10D1" w:rsidRDefault="00ED10D1" w:rsidP="00ED10D1">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ED10D1" w:rsidRPr="00ED10D1" w:rsidRDefault="00ED10D1" w:rsidP="00ED10D1">
            <w:pPr>
              <w:cnfStyle w:val="000000010000" w:firstRow="0" w:lastRow="0" w:firstColumn="0" w:lastColumn="0" w:oddVBand="0" w:evenVBand="0" w:oddHBand="0" w:evenHBand="1" w:firstRowFirstColumn="0" w:firstRowLastColumn="0" w:lastRowFirstColumn="0" w:lastRowLastColumn="0"/>
            </w:pPr>
            <w:r>
              <w:t>0</w:t>
            </w:r>
          </w:p>
        </w:tc>
      </w:tr>
      <w:tr w:rsidR="00ED10D1" w:rsidTr="00ED10D1">
        <w:tc>
          <w:tcPr>
            <w:cnfStyle w:val="001000000000" w:firstRow="0" w:lastRow="0" w:firstColumn="1" w:lastColumn="0" w:oddVBand="0" w:evenVBand="0" w:oddHBand="0" w:evenHBand="0" w:firstRowFirstColumn="0" w:firstRowLastColumn="0" w:lastRowFirstColumn="0" w:lastRowLastColumn="0"/>
            <w:tcW w:w="2118" w:type="dxa"/>
          </w:tcPr>
          <w:p w:rsidR="00ED10D1" w:rsidRPr="00ED10D1" w:rsidRDefault="00ED10D1" w:rsidP="00ED10D1">
            <w:r>
              <w:t>Total metering units</w:t>
            </w:r>
          </w:p>
        </w:tc>
        <w:tc>
          <w:tcPr>
            <w:tcW w:w="2335"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9 852</w:t>
            </w:r>
          </w:p>
        </w:tc>
        <w:tc>
          <w:tcPr>
            <w:tcW w:w="2120"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12 570</w:t>
            </w:r>
          </w:p>
        </w:tc>
        <w:tc>
          <w:tcPr>
            <w:tcW w:w="2120" w:type="dxa"/>
          </w:tcPr>
          <w:p w:rsidR="00ED10D1" w:rsidRPr="00ED10D1" w:rsidRDefault="00ED10D1" w:rsidP="00ED10D1">
            <w:pPr>
              <w:cnfStyle w:val="000000000000" w:firstRow="0" w:lastRow="0" w:firstColumn="0" w:lastColumn="0" w:oddVBand="0" w:evenVBand="0" w:oddHBand="0" w:evenHBand="0" w:firstRowFirstColumn="0" w:firstRowLastColumn="0" w:lastRowFirstColumn="0" w:lastRowLastColumn="0"/>
            </w:pPr>
            <w:r>
              <w:t>12 570</w:t>
            </w:r>
          </w:p>
        </w:tc>
      </w:tr>
    </w:tbl>
    <w:p w:rsidR="00ED10D1" w:rsidRPr="00320379" w:rsidRDefault="00ED10D1" w:rsidP="00ED10D1">
      <w:pPr>
        <w:pStyle w:val="AERtablesource"/>
      </w:pPr>
      <w:r>
        <w:t>Source:</w:t>
      </w:r>
      <w:r>
        <w:tab/>
        <w:t>AER analysis.</w:t>
      </w:r>
    </w:p>
    <w:p w:rsidR="00320379" w:rsidRDefault="00320379" w:rsidP="00320379">
      <w:pPr>
        <w:pStyle w:val="HeadingBoldItalic"/>
      </w:pPr>
      <w:r>
        <w:t>Meter installation</w:t>
      </w:r>
    </w:p>
    <w:p w:rsidR="008F0AAC" w:rsidRDefault="008F0AAC" w:rsidP="008F0AAC">
      <w:r>
        <w:t xml:space="preserve">We accept $7.4 million ($2018) in excess capital expenditure for 'meter installation'. This is equal to about 48 percent of AusNet Services' proposed $15.5 million ($2018) in excess capital expenditure for installing meters in 2014 and 2015. </w:t>
      </w:r>
      <w:r>
        <w:fldChar w:fldCharType="begin"/>
      </w:r>
      <w:r>
        <w:instrText xml:space="preserve"> REF _Ref459836840 \h </w:instrText>
      </w:r>
      <w:r>
        <w:fldChar w:fldCharType="separate"/>
      </w:r>
      <w:r w:rsidR="003C3A1D">
        <w:t xml:space="preserve">Table </w:t>
      </w:r>
      <w:r w:rsidR="003C3A1D">
        <w:rPr>
          <w:noProof/>
        </w:rPr>
        <w:t>4</w:t>
      </w:r>
      <w:r w:rsidR="003C3A1D">
        <w:t>.</w:t>
      </w:r>
      <w:r w:rsidR="003C3A1D">
        <w:rPr>
          <w:noProof/>
        </w:rPr>
        <w:t>12</w:t>
      </w:r>
      <w:r>
        <w:fldChar w:fldCharType="end"/>
      </w:r>
      <w:r>
        <w:t xml:space="preserve"> sets out our draft decision.</w:t>
      </w:r>
    </w:p>
    <w:p w:rsidR="008F0AAC" w:rsidRDefault="008F0AAC" w:rsidP="008F0AAC">
      <w:pPr>
        <w:pStyle w:val="Caption"/>
      </w:pPr>
      <w:bookmarkStart w:id="67" w:name="_Ref459836840"/>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12</w:t>
        </w:r>
      </w:fldSimple>
      <w:bookmarkEnd w:id="67"/>
      <w:r w:rsidR="00570B48">
        <w:tab/>
        <w:t>Draft decision on meter installation</w:t>
      </w:r>
      <w:r>
        <w:t xml:space="preserve"> capex ($m 2018)</w:t>
      </w:r>
    </w:p>
    <w:tbl>
      <w:tblPr>
        <w:tblStyle w:val="AERtable-numbers"/>
        <w:tblW w:w="0" w:type="auto"/>
        <w:tblLook w:val="04A0" w:firstRow="1" w:lastRow="0" w:firstColumn="1" w:lastColumn="0" w:noHBand="0" w:noVBand="1"/>
      </w:tblPr>
      <w:tblGrid>
        <w:gridCol w:w="2358"/>
        <w:gridCol w:w="1988"/>
        <w:gridCol w:w="2173"/>
        <w:gridCol w:w="2174"/>
      </w:tblGrid>
      <w:tr w:rsidR="008F0AAC" w:rsidTr="00C60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8F0AAC" w:rsidRDefault="008F0AAC" w:rsidP="008F0AAC"/>
        </w:tc>
        <w:tc>
          <w:tcPr>
            <w:tcW w:w="1988" w:type="dxa"/>
          </w:tcPr>
          <w:p w:rsidR="008F0AAC" w:rsidRDefault="008F0AAC" w:rsidP="008F0AAC">
            <w:pPr>
              <w:cnfStyle w:val="100000000000" w:firstRow="1" w:lastRow="0" w:firstColumn="0" w:lastColumn="0" w:oddVBand="0" w:evenVBand="0" w:oddHBand="0" w:evenHBand="0" w:firstRowFirstColumn="0" w:firstRowLastColumn="0" w:lastRowFirstColumn="0" w:lastRowLastColumn="0"/>
            </w:pPr>
            <w:r>
              <w:t>Approved budget</w:t>
            </w:r>
          </w:p>
          <w:p w:rsidR="008F0AAC" w:rsidRDefault="008F0AAC" w:rsidP="008F0AAC">
            <w:pPr>
              <w:cnfStyle w:val="100000000000" w:firstRow="1" w:lastRow="0" w:firstColumn="0" w:lastColumn="0" w:oddVBand="0" w:evenVBand="0" w:oddHBand="0" w:evenHBand="0" w:firstRowFirstColumn="0" w:firstRowLastColumn="0" w:lastRowFirstColumn="0" w:lastRowLastColumn="0"/>
            </w:pPr>
            <w:r>
              <w:t>(2012–15 Budget)</w:t>
            </w:r>
          </w:p>
        </w:tc>
        <w:tc>
          <w:tcPr>
            <w:tcW w:w="2173" w:type="dxa"/>
          </w:tcPr>
          <w:p w:rsidR="008F0AAC" w:rsidRDefault="008F0AAC" w:rsidP="008F0AAC">
            <w:pPr>
              <w:cnfStyle w:val="100000000000" w:firstRow="1" w:lastRow="0" w:firstColumn="0" w:lastColumn="0" w:oddVBand="0" w:evenVBand="0" w:oddHBand="0" w:evenHBand="0" w:firstRowFirstColumn="0" w:firstRowLastColumn="0" w:lastRowFirstColumn="0" w:lastRowLastColumn="0"/>
            </w:pPr>
            <w:r>
              <w:t>Proposed excess</w:t>
            </w:r>
          </w:p>
        </w:tc>
        <w:tc>
          <w:tcPr>
            <w:tcW w:w="2174" w:type="dxa"/>
          </w:tcPr>
          <w:p w:rsidR="008F0AAC" w:rsidRDefault="008F0AAC" w:rsidP="008F0AAC">
            <w:pPr>
              <w:cnfStyle w:val="100000000000" w:firstRow="1" w:lastRow="0" w:firstColumn="0" w:lastColumn="0" w:oddVBand="0" w:evenVBand="0" w:oddHBand="0" w:evenHBand="0" w:firstRowFirstColumn="0" w:firstRowLastColumn="0" w:lastRowFirstColumn="0" w:lastRowLastColumn="0"/>
            </w:pPr>
            <w:r>
              <w:t>Draft decision</w:t>
            </w:r>
          </w:p>
        </w:tc>
      </w:tr>
      <w:tr w:rsidR="008F0AAC" w:rsidTr="00C609A5">
        <w:tc>
          <w:tcPr>
            <w:cnfStyle w:val="001000000000" w:firstRow="0" w:lastRow="0" w:firstColumn="1" w:lastColumn="0" w:oddVBand="0" w:evenVBand="0" w:oddHBand="0" w:evenHBand="0" w:firstRowFirstColumn="0" w:firstRowLastColumn="0" w:lastRowFirstColumn="0" w:lastRowLastColumn="0"/>
            <w:tcW w:w="2358" w:type="dxa"/>
          </w:tcPr>
          <w:p w:rsidR="008F0AAC" w:rsidRPr="008F0AAC" w:rsidRDefault="008F0AAC" w:rsidP="008F0AAC">
            <w:pPr>
              <w:pStyle w:val="ListContinue"/>
              <w:ind w:left="0"/>
            </w:pPr>
            <w:r>
              <w:t>2014</w:t>
            </w:r>
          </w:p>
        </w:tc>
        <w:tc>
          <w:tcPr>
            <w:tcW w:w="1988" w:type="dxa"/>
          </w:tcPr>
          <w:p w:rsidR="008F0AAC" w:rsidRPr="008F0AAC" w:rsidRDefault="008F0AAC" w:rsidP="008F0AAC">
            <w:pPr>
              <w:cnfStyle w:val="000000000000" w:firstRow="0" w:lastRow="0" w:firstColumn="0" w:lastColumn="0" w:oddVBand="0" w:evenVBand="0" w:oddHBand="0" w:evenHBand="0" w:firstRowFirstColumn="0" w:firstRowLastColumn="0" w:lastRowFirstColumn="0" w:lastRowLastColumn="0"/>
            </w:pPr>
            <w:r>
              <w:t>0.0</w:t>
            </w:r>
          </w:p>
        </w:tc>
        <w:tc>
          <w:tcPr>
            <w:tcW w:w="2173" w:type="dxa"/>
          </w:tcPr>
          <w:p w:rsidR="008F0AAC" w:rsidRPr="008F0AAC" w:rsidRDefault="008F0AAC" w:rsidP="008F0AAC">
            <w:pPr>
              <w:cnfStyle w:val="000000000000" w:firstRow="0" w:lastRow="0" w:firstColumn="0" w:lastColumn="0" w:oddVBand="0" w:evenVBand="0" w:oddHBand="0" w:evenHBand="0" w:firstRowFirstColumn="0" w:firstRowLastColumn="0" w:lastRowFirstColumn="0" w:lastRowLastColumn="0"/>
            </w:pPr>
            <w:r>
              <w:t>14.3</w:t>
            </w:r>
          </w:p>
        </w:tc>
        <w:tc>
          <w:tcPr>
            <w:tcW w:w="2174" w:type="dxa"/>
          </w:tcPr>
          <w:p w:rsidR="008F0AAC" w:rsidRPr="008F0AAC" w:rsidRDefault="008F0AAC" w:rsidP="008F0AAC">
            <w:pPr>
              <w:cnfStyle w:val="000000000000" w:firstRow="0" w:lastRow="0" w:firstColumn="0" w:lastColumn="0" w:oddVBand="0" w:evenVBand="0" w:oddHBand="0" w:evenHBand="0" w:firstRowFirstColumn="0" w:firstRowLastColumn="0" w:lastRowFirstColumn="0" w:lastRowLastColumn="0"/>
            </w:pPr>
            <w:r>
              <w:t>6.8</w:t>
            </w:r>
          </w:p>
        </w:tc>
      </w:tr>
      <w:tr w:rsidR="008F0AAC" w:rsidTr="00C60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8F0AAC" w:rsidRPr="008F0AAC" w:rsidRDefault="008F0AAC" w:rsidP="008F0AAC">
            <w:pPr>
              <w:pStyle w:val="ListContinue"/>
              <w:ind w:left="0"/>
            </w:pPr>
            <w:r>
              <w:t>2015</w:t>
            </w:r>
          </w:p>
        </w:tc>
        <w:tc>
          <w:tcPr>
            <w:tcW w:w="1988" w:type="dxa"/>
          </w:tcPr>
          <w:p w:rsidR="008F0AAC" w:rsidRPr="008F0AAC" w:rsidRDefault="008F0AAC" w:rsidP="008F0AAC">
            <w:pPr>
              <w:cnfStyle w:val="000000010000" w:firstRow="0" w:lastRow="0" w:firstColumn="0" w:lastColumn="0" w:oddVBand="0" w:evenVBand="0" w:oddHBand="0" w:evenHBand="1" w:firstRowFirstColumn="0" w:firstRowLastColumn="0" w:lastRowFirstColumn="0" w:lastRowLastColumn="0"/>
            </w:pPr>
            <w:r>
              <w:t>0.0</w:t>
            </w:r>
          </w:p>
        </w:tc>
        <w:tc>
          <w:tcPr>
            <w:tcW w:w="2173" w:type="dxa"/>
          </w:tcPr>
          <w:p w:rsidR="008F0AAC" w:rsidRPr="008F0AAC" w:rsidRDefault="008F0AAC" w:rsidP="008F0AAC">
            <w:pPr>
              <w:cnfStyle w:val="000000010000" w:firstRow="0" w:lastRow="0" w:firstColumn="0" w:lastColumn="0" w:oddVBand="0" w:evenVBand="0" w:oddHBand="0" w:evenHBand="1" w:firstRowFirstColumn="0" w:firstRowLastColumn="0" w:lastRowFirstColumn="0" w:lastRowLastColumn="0"/>
            </w:pPr>
            <w:r>
              <w:t>1.3</w:t>
            </w:r>
          </w:p>
        </w:tc>
        <w:tc>
          <w:tcPr>
            <w:tcW w:w="2174" w:type="dxa"/>
          </w:tcPr>
          <w:p w:rsidR="008F0AAC" w:rsidRPr="008F0AAC" w:rsidRDefault="008F0AAC" w:rsidP="008F0AAC">
            <w:pPr>
              <w:cnfStyle w:val="000000010000" w:firstRow="0" w:lastRow="0" w:firstColumn="0" w:lastColumn="0" w:oddVBand="0" w:evenVBand="0" w:oddHBand="0" w:evenHBand="1" w:firstRowFirstColumn="0" w:firstRowLastColumn="0" w:lastRowFirstColumn="0" w:lastRowLastColumn="0"/>
            </w:pPr>
            <w:r>
              <w:t>0.6</w:t>
            </w:r>
          </w:p>
        </w:tc>
      </w:tr>
      <w:tr w:rsidR="008F0AAC" w:rsidTr="00C609A5">
        <w:tc>
          <w:tcPr>
            <w:cnfStyle w:val="001000000000" w:firstRow="0" w:lastRow="0" w:firstColumn="1" w:lastColumn="0" w:oddVBand="0" w:evenVBand="0" w:oddHBand="0" w:evenHBand="0" w:firstRowFirstColumn="0" w:firstRowLastColumn="0" w:lastRowFirstColumn="0" w:lastRowLastColumn="0"/>
            <w:tcW w:w="2358" w:type="dxa"/>
          </w:tcPr>
          <w:p w:rsidR="008F0AAC" w:rsidRPr="008F0AAC" w:rsidRDefault="008F0AAC" w:rsidP="008F0AAC">
            <w:pPr>
              <w:pStyle w:val="ListContinue"/>
              <w:ind w:left="0"/>
            </w:pPr>
            <w:r>
              <w:t>Total</w:t>
            </w:r>
            <w:r w:rsidRPr="008F0AAC">
              <w:t xml:space="preserve"> </w:t>
            </w:r>
          </w:p>
        </w:tc>
        <w:tc>
          <w:tcPr>
            <w:tcW w:w="1988" w:type="dxa"/>
          </w:tcPr>
          <w:p w:rsidR="008F0AAC" w:rsidRPr="008F0AAC" w:rsidRDefault="008F0AAC" w:rsidP="008F0AAC">
            <w:pPr>
              <w:cnfStyle w:val="000000000000" w:firstRow="0" w:lastRow="0" w:firstColumn="0" w:lastColumn="0" w:oddVBand="0" w:evenVBand="0" w:oddHBand="0" w:evenHBand="0" w:firstRowFirstColumn="0" w:firstRowLastColumn="0" w:lastRowFirstColumn="0" w:lastRowLastColumn="0"/>
            </w:pPr>
            <w:r>
              <w:t>0.0</w:t>
            </w:r>
          </w:p>
        </w:tc>
        <w:tc>
          <w:tcPr>
            <w:tcW w:w="2173" w:type="dxa"/>
          </w:tcPr>
          <w:p w:rsidR="008F0AAC" w:rsidRPr="008F0AAC" w:rsidRDefault="008F0AAC" w:rsidP="008F0AAC">
            <w:pPr>
              <w:cnfStyle w:val="000000000000" w:firstRow="0" w:lastRow="0" w:firstColumn="0" w:lastColumn="0" w:oddVBand="0" w:evenVBand="0" w:oddHBand="0" w:evenHBand="0" w:firstRowFirstColumn="0" w:firstRowLastColumn="0" w:lastRowFirstColumn="0" w:lastRowLastColumn="0"/>
            </w:pPr>
            <w:r>
              <w:t>15.5</w:t>
            </w:r>
          </w:p>
        </w:tc>
        <w:tc>
          <w:tcPr>
            <w:tcW w:w="2174" w:type="dxa"/>
          </w:tcPr>
          <w:p w:rsidR="008F0AAC" w:rsidRPr="008F0AAC" w:rsidRDefault="008F0AAC" w:rsidP="008F0AAC">
            <w:pPr>
              <w:cnfStyle w:val="000000000000" w:firstRow="0" w:lastRow="0" w:firstColumn="0" w:lastColumn="0" w:oddVBand="0" w:evenVBand="0" w:oddHBand="0" w:evenHBand="0" w:firstRowFirstColumn="0" w:firstRowLastColumn="0" w:lastRowFirstColumn="0" w:lastRowLastColumn="0"/>
            </w:pPr>
            <w:r>
              <w:t>7.4</w:t>
            </w:r>
          </w:p>
        </w:tc>
      </w:tr>
    </w:tbl>
    <w:p w:rsidR="008F0AAC" w:rsidRDefault="008F0AAC" w:rsidP="008F0AAC">
      <w:pPr>
        <w:pStyle w:val="AERtablesource"/>
      </w:pPr>
      <w:r>
        <w:t xml:space="preserve">Source: </w:t>
      </w:r>
      <w:r>
        <w:tab/>
        <w:t>AusNet Services, AMI Transition Charges Application, 31 May 2016, p</w:t>
      </w:r>
      <w:r w:rsidR="00570B48">
        <w:t>.</w:t>
      </w:r>
      <w:r>
        <w:t xml:space="preserve"> 23 and</w:t>
      </w:r>
      <w:r w:rsidR="00570B48">
        <w:t xml:space="preserve"> p.</w:t>
      </w:r>
      <w:r>
        <w:t xml:space="preserve"> 27.</w:t>
      </w:r>
    </w:p>
    <w:p w:rsidR="008F0AAC" w:rsidRPr="008F0AAC" w:rsidRDefault="008F0AAC" w:rsidP="00ED10D1">
      <w:pPr>
        <w:rPr>
          <w:rStyle w:val="Strong"/>
        </w:rPr>
      </w:pPr>
      <w:r w:rsidRPr="008F0AAC">
        <w:rPr>
          <w:rStyle w:val="Strong"/>
        </w:rPr>
        <w:t>2014 meter installation</w:t>
      </w:r>
    </w:p>
    <w:p w:rsidR="008A12D1" w:rsidRDefault="008A12D1" w:rsidP="008A12D1">
      <w:r>
        <w:t>We accept $6.8 million ($2018) in excess expenditure for 2014 meter installation.</w:t>
      </w:r>
    </w:p>
    <w:p w:rsidR="008A12D1" w:rsidRDefault="008A12D1" w:rsidP="008A12D1">
      <w:r>
        <w:fldChar w:fldCharType="begin"/>
      </w:r>
      <w:r>
        <w:instrText xml:space="preserve"> REF _Ref459837368 \h </w:instrText>
      </w:r>
      <w:r>
        <w:fldChar w:fldCharType="separate"/>
      </w:r>
      <w:r w:rsidR="003C3A1D">
        <w:t xml:space="preserve">Table </w:t>
      </w:r>
      <w:r w:rsidR="003C3A1D">
        <w:rPr>
          <w:noProof/>
        </w:rPr>
        <w:t>4</w:t>
      </w:r>
      <w:r w:rsidR="003C3A1D">
        <w:t>.</w:t>
      </w:r>
      <w:r w:rsidR="003C3A1D">
        <w:rPr>
          <w:noProof/>
        </w:rPr>
        <w:t>13</w:t>
      </w:r>
      <w:r>
        <w:fldChar w:fldCharType="end"/>
      </w:r>
      <w:r>
        <w:t xml:space="preserve"> sets out the components of ou</w:t>
      </w:r>
      <w:r w:rsidR="00FE6534">
        <w:t>r draft decision. It shows that we accept the volume of meter installations associated with 'faults' and 'roll–out – meter installations' but not 'standalone 3G modules'</w:t>
      </w:r>
      <w:r>
        <w:t xml:space="preserve">. </w:t>
      </w:r>
      <w:r w:rsidR="00FE6534">
        <w:t xml:space="preserve">This has led to us substituting </w:t>
      </w:r>
      <w:r w:rsidR="00480B14">
        <w:t xml:space="preserve">AusNet Services' </w:t>
      </w:r>
      <w:r w:rsidR="00FE6534">
        <w:t>proposed 2014 volume of metering installations of 110 944 with 41 082.</w:t>
      </w:r>
    </w:p>
    <w:p w:rsidR="008A12D1" w:rsidRDefault="008A12D1" w:rsidP="008A12D1">
      <w:pPr>
        <w:pStyle w:val="Caption"/>
      </w:pPr>
      <w:bookmarkStart w:id="68" w:name="_Ref459837368"/>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13</w:t>
        </w:r>
      </w:fldSimple>
      <w:bookmarkEnd w:id="68"/>
      <w:r>
        <w:tab/>
        <w:t>Draft decision on 2014 meter installation capex volumes</w:t>
      </w:r>
    </w:p>
    <w:tbl>
      <w:tblPr>
        <w:tblStyle w:val="AERtable-numbers"/>
        <w:tblW w:w="0" w:type="auto"/>
        <w:tblLook w:val="04A0" w:firstRow="1" w:lastRow="0" w:firstColumn="1" w:lastColumn="0" w:noHBand="0" w:noVBand="1"/>
      </w:tblPr>
      <w:tblGrid>
        <w:gridCol w:w="2538"/>
        <w:gridCol w:w="1915"/>
        <w:gridCol w:w="2120"/>
        <w:gridCol w:w="2120"/>
      </w:tblGrid>
      <w:tr w:rsidR="008A12D1" w:rsidTr="008A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8A12D1" w:rsidRDefault="008A12D1" w:rsidP="008A12D1"/>
        </w:tc>
        <w:tc>
          <w:tcPr>
            <w:tcW w:w="1915" w:type="dxa"/>
          </w:tcPr>
          <w:p w:rsidR="008A12D1" w:rsidRDefault="008A12D1" w:rsidP="008A12D1">
            <w:pPr>
              <w:cnfStyle w:val="100000000000" w:firstRow="1" w:lastRow="0" w:firstColumn="0" w:lastColumn="0" w:oddVBand="0" w:evenVBand="0" w:oddHBand="0" w:evenHBand="0" w:firstRowFirstColumn="0" w:firstRowLastColumn="0" w:lastRowFirstColumn="0" w:lastRowLastColumn="0"/>
            </w:pPr>
            <w:r>
              <w:t xml:space="preserve">Approved volumes </w:t>
            </w:r>
          </w:p>
          <w:p w:rsidR="008A12D1" w:rsidRDefault="008A12D1" w:rsidP="008A12D1">
            <w:pPr>
              <w:cnfStyle w:val="100000000000" w:firstRow="1" w:lastRow="0" w:firstColumn="0" w:lastColumn="0" w:oddVBand="0" w:evenVBand="0" w:oddHBand="0" w:evenHBand="0" w:firstRowFirstColumn="0" w:firstRowLastColumn="0" w:lastRowFirstColumn="0" w:lastRowLastColumn="0"/>
            </w:pPr>
            <w:r>
              <w:t>(2012–15 Budget)</w:t>
            </w:r>
          </w:p>
        </w:tc>
        <w:tc>
          <w:tcPr>
            <w:tcW w:w="2120" w:type="dxa"/>
          </w:tcPr>
          <w:p w:rsidR="008A12D1" w:rsidRDefault="008A12D1" w:rsidP="008A12D1">
            <w:pPr>
              <w:cnfStyle w:val="100000000000" w:firstRow="1" w:lastRow="0" w:firstColumn="0" w:lastColumn="0" w:oddVBand="0" w:evenVBand="0" w:oddHBand="0" w:evenHBand="0" w:firstRowFirstColumn="0" w:firstRowLastColumn="0" w:lastRowFirstColumn="0" w:lastRowLastColumn="0"/>
            </w:pPr>
            <w:r>
              <w:t>Proposed additional volumes</w:t>
            </w:r>
          </w:p>
        </w:tc>
        <w:tc>
          <w:tcPr>
            <w:tcW w:w="2120" w:type="dxa"/>
          </w:tcPr>
          <w:p w:rsidR="008A12D1" w:rsidRDefault="008A12D1" w:rsidP="008A12D1">
            <w:pPr>
              <w:cnfStyle w:val="100000000000" w:firstRow="1" w:lastRow="0" w:firstColumn="0" w:lastColumn="0" w:oddVBand="0" w:evenVBand="0" w:oddHBand="0" w:evenHBand="0" w:firstRowFirstColumn="0" w:firstRowLastColumn="0" w:lastRowFirstColumn="0" w:lastRowLastColumn="0"/>
            </w:pPr>
            <w:r>
              <w:t>Draft decision</w:t>
            </w:r>
          </w:p>
        </w:tc>
      </w:tr>
      <w:tr w:rsidR="008A12D1" w:rsidTr="008A12D1">
        <w:tc>
          <w:tcPr>
            <w:cnfStyle w:val="001000000000" w:firstRow="0" w:lastRow="0" w:firstColumn="1" w:lastColumn="0" w:oddVBand="0" w:evenVBand="0" w:oddHBand="0" w:evenHBand="0" w:firstRowFirstColumn="0" w:firstRowLastColumn="0" w:lastRowFirstColumn="0" w:lastRowLastColumn="0"/>
            <w:tcW w:w="2538" w:type="dxa"/>
          </w:tcPr>
          <w:p w:rsidR="008A12D1" w:rsidRDefault="008A12D1" w:rsidP="008A12D1">
            <w:r>
              <w:t>Faults</w:t>
            </w:r>
          </w:p>
        </w:tc>
        <w:tc>
          <w:tcPr>
            <w:tcW w:w="1915" w:type="dxa"/>
          </w:tcPr>
          <w:p w:rsidR="008A12D1" w:rsidRPr="008A12D1" w:rsidRDefault="008A12D1" w:rsidP="008A12D1">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8A12D1" w:rsidRPr="008A12D1" w:rsidRDefault="008A12D1" w:rsidP="008A12D1">
            <w:pPr>
              <w:cnfStyle w:val="000000000000" w:firstRow="0" w:lastRow="0" w:firstColumn="0" w:lastColumn="0" w:oddVBand="0" w:evenVBand="0" w:oddHBand="0" w:evenHBand="0" w:firstRowFirstColumn="0" w:firstRowLastColumn="0" w:lastRowFirstColumn="0" w:lastRowLastColumn="0"/>
            </w:pPr>
            <w:r>
              <w:t>4 060</w:t>
            </w:r>
          </w:p>
        </w:tc>
        <w:tc>
          <w:tcPr>
            <w:tcW w:w="2120" w:type="dxa"/>
          </w:tcPr>
          <w:p w:rsidR="008A12D1" w:rsidRPr="008A12D1" w:rsidRDefault="008A12D1" w:rsidP="008A12D1">
            <w:pPr>
              <w:cnfStyle w:val="000000000000" w:firstRow="0" w:lastRow="0" w:firstColumn="0" w:lastColumn="0" w:oddVBand="0" w:evenVBand="0" w:oddHBand="0" w:evenHBand="0" w:firstRowFirstColumn="0" w:firstRowLastColumn="0" w:lastRowFirstColumn="0" w:lastRowLastColumn="0"/>
            </w:pPr>
            <w:r>
              <w:t>4 060</w:t>
            </w:r>
          </w:p>
        </w:tc>
      </w:tr>
      <w:tr w:rsidR="008A12D1" w:rsidTr="008A1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8A12D1" w:rsidRDefault="008A12D1" w:rsidP="008A12D1">
            <w:r>
              <w:t>Roll–out – Meter installations</w:t>
            </w:r>
          </w:p>
        </w:tc>
        <w:tc>
          <w:tcPr>
            <w:tcW w:w="1915" w:type="dxa"/>
          </w:tcPr>
          <w:p w:rsidR="008A12D1" w:rsidRDefault="008A12D1" w:rsidP="008A12D1">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8A12D1" w:rsidRDefault="008A12D1" w:rsidP="008A12D1">
            <w:pPr>
              <w:cnfStyle w:val="000000010000" w:firstRow="0" w:lastRow="0" w:firstColumn="0" w:lastColumn="0" w:oddVBand="0" w:evenVBand="0" w:oddHBand="0" w:evenHBand="1" w:firstRowFirstColumn="0" w:firstRowLastColumn="0" w:lastRowFirstColumn="0" w:lastRowLastColumn="0"/>
            </w:pPr>
            <w:r>
              <w:t>37 022</w:t>
            </w:r>
          </w:p>
        </w:tc>
        <w:tc>
          <w:tcPr>
            <w:tcW w:w="2120" w:type="dxa"/>
          </w:tcPr>
          <w:p w:rsidR="008A12D1" w:rsidRDefault="008A12D1" w:rsidP="008A12D1">
            <w:pPr>
              <w:cnfStyle w:val="000000010000" w:firstRow="0" w:lastRow="0" w:firstColumn="0" w:lastColumn="0" w:oddVBand="0" w:evenVBand="0" w:oddHBand="0" w:evenHBand="1" w:firstRowFirstColumn="0" w:firstRowLastColumn="0" w:lastRowFirstColumn="0" w:lastRowLastColumn="0"/>
            </w:pPr>
            <w:r>
              <w:t>37 022</w:t>
            </w:r>
          </w:p>
        </w:tc>
      </w:tr>
      <w:tr w:rsidR="008A12D1" w:rsidTr="008A12D1">
        <w:tc>
          <w:tcPr>
            <w:cnfStyle w:val="001000000000" w:firstRow="0" w:lastRow="0" w:firstColumn="1" w:lastColumn="0" w:oddVBand="0" w:evenVBand="0" w:oddHBand="0" w:evenHBand="0" w:firstRowFirstColumn="0" w:firstRowLastColumn="0" w:lastRowFirstColumn="0" w:lastRowLastColumn="0"/>
            <w:tcW w:w="2538" w:type="dxa"/>
          </w:tcPr>
          <w:p w:rsidR="008A12D1" w:rsidRDefault="008A12D1" w:rsidP="008A12D1">
            <w:r>
              <w:t>Standalone 3G modules</w:t>
            </w:r>
          </w:p>
        </w:tc>
        <w:tc>
          <w:tcPr>
            <w:tcW w:w="1915" w:type="dxa"/>
          </w:tcPr>
          <w:p w:rsidR="008A12D1" w:rsidRDefault="008A12D1" w:rsidP="008A12D1">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8A12D1" w:rsidRDefault="008A12D1" w:rsidP="008A12D1">
            <w:pPr>
              <w:cnfStyle w:val="000000000000" w:firstRow="0" w:lastRow="0" w:firstColumn="0" w:lastColumn="0" w:oddVBand="0" w:evenVBand="0" w:oddHBand="0" w:evenHBand="0" w:firstRowFirstColumn="0" w:firstRowLastColumn="0" w:lastRowFirstColumn="0" w:lastRowLastColumn="0"/>
            </w:pPr>
            <w:r>
              <w:t>69 862</w:t>
            </w:r>
          </w:p>
        </w:tc>
        <w:tc>
          <w:tcPr>
            <w:tcW w:w="2120" w:type="dxa"/>
          </w:tcPr>
          <w:p w:rsidR="008A12D1" w:rsidRDefault="008A12D1" w:rsidP="008A12D1">
            <w:pPr>
              <w:cnfStyle w:val="000000000000" w:firstRow="0" w:lastRow="0" w:firstColumn="0" w:lastColumn="0" w:oddVBand="0" w:evenVBand="0" w:oddHBand="0" w:evenHBand="0" w:firstRowFirstColumn="0" w:firstRowLastColumn="0" w:lastRowFirstColumn="0" w:lastRowLastColumn="0"/>
            </w:pPr>
            <w:r>
              <w:t>0</w:t>
            </w:r>
          </w:p>
        </w:tc>
      </w:tr>
      <w:tr w:rsidR="008A12D1" w:rsidTr="008A1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8A12D1" w:rsidRDefault="008A12D1" w:rsidP="008A12D1">
            <w:r>
              <w:t>Total</w:t>
            </w:r>
          </w:p>
        </w:tc>
        <w:tc>
          <w:tcPr>
            <w:tcW w:w="1915" w:type="dxa"/>
          </w:tcPr>
          <w:p w:rsidR="008A12D1" w:rsidRDefault="008A12D1" w:rsidP="008A12D1">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8A12D1" w:rsidRDefault="008A12D1" w:rsidP="008A12D1">
            <w:pPr>
              <w:cnfStyle w:val="000000010000" w:firstRow="0" w:lastRow="0" w:firstColumn="0" w:lastColumn="0" w:oddVBand="0" w:evenVBand="0" w:oddHBand="0" w:evenHBand="1" w:firstRowFirstColumn="0" w:firstRowLastColumn="0" w:lastRowFirstColumn="0" w:lastRowLastColumn="0"/>
            </w:pPr>
            <w:r>
              <w:t>110 944</w:t>
            </w:r>
          </w:p>
        </w:tc>
        <w:tc>
          <w:tcPr>
            <w:tcW w:w="2120" w:type="dxa"/>
          </w:tcPr>
          <w:p w:rsidR="008A12D1" w:rsidRDefault="008A12D1" w:rsidP="008A12D1">
            <w:pPr>
              <w:cnfStyle w:val="000000010000" w:firstRow="0" w:lastRow="0" w:firstColumn="0" w:lastColumn="0" w:oddVBand="0" w:evenVBand="0" w:oddHBand="0" w:evenHBand="1" w:firstRowFirstColumn="0" w:firstRowLastColumn="0" w:lastRowFirstColumn="0" w:lastRowLastColumn="0"/>
            </w:pPr>
            <w:r>
              <w:t>41 082</w:t>
            </w:r>
          </w:p>
        </w:tc>
      </w:tr>
    </w:tbl>
    <w:p w:rsidR="008A12D1" w:rsidRDefault="008A12D1" w:rsidP="008A12D1">
      <w:pPr>
        <w:pStyle w:val="AERtablesource"/>
      </w:pPr>
      <w:r>
        <w:t>Source:</w:t>
      </w:r>
      <w:r>
        <w:tab/>
        <w:t>AER analysis.</w:t>
      </w:r>
    </w:p>
    <w:p w:rsidR="001B713B" w:rsidRDefault="001B713B" w:rsidP="00ED10D1">
      <w:r>
        <w:t xml:space="preserve">In support of </w:t>
      </w:r>
      <w:r w:rsidR="00F306C2">
        <w:t>the proposed excess expenditure associated with its</w:t>
      </w:r>
      <w:r>
        <w:t xml:space="preserve"> </w:t>
      </w:r>
      <w:r w:rsidR="00F306C2">
        <w:t>standalone 3G module installations</w:t>
      </w:r>
      <w:r>
        <w:t>, AusNet Services</w:t>
      </w:r>
      <w:r w:rsidR="005A4FBA">
        <w:t xml:space="preserve"> stated that it experienced</w:t>
      </w:r>
      <w:r w:rsidR="00F306C2">
        <w:t xml:space="preserve"> delays in the delivery of </w:t>
      </w:r>
      <w:r w:rsidR="005A4FBA">
        <w:t>hardware. Specifically, it stated that 'there was a delay in the delivery of the 3G communication modules in 2013 as a result of the impact of policy changes'</w:t>
      </w:r>
      <w:r>
        <w:t>.</w:t>
      </w:r>
      <w:r>
        <w:rPr>
          <w:rStyle w:val="FootnoteReference"/>
        </w:rPr>
        <w:footnoteReference w:id="61"/>
      </w:r>
      <w:r w:rsidR="0071219B">
        <w:t xml:space="preserve"> </w:t>
      </w:r>
      <w:r w:rsidR="005A4FBA">
        <w:t>This prompted AusNet Services to</w:t>
      </w:r>
      <w:r w:rsidR="003E62AB">
        <w:t xml:space="preserve"> adopt a two–step installation process. This involves the</w:t>
      </w:r>
      <w:r w:rsidR="0071219B">
        <w:t xml:space="preserve"> </w:t>
      </w:r>
      <w:r w:rsidR="005A4FBA">
        <w:t>install</w:t>
      </w:r>
      <w:r w:rsidR="003E62AB">
        <w:t xml:space="preserve">ation of a number of its </w:t>
      </w:r>
      <w:r w:rsidR="0071219B">
        <w:t xml:space="preserve">meters in 2013 </w:t>
      </w:r>
      <w:r w:rsidR="005A4FBA">
        <w:t xml:space="preserve">and, </w:t>
      </w:r>
      <w:r w:rsidR="003E62AB">
        <w:t>after</w:t>
      </w:r>
      <w:r w:rsidR="005A4FBA">
        <w:t xml:space="preserve"> this, a retrofit </w:t>
      </w:r>
      <w:r w:rsidR="00F306C2">
        <w:t xml:space="preserve">installation of 3G communication </w:t>
      </w:r>
      <w:r w:rsidR="0071219B">
        <w:t>module</w:t>
      </w:r>
      <w:r w:rsidR="00F306C2">
        <w:t>s</w:t>
      </w:r>
      <w:r w:rsidR="0071219B">
        <w:t xml:space="preserve"> in 2014. </w:t>
      </w:r>
    </w:p>
    <w:p w:rsidR="00DC142D" w:rsidRDefault="00DC142D" w:rsidP="00ED10D1">
      <w:r>
        <w:t>The Victorian Government submitted that it considers the installation of meters without communications modules to be an inefficient practice as this practice required two site visits rather than one.</w:t>
      </w:r>
      <w:r>
        <w:rPr>
          <w:rStyle w:val="FootnoteReference"/>
        </w:rPr>
        <w:footnoteReference w:id="62"/>
      </w:r>
      <w:r>
        <w:t xml:space="preserve"> We agree with the Victorian Government</w:t>
      </w:r>
      <w:r w:rsidR="008140CE">
        <w:t>'</w:t>
      </w:r>
      <w:r w:rsidR="00974016">
        <w:t>s</w:t>
      </w:r>
      <w:r w:rsidR="008140CE">
        <w:t xml:space="preserve"> view</w:t>
      </w:r>
      <w:r>
        <w:t>.</w:t>
      </w:r>
    </w:p>
    <w:p w:rsidR="008A12D1" w:rsidRDefault="00E04AEC" w:rsidP="00ED10D1">
      <w:r>
        <w:t>W</w:t>
      </w:r>
      <w:r w:rsidR="001B713B">
        <w:t xml:space="preserve">e are not satisfied that </w:t>
      </w:r>
      <w:r w:rsidR="003E62AB">
        <w:t>the two</w:t>
      </w:r>
      <w:r>
        <w:t xml:space="preserve">–step process AusNet Services adopted </w:t>
      </w:r>
      <w:r w:rsidR="00162A98">
        <w:t>reasonably</w:t>
      </w:r>
      <w:r>
        <w:t xml:space="preserve"> reflects the efficient costs of a business providing AMI services. Energeia notes that the process of retrofitting meters with 3G communication modules led to an increase in costs of between $120 to $351 ($nominal) per module installation.</w:t>
      </w:r>
      <w:r w:rsidR="00577EB7">
        <w:t xml:space="preserve"> This is compared to a process where both the meter and its communications module were installed at the same time. </w:t>
      </w:r>
      <w:r>
        <w:t xml:space="preserve">Given this inefficiency, we consider the associated excess capital expenditure </w:t>
      </w:r>
      <w:r w:rsidR="00DC6B85">
        <w:t>is</w:t>
      </w:r>
      <w:r>
        <w:t xml:space="preserve"> not prudent</w:t>
      </w:r>
      <w:r w:rsidR="00DC6B85">
        <w:t>.</w:t>
      </w:r>
      <w:r>
        <w:rPr>
          <w:rStyle w:val="FootnoteReference"/>
        </w:rPr>
        <w:footnoteReference w:id="63"/>
      </w:r>
    </w:p>
    <w:p w:rsidR="00E04AEC" w:rsidRDefault="00E04AEC" w:rsidP="00ED10D1">
      <w:r>
        <w:t>When we apply our draft decision on 2014 meter installation capex volumes in conjunction with the advice we have received from Energeia on the efficient unit costs, we arrive at a substitute excess capital expenditure of $6.8 million ($2018).</w:t>
      </w:r>
    </w:p>
    <w:p w:rsidR="00320379" w:rsidRPr="00A878D6" w:rsidRDefault="00A878D6" w:rsidP="00A878D6">
      <w:pPr>
        <w:rPr>
          <w:b/>
          <w:bCs/>
        </w:rPr>
      </w:pPr>
      <w:r>
        <w:rPr>
          <w:rStyle w:val="Strong"/>
        </w:rPr>
        <w:t>2015 meter installations</w:t>
      </w:r>
    </w:p>
    <w:p w:rsidR="00A878D6" w:rsidRDefault="00A878D6" w:rsidP="00A878D6">
      <w:r>
        <w:t>We accept $0.6 million ($2018) in excess expenditure for 2014 meter installation.</w:t>
      </w:r>
    </w:p>
    <w:p w:rsidR="00A878D6" w:rsidRDefault="0028744B" w:rsidP="00A878D6">
      <w:r>
        <w:fldChar w:fldCharType="begin"/>
      </w:r>
      <w:r>
        <w:instrText xml:space="preserve"> REF _Ref459905162 \h </w:instrText>
      </w:r>
      <w:r>
        <w:fldChar w:fldCharType="separate"/>
      </w:r>
      <w:r w:rsidR="003C3A1D">
        <w:t xml:space="preserve">Table </w:t>
      </w:r>
      <w:r w:rsidR="003C3A1D">
        <w:rPr>
          <w:noProof/>
        </w:rPr>
        <w:t>4</w:t>
      </w:r>
      <w:r w:rsidR="003C3A1D">
        <w:t>.</w:t>
      </w:r>
      <w:r w:rsidR="003C3A1D">
        <w:rPr>
          <w:noProof/>
        </w:rPr>
        <w:t>14</w:t>
      </w:r>
      <w:r>
        <w:fldChar w:fldCharType="end"/>
      </w:r>
      <w:r>
        <w:t xml:space="preserve"> </w:t>
      </w:r>
      <w:r w:rsidR="00A878D6">
        <w:t>sets out the components of our draft decision. It shows that AusNet Services only proposed a level of volumes associated with 'faults', which we have accepted.</w:t>
      </w:r>
    </w:p>
    <w:p w:rsidR="00A878D6" w:rsidRDefault="00A878D6" w:rsidP="00A878D6">
      <w:pPr>
        <w:pStyle w:val="Caption"/>
      </w:pPr>
      <w:bookmarkStart w:id="69" w:name="_Ref459905162"/>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14</w:t>
        </w:r>
      </w:fldSimple>
      <w:bookmarkEnd w:id="69"/>
      <w:r>
        <w:tab/>
        <w:t>Draft decision on 201</w:t>
      </w:r>
      <w:r w:rsidR="00255078">
        <w:t>5</w:t>
      </w:r>
      <w:r>
        <w:t xml:space="preserve"> meter installation capex volumes</w:t>
      </w:r>
    </w:p>
    <w:tbl>
      <w:tblPr>
        <w:tblStyle w:val="AERtable-numbers"/>
        <w:tblW w:w="0" w:type="auto"/>
        <w:tblLook w:val="04A0" w:firstRow="1" w:lastRow="0" w:firstColumn="1" w:lastColumn="0" w:noHBand="0" w:noVBand="1"/>
      </w:tblPr>
      <w:tblGrid>
        <w:gridCol w:w="2538"/>
        <w:gridCol w:w="1915"/>
        <w:gridCol w:w="2120"/>
        <w:gridCol w:w="2120"/>
      </w:tblGrid>
      <w:tr w:rsidR="00A878D6" w:rsidTr="00C60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A878D6" w:rsidRDefault="00A878D6" w:rsidP="00A878D6"/>
        </w:tc>
        <w:tc>
          <w:tcPr>
            <w:tcW w:w="1915" w:type="dxa"/>
          </w:tcPr>
          <w:p w:rsidR="00A878D6" w:rsidRDefault="00A878D6" w:rsidP="00A878D6">
            <w:pPr>
              <w:cnfStyle w:val="100000000000" w:firstRow="1" w:lastRow="0" w:firstColumn="0" w:lastColumn="0" w:oddVBand="0" w:evenVBand="0" w:oddHBand="0" w:evenHBand="0" w:firstRowFirstColumn="0" w:firstRowLastColumn="0" w:lastRowFirstColumn="0" w:lastRowLastColumn="0"/>
            </w:pPr>
            <w:r>
              <w:t xml:space="preserve">Approved volumes </w:t>
            </w:r>
          </w:p>
          <w:p w:rsidR="00A878D6" w:rsidRDefault="00A878D6" w:rsidP="00A878D6">
            <w:pPr>
              <w:cnfStyle w:val="100000000000" w:firstRow="1" w:lastRow="0" w:firstColumn="0" w:lastColumn="0" w:oddVBand="0" w:evenVBand="0" w:oddHBand="0" w:evenHBand="0" w:firstRowFirstColumn="0" w:firstRowLastColumn="0" w:lastRowFirstColumn="0" w:lastRowLastColumn="0"/>
            </w:pPr>
            <w:r>
              <w:t>(2012–15 Budget)</w:t>
            </w:r>
          </w:p>
        </w:tc>
        <w:tc>
          <w:tcPr>
            <w:tcW w:w="2120" w:type="dxa"/>
          </w:tcPr>
          <w:p w:rsidR="00A878D6" w:rsidRDefault="00A878D6" w:rsidP="00A878D6">
            <w:pPr>
              <w:cnfStyle w:val="100000000000" w:firstRow="1" w:lastRow="0" w:firstColumn="0" w:lastColumn="0" w:oddVBand="0" w:evenVBand="0" w:oddHBand="0" w:evenHBand="0" w:firstRowFirstColumn="0" w:firstRowLastColumn="0" w:lastRowFirstColumn="0" w:lastRowLastColumn="0"/>
            </w:pPr>
            <w:r>
              <w:t>Proposed additional volumes</w:t>
            </w:r>
          </w:p>
        </w:tc>
        <w:tc>
          <w:tcPr>
            <w:tcW w:w="2120" w:type="dxa"/>
          </w:tcPr>
          <w:p w:rsidR="00A878D6" w:rsidRDefault="00A878D6" w:rsidP="00A878D6">
            <w:pPr>
              <w:cnfStyle w:val="100000000000" w:firstRow="1" w:lastRow="0" w:firstColumn="0" w:lastColumn="0" w:oddVBand="0" w:evenVBand="0" w:oddHBand="0" w:evenHBand="0" w:firstRowFirstColumn="0" w:firstRowLastColumn="0" w:lastRowFirstColumn="0" w:lastRowLastColumn="0"/>
            </w:pPr>
            <w:r>
              <w:t>Draft decision</w:t>
            </w:r>
          </w:p>
        </w:tc>
      </w:tr>
      <w:tr w:rsidR="00A878D6" w:rsidTr="00C609A5">
        <w:tc>
          <w:tcPr>
            <w:cnfStyle w:val="001000000000" w:firstRow="0" w:lastRow="0" w:firstColumn="1" w:lastColumn="0" w:oddVBand="0" w:evenVBand="0" w:oddHBand="0" w:evenHBand="0" w:firstRowFirstColumn="0" w:firstRowLastColumn="0" w:lastRowFirstColumn="0" w:lastRowLastColumn="0"/>
            <w:tcW w:w="2538" w:type="dxa"/>
          </w:tcPr>
          <w:p w:rsidR="00A878D6" w:rsidRPr="00A878D6" w:rsidRDefault="00A878D6" w:rsidP="00A878D6">
            <w:r>
              <w:t>Faults</w:t>
            </w:r>
          </w:p>
        </w:tc>
        <w:tc>
          <w:tcPr>
            <w:tcW w:w="1915" w:type="dxa"/>
          </w:tcPr>
          <w:p w:rsidR="00A878D6" w:rsidRPr="00A878D6" w:rsidRDefault="00A878D6" w:rsidP="00A878D6">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A878D6" w:rsidRPr="00A878D6" w:rsidRDefault="00A878D6" w:rsidP="00A878D6">
            <w:pPr>
              <w:cnfStyle w:val="000000000000" w:firstRow="0" w:lastRow="0" w:firstColumn="0" w:lastColumn="0" w:oddVBand="0" w:evenVBand="0" w:oddHBand="0" w:evenHBand="0" w:firstRowFirstColumn="0" w:firstRowLastColumn="0" w:lastRowFirstColumn="0" w:lastRowLastColumn="0"/>
            </w:pPr>
            <w:r>
              <w:t>3 319</w:t>
            </w:r>
          </w:p>
        </w:tc>
        <w:tc>
          <w:tcPr>
            <w:tcW w:w="2120" w:type="dxa"/>
          </w:tcPr>
          <w:p w:rsidR="00A878D6" w:rsidRPr="00A878D6" w:rsidRDefault="00A878D6" w:rsidP="00A878D6">
            <w:pPr>
              <w:cnfStyle w:val="000000000000" w:firstRow="0" w:lastRow="0" w:firstColumn="0" w:lastColumn="0" w:oddVBand="0" w:evenVBand="0" w:oddHBand="0" w:evenHBand="0" w:firstRowFirstColumn="0" w:firstRowLastColumn="0" w:lastRowFirstColumn="0" w:lastRowLastColumn="0"/>
            </w:pPr>
            <w:r>
              <w:t>3 319</w:t>
            </w:r>
          </w:p>
        </w:tc>
      </w:tr>
      <w:tr w:rsidR="00A878D6" w:rsidTr="00C60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A878D6" w:rsidRPr="00A878D6" w:rsidRDefault="00A878D6" w:rsidP="00A878D6">
            <w:r>
              <w:t>Roll–out</w:t>
            </w:r>
            <w:r w:rsidRPr="00A878D6">
              <w:t xml:space="preserve"> – Meter installations</w:t>
            </w:r>
          </w:p>
        </w:tc>
        <w:tc>
          <w:tcPr>
            <w:tcW w:w="1915" w:type="dxa"/>
          </w:tcPr>
          <w:p w:rsidR="00A878D6" w:rsidRPr="00A878D6" w:rsidRDefault="00A878D6" w:rsidP="00A878D6">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A878D6" w:rsidRPr="00A878D6" w:rsidRDefault="00A878D6" w:rsidP="00A878D6">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A878D6" w:rsidRPr="00A878D6" w:rsidRDefault="00A878D6" w:rsidP="00A878D6">
            <w:pPr>
              <w:cnfStyle w:val="000000010000" w:firstRow="0" w:lastRow="0" w:firstColumn="0" w:lastColumn="0" w:oddVBand="0" w:evenVBand="0" w:oddHBand="0" w:evenHBand="1" w:firstRowFirstColumn="0" w:firstRowLastColumn="0" w:lastRowFirstColumn="0" w:lastRowLastColumn="0"/>
            </w:pPr>
            <w:r>
              <w:t>0</w:t>
            </w:r>
          </w:p>
        </w:tc>
      </w:tr>
      <w:tr w:rsidR="00A878D6" w:rsidTr="00C609A5">
        <w:tc>
          <w:tcPr>
            <w:cnfStyle w:val="001000000000" w:firstRow="0" w:lastRow="0" w:firstColumn="1" w:lastColumn="0" w:oddVBand="0" w:evenVBand="0" w:oddHBand="0" w:evenHBand="0" w:firstRowFirstColumn="0" w:firstRowLastColumn="0" w:lastRowFirstColumn="0" w:lastRowLastColumn="0"/>
            <w:tcW w:w="2538" w:type="dxa"/>
          </w:tcPr>
          <w:p w:rsidR="00A878D6" w:rsidRPr="00A878D6" w:rsidRDefault="00A878D6" w:rsidP="00A878D6">
            <w:r>
              <w:t>Standalone 3G modules</w:t>
            </w:r>
          </w:p>
        </w:tc>
        <w:tc>
          <w:tcPr>
            <w:tcW w:w="1915" w:type="dxa"/>
          </w:tcPr>
          <w:p w:rsidR="00A878D6" w:rsidRPr="00A878D6" w:rsidRDefault="00A878D6" w:rsidP="00A878D6">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A878D6" w:rsidRPr="00A878D6" w:rsidRDefault="00A878D6" w:rsidP="00A878D6">
            <w:pPr>
              <w:cnfStyle w:val="000000000000" w:firstRow="0" w:lastRow="0" w:firstColumn="0" w:lastColumn="0" w:oddVBand="0" w:evenVBand="0" w:oddHBand="0" w:evenHBand="0" w:firstRowFirstColumn="0" w:firstRowLastColumn="0" w:lastRowFirstColumn="0" w:lastRowLastColumn="0"/>
            </w:pPr>
            <w:r>
              <w:t>0</w:t>
            </w:r>
          </w:p>
        </w:tc>
        <w:tc>
          <w:tcPr>
            <w:tcW w:w="2120" w:type="dxa"/>
          </w:tcPr>
          <w:p w:rsidR="00A878D6" w:rsidRPr="00A878D6" w:rsidRDefault="00A878D6" w:rsidP="00A878D6">
            <w:pPr>
              <w:cnfStyle w:val="000000000000" w:firstRow="0" w:lastRow="0" w:firstColumn="0" w:lastColumn="0" w:oddVBand="0" w:evenVBand="0" w:oddHBand="0" w:evenHBand="0" w:firstRowFirstColumn="0" w:firstRowLastColumn="0" w:lastRowFirstColumn="0" w:lastRowLastColumn="0"/>
            </w:pPr>
            <w:r>
              <w:t>0</w:t>
            </w:r>
          </w:p>
        </w:tc>
      </w:tr>
      <w:tr w:rsidR="00A878D6" w:rsidTr="00C60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A878D6" w:rsidRPr="00A878D6" w:rsidRDefault="00A878D6" w:rsidP="00A878D6">
            <w:r>
              <w:t>Total</w:t>
            </w:r>
          </w:p>
        </w:tc>
        <w:tc>
          <w:tcPr>
            <w:tcW w:w="1915" w:type="dxa"/>
          </w:tcPr>
          <w:p w:rsidR="00A878D6" w:rsidRPr="00A878D6" w:rsidRDefault="00A878D6" w:rsidP="00A878D6">
            <w:pPr>
              <w:cnfStyle w:val="000000010000" w:firstRow="0" w:lastRow="0" w:firstColumn="0" w:lastColumn="0" w:oddVBand="0" w:evenVBand="0" w:oddHBand="0" w:evenHBand="1" w:firstRowFirstColumn="0" w:firstRowLastColumn="0" w:lastRowFirstColumn="0" w:lastRowLastColumn="0"/>
            </w:pPr>
            <w:r>
              <w:t>0</w:t>
            </w:r>
          </w:p>
        </w:tc>
        <w:tc>
          <w:tcPr>
            <w:tcW w:w="2120" w:type="dxa"/>
          </w:tcPr>
          <w:p w:rsidR="00A878D6" w:rsidRPr="00A878D6" w:rsidRDefault="00A878D6" w:rsidP="00A878D6">
            <w:pPr>
              <w:cnfStyle w:val="000000010000" w:firstRow="0" w:lastRow="0" w:firstColumn="0" w:lastColumn="0" w:oddVBand="0" w:evenVBand="0" w:oddHBand="0" w:evenHBand="1" w:firstRowFirstColumn="0" w:firstRowLastColumn="0" w:lastRowFirstColumn="0" w:lastRowLastColumn="0"/>
            </w:pPr>
            <w:r>
              <w:t>3 319</w:t>
            </w:r>
          </w:p>
        </w:tc>
        <w:tc>
          <w:tcPr>
            <w:tcW w:w="2120" w:type="dxa"/>
          </w:tcPr>
          <w:p w:rsidR="00A878D6" w:rsidRPr="00A878D6" w:rsidRDefault="00A878D6" w:rsidP="00A878D6">
            <w:pPr>
              <w:cnfStyle w:val="000000010000" w:firstRow="0" w:lastRow="0" w:firstColumn="0" w:lastColumn="0" w:oddVBand="0" w:evenVBand="0" w:oddHBand="0" w:evenHBand="1" w:firstRowFirstColumn="0" w:firstRowLastColumn="0" w:lastRowFirstColumn="0" w:lastRowLastColumn="0"/>
            </w:pPr>
            <w:r>
              <w:t>3 319</w:t>
            </w:r>
          </w:p>
        </w:tc>
      </w:tr>
    </w:tbl>
    <w:p w:rsidR="00A878D6" w:rsidRDefault="00A878D6" w:rsidP="00A878D6">
      <w:pPr>
        <w:pStyle w:val="AERtablesource"/>
      </w:pPr>
      <w:r>
        <w:t>Source:</w:t>
      </w:r>
      <w:r>
        <w:tab/>
        <w:t>AER analysis.</w:t>
      </w:r>
    </w:p>
    <w:p w:rsidR="00A878D6" w:rsidRPr="00A878D6" w:rsidRDefault="00A878D6" w:rsidP="00A878D6">
      <w:r>
        <w:t>When we apply our draft decision on 2014 meter installation capex volumes in conjunction with the advice we have received from Energeia on the efficient unit costs, we arrive at a substitute excess capital expenditure of $0.6 million ($2018).</w:t>
      </w:r>
    </w:p>
    <w:p w:rsidR="00570B48" w:rsidRDefault="00570B48" w:rsidP="00A878D6">
      <w:pPr>
        <w:pStyle w:val="HeadingBoldItalic"/>
      </w:pPr>
    </w:p>
    <w:p w:rsidR="00570B48" w:rsidRDefault="00570B48" w:rsidP="00A878D6">
      <w:pPr>
        <w:pStyle w:val="HeadingBoldItalic"/>
      </w:pPr>
    </w:p>
    <w:p w:rsidR="00320379" w:rsidRDefault="00A878D6" w:rsidP="00A878D6">
      <w:pPr>
        <w:pStyle w:val="HeadingBoldItalic"/>
      </w:pPr>
      <w:r>
        <w:t>IT</w:t>
      </w:r>
      <w:r w:rsidR="00444D15">
        <w:t xml:space="preserve"> capex</w:t>
      </w:r>
    </w:p>
    <w:p w:rsidR="0063225E" w:rsidRDefault="00EC2F97" w:rsidP="0063225E">
      <w:bookmarkStart w:id="70" w:name="_Ref459841779"/>
      <w:r>
        <w:t>We accept $5.7</w:t>
      </w:r>
      <w:r w:rsidR="0063225E">
        <w:t xml:space="preserve"> million ($2018) in excess capital expenditure for 'IT systems</w:t>
      </w:r>
      <w:r w:rsidR="00255078">
        <w:t>'</w:t>
      </w:r>
      <w:r w:rsidR="0063225E">
        <w:t xml:space="preserve">. This is equal to about </w:t>
      </w:r>
      <w:r>
        <w:t>17</w:t>
      </w:r>
      <w:r w:rsidR="0063225E">
        <w:t xml:space="preserve"> percent of AusNet Services' proposed $33.3 million ($2018) in IT excess capital expenditure. </w:t>
      </w:r>
      <w:r w:rsidR="0028744B">
        <w:fldChar w:fldCharType="begin"/>
      </w:r>
      <w:r w:rsidR="0028744B">
        <w:instrText xml:space="preserve"> REF _Ref459905146 \h </w:instrText>
      </w:r>
      <w:r w:rsidR="0028744B">
        <w:fldChar w:fldCharType="separate"/>
      </w:r>
      <w:r w:rsidR="003C3A1D">
        <w:t xml:space="preserve">Table </w:t>
      </w:r>
      <w:r w:rsidR="003C3A1D">
        <w:rPr>
          <w:noProof/>
        </w:rPr>
        <w:t>4</w:t>
      </w:r>
      <w:r w:rsidR="003C3A1D">
        <w:t>.</w:t>
      </w:r>
      <w:r w:rsidR="003C3A1D">
        <w:rPr>
          <w:noProof/>
        </w:rPr>
        <w:t>15</w:t>
      </w:r>
      <w:r w:rsidR="0028744B">
        <w:fldChar w:fldCharType="end"/>
      </w:r>
      <w:r w:rsidR="0028744B">
        <w:t xml:space="preserve"> </w:t>
      </w:r>
      <w:r w:rsidR="0063225E">
        <w:t>sets out our draft decision.</w:t>
      </w:r>
    </w:p>
    <w:p w:rsidR="00444D15" w:rsidRDefault="00444D15" w:rsidP="00444D15">
      <w:pPr>
        <w:pStyle w:val="Caption"/>
      </w:pPr>
      <w:bookmarkStart w:id="71" w:name="_Ref459905146"/>
      <w:r>
        <w:t xml:space="preserve">Table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696CDC">
        <w:t>.</w:t>
      </w:r>
      <w:fldSimple w:instr=" SEQ Table \* ARABIC \s 1 ">
        <w:r w:rsidR="003C3A1D">
          <w:rPr>
            <w:noProof/>
          </w:rPr>
          <w:t>15</w:t>
        </w:r>
      </w:fldSimple>
      <w:bookmarkEnd w:id="70"/>
      <w:bookmarkEnd w:id="71"/>
      <w:r w:rsidR="00570B48">
        <w:tab/>
        <w:t>Draft decision on IT</w:t>
      </w:r>
      <w:r>
        <w:t xml:space="preserve"> capex ($m 2018)</w:t>
      </w:r>
    </w:p>
    <w:tbl>
      <w:tblPr>
        <w:tblStyle w:val="AERtable-numbers"/>
        <w:tblW w:w="0" w:type="auto"/>
        <w:tblLook w:val="04A0" w:firstRow="1" w:lastRow="0" w:firstColumn="1" w:lastColumn="0" w:noHBand="0" w:noVBand="1"/>
      </w:tblPr>
      <w:tblGrid>
        <w:gridCol w:w="2358"/>
        <w:gridCol w:w="1988"/>
        <w:gridCol w:w="2173"/>
        <w:gridCol w:w="2174"/>
      </w:tblGrid>
      <w:tr w:rsidR="00444D15" w:rsidTr="00C60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444D15" w:rsidRDefault="00444D15" w:rsidP="00444D15"/>
        </w:tc>
        <w:tc>
          <w:tcPr>
            <w:tcW w:w="1988" w:type="dxa"/>
          </w:tcPr>
          <w:p w:rsidR="00444D15" w:rsidRDefault="00444D15" w:rsidP="00444D15">
            <w:pPr>
              <w:cnfStyle w:val="100000000000" w:firstRow="1" w:lastRow="0" w:firstColumn="0" w:lastColumn="0" w:oddVBand="0" w:evenVBand="0" w:oddHBand="0" w:evenHBand="0" w:firstRowFirstColumn="0" w:firstRowLastColumn="0" w:lastRowFirstColumn="0" w:lastRowLastColumn="0"/>
            </w:pPr>
            <w:r>
              <w:t>Approved budget</w:t>
            </w:r>
          </w:p>
          <w:p w:rsidR="00444D15" w:rsidRDefault="00444D15" w:rsidP="00444D15">
            <w:pPr>
              <w:cnfStyle w:val="100000000000" w:firstRow="1" w:lastRow="0" w:firstColumn="0" w:lastColumn="0" w:oddVBand="0" w:evenVBand="0" w:oddHBand="0" w:evenHBand="0" w:firstRowFirstColumn="0" w:firstRowLastColumn="0" w:lastRowFirstColumn="0" w:lastRowLastColumn="0"/>
            </w:pPr>
            <w:r>
              <w:t>(2012–15 Budget)</w:t>
            </w:r>
          </w:p>
        </w:tc>
        <w:tc>
          <w:tcPr>
            <w:tcW w:w="2173" w:type="dxa"/>
          </w:tcPr>
          <w:p w:rsidR="00444D15" w:rsidRDefault="00444D15" w:rsidP="00444D15">
            <w:pPr>
              <w:cnfStyle w:val="100000000000" w:firstRow="1" w:lastRow="0" w:firstColumn="0" w:lastColumn="0" w:oddVBand="0" w:evenVBand="0" w:oddHBand="0" w:evenHBand="0" w:firstRowFirstColumn="0" w:firstRowLastColumn="0" w:lastRowFirstColumn="0" w:lastRowLastColumn="0"/>
            </w:pPr>
            <w:r>
              <w:t>Proposed excess</w:t>
            </w:r>
          </w:p>
        </w:tc>
        <w:tc>
          <w:tcPr>
            <w:tcW w:w="2174" w:type="dxa"/>
          </w:tcPr>
          <w:p w:rsidR="00444D15" w:rsidRDefault="00444D15" w:rsidP="00444D15">
            <w:pPr>
              <w:cnfStyle w:val="100000000000" w:firstRow="1" w:lastRow="0" w:firstColumn="0" w:lastColumn="0" w:oddVBand="0" w:evenVBand="0" w:oddHBand="0" w:evenHBand="0" w:firstRowFirstColumn="0" w:firstRowLastColumn="0" w:lastRowFirstColumn="0" w:lastRowLastColumn="0"/>
            </w:pPr>
            <w:r>
              <w:t>Draft decision</w:t>
            </w:r>
          </w:p>
        </w:tc>
      </w:tr>
      <w:tr w:rsidR="00444D15" w:rsidTr="00C609A5">
        <w:tc>
          <w:tcPr>
            <w:cnfStyle w:val="001000000000" w:firstRow="0" w:lastRow="0" w:firstColumn="1" w:lastColumn="0" w:oddVBand="0" w:evenVBand="0" w:oddHBand="0" w:evenHBand="0" w:firstRowFirstColumn="0" w:firstRowLastColumn="0" w:lastRowFirstColumn="0" w:lastRowLastColumn="0"/>
            <w:tcW w:w="2358" w:type="dxa"/>
          </w:tcPr>
          <w:p w:rsidR="00444D15" w:rsidRPr="00444D15" w:rsidRDefault="00444D15" w:rsidP="00444D15">
            <w:pPr>
              <w:pStyle w:val="ListContinue"/>
            </w:pPr>
            <w:r>
              <w:t>2014</w:t>
            </w:r>
          </w:p>
        </w:tc>
        <w:tc>
          <w:tcPr>
            <w:tcW w:w="1988" w:type="dxa"/>
          </w:tcPr>
          <w:p w:rsidR="00444D15" w:rsidRPr="00444D15" w:rsidRDefault="00444D15" w:rsidP="00444D15">
            <w:pPr>
              <w:cnfStyle w:val="000000000000" w:firstRow="0" w:lastRow="0" w:firstColumn="0" w:lastColumn="0" w:oddVBand="0" w:evenVBand="0" w:oddHBand="0" w:evenHBand="0" w:firstRowFirstColumn="0" w:firstRowLastColumn="0" w:lastRowFirstColumn="0" w:lastRowLastColumn="0"/>
            </w:pPr>
            <w:r>
              <w:t>0.0</w:t>
            </w:r>
          </w:p>
        </w:tc>
        <w:tc>
          <w:tcPr>
            <w:tcW w:w="2173" w:type="dxa"/>
          </w:tcPr>
          <w:p w:rsidR="00444D15" w:rsidRPr="00444D15" w:rsidRDefault="00444D15" w:rsidP="00444D15">
            <w:pPr>
              <w:cnfStyle w:val="000000000000" w:firstRow="0" w:lastRow="0" w:firstColumn="0" w:lastColumn="0" w:oddVBand="0" w:evenVBand="0" w:oddHBand="0" w:evenHBand="0" w:firstRowFirstColumn="0" w:firstRowLastColumn="0" w:lastRowFirstColumn="0" w:lastRowLastColumn="0"/>
            </w:pPr>
            <w:r>
              <w:t>9.7</w:t>
            </w:r>
          </w:p>
        </w:tc>
        <w:tc>
          <w:tcPr>
            <w:tcW w:w="2174" w:type="dxa"/>
          </w:tcPr>
          <w:p w:rsidR="00444D15" w:rsidRPr="00444D15" w:rsidRDefault="00444D15" w:rsidP="00444D15">
            <w:pPr>
              <w:cnfStyle w:val="000000000000" w:firstRow="0" w:lastRow="0" w:firstColumn="0" w:lastColumn="0" w:oddVBand="0" w:evenVBand="0" w:oddHBand="0" w:evenHBand="0" w:firstRowFirstColumn="0" w:firstRowLastColumn="0" w:lastRowFirstColumn="0" w:lastRowLastColumn="0"/>
            </w:pPr>
            <w:r>
              <w:t>0.0</w:t>
            </w:r>
          </w:p>
        </w:tc>
      </w:tr>
      <w:tr w:rsidR="00444D15" w:rsidTr="00C60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444D15" w:rsidRPr="00444D15" w:rsidRDefault="00444D15" w:rsidP="00444D15">
            <w:pPr>
              <w:pStyle w:val="ListContinue"/>
            </w:pPr>
            <w:r>
              <w:t>2015</w:t>
            </w:r>
          </w:p>
        </w:tc>
        <w:tc>
          <w:tcPr>
            <w:tcW w:w="1988" w:type="dxa"/>
          </w:tcPr>
          <w:p w:rsidR="00444D15" w:rsidRPr="00444D15" w:rsidRDefault="00444D15" w:rsidP="00444D15">
            <w:pPr>
              <w:cnfStyle w:val="000000010000" w:firstRow="0" w:lastRow="0" w:firstColumn="0" w:lastColumn="0" w:oddVBand="0" w:evenVBand="0" w:oddHBand="0" w:evenHBand="1" w:firstRowFirstColumn="0" w:firstRowLastColumn="0" w:lastRowFirstColumn="0" w:lastRowLastColumn="0"/>
            </w:pPr>
            <w:r>
              <w:t>0.0</w:t>
            </w:r>
          </w:p>
        </w:tc>
        <w:tc>
          <w:tcPr>
            <w:tcW w:w="2173" w:type="dxa"/>
          </w:tcPr>
          <w:p w:rsidR="00444D15" w:rsidRPr="00444D15" w:rsidRDefault="00444D15" w:rsidP="00444D15">
            <w:pPr>
              <w:cnfStyle w:val="000000010000" w:firstRow="0" w:lastRow="0" w:firstColumn="0" w:lastColumn="0" w:oddVBand="0" w:evenVBand="0" w:oddHBand="0" w:evenHBand="1" w:firstRowFirstColumn="0" w:firstRowLastColumn="0" w:lastRowFirstColumn="0" w:lastRowLastColumn="0"/>
            </w:pPr>
            <w:r>
              <w:t>23.6</w:t>
            </w:r>
          </w:p>
        </w:tc>
        <w:tc>
          <w:tcPr>
            <w:tcW w:w="2174" w:type="dxa"/>
          </w:tcPr>
          <w:p w:rsidR="00444D15" w:rsidRPr="00444D15" w:rsidRDefault="00EC2F97" w:rsidP="00444D15">
            <w:pPr>
              <w:cnfStyle w:val="000000010000" w:firstRow="0" w:lastRow="0" w:firstColumn="0" w:lastColumn="0" w:oddVBand="0" w:evenVBand="0" w:oddHBand="0" w:evenHBand="1" w:firstRowFirstColumn="0" w:firstRowLastColumn="0" w:lastRowFirstColumn="0" w:lastRowLastColumn="0"/>
            </w:pPr>
            <w:r>
              <w:t>5.7</w:t>
            </w:r>
          </w:p>
        </w:tc>
      </w:tr>
      <w:tr w:rsidR="00444D15" w:rsidTr="00C609A5">
        <w:tc>
          <w:tcPr>
            <w:cnfStyle w:val="001000000000" w:firstRow="0" w:lastRow="0" w:firstColumn="1" w:lastColumn="0" w:oddVBand="0" w:evenVBand="0" w:oddHBand="0" w:evenHBand="0" w:firstRowFirstColumn="0" w:firstRowLastColumn="0" w:lastRowFirstColumn="0" w:lastRowLastColumn="0"/>
            <w:tcW w:w="2358" w:type="dxa"/>
          </w:tcPr>
          <w:p w:rsidR="00444D15" w:rsidRPr="00444D15" w:rsidRDefault="00444D15" w:rsidP="00444D15">
            <w:pPr>
              <w:pStyle w:val="ListContinue"/>
            </w:pPr>
            <w:r>
              <w:t>Total</w:t>
            </w:r>
            <w:r w:rsidRPr="00444D15">
              <w:t xml:space="preserve"> </w:t>
            </w:r>
          </w:p>
        </w:tc>
        <w:tc>
          <w:tcPr>
            <w:tcW w:w="1988" w:type="dxa"/>
          </w:tcPr>
          <w:p w:rsidR="00444D15" w:rsidRPr="00444D15" w:rsidRDefault="00444D15" w:rsidP="00444D15">
            <w:pPr>
              <w:cnfStyle w:val="000000000000" w:firstRow="0" w:lastRow="0" w:firstColumn="0" w:lastColumn="0" w:oddVBand="0" w:evenVBand="0" w:oddHBand="0" w:evenHBand="0" w:firstRowFirstColumn="0" w:firstRowLastColumn="0" w:lastRowFirstColumn="0" w:lastRowLastColumn="0"/>
            </w:pPr>
            <w:r>
              <w:t>0.0</w:t>
            </w:r>
          </w:p>
        </w:tc>
        <w:tc>
          <w:tcPr>
            <w:tcW w:w="2173" w:type="dxa"/>
          </w:tcPr>
          <w:p w:rsidR="00444D15" w:rsidRPr="00444D15" w:rsidRDefault="00444D15" w:rsidP="00444D15">
            <w:pPr>
              <w:cnfStyle w:val="000000000000" w:firstRow="0" w:lastRow="0" w:firstColumn="0" w:lastColumn="0" w:oddVBand="0" w:evenVBand="0" w:oddHBand="0" w:evenHBand="0" w:firstRowFirstColumn="0" w:firstRowLastColumn="0" w:lastRowFirstColumn="0" w:lastRowLastColumn="0"/>
            </w:pPr>
            <w:r>
              <w:t>33.3</w:t>
            </w:r>
          </w:p>
        </w:tc>
        <w:tc>
          <w:tcPr>
            <w:tcW w:w="2174" w:type="dxa"/>
          </w:tcPr>
          <w:p w:rsidR="00444D15" w:rsidRPr="00444D15" w:rsidRDefault="00EC2F97" w:rsidP="00444D15">
            <w:pPr>
              <w:cnfStyle w:val="000000000000" w:firstRow="0" w:lastRow="0" w:firstColumn="0" w:lastColumn="0" w:oddVBand="0" w:evenVBand="0" w:oddHBand="0" w:evenHBand="0" w:firstRowFirstColumn="0" w:firstRowLastColumn="0" w:lastRowFirstColumn="0" w:lastRowLastColumn="0"/>
            </w:pPr>
            <w:r>
              <w:t>5.7</w:t>
            </w:r>
          </w:p>
        </w:tc>
      </w:tr>
    </w:tbl>
    <w:p w:rsidR="00444D15" w:rsidRDefault="00444D15" w:rsidP="00444D15">
      <w:pPr>
        <w:pStyle w:val="AERtablesource"/>
      </w:pPr>
      <w:r>
        <w:t xml:space="preserve">Source: </w:t>
      </w:r>
      <w:r>
        <w:tab/>
        <w:t>AER analysis.</w:t>
      </w:r>
    </w:p>
    <w:p w:rsidR="007C7ED9" w:rsidRDefault="00D86A98" w:rsidP="00A878D6">
      <w:r>
        <w:t xml:space="preserve">In support of its application, </w:t>
      </w:r>
      <w:r w:rsidR="007C7ED9">
        <w:t xml:space="preserve">AusNet Services </w:t>
      </w:r>
      <w:r>
        <w:t xml:space="preserve">noted that its approved budget did not include an allowance for IT expenditure in 2014 and 2015. It submitted that irrespective of this AusNet Services incurred IT capex in those years 'mainly as a result of the complexity of systems implementation, migration and integration task being greater than </w:t>
      </w:r>
      <w:r w:rsidR="00AB69B9">
        <w:t>originally activated'.</w:t>
      </w:r>
      <w:r w:rsidR="00AB69B9">
        <w:rPr>
          <w:rStyle w:val="FootnoteReference"/>
        </w:rPr>
        <w:footnoteReference w:id="64"/>
      </w:r>
      <w:r w:rsidR="00AB69B9">
        <w:t xml:space="preserve"> AusNet Services further stated that in 'determining expenditure to be applying for approval, AusNet Services has excluded all expenditure associated with remediating the AMI IT systems and the WiMAX communication technology'.</w:t>
      </w:r>
      <w:r w:rsidR="00AB69B9">
        <w:rPr>
          <w:rStyle w:val="FootnoteReference"/>
        </w:rPr>
        <w:footnoteReference w:id="65"/>
      </w:r>
    </w:p>
    <w:p w:rsidR="00A878D6" w:rsidRDefault="00444D15" w:rsidP="00A878D6">
      <w:r>
        <w:t>Energeia's review of this aspect of AusNet Services' application 'first attempted to determine whether the IT investments were made on a cost savings basis, which resulted in lower cost elsewhere, for example opex'.</w:t>
      </w:r>
      <w:r>
        <w:rPr>
          <w:rStyle w:val="FootnoteReference"/>
        </w:rPr>
        <w:footnoteReference w:id="66"/>
      </w:r>
      <w:r>
        <w:t xml:space="preserve"> In response to information requests, no such business cases were provided.</w:t>
      </w:r>
      <w:r>
        <w:rPr>
          <w:rStyle w:val="FootnoteReference"/>
        </w:rPr>
        <w:footnoteReference w:id="67"/>
      </w:r>
      <w:r>
        <w:t xml:space="preserve"> </w:t>
      </w:r>
      <w:r w:rsidR="000F1DD2">
        <w:t>This led to Energeia finding that AusNet Services 'is not implementing good investment governance, which would have generated the business cases and made them easily available for review'.</w:t>
      </w:r>
      <w:r w:rsidR="000F1DD2">
        <w:rPr>
          <w:rStyle w:val="FootnoteReference"/>
        </w:rPr>
        <w:footnoteReference w:id="68"/>
      </w:r>
    </w:p>
    <w:p w:rsidR="000F1DD2" w:rsidRDefault="000F1DD2" w:rsidP="00A878D6">
      <w:r>
        <w:t xml:space="preserve">Energeia's assessment also included analysis of whether the proposed excess expenditure for IT capex was driven by timing. More specifically, </w:t>
      </w:r>
      <w:r w:rsidR="007E7D8D">
        <w:t xml:space="preserve">Energeia sought to determine whether the proposed excess expenditure was due to </w:t>
      </w:r>
      <w:r>
        <w:t>AusNet Services bringing forward investment in its IT systems</w:t>
      </w:r>
      <w:r w:rsidR="00975000">
        <w:t xml:space="preserve"> in this earlier period</w:t>
      </w:r>
      <w:r>
        <w:t xml:space="preserve"> which the other Victorian </w:t>
      </w:r>
      <w:r w:rsidR="002A5FC8">
        <w:t>businesses</w:t>
      </w:r>
      <w:r>
        <w:t xml:space="preserve">, facing similar circumstances, had </w:t>
      </w:r>
      <w:r w:rsidR="00975000">
        <w:t xml:space="preserve">decided to defer to a later period and </w:t>
      </w:r>
      <w:r>
        <w:t>included in their 2016–20</w:t>
      </w:r>
      <w:r w:rsidR="00902EB5">
        <w:t>20 distribution determination</w:t>
      </w:r>
      <w:r w:rsidR="002A5FC8">
        <w:t>.</w:t>
      </w:r>
      <w:r>
        <w:t xml:space="preserve"> </w:t>
      </w:r>
      <w:r w:rsidR="00FC3940">
        <w:fldChar w:fldCharType="begin"/>
      </w:r>
      <w:r w:rsidR="00FC3940">
        <w:instrText xml:space="preserve"> REF _Ref459891125 \h </w:instrText>
      </w:r>
      <w:r w:rsidR="00FC3940">
        <w:fldChar w:fldCharType="separate"/>
      </w:r>
      <w:r w:rsidR="003C3A1D">
        <w:t xml:space="preserve">Figure </w:t>
      </w:r>
      <w:r w:rsidR="003C3A1D">
        <w:rPr>
          <w:noProof/>
        </w:rPr>
        <w:t>4</w:t>
      </w:r>
      <w:r w:rsidR="003C3A1D">
        <w:t>.</w:t>
      </w:r>
      <w:r w:rsidR="003C3A1D">
        <w:rPr>
          <w:noProof/>
        </w:rPr>
        <w:t>4</w:t>
      </w:r>
      <w:r w:rsidR="00FC3940">
        <w:fldChar w:fldCharType="end"/>
      </w:r>
      <w:r w:rsidR="00FC3940">
        <w:t xml:space="preserve"> </w:t>
      </w:r>
      <w:r w:rsidR="002A5FC8">
        <w:t xml:space="preserve">presents Energeia's analysis. It shows </w:t>
      </w:r>
      <w:r>
        <w:t xml:space="preserve">that </w:t>
      </w:r>
      <w:r w:rsidR="002A5FC8">
        <w:t>AusNet Services</w:t>
      </w:r>
      <w:r w:rsidR="0063225E">
        <w:t>'</w:t>
      </w:r>
      <w:r w:rsidR="00AF3DA7">
        <w:t xml:space="preserve"> excess IT capital expenditure in 2014 and 2015 represents a substantially greater investment in IT systems than the other Victorian distributors forec</w:t>
      </w:r>
      <w:r w:rsidR="008E7D3D">
        <w:t>ast to spend in the 2016–20 distribution determination</w:t>
      </w:r>
      <w:r w:rsidR="00AF3DA7">
        <w:t xml:space="preserve"> period. This indicates that the proposed excess IT capital expenditure is not due to timing. </w:t>
      </w:r>
      <w:r w:rsidR="0063225E">
        <w:t xml:space="preserve">   </w:t>
      </w:r>
    </w:p>
    <w:p w:rsidR="002A5FC8" w:rsidRDefault="00FC3940" w:rsidP="00FC3940">
      <w:pPr>
        <w:pStyle w:val="Caption"/>
      </w:pPr>
      <w:bookmarkStart w:id="72" w:name="_Ref459891125"/>
      <w:r>
        <w:t xml:space="preserve">Figure </w:t>
      </w:r>
      <w:r w:rsidR="004F0568">
        <w:fldChar w:fldCharType="begin"/>
      </w:r>
      <w:r w:rsidR="004F0568">
        <w:instrText xml:space="preserve"> STYLEREF 1 \s </w:instrText>
      </w:r>
      <w:r w:rsidR="004F0568">
        <w:fldChar w:fldCharType="separate"/>
      </w:r>
      <w:r w:rsidR="003C3A1D">
        <w:rPr>
          <w:noProof/>
        </w:rPr>
        <w:t>4</w:t>
      </w:r>
      <w:r w:rsidR="004F0568">
        <w:rPr>
          <w:noProof/>
        </w:rPr>
        <w:fldChar w:fldCharType="end"/>
      </w:r>
      <w:r w:rsidR="00434015">
        <w:t>.</w:t>
      </w:r>
      <w:fldSimple w:instr=" SEQ Figure \* ARABIC \s 1 ">
        <w:r w:rsidR="003C3A1D">
          <w:rPr>
            <w:noProof/>
          </w:rPr>
          <w:t>4</w:t>
        </w:r>
      </w:fldSimple>
      <w:bookmarkEnd w:id="72"/>
      <w:r w:rsidR="00576E4D">
        <w:tab/>
        <w:t>Comparison of AusNet Services' IT capex ($m 2018)</w:t>
      </w:r>
    </w:p>
    <w:p w:rsidR="002A5FC8" w:rsidRDefault="008826FA" w:rsidP="007E7D8D">
      <w:r w:rsidRPr="008826FA">
        <w:t xml:space="preserve"> </w:t>
      </w:r>
      <w:r w:rsidRPr="008826FA">
        <w:rPr>
          <w:noProof/>
          <w:lang w:val="en-US"/>
        </w:rPr>
        <w:drawing>
          <wp:inline distT="0" distB="0" distL="0" distR="0" wp14:anchorId="208A330E" wp14:editId="70D553EF">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8465B" w:rsidRDefault="0078465B" w:rsidP="0078465B">
      <w:pPr>
        <w:pStyle w:val="AERtablesource"/>
      </w:pPr>
      <w:r>
        <w:t>Source:</w:t>
      </w:r>
      <w:r>
        <w:tab/>
        <w:t xml:space="preserve">Energeia, </w:t>
      </w:r>
      <w:r w:rsidRPr="008826FA">
        <w:rPr>
          <w:rStyle w:val="AERtextitalic"/>
        </w:rPr>
        <w:t>Review of 2017 AMI transition applications</w:t>
      </w:r>
      <w:r>
        <w:t>, August 2016, p. 32.</w:t>
      </w:r>
    </w:p>
    <w:p w:rsidR="00EA5D5D" w:rsidRDefault="00AF3DA7" w:rsidP="007E7D8D">
      <w:r>
        <w:t xml:space="preserve">Based on Energeia's advice, we consider that an efficient entity in AusNet Services' circumstances would not require any more IT capex than the combined expenditure of CitiPower and Powercor. We have selected the combined IT capex of CitiPower and Powercor </w:t>
      </w:r>
      <w:r w:rsidR="00255078">
        <w:t xml:space="preserve">to derive our efficient benchmark comparator. This is </w:t>
      </w:r>
      <w:r>
        <w:t xml:space="preserve">because </w:t>
      </w:r>
      <w:r w:rsidR="00255078">
        <w:t>Powercor</w:t>
      </w:r>
      <w:r w:rsidR="00EA5D5D">
        <w:t xml:space="preserve"> is the closest comparator for AusNet Services, in terms of network characteristics and customer numbers</w:t>
      </w:r>
      <w:r w:rsidR="00255078">
        <w:t xml:space="preserve"> and</w:t>
      </w:r>
      <w:r w:rsidR="00EA5D5D">
        <w:t xml:space="preserve"> Powercor shares its IT systems with CitiPower. </w:t>
      </w:r>
    </w:p>
    <w:p w:rsidR="00AF3DA7" w:rsidRDefault="00E95A93" w:rsidP="007E7D8D">
      <w:r>
        <w:t>Ta</w:t>
      </w:r>
      <w:r w:rsidR="00F41D77">
        <w:t xml:space="preserve">king this approach, we accept an </w:t>
      </w:r>
      <w:r>
        <w:t>exc</w:t>
      </w:r>
      <w:r w:rsidR="00F41D77">
        <w:t>es</w:t>
      </w:r>
      <w:r w:rsidR="00F45DE6">
        <w:t>s IT capital expenditure of $5.7</w:t>
      </w:r>
      <w:r>
        <w:t xml:space="preserve"> million ($2018). This amount is equal to the </w:t>
      </w:r>
      <w:r w:rsidR="00CF0CCD">
        <w:t xml:space="preserve">difference between CitiPower and Powercor's </w:t>
      </w:r>
      <w:r>
        <w:t xml:space="preserve">IT system capex </w:t>
      </w:r>
      <w:r w:rsidR="00CF0CCD" w:rsidRPr="00CF0CCD">
        <w:t xml:space="preserve">($6.6 million ($2018)) </w:t>
      </w:r>
      <w:r w:rsidR="00CF0CCD">
        <w:t xml:space="preserve">and AusNet Services IT system capex ($0.9 million ($2018)), </w:t>
      </w:r>
      <w:r>
        <w:t xml:space="preserve">which we approved in </w:t>
      </w:r>
      <w:r w:rsidR="00CF0CCD">
        <w:t xml:space="preserve">the </w:t>
      </w:r>
      <w:r w:rsidR="008E7D3D">
        <w:t>2016–20</w:t>
      </w:r>
      <w:r w:rsidR="00F45DE6">
        <w:t>20</w:t>
      </w:r>
      <w:r w:rsidR="008E7D3D">
        <w:t xml:space="preserve"> distribution determination</w:t>
      </w:r>
      <w:r w:rsidR="00CF0CCD">
        <w:t>s</w:t>
      </w:r>
      <w:r>
        <w:t xml:space="preserve">. Consistent with Energeia's advice to us, we consider this to be the efficient level of IT capex which a prudent operator in AusNet Services' circumstances would </w:t>
      </w:r>
      <w:r w:rsidR="00F41D77">
        <w:t>have incurred in 2014 and 2015.</w:t>
      </w:r>
    </w:p>
    <w:p w:rsidR="002059A7" w:rsidRPr="002059A7" w:rsidRDefault="002059A7" w:rsidP="002059A7">
      <w:pPr>
        <w:pStyle w:val="Heading3"/>
      </w:pPr>
      <w:bookmarkStart w:id="73" w:name="_Toc461447507"/>
      <w:bookmarkStart w:id="74" w:name="_Toc461526270"/>
      <w:r>
        <w:t>Excess operating expenditure</w:t>
      </w:r>
      <w:bookmarkEnd w:id="73"/>
      <w:bookmarkEnd w:id="74"/>
      <w:r w:rsidR="001B5ABA">
        <w:t xml:space="preserve"> </w:t>
      </w:r>
    </w:p>
    <w:p w:rsidR="00320379" w:rsidRDefault="00EC2F97" w:rsidP="002059A7">
      <w:r>
        <w:t>We accept $22.2</w:t>
      </w:r>
      <w:r w:rsidR="00320379">
        <w:t xml:space="preserve"> million ($2018) of AusNet Services' proposed excess operating expenditure. Our draft decision is that this amount meets the requirements in the Order to be recover</w:t>
      </w:r>
      <w:r w:rsidR="00F41D77">
        <w:t>ed</w:t>
      </w:r>
      <w:r w:rsidR="00320379">
        <w:t xml:space="preserve"> through the transition charge. </w:t>
      </w:r>
      <w:r w:rsidR="00D30EB3">
        <w:t>The amount which we accept is equal to a</w:t>
      </w:r>
      <w:r w:rsidR="00255078">
        <w:t>round</w:t>
      </w:r>
      <w:r>
        <w:t xml:space="preserve"> 78</w:t>
      </w:r>
      <w:r w:rsidR="00D30EB3">
        <w:t xml:space="preserve"> percent of </w:t>
      </w:r>
      <w:r w:rsidR="00A87952">
        <w:t>AusNet Services</w:t>
      </w:r>
      <w:r w:rsidR="00C546F4">
        <w:t>'</w:t>
      </w:r>
      <w:r w:rsidR="00A87952">
        <w:t xml:space="preserve"> proposed </w:t>
      </w:r>
      <w:r w:rsidR="00D30EB3">
        <w:t>$28.6 million ($2018).</w:t>
      </w:r>
    </w:p>
    <w:p w:rsidR="00D30EB3" w:rsidRDefault="00D30EB3" w:rsidP="002059A7">
      <w:r>
        <w:t>When considering its excess operating expenditure proposal, AusNet Services submitted that we must take our 2016–20</w:t>
      </w:r>
      <w:r w:rsidR="00902EB5">
        <w:t>20 distribution determination i</w:t>
      </w:r>
      <w:r>
        <w:t>nto account. In that determination, we applied a 'base–step–trend' approach to forecast</w:t>
      </w:r>
      <w:r w:rsidR="00EA46DC">
        <w:t xml:space="preserve">ing AusNet Services' alternative control opex requirement for the 2016–20 regulatory control period. </w:t>
      </w:r>
      <w:r w:rsidR="00A87952">
        <w:t>In selecting 2014 as the base year, we</w:t>
      </w:r>
      <w:r w:rsidR="00EA46DC">
        <w:t xml:space="preserve"> declined to make an efficiency adjustment. Our reasoning was that AusNet Services' actual opex in 2014 'does not contain material inefficiencies… on the basis that the Victorian distribution businesses are generally </w:t>
      </w:r>
      <w:r w:rsidR="00A87952">
        <w:t>efficient</w:t>
      </w:r>
      <w:r w:rsidR="00EA46DC">
        <w:t>'.</w:t>
      </w:r>
      <w:r w:rsidR="00EA46DC">
        <w:rPr>
          <w:rStyle w:val="FootnoteReference"/>
        </w:rPr>
        <w:footnoteReference w:id="69"/>
      </w:r>
    </w:p>
    <w:p w:rsidR="00BA41FD" w:rsidRDefault="00C546F4" w:rsidP="002059A7">
      <w:r>
        <w:t xml:space="preserve">AusNet Services' transition charge application submitted that our assessment of its base opex requirement in the </w:t>
      </w:r>
      <w:r w:rsidR="00902EB5">
        <w:t>2016–2020 distribution determination</w:t>
      </w:r>
      <w:r>
        <w:t xml:space="preserve"> supports its </w:t>
      </w:r>
      <w:r w:rsidR="00A87952">
        <w:t>2014 and 2015 excess operating expenditure proposal.</w:t>
      </w:r>
      <w:r>
        <w:t xml:space="preserve"> </w:t>
      </w:r>
      <w:r w:rsidR="00FB2382">
        <w:t>This implies that since we used AusNet Services</w:t>
      </w:r>
      <w:r w:rsidR="00A1711C">
        <w:t>'</w:t>
      </w:r>
      <w:r w:rsidR="00FB2382">
        <w:t xml:space="preserve"> actual opex in 2014 to derive </w:t>
      </w:r>
      <w:r w:rsidR="002E0B69">
        <w:t>a forecast for the 2016–</w:t>
      </w:r>
      <w:r w:rsidR="009801E5">
        <w:t>20</w:t>
      </w:r>
      <w:r w:rsidR="00A77BCF">
        <w:t>20</w:t>
      </w:r>
      <w:r w:rsidR="009801E5">
        <w:t xml:space="preserve"> </w:t>
      </w:r>
      <w:r w:rsidR="00A77BCF">
        <w:t xml:space="preserve">regulatory control </w:t>
      </w:r>
      <w:r w:rsidR="009801E5">
        <w:t>period</w:t>
      </w:r>
      <w:r w:rsidR="00A342F5">
        <w:t>,</w:t>
      </w:r>
      <w:r w:rsidR="00FB2382">
        <w:t xml:space="preserve"> the proposed 2014 excess operating expenditure should be deemed efficient and, </w:t>
      </w:r>
      <w:r w:rsidR="00997651">
        <w:t xml:space="preserve">it should be inferred </w:t>
      </w:r>
      <w:r w:rsidR="00FB2382">
        <w:t>by extension, the proposed 2015 excess operating expenditure.</w:t>
      </w:r>
    </w:p>
    <w:p w:rsidR="0062661B" w:rsidRDefault="00A1711C" w:rsidP="002059A7">
      <w:r>
        <w:t xml:space="preserve">We do not accept this aspect of AusNet Services' proposal. </w:t>
      </w:r>
      <w:r w:rsidR="00BA41FD">
        <w:t>The assessment under the 2016–20</w:t>
      </w:r>
      <w:r w:rsidR="00902EB5">
        <w:t xml:space="preserve">20 distribution determination </w:t>
      </w:r>
      <w:r w:rsidR="00BA41FD">
        <w:t>is distinct from that under the Order</w:t>
      </w:r>
      <w:r w:rsidR="009801E5">
        <w:t>.  It is</w:t>
      </w:r>
      <w:r w:rsidR="00A77BCF">
        <w:t xml:space="preserve"> </w:t>
      </w:r>
      <w:r w:rsidR="00BA41FD">
        <w:t>undertaken for different purposes</w:t>
      </w:r>
      <w:r w:rsidR="0062661B">
        <w:t xml:space="preserve"> and</w:t>
      </w:r>
      <w:r w:rsidR="009801E5">
        <w:t xml:space="preserve"> under different rules</w:t>
      </w:r>
      <w:r w:rsidR="00FF0656">
        <w:t>.</w:t>
      </w:r>
    </w:p>
    <w:p w:rsidR="00386C14" w:rsidRDefault="00BA41FD" w:rsidP="002059A7">
      <w:r>
        <w:t xml:space="preserve">Our decision </w:t>
      </w:r>
      <w:r w:rsidR="00902EB5">
        <w:t>in the 2016–2020 distribution determination</w:t>
      </w:r>
      <w:r w:rsidR="003E33DE" w:rsidRPr="003E33DE">
        <w:t xml:space="preserve"> </w:t>
      </w:r>
      <w:r w:rsidR="0062661B">
        <w:t xml:space="preserve">was </w:t>
      </w:r>
      <w:r w:rsidR="009801E5" w:rsidRPr="009801E5">
        <w:t xml:space="preserve">to approve </w:t>
      </w:r>
      <w:r w:rsidR="009801E5">
        <w:t xml:space="preserve">a total </w:t>
      </w:r>
      <w:r w:rsidR="0062661B">
        <w:t xml:space="preserve">opex </w:t>
      </w:r>
      <w:r w:rsidR="009801E5">
        <w:t>forecast</w:t>
      </w:r>
      <w:r w:rsidR="009801E5" w:rsidRPr="009801E5">
        <w:t xml:space="preserve"> </w:t>
      </w:r>
      <w:r w:rsidR="0062661B">
        <w:t xml:space="preserve">for AusNet </w:t>
      </w:r>
      <w:r w:rsidR="00A77BCF">
        <w:t xml:space="preserve">Services </w:t>
      </w:r>
      <w:r w:rsidR="0062661B">
        <w:t>that</w:t>
      </w:r>
      <w:r w:rsidR="009801E5" w:rsidRPr="009801E5">
        <w:t xml:space="preserve"> reasonably reflect</w:t>
      </w:r>
      <w:r w:rsidR="0062661B">
        <w:t>ed</w:t>
      </w:r>
      <w:r w:rsidR="009801E5" w:rsidRPr="009801E5">
        <w:t xml:space="preserve"> </w:t>
      </w:r>
      <w:r w:rsidR="00FF0656">
        <w:t xml:space="preserve">the </w:t>
      </w:r>
      <w:r w:rsidR="009801E5" w:rsidRPr="009801E5">
        <w:t xml:space="preserve">criteria set out in clause 6.5.6 of the NER. </w:t>
      </w:r>
    </w:p>
    <w:p w:rsidR="00FF0656" w:rsidRDefault="0062661B" w:rsidP="002059A7">
      <w:r>
        <w:t xml:space="preserve">While we built our forecast </w:t>
      </w:r>
      <w:r w:rsidR="002E0B69">
        <w:t>for the 2016–</w:t>
      </w:r>
      <w:r w:rsidR="00FF0656">
        <w:t>20</w:t>
      </w:r>
      <w:r w:rsidR="00A77BCF">
        <w:t>20 regulatory control</w:t>
      </w:r>
      <w:r w:rsidR="00FF0656">
        <w:t xml:space="preserve"> period </w:t>
      </w:r>
      <w:r>
        <w:t>from past actual costs in</w:t>
      </w:r>
      <w:r w:rsidR="00175A09">
        <w:t xml:space="preserve">curred by AusNet </w:t>
      </w:r>
      <w:r w:rsidR="00A77BCF">
        <w:t xml:space="preserve">Services </w:t>
      </w:r>
      <w:r w:rsidR="00175A09">
        <w:t>in</w:t>
      </w:r>
      <w:r>
        <w:t xml:space="preserve"> 2014, </w:t>
      </w:r>
      <w:r w:rsidR="00175A09">
        <w:t xml:space="preserve">our </w:t>
      </w:r>
      <w:r w:rsidR="00386C14">
        <w:t>forecast</w:t>
      </w:r>
      <w:r w:rsidR="00175A09">
        <w:t xml:space="preserve"> </w:t>
      </w:r>
      <w:r w:rsidR="00386C14">
        <w:t>did</w:t>
      </w:r>
      <w:r w:rsidR="00175A09">
        <w:t xml:space="preserve"> not approve a budget for</w:t>
      </w:r>
      <w:r w:rsidR="009801E5">
        <w:t xml:space="preserve"> any particular category of operating expenditure. </w:t>
      </w:r>
      <w:r w:rsidR="00FF0656">
        <w:t>When we set e</w:t>
      </w:r>
      <w:r w:rsidR="00386C14">
        <w:t>xpenditure forecasts in distribution determinations</w:t>
      </w:r>
      <w:r w:rsidR="00FF0656">
        <w:t>, we</w:t>
      </w:r>
      <w:r w:rsidR="00386C14">
        <w:t xml:space="preserve"> are</w:t>
      </w:r>
      <w:r w:rsidR="00175A09">
        <w:t xml:space="preserve"> not </w:t>
      </w:r>
      <w:r w:rsidR="00FF0656">
        <w:t>seeking</w:t>
      </w:r>
      <w:r w:rsidR="00175A09">
        <w:t xml:space="preserve"> to pass through to consumers any particular </w:t>
      </w:r>
      <w:r w:rsidR="00386C14">
        <w:t xml:space="preserve">actual </w:t>
      </w:r>
      <w:r w:rsidR="00175A09">
        <w:t xml:space="preserve">costs of a service provider </w:t>
      </w:r>
      <w:r w:rsidR="00FF0656">
        <w:t xml:space="preserve">for any particular project, </w:t>
      </w:r>
      <w:r w:rsidR="00175A09">
        <w:t xml:space="preserve">but rather to set an incentive based </w:t>
      </w:r>
      <w:r w:rsidR="00FF0656">
        <w:t xml:space="preserve">overall </w:t>
      </w:r>
      <w:r w:rsidR="00175A09">
        <w:t>target forecast for total opex</w:t>
      </w:r>
      <w:r w:rsidR="00FF0656">
        <w:t>.  We explain this</w:t>
      </w:r>
      <w:r w:rsidR="00997651">
        <w:t xml:space="preserve"> task</w:t>
      </w:r>
      <w:r w:rsidR="00386C14">
        <w:t xml:space="preserve"> in our Explanatory Statement to our Expenditure Forecast Assessment Guideline</w:t>
      </w:r>
      <w:r w:rsidR="00FF0656">
        <w:t xml:space="preserve"> as follows:</w:t>
      </w:r>
    </w:p>
    <w:p w:rsidR="0062661B" w:rsidRDefault="00FF0656" w:rsidP="00A71E73">
      <w:pPr>
        <w:pStyle w:val="AERquote"/>
      </w:pPr>
      <w:r w:rsidRPr="00FF0656">
        <w:t>Two fundamental points are relevant to how we perform our task. First, the NER requires us to form a view on forecast total capex and opex, rather than subcomponents such as individual projects and programs</w:t>
      </w:r>
      <w:r w:rsidR="002E0B69">
        <w:t>…</w:t>
      </w:r>
      <w:r w:rsidR="00CD23E8">
        <w:rPr>
          <w:rStyle w:val="FootnoteReference"/>
        </w:rPr>
        <w:footnoteReference w:id="70"/>
      </w:r>
      <w:r w:rsidRPr="00FF0656">
        <w:t xml:space="preserve"> </w:t>
      </w:r>
      <w:r w:rsidR="00175A09">
        <w:t xml:space="preserve">  </w:t>
      </w:r>
    </w:p>
    <w:p w:rsidR="009801E5" w:rsidRDefault="003E33DE" w:rsidP="002059A7">
      <w:r>
        <w:t xml:space="preserve">The </w:t>
      </w:r>
      <w:r w:rsidR="00BA41FD">
        <w:t xml:space="preserve">Order </w:t>
      </w:r>
      <w:r>
        <w:t xml:space="preserve">on the other hand, </w:t>
      </w:r>
      <w:r w:rsidR="00975000">
        <w:t xml:space="preserve">requires </w:t>
      </w:r>
      <w:r w:rsidR="0062661B">
        <w:t xml:space="preserve">a very specific and </w:t>
      </w:r>
      <w:r w:rsidR="00BA41FD">
        <w:t>ex-post</w:t>
      </w:r>
      <w:r>
        <w:t xml:space="preserve"> or backward looking efficiency assessment </w:t>
      </w:r>
      <w:r w:rsidR="009801E5">
        <w:t>of</w:t>
      </w:r>
      <w:r w:rsidR="009801E5" w:rsidRPr="009801E5">
        <w:t xml:space="preserve"> </w:t>
      </w:r>
      <w:r w:rsidR="00386C14">
        <w:t xml:space="preserve">AMI </w:t>
      </w:r>
      <w:r w:rsidR="00FF0656">
        <w:t xml:space="preserve">project </w:t>
      </w:r>
      <w:r w:rsidR="00386C14">
        <w:t>costs</w:t>
      </w:r>
      <w:r w:rsidR="009801E5" w:rsidRPr="009801E5">
        <w:t xml:space="preserve"> </w:t>
      </w:r>
      <w:r>
        <w:t xml:space="preserve">under a cost pass through arrangement. </w:t>
      </w:r>
    </w:p>
    <w:p w:rsidR="007A57E0" w:rsidRDefault="00FF0656" w:rsidP="00386C14">
      <w:r>
        <w:t>Furthermore, we make each decision at different points in time, and we have different information available to us at those different points in time to which we must have regard. For the purposes of our current draft decision</w:t>
      </w:r>
      <w:r w:rsidR="00175A09">
        <w:t>, w</w:t>
      </w:r>
      <w:r w:rsidR="0062661B" w:rsidRPr="0062661B">
        <w:t xml:space="preserve">e </w:t>
      </w:r>
      <w:r w:rsidR="007A57E0">
        <w:t xml:space="preserve">have access to </w:t>
      </w:r>
      <w:r w:rsidR="00386C14">
        <w:t xml:space="preserve">additional </w:t>
      </w:r>
      <w:r w:rsidR="007A57E0">
        <w:t>information</w:t>
      </w:r>
      <w:r w:rsidR="00A1711C">
        <w:t xml:space="preserve"> </w:t>
      </w:r>
      <w:r w:rsidR="00975000">
        <w:t>about</w:t>
      </w:r>
      <w:r w:rsidR="00175A09">
        <w:t xml:space="preserve"> AMI costs </w:t>
      </w:r>
      <w:r w:rsidR="00386C14">
        <w:t>for</w:t>
      </w:r>
      <w:r w:rsidR="00175A09">
        <w:t xml:space="preserve"> </w:t>
      </w:r>
      <w:r w:rsidR="00386C14">
        <w:t xml:space="preserve">the </w:t>
      </w:r>
      <w:r w:rsidR="00175A09">
        <w:t>2014 and 2015</w:t>
      </w:r>
      <w:r w:rsidR="00975000">
        <w:t xml:space="preserve"> </w:t>
      </w:r>
      <w:r w:rsidR="00386C14">
        <w:t xml:space="preserve">years </w:t>
      </w:r>
      <w:r w:rsidR="00A1711C">
        <w:t xml:space="preserve">which </w:t>
      </w:r>
      <w:r w:rsidR="007A57E0">
        <w:t xml:space="preserve">was not </w:t>
      </w:r>
      <w:r w:rsidR="00386C14">
        <w:t xml:space="preserve">before us </w:t>
      </w:r>
      <w:r w:rsidR="007A57E0">
        <w:t xml:space="preserve">when we made </w:t>
      </w:r>
      <w:r w:rsidR="00386C14">
        <w:t xml:space="preserve">our </w:t>
      </w:r>
      <w:r w:rsidR="00902EB5">
        <w:t>2016–2020 distribution determination</w:t>
      </w:r>
      <w:r w:rsidR="007A57E0">
        <w:t>.</w:t>
      </w:r>
    </w:p>
    <w:p w:rsidR="005317EB" w:rsidRDefault="002E65F0" w:rsidP="002059A7">
      <w:r>
        <w:t xml:space="preserve">Among the information which was not </w:t>
      </w:r>
      <w:r w:rsidR="00997651">
        <w:t>before</w:t>
      </w:r>
      <w:r>
        <w:t xml:space="preserve"> us during the </w:t>
      </w:r>
      <w:r w:rsidR="00902EB5">
        <w:t>2016–2020 distribution determination i</w:t>
      </w:r>
      <w:r>
        <w:t xml:space="preserve">s the report </w:t>
      </w:r>
      <w:r w:rsidR="00997651">
        <w:t xml:space="preserve">of </w:t>
      </w:r>
      <w:r>
        <w:t xml:space="preserve">Energeia. </w:t>
      </w:r>
      <w:r w:rsidR="00F8285B">
        <w:t>This report included benchmarking analysis</w:t>
      </w:r>
      <w:r w:rsidR="00F9135C">
        <w:t xml:space="preserve"> of a kind provided for under the Order and</w:t>
      </w:r>
      <w:r w:rsidR="00F8285B">
        <w:t xml:space="preserve"> which under the Order</w:t>
      </w:r>
      <w:r w:rsidR="005317EB">
        <w:t xml:space="preserve"> we must </w:t>
      </w:r>
      <w:r w:rsidR="00F8285B">
        <w:t>take into account</w:t>
      </w:r>
      <w:r w:rsidR="005317EB">
        <w:t>.</w:t>
      </w:r>
      <w:r w:rsidR="005317EB">
        <w:rPr>
          <w:rStyle w:val="FootnoteReference"/>
        </w:rPr>
        <w:footnoteReference w:id="71"/>
      </w:r>
      <w:r w:rsidR="00F8285B">
        <w:t xml:space="preserve"> In particular, </w:t>
      </w:r>
      <w:r>
        <w:t>Energeia's benchmarking analysis found that 'AusNet Services opex per customer over the 2009–15 period was the second highest of all [Victorian electricity distributors]'.</w:t>
      </w:r>
      <w:r w:rsidR="005317EB">
        <w:rPr>
          <w:rStyle w:val="FootnoteReference"/>
        </w:rPr>
        <w:footnoteReference w:id="72"/>
      </w:r>
      <w:r>
        <w:t xml:space="preserve"> It also found that AusNet Services' was '$100 per meter or $68 million higher than the benchmark efficie</w:t>
      </w:r>
      <w:r w:rsidR="005317EB">
        <w:t>nt entity for opex, which Energeia concludes was Powercor'.</w:t>
      </w:r>
      <w:r w:rsidR="005317EB">
        <w:rPr>
          <w:rStyle w:val="FootnoteReference"/>
        </w:rPr>
        <w:footnoteReference w:id="73"/>
      </w:r>
      <w:r w:rsidR="005317EB">
        <w:t xml:space="preserve"> </w:t>
      </w:r>
      <w:r w:rsidR="007660FC">
        <w:t xml:space="preserve">While Energeia accepts that the AER findings in its 2016–2020 </w:t>
      </w:r>
      <w:r w:rsidR="00E0035F">
        <w:t xml:space="preserve">distribution </w:t>
      </w:r>
      <w:r w:rsidR="007660FC">
        <w:t xml:space="preserve">determination are 'more relevant' at this level, Energeia's subsequent analysis of selected excess expenditure leads to its finding that opex should be lower than that sought by AusNet Services with respect to meter reading and customer service and project management office expenditure. </w:t>
      </w:r>
      <w:r w:rsidR="00F8285B">
        <w:t>More information on this analysis is set out in section</w:t>
      </w:r>
      <w:r w:rsidR="00AB69B9">
        <w:t xml:space="preserve"> </w:t>
      </w:r>
      <w:r w:rsidR="00AB69B9">
        <w:fldChar w:fldCharType="begin"/>
      </w:r>
      <w:r w:rsidR="00AB69B9">
        <w:instrText xml:space="preserve"> REF _Ref460419315 \r \h </w:instrText>
      </w:r>
      <w:r w:rsidR="00AB69B9">
        <w:fldChar w:fldCharType="separate"/>
      </w:r>
      <w:r w:rsidR="003C3A1D">
        <w:t>9</w:t>
      </w:r>
      <w:r w:rsidR="00AB69B9">
        <w:fldChar w:fldCharType="end"/>
      </w:r>
      <w:r w:rsidR="00F8285B">
        <w:t>.</w:t>
      </w:r>
    </w:p>
    <w:p w:rsidR="00754AE3" w:rsidRDefault="00754AE3" w:rsidP="002059A7">
      <w:r>
        <w:t>The Victorian Government also raised concerns about the extent of the customer service and project management office expenditure excess</w:t>
      </w:r>
      <w:r w:rsidR="007660FC">
        <w:t xml:space="preserve"> given that CitiPower, Powercor and United Energy did not seek an expenditure excess for these costs</w:t>
      </w:r>
      <w:r>
        <w:t>.</w:t>
      </w:r>
      <w:r>
        <w:rPr>
          <w:rStyle w:val="FootnoteReference"/>
        </w:rPr>
        <w:footnoteReference w:id="74"/>
      </w:r>
    </w:p>
    <w:p w:rsidR="0062661B" w:rsidRDefault="0062661B" w:rsidP="0062661B">
      <w:r>
        <w:t>The findings</w:t>
      </w:r>
      <w:r w:rsidR="00FF0656">
        <w:t xml:space="preserve"> we referred to</w:t>
      </w:r>
      <w:r>
        <w:t xml:space="preserve"> in </w:t>
      </w:r>
      <w:r w:rsidR="00FF0656">
        <w:t>our</w:t>
      </w:r>
      <w:r>
        <w:t xml:space="preserve"> 2016–2020 distribution determination </w:t>
      </w:r>
      <w:r w:rsidR="00FF0656">
        <w:t>when approving a</w:t>
      </w:r>
      <w:r>
        <w:t xml:space="preserve"> total opex forecast, though relevant, are </w:t>
      </w:r>
      <w:r w:rsidR="00997651">
        <w:t xml:space="preserve">therefore </w:t>
      </w:r>
      <w:r>
        <w:t xml:space="preserve">not determinative of the quite separate decision we must make now under the distinct requirements of the Order. </w:t>
      </w:r>
    </w:p>
    <w:p w:rsidR="005317EB" w:rsidRDefault="005317EB" w:rsidP="002059A7">
      <w:r>
        <w:t xml:space="preserve">Based on Energeia's </w:t>
      </w:r>
      <w:r w:rsidR="007660FC">
        <w:t>analysis</w:t>
      </w:r>
      <w:r>
        <w:t>, we conclude that AusNet Services' proposed 2014 and 2015 excess operating expenditure</w:t>
      </w:r>
      <w:r w:rsidR="00394BC3">
        <w:t xml:space="preserve"> of $28.6 million ($2018)</w:t>
      </w:r>
      <w:r w:rsidR="00524381">
        <w:t xml:space="preserve"> does not</w:t>
      </w:r>
      <w:r>
        <w:t xml:space="preserve"> </w:t>
      </w:r>
      <w:r w:rsidR="007660FC">
        <w:t xml:space="preserve">reasonably </w:t>
      </w:r>
      <w:r>
        <w:t>reflect the efficient costs of a business providing AMI services</w:t>
      </w:r>
      <w:r w:rsidR="0062661B">
        <w:t>, within the terms of the Order</w:t>
      </w:r>
      <w:r>
        <w:t>.</w:t>
      </w:r>
      <w:r w:rsidR="00394BC3">
        <w:rPr>
          <w:rStyle w:val="FootnoteReference"/>
        </w:rPr>
        <w:footnoteReference w:id="75"/>
      </w:r>
      <w:r>
        <w:t xml:space="preserve"> </w:t>
      </w:r>
      <w:r w:rsidR="00435914">
        <w:t>We instead accept $22.2</w:t>
      </w:r>
      <w:r w:rsidR="00394BC3">
        <w:t xml:space="preserve"> million ($2018). This reflects a $1.7 million ($2018) reduction in </w:t>
      </w:r>
      <w:r w:rsidR="00940434">
        <w:t xml:space="preserve">AusNet Services' meter reading opex, which has been calculated by using our </w:t>
      </w:r>
      <w:r w:rsidR="003E33DE">
        <w:t xml:space="preserve">2016–20 </w:t>
      </w:r>
      <w:r w:rsidR="00974016">
        <w:t xml:space="preserve">distribution determination </w:t>
      </w:r>
      <w:r w:rsidR="00940434">
        <w:t>meter reading allowance.</w:t>
      </w:r>
      <w:r w:rsidR="00940434">
        <w:rPr>
          <w:rStyle w:val="FootnoteReference"/>
        </w:rPr>
        <w:footnoteReference w:id="76"/>
      </w:r>
      <w:r w:rsidR="00940434">
        <w:t xml:space="preserve"> It also includes a $4.7 million ($2018) reduction in customer service and project management costs due to the application of the 2012–15 Approved Budget unit prices for 2013, adjusted for CPI and wage inflation.</w:t>
      </w:r>
      <w:r w:rsidR="00940434">
        <w:rPr>
          <w:rStyle w:val="FootnoteReference"/>
        </w:rPr>
        <w:footnoteReference w:id="77"/>
      </w:r>
    </w:p>
    <w:p w:rsidR="00D30EB3" w:rsidRDefault="00D30EB3" w:rsidP="002059A7"/>
    <w:p w:rsidR="00511D62" w:rsidRDefault="00D25591" w:rsidP="00511D62">
      <w:pPr>
        <w:pStyle w:val="Heading1"/>
      </w:pPr>
      <w:bookmarkStart w:id="75" w:name="_Ref459906018"/>
      <w:bookmarkStart w:id="76" w:name="_Toc461526271"/>
      <w:r>
        <w:t>United Energy</w:t>
      </w:r>
      <w:bookmarkEnd w:id="75"/>
      <w:bookmarkEnd w:id="76"/>
    </w:p>
    <w:p w:rsidR="009A23F2" w:rsidRDefault="009A23F2" w:rsidP="009A23F2">
      <w:bookmarkStart w:id="77" w:name="_Toc460336342"/>
      <w:bookmarkEnd w:id="77"/>
      <w:r>
        <w:t>We do not accept United Energy's Transition Charge Application</w:t>
      </w:r>
      <w:r w:rsidR="00E77AFF">
        <w:t xml:space="preserve">, which proposed a </w:t>
      </w:r>
      <w:r w:rsidR="00596D1C">
        <w:t xml:space="preserve">positive </w:t>
      </w:r>
      <w:r w:rsidR="00E77AFF">
        <w:t xml:space="preserve">transition charge of </w:t>
      </w:r>
      <w:r w:rsidR="00596D1C">
        <w:t>$1.0 million ($2018)</w:t>
      </w:r>
      <w:r>
        <w:t xml:space="preserve">.  In place of its proposal, we have calculated a substitute transition charge. </w:t>
      </w:r>
    </w:p>
    <w:p w:rsidR="009A23F2" w:rsidRDefault="009A23F2" w:rsidP="009A23F2">
      <w:pPr>
        <w:pStyle w:val="Heading2"/>
      </w:pPr>
      <w:bookmarkStart w:id="78" w:name="_Toc461526272"/>
      <w:r>
        <w:t>Draft decision</w:t>
      </w:r>
      <w:bookmarkEnd w:id="78"/>
    </w:p>
    <w:p w:rsidR="009A23F2" w:rsidRDefault="009A23F2" w:rsidP="009A23F2">
      <w:r w:rsidRPr="00EA403A">
        <w:t>Our draft decision provides for a neg</w:t>
      </w:r>
      <w:r w:rsidR="008826FA">
        <w:t>ative transition charge of $3.9</w:t>
      </w:r>
      <w:r w:rsidRPr="00EA403A">
        <w:t xml:space="preserve"> million ($2018). </w:t>
      </w:r>
    </w:p>
    <w:p w:rsidR="003F035B" w:rsidRDefault="00AC5812" w:rsidP="009A23F2">
      <w:r>
        <w:t xml:space="preserve">Under the Order, the calculation of United Energy's transition charge must consist of a revenue and costs true–up and a MAB </w:t>
      </w:r>
      <w:r w:rsidR="00A83852">
        <w:t>adjustment</w:t>
      </w:r>
      <w:r>
        <w:t xml:space="preserve"> </w:t>
      </w:r>
      <w:r w:rsidR="00D42D38">
        <w:t xml:space="preserve">(see section </w:t>
      </w:r>
      <w:r w:rsidR="00D42D38">
        <w:fldChar w:fldCharType="begin"/>
      </w:r>
      <w:r w:rsidR="00D42D38">
        <w:instrText xml:space="preserve"> REF _Ref461458739 \n \h </w:instrText>
      </w:r>
      <w:r w:rsidR="00D42D38">
        <w:fldChar w:fldCharType="separate"/>
      </w:r>
      <w:r w:rsidR="003C3A1D">
        <w:t>3.1</w:t>
      </w:r>
      <w:r w:rsidR="00D42D38">
        <w:fldChar w:fldCharType="end"/>
      </w:r>
      <w:r w:rsidR="00D42D38">
        <w:t>)</w:t>
      </w:r>
      <w:r>
        <w:t>.</w:t>
      </w:r>
      <w:r w:rsidR="00A83852">
        <w:rPr>
          <w:rStyle w:val="FootnoteReference"/>
        </w:rPr>
        <w:footnoteReference w:id="78"/>
      </w:r>
      <w:r w:rsidR="007B522A">
        <w:t xml:space="preserve"> </w:t>
      </w:r>
      <w:r>
        <w:t xml:space="preserve">United Energy's </w:t>
      </w:r>
      <w:r w:rsidR="00D42D38">
        <w:t>application included the revenue and costs true–up in the calculation of its proposed transition charge</w:t>
      </w:r>
      <w:r w:rsidR="007B522A">
        <w:t xml:space="preserve"> but </w:t>
      </w:r>
      <w:r w:rsidR="00E77AFF">
        <w:t xml:space="preserve">did </w:t>
      </w:r>
      <w:r w:rsidR="007B522A">
        <w:t xml:space="preserve">not </w:t>
      </w:r>
      <w:r w:rsidR="00E77AFF">
        <w:t xml:space="preserve">include </w:t>
      </w:r>
      <w:r w:rsidR="007B522A">
        <w:t>the MAB adjustment</w:t>
      </w:r>
      <w:r w:rsidR="00D42D38">
        <w:t>. We have not accepted this as</w:t>
      </w:r>
      <w:r w:rsidR="00A83852">
        <w:t>pect of United Energy's proposal.</w:t>
      </w:r>
    </w:p>
    <w:p w:rsidR="009A23F2" w:rsidRDefault="00B92D4C" w:rsidP="009A23F2">
      <w:r>
        <w:fldChar w:fldCharType="begin"/>
      </w:r>
      <w:r>
        <w:instrText xml:space="preserve"> REF _Ref461451984 \h </w:instrText>
      </w:r>
      <w:r>
        <w:fldChar w:fldCharType="separate"/>
      </w:r>
      <w:r w:rsidR="003C3A1D">
        <w:t xml:space="preserve">Figure </w:t>
      </w:r>
      <w:r w:rsidR="003C3A1D">
        <w:rPr>
          <w:noProof/>
        </w:rPr>
        <w:t>5</w:t>
      </w:r>
      <w:r w:rsidR="003C3A1D">
        <w:t>.</w:t>
      </w:r>
      <w:r w:rsidR="003C3A1D">
        <w:rPr>
          <w:noProof/>
        </w:rPr>
        <w:t>1</w:t>
      </w:r>
      <w:r>
        <w:fldChar w:fldCharType="end"/>
      </w:r>
      <w:r>
        <w:t xml:space="preserve"> </w:t>
      </w:r>
      <w:r w:rsidR="009A23F2">
        <w:t>sets out the components that make up our draft decision. It shows that our draft decision transition charge consists of a</w:t>
      </w:r>
      <w:r>
        <w:t xml:space="preserve"> positive</w:t>
      </w:r>
      <w:r w:rsidR="009A23F2">
        <w:t xml:space="preserve"> revenue and costs true–up</w:t>
      </w:r>
      <w:r>
        <w:t xml:space="preserve"> of $1.0 </w:t>
      </w:r>
      <w:r w:rsidR="009A23F2">
        <w:t>million ($2018)</w:t>
      </w:r>
      <w:r w:rsidR="00A71E73">
        <w:t xml:space="preserve"> plus</w:t>
      </w:r>
      <w:r>
        <w:t xml:space="preserve"> a negative</w:t>
      </w:r>
      <w:r w:rsidR="009A23F2">
        <w:t xml:space="preserve"> MAB </w:t>
      </w:r>
      <w:r w:rsidR="003B5A94">
        <w:t>adjustment</w:t>
      </w:r>
      <w:r>
        <w:t xml:space="preserve"> of $4.9</w:t>
      </w:r>
      <w:r w:rsidR="009A23F2">
        <w:t xml:space="preserve"> million ($2018)</w:t>
      </w:r>
      <w:r w:rsidR="00A71E73">
        <w:t xml:space="preserve"> giving a total transition charge of negative $3.9 million ($2018)</w:t>
      </w:r>
      <w:r w:rsidR="009A23F2">
        <w:t>.</w:t>
      </w:r>
    </w:p>
    <w:p w:rsidR="009A23F2" w:rsidRDefault="009A23F2" w:rsidP="009A23F2">
      <w:pPr>
        <w:pStyle w:val="Caption"/>
      </w:pPr>
      <w:bookmarkStart w:id="79" w:name="_Ref461451984"/>
      <w:r>
        <w:t xml:space="preserve">Figure </w:t>
      </w:r>
      <w:r w:rsidRPr="009A23F2">
        <w:fldChar w:fldCharType="begin"/>
      </w:r>
      <w:r>
        <w:instrText xml:space="preserve"> STYLEREF 1 \s </w:instrText>
      </w:r>
      <w:r w:rsidRPr="009A23F2">
        <w:fldChar w:fldCharType="separate"/>
      </w:r>
      <w:r w:rsidR="003C3A1D">
        <w:rPr>
          <w:noProof/>
        </w:rPr>
        <w:t>5</w:t>
      </w:r>
      <w:r w:rsidRPr="009A23F2">
        <w:fldChar w:fldCharType="end"/>
      </w:r>
      <w:r>
        <w:t>.</w:t>
      </w:r>
      <w:fldSimple w:instr=" SEQ Figure \* ARABIC \s 1 ">
        <w:r w:rsidR="003C3A1D">
          <w:rPr>
            <w:noProof/>
          </w:rPr>
          <w:t>1</w:t>
        </w:r>
      </w:fldSimple>
      <w:bookmarkEnd w:id="79"/>
      <w:r>
        <w:tab/>
        <w:t>Draft decision transition charge ($2018)</w:t>
      </w:r>
    </w:p>
    <w:p w:rsidR="009A23F2" w:rsidRDefault="009A23F2" w:rsidP="009A23F2">
      <w:r w:rsidRPr="009A23F2">
        <w:rPr>
          <w:noProof/>
          <w:lang w:val="en-US"/>
        </w:rPr>
        <w:drawing>
          <wp:inline distT="0" distB="0" distL="0" distR="0" wp14:anchorId="4301EC56" wp14:editId="3BD48A77">
            <wp:extent cx="5382883" cy="1319842"/>
            <wp:effectExtent l="0" t="0" r="889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A23F2" w:rsidRDefault="009A23F2" w:rsidP="009A23F2">
      <w:pPr>
        <w:pStyle w:val="AERtablesource"/>
      </w:pPr>
      <w:r>
        <w:t>Source:</w:t>
      </w:r>
      <w:r>
        <w:tab/>
        <w:t>AER analysis</w:t>
      </w:r>
      <w:r w:rsidR="003F035B">
        <w:t>.</w:t>
      </w:r>
    </w:p>
    <w:p w:rsidR="009A23F2" w:rsidRDefault="009A23F2" w:rsidP="009A23F2">
      <w:pPr>
        <w:pStyle w:val="Heading3"/>
      </w:pPr>
      <w:bookmarkStart w:id="80" w:name="_Toc461526273"/>
      <w:r>
        <w:t>Revenue and costs true–up</w:t>
      </w:r>
      <w:bookmarkEnd w:id="80"/>
      <w:r w:rsidRPr="00EA403A">
        <w:t xml:space="preserve"> </w:t>
      </w:r>
    </w:p>
    <w:p w:rsidR="009A23F2" w:rsidRDefault="009A23F2" w:rsidP="009A23F2">
      <w:r>
        <w:t xml:space="preserve">We have calculated a </w:t>
      </w:r>
      <w:r w:rsidR="00B92D4C">
        <w:t>positive</w:t>
      </w:r>
      <w:r>
        <w:t xml:space="preserve"> revenue and costs true–up of $</w:t>
      </w:r>
      <w:r w:rsidR="00B92D4C">
        <w:t>1.0</w:t>
      </w:r>
      <w:r>
        <w:t xml:space="preserve"> million ($2018).</w:t>
      </w:r>
    </w:p>
    <w:p w:rsidR="00BD5E21" w:rsidRDefault="00B92D4C" w:rsidP="009A23F2">
      <w:r>
        <w:t xml:space="preserve">In making our draft decision, we have accepted United Energy's proposal to recover $25.3 million ($2018) in proposed 2014 and 2015 excess expenditure. </w:t>
      </w:r>
    </w:p>
    <w:p w:rsidR="00BD5E21" w:rsidRDefault="00BD5E21" w:rsidP="009A23F2">
      <w:r>
        <w:t xml:space="preserve">With respect to the revenue and costs true–up of the transition charge, the only difference between our draft decision and United Energy's proposal is the year in which we have determined the transition charge will apply. </w:t>
      </w:r>
    </w:p>
    <w:p w:rsidR="00BD5E21" w:rsidRDefault="00BD5E21" w:rsidP="009A23F2">
      <w:r>
        <w:t xml:space="preserve">In its application, United Energy sought to apply the charge in 2017. For the reasons outlined in section </w:t>
      </w:r>
      <w:r>
        <w:fldChar w:fldCharType="begin"/>
      </w:r>
      <w:r>
        <w:instrText xml:space="preserve"> REF _Ref461452768 \r \h </w:instrText>
      </w:r>
      <w:r>
        <w:fldChar w:fldCharType="separate"/>
      </w:r>
      <w:r w:rsidR="003C3A1D">
        <w:t>1</w:t>
      </w:r>
      <w:r>
        <w:fldChar w:fldCharType="end"/>
      </w:r>
      <w:r>
        <w:t xml:space="preserve"> above, our draft decision is to apply the true–up in the 2018 year of the 2016–20</w:t>
      </w:r>
      <w:r w:rsidR="00A71E73">
        <w:t>20</w:t>
      </w:r>
      <w:r>
        <w:t xml:space="preserve"> regulatory control period. To do this, we have adjusted for the time value of money. </w:t>
      </w:r>
    </w:p>
    <w:p w:rsidR="009A23F2" w:rsidRDefault="009A23F2" w:rsidP="009A23F2">
      <w:r>
        <w:t>To calculate the revenue and costs true–up in accordance with the Order, we followed a series of steps outlined below.</w:t>
      </w:r>
    </w:p>
    <w:p w:rsidR="009A23F2" w:rsidRPr="00A71E73" w:rsidRDefault="009A23F2" w:rsidP="00A71E73">
      <w:pPr>
        <w:pStyle w:val="HeadingBoldItalic"/>
        <w:rPr>
          <w:rStyle w:val="Strong"/>
          <w:b/>
          <w:bCs/>
        </w:rPr>
      </w:pPr>
      <w:r w:rsidRPr="00A71E73">
        <w:rPr>
          <w:rStyle w:val="Strong"/>
          <w:b/>
          <w:bCs/>
        </w:rPr>
        <w:t>Step one</w:t>
      </w:r>
    </w:p>
    <w:p w:rsidR="009A23F2" w:rsidRDefault="009A23F2" w:rsidP="009A23F2">
      <w:r>
        <w:t xml:space="preserve">The first step we took in calculating </w:t>
      </w:r>
      <w:r w:rsidR="00BD5E21">
        <w:t>United Energy's</w:t>
      </w:r>
      <w:r>
        <w:t xml:space="preserve"> revenue and costs true–up was to verify the distributor's </w:t>
      </w:r>
      <w:r w:rsidR="00A71E73">
        <w:t xml:space="preserve">actual </w:t>
      </w:r>
      <w:r>
        <w:t xml:space="preserve">AMI revenue </w:t>
      </w:r>
      <w:r w:rsidR="00A71E73">
        <w:t xml:space="preserve">recovered from its customers </w:t>
      </w:r>
      <w:r>
        <w:t xml:space="preserve">over the 2009–15 period. </w:t>
      </w:r>
    </w:p>
    <w:p w:rsidR="009A23F2" w:rsidRPr="006715B3" w:rsidRDefault="00BD5E21" w:rsidP="009A23F2">
      <w:r>
        <w:fldChar w:fldCharType="begin"/>
      </w:r>
      <w:r>
        <w:instrText xml:space="preserve"> REF _Ref461453014 \h </w:instrText>
      </w:r>
      <w:r>
        <w:fldChar w:fldCharType="separate"/>
      </w:r>
      <w:r w:rsidR="003C3A1D">
        <w:t xml:space="preserve">Table </w:t>
      </w:r>
      <w:r w:rsidR="003C3A1D">
        <w:rPr>
          <w:noProof/>
        </w:rPr>
        <w:t>5</w:t>
      </w:r>
      <w:r w:rsidR="003C3A1D">
        <w:t>.</w:t>
      </w:r>
      <w:r w:rsidR="003C3A1D">
        <w:rPr>
          <w:noProof/>
        </w:rPr>
        <w:t>1</w:t>
      </w:r>
      <w:r>
        <w:fldChar w:fldCharType="end"/>
      </w:r>
      <w:r>
        <w:t xml:space="preserve"> </w:t>
      </w:r>
      <w:r w:rsidR="009A23F2">
        <w:t xml:space="preserve">sets out </w:t>
      </w:r>
      <w:r>
        <w:t>United Energy's</w:t>
      </w:r>
      <w:r w:rsidR="009A23F2">
        <w:t xml:space="preserve"> AMI tariff revenue which we have verified against audited regulatory information notices.</w:t>
      </w:r>
    </w:p>
    <w:p w:rsidR="009A23F2" w:rsidRDefault="009A23F2" w:rsidP="009A23F2">
      <w:pPr>
        <w:pStyle w:val="Caption"/>
      </w:pPr>
      <w:bookmarkStart w:id="81" w:name="_Ref461453014"/>
      <w:r>
        <w:t xml:space="preserve">Table </w:t>
      </w:r>
      <w:r w:rsidRPr="009A23F2">
        <w:fldChar w:fldCharType="begin"/>
      </w:r>
      <w:r>
        <w:instrText xml:space="preserve"> STYLEREF 1 \s </w:instrText>
      </w:r>
      <w:r w:rsidRPr="009A23F2">
        <w:fldChar w:fldCharType="separate"/>
      </w:r>
      <w:r w:rsidR="003C3A1D">
        <w:rPr>
          <w:noProof/>
        </w:rPr>
        <w:t>5</w:t>
      </w:r>
      <w:r w:rsidRPr="009A23F2">
        <w:fldChar w:fldCharType="end"/>
      </w:r>
      <w:r>
        <w:t>.</w:t>
      </w:r>
      <w:fldSimple w:instr=" SEQ Table \* ARABIC \s 1 ">
        <w:r w:rsidR="003C3A1D">
          <w:rPr>
            <w:noProof/>
          </w:rPr>
          <w:t>1</w:t>
        </w:r>
      </w:fldSimple>
      <w:bookmarkEnd w:id="81"/>
      <w:r>
        <w:tab/>
        <w:t>AMI tariff revenue ($m, NPV 2009)</w:t>
      </w:r>
    </w:p>
    <w:tbl>
      <w:tblPr>
        <w:tblStyle w:val="AERtable-numbers"/>
        <w:tblW w:w="0" w:type="auto"/>
        <w:tblLook w:val="04A0" w:firstRow="1" w:lastRow="0" w:firstColumn="1" w:lastColumn="0" w:noHBand="0" w:noVBand="1"/>
      </w:tblPr>
      <w:tblGrid>
        <w:gridCol w:w="1066"/>
        <w:gridCol w:w="962"/>
        <w:gridCol w:w="964"/>
        <w:gridCol w:w="964"/>
        <w:gridCol w:w="964"/>
        <w:gridCol w:w="999"/>
        <w:gridCol w:w="999"/>
        <w:gridCol w:w="930"/>
        <w:gridCol w:w="845"/>
      </w:tblGrid>
      <w:tr w:rsidR="009A23F2"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rsidR="009A23F2" w:rsidRDefault="009A23F2" w:rsidP="009A23F2"/>
        </w:tc>
        <w:tc>
          <w:tcPr>
            <w:tcW w:w="962"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2009</w:t>
            </w:r>
          </w:p>
        </w:tc>
        <w:tc>
          <w:tcPr>
            <w:tcW w:w="964"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2010</w:t>
            </w:r>
          </w:p>
        </w:tc>
        <w:tc>
          <w:tcPr>
            <w:tcW w:w="964"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2011</w:t>
            </w:r>
          </w:p>
        </w:tc>
        <w:tc>
          <w:tcPr>
            <w:tcW w:w="964"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2012</w:t>
            </w:r>
          </w:p>
        </w:tc>
        <w:tc>
          <w:tcPr>
            <w:tcW w:w="999"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2013</w:t>
            </w:r>
          </w:p>
        </w:tc>
        <w:tc>
          <w:tcPr>
            <w:tcW w:w="999"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2014</w:t>
            </w:r>
          </w:p>
        </w:tc>
        <w:tc>
          <w:tcPr>
            <w:tcW w:w="930"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2015</w:t>
            </w:r>
          </w:p>
        </w:tc>
        <w:tc>
          <w:tcPr>
            <w:tcW w:w="845"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Total</w:t>
            </w:r>
          </w:p>
        </w:tc>
      </w:tr>
      <w:tr w:rsidR="009A23F2" w:rsidTr="00814C3A">
        <w:tc>
          <w:tcPr>
            <w:cnfStyle w:val="001000000000" w:firstRow="0" w:lastRow="0" w:firstColumn="1" w:lastColumn="0" w:oddVBand="0" w:evenVBand="0" w:oddHBand="0" w:evenHBand="0" w:firstRowFirstColumn="0" w:firstRowLastColumn="0" w:lastRowFirstColumn="0" w:lastRowLastColumn="0"/>
            <w:tcW w:w="1066" w:type="dxa"/>
          </w:tcPr>
          <w:p w:rsidR="009A23F2" w:rsidRDefault="009A23F2" w:rsidP="009A23F2">
            <w:r>
              <w:t>Tariff revenue</w:t>
            </w:r>
          </w:p>
        </w:tc>
        <w:tc>
          <w:tcPr>
            <w:tcW w:w="962" w:type="dxa"/>
          </w:tcPr>
          <w:p w:rsidR="009A23F2" w:rsidRDefault="00BD5E21" w:rsidP="009A23F2">
            <w:pPr>
              <w:cnfStyle w:val="000000000000" w:firstRow="0" w:lastRow="0" w:firstColumn="0" w:lastColumn="0" w:oddVBand="0" w:evenVBand="0" w:oddHBand="0" w:evenHBand="0" w:firstRowFirstColumn="0" w:firstRowLastColumn="0" w:lastRowFirstColumn="0" w:lastRowLastColumn="0"/>
            </w:pPr>
            <w:r>
              <w:t>17.7</w:t>
            </w:r>
          </w:p>
        </w:tc>
        <w:tc>
          <w:tcPr>
            <w:tcW w:w="964" w:type="dxa"/>
          </w:tcPr>
          <w:p w:rsidR="009A23F2" w:rsidRDefault="00BD5E21" w:rsidP="009A23F2">
            <w:pPr>
              <w:cnfStyle w:val="000000000000" w:firstRow="0" w:lastRow="0" w:firstColumn="0" w:lastColumn="0" w:oddVBand="0" w:evenVBand="0" w:oddHBand="0" w:evenHBand="0" w:firstRowFirstColumn="0" w:firstRowLastColumn="0" w:lastRowFirstColumn="0" w:lastRowLastColumn="0"/>
            </w:pPr>
            <w:r>
              <w:t>40.2</w:t>
            </w:r>
          </w:p>
        </w:tc>
        <w:tc>
          <w:tcPr>
            <w:tcW w:w="964" w:type="dxa"/>
          </w:tcPr>
          <w:p w:rsidR="009A23F2" w:rsidRDefault="00BD5E21" w:rsidP="009A23F2">
            <w:pPr>
              <w:cnfStyle w:val="000000000000" w:firstRow="0" w:lastRow="0" w:firstColumn="0" w:lastColumn="0" w:oddVBand="0" w:evenVBand="0" w:oddHBand="0" w:evenHBand="0" w:firstRowFirstColumn="0" w:firstRowLastColumn="0" w:lastRowFirstColumn="0" w:lastRowLastColumn="0"/>
            </w:pPr>
            <w:r>
              <w:t>48.8</w:t>
            </w:r>
          </w:p>
        </w:tc>
        <w:tc>
          <w:tcPr>
            <w:tcW w:w="964" w:type="dxa"/>
          </w:tcPr>
          <w:p w:rsidR="009A23F2" w:rsidRDefault="00BD5E21" w:rsidP="009A23F2">
            <w:pPr>
              <w:cnfStyle w:val="000000000000" w:firstRow="0" w:lastRow="0" w:firstColumn="0" w:lastColumn="0" w:oddVBand="0" w:evenVBand="0" w:oddHBand="0" w:evenHBand="0" w:firstRowFirstColumn="0" w:firstRowLastColumn="0" w:lastRowFirstColumn="0" w:lastRowLastColumn="0"/>
            </w:pPr>
            <w:r>
              <w:t>51.0</w:t>
            </w:r>
          </w:p>
        </w:tc>
        <w:tc>
          <w:tcPr>
            <w:tcW w:w="999" w:type="dxa"/>
          </w:tcPr>
          <w:p w:rsidR="009A23F2" w:rsidRDefault="00BD5E21" w:rsidP="009A23F2">
            <w:pPr>
              <w:cnfStyle w:val="000000000000" w:firstRow="0" w:lastRow="0" w:firstColumn="0" w:lastColumn="0" w:oddVBand="0" w:evenVBand="0" w:oddHBand="0" w:evenHBand="0" w:firstRowFirstColumn="0" w:firstRowLastColumn="0" w:lastRowFirstColumn="0" w:lastRowLastColumn="0"/>
            </w:pPr>
            <w:r>
              <w:t>54.7</w:t>
            </w:r>
          </w:p>
        </w:tc>
        <w:tc>
          <w:tcPr>
            <w:tcW w:w="999" w:type="dxa"/>
          </w:tcPr>
          <w:p w:rsidR="009A23F2" w:rsidRDefault="00BD5E21" w:rsidP="009A23F2">
            <w:pPr>
              <w:cnfStyle w:val="000000000000" w:firstRow="0" w:lastRow="0" w:firstColumn="0" w:lastColumn="0" w:oddVBand="0" w:evenVBand="0" w:oddHBand="0" w:evenHBand="0" w:firstRowFirstColumn="0" w:firstRowLastColumn="0" w:lastRowFirstColumn="0" w:lastRowLastColumn="0"/>
            </w:pPr>
            <w:r>
              <w:t>57.4</w:t>
            </w:r>
          </w:p>
        </w:tc>
        <w:tc>
          <w:tcPr>
            <w:tcW w:w="930" w:type="dxa"/>
          </w:tcPr>
          <w:p w:rsidR="009A23F2" w:rsidRDefault="00BD5E21" w:rsidP="009A23F2">
            <w:pPr>
              <w:cnfStyle w:val="000000000000" w:firstRow="0" w:lastRow="0" w:firstColumn="0" w:lastColumn="0" w:oddVBand="0" w:evenVBand="0" w:oddHBand="0" w:evenHBand="0" w:firstRowFirstColumn="0" w:firstRowLastColumn="0" w:lastRowFirstColumn="0" w:lastRowLastColumn="0"/>
            </w:pPr>
            <w:r>
              <w:t>60.4</w:t>
            </w:r>
          </w:p>
        </w:tc>
        <w:tc>
          <w:tcPr>
            <w:tcW w:w="845" w:type="dxa"/>
          </w:tcPr>
          <w:p w:rsidR="009A23F2" w:rsidRDefault="00BD5E21" w:rsidP="009A23F2">
            <w:pPr>
              <w:cnfStyle w:val="000000000000" w:firstRow="0" w:lastRow="0" w:firstColumn="0" w:lastColumn="0" w:oddVBand="0" w:evenVBand="0" w:oddHBand="0" w:evenHBand="0" w:firstRowFirstColumn="0" w:firstRowLastColumn="0" w:lastRowFirstColumn="0" w:lastRowLastColumn="0"/>
            </w:pPr>
            <w:r>
              <w:t>330.2</w:t>
            </w:r>
          </w:p>
        </w:tc>
      </w:tr>
    </w:tbl>
    <w:p w:rsidR="009A23F2" w:rsidRDefault="009A23F2" w:rsidP="009A23F2">
      <w:pPr>
        <w:pStyle w:val="AERtablesource"/>
      </w:pPr>
      <w:r>
        <w:t>Source:</w:t>
      </w:r>
      <w:r>
        <w:tab/>
      </w:r>
      <w:r w:rsidR="00BE3FA5">
        <w:t>United Energy</w:t>
      </w:r>
      <w:r>
        <w:t>, 2009–15 Regulatory Information Notices</w:t>
      </w:r>
      <w:r w:rsidR="00CD23E8">
        <w:t>.</w:t>
      </w:r>
    </w:p>
    <w:p w:rsidR="009A23F2" w:rsidRPr="004A3CA1" w:rsidRDefault="009A23F2" w:rsidP="009A23F2">
      <w:pPr>
        <w:pStyle w:val="HeadingBoldItalic"/>
      </w:pPr>
      <w:r w:rsidRPr="004A3CA1">
        <w:t>Step two</w:t>
      </w:r>
    </w:p>
    <w:p w:rsidR="009A23F2" w:rsidRDefault="009A23F2" w:rsidP="009A23F2">
      <w:r>
        <w:t xml:space="preserve">The next step we took was to calculate </w:t>
      </w:r>
      <w:r w:rsidR="00BD5E21">
        <w:t>United Energy's</w:t>
      </w:r>
      <w:r>
        <w:t xml:space="preserve"> approved building block costs</w:t>
      </w:r>
      <w:r w:rsidR="00A71E73">
        <w:t xml:space="preserve"> or approved budget costs</w:t>
      </w:r>
      <w:r>
        <w:t xml:space="preserve">. When doing this, the Order provides that we are required to give consideration to a proposal (if any) to recover excess expenditure incurred in 2014 and 2015. </w:t>
      </w:r>
    </w:p>
    <w:p w:rsidR="004C32B3" w:rsidRDefault="00BD5E21" w:rsidP="009A23F2">
      <w:r>
        <w:t>United Energy</w:t>
      </w:r>
      <w:r w:rsidR="009A23F2">
        <w:t xml:space="preserve"> proposed to recover </w:t>
      </w:r>
      <w:r>
        <w:t xml:space="preserve">$25.3 million ($2018) </w:t>
      </w:r>
      <w:r w:rsidR="009A23F2">
        <w:t xml:space="preserve">in </w:t>
      </w:r>
      <w:r w:rsidR="00A71E73">
        <w:t xml:space="preserve">total </w:t>
      </w:r>
      <w:r w:rsidR="009A23F2">
        <w:t xml:space="preserve">excess expenditure </w:t>
      </w:r>
      <w:r w:rsidR="00A71E73">
        <w:t xml:space="preserve">(capex) </w:t>
      </w:r>
      <w:r w:rsidR="009A23F2">
        <w:t>wh</w:t>
      </w:r>
      <w:r w:rsidR="00A71E73">
        <w:t>ich it incurred in 2014</w:t>
      </w:r>
      <w:r w:rsidR="009A23F2">
        <w:t xml:space="preserve">. </w:t>
      </w:r>
      <w:r>
        <w:t>We have accepted this proposal in full for the reasons outlined in section</w:t>
      </w:r>
      <w:r w:rsidR="003A7A8B">
        <w:t xml:space="preserve"> </w:t>
      </w:r>
      <w:r w:rsidR="003A7A8B">
        <w:fldChar w:fldCharType="begin"/>
      </w:r>
      <w:r w:rsidR="003A7A8B">
        <w:instrText xml:space="preserve"> REF _Ref461453590 \r \h </w:instrText>
      </w:r>
      <w:r w:rsidR="003A7A8B">
        <w:fldChar w:fldCharType="separate"/>
      </w:r>
      <w:r w:rsidR="003C3A1D">
        <w:t>5.2</w:t>
      </w:r>
      <w:r w:rsidR="003A7A8B">
        <w:fldChar w:fldCharType="end"/>
      </w:r>
      <w:r w:rsidR="009A23F2">
        <w:t>.</w:t>
      </w:r>
      <w:r w:rsidR="004C32B3">
        <w:t xml:space="preserve"> </w:t>
      </w:r>
    </w:p>
    <w:p w:rsidR="009A23F2" w:rsidRPr="004A3CA1" w:rsidRDefault="004C32B3" w:rsidP="009A23F2">
      <w:r>
        <w:t xml:space="preserve">United Energy approved recoverable costs over the 2009–15 period are set out in </w:t>
      </w:r>
      <w:r>
        <w:fldChar w:fldCharType="begin"/>
      </w:r>
      <w:r>
        <w:instrText xml:space="preserve"> REF _Ref461453540 \h </w:instrText>
      </w:r>
      <w:r>
        <w:fldChar w:fldCharType="separate"/>
      </w:r>
      <w:r w:rsidR="003C3A1D">
        <w:t xml:space="preserve">Table </w:t>
      </w:r>
      <w:r w:rsidR="003C3A1D">
        <w:rPr>
          <w:noProof/>
        </w:rPr>
        <w:t>5</w:t>
      </w:r>
      <w:r w:rsidR="003C3A1D">
        <w:t>.</w:t>
      </w:r>
      <w:r w:rsidR="003C3A1D">
        <w:rPr>
          <w:noProof/>
        </w:rPr>
        <w:t>2</w:t>
      </w:r>
      <w:r>
        <w:fldChar w:fldCharType="end"/>
      </w:r>
      <w:r>
        <w:t xml:space="preserve">. </w:t>
      </w:r>
      <w:r w:rsidR="009A23F2">
        <w:t xml:space="preserve">It shows that by accepting the full amount of </w:t>
      </w:r>
      <w:r>
        <w:t xml:space="preserve">proposed </w:t>
      </w:r>
      <w:r w:rsidR="009A23F2">
        <w:t xml:space="preserve">excess expenditure, </w:t>
      </w:r>
      <w:r>
        <w:t>United Energy's</w:t>
      </w:r>
      <w:r w:rsidR="009A23F2">
        <w:t xml:space="preserve"> recoverable building block costs are </w:t>
      </w:r>
      <w:r>
        <w:t>the same</w:t>
      </w:r>
      <w:r w:rsidR="009A23F2">
        <w:t xml:space="preserve"> </w:t>
      </w:r>
      <w:r>
        <w:t>as</w:t>
      </w:r>
      <w:r w:rsidR="009A23F2">
        <w:t xml:space="preserve"> </w:t>
      </w:r>
      <w:r>
        <w:t>it proposed in its transition charge application</w:t>
      </w:r>
      <w:r w:rsidR="009A23F2">
        <w:t xml:space="preserve">. We convert the values in </w:t>
      </w:r>
      <w:r w:rsidR="003A7A8B">
        <w:fldChar w:fldCharType="begin"/>
      </w:r>
      <w:r w:rsidR="003A7A8B">
        <w:instrText xml:space="preserve"> REF _Ref461453540 \h </w:instrText>
      </w:r>
      <w:r w:rsidR="003A7A8B">
        <w:fldChar w:fldCharType="separate"/>
      </w:r>
      <w:r w:rsidR="003C3A1D">
        <w:t xml:space="preserve">Table </w:t>
      </w:r>
      <w:r w:rsidR="003C3A1D">
        <w:rPr>
          <w:noProof/>
        </w:rPr>
        <w:t>5</w:t>
      </w:r>
      <w:r w:rsidR="003C3A1D">
        <w:t>.</w:t>
      </w:r>
      <w:r w:rsidR="003C3A1D">
        <w:rPr>
          <w:noProof/>
        </w:rPr>
        <w:t>2</w:t>
      </w:r>
      <w:r w:rsidR="003A7A8B">
        <w:fldChar w:fldCharType="end"/>
      </w:r>
      <w:r w:rsidR="003A7A8B">
        <w:t xml:space="preserve"> </w:t>
      </w:r>
      <w:r w:rsidR="009A23F2">
        <w:t>from a 2009 NPV to a 2018 NPV in step four below.</w:t>
      </w:r>
    </w:p>
    <w:p w:rsidR="009A23F2" w:rsidRDefault="009A23F2" w:rsidP="009A23F2">
      <w:pPr>
        <w:pStyle w:val="Caption"/>
      </w:pPr>
      <w:bookmarkStart w:id="82" w:name="_Ref461453540"/>
      <w:r>
        <w:t xml:space="preserve">Table </w:t>
      </w:r>
      <w:r w:rsidRPr="009A23F2">
        <w:fldChar w:fldCharType="begin"/>
      </w:r>
      <w:r>
        <w:instrText xml:space="preserve"> STYLEREF 1 \s </w:instrText>
      </w:r>
      <w:r w:rsidRPr="009A23F2">
        <w:fldChar w:fldCharType="separate"/>
      </w:r>
      <w:r w:rsidR="003C3A1D">
        <w:rPr>
          <w:noProof/>
        </w:rPr>
        <w:t>5</w:t>
      </w:r>
      <w:r w:rsidRPr="009A23F2">
        <w:fldChar w:fldCharType="end"/>
      </w:r>
      <w:r>
        <w:t>.</w:t>
      </w:r>
      <w:fldSimple w:instr=" SEQ Table \* ARABIC \s 1 ">
        <w:r w:rsidR="003C3A1D">
          <w:rPr>
            <w:noProof/>
          </w:rPr>
          <w:t>2</w:t>
        </w:r>
      </w:fldSimple>
      <w:bookmarkEnd w:id="82"/>
      <w:r>
        <w:tab/>
        <w:t xml:space="preserve">Approved recoverable costs ($m, NPV 2009) </w:t>
      </w:r>
    </w:p>
    <w:tbl>
      <w:tblPr>
        <w:tblStyle w:val="AERtable-numbers"/>
        <w:tblW w:w="0" w:type="auto"/>
        <w:tblLook w:val="04A0" w:firstRow="1" w:lastRow="0" w:firstColumn="1" w:lastColumn="0" w:noHBand="0" w:noVBand="1"/>
      </w:tblPr>
      <w:tblGrid>
        <w:gridCol w:w="1071"/>
        <w:gridCol w:w="962"/>
        <w:gridCol w:w="963"/>
        <w:gridCol w:w="963"/>
        <w:gridCol w:w="963"/>
        <w:gridCol w:w="998"/>
        <w:gridCol w:w="998"/>
        <w:gridCol w:w="930"/>
        <w:gridCol w:w="845"/>
      </w:tblGrid>
      <w:tr w:rsidR="009A23F2"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9A23F2" w:rsidRPr="008F441F" w:rsidRDefault="009A23F2" w:rsidP="009A23F2"/>
        </w:tc>
        <w:tc>
          <w:tcPr>
            <w:tcW w:w="962" w:type="dxa"/>
          </w:tcPr>
          <w:p w:rsidR="009A23F2" w:rsidRPr="008F441F" w:rsidRDefault="009A23F2" w:rsidP="009A23F2">
            <w:pPr>
              <w:cnfStyle w:val="100000000000" w:firstRow="1" w:lastRow="0" w:firstColumn="0" w:lastColumn="0" w:oddVBand="0" w:evenVBand="0" w:oddHBand="0" w:evenHBand="0" w:firstRowFirstColumn="0" w:firstRowLastColumn="0" w:lastRowFirstColumn="0" w:lastRowLastColumn="0"/>
            </w:pPr>
            <w:r w:rsidRPr="008F441F">
              <w:t>2009</w:t>
            </w:r>
          </w:p>
        </w:tc>
        <w:tc>
          <w:tcPr>
            <w:tcW w:w="963" w:type="dxa"/>
          </w:tcPr>
          <w:p w:rsidR="009A23F2" w:rsidRPr="008F441F" w:rsidRDefault="009A23F2" w:rsidP="009A23F2">
            <w:pPr>
              <w:cnfStyle w:val="100000000000" w:firstRow="1" w:lastRow="0" w:firstColumn="0" w:lastColumn="0" w:oddVBand="0" w:evenVBand="0" w:oddHBand="0" w:evenHBand="0" w:firstRowFirstColumn="0" w:firstRowLastColumn="0" w:lastRowFirstColumn="0" w:lastRowLastColumn="0"/>
            </w:pPr>
            <w:r w:rsidRPr="008F441F">
              <w:t>2010</w:t>
            </w:r>
          </w:p>
        </w:tc>
        <w:tc>
          <w:tcPr>
            <w:tcW w:w="963" w:type="dxa"/>
          </w:tcPr>
          <w:p w:rsidR="009A23F2" w:rsidRPr="008F441F" w:rsidRDefault="009A23F2" w:rsidP="009A23F2">
            <w:pPr>
              <w:cnfStyle w:val="100000000000" w:firstRow="1" w:lastRow="0" w:firstColumn="0" w:lastColumn="0" w:oddVBand="0" w:evenVBand="0" w:oddHBand="0" w:evenHBand="0" w:firstRowFirstColumn="0" w:firstRowLastColumn="0" w:lastRowFirstColumn="0" w:lastRowLastColumn="0"/>
            </w:pPr>
            <w:r w:rsidRPr="008F441F">
              <w:t>2011</w:t>
            </w:r>
          </w:p>
        </w:tc>
        <w:tc>
          <w:tcPr>
            <w:tcW w:w="963" w:type="dxa"/>
          </w:tcPr>
          <w:p w:rsidR="009A23F2" w:rsidRPr="008F441F" w:rsidRDefault="009A23F2" w:rsidP="009A23F2">
            <w:pPr>
              <w:cnfStyle w:val="100000000000" w:firstRow="1" w:lastRow="0" w:firstColumn="0" w:lastColumn="0" w:oddVBand="0" w:evenVBand="0" w:oddHBand="0" w:evenHBand="0" w:firstRowFirstColumn="0" w:firstRowLastColumn="0" w:lastRowFirstColumn="0" w:lastRowLastColumn="0"/>
            </w:pPr>
            <w:r w:rsidRPr="008F441F">
              <w:t>2012</w:t>
            </w:r>
          </w:p>
        </w:tc>
        <w:tc>
          <w:tcPr>
            <w:tcW w:w="998" w:type="dxa"/>
          </w:tcPr>
          <w:p w:rsidR="009A23F2" w:rsidRPr="008F441F" w:rsidRDefault="009A23F2" w:rsidP="009A23F2">
            <w:pPr>
              <w:cnfStyle w:val="100000000000" w:firstRow="1" w:lastRow="0" w:firstColumn="0" w:lastColumn="0" w:oddVBand="0" w:evenVBand="0" w:oddHBand="0" w:evenHBand="0" w:firstRowFirstColumn="0" w:firstRowLastColumn="0" w:lastRowFirstColumn="0" w:lastRowLastColumn="0"/>
            </w:pPr>
            <w:r w:rsidRPr="008F441F">
              <w:t>2013</w:t>
            </w:r>
          </w:p>
        </w:tc>
        <w:tc>
          <w:tcPr>
            <w:tcW w:w="998" w:type="dxa"/>
          </w:tcPr>
          <w:p w:rsidR="009A23F2" w:rsidRPr="008F441F" w:rsidRDefault="009A23F2" w:rsidP="009A23F2">
            <w:pPr>
              <w:cnfStyle w:val="100000000000" w:firstRow="1" w:lastRow="0" w:firstColumn="0" w:lastColumn="0" w:oddVBand="0" w:evenVBand="0" w:oddHBand="0" w:evenHBand="0" w:firstRowFirstColumn="0" w:firstRowLastColumn="0" w:lastRowFirstColumn="0" w:lastRowLastColumn="0"/>
            </w:pPr>
            <w:r w:rsidRPr="008F441F">
              <w:t>2014</w:t>
            </w:r>
          </w:p>
        </w:tc>
        <w:tc>
          <w:tcPr>
            <w:tcW w:w="930" w:type="dxa"/>
          </w:tcPr>
          <w:p w:rsidR="009A23F2" w:rsidRPr="008F441F" w:rsidRDefault="009A23F2" w:rsidP="009A23F2">
            <w:pPr>
              <w:cnfStyle w:val="100000000000" w:firstRow="1" w:lastRow="0" w:firstColumn="0" w:lastColumn="0" w:oddVBand="0" w:evenVBand="0" w:oddHBand="0" w:evenHBand="0" w:firstRowFirstColumn="0" w:firstRowLastColumn="0" w:lastRowFirstColumn="0" w:lastRowLastColumn="0"/>
            </w:pPr>
            <w:r w:rsidRPr="008F441F">
              <w:t>2015</w:t>
            </w:r>
          </w:p>
        </w:tc>
        <w:tc>
          <w:tcPr>
            <w:tcW w:w="845" w:type="dxa"/>
          </w:tcPr>
          <w:p w:rsidR="009A23F2" w:rsidRPr="008F441F" w:rsidRDefault="009A23F2" w:rsidP="009A23F2">
            <w:pPr>
              <w:cnfStyle w:val="100000000000" w:firstRow="1" w:lastRow="0" w:firstColumn="0" w:lastColumn="0" w:oddVBand="0" w:evenVBand="0" w:oddHBand="0" w:evenHBand="0" w:firstRowFirstColumn="0" w:firstRowLastColumn="0" w:lastRowFirstColumn="0" w:lastRowLastColumn="0"/>
            </w:pPr>
            <w:r w:rsidRPr="008F441F">
              <w:t>Total</w:t>
            </w:r>
          </w:p>
        </w:tc>
      </w:tr>
      <w:tr w:rsidR="009A23F2" w:rsidTr="00814C3A">
        <w:tc>
          <w:tcPr>
            <w:cnfStyle w:val="001000000000" w:firstRow="0" w:lastRow="0" w:firstColumn="1" w:lastColumn="0" w:oddVBand="0" w:evenVBand="0" w:oddHBand="0" w:evenHBand="0" w:firstRowFirstColumn="0" w:firstRowLastColumn="0" w:lastRowFirstColumn="0" w:lastRowLastColumn="0"/>
            <w:tcW w:w="1071" w:type="dxa"/>
          </w:tcPr>
          <w:p w:rsidR="009A23F2" w:rsidRPr="005A119A" w:rsidRDefault="003A7A8B" w:rsidP="009A23F2">
            <w:r>
              <w:t>United Energy's</w:t>
            </w:r>
            <w:r w:rsidR="009A23F2" w:rsidRPr="005A119A">
              <w:t xml:space="preserve"> proposal </w:t>
            </w:r>
          </w:p>
        </w:tc>
        <w:tc>
          <w:tcPr>
            <w:tcW w:w="962" w:type="dxa"/>
          </w:tcPr>
          <w:p w:rsidR="009A23F2" w:rsidRPr="005A119A" w:rsidRDefault="003A7A8B" w:rsidP="009A23F2">
            <w:pPr>
              <w:cnfStyle w:val="000000000000" w:firstRow="0" w:lastRow="0" w:firstColumn="0" w:lastColumn="0" w:oddVBand="0" w:evenVBand="0" w:oddHBand="0" w:evenHBand="0" w:firstRowFirstColumn="0" w:firstRowLastColumn="0" w:lastRowFirstColumn="0" w:lastRowLastColumn="0"/>
            </w:pPr>
            <w:r>
              <w:t>26.3</w:t>
            </w:r>
          </w:p>
        </w:tc>
        <w:tc>
          <w:tcPr>
            <w:tcW w:w="963" w:type="dxa"/>
          </w:tcPr>
          <w:p w:rsidR="009A23F2" w:rsidRPr="005A119A" w:rsidRDefault="003A7A8B" w:rsidP="009A23F2">
            <w:pPr>
              <w:cnfStyle w:val="000000000000" w:firstRow="0" w:lastRow="0" w:firstColumn="0" w:lastColumn="0" w:oddVBand="0" w:evenVBand="0" w:oddHBand="0" w:evenHBand="0" w:firstRowFirstColumn="0" w:firstRowLastColumn="0" w:lastRowFirstColumn="0" w:lastRowLastColumn="0"/>
            </w:pPr>
            <w:r>
              <w:t>42.0</w:t>
            </w:r>
          </w:p>
        </w:tc>
        <w:tc>
          <w:tcPr>
            <w:tcW w:w="963" w:type="dxa"/>
          </w:tcPr>
          <w:p w:rsidR="009A23F2" w:rsidRPr="005A119A" w:rsidRDefault="003A7A8B" w:rsidP="009A23F2">
            <w:pPr>
              <w:cnfStyle w:val="000000000000" w:firstRow="0" w:lastRow="0" w:firstColumn="0" w:lastColumn="0" w:oddVBand="0" w:evenVBand="0" w:oddHBand="0" w:evenHBand="0" w:firstRowFirstColumn="0" w:firstRowLastColumn="0" w:lastRowFirstColumn="0" w:lastRowLastColumn="0"/>
            </w:pPr>
            <w:r>
              <w:t>56.2</w:t>
            </w:r>
          </w:p>
        </w:tc>
        <w:tc>
          <w:tcPr>
            <w:tcW w:w="963" w:type="dxa"/>
          </w:tcPr>
          <w:p w:rsidR="009A23F2" w:rsidRPr="005A119A" w:rsidRDefault="003A7A8B" w:rsidP="009A23F2">
            <w:pPr>
              <w:cnfStyle w:val="000000000000" w:firstRow="0" w:lastRow="0" w:firstColumn="0" w:lastColumn="0" w:oddVBand="0" w:evenVBand="0" w:oddHBand="0" w:evenHBand="0" w:firstRowFirstColumn="0" w:firstRowLastColumn="0" w:lastRowFirstColumn="0" w:lastRowLastColumn="0"/>
            </w:pPr>
            <w:r>
              <w:t>59.9</w:t>
            </w:r>
          </w:p>
        </w:tc>
        <w:tc>
          <w:tcPr>
            <w:tcW w:w="998" w:type="dxa"/>
          </w:tcPr>
          <w:p w:rsidR="009A23F2" w:rsidRPr="005A119A" w:rsidRDefault="003A7A8B" w:rsidP="009A23F2">
            <w:pPr>
              <w:cnfStyle w:val="000000000000" w:firstRow="0" w:lastRow="0" w:firstColumn="0" w:lastColumn="0" w:oddVBand="0" w:evenVBand="0" w:oddHBand="0" w:evenHBand="0" w:firstRowFirstColumn="0" w:firstRowLastColumn="0" w:lastRowFirstColumn="0" w:lastRowLastColumn="0"/>
            </w:pPr>
            <w:r>
              <w:t>58.1</w:t>
            </w:r>
          </w:p>
        </w:tc>
        <w:tc>
          <w:tcPr>
            <w:tcW w:w="998" w:type="dxa"/>
          </w:tcPr>
          <w:p w:rsidR="009A23F2" w:rsidRPr="005A119A" w:rsidRDefault="003A7A8B" w:rsidP="009A23F2">
            <w:pPr>
              <w:cnfStyle w:val="000000000000" w:firstRow="0" w:lastRow="0" w:firstColumn="0" w:lastColumn="0" w:oddVBand="0" w:evenVBand="0" w:oddHBand="0" w:evenHBand="0" w:firstRowFirstColumn="0" w:firstRowLastColumn="0" w:lastRowFirstColumn="0" w:lastRowLastColumn="0"/>
            </w:pPr>
            <w:r>
              <w:t>47.1</w:t>
            </w:r>
          </w:p>
        </w:tc>
        <w:tc>
          <w:tcPr>
            <w:tcW w:w="930" w:type="dxa"/>
          </w:tcPr>
          <w:p w:rsidR="009A23F2" w:rsidRPr="005A119A" w:rsidRDefault="003A7A8B" w:rsidP="009A23F2">
            <w:pPr>
              <w:cnfStyle w:val="000000000000" w:firstRow="0" w:lastRow="0" w:firstColumn="0" w:lastColumn="0" w:oddVBand="0" w:evenVBand="0" w:oddHBand="0" w:evenHBand="0" w:firstRowFirstColumn="0" w:firstRowLastColumn="0" w:lastRowFirstColumn="0" w:lastRowLastColumn="0"/>
            </w:pPr>
            <w:r>
              <w:t>41.1</w:t>
            </w:r>
          </w:p>
        </w:tc>
        <w:tc>
          <w:tcPr>
            <w:tcW w:w="845" w:type="dxa"/>
          </w:tcPr>
          <w:p w:rsidR="009A23F2" w:rsidRPr="005A119A" w:rsidRDefault="003A7A8B" w:rsidP="009A23F2">
            <w:pPr>
              <w:cnfStyle w:val="000000000000" w:firstRow="0" w:lastRow="0" w:firstColumn="0" w:lastColumn="0" w:oddVBand="0" w:evenVBand="0" w:oddHBand="0" w:evenHBand="0" w:firstRowFirstColumn="0" w:firstRowLastColumn="0" w:lastRowFirstColumn="0" w:lastRowLastColumn="0"/>
            </w:pPr>
            <w:r>
              <w:t>330.7</w:t>
            </w:r>
          </w:p>
        </w:tc>
      </w:tr>
      <w:tr w:rsidR="003A7A8B" w:rsidTr="0081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3A7A8B" w:rsidRPr="003A7A8B" w:rsidRDefault="003A7A8B" w:rsidP="003A7A8B">
            <w:r w:rsidRPr="004B2781">
              <w:t xml:space="preserve">AER </w:t>
            </w:r>
            <w:r w:rsidRPr="003A7A8B">
              <w:t>draft decision</w:t>
            </w:r>
          </w:p>
        </w:tc>
        <w:tc>
          <w:tcPr>
            <w:tcW w:w="962" w:type="dxa"/>
          </w:tcPr>
          <w:p w:rsidR="003A7A8B" w:rsidRPr="003A7A8B" w:rsidRDefault="003A7A8B" w:rsidP="003A7A8B">
            <w:pPr>
              <w:cnfStyle w:val="000000010000" w:firstRow="0" w:lastRow="0" w:firstColumn="0" w:lastColumn="0" w:oddVBand="0" w:evenVBand="0" w:oddHBand="0" w:evenHBand="1" w:firstRowFirstColumn="0" w:firstRowLastColumn="0" w:lastRowFirstColumn="0" w:lastRowLastColumn="0"/>
            </w:pPr>
            <w:r>
              <w:t>26.3</w:t>
            </w:r>
          </w:p>
        </w:tc>
        <w:tc>
          <w:tcPr>
            <w:tcW w:w="963" w:type="dxa"/>
          </w:tcPr>
          <w:p w:rsidR="003A7A8B" w:rsidRPr="003A7A8B" w:rsidRDefault="003A7A8B" w:rsidP="003A7A8B">
            <w:pPr>
              <w:cnfStyle w:val="000000010000" w:firstRow="0" w:lastRow="0" w:firstColumn="0" w:lastColumn="0" w:oddVBand="0" w:evenVBand="0" w:oddHBand="0" w:evenHBand="1" w:firstRowFirstColumn="0" w:firstRowLastColumn="0" w:lastRowFirstColumn="0" w:lastRowLastColumn="0"/>
            </w:pPr>
            <w:r>
              <w:t>42.0</w:t>
            </w:r>
          </w:p>
        </w:tc>
        <w:tc>
          <w:tcPr>
            <w:tcW w:w="963" w:type="dxa"/>
          </w:tcPr>
          <w:p w:rsidR="003A7A8B" w:rsidRPr="003A7A8B" w:rsidRDefault="003A7A8B" w:rsidP="003A7A8B">
            <w:pPr>
              <w:cnfStyle w:val="000000010000" w:firstRow="0" w:lastRow="0" w:firstColumn="0" w:lastColumn="0" w:oddVBand="0" w:evenVBand="0" w:oddHBand="0" w:evenHBand="1" w:firstRowFirstColumn="0" w:firstRowLastColumn="0" w:lastRowFirstColumn="0" w:lastRowLastColumn="0"/>
            </w:pPr>
            <w:r>
              <w:t>56.2</w:t>
            </w:r>
          </w:p>
        </w:tc>
        <w:tc>
          <w:tcPr>
            <w:tcW w:w="963" w:type="dxa"/>
          </w:tcPr>
          <w:p w:rsidR="003A7A8B" w:rsidRPr="003A7A8B" w:rsidRDefault="003A7A8B" w:rsidP="003A7A8B">
            <w:pPr>
              <w:cnfStyle w:val="000000010000" w:firstRow="0" w:lastRow="0" w:firstColumn="0" w:lastColumn="0" w:oddVBand="0" w:evenVBand="0" w:oddHBand="0" w:evenHBand="1" w:firstRowFirstColumn="0" w:firstRowLastColumn="0" w:lastRowFirstColumn="0" w:lastRowLastColumn="0"/>
            </w:pPr>
            <w:r>
              <w:t>59.9</w:t>
            </w:r>
          </w:p>
        </w:tc>
        <w:tc>
          <w:tcPr>
            <w:tcW w:w="998" w:type="dxa"/>
          </w:tcPr>
          <w:p w:rsidR="003A7A8B" w:rsidRPr="003A7A8B" w:rsidRDefault="003A7A8B" w:rsidP="003A7A8B">
            <w:pPr>
              <w:cnfStyle w:val="000000010000" w:firstRow="0" w:lastRow="0" w:firstColumn="0" w:lastColumn="0" w:oddVBand="0" w:evenVBand="0" w:oddHBand="0" w:evenHBand="1" w:firstRowFirstColumn="0" w:firstRowLastColumn="0" w:lastRowFirstColumn="0" w:lastRowLastColumn="0"/>
            </w:pPr>
            <w:r>
              <w:t>58.1</w:t>
            </w:r>
          </w:p>
        </w:tc>
        <w:tc>
          <w:tcPr>
            <w:tcW w:w="998" w:type="dxa"/>
          </w:tcPr>
          <w:p w:rsidR="003A7A8B" w:rsidRPr="003A7A8B" w:rsidRDefault="003A7A8B" w:rsidP="003A7A8B">
            <w:pPr>
              <w:cnfStyle w:val="000000010000" w:firstRow="0" w:lastRow="0" w:firstColumn="0" w:lastColumn="0" w:oddVBand="0" w:evenVBand="0" w:oddHBand="0" w:evenHBand="1" w:firstRowFirstColumn="0" w:firstRowLastColumn="0" w:lastRowFirstColumn="0" w:lastRowLastColumn="0"/>
            </w:pPr>
            <w:r>
              <w:t>47.1</w:t>
            </w:r>
          </w:p>
        </w:tc>
        <w:tc>
          <w:tcPr>
            <w:tcW w:w="930" w:type="dxa"/>
          </w:tcPr>
          <w:p w:rsidR="003A7A8B" w:rsidRPr="003A7A8B" w:rsidRDefault="003A7A8B" w:rsidP="003A7A8B">
            <w:pPr>
              <w:cnfStyle w:val="000000010000" w:firstRow="0" w:lastRow="0" w:firstColumn="0" w:lastColumn="0" w:oddVBand="0" w:evenVBand="0" w:oddHBand="0" w:evenHBand="1" w:firstRowFirstColumn="0" w:firstRowLastColumn="0" w:lastRowFirstColumn="0" w:lastRowLastColumn="0"/>
            </w:pPr>
            <w:r>
              <w:t>41.1</w:t>
            </w:r>
          </w:p>
        </w:tc>
        <w:tc>
          <w:tcPr>
            <w:tcW w:w="845" w:type="dxa"/>
          </w:tcPr>
          <w:p w:rsidR="003A7A8B" w:rsidRPr="003A7A8B" w:rsidRDefault="003A7A8B" w:rsidP="003A7A8B">
            <w:pPr>
              <w:cnfStyle w:val="000000010000" w:firstRow="0" w:lastRow="0" w:firstColumn="0" w:lastColumn="0" w:oddVBand="0" w:evenVBand="0" w:oddHBand="0" w:evenHBand="1" w:firstRowFirstColumn="0" w:firstRowLastColumn="0" w:lastRowFirstColumn="0" w:lastRowLastColumn="0"/>
            </w:pPr>
            <w:r>
              <w:t>330.7</w:t>
            </w:r>
          </w:p>
        </w:tc>
      </w:tr>
      <w:tr w:rsidR="009A23F2" w:rsidTr="00814C3A">
        <w:tc>
          <w:tcPr>
            <w:cnfStyle w:val="001000000000" w:firstRow="0" w:lastRow="0" w:firstColumn="1" w:lastColumn="0" w:oddVBand="0" w:evenVBand="0" w:oddHBand="0" w:evenHBand="0" w:firstRowFirstColumn="0" w:firstRowLastColumn="0" w:lastRowFirstColumn="0" w:lastRowLastColumn="0"/>
            <w:tcW w:w="1071" w:type="dxa"/>
          </w:tcPr>
          <w:p w:rsidR="009A23F2" w:rsidRPr="009A23F2" w:rsidRDefault="009A23F2" w:rsidP="009A23F2">
            <w:r>
              <w:t>Difference</w:t>
            </w:r>
          </w:p>
        </w:tc>
        <w:tc>
          <w:tcPr>
            <w:tcW w:w="962" w:type="dxa"/>
          </w:tcPr>
          <w:p w:rsidR="009A23F2" w:rsidRPr="009A23F2" w:rsidRDefault="009A23F2" w:rsidP="009A23F2">
            <w:pPr>
              <w:cnfStyle w:val="000000000000" w:firstRow="0" w:lastRow="0" w:firstColumn="0" w:lastColumn="0" w:oddVBand="0" w:evenVBand="0" w:oddHBand="0" w:evenHBand="0" w:firstRowFirstColumn="0" w:firstRowLastColumn="0" w:lastRowFirstColumn="0" w:lastRowLastColumn="0"/>
            </w:pPr>
          </w:p>
        </w:tc>
        <w:tc>
          <w:tcPr>
            <w:tcW w:w="963" w:type="dxa"/>
          </w:tcPr>
          <w:p w:rsidR="009A23F2" w:rsidRPr="009A23F2" w:rsidRDefault="009A23F2" w:rsidP="009A23F2">
            <w:pPr>
              <w:cnfStyle w:val="000000000000" w:firstRow="0" w:lastRow="0" w:firstColumn="0" w:lastColumn="0" w:oddVBand="0" w:evenVBand="0" w:oddHBand="0" w:evenHBand="0" w:firstRowFirstColumn="0" w:firstRowLastColumn="0" w:lastRowFirstColumn="0" w:lastRowLastColumn="0"/>
            </w:pPr>
          </w:p>
        </w:tc>
        <w:tc>
          <w:tcPr>
            <w:tcW w:w="963" w:type="dxa"/>
          </w:tcPr>
          <w:p w:rsidR="009A23F2" w:rsidRPr="009A23F2" w:rsidRDefault="009A23F2" w:rsidP="009A23F2">
            <w:pPr>
              <w:cnfStyle w:val="000000000000" w:firstRow="0" w:lastRow="0" w:firstColumn="0" w:lastColumn="0" w:oddVBand="0" w:evenVBand="0" w:oddHBand="0" w:evenHBand="0" w:firstRowFirstColumn="0" w:firstRowLastColumn="0" w:lastRowFirstColumn="0" w:lastRowLastColumn="0"/>
            </w:pPr>
          </w:p>
        </w:tc>
        <w:tc>
          <w:tcPr>
            <w:tcW w:w="963" w:type="dxa"/>
          </w:tcPr>
          <w:p w:rsidR="009A23F2" w:rsidRPr="009A23F2" w:rsidRDefault="009A23F2" w:rsidP="009A23F2">
            <w:pPr>
              <w:cnfStyle w:val="000000000000" w:firstRow="0" w:lastRow="0" w:firstColumn="0" w:lastColumn="0" w:oddVBand="0" w:evenVBand="0" w:oddHBand="0" w:evenHBand="0" w:firstRowFirstColumn="0" w:firstRowLastColumn="0" w:lastRowFirstColumn="0" w:lastRowLastColumn="0"/>
            </w:pPr>
          </w:p>
        </w:tc>
        <w:tc>
          <w:tcPr>
            <w:tcW w:w="998" w:type="dxa"/>
          </w:tcPr>
          <w:p w:rsidR="009A23F2" w:rsidRPr="009A23F2" w:rsidRDefault="009A23F2" w:rsidP="009A23F2">
            <w:pPr>
              <w:cnfStyle w:val="000000000000" w:firstRow="0" w:lastRow="0" w:firstColumn="0" w:lastColumn="0" w:oddVBand="0" w:evenVBand="0" w:oddHBand="0" w:evenHBand="0" w:firstRowFirstColumn="0" w:firstRowLastColumn="0" w:lastRowFirstColumn="0" w:lastRowLastColumn="0"/>
            </w:pPr>
          </w:p>
        </w:tc>
        <w:tc>
          <w:tcPr>
            <w:tcW w:w="998" w:type="dxa"/>
          </w:tcPr>
          <w:p w:rsidR="009A23F2" w:rsidRPr="009A23F2" w:rsidRDefault="003A7A8B" w:rsidP="009A23F2">
            <w:pPr>
              <w:cnfStyle w:val="000000000000" w:firstRow="0" w:lastRow="0" w:firstColumn="0" w:lastColumn="0" w:oddVBand="0" w:evenVBand="0" w:oddHBand="0" w:evenHBand="0" w:firstRowFirstColumn="0" w:firstRowLastColumn="0" w:lastRowFirstColumn="0" w:lastRowLastColumn="0"/>
            </w:pPr>
            <w:r>
              <w:t>0.0</w:t>
            </w:r>
          </w:p>
        </w:tc>
        <w:tc>
          <w:tcPr>
            <w:tcW w:w="930" w:type="dxa"/>
          </w:tcPr>
          <w:p w:rsidR="009A23F2" w:rsidRPr="009A23F2" w:rsidRDefault="003A7A8B" w:rsidP="009A23F2">
            <w:pPr>
              <w:cnfStyle w:val="000000000000" w:firstRow="0" w:lastRow="0" w:firstColumn="0" w:lastColumn="0" w:oddVBand="0" w:evenVBand="0" w:oddHBand="0" w:evenHBand="0" w:firstRowFirstColumn="0" w:firstRowLastColumn="0" w:lastRowFirstColumn="0" w:lastRowLastColumn="0"/>
            </w:pPr>
            <w:r>
              <w:t>0.0</w:t>
            </w:r>
          </w:p>
        </w:tc>
        <w:tc>
          <w:tcPr>
            <w:tcW w:w="845" w:type="dxa"/>
          </w:tcPr>
          <w:p w:rsidR="009A23F2" w:rsidRPr="009A23F2" w:rsidRDefault="003A7A8B" w:rsidP="009A23F2">
            <w:pPr>
              <w:cnfStyle w:val="000000000000" w:firstRow="0" w:lastRow="0" w:firstColumn="0" w:lastColumn="0" w:oddVBand="0" w:evenVBand="0" w:oddHBand="0" w:evenHBand="0" w:firstRowFirstColumn="0" w:firstRowLastColumn="0" w:lastRowFirstColumn="0" w:lastRowLastColumn="0"/>
            </w:pPr>
            <w:r>
              <w:t>0.0</w:t>
            </w:r>
          </w:p>
        </w:tc>
      </w:tr>
    </w:tbl>
    <w:p w:rsidR="009A23F2" w:rsidRDefault="009A23F2" w:rsidP="009A23F2">
      <w:pPr>
        <w:pStyle w:val="AERtablesource"/>
      </w:pPr>
      <w:r>
        <w:t>Source:</w:t>
      </w:r>
      <w:r>
        <w:tab/>
        <w:t>AER analysis.</w:t>
      </w:r>
    </w:p>
    <w:p w:rsidR="009A23F2" w:rsidRDefault="009A23F2" w:rsidP="009A23F2">
      <w:pPr>
        <w:pStyle w:val="HeadingBoldItalic"/>
      </w:pPr>
      <w:r>
        <w:t>Step three</w:t>
      </w:r>
    </w:p>
    <w:p w:rsidR="009A23F2" w:rsidRPr="00FB73AA" w:rsidRDefault="009A23F2" w:rsidP="009A23F2">
      <w:r>
        <w:t xml:space="preserve">The third step we took was to calculate the difference between </w:t>
      </w:r>
      <w:r w:rsidR="004C32B3">
        <w:t>United Energy's</w:t>
      </w:r>
      <w:r>
        <w:t xml:space="preserve"> revenue and approved costs. </w:t>
      </w:r>
      <w:r w:rsidR="00550952">
        <w:fldChar w:fldCharType="begin"/>
      </w:r>
      <w:r w:rsidR="00550952">
        <w:instrText xml:space="preserve"> REF _Ref461522580 \h </w:instrText>
      </w:r>
      <w:r w:rsidR="00550952">
        <w:fldChar w:fldCharType="separate"/>
      </w:r>
      <w:r w:rsidR="003C3A1D">
        <w:t xml:space="preserve">Table </w:t>
      </w:r>
      <w:r w:rsidR="003C3A1D">
        <w:rPr>
          <w:noProof/>
        </w:rPr>
        <w:t>5</w:t>
      </w:r>
      <w:r w:rsidR="003C3A1D">
        <w:t>.</w:t>
      </w:r>
      <w:r w:rsidR="003C3A1D">
        <w:rPr>
          <w:noProof/>
        </w:rPr>
        <w:t>3</w:t>
      </w:r>
      <w:r w:rsidR="00550952">
        <w:fldChar w:fldCharType="end"/>
      </w:r>
      <w:r w:rsidR="00550952">
        <w:t xml:space="preserve"> </w:t>
      </w:r>
      <w:r>
        <w:t xml:space="preserve">sets out this calculation in 2009 NPV terms. </w:t>
      </w:r>
      <w:r w:rsidR="007D0A72">
        <w:t>It shows that our draft decision is the same as United Energy proposed.</w:t>
      </w:r>
    </w:p>
    <w:p w:rsidR="009A23F2" w:rsidRDefault="009A23F2" w:rsidP="009A23F2">
      <w:pPr>
        <w:pStyle w:val="Caption"/>
      </w:pPr>
      <w:bookmarkStart w:id="83" w:name="_Ref461522580"/>
      <w:r>
        <w:t xml:space="preserve">Table </w:t>
      </w:r>
      <w:r w:rsidRPr="009A23F2">
        <w:fldChar w:fldCharType="begin"/>
      </w:r>
      <w:r>
        <w:instrText xml:space="preserve"> STYLEREF 1 \s </w:instrText>
      </w:r>
      <w:r w:rsidRPr="009A23F2">
        <w:fldChar w:fldCharType="separate"/>
      </w:r>
      <w:r w:rsidR="003C3A1D">
        <w:rPr>
          <w:noProof/>
        </w:rPr>
        <w:t>5</w:t>
      </w:r>
      <w:r w:rsidRPr="009A23F2">
        <w:fldChar w:fldCharType="end"/>
      </w:r>
      <w:r>
        <w:t>.</w:t>
      </w:r>
      <w:fldSimple w:instr=" SEQ Table \* ARABIC \s 1 ">
        <w:r w:rsidR="003C3A1D">
          <w:rPr>
            <w:noProof/>
          </w:rPr>
          <w:t>3</w:t>
        </w:r>
      </w:fldSimple>
      <w:bookmarkEnd w:id="83"/>
      <w:r>
        <w:tab/>
        <w:t>Revenue and costs true–up ($m, NPV 2009)</w:t>
      </w:r>
    </w:p>
    <w:tbl>
      <w:tblPr>
        <w:tblStyle w:val="AERtable-numbers"/>
        <w:tblW w:w="0" w:type="auto"/>
        <w:tblLook w:val="04A0" w:firstRow="1" w:lastRow="0" w:firstColumn="1" w:lastColumn="0" w:noHBand="0" w:noVBand="1"/>
      </w:tblPr>
      <w:tblGrid>
        <w:gridCol w:w="2173"/>
        <w:gridCol w:w="2173"/>
        <w:gridCol w:w="2173"/>
        <w:gridCol w:w="2174"/>
      </w:tblGrid>
      <w:tr w:rsidR="009A23F2"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9A23F2" w:rsidRDefault="009A23F2" w:rsidP="009A23F2"/>
        </w:tc>
        <w:tc>
          <w:tcPr>
            <w:tcW w:w="2173"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Revenue</w:t>
            </w:r>
          </w:p>
        </w:tc>
        <w:tc>
          <w:tcPr>
            <w:tcW w:w="2173" w:type="dxa"/>
          </w:tcPr>
          <w:p w:rsidR="009A23F2" w:rsidRPr="009A23F2" w:rsidRDefault="009A23F2" w:rsidP="009A23F2">
            <w:pPr>
              <w:cnfStyle w:val="100000000000" w:firstRow="1" w:lastRow="0" w:firstColumn="0" w:lastColumn="0" w:oddVBand="0" w:evenVBand="0" w:oddHBand="0" w:evenHBand="0" w:firstRowFirstColumn="0" w:firstRowLastColumn="0" w:lastRowFirstColumn="0" w:lastRowLastColumn="0"/>
            </w:pPr>
            <w:r>
              <w:t>Approved c</w:t>
            </w:r>
            <w:r w:rsidRPr="009A23F2">
              <w:t>osts</w:t>
            </w:r>
          </w:p>
        </w:tc>
        <w:tc>
          <w:tcPr>
            <w:tcW w:w="2174" w:type="dxa"/>
          </w:tcPr>
          <w:p w:rsidR="009A23F2" w:rsidRPr="009A23F2" w:rsidRDefault="009A23F2" w:rsidP="009A23F2">
            <w:pPr>
              <w:cnfStyle w:val="100000000000" w:firstRow="1" w:lastRow="0" w:firstColumn="0" w:lastColumn="0" w:oddVBand="0" w:evenVBand="0" w:oddHBand="0" w:evenHBand="0" w:firstRowFirstColumn="0" w:firstRowLastColumn="0" w:lastRowFirstColumn="0" w:lastRowLastColumn="0"/>
            </w:pPr>
            <w:r>
              <w:t>T</w:t>
            </w:r>
            <w:r w:rsidRPr="009A23F2">
              <w:t xml:space="preserve">rue-up </w:t>
            </w:r>
          </w:p>
        </w:tc>
      </w:tr>
      <w:tr w:rsidR="009A23F2" w:rsidTr="00814C3A">
        <w:tc>
          <w:tcPr>
            <w:cnfStyle w:val="001000000000" w:firstRow="0" w:lastRow="0" w:firstColumn="1" w:lastColumn="0" w:oddVBand="0" w:evenVBand="0" w:oddHBand="0" w:evenHBand="0" w:firstRowFirstColumn="0" w:firstRowLastColumn="0" w:lastRowFirstColumn="0" w:lastRowLastColumn="0"/>
            <w:tcW w:w="2173" w:type="dxa"/>
          </w:tcPr>
          <w:p w:rsidR="009A23F2" w:rsidRPr="009A23F2" w:rsidRDefault="009A23F2" w:rsidP="009A23F2">
            <w:r>
              <w:t>United Energy's</w:t>
            </w:r>
            <w:r w:rsidRPr="009A23F2">
              <w:t> proposal</w:t>
            </w:r>
          </w:p>
        </w:tc>
        <w:tc>
          <w:tcPr>
            <w:tcW w:w="2173" w:type="dxa"/>
          </w:tcPr>
          <w:p w:rsidR="009A23F2" w:rsidRPr="009A23F2" w:rsidRDefault="007D0A72" w:rsidP="009A23F2">
            <w:pPr>
              <w:cnfStyle w:val="000000000000" w:firstRow="0" w:lastRow="0" w:firstColumn="0" w:lastColumn="0" w:oddVBand="0" w:evenVBand="0" w:oddHBand="0" w:evenHBand="0" w:firstRowFirstColumn="0" w:firstRowLastColumn="0" w:lastRowFirstColumn="0" w:lastRowLastColumn="0"/>
            </w:pPr>
            <w:r>
              <w:t>330.2</w:t>
            </w:r>
          </w:p>
        </w:tc>
        <w:tc>
          <w:tcPr>
            <w:tcW w:w="2173" w:type="dxa"/>
          </w:tcPr>
          <w:p w:rsidR="009A23F2" w:rsidRPr="009A23F2" w:rsidRDefault="007D0A72" w:rsidP="009A23F2">
            <w:pPr>
              <w:cnfStyle w:val="000000000000" w:firstRow="0" w:lastRow="0" w:firstColumn="0" w:lastColumn="0" w:oddVBand="0" w:evenVBand="0" w:oddHBand="0" w:evenHBand="0" w:firstRowFirstColumn="0" w:firstRowLastColumn="0" w:lastRowFirstColumn="0" w:lastRowLastColumn="0"/>
            </w:pPr>
            <w:r>
              <w:t>330.7</w:t>
            </w:r>
          </w:p>
        </w:tc>
        <w:tc>
          <w:tcPr>
            <w:tcW w:w="2174" w:type="dxa"/>
          </w:tcPr>
          <w:p w:rsidR="009A23F2" w:rsidRPr="009A23F2" w:rsidRDefault="007D0A72" w:rsidP="009A23F2">
            <w:pPr>
              <w:cnfStyle w:val="000000000000" w:firstRow="0" w:lastRow="0" w:firstColumn="0" w:lastColumn="0" w:oddVBand="0" w:evenVBand="0" w:oddHBand="0" w:evenHBand="0" w:firstRowFirstColumn="0" w:firstRowLastColumn="0" w:lastRowFirstColumn="0" w:lastRowLastColumn="0"/>
            </w:pPr>
            <w:r>
              <w:t>0.5</w:t>
            </w:r>
          </w:p>
        </w:tc>
      </w:tr>
      <w:tr w:rsidR="009A23F2" w:rsidTr="0081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9A23F2" w:rsidRPr="009A23F2" w:rsidRDefault="009A23F2" w:rsidP="009A23F2">
            <w:r>
              <w:t>AER draft decision</w:t>
            </w:r>
          </w:p>
        </w:tc>
        <w:tc>
          <w:tcPr>
            <w:tcW w:w="2173"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330.2</w:t>
            </w:r>
          </w:p>
        </w:tc>
        <w:tc>
          <w:tcPr>
            <w:tcW w:w="2173"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330.7</w:t>
            </w:r>
          </w:p>
        </w:tc>
        <w:tc>
          <w:tcPr>
            <w:tcW w:w="2174"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0.5</w:t>
            </w:r>
          </w:p>
        </w:tc>
      </w:tr>
    </w:tbl>
    <w:p w:rsidR="009A23F2" w:rsidRDefault="009A23F2" w:rsidP="009A23F2">
      <w:pPr>
        <w:pStyle w:val="AERtablesource"/>
      </w:pPr>
      <w:r>
        <w:t>Source:</w:t>
      </w:r>
      <w:r>
        <w:tab/>
        <w:t>AER analysis.</w:t>
      </w:r>
    </w:p>
    <w:p w:rsidR="009A23F2" w:rsidRDefault="009A23F2" w:rsidP="009A23F2">
      <w:pPr>
        <w:pStyle w:val="HeadingBoldItalic"/>
      </w:pPr>
      <w:r>
        <w:t>Step four</w:t>
      </w:r>
    </w:p>
    <w:p w:rsidR="009A23F2" w:rsidRDefault="009A23F2" w:rsidP="009A23F2">
      <w:r>
        <w:t>Our final step was to discount the true–up amount to its correct NPV.</w:t>
      </w:r>
    </w:p>
    <w:p w:rsidR="009A23F2" w:rsidRPr="00991849" w:rsidRDefault="009A23F2" w:rsidP="009A23F2">
      <w:r>
        <w:t>We have decided in this draft decision to apply the transition charge in the 2018 year of the Victorian electricity distributor's 2016–20</w:t>
      </w:r>
      <w:r w:rsidR="00E0035F">
        <w:t>20</w:t>
      </w:r>
      <w:r>
        <w:t xml:space="preserve"> regulatory control period. We therefore discounted the amount we calculated in step three to its 2018 NPV.</w:t>
      </w:r>
      <w:r w:rsidR="008D0E3B">
        <w:rPr>
          <w:rStyle w:val="FootnoteReference"/>
        </w:rPr>
        <w:footnoteReference w:id="79"/>
      </w:r>
      <w:r>
        <w:t xml:space="preserve"> This amount is set out in</w:t>
      </w:r>
      <w:r w:rsidR="00550952">
        <w:t xml:space="preserve"> </w:t>
      </w:r>
      <w:r w:rsidR="00550952">
        <w:fldChar w:fldCharType="begin"/>
      </w:r>
      <w:r w:rsidR="00550952">
        <w:instrText xml:space="preserve"> REF _Ref461522594 \h </w:instrText>
      </w:r>
      <w:r w:rsidR="00550952">
        <w:fldChar w:fldCharType="separate"/>
      </w:r>
      <w:r w:rsidR="003C3A1D">
        <w:t xml:space="preserve">Table </w:t>
      </w:r>
      <w:r w:rsidR="003C3A1D">
        <w:rPr>
          <w:noProof/>
        </w:rPr>
        <w:t>5</w:t>
      </w:r>
      <w:r w:rsidR="003C3A1D">
        <w:t>.</w:t>
      </w:r>
      <w:r w:rsidR="003C3A1D">
        <w:rPr>
          <w:noProof/>
        </w:rPr>
        <w:t>4</w:t>
      </w:r>
      <w:r w:rsidR="00550952">
        <w:fldChar w:fldCharType="end"/>
      </w:r>
      <w:r>
        <w:t>.</w:t>
      </w:r>
    </w:p>
    <w:p w:rsidR="009A23F2" w:rsidRDefault="009A23F2" w:rsidP="009A23F2">
      <w:pPr>
        <w:pStyle w:val="Caption"/>
      </w:pPr>
      <w:bookmarkStart w:id="84" w:name="_Ref461522594"/>
      <w:r>
        <w:t xml:space="preserve">Table </w:t>
      </w:r>
      <w:r w:rsidRPr="009A23F2">
        <w:fldChar w:fldCharType="begin"/>
      </w:r>
      <w:r>
        <w:instrText xml:space="preserve"> STYLEREF 1 \s </w:instrText>
      </w:r>
      <w:r w:rsidRPr="009A23F2">
        <w:fldChar w:fldCharType="separate"/>
      </w:r>
      <w:r w:rsidR="003C3A1D">
        <w:rPr>
          <w:noProof/>
        </w:rPr>
        <w:t>5</w:t>
      </w:r>
      <w:r w:rsidRPr="009A23F2">
        <w:fldChar w:fldCharType="end"/>
      </w:r>
      <w:r>
        <w:t>.</w:t>
      </w:r>
      <w:fldSimple w:instr=" SEQ Table \* ARABIC \s 1 ">
        <w:r w:rsidR="003C3A1D">
          <w:rPr>
            <w:noProof/>
          </w:rPr>
          <w:t>4</w:t>
        </w:r>
      </w:fldSimple>
      <w:bookmarkEnd w:id="84"/>
      <w:r>
        <w:tab/>
        <w:t>Draft decision on revenue and costs true–up ($m, NPV 2018)</w:t>
      </w:r>
    </w:p>
    <w:tbl>
      <w:tblPr>
        <w:tblStyle w:val="AERtable-numbers"/>
        <w:tblW w:w="0" w:type="auto"/>
        <w:tblLook w:val="04A0" w:firstRow="1" w:lastRow="0" w:firstColumn="1" w:lastColumn="0" w:noHBand="0" w:noVBand="1"/>
      </w:tblPr>
      <w:tblGrid>
        <w:gridCol w:w="4346"/>
        <w:gridCol w:w="4347"/>
      </w:tblGrid>
      <w:tr w:rsidR="009A23F2"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9A23F2" w:rsidRDefault="009A23F2" w:rsidP="009A23F2"/>
        </w:tc>
        <w:tc>
          <w:tcPr>
            <w:tcW w:w="4347" w:type="dxa"/>
          </w:tcPr>
          <w:p w:rsidR="009A23F2" w:rsidRPr="009A23F2" w:rsidRDefault="009A23F2" w:rsidP="009A23F2">
            <w:pPr>
              <w:cnfStyle w:val="100000000000" w:firstRow="1" w:lastRow="0" w:firstColumn="0" w:lastColumn="0" w:oddVBand="0" w:evenVBand="0" w:oddHBand="0" w:evenHBand="0" w:firstRowFirstColumn="0" w:firstRowLastColumn="0" w:lastRowFirstColumn="0" w:lastRowLastColumn="0"/>
            </w:pPr>
            <w:r>
              <w:t>True–up</w:t>
            </w:r>
          </w:p>
        </w:tc>
      </w:tr>
      <w:tr w:rsidR="009A23F2" w:rsidTr="00814C3A">
        <w:tc>
          <w:tcPr>
            <w:cnfStyle w:val="001000000000" w:firstRow="0" w:lastRow="0" w:firstColumn="1" w:lastColumn="0" w:oddVBand="0" w:evenVBand="0" w:oddHBand="0" w:evenHBand="0" w:firstRowFirstColumn="0" w:firstRowLastColumn="0" w:lastRowFirstColumn="0" w:lastRowLastColumn="0"/>
            <w:tcW w:w="4346" w:type="dxa"/>
          </w:tcPr>
          <w:p w:rsidR="009A23F2" w:rsidRDefault="009A23F2" w:rsidP="009A23F2">
            <w:r>
              <w:t>AER draft decision</w:t>
            </w:r>
          </w:p>
        </w:tc>
        <w:tc>
          <w:tcPr>
            <w:tcW w:w="4347" w:type="dxa"/>
          </w:tcPr>
          <w:p w:rsidR="009A23F2" w:rsidRPr="009A23F2" w:rsidRDefault="007D0A72" w:rsidP="009A23F2">
            <w:pPr>
              <w:cnfStyle w:val="000000000000" w:firstRow="0" w:lastRow="0" w:firstColumn="0" w:lastColumn="0" w:oddVBand="0" w:evenVBand="0" w:oddHBand="0" w:evenHBand="0" w:firstRowFirstColumn="0" w:firstRowLastColumn="0" w:lastRowFirstColumn="0" w:lastRowLastColumn="0"/>
            </w:pPr>
            <w:r>
              <w:t>1.0</w:t>
            </w:r>
          </w:p>
        </w:tc>
      </w:tr>
    </w:tbl>
    <w:p w:rsidR="009A23F2" w:rsidRDefault="009A23F2" w:rsidP="009A23F2">
      <w:pPr>
        <w:pStyle w:val="AERtablesource"/>
      </w:pPr>
      <w:r>
        <w:t>Source:</w:t>
      </w:r>
      <w:r>
        <w:tab/>
        <w:t>AER analysis.</w:t>
      </w:r>
    </w:p>
    <w:p w:rsidR="009A23F2" w:rsidRDefault="009A23F2" w:rsidP="009A23F2">
      <w:pPr>
        <w:pStyle w:val="Heading3"/>
      </w:pPr>
      <w:bookmarkStart w:id="85" w:name="_Toc461526274"/>
      <w:r>
        <w:t>MAB true–up</w:t>
      </w:r>
      <w:bookmarkEnd w:id="85"/>
    </w:p>
    <w:p w:rsidR="009A23F2" w:rsidRDefault="009A23F2" w:rsidP="009A23F2">
      <w:r>
        <w:t>We have calculated</w:t>
      </w:r>
      <w:r w:rsidR="00504C9E">
        <w:t xml:space="preserve"> a negative MAB true–up of $4</w:t>
      </w:r>
      <w:r w:rsidR="007D0A72">
        <w:t>.9</w:t>
      </w:r>
      <w:r>
        <w:t xml:space="preserve"> million ($2018).</w:t>
      </w:r>
    </w:p>
    <w:p w:rsidR="009A23F2" w:rsidRDefault="009A23F2" w:rsidP="009A23F2">
      <w:pPr>
        <w:pStyle w:val="HeadingBoldItalic"/>
      </w:pPr>
      <w:r>
        <w:t>Step one</w:t>
      </w:r>
    </w:p>
    <w:p w:rsidR="009A23F2" w:rsidRDefault="009A23F2" w:rsidP="009A23F2">
      <w:r>
        <w:t>The first step we took was to recalculate the 2016–20</w:t>
      </w:r>
      <w:r w:rsidR="00E0035F">
        <w:t>20</w:t>
      </w:r>
      <w:r>
        <w:t xml:space="preserve"> opening MAB value.</w:t>
      </w:r>
    </w:p>
    <w:p w:rsidR="009A23F2" w:rsidRPr="00EA5FB4" w:rsidRDefault="009A23F2" w:rsidP="009A23F2">
      <w:r>
        <w:t>This process involved a comparison. In particular, we compared the opening MAB value which we determined in our 2016–20</w:t>
      </w:r>
      <w:r w:rsidR="00E0035F">
        <w:t>20</w:t>
      </w:r>
      <w:r>
        <w:t xml:space="preserve"> distribution determination with the opening MAB value that we have calculated in this transition charges draft decision. </w:t>
      </w:r>
      <w:r w:rsidR="00550952">
        <w:fldChar w:fldCharType="begin"/>
      </w:r>
      <w:r w:rsidR="00550952">
        <w:instrText xml:space="preserve"> REF _Ref461522611 \h </w:instrText>
      </w:r>
      <w:r w:rsidR="00550952">
        <w:fldChar w:fldCharType="separate"/>
      </w:r>
      <w:r w:rsidR="003C3A1D">
        <w:t xml:space="preserve">Table </w:t>
      </w:r>
      <w:r w:rsidR="003C3A1D">
        <w:rPr>
          <w:noProof/>
        </w:rPr>
        <w:t>5</w:t>
      </w:r>
      <w:r w:rsidR="003C3A1D">
        <w:t>.</w:t>
      </w:r>
      <w:r w:rsidR="003C3A1D">
        <w:rPr>
          <w:noProof/>
        </w:rPr>
        <w:t>5</w:t>
      </w:r>
      <w:r w:rsidR="00550952">
        <w:fldChar w:fldCharType="end"/>
      </w:r>
      <w:r w:rsidR="00550952">
        <w:t xml:space="preserve"> </w:t>
      </w:r>
      <w:r>
        <w:t>sets out that recalculation.</w:t>
      </w:r>
    </w:p>
    <w:p w:rsidR="009A23F2" w:rsidRDefault="009A23F2" w:rsidP="009A23F2">
      <w:pPr>
        <w:pStyle w:val="Caption"/>
      </w:pPr>
      <w:bookmarkStart w:id="86" w:name="_Ref461522611"/>
      <w:r>
        <w:t xml:space="preserve">Table </w:t>
      </w:r>
      <w:r w:rsidRPr="009A23F2">
        <w:fldChar w:fldCharType="begin"/>
      </w:r>
      <w:r>
        <w:instrText xml:space="preserve"> STYLEREF 1 \s </w:instrText>
      </w:r>
      <w:r w:rsidRPr="009A23F2">
        <w:fldChar w:fldCharType="separate"/>
      </w:r>
      <w:r w:rsidR="003C3A1D">
        <w:rPr>
          <w:noProof/>
        </w:rPr>
        <w:t>5</w:t>
      </w:r>
      <w:r w:rsidRPr="009A23F2">
        <w:fldChar w:fldCharType="end"/>
      </w:r>
      <w:r>
        <w:t>.</w:t>
      </w:r>
      <w:fldSimple w:instr=" SEQ Table \* ARABIC \s 1 ">
        <w:r w:rsidR="003C3A1D">
          <w:rPr>
            <w:noProof/>
          </w:rPr>
          <w:t>5</w:t>
        </w:r>
      </w:fldSimple>
      <w:bookmarkEnd w:id="86"/>
      <w:r>
        <w:tab/>
        <w:t>Calculation of opening MAB value ($m, 2008)</w:t>
      </w:r>
    </w:p>
    <w:tbl>
      <w:tblPr>
        <w:tblStyle w:val="AERtable-numbers"/>
        <w:tblW w:w="0" w:type="auto"/>
        <w:tblLook w:val="04A0" w:firstRow="1" w:lastRow="0" w:firstColumn="1" w:lastColumn="0" w:noHBand="0" w:noVBand="1"/>
      </w:tblPr>
      <w:tblGrid>
        <w:gridCol w:w="1853"/>
        <w:gridCol w:w="1159"/>
        <w:gridCol w:w="1158"/>
        <w:gridCol w:w="1158"/>
        <w:gridCol w:w="1158"/>
        <w:gridCol w:w="1106"/>
        <w:gridCol w:w="1101"/>
      </w:tblGrid>
      <w:tr w:rsidR="009A23F2"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9A23F2" w:rsidRDefault="009A23F2" w:rsidP="009A23F2"/>
        </w:tc>
        <w:tc>
          <w:tcPr>
            <w:tcW w:w="1159"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2011</w:t>
            </w:r>
          </w:p>
        </w:tc>
        <w:tc>
          <w:tcPr>
            <w:tcW w:w="1158"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2012</w:t>
            </w:r>
          </w:p>
        </w:tc>
        <w:tc>
          <w:tcPr>
            <w:tcW w:w="1158"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2013</w:t>
            </w:r>
          </w:p>
        </w:tc>
        <w:tc>
          <w:tcPr>
            <w:tcW w:w="1158"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2014</w:t>
            </w:r>
          </w:p>
        </w:tc>
        <w:tc>
          <w:tcPr>
            <w:tcW w:w="1106"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2015</w:t>
            </w:r>
          </w:p>
        </w:tc>
        <w:tc>
          <w:tcPr>
            <w:tcW w:w="1101" w:type="dxa"/>
          </w:tcPr>
          <w:p w:rsidR="009A23F2" w:rsidRDefault="009A23F2" w:rsidP="009A23F2">
            <w:pPr>
              <w:cnfStyle w:val="100000000000" w:firstRow="1" w:lastRow="0" w:firstColumn="0" w:lastColumn="0" w:oddVBand="0" w:evenVBand="0" w:oddHBand="0" w:evenHBand="0" w:firstRowFirstColumn="0" w:firstRowLastColumn="0" w:lastRowFirstColumn="0" w:lastRowLastColumn="0"/>
            </w:pPr>
            <w:r>
              <w:t>Opening MAB</w:t>
            </w:r>
          </w:p>
        </w:tc>
      </w:tr>
      <w:tr w:rsidR="009A23F2" w:rsidTr="00814C3A">
        <w:tc>
          <w:tcPr>
            <w:cnfStyle w:val="001000000000" w:firstRow="0" w:lastRow="0" w:firstColumn="1" w:lastColumn="0" w:oddVBand="0" w:evenVBand="0" w:oddHBand="0" w:evenHBand="0" w:firstRowFirstColumn="0" w:firstRowLastColumn="0" w:lastRowFirstColumn="0" w:lastRowLastColumn="0"/>
            <w:tcW w:w="1853" w:type="dxa"/>
          </w:tcPr>
          <w:p w:rsidR="009A23F2" w:rsidRDefault="009A23F2" w:rsidP="009A23F2">
            <w:r>
              <w:t>2016–20</w:t>
            </w:r>
            <w:r w:rsidR="003A43B3">
              <w:t>20</w:t>
            </w:r>
            <w:r>
              <w:t xml:space="preserve"> Victorian determination</w:t>
            </w:r>
          </w:p>
        </w:tc>
        <w:tc>
          <w:tcPr>
            <w:tcW w:w="1159" w:type="dxa"/>
          </w:tcPr>
          <w:p w:rsidR="009A23F2" w:rsidRPr="009A23F2" w:rsidRDefault="00814C3A" w:rsidP="009A23F2">
            <w:pPr>
              <w:cnfStyle w:val="000000000000" w:firstRow="0" w:lastRow="0" w:firstColumn="0" w:lastColumn="0" w:oddVBand="0" w:evenVBand="0" w:oddHBand="0" w:evenHBand="0" w:firstRowFirstColumn="0" w:firstRowLastColumn="0" w:lastRowFirstColumn="0" w:lastRowLastColumn="0"/>
            </w:pPr>
            <w:r>
              <w:t>174.5</w:t>
            </w:r>
          </w:p>
        </w:tc>
        <w:tc>
          <w:tcPr>
            <w:tcW w:w="1158" w:type="dxa"/>
          </w:tcPr>
          <w:p w:rsidR="009A23F2" w:rsidRPr="009A23F2" w:rsidRDefault="00814C3A" w:rsidP="009A23F2">
            <w:pPr>
              <w:cnfStyle w:val="000000000000" w:firstRow="0" w:lastRow="0" w:firstColumn="0" w:lastColumn="0" w:oddVBand="0" w:evenVBand="0" w:oddHBand="0" w:evenHBand="0" w:firstRowFirstColumn="0" w:firstRowLastColumn="0" w:lastRowFirstColumn="0" w:lastRowLastColumn="0"/>
            </w:pPr>
            <w:r>
              <w:t>194.7</w:t>
            </w:r>
          </w:p>
        </w:tc>
        <w:tc>
          <w:tcPr>
            <w:tcW w:w="1158" w:type="dxa"/>
          </w:tcPr>
          <w:p w:rsidR="009A23F2" w:rsidRPr="009A23F2" w:rsidRDefault="00814C3A" w:rsidP="009A23F2">
            <w:pPr>
              <w:cnfStyle w:val="000000000000" w:firstRow="0" w:lastRow="0" w:firstColumn="0" w:lastColumn="0" w:oddVBand="0" w:evenVBand="0" w:oddHBand="0" w:evenHBand="0" w:firstRowFirstColumn="0" w:firstRowLastColumn="0" w:lastRowFirstColumn="0" w:lastRowLastColumn="0"/>
            </w:pPr>
            <w:r>
              <w:t>207.4</w:t>
            </w:r>
          </w:p>
        </w:tc>
        <w:tc>
          <w:tcPr>
            <w:tcW w:w="1158" w:type="dxa"/>
          </w:tcPr>
          <w:p w:rsidR="009A23F2" w:rsidRPr="009A23F2" w:rsidRDefault="00814C3A" w:rsidP="009A23F2">
            <w:pPr>
              <w:cnfStyle w:val="000000000000" w:firstRow="0" w:lastRow="0" w:firstColumn="0" w:lastColumn="0" w:oddVBand="0" w:evenVBand="0" w:oddHBand="0" w:evenHBand="0" w:firstRowFirstColumn="0" w:firstRowLastColumn="0" w:lastRowFirstColumn="0" w:lastRowLastColumn="0"/>
            </w:pPr>
            <w:r>
              <w:t>201.4</w:t>
            </w:r>
          </w:p>
        </w:tc>
        <w:tc>
          <w:tcPr>
            <w:tcW w:w="1106" w:type="dxa"/>
          </w:tcPr>
          <w:p w:rsidR="009A23F2" w:rsidRPr="009A23F2" w:rsidRDefault="00814C3A" w:rsidP="009A23F2">
            <w:pPr>
              <w:cnfStyle w:val="000000000000" w:firstRow="0" w:lastRow="0" w:firstColumn="0" w:lastColumn="0" w:oddVBand="0" w:evenVBand="0" w:oddHBand="0" w:evenHBand="0" w:firstRowFirstColumn="0" w:firstRowLastColumn="0" w:lastRowFirstColumn="0" w:lastRowLastColumn="0"/>
            </w:pPr>
            <w:r>
              <w:t>174.6</w:t>
            </w:r>
          </w:p>
        </w:tc>
        <w:tc>
          <w:tcPr>
            <w:tcW w:w="1101" w:type="dxa"/>
          </w:tcPr>
          <w:p w:rsidR="009A23F2" w:rsidRPr="009A23F2" w:rsidRDefault="00814C3A" w:rsidP="009A23F2">
            <w:pPr>
              <w:cnfStyle w:val="000000000000" w:firstRow="0" w:lastRow="0" w:firstColumn="0" w:lastColumn="0" w:oddVBand="0" w:evenVBand="0" w:oddHBand="0" w:evenHBand="0" w:firstRowFirstColumn="0" w:firstRowLastColumn="0" w:lastRowFirstColumn="0" w:lastRowLastColumn="0"/>
            </w:pPr>
            <w:r>
              <w:t>174.6</w:t>
            </w:r>
          </w:p>
        </w:tc>
      </w:tr>
      <w:tr w:rsidR="009A23F2" w:rsidTr="0081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9A23F2" w:rsidRDefault="009A23F2" w:rsidP="009A23F2">
            <w:r>
              <w:t>Transition charge draft decision</w:t>
            </w:r>
          </w:p>
        </w:tc>
        <w:tc>
          <w:tcPr>
            <w:tcW w:w="1159"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174.5</w:t>
            </w:r>
          </w:p>
        </w:tc>
        <w:tc>
          <w:tcPr>
            <w:tcW w:w="1158"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194.7</w:t>
            </w:r>
          </w:p>
        </w:tc>
        <w:tc>
          <w:tcPr>
            <w:tcW w:w="1158"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207.4</w:t>
            </w:r>
          </w:p>
        </w:tc>
        <w:tc>
          <w:tcPr>
            <w:tcW w:w="1158"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198.0</w:t>
            </w:r>
          </w:p>
        </w:tc>
        <w:tc>
          <w:tcPr>
            <w:tcW w:w="1106"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172.9</w:t>
            </w:r>
          </w:p>
        </w:tc>
        <w:tc>
          <w:tcPr>
            <w:tcW w:w="1101" w:type="dxa"/>
          </w:tcPr>
          <w:p w:rsidR="009A23F2" w:rsidRPr="009A23F2" w:rsidRDefault="007D0A72" w:rsidP="009A23F2">
            <w:pPr>
              <w:cnfStyle w:val="000000010000" w:firstRow="0" w:lastRow="0" w:firstColumn="0" w:lastColumn="0" w:oddVBand="0" w:evenVBand="0" w:oddHBand="0" w:evenHBand="1" w:firstRowFirstColumn="0" w:firstRowLastColumn="0" w:lastRowFirstColumn="0" w:lastRowLastColumn="0"/>
            </w:pPr>
            <w:r>
              <w:t>172.9</w:t>
            </w:r>
          </w:p>
        </w:tc>
      </w:tr>
    </w:tbl>
    <w:p w:rsidR="009A23F2" w:rsidRDefault="009A23F2" w:rsidP="009A23F2">
      <w:pPr>
        <w:pStyle w:val="AERtablesource"/>
      </w:pPr>
      <w:r>
        <w:t xml:space="preserve"> Source:</w:t>
      </w:r>
      <w:r>
        <w:tab/>
        <w:t>AER analysis.</w:t>
      </w:r>
    </w:p>
    <w:p w:rsidR="009A23F2" w:rsidRDefault="009A23F2" w:rsidP="009A23F2">
      <w:r>
        <w:t xml:space="preserve">As shown in </w:t>
      </w:r>
      <w:r w:rsidR="00550952">
        <w:fldChar w:fldCharType="begin"/>
      </w:r>
      <w:r w:rsidR="00550952">
        <w:instrText xml:space="preserve"> REF _Ref461522611 \h </w:instrText>
      </w:r>
      <w:r w:rsidR="00550952">
        <w:fldChar w:fldCharType="separate"/>
      </w:r>
      <w:r w:rsidR="003C3A1D">
        <w:t xml:space="preserve">Table </w:t>
      </w:r>
      <w:r w:rsidR="003C3A1D">
        <w:rPr>
          <w:noProof/>
        </w:rPr>
        <w:t>5</w:t>
      </w:r>
      <w:r w:rsidR="003C3A1D">
        <w:t>.</w:t>
      </w:r>
      <w:r w:rsidR="003C3A1D">
        <w:rPr>
          <w:noProof/>
        </w:rPr>
        <w:t>5</w:t>
      </w:r>
      <w:r w:rsidR="00550952">
        <w:fldChar w:fldCharType="end"/>
      </w:r>
      <w:r w:rsidR="00550952">
        <w:t xml:space="preserve"> </w:t>
      </w:r>
      <w:r>
        <w:t>above, the opening MAB value we have calculated in this transition charges draft decision is lower than in our 2016–20</w:t>
      </w:r>
      <w:r w:rsidR="00E0035F">
        <w:t>20</w:t>
      </w:r>
      <w:r>
        <w:t xml:space="preserve"> distribution determination. The reason for this is that our 2016–20</w:t>
      </w:r>
      <w:r w:rsidR="00E0035F">
        <w:t>20</w:t>
      </w:r>
      <w:r>
        <w:t xml:space="preserve"> distribution determination relied on forecast data. In particular, when determining the capex to be rolled into the MAB for the 2014 and 2015 years we used </w:t>
      </w:r>
      <w:r w:rsidR="00814C3A">
        <w:t>United Energy's</w:t>
      </w:r>
      <w:r>
        <w:t xml:space="preserve"> </w:t>
      </w:r>
      <w:r w:rsidRPr="0008672B">
        <w:t>forecast</w:t>
      </w:r>
      <w:r>
        <w:t xml:space="preserve"> capex in its 2015 AMI Charges Revision Applications.</w:t>
      </w:r>
      <w:r>
        <w:rPr>
          <w:rStyle w:val="FootnoteReference"/>
        </w:rPr>
        <w:footnoteReference w:id="80"/>
      </w:r>
      <w:r>
        <w:t xml:space="preserve"> In effect, we used a forecast </w:t>
      </w:r>
      <w:r w:rsidR="00814C3A">
        <w:t>United Energy</w:t>
      </w:r>
      <w:r>
        <w:t xml:space="preserve"> had made in August 2014, which had not been subject to a prudency assessment.</w:t>
      </w:r>
    </w:p>
    <w:p w:rsidR="009A23F2" w:rsidRDefault="009A23F2" w:rsidP="009A23F2">
      <w:r>
        <w:t xml:space="preserve">Our transition charge draft decision, by contrast, takes </w:t>
      </w:r>
      <w:r w:rsidR="00814C3A">
        <w:t>United Energy's</w:t>
      </w:r>
      <w:r>
        <w:t xml:space="preserve"> </w:t>
      </w:r>
      <w:r w:rsidRPr="0008672B">
        <w:rPr>
          <w:rStyle w:val="AERtextitalic"/>
        </w:rPr>
        <w:t>actual</w:t>
      </w:r>
      <w:r>
        <w:t xml:space="preserve"> capex in 2014 and 2015 into consideration. We have also considered a proposal from </w:t>
      </w:r>
      <w:r w:rsidR="00814C3A">
        <w:t>United Energy</w:t>
      </w:r>
      <w:r>
        <w:t xml:space="preserve"> to recover excess capex in the 2014 and 2015 years. With respect to this, we have only rolled into our recalculation of the MAB, any excess capex that we consider to be prudent. Our reasons regarding this prudency assessment are outlined in section </w:t>
      </w:r>
      <w:r w:rsidR="00550952">
        <w:fldChar w:fldCharType="begin"/>
      </w:r>
      <w:r w:rsidR="00550952">
        <w:instrText xml:space="preserve"> REF _Ref461453590 \r \h </w:instrText>
      </w:r>
      <w:r w:rsidR="00550952">
        <w:fldChar w:fldCharType="separate"/>
      </w:r>
      <w:r w:rsidR="003C3A1D">
        <w:t>5.2</w:t>
      </w:r>
      <w:r w:rsidR="00550952">
        <w:fldChar w:fldCharType="end"/>
      </w:r>
      <w:r>
        <w:t xml:space="preserve"> below.</w:t>
      </w:r>
    </w:p>
    <w:p w:rsidR="009A23F2" w:rsidRDefault="009A23F2" w:rsidP="009A23F2">
      <w:pPr>
        <w:pStyle w:val="HeadingBoldItalic"/>
      </w:pPr>
      <w:r>
        <w:t>Step two</w:t>
      </w:r>
    </w:p>
    <w:p w:rsidR="009A23F2" w:rsidRDefault="009A23F2" w:rsidP="009A23F2">
      <w:r>
        <w:t xml:space="preserve">Once we had recalculated </w:t>
      </w:r>
      <w:r w:rsidR="00814C3A">
        <w:t>United Energy's</w:t>
      </w:r>
      <w:r>
        <w:t xml:space="preserve"> MAB value, the next step we took was to escalate the value of the recalculated MAB value to 2015 dollar terms. </w:t>
      </w:r>
    </w:p>
    <w:p w:rsidR="009A23F2" w:rsidRDefault="009A23F2" w:rsidP="009A23F2">
      <w:r>
        <w:t>The reason why we escalated it to 2015 dollar terms was that this is the value which we applied in our 2016–20</w:t>
      </w:r>
      <w:r w:rsidR="00E0035F">
        <w:t>20</w:t>
      </w:r>
      <w:r>
        <w:t xml:space="preserve"> distribution determination. </w:t>
      </w:r>
      <w:r w:rsidR="00550952">
        <w:fldChar w:fldCharType="begin"/>
      </w:r>
      <w:r w:rsidR="00550952">
        <w:instrText xml:space="preserve"> REF _Ref461522638 \h </w:instrText>
      </w:r>
      <w:r w:rsidR="00550952">
        <w:fldChar w:fldCharType="separate"/>
      </w:r>
      <w:r w:rsidR="003C3A1D">
        <w:t xml:space="preserve">Table </w:t>
      </w:r>
      <w:r w:rsidR="003C3A1D">
        <w:rPr>
          <w:noProof/>
        </w:rPr>
        <w:t>5</w:t>
      </w:r>
      <w:r w:rsidR="003C3A1D">
        <w:t>.</w:t>
      </w:r>
      <w:r w:rsidR="003C3A1D">
        <w:rPr>
          <w:noProof/>
        </w:rPr>
        <w:t>6</w:t>
      </w:r>
      <w:r w:rsidR="00550952">
        <w:fldChar w:fldCharType="end"/>
      </w:r>
      <w:r w:rsidR="00550952">
        <w:t xml:space="preserve"> </w:t>
      </w:r>
      <w:r>
        <w:t xml:space="preserve">sets out the results of the escalation we applied. </w:t>
      </w:r>
    </w:p>
    <w:p w:rsidR="009A23F2" w:rsidRDefault="009A23F2" w:rsidP="009A23F2">
      <w:pPr>
        <w:pStyle w:val="Caption"/>
      </w:pPr>
      <w:bookmarkStart w:id="87" w:name="_Ref461522638"/>
      <w:r>
        <w:t xml:space="preserve">Table </w:t>
      </w:r>
      <w:r w:rsidRPr="009A23F2">
        <w:fldChar w:fldCharType="begin"/>
      </w:r>
      <w:r>
        <w:instrText xml:space="preserve"> STYLEREF 1 \s </w:instrText>
      </w:r>
      <w:r w:rsidRPr="009A23F2">
        <w:fldChar w:fldCharType="separate"/>
      </w:r>
      <w:r w:rsidR="003C3A1D">
        <w:rPr>
          <w:noProof/>
        </w:rPr>
        <w:t>5</w:t>
      </w:r>
      <w:r w:rsidRPr="009A23F2">
        <w:fldChar w:fldCharType="end"/>
      </w:r>
      <w:r>
        <w:t>.</w:t>
      </w:r>
      <w:fldSimple w:instr=" SEQ Table \* ARABIC \s 1 ">
        <w:r w:rsidR="003C3A1D">
          <w:rPr>
            <w:noProof/>
          </w:rPr>
          <w:t>6</w:t>
        </w:r>
      </w:fldSimple>
      <w:bookmarkEnd w:id="87"/>
      <w:r>
        <w:tab/>
        <w:t xml:space="preserve">Recalculation of opening MAB value </w:t>
      </w:r>
    </w:p>
    <w:tbl>
      <w:tblPr>
        <w:tblStyle w:val="AERtable-numbers"/>
        <w:tblW w:w="0" w:type="auto"/>
        <w:tblLook w:val="04A0" w:firstRow="1" w:lastRow="0" w:firstColumn="1" w:lastColumn="0" w:noHBand="0" w:noVBand="1"/>
      </w:tblPr>
      <w:tblGrid>
        <w:gridCol w:w="3045"/>
        <w:gridCol w:w="2824"/>
        <w:gridCol w:w="2824"/>
      </w:tblGrid>
      <w:tr w:rsidR="009A23F2"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9A23F2" w:rsidRDefault="009A23F2" w:rsidP="009A23F2"/>
        </w:tc>
        <w:tc>
          <w:tcPr>
            <w:tcW w:w="2824" w:type="dxa"/>
          </w:tcPr>
          <w:p w:rsidR="009A23F2" w:rsidRPr="009A23F2" w:rsidRDefault="009A23F2" w:rsidP="009A23F2">
            <w:pPr>
              <w:cnfStyle w:val="100000000000" w:firstRow="1" w:lastRow="0" w:firstColumn="0" w:lastColumn="0" w:oddVBand="0" w:evenVBand="0" w:oddHBand="0" w:evenHBand="0" w:firstRowFirstColumn="0" w:firstRowLastColumn="0" w:lastRowFirstColumn="0" w:lastRowLastColumn="0"/>
            </w:pPr>
            <w:r>
              <w:t>(</w:t>
            </w:r>
            <w:r w:rsidRPr="009A23F2">
              <w:t>$m, 2008)</w:t>
            </w:r>
          </w:p>
        </w:tc>
        <w:tc>
          <w:tcPr>
            <w:tcW w:w="2824" w:type="dxa"/>
          </w:tcPr>
          <w:p w:rsidR="009A23F2" w:rsidRPr="009A23F2" w:rsidRDefault="009A23F2" w:rsidP="009A23F2">
            <w:pPr>
              <w:cnfStyle w:val="100000000000" w:firstRow="1" w:lastRow="0" w:firstColumn="0" w:lastColumn="0" w:oddVBand="0" w:evenVBand="0" w:oddHBand="0" w:evenHBand="0" w:firstRowFirstColumn="0" w:firstRowLastColumn="0" w:lastRowFirstColumn="0" w:lastRowLastColumn="0"/>
            </w:pPr>
            <w:r>
              <w:t>(</w:t>
            </w:r>
            <w:r w:rsidRPr="009A23F2">
              <w:t>$m, 2015)</w:t>
            </w:r>
          </w:p>
        </w:tc>
      </w:tr>
      <w:tr w:rsidR="009A23F2" w:rsidTr="00814C3A">
        <w:tc>
          <w:tcPr>
            <w:cnfStyle w:val="001000000000" w:firstRow="0" w:lastRow="0" w:firstColumn="1" w:lastColumn="0" w:oddVBand="0" w:evenVBand="0" w:oddHBand="0" w:evenHBand="0" w:firstRowFirstColumn="0" w:firstRowLastColumn="0" w:lastRowFirstColumn="0" w:lastRowLastColumn="0"/>
            <w:tcW w:w="3045" w:type="dxa"/>
          </w:tcPr>
          <w:p w:rsidR="009A23F2" w:rsidRPr="009A23F2" w:rsidRDefault="009A23F2" w:rsidP="009A23F2">
            <w:r>
              <w:t>Opening MAB</w:t>
            </w:r>
            <w:r w:rsidRPr="009A23F2">
              <w:t xml:space="preserve"> as of 1 January 2016</w:t>
            </w:r>
          </w:p>
        </w:tc>
        <w:tc>
          <w:tcPr>
            <w:tcW w:w="2824" w:type="dxa"/>
          </w:tcPr>
          <w:p w:rsidR="009A23F2" w:rsidRDefault="00814C3A" w:rsidP="009A23F2">
            <w:pPr>
              <w:cnfStyle w:val="000000000000" w:firstRow="0" w:lastRow="0" w:firstColumn="0" w:lastColumn="0" w:oddVBand="0" w:evenVBand="0" w:oddHBand="0" w:evenHBand="0" w:firstRowFirstColumn="0" w:firstRowLastColumn="0" w:lastRowFirstColumn="0" w:lastRowLastColumn="0"/>
            </w:pPr>
            <w:r>
              <w:t>172.9</w:t>
            </w:r>
          </w:p>
        </w:tc>
        <w:tc>
          <w:tcPr>
            <w:tcW w:w="2824" w:type="dxa"/>
          </w:tcPr>
          <w:p w:rsidR="009A23F2" w:rsidRDefault="00814C3A" w:rsidP="009A23F2">
            <w:pPr>
              <w:cnfStyle w:val="000000000000" w:firstRow="0" w:lastRow="0" w:firstColumn="0" w:lastColumn="0" w:oddVBand="0" w:evenVBand="0" w:oddHBand="0" w:evenHBand="0" w:firstRowFirstColumn="0" w:firstRowLastColumn="0" w:lastRowFirstColumn="0" w:lastRowLastColumn="0"/>
            </w:pPr>
            <w:r>
              <w:t>210.3</w:t>
            </w:r>
          </w:p>
        </w:tc>
      </w:tr>
    </w:tbl>
    <w:p w:rsidR="009A23F2" w:rsidRDefault="009A23F2" w:rsidP="009A23F2">
      <w:pPr>
        <w:pStyle w:val="AERtablesource"/>
      </w:pPr>
      <w:r>
        <w:t>Source:</w:t>
      </w:r>
      <w:r>
        <w:tab/>
        <w:t>AER analysis</w:t>
      </w:r>
      <w:r w:rsidR="00CD23E8">
        <w:t>.</w:t>
      </w:r>
    </w:p>
    <w:p w:rsidR="009A23F2" w:rsidRDefault="009A23F2" w:rsidP="009A23F2">
      <w:pPr>
        <w:pStyle w:val="HeadingBoldItalic"/>
      </w:pPr>
      <w:r>
        <w:t>Step three</w:t>
      </w:r>
    </w:p>
    <w:p w:rsidR="009A23F2" w:rsidRDefault="009A23F2" w:rsidP="009A23F2">
      <w:r>
        <w:t>The next step we took was to compare the revenue recoverable from the opening MAB we set our 2016–20</w:t>
      </w:r>
      <w:r w:rsidR="00550952">
        <w:t>20</w:t>
      </w:r>
      <w:r>
        <w:t xml:space="preserve"> distribution determination with our recalculation of the MAB in this transition charge draft decision. </w:t>
      </w:r>
      <w:r w:rsidR="00550952">
        <w:fldChar w:fldCharType="begin"/>
      </w:r>
      <w:r w:rsidR="00550952">
        <w:instrText xml:space="preserve"> REF _Ref461522649 \h </w:instrText>
      </w:r>
      <w:r w:rsidR="00550952">
        <w:fldChar w:fldCharType="separate"/>
      </w:r>
      <w:r w:rsidR="003C3A1D">
        <w:t xml:space="preserve">Table </w:t>
      </w:r>
      <w:r w:rsidR="003C3A1D">
        <w:rPr>
          <w:noProof/>
        </w:rPr>
        <w:t>5</w:t>
      </w:r>
      <w:r w:rsidR="003C3A1D">
        <w:t>.</w:t>
      </w:r>
      <w:r w:rsidR="003C3A1D">
        <w:rPr>
          <w:noProof/>
        </w:rPr>
        <w:t>7</w:t>
      </w:r>
      <w:r w:rsidR="00550952">
        <w:fldChar w:fldCharType="end"/>
      </w:r>
      <w:r w:rsidR="00550952">
        <w:t xml:space="preserve"> </w:t>
      </w:r>
      <w:r>
        <w:t>sets out the results of this comparison.</w:t>
      </w:r>
    </w:p>
    <w:p w:rsidR="009A23F2" w:rsidRPr="00696CDC" w:rsidRDefault="009A23F2" w:rsidP="009A23F2">
      <w:pPr>
        <w:pStyle w:val="Caption"/>
      </w:pPr>
      <w:bookmarkStart w:id="88" w:name="_Ref461522649"/>
      <w:r>
        <w:t xml:space="preserve">Table </w:t>
      </w:r>
      <w:r w:rsidRPr="009A23F2">
        <w:fldChar w:fldCharType="begin"/>
      </w:r>
      <w:r>
        <w:instrText xml:space="preserve"> STYLEREF 1 \s </w:instrText>
      </w:r>
      <w:r w:rsidRPr="009A23F2">
        <w:fldChar w:fldCharType="separate"/>
      </w:r>
      <w:r w:rsidR="003C3A1D">
        <w:rPr>
          <w:noProof/>
        </w:rPr>
        <w:t>5</w:t>
      </w:r>
      <w:r w:rsidRPr="009A23F2">
        <w:fldChar w:fldCharType="end"/>
      </w:r>
      <w:r>
        <w:t>.</w:t>
      </w:r>
      <w:fldSimple w:instr=" SEQ Table \* ARABIC \s 1 ">
        <w:r w:rsidR="003C3A1D">
          <w:rPr>
            <w:noProof/>
          </w:rPr>
          <w:t>7</w:t>
        </w:r>
      </w:fldSimple>
      <w:bookmarkEnd w:id="88"/>
      <w:r>
        <w:tab/>
        <w:t>Recalculation of MAB revenue ($m</w:t>
      </w:r>
      <w:r w:rsidR="004C32B3">
        <w:t>illion</w:t>
      </w:r>
      <w:r>
        <w:t>)</w:t>
      </w:r>
    </w:p>
    <w:tbl>
      <w:tblPr>
        <w:tblStyle w:val="AERtable-numbers"/>
        <w:tblW w:w="0" w:type="auto"/>
        <w:tblLook w:val="04A0" w:firstRow="1" w:lastRow="0" w:firstColumn="1" w:lastColumn="0" w:noHBand="0" w:noVBand="1"/>
      </w:tblPr>
      <w:tblGrid>
        <w:gridCol w:w="1853"/>
        <w:gridCol w:w="1158"/>
        <w:gridCol w:w="1157"/>
        <w:gridCol w:w="1157"/>
        <w:gridCol w:w="1157"/>
        <w:gridCol w:w="1105"/>
        <w:gridCol w:w="1106"/>
      </w:tblGrid>
      <w:tr w:rsidR="004C32B3"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4C32B3" w:rsidRDefault="004C32B3" w:rsidP="004C32B3"/>
        </w:tc>
        <w:tc>
          <w:tcPr>
            <w:tcW w:w="1159" w:type="dxa"/>
          </w:tcPr>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2016</w:t>
            </w:r>
          </w:p>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($nomina</w:t>
            </w:r>
            <w:r w:rsidRPr="004C32B3">
              <w:t>l)</w:t>
            </w:r>
          </w:p>
        </w:tc>
        <w:tc>
          <w:tcPr>
            <w:tcW w:w="1158" w:type="dxa"/>
          </w:tcPr>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2017</w:t>
            </w:r>
          </w:p>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2018</w:t>
            </w:r>
          </w:p>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2019</w:t>
            </w:r>
          </w:p>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($nominal)</w:t>
            </w:r>
          </w:p>
        </w:tc>
        <w:tc>
          <w:tcPr>
            <w:tcW w:w="1106" w:type="dxa"/>
          </w:tcPr>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2020</w:t>
            </w:r>
          </w:p>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($nominal)</w:t>
            </w:r>
          </w:p>
        </w:tc>
        <w:tc>
          <w:tcPr>
            <w:tcW w:w="1101" w:type="dxa"/>
          </w:tcPr>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Total</w:t>
            </w:r>
          </w:p>
          <w:p w:rsidR="004C32B3" w:rsidRPr="004C32B3" w:rsidRDefault="004C32B3" w:rsidP="004C32B3">
            <w:pPr>
              <w:cnfStyle w:val="100000000000" w:firstRow="1" w:lastRow="0" w:firstColumn="0" w:lastColumn="0" w:oddVBand="0" w:evenVBand="0" w:oddHBand="0" w:evenHBand="0" w:firstRowFirstColumn="0" w:firstRowLastColumn="0" w:lastRowFirstColumn="0" w:lastRowLastColumn="0"/>
            </w:pPr>
            <w:r>
              <w:t>($Dec</w:t>
            </w:r>
            <w:r w:rsidRPr="004C32B3">
              <w:t> 2015)</w:t>
            </w:r>
          </w:p>
        </w:tc>
      </w:tr>
      <w:tr w:rsidR="004C32B3" w:rsidTr="00814C3A">
        <w:tc>
          <w:tcPr>
            <w:cnfStyle w:val="001000000000" w:firstRow="0" w:lastRow="0" w:firstColumn="1" w:lastColumn="0" w:oddVBand="0" w:evenVBand="0" w:oddHBand="0" w:evenHBand="0" w:firstRowFirstColumn="0" w:firstRowLastColumn="0" w:lastRowFirstColumn="0" w:lastRowLastColumn="0"/>
            <w:tcW w:w="1853" w:type="dxa"/>
          </w:tcPr>
          <w:p w:rsidR="004C32B3" w:rsidRDefault="004C32B3" w:rsidP="004C32B3">
            <w:r>
              <w:t>2016–20</w:t>
            </w:r>
            <w:r w:rsidR="003A43B3">
              <w:t>20</w:t>
            </w:r>
            <w:r>
              <w:t xml:space="preserve"> Victorian determination</w:t>
            </w:r>
          </w:p>
        </w:tc>
        <w:tc>
          <w:tcPr>
            <w:tcW w:w="1159" w:type="dxa"/>
          </w:tcPr>
          <w:p w:rsidR="004C32B3" w:rsidRPr="004C32B3" w:rsidRDefault="00814C3A" w:rsidP="004C32B3">
            <w:pPr>
              <w:cnfStyle w:val="000000000000" w:firstRow="0" w:lastRow="0" w:firstColumn="0" w:lastColumn="0" w:oddVBand="0" w:evenVBand="0" w:oddHBand="0" w:evenHBand="0" w:firstRowFirstColumn="0" w:firstRowLastColumn="0" w:lastRowFirstColumn="0" w:lastRowLastColumn="0"/>
            </w:pPr>
            <w:r>
              <w:t>37.4</w:t>
            </w:r>
          </w:p>
        </w:tc>
        <w:tc>
          <w:tcPr>
            <w:tcW w:w="1158" w:type="dxa"/>
          </w:tcPr>
          <w:p w:rsidR="004C32B3" w:rsidRPr="004C32B3" w:rsidRDefault="00814C3A" w:rsidP="004C32B3">
            <w:pPr>
              <w:cnfStyle w:val="000000000000" w:firstRow="0" w:lastRow="0" w:firstColumn="0" w:lastColumn="0" w:oddVBand="0" w:evenVBand="0" w:oddHBand="0" w:evenHBand="0" w:firstRowFirstColumn="0" w:firstRowLastColumn="0" w:lastRowFirstColumn="0" w:lastRowLastColumn="0"/>
            </w:pPr>
            <w:r>
              <w:t>37.1</w:t>
            </w:r>
          </w:p>
        </w:tc>
        <w:tc>
          <w:tcPr>
            <w:tcW w:w="1158" w:type="dxa"/>
          </w:tcPr>
          <w:p w:rsidR="004C32B3" w:rsidRPr="004C32B3" w:rsidRDefault="00814C3A" w:rsidP="004C32B3">
            <w:pPr>
              <w:cnfStyle w:val="000000000000" w:firstRow="0" w:lastRow="0" w:firstColumn="0" w:lastColumn="0" w:oddVBand="0" w:evenVBand="0" w:oddHBand="0" w:evenHBand="0" w:firstRowFirstColumn="0" w:firstRowLastColumn="0" w:lastRowFirstColumn="0" w:lastRowLastColumn="0"/>
            </w:pPr>
            <w:r>
              <w:t>36.7</w:t>
            </w:r>
          </w:p>
        </w:tc>
        <w:tc>
          <w:tcPr>
            <w:tcW w:w="1158" w:type="dxa"/>
          </w:tcPr>
          <w:p w:rsidR="004C32B3" w:rsidRPr="004C32B3" w:rsidRDefault="00814C3A" w:rsidP="004C32B3">
            <w:pPr>
              <w:cnfStyle w:val="000000000000" w:firstRow="0" w:lastRow="0" w:firstColumn="0" w:lastColumn="0" w:oddVBand="0" w:evenVBand="0" w:oddHBand="0" w:evenHBand="0" w:firstRowFirstColumn="0" w:firstRowLastColumn="0" w:lastRowFirstColumn="0" w:lastRowLastColumn="0"/>
            </w:pPr>
            <w:r>
              <w:t>26.2</w:t>
            </w:r>
          </w:p>
        </w:tc>
        <w:tc>
          <w:tcPr>
            <w:tcW w:w="1106" w:type="dxa"/>
          </w:tcPr>
          <w:p w:rsidR="004C32B3" w:rsidRPr="004C32B3" w:rsidRDefault="00814C3A" w:rsidP="004C32B3">
            <w:pPr>
              <w:cnfStyle w:val="000000000000" w:firstRow="0" w:lastRow="0" w:firstColumn="0" w:lastColumn="0" w:oddVBand="0" w:evenVBand="0" w:oddHBand="0" w:evenHBand="0" w:firstRowFirstColumn="0" w:firstRowLastColumn="0" w:lastRowFirstColumn="0" w:lastRowLastColumn="0"/>
            </w:pPr>
            <w:r>
              <w:t>22.2</w:t>
            </w:r>
          </w:p>
        </w:tc>
        <w:tc>
          <w:tcPr>
            <w:tcW w:w="1101" w:type="dxa"/>
          </w:tcPr>
          <w:p w:rsidR="004C32B3" w:rsidRPr="004C32B3" w:rsidRDefault="00814C3A" w:rsidP="004C32B3">
            <w:pPr>
              <w:cnfStyle w:val="000000000000" w:firstRow="0" w:lastRow="0" w:firstColumn="0" w:lastColumn="0" w:oddVBand="0" w:evenVBand="0" w:oddHBand="0" w:evenHBand="0" w:firstRowFirstColumn="0" w:firstRowLastColumn="0" w:lastRowFirstColumn="0" w:lastRowLastColumn="0"/>
            </w:pPr>
            <w:r>
              <w:t>135.2</w:t>
            </w:r>
          </w:p>
        </w:tc>
      </w:tr>
      <w:tr w:rsidR="004C32B3" w:rsidTr="0081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4C32B3" w:rsidRDefault="004C32B3" w:rsidP="004C32B3">
            <w:r>
              <w:t>Transition charge draft decision</w:t>
            </w:r>
          </w:p>
        </w:tc>
        <w:tc>
          <w:tcPr>
            <w:tcW w:w="1159" w:type="dxa"/>
          </w:tcPr>
          <w:p w:rsidR="004C32B3" w:rsidRPr="004C32B3" w:rsidRDefault="00814C3A" w:rsidP="004C32B3">
            <w:pPr>
              <w:cnfStyle w:val="000000010000" w:firstRow="0" w:lastRow="0" w:firstColumn="0" w:lastColumn="0" w:oddVBand="0" w:evenVBand="0" w:oddHBand="0" w:evenHBand="1" w:firstRowFirstColumn="0" w:firstRowLastColumn="0" w:lastRowFirstColumn="0" w:lastRowLastColumn="0"/>
            </w:pPr>
            <w:r>
              <w:t>36.7</w:t>
            </w:r>
          </w:p>
        </w:tc>
        <w:tc>
          <w:tcPr>
            <w:tcW w:w="1158" w:type="dxa"/>
          </w:tcPr>
          <w:p w:rsidR="004C32B3" w:rsidRPr="004C32B3" w:rsidRDefault="00814C3A" w:rsidP="004C32B3">
            <w:pPr>
              <w:cnfStyle w:val="000000010000" w:firstRow="0" w:lastRow="0" w:firstColumn="0" w:lastColumn="0" w:oddVBand="0" w:evenVBand="0" w:oddHBand="0" w:evenHBand="1" w:firstRowFirstColumn="0" w:firstRowLastColumn="0" w:lastRowFirstColumn="0" w:lastRowLastColumn="0"/>
            </w:pPr>
            <w:r>
              <w:t>36.4</w:t>
            </w:r>
          </w:p>
        </w:tc>
        <w:tc>
          <w:tcPr>
            <w:tcW w:w="1158" w:type="dxa"/>
          </w:tcPr>
          <w:p w:rsidR="004C32B3" w:rsidRPr="004C32B3" w:rsidRDefault="00814C3A" w:rsidP="004C32B3">
            <w:pPr>
              <w:cnfStyle w:val="000000010000" w:firstRow="0" w:lastRow="0" w:firstColumn="0" w:lastColumn="0" w:oddVBand="0" w:evenVBand="0" w:oddHBand="0" w:evenHBand="1" w:firstRowFirstColumn="0" w:firstRowLastColumn="0" w:lastRowFirstColumn="0" w:lastRowLastColumn="0"/>
            </w:pPr>
            <w:r>
              <w:t>36.0</w:t>
            </w:r>
          </w:p>
        </w:tc>
        <w:tc>
          <w:tcPr>
            <w:tcW w:w="1158" w:type="dxa"/>
          </w:tcPr>
          <w:p w:rsidR="004C32B3" w:rsidRPr="004C32B3" w:rsidRDefault="00814C3A" w:rsidP="004C32B3">
            <w:pPr>
              <w:cnfStyle w:val="000000010000" w:firstRow="0" w:lastRow="0" w:firstColumn="0" w:lastColumn="0" w:oddVBand="0" w:evenVBand="0" w:oddHBand="0" w:evenHBand="1" w:firstRowFirstColumn="0" w:firstRowLastColumn="0" w:lastRowFirstColumn="0" w:lastRowLastColumn="0"/>
            </w:pPr>
            <w:r>
              <w:t>24.1</w:t>
            </w:r>
          </w:p>
        </w:tc>
        <w:tc>
          <w:tcPr>
            <w:tcW w:w="1106" w:type="dxa"/>
          </w:tcPr>
          <w:p w:rsidR="004C32B3" w:rsidRPr="004C32B3" w:rsidRDefault="00814C3A" w:rsidP="004C32B3">
            <w:pPr>
              <w:cnfStyle w:val="000000010000" w:firstRow="0" w:lastRow="0" w:firstColumn="0" w:lastColumn="0" w:oddVBand="0" w:evenVBand="0" w:oddHBand="0" w:evenHBand="1" w:firstRowFirstColumn="0" w:firstRowLastColumn="0" w:lastRowFirstColumn="0" w:lastRowLastColumn="0"/>
            </w:pPr>
            <w:r>
              <w:t>21.4</w:t>
            </w:r>
          </w:p>
        </w:tc>
        <w:tc>
          <w:tcPr>
            <w:tcW w:w="1101" w:type="dxa"/>
          </w:tcPr>
          <w:p w:rsidR="004C32B3" w:rsidRPr="004C32B3" w:rsidRDefault="00814C3A" w:rsidP="004C32B3">
            <w:pPr>
              <w:cnfStyle w:val="000000010000" w:firstRow="0" w:lastRow="0" w:firstColumn="0" w:lastColumn="0" w:oddVBand="0" w:evenVBand="0" w:oddHBand="0" w:evenHBand="1" w:firstRowFirstColumn="0" w:firstRowLastColumn="0" w:lastRowFirstColumn="0" w:lastRowLastColumn="0"/>
            </w:pPr>
            <w:r>
              <w:t>131.1</w:t>
            </w:r>
          </w:p>
        </w:tc>
      </w:tr>
      <w:tr w:rsidR="004C32B3" w:rsidTr="00814C3A">
        <w:tc>
          <w:tcPr>
            <w:cnfStyle w:val="001000000000" w:firstRow="0" w:lastRow="0" w:firstColumn="1" w:lastColumn="0" w:oddVBand="0" w:evenVBand="0" w:oddHBand="0" w:evenHBand="0" w:firstRowFirstColumn="0" w:firstRowLastColumn="0" w:lastRowFirstColumn="0" w:lastRowLastColumn="0"/>
            <w:tcW w:w="1853" w:type="dxa"/>
          </w:tcPr>
          <w:p w:rsidR="004C32B3" w:rsidRDefault="004C32B3" w:rsidP="004C32B3">
            <w:r>
              <w:t>Difference</w:t>
            </w:r>
          </w:p>
        </w:tc>
        <w:tc>
          <w:tcPr>
            <w:tcW w:w="1159" w:type="dxa"/>
          </w:tcPr>
          <w:p w:rsidR="004C32B3" w:rsidRDefault="004C32B3" w:rsidP="004C32B3">
            <w:pPr>
              <w:cnfStyle w:val="000000000000" w:firstRow="0" w:lastRow="0" w:firstColumn="0" w:lastColumn="0" w:oddVBand="0" w:evenVBand="0" w:oddHBand="0" w:evenHBand="0" w:firstRowFirstColumn="0" w:firstRowLastColumn="0" w:lastRowFirstColumn="0" w:lastRowLastColumn="0"/>
            </w:pPr>
          </w:p>
        </w:tc>
        <w:tc>
          <w:tcPr>
            <w:tcW w:w="1158" w:type="dxa"/>
          </w:tcPr>
          <w:p w:rsidR="004C32B3" w:rsidRDefault="004C32B3" w:rsidP="004C32B3">
            <w:pPr>
              <w:cnfStyle w:val="000000000000" w:firstRow="0" w:lastRow="0" w:firstColumn="0" w:lastColumn="0" w:oddVBand="0" w:evenVBand="0" w:oddHBand="0" w:evenHBand="0" w:firstRowFirstColumn="0" w:firstRowLastColumn="0" w:lastRowFirstColumn="0" w:lastRowLastColumn="0"/>
            </w:pPr>
          </w:p>
        </w:tc>
        <w:tc>
          <w:tcPr>
            <w:tcW w:w="1158" w:type="dxa"/>
          </w:tcPr>
          <w:p w:rsidR="004C32B3" w:rsidRDefault="004C32B3" w:rsidP="004C32B3">
            <w:pPr>
              <w:cnfStyle w:val="000000000000" w:firstRow="0" w:lastRow="0" w:firstColumn="0" w:lastColumn="0" w:oddVBand="0" w:evenVBand="0" w:oddHBand="0" w:evenHBand="0" w:firstRowFirstColumn="0" w:firstRowLastColumn="0" w:lastRowFirstColumn="0" w:lastRowLastColumn="0"/>
            </w:pPr>
          </w:p>
        </w:tc>
        <w:tc>
          <w:tcPr>
            <w:tcW w:w="1158" w:type="dxa"/>
          </w:tcPr>
          <w:p w:rsidR="004C32B3" w:rsidRDefault="004C32B3" w:rsidP="004C32B3">
            <w:pPr>
              <w:cnfStyle w:val="000000000000" w:firstRow="0" w:lastRow="0" w:firstColumn="0" w:lastColumn="0" w:oddVBand="0" w:evenVBand="0" w:oddHBand="0" w:evenHBand="0" w:firstRowFirstColumn="0" w:firstRowLastColumn="0" w:lastRowFirstColumn="0" w:lastRowLastColumn="0"/>
            </w:pPr>
          </w:p>
        </w:tc>
        <w:tc>
          <w:tcPr>
            <w:tcW w:w="1106" w:type="dxa"/>
          </w:tcPr>
          <w:p w:rsidR="004C32B3" w:rsidRDefault="004C32B3" w:rsidP="004C32B3">
            <w:pPr>
              <w:cnfStyle w:val="000000000000" w:firstRow="0" w:lastRow="0" w:firstColumn="0" w:lastColumn="0" w:oddVBand="0" w:evenVBand="0" w:oddHBand="0" w:evenHBand="0" w:firstRowFirstColumn="0" w:firstRowLastColumn="0" w:lastRowFirstColumn="0" w:lastRowLastColumn="0"/>
            </w:pPr>
          </w:p>
        </w:tc>
        <w:tc>
          <w:tcPr>
            <w:tcW w:w="1101" w:type="dxa"/>
          </w:tcPr>
          <w:p w:rsidR="004C32B3" w:rsidRDefault="00814C3A" w:rsidP="004C32B3">
            <w:pPr>
              <w:cnfStyle w:val="000000000000" w:firstRow="0" w:lastRow="0" w:firstColumn="0" w:lastColumn="0" w:oddVBand="0" w:evenVBand="0" w:oddHBand="0" w:evenHBand="0" w:firstRowFirstColumn="0" w:firstRowLastColumn="0" w:lastRowFirstColumn="0" w:lastRowLastColumn="0"/>
            </w:pPr>
            <w:r>
              <w:t>(4.1)</w:t>
            </w:r>
          </w:p>
        </w:tc>
      </w:tr>
    </w:tbl>
    <w:p w:rsidR="009A23F2" w:rsidRDefault="009A23F2" w:rsidP="009A23F2">
      <w:pPr>
        <w:pStyle w:val="AERtablesource"/>
      </w:pPr>
      <w:r>
        <w:t>Source:</w:t>
      </w:r>
      <w:r>
        <w:tab/>
        <w:t>AER analysis</w:t>
      </w:r>
      <w:r w:rsidR="00CD23E8">
        <w:t>.</w:t>
      </w:r>
    </w:p>
    <w:p w:rsidR="009A23F2" w:rsidRDefault="009A23F2" w:rsidP="009A23F2">
      <w:pPr>
        <w:pStyle w:val="HeadingBoldItalic"/>
      </w:pPr>
      <w:r>
        <w:t>Step four</w:t>
      </w:r>
    </w:p>
    <w:p w:rsidR="009A23F2" w:rsidRPr="00830E97" w:rsidRDefault="009A23F2" w:rsidP="009A23F2">
      <w:r>
        <w:t>The final step we took to calculate the MAB adjustment was to discount the revenue difference calculated in step 3 to its 2018 NPV.</w:t>
      </w:r>
      <w:r w:rsidR="008D0E3B">
        <w:rPr>
          <w:rStyle w:val="FootnoteReference"/>
        </w:rPr>
        <w:footnoteReference w:id="81"/>
      </w:r>
      <w:r>
        <w:t xml:space="preserve"> When we did this, we calculated a negative MAB adjustment of $</w:t>
      </w:r>
      <w:r w:rsidR="00814C3A">
        <w:t>4.9</w:t>
      </w:r>
      <w:r>
        <w:t xml:space="preserve"> million ($2018).</w:t>
      </w:r>
    </w:p>
    <w:p w:rsidR="0064642A" w:rsidRDefault="0064642A" w:rsidP="0064642A">
      <w:pPr>
        <w:pStyle w:val="Heading2"/>
      </w:pPr>
      <w:bookmarkStart w:id="89" w:name="_Ref461453590"/>
      <w:bookmarkStart w:id="90" w:name="_Toc461526275"/>
      <w:r>
        <w:t>Reasons for draft decision</w:t>
      </w:r>
      <w:bookmarkEnd w:id="89"/>
      <w:bookmarkEnd w:id="90"/>
    </w:p>
    <w:p w:rsidR="0064642A" w:rsidRDefault="0064642A" w:rsidP="0064642A">
      <w:r>
        <w:t>Our draft decision accept</w:t>
      </w:r>
      <w:r w:rsidR="00457D11">
        <w:t>s</w:t>
      </w:r>
      <w:r>
        <w:t xml:space="preserve"> the proposed excess expenditure included in </w:t>
      </w:r>
      <w:r w:rsidR="00457D11">
        <w:t>United Energy's</w:t>
      </w:r>
      <w:r>
        <w:t xml:space="preserve"> transition charges application.</w:t>
      </w:r>
      <w:r w:rsidR="00457D11">
        <w:t xml:space="preserve"> </w:t>
      </w:r>
      <w:r>
        <w:t>Our reasons are outlined below.</w:t>
      </w:r>
    </w:p>
    <w:p w:rsidR="0064642A" w:rsidRDefault="0064642A" w:rsidP="0064642A">
      <w:pPr>
        <w:pStyle w:val="Heading3"/>
      </w:pPr>
      <w:bookmarkStart w:id="91" w:name="_Toc461447514"/>
      <w:bookmarkStart w:id="92" w:name="_Toc461526276"/>
      <w:r>
        <w:t>Excess capital expenditure</w:t>
      </w:r>
      <w:bookmarkEnd w:id="91"/>
      <w:bookmarkEnd w:id="92"/>
    </w:p>
    <w:p w:rsidR="0064642A" w:rsidRDefault="00457D11" w:rsidP="0064642A">
      <w:r>
        <w:t>We accept United Energy's proposed $25.3</w:t>
      </w:r>
      <w:r w:rsidR="0064642A">
        <w:t xml:space="preserve"> million ($2018)</w:t>
      </w:r>
      <w:r>
        <w:t xml:space="preserve"> in</w:t>
      </w:r>
      <w:r w:rsidR="0064642A">
        <w:t xml:space="preserve"> excess capit</w:t>
      </w:r>
      <w:r w:rsidR="00F544F0">
        <w:t>al expenditure for 2014</w:t>
      </w:r>
      <w:r w:rsidR="0064642A">
        <w:t xml:space="preserve">. Our draft decision is that </w:t>
      </w:r>
      <w:r>
        <w:t>the proposed</w:t>
      </w:r>
      <w:r w:rsidR="0064642A">
        <w:t xml:space="preserve"> amount meets the requirements in the Order to be recovered through the transition charge. </w:t>
      </w:r>
    </w:p>
    <w:p w:rsidR="0064642A" w:rsidRDefault="0064642A" w:rsidP="0064642A">
      <w:pPr>
        <w:pStyle w:val="HeadingBoldItalic"/>
      </w:pPr>
      <w:r>
        <w:t>Meter supply</w:t>
      </w:r>
      <w:r w:rsidR="005E6767">
        <w:t xml:space="preserve"> and installation</w:t>
      </w:r>
    </w:p>
    <w:p w:rsidR="00E16A7E" w:rsidRDefault="0064642A" w:rsidP="0064642A">
      <w:r>
        <w:t>We</w:t>
      </w:r>
      <w:r w:rsidR="00457D11">
        <w:t xml:space="preserve"> accept United Energy's proposed $7.0</w:t>
      </w:r>
      <w:r>
        <w:t xml:space="preserve"> million ($2018) in excess capital expenditure for 'meter supply'. </w:t>
      </w:r>
      <w:r w:rsidR="005E6767">
        <w:t xml:space="preserve">We also accept its proposed $17.9 million ($2018) for meter installation capex. </w:t>
      </w:r>
      <w:r w:rsidR="00311F74">
        <w:fldChar w:fldCharType="begin"/>
      </w:r>
      <w:r w:rsidR="00311F74">
        <w:instrText xml:space="preserve"> REF _Ref459904769 \h </w:instrText>
      </w:r>
      <w:r w:rsidR="00311F74">
        <w:fldChar w:fldCharType="separate"/>
      </w:r>
      <w:r w:rsidR="003C3A1D">
        <w:t xml:space="preserve">Table </w:t>
      </w:r>
      <w:r w:rsidR="003C3A1D">
        <w:rPr>
          <w:noProof/>
        </w:rPr>
        <w:t>5</w:t>
      </w:r>
      <w:r w:rsidR="003C3A1D">
        <w:t>.</w:t>
      </w:r>
      <w:r w:rsidR="003C3A1D">
        <w:rPr>
          <w:noProof/>
        </w:rPr>
        <w:t>8</w:t>
      </w:r>
      <w:r w:rsidR="00311F74">
        <w:fldChar w:fldCharType="end"/>
      </w:r>
      <w:r w:rsidR="00311F74">
        <w:t xml:space="preserve"> </w:t>
      </w:r>
      <w:r>
        <w:t>sets out our draft decision.</w:t>
      </w:r>
    </w:p>
    <w:p w:rsidR="0064642A" w:rsidRDefault="0064642A" w:rsidP="0064642A">
      <w:pPr>
        <w:pStyle w:val="Caption"/>
      </w:pPr>
      <w:bookmarkStart w:id="93" w:name="_Ref459904769"/>
      <w:r>
        <w:t xml:space="preserve">Table </w:t>
      </w:r>
      <w:r w:rsidR="004F0568">
        <w:fldChar w:fldCharType="begin"/>
      </w:r>
      <w:r w:rsidR="004F0568">
        <w:instrText xml:space="preserve"> STYLEREF 1 \s </w:instrText>
      </w:r>
      <w:r w:rsidR="004F0568">
        <w:fldChar w:fldCharType="separate"/>
      </w:r>
      <w:r w:rsidR="003C3A1D">
        <w:rPr>
          <w:noProof/>
        </w:rPr>
        <w:t>5</w:t>
      </w:r>
      <w:r w:rsidR="004F0568">
        <w:rPr>
          <w:noProof/>
        </w:rPr>
        <w:fldChar w:fldCharType="end"/>
      </w:r>
      <w:r w:rsidR="00696CDC">
        <w:t>.</w:t>
      </w:r>
      <w:fldSimple w:instr=" SEQ Table \* ARABIC \s 1 ">
        <w:r w:rsidR="003C3A1D">
          <w:rPr>
            <w:noProof/>
          </w:rPr>
          <w:t>8</w:t>
        </w:r>
      </w:fldSimple>
      <w:bookmarkEnd w:id="93"/>
      <w:r>
        <w:tab/>
        <w:t>Draft decision on meter supply capex ($m 2018)</w:t>
      </w:r>
    </w:p>
    <w:tbl>
      <w:tblPr>
        <w:tblStyle w:val="AERtable-numbers"/>
        <w:tblW w:w="0" w:type="auto"/>
        <w:tblLook w:val="04A0" w:firstRow="1" w:lastRow="0" w:firstColumn="1" w:lastColumn="0" w:noHBand="0" w:noVBand="1"/>
      </w:tblPr>
      <w:tblGrid>
        <w:gridCol w:w="2358"/>
        <w:gridCol w:w="1988"/>
        <w:gridCol w:w="2173"/>
        <w:gridCol w:w="2174"/>
      </w:tblGrid>
      <w:tr w:rsidR="0064642A" w:rsidTr="00311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64642A" w:rsidRDefault="0064642A" w:rsidP="0064642A"/>
        </w:tc>
        <w:tc>
          <w:tcPr>
            <w:tcW w:w="1988" w:type="dxa"/>
          </w:tcPr>
          <w:p w:rsidR="0064642A" w:rsidRDefault="0064642A" w:rsidP="0064642A">
            <w:pPr>
              <w:cnfStyle w:val="100000000000" w:firstRow="1" w:lastRow="0" w:firstColumn="0" w:lastColumn="0" w:oddVBand="0" w:evenVBand="0" w:oddHBand="0" w:evenHBand="0" w:firstRowFirstColumn="0" w:firstRowLastColumn="0" w:lastRowFirstColumn="0" w:lastRowLastColumn="0"/>
            </w:pPr>
            <w:r>
              <w:t>Approved budget</w:t>
            </w:r>
          </w:p>
          <w:p w:rsidR="0064642A" w:rsidRDefault="0064642A" w:rsidP="0064642A">
            <w:pPr>
              <w:cnfStyle w:val="100000000000" w:firstRow="1" w:lastRow="0" w:firstColumn="0" w:lastColumn="0" w:oddVBand="0" w:evenVBand="0" w:oddHBand="0" w:evenHBand="0" w:firstRowFirstColumn="0" w:firstRowLastColumn="0" w:lastRowFirstColumn="0" w:lastRowLastColumn="0"/>
            </w:pPr>
            <w:r>
              <w:t>(2012–15 Budget)</w:t>
            </w:r>
          </w:p>
        </w:tc>
        <w:tc>
          <w:tcPr>
            <w:tcW w:w="2173" w:type="dxa"/>
          </w:tcPr>
          <w:p w:rsidR="0064642A" w:rsidRDefault="0064642A" w:rsidP="0064642A">
            <w:pPr>
              <w:cnfStyle w:val="100000000000" w:firstRow="1" w:lastRow="0" w:firstColumn="0" w:lastColumn="0" w:oddVBand="0" w:evenVBand="0" w:oddHBand="0" w:evenHBand="0" w:firstRowFirstColumn="0" w:firstRowLastColumn="0" w:lastRowFirstColumn="0" w:lastRowLastColumn="0"/>
            </w:pPr>
            <w:r>
              <w:t>Proposed excess</w:t>
            </w:r>
          </w:p>
        </w:tc>
        <w:tc>
          <w:tcPr>
            <w:tcW w:w="2174" w:type="dxa"/>
          </w:tcPr>
          <w:p w:rsidR="0064642A" w:rsidRDefault="0064642A" w:rsidP="0064642A">
            <w:pPr>
              <w:cnfStyle w:val="100000000000" w:firstRow="1" w:lastRow="0" w:firstColumn="0" w:lastColumn="0" w:oddVBand="0" w:evenVBand="0" w:oddHBand="0" w:evenHBand="0" w:firstRowFirstColumn="0" w:firstRowLastColumn="0" w:lastRowFirstColumn="0" w:lastRowLastColumn="0"/>
            </w:pPr>
            <w:r>
              <w:t>Draft decision</w:t>
            </w:r>
          </w:p>
        </w:tc>
      </w:tr>
      <w:tr w:rsidR="0064642A" w:rsidTr="00311F74">
        <w:tc>
          <w:tcPr>
            <w:cnfStyle w:val="001000000000" w:firstRow="0" w:lastRow="0" w:firstColumn="1" w:lastColumn="0" w:oddVBand="0" w:evenVBand="0" w:oddHBand="0" w:evenHBand="0" w:firstRowFirstColumn="0" w:firstRowLastColumn="0" w:lastRowFirstColumn="0" w:lastRowLastColumn="0"/>
            <w:tcW w:w="2358" w:type="dxa"/>
          </w:tcPr>
          <w:p w:rsidR="0064642A" w:rsidRPr="0064642A" w:rsidRDefault="0064642A" w:rsidP="00457D11">
            <w:pPr>
              <w:pStyle w:val="ListContinue"/>
              <w:ind w:left="0"/>
            </w:pPr>
            <w:r>
              <w:t>2014</w:t>
            </w:r>
          </w:p>
        </w:tc>
        <w:tc>
          <w:tcPr>
            <w:tcW w:w="1988" w:type="dxa"/>
          </w:tcPr>
          <w:p w:rsidR="0064642A" w:rsidRPr="0064642A" w:rsidRDefault="0064642A" w:rsidP="0064642A">
            <w:pPr>
              <w:cnfStyle w:val="000000000000" w:firstRow="0" w:lastRow="0" w:firstColumn="0" w:lastColumn="0" w:oddVBand="0" w:evenVBand="0" w:oddHBand="0" w:evenHBand="0" w:firstRowFirstColumn="0" w:firstRowLastColumn="0" w:lastRowFirstColumn="0" w:lastRowLastColumn="0"/>
            </w:pPr>
          </w:p>
        </w:tc>
        <w:tc>
          <w:tcPr>
            <w:tcW w:w="2173" w:type="dxa"/>
          </w:tcPr>
          <w:p w:rsidR="0064642A" w:rsidRPr="0064642A" w:rsidRDefault="0064642A" w:rsidP="0064642A">
            <w:pPr>
              <w:cnfStyle w:val="000000000000" w:firstRow="0" w:lastRow="0" w:firstColumn="0" w:lastColumn="0" w:oddVBand="0" w:evenVBand="0" w:oddHBand="0" w:evenHBand="0" w:firstRowFirstColumn="0" w:firstRowLastColumn="0" w:lastRowFirstColumn="0" w:lastRowLastColumn="0"/>
            </w:pPr>
          </w:p>
        </w:tc>
        <w:tc>
          <w:tcPr>
            <w:tcW w:w="2174" w:type="dxa"/>
          </w:tcPr>
          <w:p w:rsidR="0064642A" w:rsidRPr="0064642A" w:rsidRDefault="0064642A" w:rsidP="0064642A">
            <w:pPr>
              <w:cnfStyle w:val="000000000000" w:firstRow="0" w:lastRow="0" w:firstColumn="0" w:lastColumn="0" w:oddVBand="0" w:evenVBand="0" w:oddHBand="0" w:evenHBand="0" w:firstRowFirstColumn="0" w:firstRowLastColumn="0" w:lastRowFirstColumn="0" w:lastRowLastColumn="0"/>
            </w:pPr>
          </w:p>
        </w:tc>
      </w:tr>
      <w:tr w:rsidR="00467394" w:rsidTr="00311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467394" w:rsidRPr="00467394" w:rsidRDefault="00467394" w:rsidP="00467394">
            <w:pPr>
              <w:pStyle w:val="ListContinue"/>
            </w:pPr>
            <w:r>
              <w:t>Meter supply</w:t>
            </w:r>
          </w:p>
        </w:tc>
        <w:tc>
          <w:tcPr>
            <w:tcW w:w="1988" w:type="dxa"/>
          </w:tcPr>
          <w:p w:rsidR="00467394" w:rsidRPr="00467394" w:rsidRDefault="00467394" w:rsidP="00467394">
            <w:pPr>
              <w:cnfStyle w:val="000000010000" w:firstRow="0" w:lastRow="0" w:firstColumn="0" w:lastColumn="0" w:oddVBand="0" w:evenVBand="0" w:oddHBand="0" w:evenHBand="1" w:firstRowFirstColumn="0" w:firstRowLastColumn="0" w:lastRowFirstColumn="0" w:lastRowLastColumn="0"/>
            </w:pPr>
            <w:r>
              <w:t>1.4</w:t>
            </w:r>
          </w:p>
        </w:tc>
        <w:tc>
          <w:tcPr>
            <w:tcW w:w="2173" w:type="dxa"/>
          </w:tcPr>
          <w:p w:rsidR="00467394" w:rsidRPr="00467394" w:rsidRDefault="00467394" w:rsidP="00467394">
            <w:pPr>
              <w:cnfStyle w:val="000000010000" w:firstRow="0" w:lastRow="0" w:firstColumn="0" w:lastColumn="0" w:oddVBand="0" w:evenVBand="0" w:oddHBand="0" w:evenHBand="1" w:firstRowFirstColumn="0" w:firstRowLastColumn="0" w:lastRowFirstColumn="0" w:lastRowLastColumn="0"/>
            </w:pPr>
            <w:r>
              <w:t>7.0</w:t>
            </w:r>
          </w:p>
        </w:tc>
        <w:tc>
          <w:tcPr>
            <w:tcW w:w="2174" w:type="dxa"/>
          </w:tcPr>
          <w:p w:rsidR="00467394" w:rsidRPr="00467394" w:rsidRDefault="00467394" w:rsidP="00467394">
            <w:pPr>
              <w:cnfStyle w:val="000000010000" w:firstRow="0" w:lastRow="0" w:firstColumn="0" w:lastColumn="0" w:oddVBand="0" w:evenVBand="0" w:oddHBand="0" w:evenHBand="1" w:firstRowFirstColumn="0" w:firstRowLastColumn="0" w:lastRowFirstColumn="0" w:lastRowLastColumn="0"/>
            </w:pPr>
            <w:r>
              <w:t>7.0</w:t>
            </w:r>
          </w:p>
        </w:tc>
      </w:tr>
      <w:tr w:rsidR="00467394" w:rsidTr="00311F74">
        <w:tc>
          <w:tcPr>
            <w:cnfStyle w:val="001000000000" w:firstRow="0" w:lastRow="0" w:firstColumn="1" w:lastColumn="0" w:oddVBand="0" w:evenVBand="0" w:oddHBand="0" w:evenHBand="0" w:firstRowFirstColumn="0" w:firstRowLastColumn="0" w:lastRowFirstColumn="0" w:lastRowLastColumn="0"/>
            <w:tcW w:w="2358" w:type="dxa"/>
          </w:tcPr>
          <w:p w:rsidR="00467394" w:rsidRPr="00467394" w:rsidRDefault="00467394" w:rsidP="00467394">
            <w:pPr>
              <w:pStyle w:val="ListContinue"/>
            </w:pPr>
            <w:r>
              <w:t>Meter installation</w:t>
            </w:r>
          </w:p>
        </w:tc>
        <w:tc>
          <w:tcPr>
            <w:tcW w:w="1988" w:type="dxa"/>
          </w:tcPr>
          <w:p w:rsidR="00467394" w:rsidRDefault="00467394" w:rsidP="00467394">
            <w:pPr>
              <w:cnfStyle w:val="000000000000" w:firstRow="0" w:lastRow="0" w:firstColumn="0" w:lastColumn="0" w:oddVBand="0" w:evenVBand="0" w:oddHBand="0" w:evenHBand="0" w:firstRowFirstColumn="0" w:firstRowLastColumn="0" w:lastRowFirstColumn="0" w:lastRowLastColumn="0"/>
            </w:pPr>
            <w:r>
              <w:t>0.0</w:t>
            </w:r>
          </w:p>
        </w:tc>
        <w:tc>
          <w:tcPr>
            <w:tcW w:w="2173" w:type="dxa"/>
          </w:tcPr>
          <w:p w:rsidR="00467394" w:rsidRDefault="00467394" w:rsidP="00467394">
            <w:pPr>
              <w:cnfStyle w:val="000000000000" w:firstRow="0" w:lastRow="0" w:firstColumn="0" w:lastColumn="0" w:oddVBand="0" w:evenVBand="0" w:oddHBand="0" w:evenHBand="0" w:firstRowFirstColumn="0" w:firstRowLastColumn="0" w:lastRowFirstColumn="0" w:lastRowLastColumn="0"/>
            </w:pPr>
            <w:r>
              <w:t>17.9</w:t>
            </w:r>
          </w:p>
        </w:tc>
        <w:tc>
          <w:tcPr>
            <w:tcW w:w="2174" w:type="dxa"/>
          </w:tcPr>
          <w:p w:rsidR="00467394" w:rsidRDefault="00467394" w:rsidP="00467394">
            <w:pPr>
              <w:cnfStyle w:val="000000000000" w:firstRow="0" w:lastRow="0" w:firstColumn="0" w:lastColumn="0" w:oddVBand="0" w:evenVBand="0" w:oddHBand="0" w:evenHBand="0" w:firstRowFirstColumn="0" w:firstRowLastColumn="0" w:lastRowFirstColumn="0" w:lastRowLastColumn="0"/>
            </w:pPr>
            <w:r>
              <w:t>17.9</w:t>
            </w:r>
          </w:p>
        </w:tc>
      </w:tr>
      <w:tr w:rsidR="00467394" w:rsidTr="00311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467394" w:rsidRPr="00467394" w:rsidRDefault="00467394" w:rsidP="00467394">
            <w:pPr>
              <w:pStyle w:val="ListContinue"/>
              <w:ind w:left="0"/>
            </w:pPr>
            <w:r>
              <w:t>2015</w:t>
            </w:r>
          </w:p>
        </w:tc>
        <w:tc>
          <w:tcPr>
            <w:tcW w:w="1988" w:type="dxa"/>
          </w:tcPr>
          <w:p w:rsidR="00467394" w:rsidRPr="00467394" w:rsidRDefault="00467394" w:rsidP="00467394">
            <w:pPr>
              <w:cnfStyle w:val="000000010000" w:firstRow="0" w:lastRow="0" w:firstColumn="0" w:lastColumn="0" w:oddVBand="0" w:evenVBand="0" w:oddHBand="0" w:evenHBand="1" w:firstRowFirstColumn="0" w:firstRowLastColumn="0" w:lastRowFirstColumn="0" w:lastRowLastColumn="0"/>
            </w:pPr>
          </w:p>
        </w:tc>
        <w:tc>
          <w:tcPr>
            <w:tcW w:w="2173" w:type="dxa"/>
          </w:tcPr>
          <w:p w:rsidR="00467394" w:rsidRPr="00467394" w:rsidRDefault="00467394" w:rsidP="00467394">
            <w:pPr>
              <w:cnfStyle w:val="000000010000" w:firstRow="0" w:lastRow="0" w:firstColumn="0" w:lastColumn="0" w:oddVBand="0" w:evenVBand="0" w:oddHBand="0" w:evenHBand="1" w:firstRowFirstColumn="0" w:firstRowLastColumn="0" w:lastRowFirstColumn="0" w:lastRowLastColumn="0"/>
            </w:pPr>
          </w:p>
        </w:tc>
        <w:tc>
          <w:tcPr>
            <w:tcW w:w="2174" w:type="dxa"/>
          </w:tcPr>
          <w:p w:rsidR="00467394" w:rsidRPr="00467394" w:rsidRDefault="00467394" w:rsidP="00467394">
            <w:pPr>
              <w:cnfStyle w:val="000000010000" w:firstRow="0" w:lastRow="0" w:firstColumn="0" w:lastColumn="0" w:oddVBand="0" w:evenVBand="0" w:oddHBand="0" w:evenHBand="1" w:firstRowFirstColumn="0" w:firstRowLastColumn="0" w:lastRowFirstColumn="0" w:lastRowLastColumn="0"/>
            </w:pPr>
          </w:p>
        </w:tc>
      </w:tr>
      <w:tr w:rsidR="00467394" w:rsidTr="00311F74">
        <w:tc>
          <w:tcPr>
            <w:cnfStyle w:val="001000000000" w:firstRow="0" w:lastRow="0" w:firstColumn="1" w:lastColumn="0" w:oddVBand="0" w:evenVBand="0" w:oddHBand="0" w:evenHBand="0" w:firstRowFirstColumn="0" w:firstRowLastColumn="0" w:lastRowFirstColumn="0" w:lastRowLastColumn="0"/>
            <w:tcW w:w="2358" w:type="dxa"/>
          </w:tcPr>
          <w:p w:rsidR="00467394" w:rsidRPr="00467394" w:rsidRDefault="00467394" w:rsidP="00467394">
            <w:pPr>
              <w:pStyle w:val="ListContinue"/>
            </w:pPr>
            <w:r>
              <w:t>Meter supply</w:t>
            </w:r>
          </w:p>
        </w:tc>
        <w:tc>
          <w:tcPr>
            <w:tcW w:w="1988" w:type="dxa"/>
          </w:tcPr>
          <w:p w:rsidR="00467394" w:rsidRDefault="00467394" w:rsidP="00467394">
            <w:pPr>
              <w:cnfStyle w:val="000000000000" w:firstRow="0" w:lastRow="0" w:firstColumn="0" w:lastColumn="0" w:oddVBand="0" w:evenVBand="0" w:oddHBand="0" w:evenHBand="0" w:firstRowFirstColumn="0" w:firstRowLastColumn="0" w:lastRowFirstColumn="0" w:lastRowLastColumn="0"/>
            </w:pPr>
            <w:r>
              <w:t>0.0</w:t>
            </w:r>
          </w:p>
        </w:tc>
        <w:tc>
          <w:tcPr>
            <w:tcW w:w="2173" w:type="dxa"/>
          </w:tcPr>
          <w:p w:rsidR="00467394" w:rsidRDefault="00467394" w:rsidP="00467394">
            <w:pPr>
              <w:cnfStyle w:val="000000000000" w:firstRow="0" w:lastRow="0" w:firstColumn="0" w:lastColumn="0" w:oddVBand="0" w:evenVBand="0" w:oddHBand="0" w:evenHBand="0" w:firstRowFirstColumn="0" w:firstRowLastColumn="0" w:lastRowFirstColumn="0" w:lastRowLastColumn="0"/>
            </w:pPr>
            <w:r>
              <w:t>0.0</w:t>
            </w:r>
          </w:p>
        </w:tc>
        <w:tc>
          <w:tcPr>
            <w:tcW w:w="2174" w:type="dxa"/>
          </w:tcPr>
          <w:p w:rsidR="00467394" w:rsidRDefault="00467394" w:rsidP="00467394">
            <w:pPr>
              <w:cnfStyle w:val="000000000000" w:firstRow="0" w:lastRow="0" w:firstColumn="0" w:lastColumn="0" w:oddVBand="0" w:evenVBand="0" w:oddHBand="0" w:evenHBand="0" w:firstRowFirstColumn="0" w:firstRowLastColumn="0" w:lastRowFirstColumn="0" w:lastRowLastColumn="0"/>
            </w:pPr>
            <w:r>
              <w:t>0.0</w:t>
            </w:r>
          </w:p>
        </w:tc>
      </w:tr>
      <w:tr w:rsidR="00467394" w:rsidTr="00311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467394" w:rsidRPr="00467394" w:rsidRDefault="00467394" w:rsidP="00467394">
            <w:pPr>
              <w:pStyle w:val="ListContinue"/>
            </w:pPr>
            <w:r>
              <w:t>Meter installation</w:t>
            </w:r>
          </w:p>
        </w:tc>
        <w:tc>
          <w:tcPr>
            <w:tcW w:w="1988" w:type="dxa"/>
          </w:tcPr>
          <w:p w:rsidR="00467394" w:rsidRDefault="00467394" w:rsidP="00467394">
            <w:pPr>
              <w:cnfStyle w:val="000000010000" w:firstRow="0" w:lastRow="0" w:firstColumn="0" w:lastColumn="0" w:oddVBand="0" w:evenVBand="0" w:oddHBand="0" w:evenHBand="1" w:firstRowFirstColumn="0" w:firstRowLastColumn="0" w:lastRowFirstColumn="0" w:lastRowLastColumn="0"/>
            </w:pPr>
            <w:r>
              <w:t>0.0</w:t>
            </w:r>
          </w:p>
        </w:tc>
        <w:tc>
          <w:tcPr>
            <w:tcW w:w="2173" w:type="dxa"/>
          </w:tcPr>
          <w:p w:rsidR="00467394" w:rsidRDefault="00467394" w:rsidP="00467394">
            <w:pPr>
              <w:cnfStyle w:val="000000010000" w:firstRow="0" w:lastRow="0" w:firstColumn="0" w:lastColumn="0" w:oddVBand="0" w:evenVBand="0" w:oddHBand="0" w:evenHBand="1" w:firstRowFirstColumn="0" w:firstRowLastColumn="0" w:lastRowFirstColumn="0" w:lastRowLastColumn="0"/>
            </w:pPr>
            <w:r>
              <w:t>0.0</w:t>
            </w:r>
          </w:p>
        </w:tc>
        <w:tc>
          <w:tcPr>
            <w:tcW w:w="2174" w:type="dxa"/>
          </w:tcPr>
          <w:p w:rsidR="00467394" w:rsidRDefault="00467394" w:rsidP="00467394">
            <w:pPr>
              <w:cnfStyle w:val="000000010000" w:firstRow="0" w:lastRow="0" w:firstColumn="0" w:lastColumn="0" w:oddVBand="0" w:evenVBand="0" w:oddHBand="0" w:evenHBand="1" w:firstRowFirstColumn="0" w:firstRowLastColumn="0" w:lastRowFirstColumn="0" w:lastRowLastColumn="0"/>
            </w:pPr>
            <w:r>
              <w:t>0.0</w:t>
            </w:r>
          </w:p>
        </w:tc>
      </w:tr>
      <w:tr w:rsidR="00467394" w:rsidTr="00311F74">
        <w:tc>
          <w:tcPr>
            <w:cnfStyle w:val="001000000000" w:firstRow="0" w:lastRow="0" w:firstColumn="1" w:lastColumn="0" w:oddVBand="0" w:evenVBand="0" w:oddHBand="0" w:evenHBand="0" w:firstRowFirstColumn="0" w:firstRowLastColumn="0" w:lastRowFirstColumn="0" w:lastRowLastColumn="0"/>
            <w:tcW w:w="2358" w:type="dxa"/>
          </w:tcPr>
          <w:p w:rsidR="00467394" w:rsidRPr="00467394" w:rsidRDefault="00467394" w:rsidP="00467394">
            <w:pPr>
              <w:pStyle w:val="ListContinue"/>
              <w:ind w:left="0"/>
            </w:pPr>
            <w:r>
              <w:t>Total</w:t>
            </w:r>
            <w:r w:rsidRPr="00467394">
              <w:t xml:space="preserve"> </w:t>
            </w:r>
          </w:p>
        </w:tc>
        <w:tc>
          <w:tcPr>
            <w:tcW w:w="1988" w:type="dxa"/>
          </w:tcPr>
          <w:p w:rsidR="00467394" w:rsidRPr="00467394" w:rsidRDefault="00467394" w:rsidP="00467394">
            <w:pPr>
              <w:cnfStyle w:val="000000000000" w:firstRow="0" w:lastRow="0" w:firstColumn="0" w:lastColumn="0" w:oddVBand="0" w:evenVBand="0" w:oddHBand="0" w:evenHBand="0" w:firstRowFirstColumn="0" w:firstRowLastColumn="0" w:lastRowFirstColumn="0" w:lastRowLastColumn="0"/>
            </w:pPr>
            <w:r>
              <w:t>1.4</w:t>
            </w:r>
          </w:p>
        </w:tc>
        <w:tc>
          <w:tcPr>
            <w:tcW w:w="2173" w:type="dxa"/>
          </w:tcPr>
          <w:p w:rsidR="00467394" w:rsidRPr="00467394" w:rsidRDefault="00467394" w:rsidP="00467394">
            <w:pPr>
              <w:cnfStyle w:val="000000000000" w:firstRow="0" w:lastRow="0" w:firstColumn="0" w:lastColumn="0" w:oddVBand="0" w:evenVBand="0" w:oddHBand="0" w:evenHBand="0" w:firstRowFirstColumn="0" w:firstRowLastColumn="0" w:lastRowFirstColumn="0" w:lastRowLastColumn="0"/>
            </w:pPr>
            <w:r>
              <w:t>24.9</w:t>
            </w:r>
          </w:p>
        </w:tc>
        <w:tc>
          <w:tcPr>
            <w:tcW w:w="2174" w:type="dxa"/>
          </w:tcPr>
          <w:p w:rsidR="00467394" w:rsidRPr="00467394" w:rsidRDefault="00467394" w:rsidP="00467394">
            <w:pPr>
              <w:cnfStyle w:val="000000000000" w:firstRow="0" w:lastRow="0" w:firstColumn="0" w:lastColumn="0" w:oddVBand="0" w:evenVBand="0" w:oddHBand="0" w:evenHBand="0" w:firstRowFirstColumn="0" w:firstRowLastColumn="0" w:lastRowFirstColumn="0" w:lastRowLastColumn="0"/>
            </w:pPr>
            <w:r>
              <w:t>24.9</w:t>
            </w:r>
          </w:p>
        </w:tc>
      </w:tr>
    </w:tbl>
    <w:p w:rsidR="0064642A" w:rsidRDefault="0064642A" w:rsidP="0064642A">
      <w:pPr>
        <w:pStyle w:val="AERtablesource"/>
      </w:pPr>
      <w:r>
        <w:t xml:space="preserve">Source: </w:t>
      </w:r>
      <w:r>
        <w:tab/>
        <w:t>AER analysis.</w:t>
      </w:r>
    </w:p>
    <w:p w:rsidR="00186657" w:rsidRDefault="00367CAF" w:rsidP="0064642A">
      <w:r>
        <w:t>In its transition charge</w:t>
      </w:r>
      <w:r w:rsidR="00972325">
        <w:t xml:space="preserve"> application, United Energy proposed that its excess capital expenditure for meter supply</w:t>
      </w:r>
      <w:r w:rsidR="005E6767">
        <w:t xml:space="preserve"> and installation</w:t>
      </w:r>
      <w:r w:rsidR="00972325">
        <w:t xml:space="preserve"> was due to delays in its AMI roll–out that were outside of its control.</w:t>
      </w:r>
      <w:r w:rsidR="00972325">
        <w:rPr>
          <w:rStyle w:val="FootnoteReference"/>
        </w:rPr>
        <w:footnoteReference w:id="82"/>
      </w:r>
      <w:r w:rsidR="00186657">
        <w:t xml:space="preserve"> United Energy noted that its </w:t>
      </w:r>
      <w:r w:rsidR="00972325">
        <w:t>original plan was that 95 percent of</w:t>
      </w:r>
      <w:r w:rsidR="00186657">
        <w:t xml:space="preserve"> its</w:t>
      </w:r>
      <w:r w:rsidR="00972325">
        <w:t xml:space="preserve"> AMI meters would be deployed by 31 December 2012, with the remaining 5 percent to be completed during 2013.</w:t>
      </w:r>
      <w:r w:rsidR="00186657">
        <w:rPr>
          <w:rStyle w:val="FootnoteReference"/>
        </w:rPr>
        <w:footnoteReference w:id="83"/>
      </w:r>
      <w:r w:rsidR="00972325">
        <w:t xml:space="preserve"> </w:t>
      </w:r>
      <w:r w:rsidR="00186657">
        <w:t>Under this plan, the installation of AMI meters in 2014 was not contemplated in the AER's approved budget for that year.</w:t>
      </w:r>
      <w:r>
        <w:t xml:space="preserve"> Government policy and market condition changes, however, caused delays which led to the deployment of meters in 2014.</w:t>
      </w:r>
    </w:p>
    <w:p w:rsidR="005E6767" w:rsidRDefault="00367CAF" w:rsidP="0064642A">
      <w:r>
        <w:t xml:space="preserve">Energeia accepted United </w:t>
      </w:r>
      <w:r w:rsidR="00521C6A">
        <w:t>Energy's</w:t>
      </w:r>
      <w:r>
        <w:t xml:space="preserve"> </w:t>
      </w:r>
      <w:r w:rsidR="00521C6A">
        <w:t>contention that its excess capital expenditure</w:t>
      </w:r>
      <w:r w:rsidR="005E6767">
        <w:t xml:space="preserve"> for meter supply and installations</w:t>
      </w:r>
      <w:r w:rsidR="00521C6A">
        <w:t xml:space="preserve"> was due to delays outside of its control. </w:t>
      </w:r>
      <w:r w:rsidR="005E6767">
        <w:t>Specifically, it characterised</w:t>
      </w:r>
      <w:r w:rsidR="00521C6A">
        <w:t xml:space="preserve"> </w:t>
      </w:r>
      <w:r w:rsidR="005E6767">
        <w:t xml:space="preserve">the </w:t>
      </w:r>
      <w:r w:rsidR="00521C6A">
        <w:t>expenditure</w:t>
      </w:r>
      <w:r w:rsidR="005E6767">
        <w:t xml:space="preserve"> as</w:t>
      </w:r>
      <w:r w:rsidR="00521C6A">
        <w:t xml:space="preserve"> </w:t>
      </w:r>
      <w:r w:rsidR="005E6767">
        <w:t>reflective of</w:t>
      </w:r>
      <w:r w:rsidR="00521C6A">
        <w:t xml:space="preserve"> a timing </w:t>
      </w:r>
      <w:r w:rsidR="005E6767">
        <w:t>as opposed to</w:t>
      </w:r>
      <w:r w:rsidR="00521C6A">
        <w:t xml:space="preserve"> a cost variation.</w:t>
      </w:r>
      <w:r w:rsidR="00467394">
        <w:rPr>
          <w:rStyle w:val="FootnoteReference"/>
        </w:rPr>
        <w:footnoteReference w:id="84"/>
      </w:r>
      <w:r w:rsidR="00521C6A">
        <w:t xml:space="preserve"> Energeia also observed</w:t>
      </w:r>
      <w:r w:rsidR="005E6767">
        <w:t xml:space="preserve"> that</w:t>
      </w:r>
      <w:r w:rsidR="00521C6A">
        <w:t xml:space="preserve"> overall United Energy</w:t>
      </w:r>
      <w:r w:rsidR="005E6767">
        <w:t>'s AMI</w:t>
      </w:r>
      <w:r w:rsidR="00521C6A">
        <w:t xml:space="preserve"> expenditure per meter was the lowest</w:t>
      </w:r>
      <w:r w:rsidR="005E6767">
        <w:t>.</w:t>
      </w:r>
      <w:r w:rsidR="00467394">
        <w:rPr>
          <w:rStyle w:val="FootnoteReference"/>
        </w:rPr>
        <w:footnoteReference w:id="85"/>
      </w:r>
      <w:r w:rsidR="005E6767">
        <w:t xml:space="preserve"> It concluded that United Energy's 'overall metering capex, which includes meter supply and meter installation capex sub–categories, to be the benchmark efficient entity'.</w:t>
      </w:r>
      <w:r w:rsidR="005E6767">
        <w:rPr>
          <w:rStyle w:val="FootnoteReference"/>
        </w:rPr>
        <w:footnoteReference w:id="86"/>
      </w:r>
    </w:p>
    <w:p w:rsidR="00E16A7E" w:rsidRDefault="005E6767" w:rsidP="0064642A">
      <w:r>
        <w:t>Our draft decision, based on Energeia's advice and our own analysis, is to</w:t>
      </w:r>
      <w:r w:rsidR="00467394">
        <w:t xml:space="preserve"> accept United Energy's proposed ex</w:t>
      </w:r>
      <w:r>
        <w:t xml:space="preserve">cess capital expenditure for meter supply and installation, totalling $24.9 million ($2018). We are satisfied </w:t>
      </w:r>
      <w:r w:rsidR="00A51DC2">
        <w:t>that the expenditure reflects the efficient costs of business providing AMI services which also faced the government policy and market changes United Energy experienced. In accordance with the Order,</w:t>
      </w:r>
      <w:r w:rsidR="00A51DC2">
        <w:rPr>
          <w:rStyle w:val="FootnoteReference"/>
        </w:rPr>
        <w:footnoteReference w:id="87"/>
      </w:r>
      <w:r w:rsidR="00A51DC2">
        <w:t xml:space="preserve"> we find that the expenditure is prudent and have included it in our calculation of United Energy's transition charge in this draft decision.</w:t>
      </w:r>
    </w:p>
    <w:p w:rsidR="00367CAF" w:rsidRDefault="00A51DC2" w:rsidP="00A51DC2">
      <w:pPr>
        <w:pStyle w:val="HeadingBoldItalic"/>
      </w:pPr>
      <w:r>
        <w:t>Communications infrastructure</w:t>
      </w:r>
    </w:p>
    <w:p w:rsidR="00A51DC2" w:rsidRDefault="00A51DC2" w:rsidP="00A51DC2">
      <w:r>
        <w:t>We accept United Energy's proposed excess capital expenditure for AMI communications infrastructure,</w:t>
      </w:r>
      <w:r w:rsidR="00F544F0">
        <w:t xml:space="preserve"> totalling $0.3 million ($2018</w:t>
      </w:r>
      <w:r>
        <w:t>).</w:t>
      </w:r>
    </w:p>
    <w:p w:rsidR="00416D79" w:rsidRDefault="00416D79" w:rsidP="00A51DC2">
      <w:r>
        <w:t>In support of its application, United Energy proposed that its 2012–15 Approved Budget 'assumed that all access points and repeaters would be purchased and installed by 2012, consistent with the planned completion date of 31 December 2013 for the AMI roll–out'.</w:t>
      </w:r>
      <w:r>
        <w:rPr>
          <w:rStyle w:val="FootnoteReference"/>
        </w:rPr>
        <w:footnoteReference w:id="88"/>
      </w:r>
      <w:r>
        <w:t xml:space="preserve"> Delays nonetheless led to some additional infrastructure deployed in 2014. </w:t>
      </w:r>
    </w:p>
    <w:p w:rsidR="00416D79" w:rsidRDefault="00416D79" w:rsidP="00A51DC2">
      <w:r>
        <w:t xml:space="preserve">Our draft decision accepts United Energy's proposal. Energeia's advice </w:t>
      </w:r>
      <w:r w:rsidR="00116666">
        <w:t>is</w:t>
      </w:r>
      <w:r>
        <w:t xml:space="preserve"> that the proposed excess capital expenditure for AMI communications infrastructure reflects a timing variation. It further noted that United Energy is the benchmark efficient entity in terms of its AMI communications infrastructure. We have included the proposed $0.3 million ($201</w:t>
      </w:r>
      <w:r w:rsidR="00116666">
        <w:t>8</w:t>
      </w:r>
      <w:r>
        <w:t>) in our calculation of United Energy's transition charge.</w:t>
      </w:r>
    </w:p>
    <w:p w:rsidR="001F7EFE" w:rsidRDefault="001F7EFE" w:rsidP="00511D62">
      <w:pPr>
        <w:pStyle w:val="Heading1"/>
      </w:pPr>
      <w:bookmarkStart w:id="94" w:name="_Toc460336347"/>
      <w:bookmarkStart w:id="95" w:name="_Ref461285672"/>
      <w:bookmarkStart w:id="96" w:name="_Toc461526277"/>
      <w:bookmarkEnd w:id="94"/>
      <w:r>
        <w:t>Jemena</w:t>
      </w:r>
      <w:bookmarkEnd w:id="95"/>
      <w:bookmarkEnd w:id="96"/>
    </w:p>
    <w:p w:rsidR="00814C3A" w:rsidRDefault="00814C3A" w:rsidP="00814C3A">
      <w:r>
        <w:t xml:space="preserve">We do not accept </w:t>
      </w:r>
      <w:r w:rsidR="003F035B">
        <w:t>Jemena's</w:t>
      </w:r>
      <w:r>
        <w:t xml:space="preserve"> Transition Charge Application</w:t>
      </w:r>
      <w:r w:rsidR="00D33B63">
        <w:t xml:space="preserve">, which proposed a </w:t>
      </w:r>
      <w:r w:rsidR="00EB3036">
        <w:t xml:space="preserve">negative </w:t>
      </w:r>
      <w:r w:rsidR="00D33B63">
        <w:t xml:space="preserve">transition charge of </w:t>
      </w:r>
      <w:r w:rsidR="00EB3036">
        <w:t>$1.7 million ($2018)</w:t>
      </w:r>
      <w:r>
        <w:t xml:space="preserve">.  In place of its proposal, we have calculated a substitute transition charge. </w:t>
      </w:r>
    </w:p>
    <w:p w:rsidR="00814C3A" w:rsidRDefault="00814C3A" w:rsidP="00814C3A">
      <w:pPr>
        <w:pStyle w:val="Heading2"/>
      </w:pPr>
      <w:bookmarkStart w:id="97" w:name="_Toc461526278"/>
      <w:r>
        <w:t>Draft decision</w:t>
      </w:r>
      <w:bookmarkEnd w:id="97"/>
    </w:p>
    <w:p w:rsidR="00814C3A" w:rsidRDefault="00814C3A" w:rsidP="00814C3A">
      <w:r w:rsidRPr="00EA403A">
        <w:t>Our draft decision provides for a neg</w:t>
      </w:r>
      <w:r w:rsidR="003F035B">
        <w:t>ative transition charge of $16.5</w:t>
      </w:r>
      <w:r w:rsidRPr="00EA403A">
        <w:t xml:space="preserve"> million ($2018). </w:t>
      </w:r>
    </w:p>
    <w:p w:rsidR="003B5A94" w:rsidRDefault="003B5A94" w:rsidP="00814C3A">
      <w:r>
        <w:t xml:space="preserve">Under the Order, the calculation of Jemena's transition charge must consist of a revenue and costs true–up and a MAB adjustment (see section </w:t>
      </w:r>
      <w:r>
        <w:fldChar w:fldCharType="begin"/>
      </w:r>
      <w:r>
        <w:instrText xml:space="preserve"> REF _Ref461458739 \n \h </w:instrText>
      </w:r>
      <w:r>
        <w:fldChar w:fldCharType="separate"/>
      </w:r>
      <w:r w:rsidR="003C3A1D">
        <w:t>3.1</w:t>
      </w:r>
      <w:r>
        <w:fldChar w:fldCharType="end"/>
      </w:r>
      <w:r>
        <w:t>).</w:t>
      </w:r>
      <w:r>
        <w:rPr>
          <w:rStyle w:val="FootnoteReference"/>
        </w:rPr>
        <w:footnoteReference w:id="89"/>
      </w:r>
      <w:r w:rsidR="007B522A">
        <w:t xml:space="preserve"> Jemena's application</w:t>
      </w:r>
      <w:r>
        <w:t xml:space="preserve"> included the revenue and costs true–up in the calculation of its proposed transition charge</w:t>
      </w:r>
      <w:r w:rsidR="007B522A">
        <w:t xml:space="preserve"> but </w:t>
      </w:r>
      <w:r w:rsidR="00EB3036">
        <w:t xml:space="preserve">did </w:t>
      </w:r>
      <w:r w:rsidR="007B522A">
        <w:t xml:space="preserve">not </w:t>
      </w:r>
      <w:r w:rsidR="00EB3036">
        <w:t xml:space="preserve">include </w:t>
      </w:r>
      <w:r w:rsidR="007B522A">
        <w:t>the MAB adjustment</w:t>
      </w:r>
      <w:r>
        <w:t>. We have not accepted this aspect of Jemena's proposal.</w:t>
      </w:r>
    </w:p>
    <w:p w:rsidR="00814C3A" w:rsidRDefault="003F035B" w:rsidP="00814C3A">
      <w:r>
        <w:fldChar w:fldCharType="begin"/>
      </w:r>
      <w:r>
        <w:instrText xml:space="preserve"> REF _Ref461458550 \h </w:instrText>
      </w:r>
      <w:r>
        <w:fldChar w:fldCharType="separate"/>
      </w:r>
      <w:r w:rsidR="003C3A1D">
        <w:t xml:space="preserve">Figure </w:t>
      </w:r>
      <w:r w:rsidR="003C3A1D">
        <w:rPr>
          <w:noProof/>
        </w:rPr>
        <w:t>6</w:t>
      </w:r>
      <w:r w:rsidR="003C3A1D">
        <w:t>.</w:t>
      </w:r>
      <w:r w:rsidR="003C3A1D">
        <w:rPr>
          <w:noProof/>
        </w:rPr>
        <w:t>1</w:t>
      </w:r>
      <w:r>
        <w:fldChar w:fldCharType="end"/>
      </w:r>
      <w:r>
        <w:t xml:space="preserve"> </w:t>
      </w:r>
      <w:r w:rsidR="00814C3A">
        <w:t xml:space="preserve">sets out the components that make up our draft decision. It shows that our draft decision transition charge consists of a </w:t>
      </w:r>
      <w:r w:rsidR="00643960">
        <w:t>negative revenue and costs true–up of</w:t>
      </w:r>
      <w:r w:rsidR="00EB3036">
        <w:t xml:space="preserve"> negative</w:t>
      </w:r>
      <w:r w:rsidR="00643960">
        <w:t xml:space="preserve"> $7</w:t>
      </w:r>
      <w:r w:rsidR="00814C3A">
        <w:t xml:space="preserve">.0 million ($2018) </w:t>
      </w:r>
      <w:r w:rsidR="00EB3036">
        <w:t>plus</w:t>
      </w:r>
      <w:r w:rsidR="00814C3A">
        <w:t xml:space="preserve"> a negative MAB </w:t>
      </w:r>
      <w:r w:rsidR="00643960">
        <w:t>adjustment of $9.6</w:t>
      </w:r>
      <w:r w:rsidR="00814C3A">
        <w:t xml:space="preserve"> million ($2018)</w:t>
      </w:r>
      <w:r w:rsidR="00EB3036">
        <w:t xml:space="preserve"> giving a total transition charge of negative $16.5 million ($2018)</w:t>
      </w:r>
      <w:r w:rsidR="00814C3A">
        <w:t>.</w:t>
      </w:r>
    </w:p>
    <w:p w:rsidR="00814C3A" w:rsidRDefault="00814C3A" w:rsidP="00814C3A">
      <w:pPr>
        <w:pStyle w:val="Caption"/>
      </w:pPr>
      <w:bookmarkStart w:id="98" w:name="_Ref461458550"/>
      <w:r>
        <w:t xml:space="preserve">Figure </w:t>
      </w:r>
      <w:r w:rsidRPr="009A23F2">
        <w:fldChar w:fldCharType="begin"/>
      </w:r>
      <w:r>
        <w:instrText xml:space="preserve"> STYLEREF 1 \s </w:instrText>
      </w:r>
      <w:r w:rsidRPr="009A23F2">
        <w:fldChar w:fldCharType="separate"/>
      </w:r>
      <w:r w:rsidR="003C3A1D">
        <w:rPr>
          <w:noProof/>
        </w:rPr>
        <w:t>6</w:t>
      </w:r>
      <w:r w:rsidRPr="009A23F2">
        <w:fldChar w:fldCharType="end"/>
      </w:r>
      <w:r>
        <w:t>.</w:t>
      </w:r>
      <w:fldSimple w:instr=" SEQ Figure \* ARABIC \s 1 ">
        <w:r w:rsidR="003C3A1D">
          <w:rPr>
            <w:noProof/>
          </w:rPr>
          <w:t>1</w:t>
        </w:r>
      </w:fldSimple>
      <w:bookmarkEnd w:id="98"/>
      <w:r>
        <w:tab/>
        <w:t>Draft decision transition charge ($2018)</w:t>
      </w:r>
    </w:p>
    <w:p w:rsidR="00814C3A" w:rsidRDefault="00814C3A" w:rsidP="00814C3A">
      <w:r w:rsidRPr="009A23F2">
        <w:rPr>
          <w:noProof/>
          <w:lang w:val="en-US"/>
        </w:rPr>
        <w:drawing>
          <wp:inline distT="0" distB="0" distL="0" distR="0" wp14:anchorId="63D0CE4C" wp14:editId="5C8715FF">
            <wp:extent cx="5382883" cy="1319842"/>
            <wp:effectExtent l="0" t="0" r="889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14C3A" w:rsidRDefault="00814C3A" w:rsidP="00814C3A">
      <w:pPr>
        <w:pStyle w:val="AERtablesource"/>
      </w:pPr>
      <w:r>
        <w:t>Source:</w:t>
      </w:r>
      <w:r>
        <w:tab/>
        <w:t>AER analysis</w:t>
      </w:r>
      <w:r w:rsidR="00CD23E8">
        <w:t>.</w:t>
      </w:r>
    </w:p>
    <w:p w:rsidR="00814C3A" w:rsidRDefault="00814C3A" w:rsidP="00814C3A">
      <w:pPr>
        <w:pStyle w:val="Heading3"/>
      </w:pPr>
      <w:bookmarkStart w:id="99" w:name="_Toc461526279"/>
      <w:r>
        <w:t>Revenue and costs true–up</w:t>
      </w:r>
      <w:bookmarkEnd w:id="99"/>
      <w:r w:rsidRPr="00EA403A">
        <w:t xml:space="preserve"> </w:t>
      </w:r>
    </w:p>
    <w:p w:rsidR="00814C3A" w:rsidRDefault="00814C3A" w:rsidP="00814C3A">
      <w:r>
        <w:t xml:space="preserve">We have calculated a </w:t>
      </w:r>
      <w:r w:rsidR="00643960">
        <w:t>negative</w:t>
      </w:r>
      <w:r>
        <w:t xml:space="preserve"> r</w:t>
      </w:r>
      <w:r w:rsidR="003B5A94">
        <w:t>evenue and costs true–up of $</w:t>
      </w:r>
      <w:r w:rsidR="00643960">
        <w:t>7.0</w:t>
      </w:r>
      <w:r>
        <w:t xml:space="preserve"> million ($2018).</w:t>
      </w:r>
    </w:p>
    <w:p w:rsidR="00643960" w:rsidRDefault="00643960" w:rsidP="00814C3A">
      <w:r>
        <w:t>In 2015 NPV terms, Jemena proposed a negative revenue and costs true–up of $0.8 million ($2015).</w:t>
      </w:r>
      <w:r w:rsidR="00BE3FA5">
        <w:rPr>
          <w:rStyle w:val="FootnoteReference"/>
        </w:rPr>
        <w:footnoteReference w:id="90"/>
      </w:r>
      <w:r>
        <w:t xml:space="preserve"> When discounted to a 2018 NPV</w:t>
      </w:r>
      <w:r w:rsidR="00B94A5B">
        <w:t xml:space="preserve"> </w:t>
      </w:r>
      <w:r>
        <w:t>this is equal to $1.7 million ($2018) return to customers</w:t>
      </w:r>
      <w:r w:rsidR="00B94A5B">
        <w:t>. Our draft decision for a $7.0 million ($2018) true–up will therefore lead to a greater return of revenue to customers than Jemena</w:t>
      </w:r>
      <w:r w:rsidR="00BE3FA5">
        <w:t xml:space="preserve"> had proposed in its application</w:t>
      </w:r>
      <w:r w:rsidR="00B94A5B">
        <w:t>.</w:t>
      </w:r>
    </w:p>
    <w:p w:rsidR="00B94A5B" w:rsidRDefault="00B94A5B" w:rsidP="00814C3A">
      <w:r>
        <w:t xml:space="preserve">The reason for the difference between our draft decision and Jemena's proposal relates to our assessment of 2014 and 2015 excess expenditure. For the reasons set out in section </w:t>
      </w:r>
      <w:r>
        <w:fldChar w:fldCharType="begin"/>
      </w:r>
      <w:r>
        <w:instrText xml:space="preserve"> REF _Ref461462102 \n \h </w:instrText>
      </w:r>
      <w:r>
        <w:fldChar w:fldCharType="separate"/>
      </w:r>
      <w:r w:rsidR="003C3A1D">
        <w:t>6.2</w:t>
      </w:r>
      <w:r>
        <w:fldChar w:fldCharType="end"/>
      </w:r>
      <w:r>
        <w:t xml:space="preserve">, </w:t>
      </w:r>
      <w:r w:rsidR="00BE3FA5">
        <w:t>our draft decision is to</w:t>
      </w:r>
      <w:r>
        <w:t xml:space="preserve"> accept </w:t>
      </w:r>
      <w:r w:rsidR="00BE3FA5">
        <w:t>$7.9 million ($2018) of Jemena's proposed $14.8 million ($2018) in excess expenditure.</w:t>
      </w:r>
    </w:p>
    <w:p w:rsidR="00814C3A" w:rsidRDefault="00814C3A" w:rsidP="00814C3A">
      <w:r>
        <w:t>To calculate the revenue and costs true–up in accordance with the Order, we followed a series of steps outlined below.</w:t>
      </w:r>
    </w:p>
    <w:p w:rsidR="00814C3A" w:rsidRPr="00EB3036" w:rsidRDefault="00814C3A" w:rsidP="00EB3036">
      <w:pPr>
        <w:pStyle w:val="HeadingBoldItalic"/>
        <w:rPr>
          <w:rStyle w:val="Strong"/>
          <w:b/>
          <w:bCs/>
        </w:rPr>
      </w:pPr>
      <w:r w:rsidRPr="00EB3036">
        <w:rPr>
          <w:rStyle w:val="Strong"/>
          <w:b/>
          <w:bCs/>
        </w:rPr>
        <w:t>Step one</w:t>
      </w:r>
    </w:p>
    <w:p w:rsidR="00814C3A" w:rsidRDefault="00814C3A" w:rsidP="00814C3A">
      <w:r>
        <w:t xml:space="preserve">The first step we took in calculating </w:t>
      </w:r>
      <w:r w:rsidR="00BE3FA5">
        <w:t>Jemena's</w:t>
      </w:r>
      <w:r>
        <w:t xml:space="preserve"> revenue and costs true–up was to verify the distributor's </w:t>
      </w:r>
      <w:r w:rsidR="00F12969">
        <w:t xml:space="preserve">actual </w:t>
      </w:r>
      <w:r>
        <w:t>AMI revenue</w:t>
      </w:r>
      <w:r w:rsidR="00F12969">
        <w:t xml:space="preserve"> recovered from customers</w:t>
      </w:r>
      <w:r>
        <w:t xml:space="preserve"> over the 2009–15 period. </w:t>
      </w:r>
    </w:p>
    <w:p w:rsidR="00814C3A" w:rsidRPr="006715B3" w:rsidRDefault="00BE3FA5" w:rsidP="00814C3A">
      <w:r>
        <w:fldChar w:fldCharType="begin"/>
      </w:r>
      <w:r>
        <w:instrText xml:space="preserve"> REF _Ref461462862 \h </w:instrText>
      </w:r>
      <w:r>
        <w:fldChar w:fldCharType="separate"/>
      </w:r>
      <w:r w:rsidR="003C3A1D">
        <w:t xml:space="preserve">Table </w:t>
      </w:r>
      <w:r w:rsidR="003C3A1D">
        <w:rPr>
          <w:noProof/>
        </w:rPr>
        <w:t>6</w:t>
      </w:r>
      <w:r w:rsidR="003C3A1D">
        <w:t>.</w:t>
      </w:r>
      <w:r w:rsidR="003C3A1D">
        <w:rPr>
          <w:noProof/>
        </w:rPr>
        <w:t>1</w:t>
      </w:r>
      <w:r>
        <w:fldChar w:fldCharType="end"/>
      </w:r>
      <w:r>
        <w:t xml:space="preserve"> </w:t>
      </w:r>
      <w:r w:rsidR="00814C3A">
        <w:t xml:space="preserve">sets out </w:t>
      </w:r>
      <w:r>
        <w:t>Jemena's</w:t>
      </w:r>
      <w:r w:rsidR="00814C3A">
        <w:t xml:space="preserve"> AMI tariff revenue which we have verified against audited regulatory information notices.</w:t>
      </w:r>
    </w:p>
    <w:p w:rsidR="00814C3A" w:rsidRDefault="00814C3A" w:rsidP="00814C3A">
      <w:pPr>
        <w:pStyle w:val="Caption"/>
      </w:pPr>
      <w:bookmarkStart w:id="100" w:name="_Ref461462862"/>
      <w:r>
        <w:t xml:space="preserve">Table </w:t>
      </w:r>
      <w:r w:rsidRPr="009A23F2">
        <w:fldChar w:fldCharType="begin"/>
      </w:r>
      <w:r>
        <w:instrText xml:space="preserve"> STYLEREF 1 \s </w:instrText>
      </w:r>
      <w:r w:rsidRPr="009A23F2">
        <w:fldChar w:fldCharType="separate"/>
      </w:r>
      <w:r w:rsidR="003C3A1D">
        <w:rPr>
          <w:noProof/>
        </w:rPr>
        <w:t>6</w:t>
      </w:r>
      <w:r w:rsidRPr="009A23F2">
        <w:fldChar w:fldCharType="end"/>
      </w:r>
      <w:r>
        <w:t>.</w:t>
      </w:r>
      <w:fldSimple w:instr=" SEQ Table \* ARABIC \s 1 ">
        <w:r w:rsidR="003C3A1D">
          <w:rPr>
            <w:noProof/>
          </w:rPr>
          <w:t>1</w:t>
        </w:r>
      </w:fldSimple>
      <w:bookmarkEnd w:id="100"/>
      <w:r>
        <w:tab/>
        <w:t>AMI tariff revenue ($m, NPV 2009)</w:t>
      </w:r>
    </w:p>
    <w:tbl>
      <w:tblPr>
        <w:tblStyle w:val="AERtable-numbers"/>
        <w:tblW w:w="0" w:type="auto"/>
        <w:tblLook w:val="04A0" w:firstRow="1" w:lastRow="0" w:firstColumn="1" w:lastColumn="0" w:noHBand="0" w:noVBand="1"/>
      </w:tblPr>
      <w:tblGrid>
        <w:gridCol w:w="1066"/>
        <w:gridCol w:w="962"/>
        <w:gridCol w:w="964"/>
        <w:gridCol w:w="964"/>
        <w:gridCol w:w="964"/>
        <w:gridCol w:w="999"/>
        <w:gridCol w:w="999"/>
        <w:gridCol w:w="930"/>
        <w:gridCol w:w="845"/>
      </w:tblGrid>
      <w:tr w:rsidR="00814C3A"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rsidR="00814C3A" w:rsidRDefault="00814C3A" w:rsidP="00814C3A"/>
        </w:tc>
        <w:tc>
          <w:tcPr>
            <w:tcW w:w="962"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2009</w:t>
            </w:r>
          </w:p>
        </w:tc>
        <w:tc>
          <w:tcPr>
            <w:tcW w:w="964"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2010</w:t>
            </w:r>
          </w:p>
        </w:tc>
        <w:tc>
          <w:tcPr>
            <w:tcW w:w="964"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2011</w:t>
            </w:r>
          </w:p>
        </w:tc>
        <w:tc>
          <w:tcPr>
            <w:tcW w:w="964"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2012</w:t>
            </w:r>
          </w:p>
        </w:tc>
        <w:tc>
          <w:tcPr>
            <w:tcW w:w="999"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2013</w:t>
            </w:r>
          </w:p>
        </w:tc>
        <w:tc>
          <w:tcPr>
            <w:tcW w:w="999"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2014</w:t>
            </w:r>
          </w:p>
        </w:tc>
        <w:tc>
          <w:tcPr>
            <w:tcW w:w="930"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2015</w:t>
            </w:r>
          </w:p>
        </w:tc>
        <w:tc>
          <w:tcPr>
            <w:tcW w:w="845"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Total</w:t>
            </w:r>
          </w:p>
        </w:tc>
      </w:tr>
      <w:tr w:rsidR="00814C3A" w:rsidTr="00814C3A">
        <w:tc>
          <w:tcPr>
            <w:cnfStyle w:val="001000000000" w:firstRow="0" w:lastRow="0" w:firstColumn="1" w:lastColumn="0" w:oddVBand="0" w:evenVBand="0" w:oddHBand="0" w:evenHBand="0" w:firstRowFirstColumn="0" w:firstRowLastColumn="0" w:lastRowFirstColumn="0" w:lastRowLastColumn="0"/>
            <w:tcW w:w="1066" w:type="dxa"/>
          </w:tcPr>
          <w:p w:rsidR="00814C3A" w:rsidRDefault="00814C3A" w:rsidP="00814C3A">
            <w:r>
              <w:t>Tariff revenue</w:t>
            </w:r>
          </w:p>
        </w:tc>
        <w:tc>
          <w:tcPr>
            <w:tcW w:w="962" w:type="dxa"/>
          </w:tcPr>
          <w:p w:rsidR="00814C3A" w:rsidRPr="00814C3A" w:rsidRDefault="00700299" w:rsidP="00814C3A">
            <w:pPr>
              <w:cnfStyle w:val="000000000000" w:firstRow="0" w:lastRow="0" w:firstColumn="0" w:lastColumn="0" w:oddVBand="0" w:evenVBand="0" w:oddHBand="0" w:evenHBand="0" w:firstRowFirstColumn="0" w:firstRowLastColumn="0" w:lastRowFirstColumn="0" w:lastRowLastColumn="0"/>
            </w:pPr>
            <w:r>
              <w:t>10.3</w:t>
            </w:r>
          </w:p>
        </w:tc>
        <w:tc>
          <w:tcPr>
            <w:tcW w:w="964" w:type="dxa"/>
          </w:tcPr>
          <w:p w:rsidR="00814C3A" w:rsidRPr="00814C3A" w:rsidRDefault="00700299" w:rsidP="00814C3A">
            <w:pPr>
              <w:cnfStyle w:val="000000000000" w:firstRow="0" w:lastRow="0" w:firstColumn="0" w:lastColumn="0" w:oddVBand="0" w:evenVBand="0" w:oddHBand="0" w:evenHBand="0" w:firstRowFirstColumn="0" w:firstRowLastColumn="0" w:lastRowFirstColumn="0" w:lastRowLastColumn="0"/>
            </w:pPr>
            <w:r>
              <w:t>37.0</w:t>
            </w:r>
          </w:p>
        </w:tc>
        <w:tc>
          <w:tcPr>
            <w:tcW w:w="964" w:type="dxa"/>
          </w:tcPr>
          <w:p w:rsidR="00814C3A" w:rsidRPr="00814C3A" w:rsidRDefault="00700299" w:rsidP="00814C3A">
            <w:pPr>
              <w:cnfStyle w:val="000000000000" w:firstRow="0" w:lastRow="0" w:firstColumn="0" w:lastColumn="0" w:oddVBand="0" w:evenVBand="0" w:oddHBand="0" w:evenHBand="0" w:firstRowFirstColumn="0" w:firstRowLastColumn="0" w:lastRowFirstColumn="0" w:lastRowLastColumn="0"/>
            </w:pPr>
            <w:r>
              <w:t>34.7</w:t>
            </w:r>
          </w:p>
        </w:tc>
        <w:tc>
          <w:tcPr>
            <w:tcW w:w="964" w:type="dxa"/>
          </w:tcPr>
          <w:p w:rsidR="00814C3A" w:rsidRPr="00814C3A" w:rsidRDefault="00700299" w:rsidP="00814C3A">
            <w:pPr>
              <w:cnfStyle w:val="000000000000" w:firstRow="0" w:lastRow="0" w:firstColumn="0" w:lastColumn="0" w:oddVBand="0" w:evenVBand="0" w:oddHBand="0" w:evenHBand="0" w:firstRowFirstColumn="0" w:firstRowLastColumn="0" w:lastRowFirstColumn="0" w:lastRowLastColumn="0"/>
            </w:pPr>
            <w:r>
              <w:t>35.7</w:t>
            </w:r>
          </w:p>
        </w:tc>
        <w:tc>
          <w:tcPr>
            <w:tcW w:w="999" w:type="dxa"/>
          </w:tcPr>
          <w:p w:rsidR="00814C3A" w:rsidRPr="00814C3A" w:rsidRDefault="00700299" w:rsidP="00814C3A">
            <w:pPr>
              <w:cnfStyle w:val="000000000000" w:firstRow="0" w:lastRow="0" w:firstColumn="0" w:lastColumn="0" w:oddVBand="0" w:evenVBand="0" w:oddHBand="0" w:evenHBand="0" w:firstRowFirstColumn="0" w:firstRowLastColumn="0" w:lastRowFirstColumn="0" w:lastRowLastColumn="0"/>
            </w:pPr>
            <w:r>
              <w:t>37.4</w:t>
            </w:r>
          </w:p>
        </w:tc>
        <w:tc>
          <w:tcPr>
            <w:tcW w:w="999" w:type="dxa"/>
          </w:tcPr>
          <w:p w:rsidR="00814C3A" w:rsidRPr="00814C3A" w:rsidRDefault="00700299" w:rsidP="00814C3A">
            <w:pPr>
              <w:cnfStyle w:val="000000000000" w:firstRow="0" w:lastRow="0" w:firstColumn="0" w:lastColumn="0" w:oddVBand="0" w:evenVBand="0" w:oddHBand="0" w:evenHBand="0" w:firstRowFirstColumn="0" w:firstRowLastColumn="0" w:lastRowFirstColumn="0" w:lastRowLastColumn="0"/>
            </w:pPr>
            <w:r>
              <w:t>39.7</w:t>
            </w:r>
          </w:p>
        </w:tc>
        <w:tc>
          <w:tcPr>
            <w:tcW w:w="930" w:type="dxa"/>
          </w:tcPr>
          <w:p w:rsidR="00814C3A" w:rsidRPr="00814C3A" w:rsidRDefault="00700299" w:rsidP="00814C3A">
            <w:pPr>
              <w:cnfStyle w:val="000000000000" w:firstRow="0" w:lastRow="0" w:firstColumn="0" w:lastColumn="0" w:oddVBand="0" w:evenVBand="0" w:oddHBand="0" w:evenHBand="0" w:firstRowFirstColumn="0" w:firstRowLastColumn="0" w:lastRowFirstColumn="0" w:lastRowLastColumn="0"/>
            </w:pPr>
            <w:r>
              <w:t>43.9</w:t>
            </w:r>
          </w:p>
        </w:tc>
        <w:tc>
          <w:tcPr>
            <w:tcW w:w="845" w:type="dxa"/>
          </w:tcPr>
          <w:p w:rsidR="00814C3A" w:rsidRPr="00814C3A" w:rsidRDefault="00700299" w:rsidP="00814C3A">
            <w:pPr>
              <w:cnfStyle w:val="000000000000" w:firstRow="0" w:lastRow="0" w:firstColumn="0" w:lastColumn="0" w:oddVBand="0" w:evenVBand="0" w:oddHBand="0" w:evenHBand="0" w:firstRowFirstColumn="0" w:firstRowLastColumn="0" w:lastRowFirstColumn="0" w:lastRowLastColumn="0"/>
            </w:pPr>
            <w:r>
              <w:t>238.6</w:t>
            </w:r>
          </w:p>
        </w:tc>
      </w:tr>
    </w:tbl>
    <w:p w:rsidR="00814C3A" w:rsidRDefault="00814C3A" w:rsidP="00814C3A">
      <w:pPr>
        <w:pStyle w:val="AERtablesource"/>
      </w:pPr>
      <w:r>
        <w:t>Source:</w:t>
      </w:r>
      <w:r>
        <w:tab/>
      </w:r>
      <w:r w:rsidR="00BE3FA5">
        <w:t>United Energy</w:t>
      </w:r>
      <w:r>
        <w:t>, 2009–15 Regulatory Information Notices</w:t>
      </w:r>
      <w:r w:rsidR="00CD23E8">
        <w:t>.</w:t>
      </w:r>
    </w:p>
    <w:p w:rsidR="00814C3A" w:rsidRPr="004A3CA1" w:rsidRDefault="00814C3A" w:rsidP="00814C3A">
      <w:pPr>
        <w:pStyle w:val="HeadingBoldItalic"/>
      </w:pPr>
      <w:r w:rsidRPr="004A3CA1">
        <w:t>Step two</w:t>
      </w:r>
    </w:p>
    <w:p w:rsidR="00814C3A" w:rsidRDefault="00814C3A" w:rsidP="00814C3A">
      <w:r>
        <w:t xml:space="preserve">The next step we took was to calculate </w:t>
      </w:r>
      <w:r w:rsidR="00700299">
        <w:t>Jemena's</w:t>
      </w:r>
      <w:r>
        <w:t xml:space="preserve"> approved building block costs</w:t>
      </w:r>
      <w:r w:rsidR="00F12969">
        <w:t xml:space="preserve"> or approved budget costs</w:t>
      </w:r>
      <w:r>
        <w:t xml:space="preserve">. When doing this, the Order provides that we are required to give consideration to a proposal (if any) to recover excess expenditure incurred in 2014 and 2015. </w:t>
      </w:r>
    </w:p>
    <w:p w:rsidR="00700299" w:rsidRDefault="00700299" w:rsidP="00700299">
      <w:r>
        <w:t xml:space="preserve">Jemena proposed to recover $14.8 million ($2018) in </w:t>
      </w:r>
      <w:r w:rsidR="00F12969">
        <w:t xml:space="preserve">total </w:t>
      </w:r>
      <w:r>
        <w:t>excess expenditure which it incurred in 2014 and 2015</w:t>
      </w:r>
      <w:r w:rsidR="00F12969">
        <w:t xml:space="preserve"> (capex and opex)</w:t>
      </w:r>
      <w:r>
        <w:t xml:space="preserve">. Of this amount, our draft decision accepts $7.9 million ($2018). Our reasons are set out in section </w:t>
      </w:r>
      <w:r>
        <w:fldChar w:fldCharType="begin"/>
      </w:r>
      <w:r>
        <w:instrText xml:space="preserve"> REF _Ref461462102 \n \h </w:instrText>
      </w:r>
      <w:r>
        <w:fldChar w:fldCharType="separate"/>
      </w:r>
      <w:r w:rsidR="003C3A1D">
        <w:t>6.2</w:t>
      </w:r>
      <w:r>
        <w:fldChar w:fldCharType="end"/>
      </w:r>
      <w:r>
        <w:t>.</w:t>
      </w:r>
    </w:p>
    <w:p w:rsidR="00700299" w:rsidRPr="004A3CA1" w:rsidRDefault="00700299" w:rsidP="00700299">
      <w:r>
        <w:t xml:space="preserve">The revenue impact of our draft decision to accept less excess expenditure than Jemena proposed is set out in </w:t>
      </w:r>
      <w:r>
        <w:fldChar w:fldCharType="begin"/>
      </w:r>
      <w:r>
        <w:instrText xml:space="preserve"> REF _Ref461463541 \h </w:instrText>
      </w:r>
      <w:r>
        <w:fldChar w:fldCharType="separate"/>
      </w:r>
      <w:r w:rsidR="003C3A1D">
        <w:t xml:space="preserve">Table </w:t>
      </w:r>
      <w:r w:rsidR="003C3A1D">
        <w:rPr>
          <w:noProof/>
        </w:rPr>
        <w:t>6</w:t>
      </w:r>
      <w:r w:rsidR="003C3A1D">
        <w:t>.</w:t>
      </w:r>
      <w:r w:rsidR="003C3A1D">
        <w:rPr>
          <w:noProof/>
        </w:rPr>
        <w:t>2</w:t>
      </w:r>
      <w:r>
        <w:fldChar w:fldCharType="end"/>
      </w:r>
      <w:r>
        <w:t xml:space="preserve">. It shows that by not accepting the full amount of excess expenditure, Jemena's recoverable building block costs are lower than proposed. We convert the values in </w:t>
      </w:r>
      <w:r>
        <w:fldChar w:fldCharType="begin"/>
      </w:r>
      <w:r>
        <w:instrText xml:space="preserve"> REF _Ref461463541 \h </w:instrText>
      </w:r>
      <w:r>
        <w:fldChar w:fldCharType="separate"/>
      </w:r>
      <w:r w:rsidR="003C3A1D">
        <w:t xml:space="preserve">Table </w:t>
      </w:r>
      <w:r w:rsidR="003C3A1D">
        <w:rPr>
          <w:noProof/>
        </w:rPr>
        <w:t>6</w:t>
      </w:r>
      <w:r w:rsidR="003C3A1D">
        <w:t>.</w:t>
      </w:r>
      <w:r w:rsidR="003C3A1D">
        <w:rPr>
          <w:noProof/>
        </w:rPr>
        <w:t>2</w:t>
      </w:r>
      <w:r>
        <w:fldChar w:fldCharType="end"/>
      </w:r>
      <w:r>
        <w:t xml:space="preserve"> from a 2009 NPV to a 2018 NPV in step four below.</w:t>
      </w:r>
    </w:p>
    <w:p w:rsidR="00814C3A" w:rsidRDefault="00814C3A" w:rsidP="00814C3A">
      <w:pPr>
        <w:pStyle w:val="Caption"/>
      </w:pPr>
      <w:bookmarkStart w:id="101" w:name="_Ref461463541"/>
      <w:r>
        <w:t xml:space="preserve">Table </w:t>
      </w:r>
      <w:r w:rsidRPr="009A23F2">
        <w:fldChar w:fldCharType="begin"/>
      </w:r>
      <w:r>
        <w:instrText xml:space="preserve"> STYLEREF 1 \s </w:instrText>
      </w:r>
      <w:r w:rsidRPr="009A23F2">
        <w:fldChar w:fldCharType="separate"/>
      </w:r>
      <w:r w:rsidR="003C3A1D">
        <w:rPr>
          <w:noProof/>
        </w:rPr>
        <w:t>6</w:t>
      </w:r>
      <w:r w:rsidRPr="009A23F2">
        <w:fldChar w:fldCharType="end"/>
      </w:r>
      <w:r>
        <w:t>.</w:t>
      </w:r>
      <w:fldSimple w:instr=" SEQ Table \* ARABIC \s 1 ">
        <w:r w:rsidR="003C3A1D">
          <w:rPr>
            <w:noProof/>
          </w:rPr>
          <w:t>2</w:t>
        </w:r>
      </w:fldSimple>
      <w:bookmarkEnd w:id="101"/>
      <w:r>
        <w:tab/>
        <w:t xml:space="preserve">Approved recoverable costs ($m, NPV 2009) </w:t>
      </w:r>
    </w:p>
    <w:tbl>
      <w:tblPr>
        <w:tblStyle w:val="AERtable-numbers"/>
        <w:tblW w:w="0" w:type="auto"/>
        <w:tblLook w:val="04A0" w:firstRow="1" w:lastRow="0" w:firstColumn="1" w:lastColumn="0" w:noHBand="0" w:noVBand="1"/>
      </w:tblPr>
      <w:tblGrid>
        <w:gridCol w:w="1071"/>
        <w:gridCol w:w="962"/>
        <w:gridCol w:w="963"/>
        <w:gridCol w:w="963"/>
        <w:gridCol w:w="963"/>
        <w:gridCol w:w="998"/>
        <w:gridCol w:w="998"/>
        <w:gridCol w:w="930"/>
        <w:gridCol w:w="845"/>
      </w:tblGrid>
      <w:tr w:rsidR="00814C3A"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814C3A" w:rsidRPr="008F441F" w:rsidRDefault="00814C3A" w:rsidP="00814C3A"/>
        </w:tc>
        <w:tc>
          <w:tcPr>
            <w:tcW w:w="962" w:type="dxa"/>
          </w:tcPr>
          <w:p w:rsidR="00814C3A" w:rsidRPr="008F441F" w:rsidRDefault="00814C3A" w:rsidP="00814C3A">
            <w:pPr>
              <w:cnfStyle w:val="100000000000" w:firstRow="1" w:lastRow="0" w:firstColumn="0" w:lastColumn="0" w:oddVBand="0" w:evenVBand="0" w:oddHBand="0" w:evenHBand="0" w:firstRowFirstColumn="0" w:firstRowLastColumn="0" w:lastRowFirstColumn="0" w:lastRowLastColumn="0"/>
            </w:pPr>
            <w:r w:rsidRPr="008F441F">
              <w:t>2009</w:t>
            </w:r>
          </w:p>
        </w:tc>
        <w:tc>
          <w:tcPr>
            <w:tcW w:w="963" w:type="dxa"/>
          </w:tcPr>
          <w:p w:rsidR="00814C3A" w:rsidRPr="008F441F" w:rsidRDefault="00814C3A" w:rsidP="00814C3A">
            <w:pPr>
              <w:cnfStyle w:val="100000000000" w:firstRow="1" w:lastRow="0" w:firstColumn="0" w:lastColumn="0" w:oddVBand="0" w:evenVBand="0" w:oddHBand="0" w:evenHBand="0" w:firstRowFirstColumn="0" w:firstRowLastColumn="0" w:lastRowFirstColumn="0" w:lastRowLastColumn="0"/>
            </w:pPr>
            <w:r w:rsidRPr="008F441F">
              <w:t>2010</w:t>
            </w:r>
          </w:p>
        </w:tc>
        <w:tc>
          <w:tcPr>
            <w:tcW w:w="963" w:type="dxa"/>
          </w:tcPr>
          <w:p w:rsidR="00814C3A" w:rsidRPr="008F441F" w:rsidRDefault="00814C3A" w:rsidP="00814C3A">
            <w:pPr>
              <w:cnfStyle w:val="100000000000" w:firstRow="1" w:lastRow="0" w:firstColumn="0" w:lastColumn="0" w:oddVBand="0" w:evenVBand="0" w:oddHBand="0" w:evenHBand="0" w:firstRowFirstColumn="0" w:firstRowLastColumn="0" w:lastRowFirstColumn="0" w:lastRowLastColumn="0"/>
            </w:pPr>
            <w:r w:rsidRPr="008F441F">
              <w:t>2011</w:t>
            </w:r>
          </w:p>
        </w:tc>
        <w:tc>
          <w:tcPr>
            <w:tcW w:w="963" w:type="dxa"/>
          </w:tcPr>
          <w:p w:rsidR="00814C3A" w:rsidRPr="008F441F" w:rsidRDefault="00814C3A" w:rsidP="00814C3A">
            <w:pPr>
              <w:cnfStyle w:val="100000000000" w:firstRow="1" w:lastRow="0" w:firstColumn="0" w:lastColumn="0" w:oddVBand="0" w:evenVBand="0" w:oddHBand="0" w:evenHBand="0" w:firstRowFirstColumn="0" w:firstRowLastColumn="0" w:lastRowFirstColumn="0" w:lastRowLastColumn="0"/>
            </w:pPr>
            <w:r w:rsidRPr="008F441F">
              <w:t>2012</w:t>
            </w:r>
          </w:p>
        </w:tc>
        <w:tc>
          <w:tcPr>
            <w:tcW w:w="998" w:type="dxa"/>
          </w:tcPr>
          <w:p w:rsidR="00814C3A" w:rsidRPr="008F441F" w:rsidRDefault="00814C3A" w:rsidP="00814C3A">
            <w:pPr>
              <w:cnfStyle w:val="100000000000" w:firstRow="1" w:lastRow="0" w:firstColumn="0" w:lastColumn="0" w:oddVBand="0" w:evenVBand="0" w:oddHBand="0" w:evenHBand="0" w:firstRowFirstColumn="0" w:firstRowLastColumn="0" w:lastRowFirstColumn="0" w:lastRowLastColumn="0"/>
            </w:pPr>
            <w:r w:rsidRPr="008F441F">
              <w:t>2013</w:t>
            </w:r>
          </w:p>
        </w:tc>
        <w:tc>
          <w:tcPr>
            <w:tcW w:w="998" w:type="dxa"/>
          </w:tcPr>
          <w:p w:rsidR="00814C3A" w:rsidRPr="008F441F" w:rsidRDefault="00814C3A" w:rsidP="00814C3A">
            <w:pPr>
              <w:cnfStyle w:val="100000000000" w:firstRow="1" w:lastRow="0" w:firstColumn="0" w:lastColumn="0" w:oddVBand="0" w:evenVBand="0" w:oddHBand="0" w:evenHBand="0" w:firstRowFirstColumn="0" w:firstRowLastColumn="0" w:lastRowFirstColumn="0" w:lastRowLastColumn="0"/>
            </w:pPr>
            <w:r w:rsidRPr="008F441F">
              <w:t>2014</w:t>
            </w:r>
          </w:p>
        </w:tc>
        <w:tc>
          <w:tcPr>
            <w:tcW w:w="930" w:type="dxa"/>
          </w:tcPr>
          <w:p w:rsidR="00814C3A" w:rsidRPr="008F441F" w:rsidRDefault="00814C3A" w:rsidP="00814C3A">
            <w:pPr>
              <w:cnfStyle w:val="100000000000" w:firstRow="1" w:lastRow="0" w:firstColumn="0" w:lastColumn="0" w:oddVBand="0" w:evenVBand="0" w:oddHBand="0" w:evenHBand="0" w:firstRowFirstColumn="0" w:firstRowLastColumn="0" w:lastRowFirstColumn="0" w:lastRowLastColumn="0"/>
            </w:pPr>
            <w:r w:rsidRPr="008F441F">
              <w:t>2015</w:t>
            </w:r>
          </w:p>
        </w:tc>
        <w:tc>
          <w:tcPr>
            <w:tcW w:w="845" w:type="dxa"/>
          </w:tcPr>
          <w:p w:rsidR="00814C3A" w:rsidRPr="008F441F" w:rsidRDefault="00814C3A" w:rsidP="00814C3A">
            <w:pPr>
              <w:cnfStyle w:val="100000000000" w:firstRow="1" w:lastRow="0" w:firstColumn="0" w:lastColumn="0" w:oddVBand="0" w:evenVBand="0" w:oddHBand="0" w:evenHBand="0" w:firstRowFirstColumn="0" w:firstRowLastColumn="0" w:lastRowFirstColumn="0" w:lastRowLastColumn="0"/>
            </w:pPr>
            <w:r w:rsidRPr="008F441F">
              <w:t>Total</w:t>
            </w:r>
          </w:p>
        </w:tc>
      </w:tr>
      <w:tr w:rsidR="00700299" w:rsidTr="00814C3A">
        <w:tc>
          <w:tcPr>
            <w:cnfStyle w:val="001000000000" w:firstRow="0" w:lastRow="0" w:firstColumn="1" w:lastColumn="0" w:oddVBand="0" w:evenVBand="0" w:oddHBand="0" w:evenHBand="0" w:firstRowFirstColumn="0" w:firstRowLastColumn="0" w:lastRowFirstColumn="0" w:lastRowLastColumn="0"/>
            <w:tcW w:w="1071" w:type="dxa"/>
          </w:tcPr>
          <w:p w:rsidR="00700299" w:rsidRPr="00700299" w:rsidRDefault="00700299" w:rsidP="00700299">
            <w:r>
              <w:t>J</w:t>
            </w:r>
            <w:r w:rsidRPr="00700299">
              <w:t xml:space="preserve">emena's proposal </w:t>
            </w:r>
          </w:p>
        </w:tc>
        <w:tc>
          <w:tcPr>
            <w:tcW w:w="962" w:type="dxa"/>
          </w:tcPr>
          <w:p w:rsidR="00700299" w:rsidRPr="00700299" w:rsidRDefault="00700299" w:rsidP="00700299">
            <w:pPr>
              <w:cnfStyle w:val="000000000000" w:firstRow="0" w:lastRow="0" w:firstColumn="0" w:lastColumn="0" w:oddVBand="0" w:evenVBand="0" w:oddHBand="0" w:evenHBand="0" w:firstRowFirstColumn="0" w:firstRowLastColumn="0" w:lastRowFirstColumn="0" w:lastRowLastColumn="0"/>
            </w:pPr>
            <w:r>
              <w:t>28.5</w:t>
            </w:r>
          </w:p>
        </w:tc>
        <w:tc>
          <w:tcPr>
            <w:tcW w:w="963" w:type="dxa"/>
          </w:tcPr>
          <w:p w:rsidR="00700299" w:rsidRPr="00700299" w:rsidRDefault="00700299" w:rsidP="00700299">
            <w:pPr>
              <w:cnfStyle w:val="000000000000" w:firstRow="0" w:lastRow="0" w:firstColumn="0" w:lastColumn="0" w:oddVBand="0" w:evenVBand="0" w:oddHBand="0" w:evenHBand="0" w:firstRowFirstColumn="0" w:firstRowLastColumn="0" w:lastRowFirstColumn="0" w:lastRowLastColumn="0"/>
            </w:pPr>
            <w:r>
              <w:t>30.1</w:t>
            </w:r>
          </w:p>
        </w:tc>
        <w:tc>
          <w:tcPr>
            <w:tcW w:w="963" w:type="dxa"/>
          </w:tcPr>
          <w:p w:rsidR="00700299" w:rsidRPr="00700299" w:rsidRDefault="00700299" w:rsidP="00700299">
            <w:pPr>
              <w:cnfStyle w:val="000000000000" w:firstRow="0" w:lastRow="0" w:firstColumn="0" w:lastColumn="0" w:oddVBand="0" w:evenVBand="0" w:oddHBand="0" w:evenHBand="0" w:firstRowFirstColumn="0" w:firstRowLastColumn="0" w:lastRowFirstColumn="0" w:lastRowLastColumn="0"/>
            </w:pPr>
            <w:r>
              <w:t>37.5</w:t>
            </w:r>
          </w:p>
        </w:tc>
        <w:tc>
          <w:tcPr>
            <w:tcW w:w="963" w:type="dxa"/>
          </w:tcPr>
          <w:p w:rsidR="00700299" w:rsidRPr="00700299" w:rsidRDefault="00700299" w:rsidP="00700299">
            <w:pPr>
              <w:cnfStyle w:val="000000000000" w:firstRow="0" w:lastRow="0" w:firstColumn="0" w:lastColumn="0" w:oddVBand="0" w:evenVBand="0" w:oddHBand="0" w:evenHBand="0" w:firstRowFirstColumn="0" w:firstRowLastColumn="0" w:lastRowFirstColumn="0" w:lastRowLastColumn="0"/>
            </w:pPr>
            <w:r>
              <w:t>39.6</w:t>
            </w:r>
          </w:p>
        </w:tc>
        <w:tc>
          <w:tcPr>
            <w:tcW w:w="998" w:type="dxa"/>
          </w:tcPr>
          <w:p w:rsidR="00700299" w:rsidRPr="00700299" w:rsidRDefault="00700299" w:rsidP="00700299">
            <w:pPr>
              <w:cnfStyle w:val="000000000000" w:firstRow="0" w:lastRow="0" w:firstColumn="0" w:lastColumn="0" w:oddVBand="0" w:evenVBand="0" w:oddHBand="0" w:evenHBand="0" w:firstRowFirstColumn="0" w:firstRowLastColumn="0" w:lastRowFirstColumn="0" w:lastRowLastColumn="0"/>
            </w:pPr>
            <w:r>
              <w:t>39.0</w:t>
            </w:r>
          </w:p>
        </w:tc>
        <w:tc>
          <w:tcPr>
            <w:tcW w:w="998" w:type="dxa"/>
          </w:tcPr>
          <w:p w:rsidR="00700299" w:rsidRPr="00700299" w:rsidRDefault="00700299" w:rsidP="00700299">
            <w:pPr>
              <w:cnfStyle w:val="000000000000" w:firstRow="0" w:lastRow="0" w:firstColumn="0" w:lastColumn="0" w:oddVBand="0" w:evenVBand="0" w:oddHBand="0" w:evenHBand="0" w:firstRowFirstColumn="0" w:firstRowLastColumn="0" w:lastRowFirstColumn="0" w:lastRowLastColumn="0"/>
            </w:pPr>
            <w:r>
              <w:t>33.6</w:t>
            </w:r>
          </w:p>
        </w:tc>
        <w:tc>
          <w:tcPr>
            <w:tcW w:w="930" w:type="dxa"/>
          </w:tcPr>
          <w:p w:rsidR="00700299" w:rsidRPr="00700299" w:rsidRDefault="00700299" w:rsidP="00700299">
            <w:pPr>
              <w:cnfStyle w:val="000000000000" w:firstRow="0" w:lastRow="0" w:firstColumn="0" w:lastColumn="0" w:oddVBand="0" w:evenVBand="0" w:oddHBand="0" w:evenHBand="0" w:firstRowFirstColumn="0" w:firstRowLastColumn="0" w:lastRowFirstColumn="0" w:lastRowLastColumn="0"/>
            </w:pPr>
            <w:r>
              <w:t>29.4</w:t>
            </w:r>
          </w:p>
        </w:tc>
        <w:tc>
          <w:tcPr>
            <w:tcW w:w="845" w:type="dxa"/>
          </w:tcPr>
          <w:p w:rsidR="00700299" w:rsidRPr="00700299" w:rsidRDefault="00700299" w:rsidP="00700299">
            <w:pPr>
              <w:cnfStyle w:val="000000000000" w:firstRow="0" w:lastRow="0" w:firstColumn="0" w:lastColumn="0" w:oddVBand="0" w:evenVBand="0" w:oddHBand="0" w:evenHBand="0" w:firstRowFirstColumn="0" w:firstRowLastColumn="0" w:lastRowFirstColumn="0" w:lastRowLastColumn="0"/>
            </w:pPr>
            <w:r>
              <w:t>237.8</w:t>
            </w:r>
          </w:p>
        </w:tc>
      </w:tr>
      <w:tr w:rsidR="00814C3A" w:rsidTr="0081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814C3A" w:rsidRPr="00814C3A" w:rsidRDefault="00814C3A" w:rsidP="00814C3A">
            <w:r w:rsidRPr="004B2781">
              <w:t xml:space="preserve">AER </w:t>
            </w:r>
            <w:r w:rsidRPr="00814C3A">
              <w:t>draft decision</w:t>
            </w:r>
          </w:p>
        </w:tc>
        <w:tc>
          <w:tcPr>
            <w:tcW w:w="962" w:type="dxa"/>
          </w:tcPr>
          <w:p w:rsidR="00814C3A" w:rsidRPr="00814C3A" w:rsidRDefault="00700299" w:rsidP="00814C3A">
            <w:pPr>
              <w:cnfStyle w:val="000000010000" w:firstRow="0" w:lastRow="0" w:firstColumn="0" w:lastColumn="0" w:oddVBand="0" w:evenVBand="0" w:oddHBand="0" w:evenHBand="1" w:firstRowFirstColumn="0" w:firstRowLastColumn="0" w:lastRowFirstColumn="0" w:lastRowLastColumn="0"/>
            </w:pPr>
            <w:r>
              <w:t>28.5</w:t>
            </w:r>
          </w:p>
        </w:tc>
        <w:tc>
          <w:tcPr>
            <w:tcW w:w="963" w:type="dxa"/>
          </w:tcPr>
          <w:p w:rsidR="00814C3A" w:rsidRPr="00814C3A" w:rsidRDefault="00700299" w:rsidP="00814C3A">
            <w:pPr>
              <w:cnfStyle w:val="000000010000" w:firstRow="0" w:lastRow="0" w:firstColumn="0" w:lastColumn="0" w:oddVBand="0" w:evenVBand="0" w:oddHBand="0" w:evenHBand="1" w:firstRowFirstColumn="0" w:firstRowLastColumn="0" w:lastRowFirstColumn="0" w:lastRowLastColumn="0"/>
            </w:pPr>
            <w:r>
              <w:t>30.1</w:t>
            </w:r>
          </w:p>
        </w:tc>
        <w:tc>
          <w:tcPr>
            <w:tcW w:w="963" w:type="dxa"/>
          </w:tcPr>
          <w:p w:rsidR="00814C3A" w:rsidRPr="00814C3A" w:rsidRDefault="00700299" w:rsidP="00814C3A">
            <w:pPr>
              <w:cnfStyle w:val="000000010000" w:firstRow="0" w:lastRow="0" w:firstColumn="0" w:lastColumn="0" w:oddVBand="0" w:evenVBand="0" w:oddHBand="0" w:evenHBand="1" w:firstRowFirstColumn="0" w:firstRowLastColumn="0" w:lastRowFirstColumn="0" w:lastRowLastColumn="0"/>
            </w:pPr>
            <w:r>
              <w:t>37.5</w:t>
            </w:r>
          </w:p>
        </w:tc>
        <w:tc>
          <w:tcPr>
            <w:tcW w:w="963" w:type="dxa"/>
          </w:tcPr>
          <w:p w:rsidR="00814C3A" w:rsidRPr="00814C3A" w:rsidRDefault="00700299" w:rsidP="00814C3A">
            <w:pPr>
              <w:cnfStyle w:val="000000010000" w:firstRow="0" w:lastRow="0" w:firstColumn="0" w:lastColumn="0" w:oddVBand="0" w:evenVBand="0" w:oddHBand="0" w:evenHBand="1" w:firstRowFirstColumn="0" w:firstRowLastColumn="0" w:lastRowFirstColumn="0" w:lastRowLastColumn="0"/>
            </w:pPr>
            <w:r>
              <w:t>39.6</w:t>
            </w:r>
          </w:p>
        </w:tc>
        <w:tc>
          <w:tcPr>
            <w:tcW w:w="998" w:type="dxa"/>
          </w:tcPr>
          <w:p w:rsidR="00814C3A" w:rsidRPr="00814C3A" w:rsidRDefault="00700299" w:rsidP="00814C3A">
            <w:pPr>
              <w:cnfStyle w:val="000000010000" w:firstRow="0" w:lastRow="0" w:firstColumn="0" w:lastColumn="0" w:oddVBand="0" w:evenVBand="0" w:oddHBand="0" w:evenHBand="1" w:firstRowFirstColumn="0" w:firstRowLastColumn="0" w:lastRowFirstColumn="0" w:lastRowLastColumn="0"/>
            </w:pPr>
            <w:r>
              <w:t>39.0</w:t>
            </w:r>
          </w:p>
        </w:tc>
        <w:tc>
          <w:tcPr>
            <w:tcW w:w="998" w:type="dxa"/>
          </w:tcPr>
          <w:p w:rsidR="00814C3A" w:rsidRPr="00814C3A" w:rsidRDefault="00700299" w:rsidP="00814C3A">
            <w:pPr>
              <w:cnfStyle w:val="000000010000" w:firstRow="0" w:lastRow="0" w:firstColumn="0" w:lastColumn="0" w:oddVBand="0" w:evenVBand="0" w:oddHBand="0" w:evenHBand="1" w:firstRowFirstColumn="0" w:firstRowLastColumn="0" w:lastRowFirstColumn="0" w:lastRowLastColumn="0"/>
            </w:pPr>
            <w:r>
              <w:t>30.8</w:t>
            </w:r>
          </w:p>
        </w:tc>
        <w:tc>
          <w:tcPr>
            <w:tcW w:w="930" w:type="dxa"/>
          </w:tcPr>
          <w:p w:rsidR="00814C3A" w:rsidRPr="00814C3A" w:rsidRDefault="00700299" w:rsidP="00814C3A">
            <w:pPr>
              <w:cnfStyle w:val="000000010000" w:firstRow="0" w:lastRow="0" w:firstColumn="0" w:lastColumn="0" w:oddVBand="0" w:evenVBand="0" w:oddHBand="0" w:evenHBand="1" w:firstRowFirstColumn="0" w:firstRowLastColumn="0" w:lastRowFirstColumn="0" w:lastRowLastColumn="0"/>
            </w:pPr>
            <w:r>
              <w:t>29.</w:t>
            </w:r>
            <w:r w:rsidR="0029334A">
              <w:t>7</w:t>
            </w:r>
          </w:p>
        </w:tc>
        <w:tc>
          <w:tcPr>
            <w:tcW w:w="845" w:type="dxa"/>
          </w:tcPr>
          <w:p w:rsidR="00814C3A" w:rsidRPr="00814C3A" w:rsidRDefault="00700299" w:rsidP="00814C3A">
            <w:pPr>
              <w:cnfStyle w:val="000000010000" w:firstRow="0" w:lastRow="0" w:firstColumn="0" w:lastColumn="0" w:oddVBand="0" w:evenVBand="0" w:oddHBand="0" w:evenHBand="1" w:firstRowFirstColumn="0" w:firstRowLastColumn="0" w:lastRowFirstColumn="0" w:lastRowLastColumn="0"/>
            </w:pPr>
            <w:r>
              <w:t>235.2</w:t>
            </w:r>
          </w:p>
        </w:tc>
      </w:tr>
      <w:tr w:rsidR="00814C3A" w:rsidTr="00814C3A">
        <w:tc>
          <w:tcPr>
            <w:cnfStyle w:val="001000000000" w:firstRow="0" w:lastRow="0" w:firstColumn="1" w:lastColumn="0" w:oddVBand="0" w:evenVBand="0" w:oddHBand="0" w:evenHBand="0" w:firstRowFirstColumn="0" w:firstRowLastColumn="0" w:lastRowFirstColumn="0" w:lastRowLastColumn="0"/>
            <w:tcW w:w="1071" w:type="dxa"/>
          </w:tcPr>
          <w:p w:rsidR="00814C3A" w:rsidRPr="00814C3A" w:rsidRDefault="00814C3A" w:rsidP="00814C3A">
            <w:r>
              <w:t>Difference</w:t>
            </w:r>
          </w:p>
        </w:tc>
        <w:tc>
          <w:tcPr>
            <w:tcW w:w="962" w:type="dxa"/>
          </w:tcPr>
          <w:p w:rsidR="00814C3A" w:rsidRPr="009A23F2" w:rsidRDefault="00814C3A" w:rsidP="00814C3A">
            <w:pPr>
              <w:cnfStyle w:val="000000000000" w:firstRow="0" w:lastRow="0" w:firstColumn="0" w:lastColumn="0" w:oddVBand="0" w:evenVBand="0" w:oddHBand="0" w:evenHBand="0" w:firstRowFirstColumn="0" w:firstRowLastColumn="0" w:lastRowFirstColumn="0" w:lastRowLastColumn="0"/>
            </w:pPr>
          </w:p>
        </w:tc>
        <w:tc>
          <w:tcPr>
            <w:tcW w:w="963" w:type="dxa"/>
          </w:tcPr>
          <w:p w:rsidR="00814C3A" w:rsidRPr="009A23F2" w:rsidRDefault="00814C3A" w:rsidP="00814C3A">
            <w:pPr>
              <w:cnfStyle w:val="000000000000" w:firstRow="0" w:lastRow="0" w:firstColumn="0" w:lastColumn="0" w:oddVBand="0" w:evenVBand="0" w:oddHBand="0" w:evenHBand="0" w:firstRowFirstColumn="0" w:firstRowLastColumn="0" w:lastRowFirstColumn="0" w:lastRowLastColumn="0"/>
            </w:pPr>
          </w:p>
        </w:tc>
        <w:tc>
          <w:tcPr>
            <w:tcW w:w="963" w:type="dxa"/>
          </w:tcPr>
          <w:p w:rsidR="00814C3A" w:rsidRPr="009A23F2" w:rsidRDefault="00814C3A" w:rsidP="00814C3A">
            <w:pPr>
              <w:cnfStyle w:val="000000000000" w:firstRow="0" w:lastRow="0" w:firstColumn="0" w:lastColumn="0" w:oddVBand="0" w:evenVBand="0" w:oddHBand="0" w:evenHBand="0" w:firstRowFirstColumn="0" w:firstRowLastColumn="0" w:lastRowFirstColumn="0" w:lastRowLastColumn="0"/>
            </w:pPr>
          </w:p>
        </w:tc>
        <w:tc>
          <w:tcPr>
            <w:tcW w:w="963" w:type="dxa"/>
          </w:tcPr>
          <w:p w:rsidR="00814C3A" w:rsidRPr="009A23F2" w:rsidRDefault="00814C3A" w:rsidP="00814C3A">
            <w:pPr>
              <w:cnfStyle w:val="000000000000" w:firstRow="0" w:lastRow="0" w:firstColumn="0" w:lastColumn="0" w:oddVBand="0" w:evenVBand="0" w:oddHBand="0" w:evenHBand="0" w:firstRowFirstColumn="0" w:firstRowLastColumn="0" w:lastRowFirstColumn="0" w:lastRowLastColumn="0"/>
            </w:pPr>
          </w:p>
        </w:tc>
        <w:tc>
          <w:tcPr>
            <w:tcW w:w="998" w:type="dxa"/>
          </w:tcPr>
          <w:p w:rsidR="00814C3A" w:rsidRPr="009A23F2" w:rsidRDefault="00814C3A" w:rsidP="00814C3A">
            <w:pPr>
              <w:cnfStyle w:val="000000000000" w:firstRow="0" w:lastRow="0" w:firstColumn="0" w:lastColumn="0" w:oddVBand="0" w:evenVBand="0" w:oddHBand="0" w:evenHBand="0" w:firstRowFirstColumn="0" w:firstRowLastColumn="0" w:lastRowFirstColumn="0" w:lastRowLastColumn="0"/>
            </w:pPr>
          </w:p>
        </w:tc>
        <w:tc>
          <w:tcPr>
            <w:tcW w:w="998" w:type="dxa"/>
          </w:tcPr>
          <w:p w:rsidR="00814C3A" w:rsidRPr="00814C3A" w:rsidRDefault="00FF5122" w:rsidP="00814C3A">
            <w:pPr>
              <w:cnfStyle w:val="000000000000" w:firstRow="0" w:lastRow="0" w:firstColumn="0" w:lastColumn="0" w:oddVBand="0" w:evenVBand="0" w:oddHBand="0" w:evenHBand="0" w:firstRowFirstColumn="0" w:firstRowLastColumn="0" w:lastRowFirstColumn="0" w:lastRowLastColumn="0"/>
            </w:pPr>
            <w:r>
              <w:t>(2.8)</w:t>
            </w:r>
          </w:p>
        </w:tc>
        <w:tc>
          <w:tcPr>
            <w:tcW w:w="930" w:type="dxa"/>
          </w:tcPr>
          <w:p w:rsidR="00814C3A" w:rsidRPr="00FC4EF7" w:rsidRDefault="00FF5122" w:rsidP="00814C3A">
            <w:pPr>
              <w:cnfStyle w:val="000000000000" w:firstRow="0" w:lastRow="0" w:firstColumn="0" w:lastColumn="0" w:oddVBand="0" w:evenVBand="0" w:oddHBand="0" w:evenHBand="0" w:firstRowFirstColumn="0" w:firstRowLastColumn="0" w:lastRowFirstColumn="0" w:lastRowLastColumn="0"/>
              <w:rPr>
                <w:rStyle w:val="AERsuperscript"/>
              </w:rPr>
            </w:pPr>
            <w:r>
              <w:t>0.3</w:t>
            </w:r>
            <w:r w:rsidR="00FC4EF7">
              <w:rPr>
                <w:rStyle w:val="AERsuperscript"/>
              </w:rPr>
              <w:t>(a)</w:t>
            </w:r>
          </w:p>
        </w:tc>
        <w:tc>
          <w:tcPr>
            <w:tcW w:w="845" w:type="dxa"/>
          </w:tcPr>
          <w:p w:rsidR="00814C3A" w:rsidRPr="00814C3A" w:rsidRDefault="00FF5122" w:rsidP="00814C3A">
            <w:pPr>
              <w:cnfStyle w:val="000000000000" w:firstRow="0" w:lastRow="0" w:firstColumn="0" w:lastColumn="0" w:oddVBand="0" w:evenVBand="0" w:oddHBand="0" w:evenHBand="0" w:firstRowFirstColumn="0" w:firstRowLastColumn="0" w:lastRowFirstColumn="0" w:lastRowLastColumn="0"/>
            </w:pPr>
            <w:r>
              <w:t>(2.6)</w:t>
            </w:r>
          </w:p>
        </w:tc>
      </w:tr>
    </w:tbl>
    <w:p w:rsidR="00814C3A" w:rsidRDefault="00814C3A" w:rsidP="00814C3A">
      <w:pPr>
        <w:pStyle w:val="AERtablesource"/>
      </w:pPr>
      <w:r>
        <w:t>Source:</w:t>
      </w:r>
      <w:r>
        <w:tab/>
        <w:t>AER analysis.</w:t>
      </w:r>
    </w:p>
    <w:p w:rsidR="00FF5122" w:rsidRPr="00FF5122" w:rsidRDefault="00F06B6E" w:rsidP="00FF5122">
      <w:pPr>
        <w:pStyle w:val="AERtablesource"/>
      </w:pPr>
      <w:r>
        <w:t>(a)</w:t>
      </w:r>
      <w:r>
        <w:tab/>
      </w:r>
      <w:r w:rsidR="00435914">
        <w:t>Our draft decision accepts</w:t>
      </w:r>
      <w:r w:rsidRPr="00F06B6E">
        <w:t xml:space="preserve"> higher recoverable building block costs than proposed as a result of our calculation of Jemena's tax liability. In 2015, we have substituted Jemena’s proposed building block tax liability of $0.3 million ($nominal) with $2.7 million ($nominal). We have made this substitution because Jemena will have access to lower tax deductions as a consequence of us accepting less excess capital expenditure in this draft decision than was proposed. In terms of revenue, this increases Jemena’s approved recoverable costs by $0.3 million (NPV 2009) in 2015.</w:t>
      </w:r>
    </w:p>
    <w:p w:rsidR="00814C3A" w:rsidRDefault="00814C3A" w:rsidP="00814C3A">
      <w:pPr>
        <w:pStyle w:val="HeadingBoldItalic"/>
      </w:pPr>
      <w:r>
        <w:t>Step three</w:t>
      </w:r>
    </w:p>
    <w:p w:rsidR="00814C3A" w:rsidRPr="00FB73AA" w:rsidRDefault="00814C3A" w:rsidP="00814C3A">
      <w:r>
        <w:t xml:space="preserve">The third step we took was to calculate the difference between </w:t>
      </w:r>
      <w:r w:rsidR="00FC4EF7">
        <w:t>Jemena's</w:t>
      </w:r>
      <w:r>
        <w:t xml:space="preserve"> revenue and approved costs. </w:t>
      </w:r>
      <w:r w:rsidR="00FC4EF7">
        <w:fldChar w:fldCharType="begin"/>
      </w:r>
      <w:r w:rsidR="00FC4EF7">
        <w:instrText xml:space="preserve"> REF _Ref461464787 \h </w:instrText>
      </w:r>
      <w:r w:rsidR="00FC4EF7">
        <w:fldChar w:fldCharType="separate"/>
      </w:r>
      <w:r w:rsidR="003C3A1D">
        <w:t xml:space="preserve">Table </w:t>
      </w:r>
      <w:r w:rsidR="003C3A1D">
        <w:rPr>
          <w:noProof/>
        </w:rPr>
        <w:t>6</w:t>
      </w:r>
      <w:r w:rsidR="003C3A1D">
        <w:t>.</w:t>
      </w:r>
      <w:r w:rsidR="003C3A1D">
        <w:rPr>
          <w:noProof/>
        </w:rPr>
        <w:t>3</w:t>
      </w:r>
      <w:r w:rsidR="00FC4EF7">
        <w:fldChar w:fldCharType="end"/>
      </w:r>
      <w:r w:rsidR="00FC4EF7">
        <w:t xml:space="preserve"> </w:t>
      </w:r>
      <w:r>
        <w:t>sets out thi</w:t>
      </w:r>
      <w:r w:rsidR="00550952">
        <w:t>s calculation in 2009 NPV terms</w:t>
      </w:r>
      <w:r>
        <w:t>.</w:t>
      </w:r>
    </w:p>
    <w:p w:rsidR="00814C3A" w:rsidRDefault="00814C3A" w:rsidP="00814C3A">
      <w:pPr>
        <w:pStyle w:val="Caption"/>
      </w:pPr>
      <w:bookmarkStart w:id="102" w:name="_Ref461464787"/>
      <w:r>
        <w:t xml:space="preserve">Table </w:t>
      </w:r>
      <w:r w:rsidRPr="009A23F2">
        <w:fldChar w:fldCharType="begin"/>
      </w:r>
      <w:r>
        <w:instrText xml:space="preserve"> STYLEREF 1 \s </w:instrText>
      </w:r>
      <w:r w:rsidRPr="009A23F2">
        <w:fldChar w:fldCharType="separate"/>
      </w:r>
      <w:r w:rsidR="003C3A1D">
        <w:rPr>
          <w:noProof/>
        </w:rPr>
        <w:t>6</w:t>
      </w:r>
      <w:r w:rsidRPr="009A23F2">
        <w:fldChar w:fldCharType="end"/>
      </w:r>
      <w:r>
        <w:t>.</w:t>
      </w:r>
      <w:fldSimple w:instr=" SEQ Table \* ARABIC \s 1 ">
        <w:r w:rsidR="003C3A1D">
          <w:rPr>
            <w:noProof/>
          </w:rPr>
          <w:t>3</w:t>
        </w:r>
      </w:fldSimple>
      <w:bookmarkEnd w:id="102"/>
      <w:r>
        <w:tab/>
        <w:t>Revenue and costs true–up ($m, NPV 2009)</w:t>
      </w:r>
    </w:p>
    <w:tbl>
      <w:tblPr>
        <w:tblStyle w:val="AERtable-numbers"/>
        <w:tblW w:w="0" w:type="auto"/>
        <w:tblLook w:val="04A0" w:firstRow="1" w:lastRow="0" w:firstColumn="1" w:lastColumn="0" w:noHBand="0" w:noVBand="1"/>
      </w:tblPr>
      <w:tblGrid>
        <w:gridCol w:w="2173"/>
        <w:gridCol w:w="2173"/>
        <w:gridCol w:w="2173"/>
        <w:gridCol w:w="2174"/>
      </w:tblGrid>
      <w:tr w:rsidR="00814C3A"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814C3A" w:rsidRDefault="00814C3A" w:rsidP="00814C3A"/>
        </w:tc>
        <w:tc>
          <w:tcPr>
            <w:tcW w:w="2173"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Revenue</w:t>
            </w:r>
          </w:p>
        </w:tc>
        <w:tc>
          <w:tcPr>
            <w:tcW w:w="2173"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Approved c</w:t>
            </w:r>
            <w:r w:rsidRPr="00814C3A">
              <w:t>osts</w:t>
            </w:r>
          </w:p>
        </w:tc>
        <w:tc>
          <w:tcPr>
            <w:tcW w:w="2174"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T</w:t>
            </w:r>
            <w:r w:rsidRPr="00814C3A">
              <w:t xml:space="preserve">rue-up </w:t>
            </w:r>
          </w:p>
        </w:tc>
      </w:tr>
      <w:tr w:rsidR="00814C3A" w:rsidTr="00814C3A">
        <w:tc>
          <w:tcPr>
            <w:cnfStyle w:val="001000000000" w:firstRow="0" w:lastRow="0" w:firstColumn="1" w:lastColumn="0" w:oddVBand="0" w:evenVBand="0" w:oddHBand="0" w:evenHBand="0" w:firstRowFirstColumn="0" w:firstRowLastColumn="0" w:lastRowFirstColumn="0" w:lastRowLastColumn="0"/>
            <w:tcW w:w="2173" w:type="dxa"/>
          </w:tcPr>
          <w:p w:rsidR="00814C3A" w:rsidRPr="00814C3A" w:rsidRDefault="00814C3A" w:rsidP="00814C3A">
            <w:r>
              <w:t>United Energy's</w:t>
            </w:r>
            <w:r w:rsidRPr="00814C3A">
              <w:t> proposal</w:t>
            </w:r>
          </w:p>
        </w:tc>
        <w:tc>
          <w:tcPr>
            <w:tcW w:w="2173" w:type="dxa"/>
          </w:tcPr>
          <w:p w:rsidR="00814C3A" w:rsidRPr="00814C3A" w:rsidRDefault="00B00AF9" w:rsidP="00814C3A">
            <w:pPr>
              <w:cnfStyle w:val="000000000000" w:firstRow="0" w:lastRow="0" w:firstColumn="0" w:lastColumn="0" w:oddVBand="0" w:evenVBand="0" w:oddHBand="0" w:evenHBand="0" w:firstRowFirstColumn="0" w:firstRowLastColumn="0" w:lastRowFirstColumn="0" w:lastRowLastColumn="0"/>
            </w:pPr>
            <w:r>
              <w:t>238.6</w:t>
            </w:r>
          </w:p>
        </w:tc>
        <w:tc>
          <w:tcPr>
            <w:tcW w:w="2173" w:type="dxa"/>
          </w:tcPr>
          <w:p w:rsidR="00814C3A" w:rsidRPr="00814C3A" w:rsidRDefault="00B00AF9" w:rsidP="00814C3A">
            <w:pPr>
              <w:cnfStyle w:val="000000000000" w:firstRow="0" w:lastRow="0" w:firstColumn="0" w:lastColumn="0" w:oddVBand="0" w:evenVBand="0" w:oddHBand="0" w:evenHBand="0" w:firstRowFirstColumn="0" w:firstRowLastColumn="0" w:lastRowFirstColumn="0" w:lastRowLastColumn="0"/>
            </w:pPr>
            <w:r>
              <w:t>237.8</w:t>
            </w:r>
          </w:p>
        </w:tc>
        <w:tc>
          <w:tcPr>
            <w:tcW w:w="2174" w:type="dxa"/>
          </w:tcPr>
          <w:p w:rsidR="00814C3A" w:rsidRPr="00814C3A" w:rsidRDefault="00B00AF9" w:rsidP="00814C3A">
            <w:pPr>
              <w:cnfStyle w:val="000000000000" w:firstRow="0" w:lastRow="0" w:firstColumn="0" w:lastColumn="0" w:oddVBand="0" w:evenVBand="0" w:oddHBand="0" w:evenHBand="0" w:firstRowFirstColumn="0" w:firstRowLastColumn="0" w:lastRowFirstColumn="0" w:lastRowLastColumn="0"/>
            </w:pPr>
            <w:r>
              <w:t>(0.8)</w:t>
            </w:r>
          </w:p>
        </w:tc>
      </w:tr>
      <w:tr w:rsidR="00FC4EF7" w:rsidTr="0081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FC4EF7" w:rsidRPr="00FC4EF7" w:rsidRDefault="00FC4EF7" w:rsidP="00FC4EF7">
            <w:r>
              <w:t>AER draft decision</w:t>
            </w:r>
          </w:p>
        </w:tc>
        <w:tc>
          <w:tcPr>
            <w:tcW w:w="2173" w:type="dxa"/>
          </w:tcPr>
          <w:p w:rsidR="00FC4EF7" w:rsidRPr="00FC4EF7" w:rsidRDefault="00FC4EF7" w:rsidP="00FC4EF7">
            <w:pPr>
              <w:cnfStyle w:val="000000010000" w:firstRow="0" w:lastRow="0" w:firstColumn="0" w:lastColumn="0" w:oddVBand="0" w:evenVBand="0" w:oddHBand="0" w:evenHBand="1" w:firstRowFirstColumn="0" w:firstRowLastColumn="0" w:lastRowFirstColumn="0" w:lastRowLastColumn="0"/>
            </w:pPr>
            <w:r>
              <w:t>238.6</w:t>
            </w:r>
          </w:p>
        </w:tc>
        <w:tc>
          <w:tcPr>
            <w:tcW w:w="2173" w:type="dxa"/>
          </w:tcPr>
          <w:p w:rsidR="00FC4EF7" w:rsidRPr="00FC4EF7" w:rsidRDefault="00FC4EF7" w:rsidP="00FC4EF7">
            <w:pPr>
              <w:cnfStyle w:val="000000010000" w:firstRow="0" w:lastRow="0" w:firstColumn="0" w:lastColumn="0" w:oddVBand="0" w:evenVBand="0" w:oddHBand="0" w:evenHBand="1" w:firstRowFirstColumn="0" w:firstRowLastColumn="0" w:lastRowFirstColumn="0" w:lastRowLastColumn="0"/>
            </w:pPr>
            <w:r>
              <w:t>235.2</w:t>
            </w:r>
          </w:p>
        </w:tc>
        <w:tc>
          <w:tcPr>
            <w:tcW w:w="2174" w:type="dxa"/>
          </w:tcPr>
          <w:p w:rsidR="00FC4EF7" w:rsidRPr="00814C3A" w:rsidRDefault="00FC4EF7" w:rsidP="00FC4EF7">
            <w:pPr>
              <w:cnfStyle w:val="000000010000" w:firstRow="0" w:lastRow="0" w:firstColumn="0" w:lastColumn="0" w:oddVBand="0" w:evenVBand="0" w:oddHBand="0" w:evenHBand="1" w:firstRowFirstColumn="0" w:firstRowLastColumn="0" w:lastRowFirstColumn="0" w:lastRowLastColumn="0"/>
            </w:pPr>
            <w:r>
              <w:t>(3.4)</w:t>
            </w:r>
          </w:p>
        </w:tc>
      </w:tr>
    </w:tbl>
    <w:p w:rsidR="00814C3A" w:rsidRDefault="00814C3A" w:rsidP="00814C3A">
      <w:pPr>
        <w:pStyle w:val="AERtablesource"/>
      </w:pPr>
      <w:r>
        <w:t>Source:</w:t>
      </w:r>
      <w:r>
        <w:tab/>
        <w:t>AER analysis.</w:t>
      </w:r>
    </w:p>
    <w:p w:rsidR="00814C3A" w:rsidRDefault="00814C3A" w:rsidP="00814C3A">
      <w:pPr>
        <w:pStyle w:val="HeadingBoldItalic"/>
      </w:pPr>
      <w:r>
        <w:t>Step four</w:t>
      </w:r>
    </w:p>
    <w:p w:rsidR="00814C3A" w:rsidRDefault="00814C3A" w:rsidP="00814C3A">
      <w:r>
        <w:t>Our final step was to discount the true–up amount to its correct NPV.</w:t>
      </w:r>
    </w:p>
    <w:p w:rsidR="00814C3A" w:rsidRPr="00991849" w:rsidRDefault="00814C3A" w:rsidP="00814C3A">
      <w:r>
        <w:t>We have decided in this draft decision to apply the transition charge in the 2018 year of the Victorian electricity distributor's 2016–20</w:t>
      </w:r>
      <w:r w:rsidR="00550952">
        <w:t>20</w:t>
      </w:r>
      <w:r>
        <w:t xml:space="preserve"> regulatory control period. We therefore discounted the amount we calculated in step three to its 2018 NPV.</w:t>
      </w:r>
      <w:r w:rsidR="008D0E3B">
        <w:rPr>
          <w:rStyle w:val="FootnoteReference"/>
        </w:rPr>
        <w:footnoteReference w:id="91"/>
      </w:r>
      <w:r>
        <w:t xml:space="preserve"> This amount is set out in</w:t>
      </w:r>
      <w:r w:rsidR="00550952">
        <w:t xml:space="preserve"> </w:t>
      </w:r>
      <w:r w:rsidR="00550952">
        <w:fldChar w:fldCharType="begin"/>
      </w:r>
      <w:r w:rsidR="00550952">
        <w:instrText xml:space="preserve"> REF _Ref461523190 \h </w:instrText>
      </w:r>
      <w:r w:rsidR="00550952">
        <w:fldChar w:fldCharType="separate"/>
      </w:r>
      <w:r w:rsidR="003C3A1D">
        <w:t xml:space="preserve">Table </w:t>
      </w:r>
      <w:r w:rsidR="003C3A1D">
        <w:rPr>
          <w:noProof/>
        </w:rPr>
        <w:t>6</w:t>
      </w:r>
      <w:r w:rsidR="003C3A1D">
        <w:t>.</w:t>
      </w:r>
      <w:r w:rsidR="003C3A1D">
        <w:rPr>
          <w:noProof/>
        </w:rPr>
        <w:t>4</w:t>
      </w:r>
      <w:r w:rsidR="00550952">
        <w:fldChar w:fldCharType="end"/>
      </w:r>
      <w:r>
        <w:t>.</w:t>
      </w:r>
    </w:p>
    <w:p w:rsidR="00814C3A" w:rsidRDefault="00814C3A" w:rsidP="00814C3A">
      <w:pPr>
        <w:pStyle w:val="Caption"/>
      </w:pPr>
      <w:bookmarkStart w:id="103" w:name="_Ref461523190"/>
      <w:r>
        <w:t xml:space="preserve">Table </w:t>
      </w:r>
      <w:r w:rsidRPr="009A23F2">
        <w:fldChar w:fldCharType="begin"/>
      </w:r>
      <w:r>
        <w:instrText xml:space="preserve"> STYLEREF 1 \s </w:instrText>
      </w:r>
      <w:r w:rsidRPr="009A23F2">
        <w:fldChar w:fldCharType="separate"/>
      </w:r>
      <w:r w:rsidR="003C3A1D">
        <w:rPr>
          <w:noProof/>
        </w:rPr>
        <w:t>6</w:t>
      </w:r>
      <w:r w:rsidRPr="009A23F2">
        <w:fldChar w:fldCharType="end"/>
      </w:r>
      <w:r>
        <w:t>.</w:t>
      </w:r>
      <w:fldSimple w:instr=" SEQ Table \* ARABIC \s 1 ">
        <w:r w:rsidR="003C3A1D">
          <w:rPr>
            <w:noProof/>
          </w:rPr>
          <w:t>4</w:t>
        </w:r>
      </w:fldSimple>
      <w:bookmarkEnd w:id="103"/>
      <w:r>
        <w:tab/>
        <w:t>Draft decision on revenue and costs true–up ($m, NPV 2018)</w:t>
      </w:r>
    </w:p>
    <w:tbl>
      <w:tblPr>
        <w:tblStyle w:val="AERtable-numbers"/>
        <w:tblW w:w="0" w:type="auto"/>
        <w:tblLook w:val="04A0" w:firstRow="1" w:lastRow="0" w:firstColumn="1" w:lastColumn="0" w:noHBand="0" w:noVBand="1"/>
      </w:tblPr>
      <w:tblGrid>
        <w:gridCol w:w="4346"/>
        <w:gridCol w:w="4347"/>
      </w:tblGrid>
      <w:tr w:rsidR="00814C3A"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814C3A" w:rsidRDefault="00814C3A" w:rsidP="00814C3A"/>
        </w:tc>
        <w:tc>
          <w:tcPr>
            <w:tcW w:w="4347"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True–up</w:t>
            </w:r>
          </w:p>
        </w:tc>
      </w:tr>
      <w:tr w:rsidR="00814C3A" w:rsidTr="00814C3A">
        <w:tc>
          <w:tcPr>
            <w:cnfStyle w:val="001000000000" w:firstRow="0" w:lastRow="0" w:firstColumn="1" w:lastColumn="0" w:oddVBand="0" w:evenVBand="0" w:oddHBand="0" w:evenHBand="0" w:firstRowFirstColumn="0" w:firstRowLastColumn="0" w:lastRowFirstColumn="0" w:lastRowLastColumn="0"/>
            <w:tcW w:w="4346" w:type="dxa"/>
          </w:tcPr>
          <w:p w:rsidR="00814C3A" w:rsidRDefault="00814C3A" w:rsidP="00814C3A">
            <w:r>
              <w:t>AER draft decision</w:t>
            </w:r>
          </w:p>
        </w:tc>
        <w:tc>
          <w:tcPr>
            <w:tcW w:w="4347" w:type="dxa"/>
          </w:tcPr>
          <w:p w:rsidR="00814C3A" w:rsidRPr="00814C3A" w:rsidRDefault="00B00AF9" w:rsidP="00814C3A">
            <w:pPr>
              <w:cnfStyle w:val="000000000000" w:firstRow="0" w:lastRow="0" w:firstColumn="0" w:lastColumn="0" w:oddVBand="0" w:evenVBand="0" w:oddHBand="0" w:evenHBand="0" w:firstRowFirstColumn="0" w:firstRowLastColumn="0" w:lastRowFirstColumn="0" w:lastRowLastColumn="0"/>
            </w:pPr>
            <w:r>
              <w:t>(7.0)</w:t>
            </w:r>
          </w:p>
        </w:tc>
      </w:tr>
    </w:tbl>
    <w:p w:rsidR="00814C3A" w:rsidRDefault="00814C3A" w:rsidP="00814C3A">
      <w:pPr>
        <w:pStyle w:val="AERtablesource"/>
      </w:pPr>
      <w:r>
        <w:t>Source:</w:t>
      </w:r>
      <w:r>
        <w:tab/>
        <w:t>AER analysis.</w:t>
      </w:r>
    </w:p>
    <w:p w:rsidR="00814C3A" w:rsidRDefault="00814C3A" w:rsidP="00814C3A">
      <w:pPr>
        <w:pStyle w:val="Heading3"/>
      </w:pPr>
      <w:bookmarkStart w:id="104" w:name="_Toc461526280"/>
      <w:r>
        <w:t>MAB true–up</w:t>
      </w:r>
      <w:bookmarkEnd w:id="104"/>
    </w:p>
    <w:p w:rsidR="00814C3A" w:rsidRDefault="00814C3A" w:rsidP="00814C3A">
      <w:r>
        <w:t>We have calculate</w:t>
      </w:r>
      <w:r w:rsidR="00B00AF9">
        <w:t>d a negative MAB true–up of $9.6</w:t>
      </w:r>
      <w:r>
        <w:t xml:space="preserve"> million ($2018).</w:t>
      </w:r>
    </w:p>
    <w:p w:rsidR="00814C3A" w:rsidRDefault="00814C3A" w:rsidP="00814C3A">
      <w:pPr>
        <w:pStyle w:val="HeadingBoldItalic"/>
      </w:pPr>
      <w:r>
        <w:t>Step one</w:t>
      </w:r>
    </w:p>
    <w:p w:rsidR="00814C3A" w:rsidRDefault="00814C3A" w:rsidP="00814C3A">
      <w:r>
        <w:t>The first step we took was to recalculate the 2016–20</w:t>
      </w:r>
      <w:r w:rsidR="00550952">
        <w:t>20</w:t>
      </w:r>
      <w:r>
        <w:t xml:space="preserve"> opening MAB value.</w:t>
      </w:r>
    </w:p>
    <w:p w:rsidR="00814C3A" w:rsidRPr="00EA5FB4" w:rsidRDefault="00814C3A" w:rsidP="00814C3A">
      <w:r>
        <w:t>This process involved a comparison. In particular, we compared the opening MAB value which we determined in our 2016–20</w:t>
      </w:r>
      <w:r w:rsidR="00550952">
        <w:t>20</w:t>
      </w:r>
      <w:r>
        <w:t xml:space="preserve"> distribution determination with the opening MAB value that we have calculated in this transition charges draft decision. </w:t>
      </w:r>
      <w:r w:rsidR="00B00AF9">
        <w:fldChar w:fldCharType="begin"/>
      </w:r>
      <w:r w:rsidR="00B00AF9">
        <w:instrText xml:space="preserve"> REF _Ref459909636 \h </w:instrText>
      </w:r>
      <w:r w:rsidR="00B00AF9">
        <w:fldChar w:fldCharType="separate"/>
      </w:r>
      <w:r w:rsidR="003C3A1D">
        <w:t xml:space="preserve">Table </w:t>
      </w:r>
      <w:r w:rsidR="003C3A1D">
        <w:rPr>
          <w:noProof/>
        </w:rPr>
        <w:t>6</w:t>
      </w:r>
      <w:r w:rsidR="003C3A1D">
        <w:t>.</w:t>
      </w:r>
      <w:r w:rsidR="003C3A1D">
        <w:rPr>
          <w:noProof/>
        </w:rPr>
        <w:t>9</w:t>
      </w:r>
      <w:r w:rsidR="00B00AF9">
        <w:fldChar w:fldCharType="end"/>
      </w:r>
      <w:r w:rsidR="00B00AF9">
        <w:t xml:space="preserve"> </w:t>
      </w:r>
      <w:r>
        <w:t>sets out that recalculation.</w:t>
      </w:r>
    </w:p>
    <w:p w:rsidR="00814C3A" w:rsidRDefault="00814C3A" w:rsidP="00814C3A">
      <w:pPr>
        <w:pStyle w:val="Caption"/>
      </w:pPr>
      <w:bookmarkStart w:id="105" w:name="_Ref461466011"/>
      <w:r>
        <w:t xml:space="preserve">Table </w:t>
      </w:r>
      <w:r w:rsidRPr="009A23F2">
        <w:fldChar w:fldCharType="begin"/>
      </w:r>
      <w:r>
        <w:instrText xml:space="preserve"> STYLEREF 1 \s </w:instrText>
      </w:r>
      <w:r w:rsidRPr="009A23F2">
        <w:fldChar w:fldCharType="separate"/>
      </w:r>
      <w:r w:rsidR="003C3A1D">
        <w:rPr>
          <w:noProof/>
        </w:rPr>
        <w:t>6</w:t>
      </w:r>
      <w:r w:rsidRPr="009A23F2">
        <w:fldChar w:fldCharType="end"/>
      </w:r>
      <w:r>
        <w:t>.</w:t>
      </w:r>
      <w:fldSimple w:instr=" SEQ Table \* ARABIC \s 1 ">
        <w:r w:rsidR="003C3A1D">
          <w:rPr>
            <w:noProof/>
          </w:rPr>
          <w:t>5</w:t>
        </w:r>
      </w:fldSimple>
      <w:bookmarkEnd w:id="105"/>
      <w:r>
        <w:tab/>
        <w:t>Calculation of opening MAB value ($m, 2008)</w:t>
      </w:r>
    </w:p>
    <w:tbl>
      <w:tblPr>
        <w:tblStyle w:val="AERtable-numbers"/>
        <w:tblW w:w="0" w:type="auto"/>
        <w:tblLook w:val="04A0" w:firstRow="1" w:lastRow="0" w:firstColumn="1" w:lastColumn="0" w:noHBand="0" w:noVBand="1"/>
      </w:tblPr>
      <w:tblGrid>
        <w:gridCol w:w="1853"/>
        <w:gridCol w:w="1159"/>
        <w:gridCol w:w="1158"/>
        <w:gridCol w:w="1158"/>
        <w:gridCol w:w="1158"/>
        <w:gridCol w:w="1106"/>
        <w:gridCol w:w="1101"/>
      </w:tblGrid>
      <w:tr w:rsidR="00814C3A"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814C3A" w:rsidRDefault="00814C3A" w:rsidP="00814C3A"/>
        </w:tc>
        <w:tc>
          <w:tcPr>
            <w:tcW w:w="1159"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2011</w:t>
            </w:r>
          </w:p>
        </w:tc>
        <w:tc>
          <w:tcPr>
            <w:tcW w:w="1158"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2012</w:t>
            </w:r>
          </w:p>
        </w:tc>
        <w:tc>
          <w:tcPr>
            <w:tcW w:w="1158"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2013</w:t>
            </w:r>
          </w:p>
        </w:tc>
        <w:tc>
          <w:tcPr>
            <w:tcW w:w="1158"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2014</w:t>
            </w:r>
          </w:p>
        </w:tc>
        <w:tc>
          <w:tcPr>
            <w:tcW w:w="1106"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2015</w:t>
            </w:r>
          </w:p>
        </w:tc>
        <w:tc>
          <w:tcPr>
            <w:tcW w:w="1101" w:type="dxa"/>
          </w:tcPr>
          <w:p w:rsidR="00814C3A" w:rsidRDefault="00814C3A" w:rsidP="00814C3A">
            <w:pPr>
              <w:cnfStyle w:val="100000000000" w:firstRow="1" w:lastRow="0" w:firstColumn="0" w:lastColumn="0" w:oddVBand="0" w:evenVBand="0" w:oddHBand="0" w:evenHBand="0" w:firstRowFirstColumn="0" w:firstRowLastColumn="0" w:lastRowFirstColumn="0" w:lastRowLastColumn="0"/>
            </w:pPr>
            <w:r>
              <w:t>Opening MAB</w:t>
            </w:r>
          </w:p>
        </w:tc>
      </w:tr>
      <w:tr w:rsidR="00814C3A" w:rsidTr="00814C3A">
        <w:tc>
          <w:tcPr>
            <w:cnfStyle w:val="001000000000" w:firstRow="0" w:lastRow="0" w:firstColumn="1" w:lastColumn="0" w:oddVBand="0" w:evenVBand="0" w:oddHBand="0" w:evenHBand="0" w:firstRowFirstColumn="0" w:firstRowLastColumn="0" w:lastRowFirstColumn="0" w:lastRowLastColumn="0"/>
            <w:tcW w:w="1853" w:type="dxa"/>
          </w:tcPr>
          <w:p w:rsidR="00814C3A" w:rsidRDefault="00814C3A" w:rsidP="00814C3A">
            <w:r>
              <w:t>2016–20</w:t>
            </w:r>
            <w:r w:rsidR="003A43B3">
              <w:t>20</w:t>
            </w:r>
            <w:r>
              <w:t xml:space="preserve"> Victorian determination</w:t>
            </w:r>
          </w:p>
        </w:tc>
        <w:tc>
          <w:tcPr>
            <w:tcW w:w="1159"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109.0</w:t>
            </w:r>
          </w:p>
        </w:tc>
        <w:tc>
          <w:tcPr>
            <w:tcW w:w="1158"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111.6</w:t>
            </w:r>
          </w:p>
        </w:tc>
        <w:tc>
          <w:tcPr>
            <w:tcW w:w="1158"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118.0</w:t>
            </w:r>
          </w:p>
        </w:tc>
        <w:tc>
          <w:tcPr>
            <w:tcW w:w="1158"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11</w:t>
            </w:r>
            <w:r w:rsidR="00435914">
              <w:t>1.3</w:t>
            </w:r>
          </w:p>
        </w:tc>
        <w:tc>
          <w:tcPr>
            <w:tcW w:w="1106"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9</w:t>
            </w:r>
            <w:r w:rsidR="00435914">
              <w:t>8.5</w:t>
            </w:r>
          </w:p>
        </w:tc>
        <w:tc>
          <w:tcPr>
            <w:tcW w:w="1101"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9</w:t>
            </w:r>
            <w:r w:rsidR="00435914">
              <w:t>8.5</w:t>
            </w:r>
          </w:p>
        </w:tc>
      </w:tr>
      <w:tr w:rsidR="00814C3A" w:rsidTr="0081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814C3A" w:rsidRDefault="00814C3A" w:rsidP="00814C3A">
            <w:r>
              <w:t>Transition charge draft decision</w:t>
            </w:r>
          </w:p>
        </w:tc>
        <w:tc>
          <w:tcPr>
            <w:tcW w:w="1159"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109.0</w:t>
            </w:r>
          </w:p>
        </w:tc>
        <w:tc>
          <w:tcPr>
            <w:tcW w:w="1158"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111.6</w:t>
            </w:r>
          </w:p>
        </w:tc>
        <w:tc>
          <w:tcPr>
            <w:tcW w:w="1158"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118.0</w:t>
            </w:r>
          </w:p>
        </w:tc>
        <w:tc>
          <w:tcPr>
            <w:tcW w:w="1158"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107.7</w:t>
            </w:r>
          </w:p>
        </w:tc>
        <w:tc>
          <w:tcPr>
            <w:tcW w:w="1106"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90.3</w:t>
            </w:r>
          </w:p>
        </w:tc>
        <w:tc>
          <w:tcPr>
            <w:tcW w:w="1101"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90.3</w:t>
            </w:r>
          </w:p>
        </w:tc>
      </w:tr>
    </w:tbl>
    <w:p w:rsidR="00814C3A" w:rsidRDefault="00814C3A" w:rsidP="00814C3A">
      <w:pPr>
        <w:pStyle w:val="AERtablesource"/>
      </w:pPr>
      <w:r>
        <w:t xml:space="preserve"> Source:</w:t>
      </w:r>
      <w:r>
        <w:tab/>
        <w:t>AER analysis.</w:t>
      </w:r>
    </w:p>
    <w:p w:rsidR="00814C3A" w:rsidRDefault="00814C3A" w:rsidP="00814C3A">
      <w:r>
        <w:t xml:space="preserve">As shown in </w:t>
      </w:r>
      <w:r w:rsidR="00EE7FD2">
        <w:fldChar w:fldCharType="begin"/>
      </w:r>
      <w:r w:rsidR="00EE7FD2">
        <w:instrText xml:space="preserve"> REF _Ref461466011 \h </w:instrText>
      </w:r>
      <w:r w:rsidR="00EE7FD2">
        <w:fldChar w:fldCharType="separate"/>
      </w:r>
      <w:r w:rsidR="003C3A1D">
        <w:t xml:space="preserve">Table </w:t>
      </w:r>
      <w:r w:rsidR="003C3A1D">
        <w:rPr>
          <w:noProof/>
        </w:rPr>
        <w:t>6</w:t>
      </w:r>
      <w:r w:rsidR="003C3A1D">
        <w:t>.</w:t>
      </w:r>
      <w:r w:rsidR="003C3A1D">
        <w:rPr>
          <w:noProof/>
        </w:rPr>
        <w:t>5</w:t>
      </w:r>
      <w:r w:rsidR="00EE7FD2">
        <w:fldChar w:fldCharType="end"/>
      </w:r>
      <w:r w:rsidR="00EE7FD2">
        <w:t xml:space="preserve"> </w:t>
      </w:r>
      <w:r>
        <w:t>above, the opening MAB value we have calculated in this transition charges draft decision is lower than in our 2016–20</w:t>
      </w:r>
      <w:r w:rsidR="00550952">
        <w:t>20</w:t>
      </w:r>
      <w:r>
        <w:t xml:space="preserve"> distribution determination. The reason for this is that our 2016–20</w:t>
      </w:r>
      <w:r w:rsidR="00550952">
        <w:t>20</w:t>
      </w:r>
      <w:r>
        <w:t xml:space="preserve"> distribution determination relied on forecast data. In particular, when determining the capex to be rolled into the MAB for the 2014 and 2015 years we used </w:t>
      </w:r>
      <w:r w:rsidR="00EE7FD2">
        <w:t>Jemena's</w:t>
      </w:r>
      <w:r>
        <w:t xml:space="preserve"> </w:t>
      </w:r>
      <w:r w:rsidRPr="0008672B">
        <w:t>forecast</w:t>
      </w:r>
      <w:r>
        <w:t xml:space="preserve"> capex in its 2015 AMI Charges Revision Applications.</w:t>
      </w:r>
      <w:r>
        <w:rPr>
          <w:rStyle w:val="FootnoteReference"/>
        </w:rPr>
        <w:footnoteReference w:id="92"/>
      </w:r>
      <w:r>
        <w:t xml:space="preserve"> In effect, we used a forecast </w:t>
      </w:r>
      <w:r w:rsidR="00EE7FD2">
        <w:t>Jemena</w:t>
      </w:r>
      <w:r>
        <w:t xml:space="preserve"> had made in August 2014, which had not been subject to a prudency assessment.</w:t>
      </w:r>
    </w:p>
    <w:p w:rsidR="00814C3A" w:rsidRDefault="00814C3A" w:rsidP="00814C3A">
      <w:r>
        <w:t xml:space="preserve">Our transition charge draft decision, by contrast, takes </w:t>
      </w:r>
      <w:r w:rsidR="00EE7FD2">
        <w:t>Jemena's</w:t>
      </w:r>
      <w:r>
        <w:t xml:space="preserve"> </w:t>
      </w:r>
      <w:r w:rsidRPr="0008672B">
        <w:rPr>
          <w:rStyle w:val="AERtextitalic"/>
        </w:rPr>
        <w:t>actual</w:t>
      </w:r>
      <w:r>
        <w:t xml:space="preserve"> capex in 2014 and 2015 into consideration. We have also considered a proposal from </w:t>
      </w:r>
      <w:r w:rsidR="00EE7FD2">
        <w:t xml:space="preserve">Jemena </w:t>
      </w:r>
      <w:r>
        <w:t xml:space="preserve">to recover excess capex in the 2014 and 2015 years. With respect to this, we have only rolled into our recalculation of the MAB, any excess capex that we consider to be prudent. Our reasons regarding this prudency assessment are outlined in section </w:t>
      </w:r>
      <w:r w:rsidR="00EE7FD2">
        <w:fldChar w:fldCharType="begin"/>
      </w:r>
      <w:r w:rsidR="00EE7FD2">
        <w:instrText xml:space="preserve"> REF _Ref461462102 \r \h </w:instrText>
      </w:r>
      <w:r w:rsidR="00EE7FD2">
        <w:fldChar w:fldCharType="separate"/>
      </w:r>
      <w:r w:rsidR="003C3A1D">
        <w:t>6.2</w:t>
      </w:r>
      <w:r w:rsidR="00EE7FD2">
        <w:fldChar w:fldCharType="end"/>
      </w:r>
      <w:r w:rsidR="00EE7FD2">
        <w:t xml:space="preserve"> </w:t>
      </w:r>
      <w:r>
        <w:t>below.</w:t>
      </w:r>
    </w:p>
    <w:p w:rsidR="00814C3A" w:rsidRDefault="00814C3A" w:rsidP="00814C3A">
      <w:pPr>
        <w:pStyle w:val="HeadingBoldItalic"/>
      </w:pPr>
      <w:r>
        <w:t>Step two</w:t>
      </w:r>
    </w:p>
    <w:p w:rsidR="00814C3A" w:rsidRDefault="00814C3A" w:rsidP="00814C3A">
      <w:r>
        <w:t xml:space="preserve">Once we had recalculated </w:t>
      </w:r>
      <w:r w:rsidR="00EE7FD2">
        <w:t>Jemena's</w:t>
      </w:r>
      <w:r>
        <w:t xml:space="preserve"> MAB value, the next step we took was to escalate the value of the recalculated MAB value to 2015 dollar terms. </w:t>
      </w:r>
    </w:p>
    <w:p w:rsidR="00814C3A" w:rsidRDefault="00814C3A" w:rsidP="00814C3A">
      <w:r>
        <w:t>The reason why we escalated it to 2015 dollar terms was that this is the value which we applied in our 2016–20</w:t>
      </w:r>
      <w:r w:rsidR="00CD23E8">
        <w:t>20</w:t>
      </w:r>
      <w:r>
        <w:t xml:space="preserve"> distribution determination. </w:t>
      </w:r>
      <w:r w:rsidR="00550952">
        <w:fldChar w:fldCharType="begin"/>
      </w:r>
      <w:r w:rsidR="00550952">
        <w:instrText xml:space="preserve"> REF _Ref461523299 \h </w:instrText>
      </w:r>
      <w:r w:rsidR="00550952">
        <w:fldChar w:fldCharType="separate"/>
      </w:r>
      <w:r w:rsidR="003C3A1D">
        <w:t xml:space="preserve">Table </w:t>
      </w:r>
      <w:r w:rsidR="003C3A1D">
        <w:rPr>
          <w:noProof/>
        </w:rPr>
        <w:t>6</w:t>
      </w:r>
      <w:r w:rsidR="003C3A1D">
        <w:t>.</w:t>
      </w:r>
      <w:r w:rsidR="003C3A1D">
        <w:rPr>
          <w:noProof/>
        </w:rPr>
        <w:t>6</w:t>
      </w:r>
      <w:r w:rsidR="00550952">
        <w:fldChar w:fldCharType="end"/>
      </w:r>
      <w:r w:rsidR="00550952">
        <w:t xml:space="preserve"> </w:t>
      </w:r>
      <w:r>
        <w:t xml:space="preserve">sets out the results of the escalation we applied. </w:t>
      </w:r>
    </w:p>
    <w:p w:rsidR="00814C3A" w:rsidRDefault="00814C3A" w:rsidP="00814C3A">
      <w:pPr>
        <w:pStyle w:val="Caption"/>
      </w:pPr>
      <w:bookmarkStart w:id="106" w:name="_Ref461523299"/>
      <w:r>
        <w:t xml:space="preserve">Table </w:t>
      </w:r>
      <w:r w:rsidRPr="009A23F2">
        <w:fldChar w:fldCharType="begin"/>
      </w:r>
      <w:r>
        <w:instrText xml:space="preserve"> STYLEREF 1 \s </w:instrText>
      </w:r>
      <w:r w:rsidRPr="009A23F2">
        <w:fldChar w:fldCharType="separate"/>
      </w:r>
      <w:r w:rsidR="003C3A1D">
        <w:rPr>
          <w:noProof/>
        </w:rPr>
        <w:t>6</w:t>
      </w:r>
      <w:r w:rsidRPr="009A23F2">
        <w:fldChar w:fldCharType="end"/>
      </w:r>
      <w:r>
        <w:t>.</w:t>
      </w:r>
      <w:fldSimple w:instr=" SEQ Table \* ARABIC \s 1 ">
        <w:r w:rsidR="003C3A1D">
          <w:rPr>
            <w:noProof/>
          </w:rPr>
          <w:t>6</w:t>
        </w:r>
      </w:fldSimple>
      <w:bookmarkEnd w:id="106"/>
      <w:r>
        <w:tab/>
        <w:t xml:space="preserve">Recalculation of opening MAB value </w:t>
      </w:r>
    </w:p>
    <w:tbl>
      <w:tblPr>
        <w:tblStyle w:val="AERtable-numbers"/>
        <w:tblW w:w="0" w:type="auto"/>
        <w:tblLook w:val="04A0" w:firstRow="1" w:lastRow="0" w:firstColumn="1" w:lastColumn="0" w:noHBand="0" w:noVBand="1"/>
      </w:tblPr>
      <w:tblGrid>
        <w:gridCol w:w="3045"/>
        <w:gridCol w:w="2824"/>
        <w:gridCol w:w="2824"/>
      </w:tblGrid>
      <w:tr w:rsidR="00814C3A"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814C3A" w:rsidRDefault="00814C3A" w:rsidP="00814C3A"/>
        </w:tc>
        <w:tc>
          <w:tcPr>
            <w:tcW w:w="2824"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w:t>
            </w:r>
            <w:r w:rsidRPr="00814C3A">
              <w:t>$m, 2008)</w:t>
            </w:r>
          </w:p>
        </w:tc>
        <w:tc>
          <w:tcPr>
            <w:tcW w:w="2824"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w:t>
            </w:r>
            <w:r w:rsidRPr="00814C3A">
              <w:t>$m, 2015)</w:t>
            </w:r>
          </w:p>
        </w:tc>
      </w:tr>
      <w:tr w:rsidR="00814C3A" w:rsidTr="00814C3A">
        <w:tc>
          <w:tcPr>
            <w:cnfStyle w:val="001000000000" w:firstRow="0" w:lastRow="0" w:firstColumn="1" w:lastColumn="0" w:oddVBand="0" w:evenVBand="0" w:oddHBand="0" w:evenHBand="0" w:firstRowFirstColumn="0" w:firstRowLastColumn="0" w:lastRowFirstColumn="0" w:lastRowLastColumn="0"/>
            <w:tcW w:w="3045" w:type="dxa"/>
          </w:tcPr>
          <w:p w:rsidR="00814C3A" w:rsidRPr="00814C3A" w:rsidRDefault="00814C3A" w:rsidP="00814C3A">
            <w:r>
              <w:t>Opening MAB</w:t>
            </w:r>
            <w:r w:rsidRPr="00814C3A">
              <w:t xml:space="preserve"> as of 1 January 2016</w:t>
            </w:r>
          </w:p>
        </w:tc>
        <w:tc>
          <w:tcPr>
            <w:tcW w:w="2824"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90.3</w:t>
            </w:r>
          </w:p>
        </w:tc>
        <w:tc>
          <w:tcPr>
            <w:tcW w:w="2824"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109.8</w:t>
            </w:r>
          </w:p>
        </w:tc>
      </w:tr>
    </w:tbl>
    <w:p w:rsidR="00814C3A" w:rsidRDefault="00814C3A" w:rsidP="00814C3A">
      <w:pPr>
        <w:pStyle w:val="AERtablesource"/>
      </w:pPr>
      <w:r>
        <w:t>Source:</w:t>
      </w:r>
      <w:r>
        <w:tab/>
        <w:t>AER analysis</w:t>
      </w:r>
      <w:r w:rsidR="00470A02">
        <w:t>.</w:t>
      </w:r>
    </w:p>
    <w:p w:rsidR="00814C3A" w:rsidRDefault="00814C3A" w:rsidP="00814C3A">
      <w:pPr>
        <w:pStyle w:val="HeadingBoldItalic"/>
      </w:pPr>
      <w:r>
        <w:t>Step three</w:t>
      </w:r>
    </w:p>
    <w:p w:rsidR="00814C3A" w:rsidRDefault="00814C3A" w:rsidP="00814C3A">
      <w:r>
        <w:t>The next step we took was to compare the revenue recoverable from the opening MAB we set our 2016–20</w:t>
      </w:r>
      <w:r w:rsidR="00550952">
        <w:t>20</w:t>
      </w:r>
      <w:r>
        <w:t xml:space="preserve"> distribution determination with our recalculation of the MAB in this transition charge draft decision.</w:t>
      </w:r>
      <w:r w:rsidR="00EE7FD2">
        <w:t xml:space="preserve"> Table 6.7 </w:t>
      </w:r>
      <w:r>
        <w:t>sets out the results of this comparison.</w:t>
      </w:r>
    </w:p>
    <w:p w:rsidR="00814C3A" w:rsidRPr="00696CDC" w:rsidRDefault="00814C3A" w:rsidP="00814C3A">
      <w:pPr>
        <w:pStyle w:val="Caption"/>
      </w:pPr>
      <w:r>
        <w:t xml:space="preserve">Table </w:t>
      </w:r>
      <w:r w:rsidRPr="009A23F2">
        <w:fldChar w:fldCharType="begin"/>
      </w:r>
      <w:r>
        <w:instrText xml:space="preserve"> STYLEREF 1 \s </w:instrText>
      </w:r>
      <w:r w:rsidRPr="009A23F2">
        <w:fldChar w:fldCharType="separate"/>
      </w:r>
      <w:r w:rsidR="003C3A1D">
        <w:rPr>
          <w:noProof/>
        </w:rPr>
        <w:t>6</w:t>
      </w:r>
      <w:r w:rsidRPr="009A23F2">
        <w:fldChar w:fldCharType="end"/>
      </w:r>
      <w:r>
        <w:t>.</w:t>
      </w:r>
      <w:fldSimple w:instr=" SEQ Table \* ARABIC \s 1 ">
        <w:r w:rsidR="003C3A1D">
          <w:rPr>
            <w:noProof/>
          </w:rPr>
          <w:t>7</w:t>
        </w:r>
      </w:fldSimple>
      <w:r>
        <w:tab/>
        <w:t>Recalculation of MAB revenue ($million)</w:t>
      </w:r>
    </w:p>
    <w:tbl>
      <w:tblPr>
        <w:tblStyle w:val="AERtable-numbers"/>
        <w:tblW w:w="0" w:type="auto"/>
        <w:tblLook w:val="04A0" w:firstRow="1" w:lastRow="0" w:firstColumn="1" w:lastColumn="0" w:noHBand="0" w:noVBand="1"/>
      </w:tblPr>
      <w:tblGrid>
        <w:gridCol w:w="1853"/>
        <w:gridCol w:w="1158"/>
        <w:gridCol w:w="1157"/>
        <w:gridCol w:w="1157"/>
        <w:gridCol w:w="1157"/>
        <w:gridCol w:w="1105"/>
        <w:gridCol w:w="1106"/>
      </w:tblGrid>
      <w:tr w:rsidR="00814C3A" w:rsidTr="0081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814C3A" w:rsidRDefault="00814C3A" w:rsidP="00814C3A"/>
        </w:tc>
        <w:tc>
          <w:tcPr>
            <w:tcW w:w="1159"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2016</w:t>
            </w:r>
          </w:p>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($nomina</w:t>
            </w:r>
            <w:r w:rsidRPr="00814C3A">
              <w:t>l)</w:t>
            </w:r>
          </w:p>
        </w:tc>
        <w:tc>
          <w:tcPr>
            <w:tcW w:w="1158"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2017</w:t>
            </w:r>
          </w:p>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2018</w:t>
            </w:r>
          </w:p>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2019</w:t>
            </w:r>
          </w:p>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($nominal)</w:t>
            </w:r>
          </w:p>
        </w:tc>
        <w:tc>
          <w:tcPr>
            <w:tcW w:w="1106"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2020</w:t>
            </w:r>
          </w:p>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($nominal)</w:t>
            </w:r>
          </w:p>
        </w:tc>
        <w:tc>
          <w:tcPr>
            <w:tcW w:w="1101" w:type="dxa"/>
          </w:tcPr>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Total</w:t>
            </w:r>
          </w:p>
          <w:p w:rsidR="00814C3A" w:rsidRPr="00814C3A" w:rsidRDefault="00814C3A" w:rsidP="00814C3A">
            <w:pPr>
              <w:cnfStyle w:val="100000000000" w:firstRow="1" w:lastRow="0" w:firstColumn="0" w:lastColumn="0" w:oddVBand="0" w:evenVBand="0" w:oddHBand="0" w:evenHBand="0" w:firstRowFirstColumn="0" w:firstRowLastColumn="0" w:lastRowFirstColumn="0" w:lastRowLastColumn="0"/>
            </w:pPr>
            <w:r>
              <w:t>($Dec</w:t>
            </w:r>
            <w:r w:rsidRPr="00814C3A">
              <w:t> 2015)</w:t>
            </w:r>
          </w:p>
        </w:tc>
      </w:tr>
      <w:tr w:rsidR="00814C3A" w:rsidTr="00814C3A">
        <w:tc>
          <w:tcPr>
            <w:cnfStyle w:val="001000000000" w:firstRow="0" w:lastRow="0" w:firstColumn="1" w:lastColumn="0" w:oddVBand="0" w:evenVBand="0" w:oddHBand="0" w:evenHBand="0" w:firstRowFirstColumn="0" w:firstRowLastColumn="0" w:lastRowFirstColumn="0" w:lastRowLastColumn="0"/>
            <w:tcW w:w="1853" w:type="dxa"/>
          </w:tcPr>
          <w:p w:rsidR="00814C3A" w:rsidRDefault="00814C3A" w:rsidP="00814C3A">
            <w:r>
              <w:t>2016–20 Victorian determination</w:t>
            </w:r>
          </w:p>
        </w:tc>
        <w:tc>
          <w:tcPr>
            <w:tcW w:w="1159"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23.9</w:t>
            </w:r>
          </w:p>
        </w:tc>
        <w:tc>
          <w:tcPr>
            <w:tcW w:w="1158"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22.5</w:t>
            </w:r>
          </w:p>
        </w:tc>
        <w:tc>
          <w:tcPr>
            <w:tcW w:w="1158"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16.4</w:t>
            </w:r>
          </w:p>
        </w:tc>
        <w:tc>
          <w:tcPr>
            <w:tcW w:w="1158"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16.3</w:t>
            </w:r>
          </w:p>
        </w:tc>
        <w:tc>
          <w:tcPr>
            <w:tcW w:w="1106"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15.6</w:t>
            </w:r>
          </w:p>
        </w:tc>
        <w:tc>
          <w:tcPr>
            <w:tcW w:w="1101"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80.1</w:t>
            </w:r>
          </w:p>
        </w:tc>
      </w:tr>
      <w:tr w:rsidR="00814C3A" w:rsidTr="0081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814C3A" w:rsidRDefault="00814C3A" w:rsidP="00814C3A">
            <w:r>
              <w:t>Transition charge draft decision</w:t>
            </w:r>
          </w:p>
        </w:tc>
        <w:tc>
          <w:tcPr>
            <w:tcW w:w="1159"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21.7</w:t>
            </w:r>
          </w:p>
        </w:tc>
        <w:tc>
          <w:tcPr>
            <w:tcW w:w="1158"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21.5</w:t>
            </w:r>
          </w:p>
        </w:tc>
        <w:tc>
          <w:tcPr>
            <w:tcW w:w="1158"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15.2</w:t>
            </w:r>
          </w:p>
        </w:tc>
        <w:tc>
          <w:tcPr>
            <w:tcW w:w="1158"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14.5</w:t>
            </w:r>
          </w:p>
        </w:tc>
        <w:tc>
          <w:tcPr>
            <w:tcW w:w="1106"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11.7</w:t>
            </w:r>
          </w:p>
        </w:tc>
        <w:tc>
          <w:tcPr>
            <w:tcW w:w="1101" w:type="dxa"/>
          </w:tcPr>
          <w:p w:rsidR="00814C3A" w:rsidRPr="00814C3A" w:rsidRDefault="00EE7FD2" w:rsidP="00814C3A">
            <w:pPr>
              <w:cnfStyle w:val="000000010000" w:firstRow="0" w:lastRow="0" w:firstColumn="0" w:lastColumn="0" w:oddVBand="0" w:evenVBand="0" w:oddHBand="0" w:evenHBand="1" w:firstRowFirstColumn="0" w:firstRowLastColumn="0" w:lastRowFirstColumn="0" w:lastRowLastColumn="0"/>
            </w:pPr>
            <w:r>
              <w:t>72.0</w:t>
            </w:r>
          </w:p>
        </w:tc>
      </w:tr>
      <w:tr w:rsidR="00814C3A" w:rsidTr="00814C3A">
        <w:tc>
          <w:tcPr>
            <w:cnfStyle w:val="001000000000" w:firstRow="0" w:lastRow="0" w:firstColumn="1" w:lastColumn="0" w:oddVBand="0" w:evenVBand="0" w:oddHBand="0" w:evenHBand="0" w:firstRowFirstColumn="0" w:firstRowLastColumn="0" w:lastRowFirstColumn="0" w:lastRowLastColumn="0"/>
            <w:tcW w:w="1853" w:type="dxa"/>
          </w:tcPr>
          <w:p w:rsidR="00814C3A" w:rsidRDefault="00814C3A" w:rsidP="00814C3A">
            <w:r>
              <w:t>Difference</w:t>
            </w:r>
          </w:p>
        </w:tc>
        <w:tc>
          <w:tcPr>
            <w:tcW w:w="1159" w:type="dxa"/>
          </w:tcPr>
          <w:p w:rsidR="00814C3A" w:rsidRDefault="00814C3A" w:rsidP="00814C3A">
            <w:pPr>
              <w:cnfStyle w:val="000000000000" w:firstRow="0" w:lastRow="0" w:firstColumn="0" w:lastColumn="0" w:oddVBand="0" w:evenVBand="0" w:oddHBand="0" w:evenHBand="0" w:firstRowFirstColumn="0" w:firstRowLastColumn="0" w:lastRowFirstColumn="0" w:lastRowLastColumn="0"/>
            </w:pPr>
          </w:p>
        </w:tc>
        <w:tc>
          <w:tcPr>
            <w:tcW w:w="1158" w:type="dxa"/>
          </w:tcPr>
          <w:p w:rsidR="00814C3A" w:rsidRDefault="00814C3A" w:rsidP="00814C3A">
            <w:pPr>
              <w:cnfStyle w:val="000000000000" w:firstRow="0" w:lastRow="0" w:firstColumn="0" w:lastColumn="0" w:oddVBand="0" w:evenVBand="0" w:oddHBand="0" w:evenHBand="0" w:firstRowFirstColumn="0" w:firstRowLastColumn="0" w:lastRowFirstColumn="0" w:lastRowLastColumn="0"/>
            </w:pPr>
          </w:p>
        </w:tc>
        <w:tc>
          <w:tcPr>
            <w:tcW w:w="1158" w:type="dxa"/>
          </w:tcPr>
          <w:p w:rsidR="00814C3A" w:rsidRDefault="00814C3A" w:rsidP="00814C3A">
            <w:pPr>
              <w:cnfStyle w:val="000000000000" w:firstRow="0" w:lastRow="0" w:firstColumn="0" w:lastColumn="0" w:oddVBand="0" w:evenVBand="0" w:oddHBand="0" w:evenHBand="0" w:firstRowFirstColumn="0" w:firstRowLastColumn="0" w:lastRowFirstColumn="0" w:lastRowLastColumn="0"/>
            </w:pPr>
          </w:p>
        </w:tc>
        <w:tc>
          <w:tcPr>
            <w:tcW w:w="1158" w:type="dxa"/>
          </w:tcPr>
          <w:p w:rsidR="00814C3A" w:rsidRDefault="00814C3A" w:rsidP="00814C3A">
            <w:pPr>
              <w:cnfStyle w:val="000000000000" w:firstRow="0" w:lastRow="0" w:firstColumn="0" w:lastColumn="0" w:oddVBand="0" w:evenVBand="0" w:oddHBand="0" w:evenHBand="0" w:firstRowFirstColumn="0" w:firstRowLastColumn="0" w:lastRowFirstColumn="0" w:lastRowLastColumn="0"/>
            </w:pPr>
          </w:p>
        </w:tc>
        <w:tc>
          <w:tcPr>
            <w:tcW w:w="1106" w:type="dxa"/>
          </w:tcPr>
          <w:p w:rsidR="00814C3A" w:rsidRDefault="00814C3A" w:rsidP="00814C3A">
            <w:pPr>
              <w:cnfStyle w:val="000000000000" w:firstRow="0" w:lastRow="0" w:firstColumn="0" w:lastColumn="0" w:oddVBand="0" w:evenVBand="0" w:oddHBand="0" w:evenHBand="0" w:firstRowFirstColumn="0" w:firstRowLastColumn="0" w:lastRowFirstColumn="0" w:lastRowLastColumn="0"/>
            </w:pPr>
          </w:p>
        </w:tc>
        <w:tc>
          <w:tcPr>
            <w:tcW w:w="1101" w:type="dxa"/>
          </w:tcPr>
          <w:p w:rsidR="00814C3A" w:rsidRPr="00814C3A" w:rsidRDefault="00EE7FD2" w:rsidP="00814C3A">
            <w:pPr>
              <w:cnfStyle w:val="000000000000" w:firstRow="0" w:lastRow="0" w:firstColumn="0" w:lastColumn="0" w:oddVBand="0" w:evenVBand="0" w:oddHBand="0" w:evenHBand="0" w:firstRowFirstColumn="0" w:firstRowLastColumn="0" w:lastRowFirstColumn="0" w:lastRowLastColumn="0"/>
            </w:pPr>
            <w:r>
              <w:t>(8.1)</w:t>
            </w:r>
          </w:p>
        </w:tc>
      </w:tr>
    </w:tbl>
    <w:p w:rsidR="00814C3A" w:rsidRDefault="00814C3A" w:rsidP="00814C3A">
      <w:pPr>
        <w:pStyle w:val="AERtablesource"/>
      </w:pPr>
      <w:r>
        <w:t>Source:</w:t>
      </w:r>
      <w:r>
        <w:tab/>
        <w:t>AER analysis</w:t>
      </w:r>
      <w:r w:rsidR="00470A02">
        <w:t>.</w:t>
      </w:r>
    </w:p>
    <w:p w:rsidR="00814C3A" w:rsidRDefault="00814C3A" w:rsidP="00814C3A">
      <w:pPr>
        <w:pStyle w:val="HeadingBoldItalic"/>
      </w:pPr>
      <w:r>
        <w:t>Step four</w:t>
      </w:r>
    </w:p>
    <w:p w:rsidR="00814C3A" w:rsidRPr="00830E97" w:rsidRDefault="00814C3A" w:rsidP="00814C3A">
      <w:r>
        <w:t>The final step we took to calculate the MAB adjustment was to discount the revenue difference calculated in step 3 to its 2018 NPV.</w:t>
      </w:r>
      <w:r w:rsidR="008D0E3B">
        <w:rPr>
          <w:rStyle w:val="FootnoteReference"/>
        </w:rPr>
        <w:footnoteReference w:id="93"/>
      </w:r>
      <w:r>
        <w:t xml:space="preserve"> When we did this, we calculated a</w:t>
      </w:r>
      <w:r w:rsidR="00EE7FD2">
        <w:t xml:space="preserve"> negative MAB adj</w:t>
      </w:r>
      <w:r w:rsidR="0029334A">
        <w:t>ustment of $9.6</w:t>
      </w:r>
      <w:r>
        <w:t xml:space="preserve"> million ($2018).</w:t>
      </w:r>
    </w:p>
    <w:p w:rsidR="009C6907" w:rsidRDefault="009C6907" w:rsidP="009C6907">
      <w:pPr>
        <w:pStyle w:val="Heading2"/>
      </w:pPr>
      <w:bookmarkStart w:id="107" w:name="_Ref461462102"/>
      <w:bookmarkStart w:id="108" w:name="_Toc461526281"/>
      <w:r>
        <w:t>Reasons for draft decision</w:t>
      </w:r>
      <w:bookmarkEnd w:id="107"/>
      <w:bookmarkEnd w:id="108"/>
    </w:p>
    <w:p w:rsidR="009C6907" w:rsidRDefault="009C6907" w:rsidP="009C6907">
      <w:r>
        <w:t xml:space="preserve">Our draft decision does not accept the proposed excess capital and operating expenditure included in </w:t>
      </w:r>
      <w:r w:rsidR="0028744B">
        <w:t>Jemena's</w:t>
      </w:r>
      <w:r>
        <w:t xml:space="preserve"> transition charges application. Our reasons are outlined below.</w:t>
      </w:r>
    </w:p>
    <w:p w:rsidR="009C6907" w:rsidRDefault="009C6907" w:rsidP="009C6907">
      <w:pPr>
        <w:pStyle w:val="Heading3"/>
      </w:pPr>
      <w:bookmarkStart w:id="109" w:name="_Toc461447521"/>
      <w:bookmarkStart w:id="110" w:name="_Toc461526282"/>
      <w:r>
        <w:t>Excess capital expenditure</w:t>
      </w:r>
      <w:bookmarkEnd w:id="109"/>
      <w:bookmarkEnd w:id="110"/>
    </w:p>
    <w:p w:rsidR="009C6907" w:rsidRDefault="00435914" w:rsidP="009C6907">
      <w:r>
        <w:t>We accept $7.6</w:t>
      </w:r>
      <w:r w:rsidR="009C6907">
        <w:t xml:space="preserve"> million ($2018) of </w:t>
      </w:r>
      <w:r w:rsidR="00AA3090">
        <w:t>Jemena's</w:t>
      </w:r>
      <w:r w:rsidR="009C6907">
        <w:t xml:space="preserve"> proposed excess capital expenditure for 2014 and 2015</w:t>
      </w:r>
      <w:r w:rsidR="00104772">
        <w:t xml:space="preserve"> is prudent</w:t>
      </w:r>
      <w:r w:rsidR="009C6907">
        <w:t xml:space="preserve">. </w:t>
      </w:r>
      <w:r>
        <w:t>This amounts to approximately 62 percent of the 12.3</w:t>
      </w:r>
      <w:r w:rsidR="00470A02">
        <w:t xml:space="preserve"> million ($2018) Jemena sought to recover. </w:t>
      </w:r>
      <w:r w:rsidR="009C6907">
        <w:t xml:space="preserve">Our draft decision is that this amount meets the requirements in the Order to be recovered through the transition charge. </w:t>
      </w:r>
      <w:r w:rsidR="00C13B9C">
        <w:t>Each of Jemena</w:t>
      </w:r>
      <w:r w:rsidR="00C13B9C" w:rsidRPr="00C13B9C">
        <w:t>'</w:t>
      </w:r>
      <w:r w:rsidR="00C13B9C">
        <w:t>s</w:t>
      </w:r>
      <w:r w:rsidR="00C13B9C" w:rsidRPr="00C13B9C">
        <w:t xml:space="preserve"> excess capital expenditure categories are considered below</w:t>
      </w:r>
      <w:r w:rsidR="00C13B9C">
        <w:t>.</w:t>
      </w:r>
    </w:p>
    <w:p w:rsidR="009C6907" w:rsidRDefault="009C6907" w:rsidP="009C6907">
      <w:pPr>
        <w:pStyle w:val="HeadingBoldItalic"/>
      </w:pPr>
      <w:r>
        <w:t>Meter supply</w:t>
      </w:r>
    </w:p>
    <w:p w:rsidR="009C6907" w:rsidRDefault="00747E18" w:rsidP="009C6907">
      <w:r>
        <w:t>We accept $1.6</w:t>
      </w:r>
      <w:r w:rsidR="009C6907">
        <w:t xml:space="preserve"> million ($2018) in excess capital expenditure for 'meter supply'. This </w:t>
      </w:r>
      <w:r w:rsidR="00116666">
        <w:t xml:space="preserve">is the full amount that Jemena sought to recover for </w:t>
      </w:r>
      <w:r w:rsidR="009C6907">
        <w:t xml:space="preserve">additional metering units. </w:t>
      </w:r>
      <w:r w:rsidR="00C13B9C">
        <w:fldChar w:fldCharType="begin"/>
      </w:r>
      <w:r w:rsidR="00C13B9C">
        <w:instrText xml:space="preserve"> REF _Ref459993047 \h </w:instrText>
      </w:r>
      <w:r w:rsidR="00C13B9C">
        <w:fldChar w:fldCharType="separate"/>
      </w:r>
      <w:r w:rsidR="003C3A1D">
        <w:t xml:space="preserve">Table </w:t>
      </w:r>
      <w:r w:rsidR="003C3A1D">
        <w:rPr>
          <w:noProof/>
        </w:rPr>
        <w:t>6</w:t>
      </w:r>
      <w:r w:rsidR="003C3A1D">
        <w:t>.</w:t>
      </w:r>
      <w:r w:rsidR="003C3A1D">
        <w:rPr>
          <w:noProof/>
        </w:rPr>
        <w:t>8</w:t>
      </w:r>
      <w:r w:rsidR="00C13B9C">
        <w:fldChar w:fldCharType="end"/>
      </w:r>
      <w:r w:rsidR="00C13B9C">
        <w:t xml:space="preserve"> </w:t>
      </w:r>
      <w:r w:rsidR="009C6907">
        <w:t>sets out our draft decision.</w:t>
      </w:r>
    </w:p>
    <w:p w:rsidR="009C6907" w:rsidRDefault="009C6907" w:rsidP="009C6907">
      <w:pPr>
        <w:pStyle w:val="Caption"/>
      </w:pPr>
      <w:bookmarkStart w:id="111" w:name="_Ref459993047"/>
      <w:r>
        <w:t xml:space="preserve">Table </w:t>
      </w:r>
      <w:r w:rsidR="004F0568">
        <w:fldChar w:fldCharType="begin"/>
      </w:r>
      <w:r w:rsidR="004F0568">
        <w:instrText xml:space="preserve"> STYLEREF 1 \s </w:instrText>
      </w:r>
      <w:r w:rsidR="004F0568">
        <w:fldChar w:fldCharType="separate"/>
      </w:r>
      <w:r w:rsidR="003C3A1D">
        <w:rPr>
          <w:noProof/>
        </w:rPr>
        <w:t>6</w:t>
      </w:r>
      <w:r w:rsidR="004F0568">
        <w:rPr>
          <w:noProof/>
        </w:rPr>
        <w:fldChar w:fldCharType="end"/>
      </w:r>
      <w:r w:rsidR="00696CDC">
        <w:t>.</w:t>
      </w:r>
      <w:fldSimple w:instr=" SEQ Table \* ARABIC \s 1 ">
        <w:r w:rsidR="003C3A1D">
          <w:rPr>
            <w:noProof/>
          </w:rPr>
          <w:t>8</w:t>
        </w:r>
      </w:fldSimple>
      <w:bookmarkEnd w:id="111"/>
      <w:r>
        <w:tab/>
        <w:t>Draft decision on meter supply capex ($m 2018)</w:t>
      </w:r>
    </w:p>
    <w:tbl>
      <w:tblPr>
        <w:tblStyle w:val="AERtable-numbers"/>
        <w:tblW w:w="0" w:type="auto"/>
        <w:tblLook w:val="04A0" w:firstRow="1" w:lastRow="0" w:firstColumn="1" w:lastColumn="0" w:noHBand="0" w:noVBand="1"/>
      </w:tblPr>
      <w:tblGrid>
        <w:gridCol w:w="2358"/>
        <w:gridCol w:w="1988"/>
        <w:gridCol w:w="2173"/>
        <w:gridCol w:w="2174"/>
      </w:tblGrid>
      <w:tr w:rsidR="009C6907" w:rsidTr="00311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9C6907" w:rsidRDefault="009C6907" w:rsidP="009C6907"/>
        </w:tc>
        <w:tc>
          <w:tcPr>
            <w:tcW w:w="1988" w:type="dxa"/>
          </w:tcPr>
          <w:p w:rsidR="009C6907" w:rsidRDefault="009C6907" w:rsidP="009C6907">
            <w:pPr>
              <w:cnfStyle w:val="100000000000" w:firstRow="1" w:lastRow="0" w:firstColumn="0" w:lastColumn="0" w:oddVBand="0" w:evenVBand="0" w:oddHBand="0" w:evenHBand="0" w:firstRowFirstColumn="0" w:firstRowLastColumn="0" w:lastRowFirstColumn="0" w:lastRowLastColumn="0"/>
            </w:pPr>
            <w:r>
              <w:t>Approved budget</w:t>
            </w:r>
          </w:p>
          <w:p w:rsidR="009C6907" w:rsidRDefault="009C6907" w:rsidP="009C6907">
            <w:pPr>
              <w:cnfStyle w:val="100000000000" w:firstRow="1" w:lastRow="0" w:firstColumn="0" w:lastColumn="0" w:oddVBand="0" w:evenVBand="0" w:oddHBand="0" w:evenHBand="0" w:firstRowFirstColumn="0" w:firstRowLastColumn="0" w:lastRowFirstColumn="0" w:lastRowLastColumn="0"/>
            </w:pPr>
            <w:r>
              <w:t>(2012–15 Budget)</w:t>
            </w:r>
          </w:p>
        </w:tc>
        <w:tc>
          <w:tcPr>
            <w:tcW w:w="2173" w:type="dxa"/>
          </w:tcPr>
          <w:p w:rsidR="009C6907" w:rsidRDefault="009C6907" w:rsidP="009C6907">
            <w:pPr>
              <w:cnfStyle w:val="100000000000" w:firstRow="1" w:lastRow="0" w:firstColumn="0" w:lastColumn="0" w:oddVBand="0" w:evenVBand="0" w:oddHBand="0" w:evenHBand="0" w:firstRowFirstColumn="0" w:firstRowLastColumn="0" w:lastRowFirstColumn="0" w:lastRowLastColumn="0"/>
            </w:pPr>
            <w:r>
              <w:t>Proposed excess</w:t>
            </w:r>
          </w:p>
        </w:tc>
        <w:tc>
          <w:tcPr>
            <w:tcW w:w="2174" w:type="dxa"/>
          </w:tcPr>
          <w:p w:rsidR="009C6907" w:rsidRDefault="009C6907" w:rsidP="009C6907">
            <w:pPr>
              <w:cnfStyle w:val="100000000000" w:firstRow="1" w:lastRow="0" w:firstColumn="0" w:lastColumn="0" w:oddVBand="0" w:evenVBand="0" w:oddHBand="0" w:evenHBand="0" w:firstRowFirstColumn="0" w:firstRowLastColumn="0" w:lastRowFirstColumn="0" w:lastRowLastColumn="0"/>
            </w:pPr>
            <w:r>
              <w:t>Draft decision</w:t>
            </w:r>
          </w:p>
        </w:tc>
      </w:tr>
      <w:tr w:rsidR="009C6907" w:rsidTr="00311F74">
        <w:tc>
          <w:tcPr>
            <w:cnfStyle w:val="001000000000" w:firstRow="0" w:lastRow="0" w:firstColumn="1" w:lastColumn="0" w:oddVBand="0" w:evenVBand="0" w:oddHBand="0" w:evenHBand="0" w:firstRowFirstColumn="0" w:firstRowLastColumn="0" w:lastRowFirstColumn="0" w:lastRowLastColumn="0"/>
            <w:tcW w:w="2358" w:type="dxa"/>
          </w:tcPr>
          <w:p w:rsidR="009C6907" w:rsidRPr="009C6907" w:rsidRDefault="009C6907" w:rsidP="00311F74">
            <w:pPr>
              <w:pStyle w:val="ListContinue"/>
              <w:ind w:left="0"/>
            </w:pPr>
            <w:r>
              <w:t>2014</w:t>
            </w:r>
          </w:p>
        </w:tc>
        <w:tc>
          <w:tcPr>
            <w:tcW w:w="1988" w:type="dxa"/>
          </w:tcPr>
          <w:p w:rsidR="009C6907" w:rsidRPr="009C6907" w:rsidRDefault="00747E18" w:rsidP="009C6907">
            <w:pPr>
              <w:cnfStyle w:val="000000000000" w:firstRow="0" w:lastRow="0" w:firstColumn="0" w:lastColumn="0" w:oddVBand="0" w:evenVBand="0" w:oddHBand="0" w:evenHBand="0" w:firstRowFirstColumn="0" w:firstRowLastColumn="0" w:lastRowFirstColumn="0" w:lastRowLastColumn="0"/>
            </w:pPr>
            <w:r>
              <w:t>1.1</w:t>
            </w:r>
          </w:p>
        </w:tc>
        <w:tc>
          <w:tcPr>
            <w:tcW w:w="2173" w:type="dxa"/>
          </w:tcPr>
          <w:p w:rsidR="009C6907" w:rsidRPr="009C6907" w:rsidRDefault="00747E18" w:rsidP="009C6907">
            <w:pPr>
              <w:cnfStyle w:val="000000000000" w:firstRow="0" w:lastRow="0" w:firstColumn="0" w:lastColumn="0" w:oddVBand="0" w:evenVBand="0" w:oddHBand="0" w:evenHBand="0" w:firstRowFirstColumn="0" w:firstRowLastColumn="0" w:lastRowFirstColumn="0" w:lastRowLastColumn="0"/>
            </w:pPr>
            <w:r>
              <w:t>2.8</w:t>
            </w:r>
          </w:p>
        </w:tc>
        <w:tc>
          <w:tcPr>
            <w:tcW w:w="2174" w:type="dxa"/>
          </w:tcPr>
          <w:p w:rsidR="009C6907" w:rsidRPr="009C6907" w:rsidRDefault="00747E18" w:rsidP="009C6907">
            <w:pPr>
              <w:cnfStyle w:val="000000000000" w:firstRow="0" w:lastRow="0" w:firstColumn="0" w:lastColumn="0" w:oddVBand="0" w:evenVBand="0" w:oddHBand="0" w:evenHBand="0" w:firstRowFirstColumn="0" w:firstRowLastColumn="0" w:lastRowFirstColumn="0" w:lastRowLastColumn="0"/>
            </w:pPr>
            <w:r>
              <w:t>2.8</w:t>
            </w:r>
          </w:p>
        </w:tc>
      </w:tr>
      <w:tr w:rsidR="009C6907" w:rsidTr="00311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9C6907" w:rsidRPr="009C6907" w:rsidRDefault="009C6907" w:rsidP="00311F74">
            <w:pPr>
              <w:pStyle w:val="ListContinue"/>
              <w:ind w:left="0"/>
            </w:pPr>
            <w:r>
              <w:t>2015</w:t>
            </w:r>
          </w:p>
        </w:tc>
        <w:tc>
          <w:tcPr>
            <w:tcW w:w="1988" w:type="dxa"/>
          </w:tcPr>
          <w:p w:rsidR="009C6907" w:rsidRPr="009C6907" w:rsidRDefault="00747E18" w:rsidP="009C6907">
            <w:pPr>
              <w:cnfStyle w:val="000000010000" w:firstRow="0" w:lastRow="0" w:firstColumn="0" w:lastColumn="0" w:oddVBand="0" w:evenVBand="0" w:oddHBand="0" w:evenHBand="1" w:firstRowFirstColumn="0" w:firstRowLastColumn="0" w:lastRowFirstColumn="0" w:lastRowLastColumn="0"/>
            </w:pPr>
            <w:r>
              <w:t>1.2</w:t>
            </w:r>
          </w:p>
        </w:tc>
        <w:tc>
          <w:tcPr>
            <w:tcW w:w="2173" w:type="dxa"/>
          </w:tcPr>
          <w:p w:rsidR="009C6907" w:rsidRPr="009C6907" w:rsidRDefault="00EE7FD2" w:rsidP="009C6907">
            <w:pPr>
              <w:cnfStyle w:val="000000010000" w:firstRow="0" w:lastRow="0" w:firstColumn="0" w:lastColumn="0" w:oddVBand="0" w:evenVBand="0" w:oddHBand="0" w:evenHBand="1" w:firstRowFirstColumn="0" w:firstRowLastColumn="0" w:lastRowFirstColumn="0" w:lastRowLastColumn="0"/>
            </w:pPr>
            <w:r>
              <w:t>(</w:t>
            </w:r>
            <w:r w:rsidR="00747E18">
              <w:t>1.1</w:t>
            </w:r>
            <w:r>
              <w:t>)</w:t>
            </w:r>
          </w:p>
        </w:tc>
        <w:tc>
          <w:tcPr>
            <w:tcW w:w="2174" w:type="dxa"/>
          </w:tcPr>
          <w:p w:rsidR="009C6907" w:rsidRPr="009C6907" w:rsidRDefault="00EE7FD2" w:rsidP="009C6907">
            <w:pPr>
              <w:cnfStyle w:val="000000010000" w:firstRow="0" w:lastRow="0" w:firstColumn="0" w:lastColumn="0" w:oddVBand="0" w:evenVBand="0" w:oddHBand="0" w:evenHBand="1" w:firstRowFirstColumn="0" w:firstRowLastColumn="0" w:lastRowFirstColumn="0" w:lastRowLastColumn="0"/>
            </w:pPr>
            <w:r>
              <w:t>(</w:t>
            </w:r>
            <w:r w:rsidR="00747E18">
              <w:t>1.1</w:t>
            </w:r>
            <w:r>
              <w:t>)</w:t>
            </w:r>
          </w:p>
        </w:tc>
      </w:tr>
      <w:tr w:rsidR="009C6907" w:rsidTr="00311F74">
        <w:tc>
          <w:tcPr>
            <w:cnfStyle w:val="001000000000" w:firstRow="0" w:lastRow="0" w:firstColumn="1" w:lastColumn="0" w:oddVBand="0" w:evenVBand="0" w:oddHBand="0" w:evenHBand="0" w:firstRowFirstColumn="0" w:firstRowLastColumn="0" w:lastRowFirstColumn="0" w:lastRowLastColumn="0"/>
            <w:tcW w:w="2358" w:type="dxa"/>
          </w:tcPr>
          <w:p w:rsidR="009C6907" w:rsidRPr="009C6907" w:rsidRDefault="009C6907" w:rsidP="00311F74">
            <w:pPr>
              <w:pStyle w:val="ListContinue"/>
              <w:ind w:left="0"/>
            </w:pPr>
            <w:r>
              <w:t>Total</w:t>
            </w:r>
            <w:r w:rsidRPr="009C6907">
              <w:t xml:space="preserve"> </w:t>
            </w:r>
          </w:p>
        </w:tc>
        <w:tc>
          <w:tcPr>
            <w:tcW w:w="1988" w:type="dxa"/>
          </w:tcPr>
          <w:p w:rsidR="009C6907" w:rsidRPr="009C6907" w:rsidRDefault="00747E18" w:rsidP="009C6907">
            <w:pPr>
              <w:cnfStyle w:val="000000000000" w:firstRow="0" w:lastRow="0" w:firstColumn="0" w:lastColumn="0" w:oddVBand="0" w:evenVBand="0" w:oddHBand="0" w:evenHBand="0" w:firstRowFirstColumn="0" w:firstRowLastColumn="0" w:lastRowFirstColumn="0" w:lastRowLastColumn="0"/>
            </w:pPr>
            <w:r>
              <w:t>2.3</w:t>
            </w:r>
          </w:p>
        </w:tc>
        <w:tc>
          <w:tcPr>
            <w:tcW w:w="2173" w:type="dxa"/>
          </w:tcPr>
          <w:p w:rsidR="009C6907" w:rsidRPr="009C6907" w:rsidRDefault="00747E18" w:rsidP="009C6907">
            <w:pPr>
              <w:cnfStyle w:val="000000000000" w:firstRow="0" w:lastRow="0" w:firstColumn="0" w:lastColumn="0" w:oddVBand="0" w:evenVBand="0" w:oddHBand="0" w:evenHBand="0" w:firstRowFirstColumn="0" w:firstRowLastColumn="0" w:lastRowFirstColumn="0" w:lastRowLastColumn="0"/>
            </w:pPr>
            <w:r>
              <w:t>1.6</w:t>
            </w:r>
          </w:p>
        </w:tc>
        <w:tc>
          <w:tcPr>
            <w:tcW w:w="2174" w:type="dxa"/>
          </w:tcPr>
          <w:p w:rsidR="009C6907" w:rsidRPr="009C6907" w:rsidRDefault="00747E18" w:rsidP="009C6907">
            <w:pPr>
              <w:cnfStyle w:val="000000000000" w:firstRow="0" w:lastRow="0" w:firstColumn="0" w:lastColumn="0" w:oddVBand="0" w:evenVBand="0" w:oddHBand="0" w:evenHBand="0" w:firstRowFirstColumn="0" w:firstRowLastColumn="0" w:lastRowFirstColumn="0" w:lastRowLastColumn="0"/>
            </w:pPr>
            <w:r>
              <w:t>1.6</w:t>
            </w:r>
          </w:p>
        </w:tc>
      </w:tr>
    </w:tbl>
    <w:p w:rsidR="009C6907" w:rsidRDefault="009C6907" w:rsidP="009C6907">
      <w:pPr>
        <w:pStyle w:val="AERtablesource"/>
      </w:pPr>
      <w:r>
        <w:t xml:space="preserve">Source: </w:t>
      </w:r>
      <w:r>
        <w:tab/>
        <w:t>AER analysis.</w:t>
      </w:r>
    </w:p>
    <w:p w:rsidR="009C6907" w:rsidRDefault="00747E18" w:rsidP="009C6907">
      <w:r>
        <w:t>Jemena proposed that its excess capital expenditure for meter supply was due to delays in its AMI roll–out that were outside of its control.</w:t>
      </w:r>
      <w:r>
        <w:rPr>
          <w:rStyle w:val="FootnoteReference"/>
        </w:rPr>
        <w:footnoteReference w:id="94"/>
      </w:r>
      <w:r>
        <w:t xml:space="preserve"> We accept that there were government policy and market changes which would have caused delays. This is consistent with our draft decision for both AusNet Services and United Energy.</w:t>
      </w:r>
      <w:r>
        <w:rPr>
          <w:rStyle w:val="FootnoteReference"/>
        </w:rPr>
        <w:footnoteReference w:id="95"/>
      </w:r>
      <w:r w:rsidR="00F20D1E">
        <w:t xml:space="preserve"> We also note that benchmarking conducted by Energeia observed that Jemena's 2009–15 meter supply capex was reasonably efficient (see section</w:t>
      </w:r>
      <w:r w:rsidR="00CB5763">
        <w:t xml:space="preserve"> </w:t>
      </w:r>
      <w:r w:rsidR="00CB5763">
        <w:fldChar w:fldCharType="begin"/>
      </w:r>
      <w:r w:rsidR="00CB5763">
        <w:instrText xml:space="preserve"> REF _Ref460406079 \r \h </w:instrText>
      </w:r>
      <w:r w:rsidR="00CB5763">
        <w:fldChar w:fldCharType="separate"/>
      </w:r>
      <w:r w:rsidR="003C3A1D">
        <w:t>9</w:t>
      </w:r>
      <w:r w:rsidR="00CB5763">
        <w:fldChar w:fldCharType="end"/>
      </w:r>
      <w:r w:rsidR="00F20D1E">
        <w:t>). We accordingly accept Jemena's proposed meter supply capex of $1.6 million ($2018).</w:t>
      </w:r>
    </w:p>
    <w:p w:rsidR="00F20D1E" w:rsidRDefault="00F20D1E" w:rsidP="00F20D1E">
      <w:pPr>
        <w:pStyle w:val="HeadingBoldItalic"/>
      </w:pPr>
      <w:r>
        <w:t>Meter installation</w:t>
      </w:r>
    </w:p>
    <w:p w:rsidR="005A3920" w:rsidRDefault="005A3920" w:rsidP="005A3920">
      <w:r>
        <w:t xml:space="preserve">We accept $4.8 million ($2018) in excess capital expenditure for 'meter installation'. This is equal to about 58 percent of </w:t>
      </w:r>
      <w:r w:rsidR="00116666">
        <w:t>Jemena's</w:t>
      </w:r>
      <w:r>
        <w:t xml:space="preserve"> proposed $8.2 million ($2018) in excess capital expenditure for installing meters in 2014 and 2015. </w:t>
      </w:r>
      <w:r w:rsidR="00C13B9C">
        <w:fldChar w:fldCharType="begin"/>
      </w:r>
      <w:r w:rsidR="00C13B9C">
        <w:instrText xml:space="preserve"> REF _Ref459909636 \h </w:instrText>
      </w:r>
      <w:r w:rsidR="00C13B9C">
        <w:fldChar w:fldCharType="separate"/>
      </w:r>
      <w:r w:rsidR="003C3A1D">
        <w:t xml:space="preserve">Table </w:t>
      </w:r>
      <w:r w:rsidR="003C3A1D">
        <w:rPr>
          <w:noProof/>
        </w:rPr>
        <w:t>6</w:t>
      </w:r>
      <w:r w:rsidR="003C3A1D">
        <w:t>.</w:t>
      </w:r>
      <w:r w:rsidR="003C3A1D">
        <w:rPr>
          <w:noProof/>
        </w:rPr>
        <w:t>9</w:t>
      </w:r>
      <w:r w:rsidR="00C13B9C">
        <w:fldChar w:fldCharType="end"/>
      </w:r>
      <w:r w:rsidR="00C13B9C">
        <w:t xml:space="preserve"> </w:t>
      </w:r>
      <w:r>
        <w:t>sets out our draft decision.</w:t>
      </w:r>
    </w:p>
    <w:p w:rsidR="005A3920" w:rsidRDefault="005A3920" w:rsidP="005A3920">
      <w:pPr>
        <w:pStyle w:val="Caption"/>
      </w:pPr>
      <w:bookmarkStart w:id="112" w:name="_Ref459909636"/>
      <w:r>
        <w:t xml:space="preserve">Table </w:t>
      </w:r>
      <w:r w:rsidR="004F0568">
        <w:fldChar w:fldCharType="begin"/>
      </w:r>
      <w:r w:rsidR="004F0568">
        <w:instrText xml:space="preserve"> STYLEREF 1 \s </w:instrText>
      </w:r>
      <w:r w:rsidR="004F0568">
        <w:fldChar w:fldCharType="separate"/>
      </w:r>
      <w:r w:rsidR="003C3A1D">
        <w:rPr>
          <w:noProof/>
        </w:rPr>
        <w:t>6</w:t>
      </w:r>
      <w:r w:rsidR="004F0568">
        <w:rPr>
          <w:noProof/>
        </w:rPr>
        <w:fldChar w:fldCharType="end"/>
      </w:r>
      <w:r w:rsidR="00696CDC">
        <w:t>.</w:t>
      </w:r>
      <w:fldSimple w:instr=" SEQ Table \* ARABIC \s 1 ">
        <w:r w:rsidR="003C3A1D">
          <w:rPr>
            <w:noProof/>
          </w:rPr>
          <w:t>9</w:t>
        </w:r>
      </w:fldSimple>
      <w:bookmarkEnd w:id="112"/>
      <w:r w:rsidR="00C13B9C">
        <w:tab/>
        <w:t>Draft decision on meter installation</w:t>
      </w:r>
      <w:r>
        <w:t xml:space="preserve"> capex ($m 2018)</w:t>
      </w:r>
    </w:p>
    <w:tbl>
      <w:tblPr>
        <w:tblStyle w:val="AERtable-numbers"/>
        <w:tblW w:w="0" w:type="auto"/>
        <w:tblLook w:val="04A0" w:firstRow="1" w:lastRow="0" w:firstColumn="1" w:lastColumn="0" w:noHBand="0" w:noVBand="1"/>
      </w:tblPr>
      <w:tblGrid>
        <w:gridCol w:w="2358"/>
        <w:gridCol w:w="1988"/>
        <w:gridCol w:w="2173"/>
        <w:gridCol w:w="2174"/>
      </w:tblGrid>
      <w:tr w:rsidR="005A3920" w:rsidTr="00E33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5A3920" w:rsidRDefault="005A3920" w:rsidP="005A3920"/>
        </w:tc>
        <w:tc>
          <w:tcPr>
            <w:tcW w:w="1988" w:type="dxa"/>
          </w:tcPr>
          <w:p w:rsidR="005A3920" w:rsidRDefault="005A3920" w:rsidP="005A3920">
            <w:pPr>
              <w:cnfStyle w:val="100000000000" w:firstRow="1" w:lastRow="0" w:firstColumn="0" w:lastColumn="0" w:oddVBand="0" w:evenVBand="0" w:oddHBand="0" w:evenHBand="0" w:firstRowFirstColumn="0" w:firstRowLastColumn="0" w:lastRowFirstColumn="0" w:lastRowLastColumn="0"/>
            </w:pPr>
            <w:r>
              <w:t>Approved budget</w:t>
            </w:r>
          </w:p>
          <w:p w:rsidR="005A3920" w:rsidRDefault="005A3920" w:rsidP="005A3920">
            <w:pPr>
              <w:cnfStyle w:val="100000000000" w:firstRow="1" w:lastRow="0" w:firstColumn="0" w:lastColumn="0" w:oddVBand="0" w:evenVBand="0" w:oddHBand="0" w:evenHBand="0" w:firstRowFirstColumn="0" w:firstRowLastColumn="0" w:lastRowFirstColumn="0" w:lastRowLastColumn="0"/>
            </w:pPr>
            <w:r>
              <w:t>(2012–15 Budget)</w:t>
            </w:r>
          </w:p>
        </w:tc>
        <w:tc>
          <w:tcPr>
            <w:tcW w:w="2173" w:type="dxa"/>
          </w:tcPr>
          <w:p w:rsidR="005A3920" w:rsidRDefault="005A3920" w:rsidP="005A3920">
            <w:pPr>
              <w:cnfStyle w:val="100000000000" w:firstRow="1" w:lastRow="0" w:firstColumn="0" w:lastColumn="0" w:oddVBand="0" w:evenVBand="0" w:oddHBand="0" w:evenHBand="0" w:firstRowFirstColumn="0" w:firstRowLastColumn="0" w:lastRowFirstColumn="0" w:lastRowLastColumn="0"/>
            </w:pPr>
            <w:r>
              <w:t>Proposed excess</w:t>
            </w:r>
          </w:p>
        </w:tc>
        <w:tc>
          <w:tcPr>
            <w:tcW w:w="2174" w:type="dxa"/>
          </w:tcPr>
          <w:p w:rsidR="005A3920" w:rsidRDefault="005A3920" w:rsidP="005A3920">
            <w:pPr>
              <w:cnfStyle w:val="100000000000" w:firstRow="1" w:lastRow="0" w:firstColumn="0" w:lastColumn="0" w:oddVBand="0" w:evenVBand="0" w:oddHBand="0" w:evenHBand="0" w:firstRowFirstColumn="0" w:firstRowLastColumn="0" w:lastRowFirstColumn="0" w:lastRowLastColumn="0"/>
            </w:pPr>
            <w:r>
              <w:t>Draft decision</w:t>
            </w:r>
          </w:p>
        </w:tc>
      </w:tr>
      <w:tr w:rsidR="005A3920" w:rsidTr="00E33255">
        <w:tc>
          <w:tcPr>
            <w:cnfStyle w:val="001000000000" w:firstRow="0" w:lastRow="0" w:firstColumn="1" w:lastColumn="0" w:oddVBand="0" w:evenVBand="0" w:oddHBand="0" w:evenHBand="0" w:firstRowFirstColumn="0" w:firstRowLastColumn="0" w:lastRowFirstColumn="0" w:lastRowLastColumn="0"/>
            <w:tcW w:w="2358" w:type="dxa"/>
          </w:tcPr>
          <w:p w:rsidR="005A3920" w:rsidRPr="005A3920" w:rsidRDefault="005A3920" w:rsidP="005A3920">
            <w:pPr>
              <w:pStyle w:val="ListContinue"/>
              <w:ind w:left="0"/>
            </w:pPr>
            <w:r>
              <w:t>2014</w:t>
            </w:r>
          </w:p>
        </w:tc>
        <w:tc>
          <w:tcPr>
            <w:tcW w:w="1988" w:type="dxa"/>
          </w:tcPr>
          <w:p w:rsidR="005A3920" w:rsidRPr="005A3920" w:rsidRDefault="005A3920" w:rsidP="005A3920">
            <w:pPr>
              <w:cnfStyle w:val="000000000000" w:firstRow="0" w:lastRow="0" w:firstColumn="0" w:lastColumn="0" w:oddVBand="0" w:evenVBand="0" w:oddHBand="0" w:evenHBand="0" w:firstRowFirstColumn="0" w:firstRowLastColumn="0" w:lastRowFirstColumn="0" w:lastRowLastColumn="0"/>
            </w:pPr>
            <w:r>
              <w:t>0.0</w:t>
            </w:r>
          </w:p>
        </w:tc>
        <w:tc>
          <w:tcPr>
            <w:tcW w:w="2173" w:type="dxa"/>
          </w:tcPr>
          <w:p w:rsidR="005A3920" w:rsidRPr="005A3920" w:rsidRDefault="005A3920" w:rsidP="005A3920">
            <w:pPr>
              <w:cnfStyle w:val="000000000000" w:firstRow="0" w:lastRow="0" w:firstColumn="0" w:lastColumn="0" w:oddVBand="0" w:evenVBand="0" w:oddHBand="0" w:evenHBand="0" w:firstRowFirstColumn="0" w:firstRowLastColumn="0" w:lastRowFirstColumn="0" w:lastRowLastColumn="0"/>
            </w:pPr>
            <w:r>
              <w:t>8.0</w:t>
            </w:r>
          </w:p>
        </w:tc>
        <w:tc>
          <w:tcPr>
            <w:tcW w:w="2174" w:type="dxa"/>
          </w:tcPr>
          <w:p w:rsidR="005A3920" w:rsidRPr="005A3920" w:rsidRDefault="005A3920" w:rsidP="005A3920">
            <w:pPr>
              <w:cnfStyle w:val="000000000000" w:firstRow="0" w:lastRow="0" w:firstColumn="0" w:lastColumn="0" w:oddVBand="0" w:evenVBand="0" w:oddHBand="0" w:evenHBand="0" w:firstRowFirstColumn="0" w:firstRowLastColumn="0" w:lastRowFirstColumn="0" w:lastRowLastColumn="0"/>
            </w:pPr>
            <w:r>
              <w:t>4.5</w:t>
            </w:r>
          </w:p>
        </w:tc>
      </w:tr>
      <w:tr w:rsidR="005A3920" w:rsidTr="00E332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5A3920" w:rsidRPr="005A3920" w:rsidRDefault="005A3920" w:rsidP="005A3920">
            <w:pPr>
              <w:pStyle w:val="ListContinue"/>
              <w:ind w:left="0"/>
            </w:pPr>
            <w:r>
              <w:t>2015</w:t>
            </w:r>
          </w:p>
        </w:tc>
        <w:tc>
          <w:tcPr>
            <w:tcW w:w="1988" w:type="dxa"/>
          </w:tcPr>
          <w:p w:rsidR="005A3920" w:rsidRPr="005A3920" w:rsidRDefault="005A3920" w:rsidP="005A3920">
            <w:pPr>
              <w:cnfStyle w:val="000000010000" w:firstRow="0" w:lastRow="0" w:firstColumn="0" w:lastColumn="0" w:oddVBand="0" w:evenVBand="0" w:oddHBand="0" w:evenHBand="1" w:firstRowFirstColumn="0" w:firstRowLastColumn="0" w:lastRowFirstColumn="0" w:lastRowLastColumn="0"/>
            </w:pPr>
            <w:r>
              <w:t>0.0</w:t>
            </w:r>
          </w:p>
        </w:tc>
        <w:tc>
          <w:tcPr>
            <w:tcW w:w="2173" w:type="dxa"/>
          </w:tcPr>
          <w:p w:rsidR="005A3920" w:rsidRPr="005A3920" w:rsidRDefault="005A3920" w:rsidP="005A3920">
            <w:pPr>
              <w:cnfStyle w:val="000000010000" w:firstRow="0" w:lastRow="0" w:firstColumn="0" w:lastColumn="0" w:oddVBand="0" w:evenVBand="0" w:oddHBand="0" w:evenHBand="1" w:firstRowFirstColumn="0" w:firstRowLastColumn="0" w:lastRowFirstColumn="0" w:lastRowLastColumn="0"/>
            </w:pPr>
            <w:r>
              <w:t>0.3</w:t>
            </w:r>
          </w:p>
        </w:tc>
        <w:tc>
          <w:tcPr>
            <w:tcW w:w="2174" w:type="dxa"/>
          </w:tcPr>
          <w:p w:rsidR="005A3920" w:rsidRPr="005A3920" w:rsidRDefault="005A3920" w:rsidP="005A3920">
            <w:pPr>
              <w:cnfStyle w:val="000000010000" w:firstRow="0" w:lastRow="0" w:firstColumn="0" w:lastColumn="0" w:oddVBand="0" w:evenVBand="0" w:oddHBand="0" w:evenHBand="1" w:firstRowFirstColumn="0" w:firstRowLastColumn="0" w:lastRowFirstColumn="0" w:lastRowLastColumn="0"/>
            </w:pPr>
            <w:r>
              <w:t>0.3</w:t>
            </w:r>
          </w:p>
        </w:tc>
      </w:tr>
      <w:tr w:rsidR="005A3920" w:rsidTr="00E33255">
        <w:tc>
          <w:tcPr>
            <w:cnfStyle w:val="001000000000" w:firstRow="0" w:lastRow="0" w:firstColumn="1" w:lastColumn="0" w:oddVBand="0" w:evenVBand="0" w:oddHBand="0" w:evenHBand="0" w:firstRowFirstColumn="0" w:firstRowLastColumn="0" w:lastRowFirstColumn="0" w:lastRowLastColumn="0"/>
            <w:tcW w:w="2358" w:type="dxa"/>
          </w:tcPr>
          <w:p w:rsidR="005A3920" w:rsidRPr="005A3920" w:rsidRDefault="005A3920" w:rsidP="005A3920">
            <w:pPr>
              <w:pStyle w:val="ListContinue"/>
              <w:ind w:left="0"/>
            </w:pPr>
            <w:r>
              <w:t>Total</w:t>
            </w:r>
            <w:r w:rsidRPr="005A3920">
              <w:t xml:space="preserve"> </w:t>
            </w:r>
          </w:p>
        </w:tc>
        <w:tc>
          <w:tcPr>
            <w:tcW w:w="1988" w:type="dxa"/>
          </w:tcPr>
          <w:p w:rsidR="005A3920" w:rsidRPr="005A3920" w:rsidRDefault="005A3920" w:rsidP="005A3920">
            <w:pPr>
              <w:cnfStyle w:val="000000000000" w:firstRow="0" w:lastRow="0" w:firstColumn="0" w:lastColumn="0" w:oddVBand="0" w:evenVBand="0" w:oddHBand="0" w:evenHBand="0" w:firstRowFirstColumn="0" w:firstRowLastColumn="0" w:lastRowFirstColumn="0" w:lastRowLastColumn="0"/>
            </w:pPr>
            <w:r>
              <w:t>0.0</w:t>
            </w:r>
          </w:p>
        </w:tc>
        <w:tc>
          <w:tcPr>
            <w:tcW w:w="2173" w:type="dxa"/>
          </w:tcPr>
          <w:p w:rsidR="005A3920" w:rsidRPr="005A3920" w:rsidRDefault="005A3920" w:rsidP="005A3920">
            <w:pPr>
              <w:cnfStyle w:val="000000000000" w:firstRow="0" w:lastRow="0" w:firstColumn="0" w:lastColumn="0" w:oddVBand="0" w:evenVBand="0" w:oddHBand="0" w:evenHBand="0" w:firstRowFirstColumn="0" w:firstRowLastColumn="0" w:lastRowFirstColumn="0" w:lastRowLastColumn="0"/>
            </w:pPr>
            <w:r>
              <w:t>8.2</w:t>
            </w:r>
          </w:p>
        </w:tc>
        <w:tc>
          <w:tcPr>
            <w:tcW w:w="2174" w:type="dxa"/>
          </w:tcPr>
          <w:p w:rsidR="005A3920" w:rsidRPr="005A3920" w:rsidRDefault="005A3920" w:rsidP="005A3920">
            <w:pPr>
              <w:cnfStyle w:val="000000000000" w:firstRow="0" w:lastRow="0" w:firstColumn="0" w:lastColumn="0" w:oddVBand="0" w:evenVBand="0" w:oddHBand="0" w:evenHBand="0" w:firstRowFirstColumn="0" w:firstRowLastColumn="0" w:lastRowFirstColumn="0" w:lastRowLastColumn="0"/>
            </w:pPr>
            <w:r>
              <w:t>4.8</w:t>
            </w:r>
          </w:p>
        </w:tc>
      </w:tr>
    </w:tbl>
    <w:p w:rsidR="005A3920" w:rsidRDefault="005A3920" w:rsidP="005A3920">
      <w:pPr>
        <w:pStyle w:val="AERtablesource"/>
      </w:pPr>
      <w:r>
        <w:t xml:space="preserve">Source: </w:t>
      </w:r>
      <w:r>
        <w:tab/>
        <w:t>AusNet Services, AMI Transition Charges Application, 31 May 2016, p</w:t>
      </w:r>
      <w:r w:rsidR="000B1748">
        <w:t>.</w:t>
      </w:r>
      <w:r>
        <w:t xml:space="preserve"> 23 and </w:t>
      </w:r>
      <w:r w:rsidR="000B1748">
        <w:t xml:space="preserve">p. </w:t>
      </w:r>
      <w:r>
        <w:t>27.</w:t>
      </w:r>
    </w:p>
    <w:p w:rsidR="005A3920" w:rsidRDefault="005A3920" w:rsidP="005A3920">
      <w:r>
        <w:t>In its application, Jemena submitted that its proposed excess capital expenditure for meter installations should be accepted because:</w:t>
      </w:r>
    </w:p>
    <w:p w:rsidR="00F70D8D" w:rsidRDefault="00A80D2A" w:rsidP="00A80D2A">
      <w:pPr>
        <w:pStyle w:val="AERbulletlistfirststyle"/>
      </w:pPr>
      <w:r>
        <w:t>the expenditure is driven by a timing variation</w:t>
      </w:r>
      <w:r w:rsidR="00F70D8D">
        <w:t xml:space="preserve"> </w:t>
      </w:r>
    </w:p>
    <w:p w:rsidR="00A80D2A" w:rsidRDefault="00F70D8D" w:rsidP="00F70D8D">
      <w:pPr>
        <w:pStyle w:val="AERbulletlistfirststyle"/>
      </w:pPr>
      <w:r>
        <w:t>Jemena's unit rates for meter installations are efficient.</w:t>
      </w:r>
      <w:r w:rsidR="00A80D2A">
        <w:rPr>
          <w:rStyle w:val="FootnoteReference"/>
        </w:rPr>
        <w:footnoteReference w:id="96"/>
      </w:r>
    </w:p>
    <w:p w:rsidR="00F64806" w:rsidRDefault="00F70D8D" w:rsidP="00F70D8D">
      <w:pPr>
        <w:pStyle w:val="AERbulletlistfirststyle"/>
        <w:numPr>
          <w:ilvl w:val="0"/>
          <w:numId w:val="0"/>
        </w:numPr>
      </w:pPr>
      <w:r>
        <w:t xml:space="preserve">We accept </w:t>
      </w:r>
      <w:r w:rsidR="00F64806">
        <w:t xml:space="preserve">that the proposed excess capital expenditure for </w:t>
      </w:r>
      <w:r w:rsidR="00F64806" w:rsidRPr="00F64806">
        <w:t>meter installations</w:t>
      </w:r>
      <w:r w:rsidR="00F64806">
        <w:t xml:space="preserve"> is, in part, driven by a timing variation. Our draft decision has reached this conclusion on the basis that changes to government policy and market conditions would have pushed out the installation of meters in 2014 and 2015 which Jemena had initially scheduled to install earlier.</w:t>
      </w:r>
    </w:p>
    <w:p w:rsidR="003D168F" w:rsidRDefault="00104772" w:rsidP="00A80D2A">
      <w:pPr>
        <w:pStyle w:val="AERbulletlistfirststyle"/>
        <w:numPr>
          <w:ilvl w:val="0"/>
          <w:numId w:val="0"/>
        </w:numPr>
      </w:pPr>
      <w:r>
        <w:t>W</w:t>
      </w:r>
      <w:r w:rsidR="00F64806">
        <w:t xml:space="preserve">e do not, however, accept that Jemena's unit rates for meter installations are efficient. </w:t>
      </w:r>
      <w:r w:rsidR="00A80D2A">
        <w:t xml:space="preserve">Energeia </w:t>
      </w:r>
      <w:r w:rsidR="00116666">
        <w:t>found</w:t>
      </w:r>
      <w:r w:rsidR="00A80D2A">
        <w:t xml:space="preserve"> that Jemena's </w:t>
      </w:r>
      <w:r w:rsidR="00F64806">
        <w:t>unit</w:t>
      </w:r>
      <w:r w:rsidR="00A80D2A">
        <w:t xml:space="preserve"> costs</w:t>
      </w:r>
      <w:r w:rsidR="00F64806">
        <w:t xml:space="preserve"> for installations</w:t>
      </w:r>
      <w:r w:rsidR="00A80D2A">
        <w:t xml:space="preserve"> were above the efficient benchmark.</w:t>
      </w:r>
      <w:r w:rsidR="00AB69B9">
        <w:rPr>
          <w:rStyle w:val="FootnoteReference"/>
        </w:rPr>
        <w:footnoteReference w:id="97"/>
      </w:r>
      <w:r w:rsidR="00A80D2A">
        <w:t xml:space="preserve"> </w:t>
      </w:r>
      <w:r w:rsidR="003D168F">
        <w:t xml:space="preserve">This analysis is set out in section </w:t>
      </w:r>
      <w:r w:rsidR="00CB5763">
        <w:fldChar w:fldCharType="begin"/>
      </w:r>
      <w:r w:rsidR="00CB5763">
        <w:instrText xml:space="preserve"> REF _Ref460406099 \r \h </w:instrText>
      </w:r>
      <w:r w:rsidR="00CB5763">
        <w:fldChar w:fldCharType="separate"/>
      </w:r>
      <w:r w:rsidR="003C3A1D">
        <w:t>9</w:t>
      </w:r>
      <w:r w:rsidR="00CB5763">
        <w:fldChar w:fldCharType="end"/>
      </w:r>
      <w:r w:rsidR="00CB5763">
        <w:t>.</w:t>
      </w:r>
      <w:r w:rsidR="003D168F">
        <w:t xml:space="preserve"> Energeia</w:t>
      </w:r>
      <w:r w:rsidR="00F64806">
        <w:t>'s</w:t>
      </w:r>
      <w:r w:rsidR="003D168F">
        <w:t xml:space="preserve"> review found that Jemena's' overall meter installation capex was $46 million ($2018) more than the efficient benchmark comparator, United Energy. </w:t>
      </w:r>
      <w:r w:rsidR="00F06B6E">
        <w:fldChar w:fldCharType="begin"/>
      </w:r>
      <w:r w:rsidR="00F06B6E">
        <w:instrText xml:space="preserve"> REF _Ref459911412 \h </w:instrText>
      </w:r>
      <w:r w:rsidR="00F06B6E">
        <w:fldChar w:fldCharType="separate"/>
      </w:r>
      <w:r w:rsidR="003C3A1D">
        <w:t xml:space="preserve">Table </w:t>
      </w:r>
      <w:r w:rsidR="003C3A1D">
        <w:rPr>
          <w:noProof/>
        </w:rPr>
        <w:t>6</w:t>
      </w:r>
      <w:r w:rsidR="003C3A1D">
        <w:t>.</w:t>
      </w:r>
      <w:r w:rsidR="003C3A1D">
        <w:rPr>
          <w:noProof/>
        </w:rPr>
        <w:t>10</w:t>
      </w:r>
      <w:r w:rsidR="00F06B6E">
        <w:fldChar w:fldCharType="end"/>
      </w:r>
      <w:r w:rsidR="00F06B6E">
        <w:t xml:space="preserve"> </w:t>
      </w:r>
      <w:r w:rsidR="003D168F">
        <w:t xml:space="preserve">also shows that Energeia found that Jemena's installation unit costs were materially higher than United Energy. </w:t>
      </w:r>
    </w:p>
    <w:p w:rsidR="003D168F" w:rsidRDefault="003D168F" w:rsidP="003D168F">
      <w:pPr>
        <w:pStyle w:val="Caption"/>
      </w:pPr>
      <w:bookmarkStart w:id="113" w:name="_Ref459911412"/>
      <w:r>
        <w:t xml:space="preserve">Table </w:t>
      </w:r>
      <w:r w:rsidR="004F0568">
        <w:fldChar w:fldCharType="begin"/>
      </w:r>
      <w:r w:rsidR="004F0568">
        <w:instrText xml:space="preserve"> STYLEREF 1 \s </w:instrText>
      </w:r>
      <w:r w:rsidR="004F0568">
        <w:fldChar w:fldCharType="separate"/>
      </w:r>
      <w:r w:rsidR="003C3A1D">
        <w:rPr>
          <w:noProof/>
        </w:rPr>
        <w:t>6</w:t>
      </w:r>
      <w:r w:rsidR="004F0568">
        <w:rPr>
          <w:noProof/>
        </w:rPr>
        <w:fldChar w:fldCharType="end"/>
      </w:r>
      <w:r w:rsidR="00696CDC">
        <w:t>.</w:t>
      </w:r>
      <w:fldSimple w:instr=" SEQ Table \* ARABIC \s 1 ">
        <w:r w:rsidR="003C3A1D">
          <w:rPr>
            <w:noProof/>
          </w:rPr>
          <w:t>10</w:t>
        </w:r>
      </w:fldSimple>
      <w:bookmarkEnd w:id="113"/>
      <w:r w:rsidR="000605E2">
        <w:tab/>
        <w:t>Comparison of installation unit costs ($ 2018)</w:t>
      </w:r>
    </w:p>
    <w:tbl>
      <w:tblPr>
        <w:tblStyle w:val="AERtable-numbers"/>
        <w:tblW w:w="0" w:type="auto"/>
        <w:tblLook w:val="04A0" w:firstRow="1" w:lastRow="0" w:firstColumn="1" w:lastColumn="0" w:noHBand="0" w:noVBand="1"/>
      </w:tblPr>
      <w:tblGrid>
        <w:gridCol w:w="2265"/>
        <w:gridCol w:w="2213"/>
        <w:gridCol w:w="2196"/>
        <w:gridCol w:w="2019"/>
      </w:tblGrid>
      <w:tr w:rsidR="003D168F" w:rsidTr="003D1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D168F" w:rsidRDefault="003D168F" w:rsidP="00A80D2A">
            <w:pPr>
              <w:pStyle w:val="AERbulletlistfirststyle"/>
              <w:numPr>
                <w:ilvl w:val="0"/>
                <w:numId w:val="0"/>
              </w:numPr>
            </w:pPr>
          </w:p>
        </w:tc>
        <w:tc>
          <w:tcPr>
            <w:tcW w:w="2213" w:type="dxa"/>
          </w:tcPr>
          <w:p w:rsidR="003D168F" w:rsidRDefault="003D168F" w:rsidP="00A80D2A">
            <w:pPr>
              <w:pStyle w:val="AERbulletlistfirststyle"/>
              <w:numPr>
                <w:ilvl w:val="0"/>
                <w:numId w:val="0"/>
              </w:numPr>
              <w:cnfStyle w:val="100000000000" w:firstRow="1" w:lastRow="0" w:firstColumn="0" w:lastColumn="0" w:oddVBand="0" w:evenVBand="0" w:oddHBand="0" w:evenHBand="0" w:firstRowFirstColumn="0" w:firstRowLastColumn="0" w:lastRowFirstColumn="0" w:lastRowLastColumn="0"/>
            </w:pPr>
            <w:r>
              <w:t>Jemena</w:t>
            </w:r>
          </w:p>
        </w:tc>
        <w:tc>
          <w:tcPr>
            <w:tcW w:w="2196" w:type="dxa"/>
          </w:tcPr>
          <w:p w:rsidR="003D168F" w:rsidRDefault="003D168F" w:rsidP="00A80D2A">
            <w:pPr>
              <w:pStyle w:val="AERbulletlistfirststyle"/>
              <w:numPr>
                <w:ilvl w:val="0"/>
                <w:numId w:val="0"/>
              </w:numPr>
              <w:cnfStyle w:val="100000000000" w:firstRow="1" w:lastRow="0" w:firstColumn="0" w:lastColumn="0" w:oddVBand="0" w:evenVBand="0" w:oddHBand="0" w:evenHBand="0" w:firstRowFirstColumn="0" w:firstRowLastColumn="0" w:lastRowFirstColumn="0" w:lastRowLastColumn="0"/>
            </w:pPr>
            <w:r>
              <w:t>United Energy</w:t>
            </w:r>
          </w:p>
        </w:tc>
        <w:tc>
          <w:tcPr>
            <w:tcW w:w="2019" w:type="dxa"/>
          </w:tcPr>
          <w:p w:rsidR="003D168F" w:rsidRDefault="003D168F" w:rsidP="00A80D2A">
            <w:pPr>
              <w:pStyle w:val="AERbulletlistfirststyle"/>
              <w:numPr>
                <w:ilvl w:val="0"/>
                <w:numId w:val="0"/>
              </w:numPr>
              <w:cnfStyle w:val="100000000000" w:firstRow="1" w:lastRow="0" w:firstColumn="0" w:lastColumn="0" w:oddVBand="0" w:evenVBand="0" w:oddHBand="0" w:evenHBand="0" w:firstRowFirstColumn="0" w:firstRowLastColumn="0" w:lastRowFirstColumn="0" w:lastRowLastColumn="0"/>
            </w:pPr>
            <w:r>
              <w:t>Difference</w:t>
            </w:r>
          </w:p>
        </w:tc>
      </w:tr>
      <w:tr w:rsidR="003D168F" w:rsidTr="003D168F">
        <w:tc>
          <w:tcPr>
            <w:cnfStyle w:val="001000000000" w:firstRow="0" w:lastRow="0" w:firstColumn="1" w:lastColumn="0" w:oddVBand="0" w:evenVBand="0" w:oddHBand="0" w:evenHBand="0" w:firstRowFirstColumn="0" w:firstRowLastColumn="0" w:lastRowFirstColumn="0" w:lastRowLastColumn="0"/>
            <w:tcW w:w="2265" w:type="dxa"/>
          </w:tcPr>
          <w:p w:rsidR="003D168F" w:rsidRDefault="003D168F" w:rsidP="00A80D2A">
            <w:pPr>
              <w:pStyle w:val="AERbulletlistfirststyle"/>
              <w:numPr>
                <w:ilvl w:val="0"/>
                <w:numId w:val="0"/>
              </w:numPr>
            </w:pPr>
            <w:r>
              <w:t>2014 installation unit cost</w:t>
            </w:r>
          </w:p>
        </w:tc>
        <w:tc>
          <w:tcPr>
            <w:tcW w:w="2213" w:type="dxa"/>
          </w:tcPr>
          <w:p w:rsidR="003D168F" w:rsidRDefault="003D168F" w:rsidP="00A80D2A">
            <w:pPr>
              <w:pStyle w:val="AERbulletlistfirststyle"/>
              <w:numPr>
                <w:ilvl w:val="0"/>
                <w:numId w:val="0"/>
              </w:numPr>
              <w:cnfStyle w:val="000000000000" w:firstRow="0" w:lastRow="0" w:firstColumn="0" w:lastColumn="0" w:oddVBand="0" w:evenVBand="0" w:oddHBand="0" w:evenHBand="0" w:firstRowFirstColumn="0" w:firstRowLastColumn="0" w:lastRowFirstColumn="0" w:lastRowLastColumn="0"/>
            </w:pPr>
            <w:r>
              <w:t>277</w:t>
            </w:r>
          </w:p>
        </w:tc>
        <w:tc>
          <w:tcPr>
            <w:tcW w:w="2196" w:type="dxa"/>
          </w:tcPr>
          <w:p w:rsidR="003D168F" w:rsidRDefault="003D168F" w:rsidP="00A80D2A">
            <w:pPr>
              <w:pStyle w:val="AERbulletlistfirststyle"/>
              <w:numPr>
                <w:ilvl w:val="0"/>
                <w:numId w:val="0"/>
              </w:numPr>
              <w:cnfStyle w:val="000000000000" w:firstRow="0" w:lastRow="0" w:firstColumn="0" w:lastColumn="0" w:oddVBand="0" w:evenVBand="0" w:oddHBand="0" w:evenHBand="0" w:firstRowFirstColumn="0" w:firstRowLastColumn="0" w:lastRowFirstColumn="0" w:lastRowLastColumn="0"/>
            </w:pPr>
            <w:r>
              <w:t>137</w:t>
            </w:r>
          </w:p>
        </w:tc>
        <w:tc>
          <w:tcPr>
            <w:tcW w:w="2019" w:type="dxa"/>
          </w:tcPr>
          <w:p w:rsidR="003D168F" w:rsidRDefault="003D168F" w:rsidP="00A80D2A">
            <w:pPr>
              <w:pStyle w:val="AERbulletlistfirststyle"/>
              <w:numPr>
                <w:ilvl w:val="0"/>
                <w:numId w:val="0"/>
              </w:numPr>
              <w:cnfStyle w:val="000000000000" w:firstRow="0" w:lastRow="0" w:firstColumn="0" w:lastColumn="0" w:oddVBand="0" w:evenVBand="0" w:oddHBand="0" w:evenHBand="0" w:firstRowFirstColumn="0" w:firstRowLastColumn="0" w:lastRowFirstColumn="0" w:lastRowLastColumn="0"/>
            </w:pPr>
            <w:r>
              <w:t>140</w:t>
            </w:r>
          </w:p>
        </w:tc>
      </w:tr>
      <w:tr w:rsidR="003D168F" w:rsidTr="003D1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D168F" w:rsidRDefault="003D168F" w:rsidP="00A80D2A">
            <w:pPr>
              <w:pStyle w:val="AERbulletlistfirststyle"/>
              <w:numPr>
                <w:ilvl w:val="0"/>
                <w:numId w:val="0"/>
              </w:numPr>
            </w:pPr>
            <w:r>
              <w:t>2015 installation unit cost</w:t>
            </w:r>
          </w:p>
        </w:tc>
        <w:tc>
          <w:tcPr>
            <w:tcW w:w="2213" w:type="dxa"/>
          </w:tcPr>
          <w:p w:rsidR="003D168F" w:rsidRDefault="003D168F" w:rsidP="00A80D2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222</w:t>
            </w:r>
          </w:p>
        </w:tc>
        <w:tc>
          <w:tcPr>
            <w:tcW w:w="2196" w:type="dxa"/>
          </w:tcPr>
          <w:p w:rsidR="003D168F" w:rsidRDefault="003D168F" w:rsidP="00A80D2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142</w:t>
            </w:r>
          </w:p>
        </w:tc>
        <w:tc>
          <w:tcPr>
            <w:tcW w:w="2019" w:type="dxa"/>
          </w:tcPr>
          <w:p w:rsidR="003D168F" w:rsidRDefault="003D168F" w:rsidP="00A80D2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80</w:t>
            </w:r>
          </w:p>
        </w:tc>
      </w:tr>
    </w:tbl>
    <w:p w:rsidR="00A80D2A" w:rsidRPr="005A3920" w:rsidRDefault="003D168F" w:rsidP="00E42A7D">
      <w:pPr>
        <w:pStyle w:val="AERtablesource"/>
      </w:pPr>
      <w:r>
        <w:t xml:space="preserve"> </w:t>
      </w:r>
      <w:r w:rsidR="00E42A7D">
        <w:t>Source:</w:t>
      </w:r>
      <w:r w:rsidR="00E42A7D">
        <w:tab/>
        <w:t>Energeia, Review of 2017 AMI transition applications, August 2016, p. 28.</w:t>
      </w:r>
    </w:p>
    <w:p w:rsidR="00F64806" w:rsidRDefault="00F70D8D" w:rsidP="00F20D1E">
      <w:r>
        <w:t xml:space="preserve">Based on Energeia's </w:t>
      </w:r>
      <w:r w:rsidR="00F64806">
        <w:t>analysis</w:t>
      </w:r>
      <w:r>
        <w:t>,</w:t>
      </w:r>
      <w:r w:rsidR="00F64806">
        <w:t xml:space="preserve"> we accept an excess capital expenditure for </w:t>
      </w:r>
      <w:r w:rsidR="00F64806" w:rsidRPr="00F64806">
        <w:t>meter installations</w:t>
      </w:r>
      <w:r>
        <w:t xml:space="preserve"> </w:t>
      </w:r>
      <w:r w:rsidR="00F64806">
        <w:t>of $</w:t>
      </w:r>
      <w:r w:rsidR="00E34613">
        <w:t>4.8</w:t>
      </w:r>
      <w:r w:rsidR="00C419AE">
        <w:t xml:space="preserve"> </w:t>
      </w:r>
      <w:r w:rsidR="00F64806">
        <w:t>million ($2018). In calculating this amount, we have accepted the proposed volume of installations in Jemena's application, which total 2</w:t>
      </w:r>
      <w:r w:rsidR="00116666">
        <w:t xml:space="preserve"> </w:t>
      </w:r>
      <w:r w:rsidR="00F64806">
        <w:t>672 in 2014 and 1 103 in 2015.</w:t>
      </w:r>
      <w:r w:rsidR="004B5BB5">
        <w:t xml:space="preserve"> This is in recognition that government policy and market conditions did lead to Jemena having to install meters in 2014 and 2015. </w:t>
      </w:r>
      <w:r w:rsidR="00116666">
        <w:t>However, w</w:t>
      </w:r>
      <w:r w:rsidR="00112031">
        <w:t xml:space="preserve">e have not </w:t>
      </w:r>
      <w:r w:rsidR="00104772">
        <w:t xml:space="preserve">accepted </w:t>
      </w:r>
      <w:r w:rsidR="00112031">
        <w:t>the unit rates Jemena inclu</w:t>
      </w:r>
      <w:r w:rsidR="00CD19A9">
        <w:t>ded in its application. In its</w:t>
      </w:r>
      <w:r w:rsidR="00112031">
        <w:t xml:space="preserve"> place, we used United Energy's installation unit rates. By doing this, we consider the excess expenditure to </w:t>
      </w:r>
      <w:r w:rsidR="00411506">
        <w:t xml:space="preserve">reasonably </w:t>
      </w:r>
      <w:r w:rsidR="00112031">
        <w:t>reflect, as required</w:t>
      </w:r>
      <w:r w:rsidR="00116666">
        <w:t xml:space="preserve"> under the Order</w:t>
      </w:r>
      <w:r w:rsidR="00112031">
        <w:t>, the efficient costs of a business providing AMI services.</w:t>
      </w:r>
      <w:r w:rsidR="00112031">
        <w:rPr>
          <w:rStyle w:val="FootnoteReference"/>
        </w:rPr>
        <w:footnoteReference w:id="98"/>
      </w:r>
      <w:r w:rsidR="00112031">
        <w:t xml:space="preserve"> </w:t>
      </w:r>
      <w:r w:rsidR="004B5BB5">
        <w:t xml:space="preserve"> </w:t>
      </w:r>
    </w:p>
    <w:p w:rsidR="000B1748" w:rsidRDefault="000B1748" w:rsidP="00E73088">
      <w:pPr>
        <w:pStyle w:val="HeadingBoldItalic"/>
      </w:pPr>
    </w:p>
    <w:p w:rsidR="000B1748" w:rsidRDefault="000B1748" w:rsidP="00E73088">
      <w:pPr>
        <w:pStyle w:val="HeadingBoldItalic"/>
      </w:pPr>
    </w:p>
    <w:p w:rsidR="00F64806" w:rsidRDefault="00E95059" w:rsidP="00E73088">
      <w:pPr>
        <w:pStyle w:val="HeadingBoldItalic"/>
      </w:pPr>
      <w:r>
        <w:t>Back office</w:t>
      </w:r>
      <w:r w:rsidR="00E73088">
        <w:t xml:space="preserve"> capex</w:t>
      </w:r>
    </w:p>
    <w:p w:rsidR="00E95059" w:rsidRDefault="00435914" w:rsidP="00E73088">
      <w:r>
        <w:t>We accept $1.2</w:t>
      </w:r>
      <w:r w:rsidR="00E95059">
        <w:t xml:space="preserve"> million ($2018) in excess capital expenditure for additional back office activities incurred in 2014. This is equal to about 45 percent of Jemena's proposed $2.4 million ($2018) excess expenditure for this cost category.</w:t>
      </w:r>
    </w:p>
    <w:p w:rsidR="00754AE3" w:rsidRDefault="00754AE3" w:rsidP="00E73088">
      <w:r w:rsidRPr="00754AE3">
        <w:t>The Victorian Government raised concerns about the extent of the customer service and project management office expenditure excess.</w:t>
      </w:r>
      <w:r>
        <w:rPr>
          <w:rStyle w:val="FootnoteReference"/>
        </w:rPr>
        <w:footnoteReference w:id="99"/>
      </w:r>
    </w:p>
    <w:p w:rsidR="00E73088" w:rsidRDefault="00E95059" w:rsidP="00E73088">
      <w:r>
        <w:t xml:space="preserve">Our draft decision accepts that Jemena would have incurred additional back office capex activities in 2014. However, we do not accept the unit costs making up those activities. Instead, we </w:t>
      </w:r>
      <w:r w:rsidR="00E33255">
        <w:t>have applied the unit</w:t>
      </w:r>
      <w:r>
        <w:t xml:space="preserve"> costs</w:t>
      </w:r>
      <w:r w:rsidR="00E33255">
        <w:t>, updated for labour costs escalation,</w:t>
      </w:r>
      <w:r>
        <w:t xml:space="preserve"> </w:t>
      </w:r>
      <w:r w:rsidR="00E33255">
        <w:t xml:space="preserve">we </w:t>
      </w:r>
      <w:r>
        <w:t xml:space="preserve">accepted for Jemena in our 2012–15 Approved Budget. </w:t>
      </w:r>
      <w:r w:rsidR="00E33255">
        <w:t>This is consistent with the advice we received from Energeia.</w:t>
      </w:r>
      <w:r w:rsidR="00AB69B9">
        <w:rPr>
          <w:rStyle w:val="FootnoteReference"/>
        </w:rPr>
        <w:footnoteReference w:id="100"/>
      </w:r>
    </w:p>
    <w:p w:rsidR="00E95059" w:rsidRDefault="00E95059" w:rsidP="00E73088">
      <w:r>
        <w:t>Applying our substitute unit costs to the volume of back office activities incurred in 2014 we calculated an ex</w:t>
      </w:r>
      <w:r w:rsidR="00435914">
        <w:t>cess capital expenditure of $1.2</w:t>
      </w:r>
      <w:r>
        <w:t xml:space="preserve"> million ($2018). We consider this a</w:t>
      </w:r>
      <w:r w:rsidR="00B0061D">
        <w:t xml:space="preserve">mount to reflect the costs of </w:t>
      </w:r>
      <w:r w:rsidR="00E33255">
        <w:t xml:space="preserve">a </w:t>
      </w:r>
      <w:r w:rsidR="00B0061D">
        <w:t>business providing AMI services, as required under the Order.</w:t>
      </w:r>
      <w:r w:rsidR="00B0061D">
        <w:rPr>
          <w:rStyle w:val="FootnoteReference"/>
        </w:rPr>
        <w:footnoteReference w:id="101"/>
      </w:r>
    </w:p>
    <w:p w:rsidR="00E95059" w:rsidRDefault="00B0061D" w:rsidP="00B0061D">
      <w:pPr>
        <w:pStyle w:val="Heading3"/>
      </w:pPr>
      <w:bookmarkStart w:id="114" w:name="_Toc461447522"/>
      <w:bookmarkStart w:id="115" w:name="_Toc461526283"/>
      <w:r>
        <w:t>Excess operating expenditure</w:t>
      </w:r>
      <w:bookmarkEnd w:id="114"/>
      <w:bookmarkEnd w:id="115"/>
    </w:p>
    <w:p w:rsidR="00B0061D" w:rsidRDefault="00435914" w:rsidP="00B0061D">
      <w:r>
        <w:t>We accept $0.3</w:t>
      </w:r>
      <w:r w:rsidR="00E33255">
        <w:t xml:space="preserve"> million ($2018) in excess operating expenditure for additional meter data activities incurred in 2014 and 2015. This is equal to about 16 percent of Jemena's proposed $2.5 million ($2018).</w:t>
      </w:r>
    </w:p>
    <w:p w:rsidR="00E33255" w:rsidRDefault="00E33255" w:rsidP="00B0061D">
      <w:r>
        <w:t>In its appl</w:t>
      </w:r>
      <w:r w:rsidR="003C1F1A">
        <w:t xml:space="preserve">ication, Jemena stated that the </w:t>
      </w:r>
      <w:r>
        <w:t xml:space="preserve">excess operating expenditure for </w:t>
      </w:r>
      <w:r w:rsidR="003C1F1A">
        <w:t>this category was</w:t>
      </w:r>
      <w:r>
        <w:t xml:space="preserve"> driven by:</w:t>
      </w:r>
    </w:p>
    <w:p w:rsidR="003C1F1A" w:rsidRDefault="003C1F1A" w:rsidP="003C1F1A">
      <w:pPr>
        <w:pStyle w:val="AERbulletlistfirststyle"/>
      </w:pPr>
      <w:r>
        <w:t>higher manual metering costs than forecast</w:t>
      </w:r>
    </w:p>
    <w:p w:rsidR="003C1F1A" w:rsidRDefault="003C1F1A" w:rsidP="003C1F1A">
      <w:pPr>
        <w:pStyle w:val="AERbulletlistfirststyle"/>
      </w:pPr>
      <w:r>
        <w:t>higher back office system operating costs for processing and handling of accumulation and manually read interval data.</w:t>
      </w:r>
      <w:r>
        <w:rPr>
          <w:rStyle w:val="FootnoteReference"/>
        </w:rPr>
        <w:footnoteReference w:id="102"/>
      </w:r>
    </w:p>
    <w:p w:rsidR="003C1F1A" w:rsidRDefault="003C1F1A" w:rsidP="003C1F1A">
      <w:pPr>
        <w:pStyle w:val="AERbulletlistfirststyle"/>
        <w:numPr>
          <w:ilvl w:val="0"/>
          <w:numId w:val="0"/>
        </w:numPr>
      </w:pPr>
      <w:r>
        <w:t>Energeia conducted a review of Jemena's meter data opex. It found that Jemena's opex for this category was the highest of all Victorian distributors and more than double United Energy</w:t>
      </w:r>
      <w:r w:rsidR="00541EE0">
        <w:t xml:space="preserve">'s </w:t>
      </w:r>
      <w:r w:rsidR="005D24A5">
        <w:t>expenditure</w:t>
      </w:r>
      <w:r w:rsidR="00541EE0">
        <w:t>, which Energeia identified as the efficient benchmark</w:t>
      </w:r>
      <w:r>
        <w:t>.</w:t>
      </w:r>
      <w:r w:rsidR="005D24A5">
        <w:t xml:space="preserve"> See section </w:t>
      </w:r>
      <w:r w:rsidR="00CB5763">
        <w:fldChar w:fldCharType="begin"/>
      </w:r>
      <w:r w:rsidR="00CB5763">
        <w:instrText xml:space="preserve"> REF _Ref460406127 \r \h </w:instrText>
      </w:r>
      <w:r w:rsidR="00CB5763">
        <w:fldChar w:fldCharType="separate"/>
      </w:r>
      <w:r w:rsidR="003C3A1D">
        <w:t>9</w:t>
      </w:r>
      <w:r w:rsidR="00CB5763">
        <w:fldChar w:fldCharType="end"/>
      </w:r>
      <w:r w:rsidR="005D24A5">
        <w:t xml:space="preserve"> of this draft decision for more information</w:t>
      </w:r>
      <w:r>
        <w:t>.</w:t>
      </w:r>
    </w:p>
    <w:p w:rsidR="003C1F1A" w:rsidRDefault="005D24A5" w:rsidP="003C1F1A">
      <w:pPr>
        <w:pStyle w:val="AERbulletlistfirststyle"/>
        <w:numPr>
          <w:ilvl w:val="0"/>
          <w:numId w:val="0"/>
        </w:numPr>
      </w:pPr>
      <w:r>
        <w:t xml:space="preserve">Given Energeia's benchmarking analysis, we do not consider Jemena's proposed excess operating expenditure for meter data to </w:t>
      </w:r>
      <w:r w:rsidR="00411506">
        <w:t xml:space="preserve">reasonably </w:t>
      </w:r>
      <w:r>
        <w:t>reflect, as required, the costs of an efficient business providing AMI services.</w:t>
      </w:r>
      <w:r>
        <w:rPr>
          <w:rStyle w:val="FootnoteReference"/>
        </w:rPr>
        <w:footnoteReference w:id="103"/>
      </w:r>
      <w:r w:rsidR="00435914">
        <w:t xml:space="preserve"> Our draft decision accepts $0.3</w:t>
      </w:r>
      <w:r>
        <w:t xml:space="preserve"> million ($2018) in excess expenditure</w:t>
      </w:r>
      <w:r w:rsidR="004800AC">
        <w:t xml:space="preserve"> for manual meter reading. Jemena had an obligation to continue to read meters for customers who had refused to provide access for installing a smart meters</w:t>
      </w:r>
      <w:r w:rsidR="00104772">
        <w:t>, but to do so efficiently</w:t>
      </w:r>
      <w:r w:rsidR="004800AC">
        <w:t xml:space="preserve">. This allowance covers the </w:t>
      </w:r>
      <w:r w:rsidR="00104772">
        <w:t xml:space="preserve">efficient </w:t>
      </w:r>
      <w:r w:rsidR="004800AC">
        <w:t xml:space="preserve">costs incurred by Jemena up until the separate manual meter charge was introduced in April 2015. This is consistent with the advice we received from Energeia </w:t>
      </w:r>
      <w:r>
        <w:t xml:space="preserve">based on an efficient unit cost and volume of installations. </w:t>
      </w:r>
      <w:r w:rsidR="00AB69B9">
        <w:rPr>
          <w:rStyle w:val="FootnoteReference"/>
        </w:rPr>
        <w:footnoteReference w:id="104"/>
      </w:r>
    </w:p>
    <w:p w:rsidR="00DF0917" w:rsidRDefault="00DF0917" w:rsidP="003C1F1A">
      <w:pPr>
        <w:pStyle w:val="AERbulletlistfirststyle"/>
        <w:numPr>
          <w:ilvl w:val="0"/>
          <w:numId w:val="0"/>
        </w:numPr>
      </w:pPr>
    </w:p>
    <w:p w:rsidR="00DF0917" w:rsidRDefault="00DF0917" w:rsidP="003C1F1A">
      <w:pPr>
        <w:pStyle w:val="AERbulletlistfirststyle"/>
        <w:numPr>
          <w:ilvl w:val="0"/>
          <w:numId w:val="0"/>
        </w:numPr>
      </w:pPr>
    </w:p>
    <w:p w:rsidR="00DF0917" w:rsidRDefault="00DF0917" w:rsidP="003C1F1A">
      <w:pPr>
        <w:pStyle w:val="AERbulletlistfirststyle"/>
        <w:numPr>
          <w:ilvl w:val="0"/>
          <w:numId w:val="0"/>
        </w:numPr>
      </w:pPr>
    </w:p>
    <w:p w:rsidR="005D24A5" w:rsidRDefault="005D24A5" w:rsidP="003C1F1A">
      <w:pPr>
        <w:pStyle w:val="AERbulletlistfirststyle"/>
        <w:numPr>
          <w:ilvl w:val="0"/>
          <w:numId w:val="0"/>
        </w:numPr>
      </w:pPr>
    </w:p>
    <w:p w:rsidR="00DF0917" w:rsidRDefault="00DF0917" w:rsidP="005C7BEC">
      <w:pPr>
        <w:pStyle w:val="Heading1"/>
      </w:pPr>
      <w:bookmarkStart w:id="116" w:name="_Ref461439155"/>
      <w:bookmarkStart w:id="117" w:name="_Toc461526284"/>
      <w:bookmarkStart w:id="118" w:name="_Ref459906096"/>
      <w:bookmarkStart w:id="119" w:name="_Ref459910694"/>
      <w:bookmarkStart w:id="120" w:name="_Ref459915200"/>
      <w:bookmarkStart w:id="121" w:name="_Ref459982053"/>
      <w:r>
        <w:t>CitiPower</w:t>
      </w:r>
      <w:bookmarkEnd w:id="116"/>
      <w:bookmarkEnd w:id="117"/>
    </w:p>
    <w:p w:rsidR="007362E1" w:rsidRDefault="000351C2" w:rsidP="0043014C">
      <w:bookmarkStart w:id="122" w:name="_Ref461439166"/>
      <w:r>
        <w:t xml:space="preserve">We </w:t>
      </w:r>
      <w:r w:rsidR="009D5E60">
        <w:t xml:space="preserve">do not </w:t>
      </w:r>
      <w:r w:rsidR="0043014C">
        <w:t>accept CitiPower's Transition Charge Application</w:t>
      </w:r>
      <w:r w:rsidR="007362E1">
        <w:t>.</w:t>
      </w:r>
      <w:r w:rsidR="00D33B63">
        <w:t xml:space="preserve"> </w:t>
      </w:r>
    </w:p>
    <w:p w:rsidR="0043014C" w:rsidRDefault="000351C2" w:rsidP="0043014C">
      <w:r w:rsidRPr="000351C2">
        <w:t>The only difference between CitiPower’s proposal and our draft decision is the year in which the charge will apply. CitiPower proposed that the charge should apply in 2017 but our draft decision is that this will ap</w:t>
      </w:r>
      <w:r w:rsidR="009D5E60">
        <w:t xml:space="preserve">ply in 2018. </w:t>
      </w:r>
      <w:r w:rsidR="0043014C">
        <w:t xml:space="preserve">  </w:t>
      </w:r>
    </w:p>
    <w:p w:rsidR="0043014C" w:rsidRDefault="0043014C" w:rsidP="0043014C">
      <w:pPr>
        <w:pStyle w:val="Heading2"/>
      </w:pPr>
      <w:bookmarkStart w:id="123" w:name="_Toc461526285"/>
      <w:r>
        <w:t>Draft decision</w:t>
      </w:r>
      <w:bookmarkEnd w:id="123"/>
    </w:p>
    <w:p w:rsidR="0043014C" w:rsidRDefault="0043014C" w:rsidP="0043014C">
      <w:r w:rsidRPr="00EA403A">
        <w:t>Our draft decision provides for a neg</w:t>
      </w:r>
      <w:r>
        <w:t>ative transition charge of $1.8</w:t>
      </w:r>
      <w:r w:rsidRPr="00EA403A">
        <w:t xml:space="preserve"> million ($2018). </w:t>
      </w:r>
    </w:p>
    <w:p w:rsidR="002E0D7B" w:rsidRDefault="002E0D7B" w:rsidP="0043014C">
      <w:r>
        <w:t>Unlike other applications we received,</w:t>
      </w:r>
      <w:r>
        <w:rPr>
          <w:rStyle w:val="FootnoteReference"/>
        </w:rPr>
        <w:footnoteReference w:id="105"/>
      </w:r>
      <w:r>
        <w:t xml:space="preserve"> CitiPower's proposed transition charge included both a revenue and cost true–up and a MAB adjustment. We have, however, not accepted the value of </w:t>
      </w:r>
      <w:r w:rsidR="00C91311">
        <w:t>the true–up</w:t>
      </w:r>
      <w:r>
        <w:t xml:space="preserve"> adjustments </w:t>
      </w:r>
      <w:r w:rsidR="00C91311">
        <w:t xml:space="preserve">which </w:t>
      </w:r>
      <w:r>
        <w:t xml:space="preserve">CitiPower included in its application. </w:t>
      </w:r>
    </w:p>
    <w:p w:rsidR="0043014C" w:rsidRDefault="0043014C" w:rsidP="0043014C">
      <w:r>
        <w:fldChar w:fldCharType="begin"/>
      </w:r>
      <w:r>
        <w:instrText xml:space="preserve"> REF _Ref461451984 \h </w:instrText>
      </w:r>
      <w:r>
        <w:fldChar w:fldCharType="separate"/>
      </w:r>
      <w:r w:rsidR="003C3A1D">
        <w:t xml:space="preserve">Figure </w:t>
      </w:r>
      <w:r w:rsidR="003C3A1D">
        <w:rPr>
          <w:noProof/>
        </w:rPr>
        <w:t>5</w:t>
      </w:r>
      <w:r w:rsidR="003C3A1D">
        <w:t>.</w:t>
      </w:r>
      <w:r w:rsidR="003C3A1D">
        <w:rPr>
          <w:noProof/>
        </w:rPr>
        <w:t>1</w:t>
      </w:r>
      <w:r>
        <w:fldChar w:fldCharType="end"/>
      </w:r>
      <w:r>
        <w:t xml:space="preserve"> sets out the components that make up our draft decision. It shows that our draft decision transition charge consists of a </w:t>
      </w:r>
      <w:r w:rsidR="002E0D7B">
        <w:t>negative</w:t>
      </w:r>
      <w:r>
        <w:t xml:space="preserve"> r</w:t>
      </w:r>
      <w:r w:rsidR="002E0D7B">
        <w:t>evenue and costs true–up of $0.6</w:t>
      </w:r>
      <w:r>
        <w:t xml:space="preserve"> million ($2018) </w:t>
      </w:r>
      <w:r w:rsidR="00F12969">
        <w:t>plus</w:t>
      </w:r>
      <w:r>
        <w:t xml:space="preserve"> a</w:t>
      </w:r>
      <w:r w:rsidR="002E0D7B">
        <w:t xml:space="preserve"> negative MAB adjustment of $1.2</w:t>
      </w:r>
      <w:r>
        <w:t xml:space="preserve"> million ($2018)</w:t>
      </w:r>
      <w:r w:rsidR="00F12969">
        <w:t xml:space="preserve"> giving a total transition charge of negative $1.8 million ($2018)</w:t>
      </w:r>
      <w:r>
        <w:t>.</w:t>
      </w:r>
    </w:p>
    <w:p w:rsidR="0043014C" w:rsidRDefault="0043014C" w:rsidP="0043014C">
      <w:pPr>
        <w:pStyle w:val="Caption"/>
      </w:pPr>
      <w:r>
        <w:t xml:space="preserve">Figure </w:t>
      </w:r>
      <w:r w:rsidRPr="009A23F2">
        <w:fldChar w:fldCharType="begin"/>
      </w:r>
      <w:r>
        <w:instrText xml:space="preserve"> STYLEREF 1 \s </w:instrText>
      </w:r>
      <w:r w:rsidRPr="009A23F2">
        <w:fldChar w:fldCharType="separate"/>
      </w:r>
      <w:r w:rsidR="003C3A1D">
        <w:rPr>
          <w:noProof/>
        </w:rPr>
        <w:t>7</w:t>
      </w:r>
      <w:r w:rsidRPr="009A23F2">
        <w:fldChar w:fldCharType="end"/>
      </w:r>
      <w:r>
        <w:t>.</w:t>
      </w:r>
      <w:fldSimple w:instr=" SEQ Figure \* ARABIC \s 1 ">
        <w:r w:rsidR="003C3A1D">
          <w:rPr>
            <w:noProof/>
          </w:rPr>
          <w:t>1</w:t>
        </w:r>
      </w:fldSimple>
      <w:r>
        <w:tab/>
        <w:t>Draft decision transition charge ($2018)</w:t>
      </w:r>
    </w:p>
    <w:p w:rsidR="0043014C" w:rsidRDefault="0043014C" w:rsidP="0043014C">
      <w:r w:rsidRPr="009A23F2">
        <w:rPr>
          <w:noProof/>
          <w:lang w:val="en-US"/>
        </w:rPr>
        <w:drawing>
          <wp:inline distT="0" distB="0" distL="0" distR="0" wp14:anchorId="4563B00D" wp14:editId="1C65C974">
            <wp:extent cx="5382883" cy="1319842"/>
            <wp:effectExtent l="0" t="0" r="889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3014C" w:rsidRDefault="0043014C" w:rsidP="0043014C">
      <w:pPr>
        <w:pStyle w:val="AERtablesource"/>
      </w:pPr>
      <w:r>
        <w:t>Source:</w:t>
      </w:r>
      <w:r>
        <w:tab/>
        <w:t>AER analysis.</w:t>
      </w:r>
    </w:p>
    <w:p w:rsidR="0043014C" w:rsidRDefault="0043014C" w:rsidP="0043014C">
      <w:pPr>
        <w:pStyle w:val="Heading3"/>
      </w:pPr>
      <w:bookmarkStart w:id="124" w:name="_Toc461526286"/>
      <w:r>
        <w:t>Revenue and costs true–up</w:t>
      </w:r>
      <w:bookmarkEnd w:id="124"/>
      <w:r w:rsidRPr="00EA403A">
        <w:t xml:space="preserve"> </w:t>
      </w:r>
    </w:p>
    <w:p w:rsidR="0043014C" w:rsidRDefault="0043014C" w:rsidP="0043014C">
      <w:r>
        <w:t xml:space="preserve">We have calculated a </w:t>
      </w:r>
      <w:r w:rsidR="00C91311">
        <w:t>negative</w:t>
      </w:r>
      <w:r>
        <w:t xml:space="preserve"> r</w:t>
      </w:r>
      <w:r w:rsidR="00C91311">
        <w:t>evenue and costs true–up of $0.6</w:t>
      </w:r>
      <w:r>
        <w:t xml:space="preserve"> million ($2018).</w:t>
      </w:r>
    </w:p>
    <w:p w:rsidR="0043014C" w:rsidRDefault="0043014C" w:rsidP="0043014C">
      <w:r>
        <w:t xml:space="preserve">With respect to the revenue and costs true–up of the transition charge, the </w:t>
      </w:r>
      <w:r w:rsidR="00C91311">
        <w:t>key</w:t>
      </w:r>
      <w:r>
        <w:t xml:space="preserve"> difference between our draft decision and </w:t>
      </w:r>
      <w:r w:rsidR="00C91311">
        <w:t>CitiPower's</w:t>
      </w:r>
      <w:r>
        <w:t xml:space="preserve"> proposal is the year in which we have determined the transition charge will apply. </w:t>
      </w:r>
      <w:r w:rsidR="00C91311">
        <w:t>CitiPower underspent its 2014 and 2015 budget and therefore did not apply to recover excess expenditure.</w:t>
      </w:r>
    </w:p>
    <w:p w:rsidR="0043014C" w:rsidRDefault="0043014C" w:rsidP="0043014C">
      <w:r>
        <w:t xml:space="preserve">In its application, </w:t>
      </w:r>
      <w:r w:rsidR="00C91311">
        <w:t>CitiPower</w:t>
      </w:r>
      <w:r>
        <w:t xml:space="preserve"> sought to apply the charge in 2017. For the reasons outlined in section </w:t>
      </w:r>
      <w:r>
        <w:fldChar w:fldCharType="begin"/>
      </w:r>
      <w:r>
        <w:instrText xml:space="preserve"> REF _Ref461452768 \r \h </w:instrText>
      </w:r>
      <w:r>
        <w:fldChar w:fldCharType="separate"/>
      </w:r>
      <w:r w:rsidR="003C3A1D">
        <w:t>1</w:t>
      </w:r>
      <w:r>
        <w:fldChar w:fldCharType="end"/>
      </w:r>
      <w:r>
        <w:t xml:space="preserve"> above, our draft decision is to apply the true–up in the 2018 year of the 2016–20</w:t>
      </w:r>
      <w:r w:rsidR="00C752D5">
        <w:t>20</w:t>
      </w:r>
      <w:r>
        <w:t xml:space="preserve"> regulatory control period. </w:t>
      </w:r>
      <w:r w:rsidR="00D86B27">
        <w:t xml:space="preserve">This is the only difference between CitiPower's proposal and this draft decision. </w:t>
      </w:r>
      <w:r>
        <w:t xml:space="preserve">To do this, we have adjusted for the time value of money. </w:t>
      </w:r>
      <w:r w:rsidR="00C91311">
        <w:t xml:space="preserve">Each of the steps we </w:t>
      </w:r>
      <w:r>
        <w:t xml:space="preserve">followed </w:t>
      </w:r>
      <w:r w:rsidR="00C91311">
        <w:t>in calculating CitiPower's transition charge are</w:t>
      </w:r>
      <w:r>
        <w:t xml:space="preserve"> outlined below.</w:t>
      </w:r>
    </w:p>
    <w:p w:rsidR="0043014C" w:rsidRPr="00C752D5" w:rsidRDefault="0043014C" w:rsidP="00C752D5">
      <w:pPr>
        <w:pStyle w:val="HeadingBoldItalic"/>
        <w:rPr>
          <w:rStyle w:val="Strong"/>
          <w:b/>
          <w:bCs/>
        </w:rPr>
      </w:pPr>
      <w:r w:rsidRPr="00C752D5">
        <w:rPr>
          <w:rStyle w:val="Strong"/>
          <w:b/>
          <w:bCs/>
        </w:rPr>
        <w:t>Step one</w:t>
      </w:r>
    </w:p>
    <w:p w:rsidR="0043014C" w:rsidRDefault="0043014C" w:rsidP="0043014C">
      <w:r>
        <w:t xml:space="preserve">The first step we took in calculating </w:t>
      </w:r>
      <w:r w:rsidR="00C91311">
        <w:t>CitiPower's</w:t>
      </w:r>
      <w:r>
        <w:t xml:space="preserve"> revenue and costs true–up was to verify the distributor's </w:t>
      </w:r>
      <w:r w:rsidR="00C96B25">
        <w:t xml:space="preserve">actual </w:t>
      </w:r>
      <w:r>
        <w:t xml:space="preserve">AMI revenue </w:t>
      </w:r>
      <w:r w:rsidR="00C96B25">
        <w:t xml:space="preserve">recovered from its customers </w:t>
      </w:r>
      <w:r>
        <w:t xml:space="preserve">over the 2009–15 period. </w:t>
      </w:r>
    </w:p>
    <w:p w:rsidR="0043014C" w:rsidRPr="006715B3" w:rsidRDefault="00C91311" w:rsidP="0043014C">
      <w:r>
        <w:fldChar w:fldCharType="begin"/>
      </w:r>
      <w:r>
        <w:instrText xml:space="preserve"> REF _Ref461467917 \h </w:instrText>
      </w:r>
      <w:r>
        <w:fldChar w:fldCharType="separate"/>
      </w:r>
      <w:r w:rsidR="003C3A1D">
        <w:t xml:space="preserve">Table </w:t>
      </w:r>
      <w:r w:rsidR="003C3A1D">
        <w:rPr>
          <w:noProof/>
        </w:rPr>
        <w:t>7</w:t>
      </w:r>
      <w:r w:rsidR="003C3A1D">
        <w:t>.</w:t>
      </w:r>
      <w:r w:rsidR="003C3A1D">
        <w:rPr>
          <w:noProof/>
        </w:rPr>
        <w:t>1</w:t>
      </w:r>
      <w:r>
        <w:fldChar w:fldCharType="end"/>
      </w:r>
      <w:r>
        <w:t xml:space="preserve"> </w:t>
      </w:r>
      <w:r w:rsidR="0043014C">
        <w:t xml:space="preserve">sets out </w:t>
      </w:r>
      <w:r>
        <w:t>CitiPower's</w:t>
      </w:r>
      <w:r w:rsidR="0043014C">
        <w:t xml:space="preserve"> AMI tariff revenue which we have verified against audited regulatory information notices.</w:t>
      </w:r>
    </w:p>
    <w:p w:rsidR="0043014C" w:rsidRDefault="0043014C" w:rsidP="0043014C">
      <w:pPr>
        <w:pStyle w:val="Caption"/>
      </w:pPr>
      <w:bookmarkStart w:id="125" w:name="_Ref461467917"/>
      <w:r>
        <w:t xml:space="preserve">Table </w:t>
      </w:r>
      <w:r w:rsidRPr="009A23F2">
        <w:fldChar w:fldCharType="begin"/>
      </w:r>
      <w:r>
        <w:instrText xml:space="preserve"> STYLEREF 1 \s </w:instrText>
      </w:r>
      <w:r w:rsidRPr="009A23F2">
        <w:fldChar w:fldCharType="separate"/>
      </w:r>
      <w:r w:rsidR="003C3A1D">
        <w:rPr>
          <w:noProof/>
        </w:rPr>
        <w:t>7</w:t>
      </w:r>
      <w:r w:rsidRPr="009A23F2">
        <w:fldChar w:fldCharType="end"/>
      </w:r>
      <w:r>
        <w:t>.</w:t>
      </w:r>
      <w:fldSimple w:instr=" SEQ Table \* ARABIC \s 1 ">
        <w:r w:rsidR="003C3A1D">
          <w:rPr>
            <w:noProof/>
          </w:rPr>
          <w:t>1</w:t>
        </w:r>
      </w:fldSimple>
      <w:bookmarkEnd w:id="125"/>
      <w:r>
        <w:tab/>
        <w:t>AMI tariff revenue ($m, NPV 2009)</w:t>
      </w:r>
    </w:p>
    <w:tbl>
      <w:tblPr>
        <w:tblStyle w:val="AERtable-numbers"/>
        <w:tblW w:w="0" w:type="auto"/>
        <w:tblLook w:val="04A0" w:firstRow="1" w:lastRow="0" w:firstColumn="1" w:lastColumn="0" w:noHBand="0" w:noVBand="1"/>
      </w:tblPr>
      <w:tblGrid>
        <w:gridCol w:w="1066"/>
        <w:gridCol w:w="962"/>
        <w:gridCol w:w="964"/>
        <w:gridCol w:w="964"/>
        <w:gridCol w:w="964"/>
        <w:gridCol w:w="999"/>
        <w:gridCol w:w="999"/>
        <w:gridCol w:w="930"/>
        <w:gridCol w:w="845"/>
      </w:tblGrid>
      <w:tr w:rsidR="0043014C" w:rsidTr="00430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rsidR="0043014C" w:rsidRDefault="0043014C" w:rsidP="0043014C"/>
        </w:tc>
        <w:tc>
          <w:tcPr>
            <w:tcW w:w="962"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2009</w:t>
            </w:r>
          </w:p>
        </w:tc>
        <w:tc>
          <w:tcPr>
            <w:tcW w:w="964"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2010</w:t>
            </w:r>
          </w:p>
        </w:tc>
        <w:tc>
          <w:tcPr>
            <w:tcW w:w="964"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2011</w:t>
            </w:r>
          </w:p>
        </w:tc>
        <w:tc>
          <w:tcPr>
            <w:tcW w:w="964"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2012</w:t>
            </w:r>
          </w:p>
        </w:tc>
        <w:tc>
          <w:tcPr>
            <w:tcW w:w="999"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2013</w:t>
            </w:r>
          </w:p>
        </w:tc>
        <w:tc>
          <w:tcPr>
            <w:tcW w:w="999"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2014</w:t>
            </w:r>
          </w:p>
        </w:tc>
        <w:tc>
          <w:tcPr>
            <w:tcW w:w="930"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2015</w:t>
            </w:r>
          </w:p>
        </w:tc>
        <w:tc>
          <w:tcPr>
            <w:tcW w:w="845"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Total</w:t>
            </w:r>
          </w:p>
        </w:tc>
      </w:tr>
      <w:tr w:rsidR="0043014C" w:rsidTr="0043014C">
        <w:tc>
          <w:tcPr>
            <w:cnfStyle w:val="001000000000" w:firstRow="0" w:lastRow="0" w:firstColumn="1" w:lastColumn="0" w:oddVBand="0" w:evenVBand="0" w:oddHBand="0" w:evenHBand="0" w:firstRowFirstColumn="0" w:firstRowLastColumn="0" w:lastRowFirstColumn="0" w:lastRowLastColumn="0"/>
            <w:tcW w:w="1066" w:type="dxa"/>
          </w:tcPr>
          <w:p w:rsidR="0043014C" w:rsidRDefault="0043014C" w:rsidP="0043014C">
            <w:r>
              <w:t>Tariff revenue</w:t>
            </w:r>
          </w:p>
        </w:tc>
        <w:tc>
          <w:tcPr>
            <w:tcW w:w="962"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11.7</w:t>
            </w:r>
          </w:p>
        </w:tc>
        <w:tc>
          <w:tcPr>
            <w:tcW w:w="964"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28.9</w:t>
            </w:r>
          </w:p>
        </w:tc>
        <w:tc>
          <w:tcPr>
            <w:tcW w:w="964"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23.5</w:t>
            </w:r>
          </w:p>
        </w:tc>
        <w:tc>
          <w:tcPr>
            <w:tcW w:w="964"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23.4</w:t>
            </w:r>
          </w:p>
        </w:tc>
        <w:tc>
          <w:tcPr>
            <w:tcW w:w="999"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28.1</w:t>
            </w:r>
          </w:p>
        </w:tc>
        <w:tc>
          <w:tcPr>
            <w:tcW w:w="999"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24.2</w:t>
            </w:r>
          </w:p>
        </w:tc>
        <w:tc>
          <w:tcPr>
            <w:tcW w:w="930"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20.9</w:t>
            </w:r>
          </w:p>
        </w:tc>
        <w:tc>
          <w:tcPr>
            <w:tcW w:w="845"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160.5</w:t>
            </w:r>
          </w:p>
        </w:tc>
      </w:tr>
    </w:tbl>
    <w:p w:rsidR="0043014C" w:rsidRDefault="0043014C" w:rsidP="0043014C">
      <w:pPr>
        <w:pStyle w:val="AERtablesource"/>
      </w:pPr>
      <w:r>
        <w:t>Source:</w:t>
      </w:r>
      <w:r>
        <w:tab/>
      </w:r>
      <w:r w:rsidR="00C91311">
        <w:t>CitiPower</w:t>
      </w:r>
      <w:r>
        <w:t>, 2009–15 Regulatory Information Notices</w:t>
      </w:r>
      <w:r w:rsidR="009D5E60">
        <w:t>.</w:t>
      </w:r>
    </w:p>
    <w:p w:rsidR="0043014C" w:rsidRPr="004A3CA1" w:rsidRDefault="0043014C" w:rsidP="0043014C">
      <w:pPr>
        <w:pStyle w:val="HeadingBoldItalic"/>
      </w:pPr>
      <w:r w:rsidRPr="004A3CA1">
        <w:t>Step two</w:t>
      </w:r>
    </w:p>
    <w:p w:rsidR="0043014C" w:rsidRDefault="0043014C" w:rsidP="0043014C">
      <w:r>
        <w:t xml:space="preserve">The next step we took was to calculate </w:t>
      </w:r>
      <w:r w:rsidR="00C91311">
        <w:t>CitiPower's</w:t>
      </w:r>
      <w:r>
        <w:t xml:space="preserve"> approved building block costs</w:t>
      </w:r>
      <w:r w:rsidR="00C96B25">
        <w:t xml:space="preserve"> or approved budget costs</w:t>
      </w:r>
      <w:r>
        <w:t xml:space="preserve">. </w:t>
      </w:r>
      <w:r w:rsidR="00C91311">
        <w:t>Since CitiPower underspent its budget, this process did not require us to consider any 2014 and 2015 excess expenditure.</w:t>
      </w:r>
    </w:p>
    <w:p w:rsidR="0043014C" w:rsidRDefault="0043014C" w:rsidP="0043014C">
      <w:pPr>
        <w:pStyle w:val="Caption"/>
      </w:pPr>
      <w:r>
        <w:t xml:space="preserve">Table </w:t>
      </w:r>
      <w:r w:rsidRPr="009A23F2">
        <w:fldChar w:fldCharType="begin"/>
      </w:r>
      <w:r>
        <w:instrText xml:space="preserve"> STYLEREF 1 \s </w:instrText>
      </w:r>
      <w:r w:rsidRPr="009A23F2">
        <w:fldChar w:fldCharType="separate"/>
      </w:r>
      <w:r w:rsidR="003C3A1D">
        <w:rPr>
          <w:noProof/>
        </w:rPr>
        <w:t>7</w:t>
      </w:r>
      <w:r w:rsidRPr="009A23F2">
        <w:fldChar w:fldCharType="end"/>
      </w:r>
      <w:r>
        <w:t>.</w:t>
      </w:r>
      <w:fldSimple w:instr=" SEQ Table \* ARABIC \s 1 ">
        <w:r w:rsidR="003C3A1D">
          <w:rPr>
            <w:noProof/>
          </w:rPr>
          <w:t>2</w:t>
        </w:r>
      </w:fldSimple>
      <w:r>
        <w:tab/>
        <w:t xml:space="preserve">Approved recoverable costs ($m, NPV 2009) </w:t>
      </w:r>
    </w:p>
    <w:tbl>
      <w:tblPr>
        <w:tblStyle w:val="AERtable-numbers"/>
        <w:tblW w:w="0" w:type="auto"/>
        <w:tblLook w:val="04A0" w:firstRow="1" w:lastRow="0" w:firstColumn="1" w:lastColumn="0" w:noHBand="0" w:noVBand="1"/>
      </w:tblPr>
      <w:tblGrid>
        <w:gridCol w:w="1071"/>
        <w:gridCol w:w="962"/>
        <w:gridCol w:w="963"/>
        <w:gridCol w:w="963"/>
        <w:gridCol w:w="963"/>
        <w:gridCol w:w="998"/>
        <w:gridCol w:w="998"/>
        <w:gridCol w:w="930"/>
        <w:gridCol w:w="845"/>
      </w:tblGrid>
      <w:tr w:rsidR="0043014C" w:rsidTr="00430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43014C" w:rsidRPr="008F441F" w:rsidRDefault="0043014C" w:rsidP="0043014C"/>
        </w:tc>
        <w:tc>
          <w:tcPr>
            <w:tcW w:w="962" w:type="dxa"/>
          </w:tcPr>
          <w:p w:rsidR="0043014C" w:rsidRPr="008F441F" w:rsidRDefault="0043014C" w:rsidP="0043014C">
            <w:pPr>
              <w:cnfStyle w:val="100000000000" w:firstRow="1" w:lastRow="0" w:firstColumn="0" w:lastColumn="0" w:oddVBand="0" w:evenVBand="0" w:oddHBand="0" w:evenHBand="0" w:firstRowFirstColumn="0" w:firstRowLastColumn="0" w:lastRowFirstColumn="0" w:lastRowLastColumn="0"/>
            </w:pPr>
            <w:r w:rsidRPr="008F441F">
              <w:t>2009</w:t>
            </w:r>
          </w:p>
        </w:tc>
        <w:tc>
          <w:tcPr>
            <w:tcW w:w="963" w:type="dxa"/>
          </w:tcPr>
          <w:p w:rsidR="0043014C" w:rsidRPr="008F441F" w:rsidRDefault="0043014C" w:rsidP="0043014C">
            <w:pPr>
              <w:cnfStyle w:val="100000000000" w:firstRow="1" w:lastRow="0" w:firstColumn="0" w:lastColumn="0" w:oddVBand="0" w:evenVBand="0" w:oddHBand="0" w:evenHBand="0" w:firstRowFirstColumn="0" w:firstRowLastColumn="0" w:lastRowFirstColumn="0" w:lastRowLastColumn="0"/>
            </w:pPr>
            <w:r w:rsidRPr="008F441F">
              <w:t>2010</w:t>
            </w:r>
          </w:p>
        </w:tc>
        <w:tc>
          <w:tcPr>
            <w:tcW w:w="963" w:type="dxa"/>
          </w:tcPr>
          <w:p w:rsidR="0043014C" w:rsidRPr="008F441F" w:rsidRDefault="0043014C" w:rsidP="0043014C">
            <w:pPr>
              <w:cnfStyle w:val="100000000000" w:firstRow="1" w:lastRow="0" w:firstColumn="0" w:lastColumn="0" w:oddVBand="0" w:evenVBand="0" w:oddHBand="0" w:evenHBand="0" w:firstRowFirstColumn="0" w:firstRowLastColumn="0" w:lastRowFirstColumn="0" w:lastRowLastColumn="0"/>
            </w:pPr>
            <w:r w:rsidRPr="008F441F">
              <w:t>2011</w:t>
            </w:r>
          </w:p>
        </w:tc>
        <w:tc>
          <w:tcPr>
            <w:tcW w:w="963" w:type="dxa"/>
          </w:tcPr>
          <w:p w:rsidR="0043014C" w:rsidRPr="008F441F" w:rsidRDefault="0043014C" w:rsidP="0043014C">
            <w:pPr>
              <w:cnfStyle w:val="100000000000" w:firstRow="1" w:lastRow="0" w:firstColumn="0" w:lastColumn="0" w:oddVBand="0" w:evenVBand="0" w:oddHBand="0" w:evenHBand="0" w:firstRowFirstColumn="0" w:firstRowLastColumn="0" w:lastRowFirstColumn="0" w:lastRowLastColumn="0"/>
            </w:pPr>
            <w:r w:rsidRPr="008F441F">
              <w:t>2012</w:t>
            </w:r>
          </w:p>
        </w:tc>
        <w:tc>
          <w:tcPr>
            <w:tcW w:w="998" w:type="dxa"/>
          </w:tcPr>
          <w:p w:rsidR="0043014C" w:rsidRPr="008F441F" w:rsidRDefault="0043014C" w:rsidP="0043014C">
            <w:pPr>
              <w:cnfStyle w:val="100000000000" w:firstRow="1" w:lastRow="0" w:firstColumn="0" w:lastColumn="0" w:oddVBand="0" w:evenVBand="0" w:oddHBand="0" w:evenHBand="0" w:firstRowFirstColumn="0" w:firstRowLastColumn="0" w:lastRowFirstColumn="0" w:lastRowLastColumn="0"/>
            </w:pPr>
            <w:r w:rsidRPr="008F441F">
              <w:t>2013</w:t>
            </w:r>
          </w:p>
        </w:tc>
        <w:tc>
          <w:tcPr>
            <w:tcW w:w="998" w:type="dxa"/>
          </w:tcPr>
          <w:p w:rsidR="0043014C" w:rsidRPr="008F441F" w:rsidRDefault="0043014C" w:rsidP="0043014C">
            <w:pPr>
              <w:cnfStyle w:val="100000000000" w:firstRow="1" w:lastRow="0" w:firstColumn="0" w:lastColumn="0" w:oddVBand="0" w:evenVBand="0" w:oddHBand="0" w:evenHBand="0" w:firstRowFirstColumn="0" w:firstRowLastColumn="0" w:lastRowFirstColumn="0" w:lastRowLastColumn="0"/>
            </w:pPr>
            <w:r w:rsidRPr="008F441F">
              <w:t>2014</w:t>
            </w:r>
          </w:p>
        </w:tc>
        <w:tc>
          <w:tcPr>
            <w:tcW w:w="930" w:type="dxa"/>
          </w:tcPr>
          <w:p w:rsidR="0043014C" w:rsidRPr="008F441F" w:rsidRDefault="0043014C" w:rsidP="0043014C">
            <w:pPr>
              <w:cnfStyle w:val="100000000000" w:firstRow="1" w:lastRow="0" w:firstColumn="0" w:lastColumn="0" w:oddVBand="0" w:evenVBand="0" w:oddHBand="0" w:evenHBand="0" w:firstRowFirstColumn="0" w:firstRowLastColumn="0" w:lastRowFirstColumn="0" w:lastRowLastColumn="0"/>
            </w:pPr>
            <w:r w:rsidRPr="008F441F">
              <w:t>2015</w:t>
            </w:r>
          </w:p>
        </w:tc>
        <w:tc>
          <w:tcPr>
            <w:tcW w:w="845" w:type="dxa"/>
          </w:tcPr>
          <w:p w:rsidR="0043014C" w:rsidRPr="008F441F" w:rsidRDefault="0043014C" w:rsidP="0043014C">
            <w:pPr>
              <w:cnfStyle w:val="100000000000" w:firstRow="1" w:lastRow="0" w:firstColumn="0" w:lastColumn="0" w:oddVBand="0" w:evenVBand="0" w:oddHBand="0" w:evenHBand="0" w:firstRowFirstColumn="0" w:firstRowLastColumn="0" w:lastRowFirstColumn="0" w:lastRowLastColumn="0"/>
            </w:pPr>
            <w:r w:rsidRPr="008F441F">
              <w:t>Total</w:t>
            </w:r>
          </w:p>
        </w:tc>
      </w:tr>
      <w:tr w:rsidR="0043014C" w:rsidTr="0043014C">
        <w:tc>
          <w:tcPr>
            <w:cnfStyle w:val="001000000000" w:firstRow="0" w:lastRow="0" w:firstColumn="1" w:lastColumn="0" w:oddVBand="0" w:evenVBand="0" w:oddHBand="0" w:evenHBand="0" w:firstRowFirstColumn="0" w:firstRowLastColumn="0" w:lastRowFirstColumn="0" w:lastRowLastColumn="0"/>
            <w:tcW w:w="1071" w:type="dxa"/>
          </w:tcPr>
          <w:p w:rsidR="0043014C" w:rsidRPr="0043014C" w:rsidRDefault="00C91311" w:rsidP="0043014C">
            <w:r>
              <w:t>CitiPower's</w:t>
            </w:r>
            <w:r w:rsidR="0043014C" w:rsidRPr="0043014C">
              <w:t xml:space="preserve"> proposal </w:t>
            </w:r>
          </w:p>
        </w:tc>
        <w:tc>
          <w:tcPr>
            <w:tcW w:w="962"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24.8</w:t>
            </w:r>
          </w:p>
        </w:tc>
        <w:tc>
          <w:tcPr>
            <w:tcW w:w="963"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18.5</w:t>
            </w:r>
          </w:p>
        </w:tc>
        <w:tc>
          <w:tcPr>
            <w:tcW w:w="963"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25.2</w:t>
            </w:r>
          </w:p>
        </w:tc>
        <w:tc>
          <w:tcPr>
            <w:tcW w:w="963"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26.0</w:t>
            </w:r>
          </w:p>
        </w:tc>
        <w:tc>
          <w:tcPr>
            <w:tcW w:w="998"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26.0</w:t>
            </w:r>
          </w:p>
        </w:tc>
        <w:tc>
          <w:tcPr>
            <w:tcW w:w="998"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21.5</w:t>
            </w:r>
          </w:p>
        </w:tc>
        <w:tc>
          <w:tcPr>
            <w:tcW w:w="930"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18.2</w:t>
            </w:r>
          </w:p>
        </w:tc>
        <w:tc>
          <w:tcPr>
            <w:tcW w:w="845"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160.2</w:t>
            </w:r>
          </w:p>
        </w:tc>
      </w:tr>
      <w:tr w:rsidR="0043014C" w:rsidTr="00430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43014C" w:rsidRPr="0043014C" w:rsidRDefault="0043014C" w:rsidP="0043014C">
            <w:r w:rsidRPr="004B2781">
              <w:t xml:space="preserve">AER </w:t>
            </w:r>
            <w:r w:rsidRPr="0043014C">
              <w:t>draft decision</w:t>
            </w:r>
          </w:p>
        </w:tc>
        <w:tc>
          <w:tcPr>
            <w:tcW w:w="962"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24.8</w:t>
            </w:r>
          </w:p>
        </w:tc>
        <w:tc>
          <w:tcPr>
            <w:tcW w:w="963"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18.5</w:t>
            </w:r>
          </w:p>
        </w:tc>
        <w:tc>
          <w:tcPr>
            <w:tcW w:w="963"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25.2</w:t>
            </w:r>
          </w:p>
        </w:tc>
        <w:tc>
          <w:tcPr>
            <w:tcW w:w="963"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26.0</w:t>
            </w:r>
          </w:p>
        </w:tc>
        <w:tc>
          <w:tcPr>
            <w:tcW w:w="998"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26.0</w:t>
            </w:r>
          </w:p>
        </w:tc>
        <w:tc>
          <w:tcPr>
            <w:tcW w:w="998"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21.5</w:t>
            </w:r>
          </w:p>
        </w:tc>
        <w:tc>
          <w:tcPr>
            <w:tcW w:w="930"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18.2</w:t>
            </w:r>
          </w:p>
        </w:tc>
        <w:tc>
          <w:tcPr>
            <w:tcW w:w="845"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160.2</w:t>
            </w:r>
          </w:p>
        </w:tc>
      </w:tr>
      <w:tr w:rsidR="0043014C" w:rsidTr="0043014C">
        <w:tc>
          <w:tcPr>
            <w:cnfStyle w:val="001000000000" w:firstRow="0" w:lastRow="0" w:firstColumn="1" w:lastColumn="0" w:oddVBand="0" w:evenVBand="0" w:oddHBand="0" w:evenHBand="0" w:firstRowFirstColumn="0" w:firstRowLastColumn="0" w:lastRowFirstColumn="0" w:lastRowLastColumn="0"/>
            <w:tcW w:w="1071" w:type="dxa"/>
          </w:tcPr>
          <w:p w:rsidR="0043014C" w:rsidRPr="0043014C" w:rsidRDefault="0043014C" w:rsidP="0043014C">
            <w:r>
              <w:t>Difference</w:t>
            </w:r>
          </w:p>
        </w:tc>
        <w:tc>
          <w:tcPr>
            <w:tcW w:w="962" w:type="dxa"/>
          </w:tcPr>
          <w:p w:rsidR="0043014C" w:rsidRPr="009A23F2" w:rsidRDefault="0043014C" w:rsidP="0043014C">
            <w:pPr>
              <w:cnfStyle w:val="000000000000" w:firstRow="0" w:lastRow="0" w:firstColumn="0" w:lastColumn="0" w:oddVBand="0" w:evenVBand="0" w:oddHBand="0" w:evenHBand="0" w:firstRowFirstColumn="0" w:firstRowLastColumn="0" w:lastRowFirstColumn="0" w:lastRowLastColumn="0"/>
            </w:pPr>
          </w:p>
        </w:tc>
        <w:tc>
          <w:tcPr>
            <w:tcW w:w="963" w:type="dxa"/>
          </w:tcPr>
          <w:p w:rsidR="0043014C" w:rsidRPr="009A23F2" w:rsidRDefault="0043014C" w:rsidP="0043014C">
            <w:pPr>
              <w:cnfStyle w:val="000000000000" w:firstRow="0" w:lastRow="0" w:firstColumn="0" w:lastColumn="0" w:oddVBand="0" w:evenVBand="0" w:oddHBand="0" w:evenHBand="0" w:firstRowFirstColumn="0" w:firstRowLastColumn="0" w:lastRowFirstColumn="0" w:lastRowLastColumn="0"/>
            </w:pPr>
          </w:p>
        </w:tc>
        <w:tc>
          <w:tcPr>
            <w:tcW w:w="963" w:type="dxa"/>
          </w:tcPr>
          <w:p w:rsidR="0043014C" w:rsidRPr="009A23F2" w:rsidRDefault="0043014C" w:rsidP="0043014C">
            <w:pPr>
              <w:cnfStyle w:val="000000000000" w:firstRow="0" w:lastRow="0" w:firstColumn="0" w:lastColumn="0" w:oddVBand="0" w:evenVBand="0" w:oddHBand="0" w:evenHBand="0" w:firstRowFirstColumn="0" w:firstRowLastColumn="0" w:lastRowFirstColumn="0" w:lastRowLastColumn="0"/>
            </w:pPr>
          </w:p>
        </w:tc>
        <w:tc>
          <w:tcPr>
            <w:tcW w:w="963" w:type="dxa"/>
          </w:tcPr>
          <w:p w:rsidR="0043014C" w:rsidRPr="009A23F2" w:rsidRDefault="0043014C" w:rsidP="0043014C">
            <w:pPr>
              <w:cnfStyle w:val="000000000000" w:firstRow="0" w:lastRow="0" w:firstColumn="0" w:lastColumn="0" w:oddVBand="0" w:evenVBand="0" w:oddHBand="0" w:evenHBand="0" w:firstRowFirstColumn="0" w:firstRowLastColumn="0" w:lastRowFirstColumn="0" w:lastRowLastColumn="0"/>
            </w:pPr>
          </w:p>
        </w:tc>
        <w:tc>
          <w:tcPr>
            <w:tcW w:w="998" w:type="dxa"/>
          </w:tcPr>
          <w:p w:rsidR="0043014C" w:rsidRPr="009A23F2" w:rsidRDefault="0043014C" w:rsidP="0043014C">
            <w:pPr>
              <w:cnfStyle w:val="000000000000" w:firstRow="0" w:lastRow="0" w:firstColumn="0" w:lastColumn="0" w:oddVBand="0" w:evenVBand="0" w:oddHBand="0" w:evenHBand="0" w:firstRowFirstColumn="0" w:firstRowLastColumn="0" w:lastRowFirstColumn="0" w:lastRowLastColumn="0"/>
            </w:pPr>
          </w:p>
        </w:tc>
        <w:tc>
          <w:tcPr>
            <w:tcW w:w="998" w:type="dxa"/>
          </w:tcPr>
          <w:p w:rsidR="0043014C" w:rsidRPr="0043014C" w:rsidRDefault="0043014C" w:rsidP="0043014C">
            <w:pPr>
              <w:cnfStyle w:val="000000000000" w:firstRow="0" w:lastRow="0" w:firstColumn="0" w:lastColumn="0" w:oddVBand="0" w:evenVBand="0" w:oddHBand="0" w:evenHBand="0" w:firstRowFirstColumn="0" w:firstRowLastColumn="0" w:lastRowFirstColumn="0" w:lastRowLastColumn="0"/>
            </w:pPr>
            <w:r>
              <w:t>0.0</w:t>
            </w:r>
          </w:p>
        </w:tc>
        <w:tc>
          <w:tcPr>
            <w:tcW w:w="930" w:type="dxa"/>
          </w:tcPr>
          <w:p w:rsidR="0043014C" w:rsidRPr="0043014C" w:rsidRDefault="0043014C" w:rsidP="0043014C">
            <w:pPr>
              <w:cnfStyle w:val="000000000000" w:firstRow="0" w:lastRow="0" w:firstColumn="0" w:lastColumn="0" w:oddVBand="0" w:evenVBand="0" w:oddHBand="0" w:evenHBand="0" w:firstRowFirstColumn="0" w:firstRowLastColumn="0" w:lastRowFirstColumn="0" w:lastRowLastColumn="0"/>
            </w:pPr>
            <w:r>
              <w:t>0.0</w:t>
            </w:r>
          </w:p>
        </w:tc>
        <w:tc>
          <w:tcPr>
            <w:tcW w:w="845" w:type="dxa"/>
          </w:tcPr>
          <w:p w:rsidR="0043014C" w:rsidRPr="0043014C" w:rsidRDefault="0043014C" w:rsidP="0043014C">
            <w:pPr>
              <w:cnfStyle w:val="000000000000" w:firstRow="0" w:lastRow="0" w:firstColumn="0" w:lastColumn="0" w:oddVBand="0" w:evenVBand="0" w:oddHBand="0" w:evenHBand="0" w:firstRowFirstColumn="0" w:firstRowLastColumn="0" w:lastRowFirstColumn="0" w:lastRowLastColumn="0"/>
            </w:pPr>
            <w:r>
              <w:t>0.0</w:t>
            </w:r>
          </w:p>
        </w:tc>
      </w:tr>
    </w:tbl>
    <w:p w:rsidR="0043014C" w:rsidRDefault="0043014C" w:rsidP="0043014C">
      <w:pPr>
        <w:pStyle w:val="AERtablesource"/>
      </w:pPr>
      <w:r>
        <w:t>Source:</w:t>
      </w:r>
      <w:r>
        <w:tab/>
        <w:t>AER analysis.</w:t>
      </w:r>
    </w:p>
    <w:p w:rsidR="0043014C" w:rsidRDefault="0043014C" w:rsidP="0043014C">
      <w:pPr>
        <w:pStyle w:val="HeadingBoldItalic"/>
      </w:pPr>
      <w:r>
        <w:t>Step three</w:t>
      </w:r>
    </w:p>
    <w:p w:rsidR="0043014C" w:rsidRPr="00FB73AA" w:rsidRDefault="0043014C" w:rsidP="0043014C">
      <w:r>
        <w:t xml:space="preserve">The third step we took was to calculate the difference between </w:t>
      </w:r>
      <w:r w:rsidR="00C91311">
        <w:t>CitiPower's</w:t>
      </w:r>
      <w:r>
        <w:t xml:space="preserve"> revenue and approved costs. </w:t>
      </w:r>
      <w:r w:rsidR="00C91311">
        <w:fldChar w:fldCharType="begin"/>
      </w:r>
      <w:r w:rsidR="00C91311">
        <w:instrText xml:space="preserve"> REF _Ref461468221 \h </w:instrText>
      </w:r>
      <w:r w:rsidR="00C91311">
        <w:fldChar w:fldCharType="separate"/>
      </w:r>
      <w:r w:rsidR="003C3A1D">
        <w:t xml:space="preserve">Table </w:t>
      </w:r>
      <w:r w:rsidR="003C3A1D">
        <w:rPr>
          <w:noProof/>
        </w:rPr>
        <w:t>7</w:t>
      </w:r>
      <w:r w:rsidR="003C3A1D">
        <w:t>.</w:t>
      </w:r>
      <w:r w:rsidR="003C3A1D">
        <w:rPr>
          <w:noProof/>
        </w:rPr>
        <w:t>3</w:t>
      </w:r>
      <w:r w:rsidR="00C91311">
        <w:fldChar w:fldCharType="end"/>
      </w:r>
      <w:r w:rsidR="00C91311">
        <w:t xml:space="preserve"> </w:t>
      </w:r>
      <w:r>
        <w:t xml:space="preserve">sets out this calculation in 2009 NPV terms. It shows that our draft decision is the same as </w:t>
      </w:r>
      <w:r w:rsidR="00C91311">
        <w:t>CitiPower's</w:t>
      </w:r>
      <w:r>
        <w:t xml:space="preserve"> proposed.</w:t>
      </w:r>
    </w:p>
    <w:p w:rsidR="0043014C" w:rsidRDefault="0043014C" w:rsidP="0043014C">
      <w:pPr>
        <w:pStyle w:val="Caption"/>
      </w:pPr>
      <w:bookmarkStart w:id="126" w:name="_Ref461468221"/>
      <w:r>
        <w:t xml:space="preserve">Table </w:t>
      </w:r>
      <w:r w:rsidRPr="009A23F2">
        <w:fldChar w:fldCharType="begin"/>
      </w:r>
      <w:r>
        <w:instrText xml:space="preserve"> STYLEREF 1 \s </w:instrText>
      </w:r>
      <w:r w:rsidRPr="009A23F2">
        <w:fldChar w:fldCharType="separate"/>
      </w:r>
      <w:r w:rsidR="003C3A1D">
        <w:rPr>
          <w:noProof/>
        </w:rPr>
        <w:t>7</w:t>
      </w:r>
      <w:r w:rsidRPr="009A23F2">
        <w:fldChar w:fldCharType="end"/>
      </w:r>
      <w:r>
        <w:t>.</w:t>
      </w:r>
      <w:fldSimple w:instr=" SEQ Table \* ARABIC \s 1 ">
        <w:r w:rsidR="003C3A1D">
          <w:rPr>
            <w:noProof/>
          </w:rPr>
          <w:t>3</w:t>
        </w:r>
      </w:fldSimple>
      <w:bookmarkEnd w:id="126"/>
      <w:r>
        <w:tab/>
        <w:t>Revenue and costs true–up ($m, NPV 2009)</w:t>
      </w:r>
    </w:p>
    <w:tbl>
      <w:tblPr>
        <w:tblStyle w:val="AERtable-numbers"/>
        <w:tblW w:w="0" w:type="auto"/>
        <w:tblLook w:val="04A0" w:firstRow="1" w:lastRow="0" w:firstColumn="1" w:lastColumn="0" w:noHBand="0" w:noVBand="1"/>
      </w:tblPr>
      <w:tblGrid>
        <w:gridCol w:w="2173"/>
        <w:gridCol w:w="2173"/>
        <w:gridCol w:w="2173"/>
        <w:gridCol w:w="2174"/>
      </w:tblGrid>
      <w:tr w:rsidR="0043014C" w:rsidTr="00430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43014C" w:rsidRDefault="0043014C" w:rsidP="0043014C"/>
        </w:tc>
        <w:tc>
          <w:tcPr>
            <w:tcW w:w="2173"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Revenue</w:t>
            </w:r>
          </w:p>
        </w:tc>
        <w:tc>
          <w:tcPr>
            <w:tcW w:w="2173"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Approved c</w:t>
            </w:r>
            <w:r w:rsidRPr="0043014C">
              <w:t>osts</w:t>
            </w:r>
          </w:p>
        </w:tc>
        <w:tc>
          <w:tcPr>
            <w:tcW w:w="2174"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T</w:t>
            </w:r>
            <w:r w:rsidRPr="0043014C">
              <w:t xml:space="preserve">rue-up </w:t>
            </w:r>
          </w:p>
        </w:tc>
      </w:tr>
      <w:tr w:rsidR="0043014C" w:rsidTr="0043014C">
        <w:tc>
          <w:tcPr>
            <w:cnfStyle w:val="001000000000" w:firstRow="0" w:lastRow="0" w:firstColumn="1" w:lastColumn="0" w:oddVBand="0" w:evenVBand="0" w:oddHBand="0" w:evenHBand="0" w:firstRowFirstColumn="0" w:firstRowLastColumn="0" w:lastRowFirstColumn="0" w:lastRowLastColumn="0"/>
            <w:tcW w:w="2173" w:type="dxa"/>
          </w:tcPr>
          <w:p w:rsidR="0043014C" w:rsidRPr="0043014C" w:rsidRDefault="00C91311" w:rsidP="0043014C">
            <w:r>
              <w:t>CitiPower's</w:t>
            </w:r>
            <w:r w:rsidR="0043014C" w:rsidRPr="0043014C">
              <w:t> proposal</w:t>
            </w:r>
          </w:p>
        </w:tc>
        <w:tc>
          <w:tcPr>
            <w:tcW w:w="2173"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160.5</w:t>
            </w:r>
          </w:p>
        </w:tc>
        <w:tc>
          <w:tcPr>
            <w:tcW w:w="2173"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160.2</w:t>
            </w:r>
          </w:p>
        </w:tc>
        <w:tc>
          <w:tcPr>
            <w:tcW w:w="2174" w:type="dxa"/>
          </w:tcPr>
          <w:p w:rsidR="0043014C" w:rsidRPr="0043014C" w:rsidRDefault="00C91311" w:rsidP="0043014C">
            <w:pPr>
              <w:cnfStyle w:val="000000000000" w:firstRow="0" w:lastRow="0" w:firstColumn="0" w:lastColumn="0" w:oddVBand="0" w:evenVBand="0" w:oddHBand="0" w:evenHBand="0" w:firstRowFirstColumn="0" w:firstRowLastColumn="0" w:lastRowFirstColumn="0" w:lastRowLastColumn="0"/>
            </w:pPr>
            <w:r>
              <w:t>(0.3)</w:t>
            </w:r>
          </w:p>
        </w:tc>
      </w:tr>
      <w:tr w:rsidR="0043014C" w:rsidTr="00430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43014C" w:rsidRPr="0043014C" w:rsidRDefault="0043014C" w:rsidP="0043014C">
            <w:r>
              <w:t>AER draft decision</w:t>
            </w:r>
          </w:p>
        </w:tc>
        <w:tc>
          <w:tcPr>
            <w:tcW w:w="2173"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160.5</w:t>
            </w:r>
          </w:p>
        </w:tc>
        <w:tc>
          <w:tcPr>
            <w:tcW w:w="2173"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160.2</w:t>
            </w:r>
          </w:p>
        </w:tc>
        <w:tc>
          <w:tcPr>
            <w:tcW w:w="2174" w:type="dxa"/>
          </w:tcPr>
          <w:p w:rsidR="0043014C" w:rsidRPr="0043014C" w:rsidRDefault="00C91311" w:rsidP="0043014C">
            <w:pPr>
              <w:cnfStyle w:val="000000010000" w:firstRow="0" w:lastRow="0" w:firstColumn="0" w:lastColumn="0" w:oddVBand="0" w:evenVBand="0" w:oddHBand="0" w:evenHBand="1" w:firstRowFirstColumn="0" w:firstRowLastColumn="0" w:lastRowFirstColumn="0" w:lastRowLastColumn="0"/>
            </w:pPr>
            <w:r>
              <w:t>(0.3)</w:t>
            </w:r>
          </w:p>
        </w:tc>
      </w:tr>
    </w:tbl>
    <w:p w:rsidR="0043014C" w:rsidRDefault="0043014C" w:rsidP="0043014C">
      <w:pPr>
        <w:pStyle w:val="AERtablesource"/>
      </w:pPr>
      <w:r>
        <w:t>Source:</w:t>
      </w:r>
      <w:r>
        <w:tab/>
        <w:t>AER analysis.</w:t>
      </w:r>
    </w:p>
    <w:p w:rsidR="0043014C" w:rsidRDefault="0043014C" w:rsidP="0043014C">
      <w:pPr>
        <w:pStyle w:val="HeadingBoldItalic"/>
      </w:pPr>
      <w:r>
        <w:t>Step four</w:t>
      </w:r>
    </w:p>
    <w:p w:rsidR="0043014C" w:rsidRDefault="0043014C" w:rsidP="0043014C">
      <w:r>
        <w:t>Our final step was to discount the true–up amount to its correct NPV.</w:t>
      </w:r>
    </w:p>
    <w:p w:rsidR="0043014C" w:rsidRPr="00991849" w:rsidRDefault="0043014C" w:rsidP="0043014C">
      <w:r>
        <w:t>We have decided in this draft decision to apply the transition charge in the 2018 year of the Victorian electricity distributor's 2016–20</w:t>
      </w:r>
      <w:r w:rsidR="00C752D5">
        <w:t>20</w:t>
      </w:r>
      <w:r>
        <w:t xml:space="preserve"> regulatory control period. We therefore discounted the amount we calculated in step three to its 2018 NPV.</w:t>
      </w:r>
      <w:r w:rsidR="008D0E3B">
        <w:rPr>
          <w:rStyle w:val="FootnoteReference"/>
        </w:rPr>
        <w:footnoteReference w:id="106"/>
      </w:r>
      <w:r>
        <w:t xml:space="preserve"> This amount is set out in</w:t>
      </w:r>
      <w:r w:rsidR="00C3016D">
        <w:t xml:space="preserve"> </w:t>
      </w:r>
      <w:r w:rsidR="00C3016D">
        <w:fldChar w:fldCharType="begin"/>
      </w:r>
      <w:r w:rsidR="00C3016D">
        <w:instrText xml:space="preserve"> REF _Ref461468355 \h </w:instrText>
      </w:r>
      <w:r w:rsidR="00C3016D">
        <w:fldChar w:fldCharType="separate"/>
      </w:r>
      <w:r w:rsidR="003C3A1D">
        <w:t xml:space="preserve">Table </w:t>
      </w:r>
      <w:r w:rsidR="003C3A1D">
        <w:rPr>
          <w:noProof/>
        </w:rPr>
        <w:t>7</w:t>
      </w:r>
      <w:r w:rsidR="003C3A1D">
        <w:t>.</w:t>
      </w:r>
      <w:r w:rsidR="003C3A1D">
        <w:rPr>
          <w:noProof/>
        </w:rPr>
        <w:t>4</w:t>
      </w:r>
      <w:r w:rsidR="00C3016D">
        <w:fldChar w:fldCharType="end"/>
      </w:r>
      <w:r>
        <w:t>.</w:t>
      </w:r>
    </w:p>
    <w:p w:rsidR="0043014C" w:rsidRDefault="0043014C" w:rsidP="0043014C">
      <w:pPr>
        <w:pStyle w:val="Caption"/>
      </w:pPr>
      <w:bookmarkStart w:id="127" w:name="_Ref461468355"/>
      <w:r>
        <w:t xml:space="preserve">Table </w:t>
      </w:r>
      <w:r w:rsidRPr="009A23F2">
        <w:fldChar w:fldCharType="begin"/>
      </w:r>
      <w:r>
        <w:instrText xml:space="preserve"> STYLEREF 1 \s </w:instrText>
      </w:r>
      <w:r w:rsidRPr="009A23F2">
        <w:fldChar w:fldCharType="separate"/>
      </w:r>
      <w:r w:rsidR="003C3A1D">
        <w:rPr>
          <w:noProof/>
        </w:rPr>
        <w:t>7</w:t>
      </w:r>
      <w:r w:rsidRPr="009A23F2">
        <w:fldChar w:fldCharType="end"/>
      </w:r>
      <w:r>
        <w:t>.</w:t>
      </w:r>
      <w:fldSimple w:instr=" SEQ Table \* ARABIC \s 1 ">
        <w:r w:rsidR="003C3A1D">
          <w:rPr>
            <w:noProof/>
          </w:rPr>
          <w:t>4</w:t>
        </w:r>
      </w:fldSimple>
      <w:bookmarkEnd w:id="127"/>
      <w:r>
        <w:tab/>
        <w:t>Draft decision on revenue and costs true–up ($m, NPV 2018)</w:t>
      </w:r>
    </w:p>
    <w:tbl>
      <w:tblPr>
        <w:tblStyle w:val="AERtable-numbers"/>
        <w:tblW w:w="0" w:type="auto"/>
        <w:tblLook w:val="04A0" w:firstRow="1" w:lastRow="0" w:firstColumn="1" w:lastColumn="0" w:noHBand="0" w:noVBand="1"/>
      </w:tblPr>
      <w:tblGrid>
        <w:gridCol w:w="4346"/>
        <w:gridCol w:w="4347"/>
      </w:tblGrid>
      <w:tr w:rsidR="0043014C" w:rsidTr="00430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43014C" w:rsidRDefault="0043014C" w:rsidP="0043014C"/>
        </w:tc>
        <w:tc>
          <w:tcPr>
            <w:tcW w:w="4347"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True–up</w:t>
            </w:r>
          </w:p>
        </w:tc>
      </w:tr>
      <w:tr w:rsidR="0043014C" w:rsidTr="0043014C">
        <w:tc>
          <w:tcPr>
            <w:cnfStyle w:val="001000000000" w:firstRow="0" w:lastRow="0" w:firstColumn="1" w:lastColumn="0" w:oddVBand="0" w:evenVBand="0" w:oddHBand="0" w:evenHBand="0" w:firstRowFirstColumn="0" w:firstRowLastColumn="0" w:lastRowFirstColumn="0" w:lastRowLastColumn="0"/>
            <w:tcW w:w="4346" w:type="dxa"/>
          </w:tcPr>
          <w:p w:rsidR="0043014C" w:rsidRDefault="0043014C" w:rsidP="0043014C">
            <w:r>
              <w:t>AER draft decision</w:t>
            </w:r>
          </w:p>
        </w:tc>
        <w:tc>
          <w:tcPr>
            <w:tcW w:w="4347"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(0.6)</w:t>
            </w:r>
          </w:p>
        </w:tc>
      </w:tr>
    </w:tbl>
    <w:p w:rsidR="0043014C" w:rsidRDefault="0043014C" w:rsidP="0043014C">
      <w:pPr>
        <w:pStyle w:val="AERtablesource"/>
      </w:pPr>
      <w:r>
        <w:t>Source:</w:t>
      </w:r>
      <w:r>
        <w:tab/>
        <w:t>AER analysis.</w:t>
      </w:r>
    </w:p>
    <w:p w:rsidR="0043014C" w:rsidRDefault="0043014C" w:rsidP="0043014C">
      <w:pPr>
        <w:pStyle w:val="Heading3"/>
      </w:pPr>
      <w:bookmarkStart w:id="128" w:name="_Toc461526287"/>
      <w:r>
        <w:t>MAB true–up</w:t>
      </w:r>
      <w:bookmarkEnd w:id="128"/>
    </w:p>
    <w:p w:rsidR="0043014C" w:rsidRDefault="0043014C" w:rsidP="0043014C">
      <w:r>
        <w:t>We have calculate</w:t>
      </w:r>
      <w:r w:rsidR="00C3016D">
        <w:t>d a negative MAB true–up of $1.8</w:t>
      </w:r>
      <w:r>
        <w:t xml:space="preserve"> million ($2018).</w:t>
      </w:r>
    </w:p>
    <w:p w:rsidR="0043014C" w:rsidRDefault="0043014C" w:rsidP="0043014C">
      <w:pPr>
        <w:pStyle w:val="HeadingBoldItalic"/>
      </w:pPr>
      <w:r>
        <w:t>Step one</w:t>
      </w:r>
    </w:p>
    <w:p w:rsidR="0043014C" w:rsidRDefault="0043014C" w:rsidP="0043014C">
      <w:r>
        <w:t>The first step we took was to recalculate the 2016–20</w:t>
      </w:r>
      <w:r w:rsidR="009D5E60">
        <w:t>20</w:t>
      </w:r>
      <w:r>
        <w:t xml:space="preserve"> opening MAB value.</w:t>
      </w:r>
    </w:p>
    <w:p w:rsidR="0043014C" w:rsidRPr="00EA5FB4" w:rsidRDefault="0043014C" w:rsidP="0043014C">
      <w:r>
        <w:t>This process involved a comparison. In particular, we compared the opening MAB value which we determined in our 2016–20</w:t>
      </w:r>
      <w:r w:rsidR="00C752D5">
        <w:t>20</w:t>
      </w:r>
      <w:r>
        <w:t xml:space="preserve"> distribution determination with the opening MAB value that we have calculated in this transition charges draft decision. </w:t>
      </w:r>
      <w:r w:rsidR="00C3016D">
        <w:fldChar w:fldCharType="begin"/>
      </w:r>
      <w:r w:rsidR="00C3016D">
        <w:instrText xml:space="preserve"> REF _Ref461468410 \h </w:instrText>
      </w:r>
      <w:r w:rsidR="00C3016D">
        <w:fldChar w:fldCharType="separate"/>
      </w:r>
      <w:r w:rsidR="003C3A1D">
        <w:t xml:space="preserve">Table </w:t>
      </w:r>
      <w:r w:rsidR="003C3A1D">
        <w:rPr>
          <w:noProof/>
        </w:rPr>
        <w:t>7</w:t>
      </w:r>
      <w:r w:rsidR="003C3A1D">
        <w:t>.</w:t>
      </w:r>
      <w:r w:rsidR="003C3A1D">
        <w:rPr>
          <w:noProof/>
        </w:rPr>
        <w:t>5</w:t>
      </w:r>
      <w:r w:rsidR="00C3016D">
        <w:fldChar w:fldCharType="end"/>
      </w:r>
      <w:r w:rsidR="00C3016D">
        <w:t xml:space="preserve"> </w:t>
      </w:r>
      <w:r>
        <w:t>sets out that recalculation.</w:t>
      </w:r>
    </w:p>
    <w:p w:rsidR="0043014C" w:rsidRDefault="0043014C" w:rsidP="0043014C">
      <w:pPr>
        <w:pStyle w:val="Caption"/>
      </w:pPr>
      <w:bookmarkStart w:id="129" w:name="_Ref461468410"/>
      <w:r>
        <w:t xml:space="preserve">Table </w:t>
      </w:r>
      <w:r w:rsidRPr="009A23F2">
        <w:fldChar w:fldCharType="begin"/>
      </w:r>
      <w:r>
        <w:instrText xml:space="preserve"> STYLEREF 1 \s </w:instrText>
      </w:r>
      <w:r w:rsidRPr="009A23F2">
        <w:fldChar w:fldCharType="separate"/>
      </w:r>
      <w:r w:rsidR="003C3A1D">
        <w:rPr>
          <w:noProof/>
        </w:rPr>
        <w:t>7</w:t>
      </w:r>
      <w:r w:rsidRPr="009A23F2">
        <w:fldChar w:fldCharType="end"/>
      </w:r>
      <w:r>
        <w:t>.</w:t>
      </w:r>
      <w:fldSimple w:instr=" SEQ Table \* ARABIC \s 1 ">
        <w:r w:rsidR="003C3A1D">
          <w:rPr>
            <w:noProof/>
          </w:rPr>
          <w:t>5</w:t>
        </w:r>
      </w:fldSimple>
      <w:bookmarkEnd w:id="129"/>
      <w:r>
        <w:tab/>
        <w:t>Calculation of opening MAB value ($m, 2008)</w:t>
      </w:r>
    </w:p>
    <w:tbl>
      <w:tblPr>
        <w:tblStyle w:val="AERtable-numbers"/>
        <w:tblW w:w="0" w:type="auto"/>
        <w:tblLook w:val="04A0" w:firstRow="1" w:lastRow="0" w:firstColumn="1" w:lastColumn="0" w:noHBand="0" w:noVBand="1"/>
      </w:tblPr>
      <w:tblGrid>
        <w:gridCol w:w="1853"/>
        <w:gridCol w:w="1159"/>
        <w:gridCol w:w="1158"/>
        <w:gridCol w:w="1158"/>
        <w:gridCol w:w="1158"/>
        <w:gridCol w:w="1106"/>
        <w:gridCol w:w="1101"/>
      </w:tblGrid>
      <w:tr w:rsidR="0043014C" w:rsidTr="00430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43014C" w:rsidRDefault="0043014C" w:rsidP="0043014C"/>
        </w:tc>
        <w:tc>
          <w:tcPr>
            <w:tcW w:w="1159"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2011</w:t>
            </w:r>
          </w:p>
        </w:tc>
        <w:tc>
          <w:tcPr>
            <w:tcW w:w="1158"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2012</w:t>
            </w:r>
          </w:p>
        </w:tc>
        <w:tc>
          <w:tcPr>
            <w:tcW w:w="1158"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2013</w:t>
            </w:r>
          </w:p>
        </w:tc>
        <w:tc>
          <w:tcPr>
            <w:tcW w:w="1158"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2014</w:t>
            </w:r>
          </w:p>
        </w:tc>
        <w:tc>
          <w:tcPr>
            <w:tcW w:w="1106"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2015</w:t>
            </w:r>
          </w:p>
        </w:tc>
        <w:tc>
          <w:tcPr>
            <w:tcW w:w="1101" w:type="dxa"/>
          </w:tcPr>
          <w:p w:rsidR="0043014C" w:rsidRDefault="0043014C" w:rsidP="0043014C">
            <w:pPr>
              <w:cnfStyle w:val="100000000000" w:firstRow="1" w:lastRow="0" w:firstColumn="0" w:lastColumn="0" w:oddVBand="0" w:evenVBand="0" w:oddHBand="0" w:evenHBand="0" w:firstRowFirstColumn="0" w:firstRowLastColumn="0" w:lastRowFirstColumn="0" w:lastRowLastColumn="0"/>
            </w:pPr>
            <w:r>
              <w:t>Opening MAB</w:t>
            </w:r>
          </w:p>
        </w:tc>
      </w:tr>
      <w:tr w:rsidR="0043014C" w:rsidTr="0043014C">
        <w:tc>
          <w:tcPr>
            <w:cnfStyle w:val="001000000000" w:firstRow="0" w:lastRow="0" w:firstColumn="1" w:lastColumn="0" w:oddVBand="0" w:evenVBand="0" w:oddHBand="0" w:evenHBand="0" w:firstRowFirstColumn="0" w:firstRowLastColumn="0" w:lastRowFirstColumn="0" w:lastRowLastColumn="0"/>
            <w:tcW w:w="1853" w:type="dxa"/>
          </w:tcPr>
          <w:p w:rsidR="0043014C" w:rsidRDefault="0043014C" w:rsidP="0043014C">
            <w:r>
              <w:t>2016–20</w:t>
            </w:r>
            <w:r w:rsidR="009D5E60">
              <w:t>20</w:t>
            </w:r>
            <w:r>
              <w:t xml:space="preserve"> Victorian determination</w:t>
            </w:r>
          </w:p>
        </w:tc>
        <w:tc>
          <w:tcPr>
            <w:tcW w:w="1159"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91.0</w:t>
            </w:r>
          </w:p>
        </w:tc>
        <w:tc>
          <w:tcPr>
            <w:tcW w:w="1158"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115.6</w:t>
            </w:r>
          </w:p>
        </w:tc>
        <w:tc>
          <w:tcPr>
            <w:tcW w:w="1158"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126.1</w:t>
            </w:r>
          </w:p>
        </w:tc>
        <w:tc>
          <w:tcPr>
            <w:tcW w:w="1158"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115.7</w:t>
            </w:r>
          </w:p>
        </w:tc>
        <w:tc>
          <w:tcPr>
            <w:tcW w:w="1106"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105.2</w:t>
            </w:r>
          </w:p>
        </w:tc>
        <w:tc>
          <w:tcPr>
            <w:tcW w:w="1101"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105.2</w:t>
            </w:r>
          </w:p>
        </w:tc>
      </w:tr>
      <w:tr w:rsidR="00C3016D" w:rsidTr="00430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C3016D" w:rsidRDefault="00C3016D" w:rsidP="00C3016D">
            <w:r>
              <w:t>Transition charge draft decision</w:t>
            </w:r>
          </w:p>
        </w:tc>
        <w:tc>
          <w:tcPr>
            <w:tcW w:w="1159" w:type="dxa"/>
          </w:tcPr>
          <w:p w:rsidR="00C3016D" w:rsidRPr="00C3016D" w:rsidRDefault="00C3016D" w:rsidP="00C3016D">
            <w:pPr>
              <w:cnfStyle w:val="000000010000" w:firstRow="0" w:lastRow="0" w:firstColumn="0" w:lastColumn="0" w:oddVBand="0" w:evenVBand="0" w:oddHBand="0" w:evenHBand="1" w:firstRowFirstColumn="0" w:firstRowLastColumn="0" w:lastRowFirstColumn="0" w:lastRowLastColumn="0"/>
            </w:pPr>
            <w:r>
              <w:t>91.0</w:t>
            </w:r>
          </w:p>
        </w:tc>
        <w:tc>
          <w:tcPr>
            <w:tcW w:w="1158" w:type="dxa"/>
          </w:tcPr>
          <w:p w:rsidR="00C3016D" w:rsidRPr="00C3016D" w:rsidRDefault="00C3016D" w:rsidP="00C3016D">
            <w:pPr>
              <w:cnfStyle w:val="000000010000" w:firstRow="0" w:lastRow="0" w:firstColumn="0" w:lastColumn="0" w:oddVBand="0" w:evenVBand="0" w:oddHBand="0" w:evenHBand="1" w:firstRowFirstColumn="0" w:firstRowLastColumn="0" w:lastRowFirstColumn="0" w:lastRowLastColumn="0"/>
            </w:pPr>
            <w:r>
              <w:t>115.6</w:t>
            </w:r>
          </w:p>
        </w:tc>
        <w:tc>
          <w:tcPr>
            <w:tcW w:w="1158" w:type="dxa"/>
          </w:tcPr>
          <w:p w:rsidR="00C3016D" w:rsidRPr="00C3016D" w:rsidRDefault="00C3016D" w:rsidP="00C3016D">
            <w:pPr>
              <w:cnfStyle w:val="000000010000" w:firstRow="0" w:lastRow="0" w:firstColumn="0" w:lastColumn="0" w:oddVBand="0" w:evenVBand="0" w:oddHBand="0" w:evenHBand="1" w:firstRowFirstColumn="0" w:firstRowLastColumn="0" w:lastRowFirstColumn="0" w:lastRowLastColumn="0"/>
            </w:pPr>
            <w:r>
              <w:t>126.1</w:t>
            </w:r>
          </w:p>
        </w:tc>
        <w:tc>
          <w:tcPr>
            <w:tcW w:w="1158" w:type="dxa"/>
          </w:tcPr>
          <w:p w:rsidR="00C3016D" w:rsidRPr="00C3016D" w:rsidRDefault="00C3016D" w:rsidP="00C3016D">
            <w:pPr>
              <w:cnfStyle w:val="000000010000" w:firstRow="0" w:lastRow="0" w:firstColumn="0" w:lastColumn="0" w:oddVBand="0" w:evenVBand="0" w:oddHBand="0" w:evenHBand="1" w:firstRowFirstColumn="0" w:firstRowLastColumn="0" w:lastRowFirstColumn="0" w:lastRowLastColumn="0"/>
            </w:pPr>
            <w:r>
              <w:t>114.6</w:t>
            </w:r>
          </w:p>
        </w:tc>
        <w:tc>
          <w:tcPr>
            <w:tcW w:w="1106" w:type="dxa"/>
          </w:tcPr>
          <w:p w:rsidR="00C3016D" w:rsidRPr="00C3016D" w:rsidRDefault="00C3016D" w:rsidP="00C3016D">
            <w:pPr>
              <w:cnfStyle w:val="000000010000" w:firstRow="0" w:lastRow="0" w:firstColumn="0" w:lastColumn="0" w:oddVBand="0" w:evenVBand="0" w:oddHBand="0" w:evenHBand="1" w:firstRowFirstColumn="0" w:firstRowLastColumn="0" w:lastRowFirstColumn="0" w:lastRowLastColumn="0"/>
            </w:pPr>
            <w:r>
              <w:t>103.8</w:t>
            </w:r>
          </w:p>
        </w:tc>
        <w:tc>
          <w:tcPr>
            <w:tcW w:w="1101" w:type="dxa"/>
          </w:tcPr>
          <w:p w:rsidR="00C3016D" w:rsidRPr="00C3016D" w:rsidRDefault="00C3016D" w:rsidP="00C3016D">
            <w:pPr>
              <w:cnfStyle w:val="000000010000" w:firstRow="0" w:lastRow="0" w:firstColumn="0" w:lastColumn="0" w:oddVBand="0" w:evenVBand="0" w:oddHBand="0" w:evenHBand="1" w:firstRowFirstColumn="0" w:firstRowLastColumn="0" w:lastRowFirstColumn="0" w:lastRowLastColumn="0"/>
            </w:pPr>
            <w:r>
              <w:t>103.8</w:t>
            </w:r>
          </w:p>
        </w:tc>
      </w:tr>
    </w:tbl>
    <w:p w:rsidR="0043014C" w:rsidRDefault="0043014C" w:rsidP="0043014C">
      <w:pPr>
        <w:pStyle w:val="AERtablesource"/>
      </w:pPr>
      <w:r>
        <w:t xml:space="preserve"> Source:</w:t>
      </w:r>
      <w:r>
        <w:tab/>
        <w:t>AER analysis.</w:t>
      </w:r>
    </w:p>
    <w:p w:rsidR="0043014C" w:rsidRDefault="0043014C" w:rsidP="0043014C">
      <w:r>
        <w:t xml:space="preserve">As shown in </w:t>
      </w:r>
      <w:r w:rsidR="00C3016D">
        <w:fldChar w:fldCharType="begin"/>
      </w:r>
      <w:r w:rsidR="00C3016D">
        <w:instrText xml:space="preserve"> REF _Ref461468410 \h </w:instrText>
      </w:r>
      <w:r w:rsidR="00C3016D">
        <w:fldChar w:fldCharType="separate"/>
      </w:r>
      <w:r w:rsidR="003C3A1D">
        <w:t xml:space="preserve">Table </w:t>
      </w:r>
      <w:r w:rsidR="003C3A1D">
        <w:rPr>
          <w:noProof/>
        </w:rPr>
        <w:t>7</w:t>
      </w:r>
      <w:r w:rsidR="003C3A1D">
        <w:t>.</w:t>
      </w:r>
      <w:r w:rsidR="003C3A1D">
        <w:rPr>
          <w:noProof/>
        </w:rPr>
        <w:t>5</w:t>
      </w:r>
      <w:r w:rsidR="00C3016D">
        <w:fldChar w:fldCharType="end"/>
      </w:r>
      <w:r w:rsidR="00C3016D">
        <w:t xml:space="preserve"> </w:t>
      </w:r>
      <w:r>
        <w:t>above, the opening MAB value we have calculated in this transition charges draft decision is lower than in our 2016–20</w:t>
      </w:r>
      <w:r w:rsidR="00C752D5">
        <w:t>20</w:t>
      </w:r>
      <w:r>
        <w:t xml:space="preserve"> distribution determination. The reason for this is that our 2016–20</w:t>
      </w:r>
      <w:r w:rsidR="00C752D5">
        <w:t>20</w:t>
      </w:r>
      <w:r>
        <w:t xml:space="preserve"> distribution determination relied on forecast data. In particular, when determining the capex to be rolled into the MAB for the 2014 and 2015 years we used </w:t>
      </w:r>
      <w:r w:rsidR="00C3016D">
        <w:t>CitiPower's</w:t>
      </w:r>
      <w:r>
        <w:t xml:space="preserve"> </w:t>
      </w:r>
      <w:r w:rsidRPr="0008672B">
        <w:t>forecast</w:t>
      </w:r>
      <w:r>
        <w:t xml:space="preserve"> capex in its 2015 AMI Charges Revision Applications.</w:t>
      </w:r>
      <w:r>
        <w:rPr>
          <w:rStyle w:val="FootnoteReference"/>
        </w:rPr>
        <w:footnoteReference w:id="107"/>
      </w:r>
      <w:r>
        <w:t xml:space="preserve"> In effect, we used a forecast </w:t>
      </w:r>
      <w:r w:rsidR="00C3016D">
        <w:t>CitiPower</w:t>
      </w:r>
      <w:r>
        <w:t xml:space="preserve"> had made in August 2014, which had not been subject to a prudency assessment.</w:t>
      </w:r>
      <w:r w:rsidR="00C3016D">
        <w:t xml:space="preserve"> </w:t>
      </w:r>
      <w:r>
        <w:t xml:space="preserve">Our transition charge draft decision, by contrast, takes </w:t>
      </w:r>
      <w:r w:rsidR="00C3016D">
        <w:t>CitiPower's</w:t>
      </w:r>
      <w:r>
        <w:t xml:space="preserve"> </w:t>
      </w:r>
      <w:r w:rsidRPr="0008672B">
        <w:rPr>
          <w:rStyle w:val="AERtextitalic"/>
        </w:rPr>
        <w:t>actual</w:t>
      </w:r>
      <w:r>
        <w:t xml:space="preserve"> capex in 2014 and 2015 into consideration. </w:t>
      </w:r>
    </w:p>
    <w:p w:rsidR="0043014C" w:rsidRDefault="0043014C" w:rsidP="0043014C">
      <w:pPr>
        <w:pStyle w:val="HeadingBoldItalic"/>
      </w:pPr>
      <w:r>
        <w:t>Step two</w:t>
      </w:r>
    </w:p>
    <w:p w:rsidR="0043014C" w:rsidRDefault="0043014C" w:rsidP="0043014C">
      <w:r>
        <w:t xml:space="preserve">Once we had recalculated </w:t>
      </w:r>
      <w:r w:rsidR="00C3016D">
        <w:t>CitiPower's</w:t>
      </w:r>
      <w:r>
        <w:t xml:space="preserve"> MAB value, the next step we took was to escalate the value of the recalculated MAB value to 2015 dollar terms. </w:t>
      </w:r>
    </w:p>
    <w:p w:rsidR="0043014C" w:rsidRDefault="0043014C" w:rsidP="0043014C">
      <w:r>
        <w:t>The reason why we escalated it to 2015 dollar terms was that this is the value which we applied in our 2016–20</w:t>
      </w:r>
      <w:r w:rsidR="00C752D5">
        <w:t>20</w:t>
      </w:r>
      <w:r>
        <w:t xml:space="preserve"> distribution determination. </w:t>
      </w:r>
      <w:r w:rsidR="00C3016D">
        <w:fldChar w:fldCharType="begin"/>
      </w:r>
      <w:r w:rsidR="00C3016D">
        <w:instrText xml:space="preserve"> REF _Ref461468646 \h </w:instrText>
      </w:r>
      <w:r w:rsidR="00C3016D">
        <w:fldChar w:fldCharType="separate"/>
      </w:r>
      <w:r w:rsidR="003C3A1D">
        <w:t xml:space="preserve">Table </w:t>
      </w:r>
      <w:r w:rsidR="003C3A1D">
        <w:rPr>
          <w:noProof/>
        </w:rPr>
        <w:t>7</w:t>
      </w:r>
      <w:r w:rsidR="003C3A1D">
        <w:t>.</w:t>
      </w:r>
      <w:r w:rsidR="003C3A1D">
        <w:rPr>
          <w:noProof/>
        </w:rPr>
        <w:t>6</w:t>
      </w:r>
      <w:r w:rsidR="00C3016D">
        <w:fldChar w:fldCharType="end"/>
      </w:r>
      <w:r w:rsidR="00C3016D">
        <w:t xml:space="preserve"> </w:t>
      </w:r>
      <w:r>
        <w:t xml:space="preserve">sets out the results of the escalation we applied. </w:t>
      </w:r>
    </w:p>
    <w:p w:rsidR="0043014C" w:rsidRDefault="0043014C" w:rsidP="0043014C">
      <w:pPr>
        <w:pStyle w:val="Caption"/>
      </w:pPr>
      <w:bookmarkStart w:id="130" w:name="_Ref461468646"/>
      <w:r>
        <w:t xml:space="preserve">Table </w:t>
      </w:r>
      <w:r w:rsidRPr="009A23F2">
        <w:fldChar w:fldCharType="begin"/>
      </w:r>
      <w:r>
        <w:instrText xml:space="preserve"> STYLEREF 1 \s </w:instrText>
      </w:r>
      <w:r w:rsidRPr="009A23F2">
        <w:fldChar w:fldCharType="separate"/>
      </w:r>
      <w:r w:rsidR="003C3A1D">
        <w:rPr>
          <w:noProof/>
        </w:rPr>
        <w:t>7</w:t>
      </w:r>
      <w:r w:rsidRPr="009A23F2">
        <w:fldChar w:fldCharType="end"/>
      </w:r>
      <w:r>
        <w:t>.</w:t>
      </w:r>
      <w:fldSimple w:instr=" SEQ Table \* ARABIC \s 1 ">
        <w:r w:rsidR="003C3A1D">
          <w:rPr>
            <w:noProof/>
          </w:rPr>
          <w:t>6</w:t>
        </w:r>
      </w:fldSimple>
      <w:bookmarkEnd w:id="130"/>
      <w:r>
        <w:tab/>
        <w:t xml:space="preserve">Recalculation of opening MAB value </w:t>
      </w:r>
    </w:p>
    <w:tbl>
      <w:tblPr>
        <w:tblStyle w:val="AERtable-numbers"/>
        <w:tblW w:w="0" w:type="auto"/>
        <w:tblLook w:val="04A0" w:firstRow="1" w:lastRow="0" w:firstColumn="1" w:lastColumn="0" w:noHBand="0" w:noVBand="1"/>
      </w:tblPr>
      <w:tblGrid>
        <w:gridCol w:w="3045"/>
        <w:gridCol w:w="2824"/>
        <w:gridCol w:w="2824"/>
      </w:tblGrid>
      <w:tr w:rsidR="0043014C" w:rsidTr="00430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43014C" w:rsidRDefault="0043014C" w:rsidP="0043014C"/>
        </w:tc>
        <w:tc>
          <w:tcPr>
            <w:tcW w:w="2824"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w:t>
            </w:r>
            <w:r w:rsidRPr="0043014C">
              <w:t>$m, 2008)</w:t>
            </w:r>
          </w:p>
        </w:tc>
        <w:tc>
          <w:tcPr>
            <w:tcW w:w="2824"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w:t>
            </w:r>
            <w:r w:rsidRPr="0043014C">
              <w:t>$m, 2015)</w:t>
            </w:r>
          </w:p>
        </w:tc>
      </w:tr>
      <w:tr w:rsidR="0043014C" w:rsidTr="0043014C">
        <w:tc>
          <w:tcPr>
            <w:cnfStyle w:val="001000000000" w:firstRow="0" w:lastRow="0" w:firstColumn="1" w:lastColumn="0" w:oddVBand="0" w:evenVBand="0" w:oddHBand="0" w:evenHBand="0" w:firstRowFirstColumn="0" w:firstRowLastColumn="0" w:lastRowFirstColumn="0" w:lastRowLastColumn="0"/>
            <w:tcW w:w="3045" w:type="dxa"/>
          </w:tcPr>
          <w:p w:rsidR="0043014C" w:rsidRPr="0043014C" w:rsidRDefault="0043014C" w:rsidP="0043014C">
            <w:r>
              <w:t>Opening MAB</w:t>
            </w:r>
            <w:r w:rsidRPr="0043014C">
              <w:t xml:space="preserve"> as of 1 January 2016</w:t>
            </w:r>
          </w:p>
        </w:tc>
        <w:tc>
          <w:tcPr>
            <w:tcW w:w="2824"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103.8</w:t>
            </w:r>
          </w:p>
        </w:tc>
        <w:tc>
          <w:tcPr>
            <w:tcW w:w="2824"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126.2</w:t>
            </w:r>
          </w:p>
        </w:tc>
      </w:tr>
    </w:tbl>
    <w:p w:rsidR="0043014C" w:rsidRDefault="0043014C" w:rsidP="0043014C">
      <w:pPr>
        <w:pStyle w:val="AERtablesource"/>
      </w:pPr>
      <w:r>
        <w:t>Source:</w:t>
      </w:r>
      <w:r>
        <w:tab/>
        <w:t>AER analysis</w:t>
      </w:r>
      <w:r w:rsidR="009D5E60">
        <w:t>.</w:t>
      </w:r>
    </w:p>
    <w:p w:rsidR="0043014C" w:rsidRDefault="0043014C" w:rsidP="0043014C">
      <w:pPr>
        <w:pStyle w:val="HeadingBoldItalic"/>
      </w:pPr>
      <w:r>
        <w:t>Step three</w:t>
      </w:r>
    </w:p>
    <w:p w:rsidR="0043014C" w:rsidRDefault="0043014C" w:rsidP="0043014C">
      <w:r>
        <w:t>The next step we took was to compare the revenue recoverable from the opening MAB we set our 2016–20</w:t>
      </w:r>
      <w:r w:rsidR="00C752D5">
        <w:t>20</w:t>
      </w:r>
      <w:r>
        <w:t xml:space="preserve"> distribution determination with our recalculation of the MAB in this transition charge draft decision. </w:t>
      </w:r>
      <w:r w:rsidR="00C752D5">
        <w:fldChar w:fldCharType="begin"/>
      </w:r>
      <w:r w:rsidR="00C752D5">
        <w:instrText xml:space="preserve"> REF _Ref461525975 \h </w:instrText>
      </w:r>
      <w:r w:rsidR="00C752D5">
        <w:fldChar w:fldCharType="separate"/>
      </w:r>
      <w:r w:rsidR="003C3A1D">
        <w:t xml:space="preserve">Table </w:t>
      </w:r>
      <w:r w:rsidR="003C3A1D">
        <w:rPr>
          <w:noProof/>
        </w:rPr>
        <w:t>7</w:t>
      </w:r>
      <w:r w:rsidR="003C3A1D">
        <w:t>.</w:t>
      </w:r>
      <w:r w:rsidR="003C3A1D">
        <w:rPr>
          <w:noProof/>
        </w:rPr>
        <w:t>7</w:t>
      </w:r>
      <w:r w:rsidR="00C752D5">
        <w:fldChar w:fldCharType="end"/>
      </w:r>
      <w:r w:rsidR="00C752D5">
        <w:t xml:space="preserve"> </w:t>
      </w:r>
      <w:r>
        <w:t>sets out the results of this comparison.</w:t>
      </w:r>
    </w:p>
    <w:p w:rsidR="0043014C" w:rsidRPr="00696CDC" w:rsidRDefault="0043014C" w:rsidP="0043014C">
      <w:pPr>
        <w:pStyle w:val="Caption"/>
      </w:pPr>
      <w:bookmarkStart w:id="131" w:name="_Ref461525975"/>
      <w:r>
        <w:t xml:space="preserve">Table </w:t>
      </w:r>
      <w:r w:rsidRPr="009A23F2">
        <w:fldChar w:fldCharType="begin"/>
      </w:r>
      <w:r>
        <w:instrText xml:space="preserve"> STYLEREF 1 \s </w:instrText>
      </w:r>
      <w:r w:rsidRPr="009A23F2">
        <w:fldChar w:fldCharType="separate"/>
      </w:r>
      <w:r w:rsidR="003C3A1D">
        <w:rPr>
          <w:noProof/>
        </w:rPr>
        <w:t>7</w:t>
      </w:r>
      <w:r w:rsidRPr="009A23F2">
        <w:fldChar w:fldCharType="end"/>
      </w:r>
      <w:r>
        <w:t>.</w:t>
      </w:r>
      <w:fldSimple w:instr=" SEQ Table \* ARABIC \s 1 ">
        <w:r w:rsidR="003C3A1D">
          <w:rPr>
            <w:noProof/>
          </w:rPr>
          <w:t>7</w:t>
        </w:r>
      </w:fldSimple>
      <w:bookmarkEnd w:id="131"/>
      <w:r>
        <w:tab/>
        <w:t>Recalculation of MAB revenue ($million)</w:t>
      </w:r>
    </w:p>
    <w:tbl>
      <w:tblPr>
        <w:tblStyle w:val="AERtable-numbers"/>
        <w:tblW w:w="0" w:type="auto"/>
        <w:tblLook w:val="04A0" w:firstRow="1" w:lastRow="0" w:firstColumn="1" w:lastColumn="0" w:noHBand="0" w:noVBand="1"/>
      </w:tblPr>
      <w:tblGrid>
        <w:gridCol w:w="1853"/>
        <w:gridCol w:w="1158"/>
        <w:gridCol w:w="1157"/>
        <w:gridCol w:w="1157"/>
        <w:gridCol w:w="1157"/>
        <w:gridCol w:w="1105"/>
        <w:gridCol w:w="1106"/>
      </w:tblGrid>
      <w:tr w:rsidR="0043014C" w:rsidTr="00430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43014C" w:rsidRDefault="0043014C" w:rsidP="0043014C"/>
        </w:tc>
        <w:tc>
          <w:tcPr>
            <w:tcW w:w="1159"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2016</w:t>
            </w:r>
          </w:p>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($nomina</w:t>
            </w:r>
            <w:r w:rsidRPr="0043014C">
              <w:t>l)</w:t>
            </w:r>
          </w:p>
        </w:tc>
        <w:tc>
          <w:tcPr>
            <w:tcW w:w="1158"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2017</w:t>
            </w:r>
          </w:p>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2018</w:t>
            </w:r>
          </w:p>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2019</w:t>
            </w:r>
          </w:p>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($nominal)</w:t>
            </w:r>
          </w:p>
        </w:tc>
        <w:tc>
          <w:tcPr>
            <w:tcW w:w="1106"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2020</w:t>
            </w:r>
          </w:p>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($nominal)</w:t>
            </w:r>
          </w:p>
        </w:tc>
        <w:tc>
          <w:tcPr>
            <w:tcW w:w="1101" w:type="dxa"/>
          </w:tcPr>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Total</w:t>
            </w:r>
          </w:p>
          <w:p w:rsidR="0043014C" w:rsidRPr="0043014C" w:rsidRDefault="0043014C" w:rsidP="0043014C">
            <w:pPr>
              <w:cnfStyle w:val="100000000000" w:firstRow="1" w:lastRow="0" w:firstColumn="0" w:lastColumn="0" w:oddVBand="0" w:evenVBand="0" w:oddHBand="0" w:evenHBand="0" w:firstRowFirstColumn="0" w:firstRowLastColumn="0" w:lastRowFirstColumn="0" w:lastRowLastColumn="0"/>
            </w:pPr>
            <w:r>
              <w:t>($Dec</w:t>
            </w:r>
            <w:r w:rsidRPr="0043014C">
              <w:t> 2015)</w:t>
            </w:r>
          </w:p>
        </w:tc>
      </w:tr>
      <w:tr w:rsidR="0043014C" w:rsidTr="0043014C">
        <w:tc>
          <w:tcPr>
            <w:cnfStyle w:val="001000000000" w:firstRow="0" w:lastRow="0" w:firstColumn="1" w:lastColumn="0" w:oddVBand="0" w:evenVBand="0" w:oddHBand="0" w:evenHBand="0" w:firstRowFirstColumn="0" w:firstRowLastColumn="0" w:lastRowFirstColumn="0" w:lastRowLastColumn="0"/>
            <w:tcW w:w="1853" w:type="dxa"/>
          </w:tcPr>
          <w:p w:rsidR="0043014C" w:rsidRDefault="009D5E60" w:rsidP="0043014C">
            <w:r>
              <w:t xml:space="preserve">2016–2020 </w:t>
            </w:r>
            <w:r w:rsidR="0043014C">
              <w:t>Victorian determination</w:t>
            </w:r>
          </w:p>
        </w:tc>
        <w:tc>
          <w:tcPr>
            <w:tcW w:w="1159"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20.5</w:t>
            </w:r>
          </w:p>
        </w:tc>
        <w:tc>
          <w:tcPr>
            <w:tcW w:w="1158"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20.4</w:t>
            </w:r>
          </w:p>
        </w:tc>
        <w:tc>
          <w:tcPr>
            <w:tcW w:w="1158"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20.3</w:t>
            </w:r>
          </w:p>
        </w:tc>
        <w:tc>
          <w:tcPr>
            <w:tcW w:w="1158"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18.4</w:t>
            </w:r>
          </w:p>
        </w:tc>
        <w:tc>
          <w:tcPr>
            <w:tcW w:w="1106"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13.4</w:t>
            </w:r>
          </w:p>
        </w:tc>
        <w:tc>
          <w:tcPr>
            <w:tcW w:w="1101"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79.0</w:t>
            </w:r>
          </w:p>
        </w:tc>
      </w:tr>
      <w:tr w:rsidR="0043014C" w:rsidTr="00430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43014C" w:rsidRDefault="0043014C" w:rsidP="0043014C">
            <w:r>
              <w:t>Transition charge draft decision</w:t>
            </w:r>
          </w:p>
        </w:tc>
        <w:tc>
          <w:tcPr>
            <w:tcW w:w="1159" w:type="dxa"/>
          </w:tcPr>
          <w:p w:rsidR="0043014C" w:rsidRPr="0043014C" w:rsidRDefault="00C3016D" w:rsidP="0043014C">
            <w:pPr>
              <w:cnfStyle w:val="000000010000" w:firstRow="0" w:lastRow="0" w:firstColumn="0" w:lastColumn="0" w:oddVBand="0" w:evenVBand="0" w:oddHBand="0" w:evenHBand="1" w:firstRowFirstColumn="0" w:firstRowLastColumn="0" w:lastRowFirstColumn="0" w:lastRowLastColumn="0"/>
            </w:pPr>
            <w:r>
              <w:t>20.3</w:t>
            </w:r>
          </w:p>
        </w:tc>
        <w:tc>
          <w:tcPr>
            <w:tcW w:w="1158" w:type="dxa"/>
          </w:tcPr>
          <w:p w:rsidR="0043014C" w:rsidRPr="0043014C" w:rsidRDefault="00C3016D" w:rsidP="0043014C">
            <w:pPr>
              <w:cnfStyle w:val="000000010000" w:firstRow="0" w:lastRow="0" w:firstColumn="0" w:lastColumn="0" w:oddVBand="0" w:evenVBand="0" w:oddHBand="0" w:evenHBand="1" w:firstRowFirstColumn="0" w:firstRowLastColumn="0" w:lastRowFirstColumn="0" w:lastRowLastColumn="0"/>
            </w:pPr>
            <w:r>
              <w:t>20.2</w:t>
            </w:r>
          </w:p>
        </w:tc>
        <w:tc>
          <w:tcPr>
            <w:tcW w:w="1158" w:type="dxa"/>
          </w:tcPr>
          <w:p w:rsidR="0043014C" w:rsidRPr="0043014C" w:rsidRDefault="00C3016D" w:rsidP="0043014C">
            <w:pPr>
              <w:cnfStyle w:val="000000010000" w:firstRow="0" w:lastRow="0" w:firstColumn="0" w:lastColumn="0" w:oddVBand="0" w:evenVBand="0" w:oddHBand="0" w:evenHBand="1" w:firstRowFirstColumn="0" w:firstRowLastColumn="0" w:lastRowFirstColumn="0" w:lastRowLastColumn="0"/>
            </w:pPr>
            <w:r>
              <w:t>20.1</w:t>
            </w:r>
          </w:p>
        </w:tc>
        <w:tc>
          <w:tcPr>
            <w:tcW w:w="1158" w:type="dxa"/>
          </w:tcPr>
          <w:p w:rsidR="0043014C" w:rsidRPr="0043014C" w:rsidRDefault="00C3016D" w:rsidP="0043014C">
            <w:pPr>
              <w:cnfStyle w:val="000000010000" w:firstRow="0" w:lastRow="0" w:firstColumn="0" w:lastColumn="0" w:oddVBand="0" w:evenVBand="0" w:oddHBand="0" w:evenHBand="1" w:firstRowFirstColumn="0" w:firstRowLastColumn="0" w:lastRowFirstColumn="0" w:lastRowLastColumn="0"/>
            </w:pPr>
            <w:r>
              <w:t>18.0</w:t>
            </w:r>
          </w:p>
        </w:tc>
        <w:tc>
          <w:tcPr>
            <w:tcW w:w="1106" w:type="dxa"/>
          </w:tcPr>
          <w:p w:rsidR="0043014C" w:rsidRPr="0043014C" w:rsidRDefault="00C3016D" w:rsidP="0043014C">
            <w:pPr>
              <w:cnfStyle w:val="000000010000" w:firstRow="0" w:lastRow="0" w:firstColumn="0" w:lastColumn="0" w:oddVBand="0" w:evenVBand="0" w:oddHBand="0" w:evenHBand="1" w:firstRowFirstColumn="0" w:firstRowLastColumn="0" w:lastRowFirstColumn="0" w:lastRowLastColumn="0"/>
            </w:pPr>
            <w:r>
              <w:t>13.3</w:t>
            </w:r>
          </w:p>
        </w:tc>
        <w:tc>
          <w:tcPr>
            <w:tcW w:w="1101" w:type="dxa"/>
          </w:tcPr>
          <w:p w:rsidR="0043014C" w:rsidRPr="0043014C" w:rsidRDefault="00C3016D" w:rsidP="0043014C">
            <w:pPr>
              <w:cnfStyle w:val="000000010000" w:firstRow="0" w:lastRow="0" w:firstColumn="0" w:lastColumn="0" w:oddVBand="0" w:evenVBand="0" w:oddHBand="0" w:evenHBand="1" w:firstRowFirstColumn="0" w:firstRowLastColumn="0" w:lastRowFirstColumn="0" w:lastRowLastColumn="0"/>
            </w:pPr>
            <w:r>
              <w:t>77.9</w:t>
            </w:r>
          </w:p>
        </w:tc>
      </w:tr>
      <w:tr w:rsidR="0043014C" w:rsidTr="0043014C">
        <w:tc>
          <w:tcPr>
            <w:cnfStyle w:val="001000000000" w:firstRow="0" w:lastRow="0" w:firstColumn="1" w:lastColumn="0" w:oddVBand="0" w:evenVBand="0" w:oddHBand="0" w:evenHBand="0" w:firstRowFirstColumn="0" w:firstRowLastColumn="0" w:lastRowFirstColumn="0" w:lastRowLastColumn="0"/>
            <w:tcW w:w="1853" w:type="dxa"/>
          </w:tcPr>
          <w:p w:rsidR="0043014C" w:rsidRDefault="0043014C" w:rsidP="0043014C">
            <w:r>
              <w:t>Difference</w:t>
            </w:r>
          </w:p>
        </w:tc>
        <w:tc>
          <w:tcPr>
            <w:tcW w:w="1159" w:type="dxa"/>
          </w:tcPr>
          <w:p w:rsidR="0043014C" w:rsidRDefault="0043014C" w:rsidP="0043014C">
            <w:pPr>
              <w:cnfStyle w:val="000000000000" w:firstRow="0" w:lastRow="0" w:firstColumn="0" w:lastColumn="0" w:oddVBand="0" w:evenVBand="0" w:oddHBand="0" w:evenHBand="0" w:firstRowFirstColumn="0" w:firstRowLastColumn="0" w:lastRowFirstColumn="0" w:lastRowLastColumn="0"/>
            </w:pPr>
          </w:p>
        </w:tc>
        <w:tc>
          <w:tcPr>
            <w:tcW w:w="1158" w:type="dxa"/>
          </w:tcPr>
          <w:p w:rsidR="0043014C" w:rsidRDefault="0043014C" w:rsidP="0043014C">
            <w:pPr>
              <w:cnfStyle w:val="000000000000" w:firstRow="0" w:lastRow="0" w:firstColumn="0" w:lastColumn="0" w:oddVBand="0" w:evenVBand="0" w:oddHBand="0" w:evenHBand="0" w:firstRowFirstColumn="0" w:firstRowLastColumn="0" w:lastRowFirstColumn="0" w:lastRowLastColumn="0"/>
            </w:pPr>
          </w:p>
        </w:tc>
        <w:tc>
          <w:tcPr>
            <w:tcW w:w="1158" w:type="dxa"/>
          </w:tcPr>
          <w:p w:rsidR="0043014C" w:rsidRDefault="0043014C" w:rsidP="0043014C">
            <w:pPr>
              <w:cnfStyle w:val="000000000000" w:firstRow="0" w:lastRow="0" w:firstColumn="0" w:lastColumn="0" w:oddVBand="0" w:evenVBand="0" w:oddHBand="0" w:evenHBand="0" w:firstRowFirstColumn="0" w:firstRowLastColumn="0" w:lastRowFirstColumn="0" w:lastRowLastColumn="0"/>
            </w:pPr>
          </w:p>
        </w:tc>
        <w:tc>
          <w:tcPr>
            <w:tcW w:w="1158" w:type="dxa"/>
          </w:tcPr>
          <w:p w:rsidR="0043014C" w:rsidRDefault="0043014C" w:rsidP="0043014C">
            <w:pPr>
              <w:cnfStyle w:val="000000000000" w:firstRow="0" w:lastRow="0" w:firstColumn="0" w:lastColumn="0" w:oddVBand="0" w:evenVBand="0" w:oddHBand="0" w:evenHBand="0" w:firstRowFirstColumn="0" w:firstRowLastColumn="0" w:lastRowFirstColumn="0" w:lastRowLastColumn="0"/>
            </w:pPr>
          </w:p>
        </w:tc>
        <w:tc>
          <w:tcPr>
            <w:tcW w:w="1106" w:type="dxa"/>
          </w:tcPr>
          <w:p w:rsidR="0043014C" w:rsidRDefault="0043014C" w:rsidP="0043014C">
            <w:pPr>
              <w:cnfStyle w:val="000000000000" w:firstRow="0" w:lastRow="0" w:firstColumn="0" w:lastColumn="0" w:oddVBand="0" w:evenVBand="0" w:oddHBand="0" w:evenHBand="0" w:firstRowFirstColumn="0" w:firstRowLastColumn="0" w:lastRowFirstColumn="0" w:lastRowLastColumn="0"/>
            </w:pPr>
          </w:p>
        </w:tc>
        <w:tc>
          <w:tcPr>
            <w:tcW w:w="1101" w:type="dxa"/>
          </w:tcPr>
          <w:p w:rsidR="0043014C" w:rsidRPr="0043014C" w:rsidRDefault="00C3016D" w:rsidP="0043014C">
            <w:pPr>
              <w:cnfStyle w:val="000000000000" w:firstRow="0" w:lastRow="0" w:firstColumn="0" w:lastColumn="0" w:oddVBand="0" w:evenVBand="0" w:oddHBand="0" w:evenHBand="0" w:firstRowFirstColumn="0" w:firstRowLastColumn="0" w:lastRowFirstColumn="0" w:lastRowLastColumn="0"/>
            </w:pPr>
            <w:r>
              <w:t>–1.0</w:t>
            </w:r>
          </w:p>
        </w:tc>
      </w:tr>
    </w:tbl>
    <w:p w:rsidR="0043014C" w:rsidRDefault="0043014C" w:rsidP="0043014C">
      <w:pPr>
        <w:pStyle w:val="AERtablesource"/>
      </w:pPr>
      <w:r>
        <w:t>Source:</w:t>
      </w:r>
      <w:r>
        <w:tab/>
        <w:t>AER analysis</w:t>
      </w:r>
      <w:r w:rsidR="009D5E60">
        <w:t>.</w:t>
      </w:r>
    </w:p>
    <w:p w:rsidR="0043014C" w:rsidRDefault="0043014C" w:rsidP="0043014C">
      <w:pPr>
        <w:pStyle w:val="HeadingBoldItalic"/>
      </w:pPr>
      <w:r>
        <w:t>Step four</w:t>
      </w:r>
    </w:p>
    <w:p w:rsidR="0043014C" w:rsidRPr="00830E97" w:rsidRDefault="0043014C" w:rsidP="0043014C">
      <w:r>
        <w:t>The final step we took to calculate the MAB adjustment was to discount the revenue difference calculated in step 3 to its 2018 NPV.</w:t>
      </w:r>
      <w:r w:rsidR="008D0E3B">
        <w:rPr>
          <w:rStyle w:val="FootnoteReference"/>
        </w:rPr>
        <w:footnoteReference w:id="108"/>
      </w:r>
      <w:r>
        <w:t xml:space="preserve"> When we did this, we calculated a</w:t>
      </w:r>
      <w:r w:rsidR="00C3016D">
        <w:t xml:space="preserve"> negative MAB adjustment of $1.8</w:t>
      </w:r>
      <w:r>
        <w:t xml:space="preserve"> million ($2018).</w:t>
      </w:r>
    </w:p>
    <w:p w:rsidR="00DF0917" w:rsidRDefault="00DF0917" w:rsidP="005C7BEC">
      <w:pPr>
        <w:pStyle w:val="Heading1"/>
      </w:pPr>
      <w:bookmarkStart w:id="132" w:name="_Toc461526288"/>
      <w:bookmarkStart w:id="133" w:name="_Ref461804768"/>
      <w:r>
        <w:t>Powercor</w:t>
      </w:r>
      <w:bookmarkEnd w:id="122"/>
      <w:bookmarkEnd w:id="132"/>
      <w:bookmarkEnd w:id="133"/>
    </w:p>
    <w:p w:rsidR="00C3016D" w:rsidRDefault="007362E1" w:rsidP="00C3016D">
      <w:r>
        <w:t>We</w:t>
      </w:r>
      <w:r w:rsidR="00C3016D">
        <w:t xml:space="preserve"> </w:t>
      </w:r>
      <w:r w:rsidR="009D5E60">
        <w:t xml:space="preserve">do not </w:t>
      </w:r>
      <w:r w:rsidR="00C3016D">
        <w:t xml:space="preserve">accept Powercor's Transition Charge Application. </w:t>
      </w:r>
    </w:p>
    <w:p w:rsidR="007362E1" w:rsidRDefault="007362E1" w:rsidP="00C3016D">
      <w:r w:rsidRPr="007362E1">
        <w:t>The o</w:t>
      </w:r>
      <w:r>
        <w:t>nly difference between Powercor</w:t>
      </w:r>
      <w:r w:rsidRPr="007362E1">
        <w:t>’s proposal and our draft decision is the year in which t</w:t>
      </w:r>
      <w:r>
        <w:t>he charge will apply. Powercor</w:t>
      </w:r>
      <w:r w:rsidRPr="007362E1">
        <w:t xml:space="preserve"> proposed that the charge should apply in 2017 but our draft decision is that this wil</w:t>
      </w:r>
      <w:r w:rsidR="009D5E60">
        <w:t>l apply in 2018</w:t>
      </w:r>
      <w:r w:rsidRPr="007362E1">
        <w:t xml:space="preserve">.  </w:t>
      </w:r>
    </w:p>
    <w:p w:rsidR="00C3016D" w:rsidRDefault="00C3016D" w:rsidP="00C3016D">
      <w:pPr>
        <w:pStyle w:val="Heading2"/>
      </w:pPr>
      <w:bookmarkStart w:id="134" w:name="_Toc461526289"/>
      <w:r>
        <w:t>Draft decision</w:t>
      </w:r>
      <w:bookmarkEnd w:id="134"/>
    </w:p>
    <w:p w:rsidR="00C3016D" w:rsidRDefault="00C3016D" w:rsidP="00C3016D">
      <w:r w:rsidRPr="00EA403A">
        <w:t>Our draft decision provides for a neg</w:t>
      </w:r>
      <w:r w:rsidR="00D739AF">
        <w:t>ative transition charge of $9.8</w:t>
      </w:r>
      <w:r w:rsidRPr="00EA403A">
        <w:t xml:space="preserve"> million ($2018). </w:t>
      </w:r>
    </w:p>
    <w:p w:rsidR="00C3016D" w:rsidRDefault="00C3016D" w:rsidP="00C3016D">
      <w:r>
        <w:t>Unlike other applications we received,</w:t>
      </w:r>
      <w:r>
        <w:rPr>
          <w:rStyle w:val="FootnoteReference"/>
        </w:rPr>
        <w:footnoteReference w:id="109"/>
      </w:r>
      <w:r>
        <w:t xml:space="preserve"> </w:t>
      </w:r>
      <w:r w:rsidR="00D739AF">
        <w:t>Powercor's</w:t>
      </w:r>
      <w:r>
        <w:t xml:space="preserve"> proposed transition charge included both a revenue and cost true–up and a MAB adjustment. We have, however, not accepted the value of the true–up adjustments which </w:t>
      </w:r>
      <w:r w:rsidR="00D739AF">
        <w:t>Powercor</w:t>
      </w:r>
      <w:r>
        <w:t xml:space="preserve"> included in its application. </w:t>
      </w:r>
    </w:p>
    <w:p w:rsidR="00C3016D" w:rsidRDefault="00D739AF" w:rsidP="00C3016D">
      <w:r>
        <w:fldChar w:fldCharType="begin"/>
      </w:r>
      <w:r>
        <w:instrText xml:space="preserve"> REF _Ref461469222 \h </w:instrText>
      </w:r>
      <w:r>
        <w:fldChar w:fldCharType="separate"/>
      </w:r>
      <w:r w:rsidR="003C3A1D">
        <w:t xml:space="preserve">Table </w:t>
      </w:r>
      <w:r w:rsidR="003C3A1D">
        <w:rPr>
          <w:noProof/>
        </w:rPr>
        <w:t>8</w:t>
      </w:r>
      <w:r w:rsidR="003C3A1D">
        <w:t>.</w:t>
      </w:r>
      <w:r w:rsidR="003C3A1D">
        <w:rPr>
          <w:noProof/>
        </w:rPr>
        <w:t>1</w:t>
      </w:r>
      <w:r>
        <w:fldChar w:fldCharType="end"/>
      </w:r>
      <w:r>
        <w:t xml:space="preserve"> </w:t>
      </w:r>
      <w:r w:rsidR="00C3016D">
        <w:t>sets out the components that make up our draft decision. It shows that our draft decision transition charge consists of a negative revenue and costs true–up of $</w:t>
      </w:r>
      <w:r>
        <w:t>11.8</w:t>
      </w:r>
      <w:r w:rsidR="00C3016D">
        <w:t xml:space="preserve"> million ($2018) </w:t>
      </w:r>
      <w:r w:rsidR="00C96B25">
        <w:t>plus</w:t>
      </w:r>
      <w:r w:rsidR="00C3016D">
        <w:t xml:space="preserve"> a </w:t>
      </w:r>
      <w:r>
        <w:t>positive</w:t>
      </w:r>
      <w:r w:rsidR="00C3016D">
        <w:t xml:space="preserve"> MAB adjustment of $</w:t>
      </w:r>
      <w:r>
        <w:t>2.0</w:t>
      </w:r>
      <w:r w:rsidR="00C3016D">
        <w:t xml:space="preserve"> million ($2018)</w:t>
      </w:r>
      <w:r w:rsidR="00C96B25">
        <w:t xml:space="preserve"> giving a total transition charge of negative $9.8 million ($2018)</w:t>
      </w:r>
      <w:r w:rsidR="00C3016D">
        <w:t>.</w:t>
      </w:r>
    </w:p>
    <w:p w:rsidR="00C3016D" w:rsidRDefault="00C3016D" w:rsidP="00C3016D">
      <w:pPr>
        <w:pStyle w:val="Caption"/>
      </w:pPr>
      <w:r>
        <w:t xml:space="preserve">Figure </w:t>
      </w:r>
      <w:r w:rsidRPr="009A23F2">
        <w:fldChar w:fldCharType="begin"/>
      </w:r>
      <w:r>
        <w:instrText xml:space="preserve"> STYLEREF 1 \s </w:instrText>
      </w:r>
      <w:r w:rsidRPr="009A23F2">
        <w:fldChar w:fldCharType="separate"/>
      </w:r>
      <w:r w:rsidR="003C3A1D">
        <w:rPr>
          <w:noProof/>
        </w:rPr>
        <w:t>8</w:t>
      </w:r>
      <w:r w:rsidRPr="009A23F2">
        <w:fldChar w:fldCharType="end"/>
      </w:r>
      <w:r>
        <w:t>.</w:t>
      </w:r>
      <w:fldSimple w:instr=" SEQ Figure \* ARABIC \s 1 ">
        <w:r w:rsidR="003C3A1D">
          <w:rPr>
            <w:noProof/>
          </w:rPr>
          <w:t>1</w:t>
        </w:r>
      </w:fldSimple>
      <w:r>
        <w:tab/>
        <w:t>Draft decision transition charge ($2018)</w:t>
      </w:r>
    </w:p>
    <w:p w:rsidR="00C3016D" w:rsidRDefault="00C3016D" w:rsidP="00C3016D">
      <w:r w:rsidRPr="009A23F2">
        <w:rPr>
          <w:noProof/>
          <w:lang w:val="en-US"/>
        </w:rPr>
        <w:drawing>
          <wp:inline distT="0" distB="0" distL="0" distR="0" wp14:anchorId="07EE1BBE" wp14:editId="54AB0F21">
            <wp:extent cx="5382883" cy="1319842"/>
            <wp:effectExtent l="0" t="0" r="889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3016D" w:rsidRDefault="00C3016D" w:rsidP="00C3016D">
      <w:pPr>
        <w:pStyle w:val="AERtablesource"/>
      </w:pPr>
      <w:r>
        <w:t>Source:</w:t>
      </w:r>
      <w:r>
        <w:tab/>
        <w:t>AER analysis.</w:t>
      </w:r>
    </w:p>
    <w:p w:rsidR="00C3016D" w:rsidRDefault="00C3016D" w:rsidP="00C3016D">
      <w:pPr>
        <w:pStyle w:val="Heading3"/>
      </w:pPr>
      <w:bookmarkStart w:id="135" w:name="_Toc461526290"/>
      <w:r>
        <w:t>Revenue and costs true–up</w:t>
      </w:r>
      <w:bookmarkEnd w:id="135"/>
      <w:r w:rsidRPr="00EA403A">
        <w:t xml:space="preserve"> </w:t>
      </w:r>
    </w:p>
    <w:p w:rsidR="00C3016D" w:rsidRDefault="00C3016D" w:rsidP="00C3016D">
      <w:r>
        <w:t>We have calculated a negative revenue and costs true–up of $</w:t>
      </w:r>
      <w:r w:rsidR="00D739AF">
        <w:t>11.8</w:t>
      </w:r>
      <w:r>
        <w:t xml:space="preserve"> million ($2018).</w:t>
      </w:r>
    </w:p>
    <w:p w:rsidR="00C3016D" w:rsidRDefault="00C3016D" w:rsidP="00C3016D">
      <w:r>
        <w:t xml:space="preserve">With respect to the revenue and costs true–up of the transition charge, the key difference between our draft decision and </w:t>
      </w:r>
      <w:r w:rsidR="00D739AF">
        <w:t>Powercor's</w:t>
      </w:r>
      <w:r>
        <w:t xml:space="preserve"> proposal is the year in which we have determined the transition charge will apply. </w:t>
      </w:r>
      <w:r w:rsidR="00D739AF">
        <w:t>Powercor</w:t>
      </w:r>
      <w:r>
        <w:t xml:space="preserve"> underspent its 2014 and 2015 budget and therefore did not apply to recover excess expenditure.</w:t>
      </w:r>
    </w:p>
    <w:p w:rsidR="00C3016D" w:rsidRDefault="00C3016D" w:rsidP="00C3016D">
      <w:r>
        <w:t xml:space="preserve">In its application, </w:t>
      </w:r>
      <w:r w:rsidR="00D739AF">
        <w:t>Powercor</w:t>
      </w:r>
      <w:r>
        <w:t xml:space="preserve"> sought to apply the charge in 2017. For the reasons outlined in section </w:t>
      </w:r>
      <w:r>
        <w:fldChar w:fldCharType="begin"/>
      </w:r>
      <w:r>
        <w:instrText xml:space="preserve"> REF _Ref461452768 \r \h </w:instrText>
      </w:r>
      <w:r>
        <w:fldChar w:fldCharType="separate"/>
      </w:r>
      <w:r w:rsidR="003C3A1D">
        <w:t>1</w:t>
      </w:r>
      <w:r>
        <w:fldChar w:fldCharType="end"/>
      </w:r>
      <w:r>
        <w:t xml:space="preserve"> above, our draft decision is to apply the true–up in the 2018 year of the 2016–20</w:t>
      </w:r>
      <w:r w:rsidR="00C96B25">
        <w:t>20</w:t>
      </w:r>
      <w:r>
        <w:t xml:space="preserve"> regulatory control period. </w:t>
      </w:r>
      <w:r w:rsidR="00C96B25">
        <w:t xml:space="preserve">This is the only difference between Powercor's proposal and this draft decision </w:t>
      </w:r>
      <w:r>
        <w:t xml:space="preserve">To do this, we have adjusted for the time value of money. Each of the steps we followed in calculating </w:t>
      </w:r>
      <w:r w:rsidR="00D739AF">
        <w:t>Powercor's</w:t>
      </w:r>
      <w:r>
        <w:t xml:space="preserve"> transition charge are outlined below.</w:t>
      </w:r>
    </w:p>
    <w:p w:rsidR="00C3016D" w:rsidRPr="00C752D5" w:rsidRDefault="00C3016D" w:rsidP="00C752D5">
      <w:pPr>
        <w:pStyle w:val="HeadingBoldItalic"/>
        <w:rPr>
          <w:rStyle w:val="Strong"/>
          <w:b/>
          <w:bCs/>
        </w:rPr>
      </w:pPr>
      <w:r w:rsidRPr="00C752D5">
        <w:rPr>
          <w:rStyle w:val="Strong"/>
          <w:b/>
          <w:bCs/>
        </w:rPr>
        <w:t>Step one</w:t>
      </w:r>
    </w:p>
    <w:p w:rsidR="00C3016D" w:rsidRDefault="00C3016D" w:rsidP="00C3016D">
      <w:r>
        <w:t xml:space="preserve">The first step we took in calculating </w:t>
      </w:r>
      <w:r w:rsidR="00D739AF">
        <w:t>Powercor's</w:t>
      </w:r>
      <w:r>
        <w:t xml:space="preserve"> revenue and costs true–up was to verify the distributor's </w:t>
      </w:r>
      <w:r w:rsidR="00C96B25">
        <w:t xml:space="preserve">actual </w:t>
      </w:r>
      <w:r>
        <w:t xml:space="preserve">AMI </w:t>
      </w:r>
      <w:r w:rsidR="009A4F2E">
        <w:t>revenue recovered</w:t>
      </w:r>
      <w:r w:rsidR="00C96B25">
        <w:t xml:space="preserve"> from its customers</w:t>
      </w:r>
      <w:r>
        <w:t xml:space="preserve"> over the 2009–15 period. </w:t>
      </w:r>
    </w:p>
    <w:p w:rsidR="00C3016D" w:rsidRPr="006715B3" w:rsidRDefault="00D739AF" w:rsidP="00C3016D">
      <w:r>
        <w:fldChar w:fldCharType="begin"/>
      </w:r>
      <w:r>
        <w:instrText xml:space="preserve"> REF _Ref461469222 \h </w:instrText>
      </w:r>
      <w:r>
        <w:fldChar w:fldCharType="separate"/>
      </w:r>
      <w:r w:rsidR="003C3A1D">
        <w:t xml:space="preserve">Table </w:t>
      </w:r>
      <w:r w:rsidR="003C3A1D">
        <w:rPr>
          <w:noProof/>
        </w:rPr>
        <w:t>8</w:t>
      </w:r>
      <w:r w:rsidR="003C3A1D">
        <w:t>.</w:t>
      </w:r>
      <w:r w:rsidR="003C3A1D">
        <w:rPr>
          <w:noProof/>
        </w:rPr>
        <w:t>1</w:t>
      </w:r>
      <w:r>
        <w:fldChar w:fldCharType="end"/>
      </w:r>
      <w:r>
        <w:t xml:space="preserve"> </w:t>
      </w:r>
      <w:r w:rsidR="00C3016D">
        <w:t xml:space="preserve">sets out </w:t>
      </w:r>
      <w:r>
        <w:t>Powercor's</w:t>
      </w:r>
      <w:r w:rsidR="00C3016D">
        <w:t xml:space="preserve"> AMI tariff revenue which we have verified against audited regulatory information notices.</w:t>
      </w:r>
    </w:p>
    <w:p w:rsidR="00C3016D" w:rsidRDefault="00C3016D" w:rsidP="00C3016D">
      <w:pPr>
        <w:pStyle w:val="Caption"/>
      </w:pPr>
      <w:bookmarkStart w:id="136" w:name="_Ref461469222"/>
      <w:r>
        <w:t xml:space="preserve">Table </w:t>
      </w:r>
      <w:r w:rsidRPr="009A23F2">
        <w:fldChar w:fldCharType="begin"/>
      </w:r>
      <w:r>
        <w:instrText xml:space="preserve"> STYLEREF 1 \s </w:instrText>
      </w:r>
      <w:r w:rsidRPr="009A23F2">
        <w:fldChar w:fldCharType="separate"/>
      </w:r>
      <w:r w:rsidR="003C3A1D">
        <w:rPr>
          <w:noProof/>
        </w:rPr>
        <w:t>8</w:t>
      </w:r>
      <w:r w:rsidRPr="009A23F2">
        <w:fldChar w:fldCharType="end"/>
      </w:r>
      <w:r>
        <w:t>.</w:t>
      </w:r>
      <w:fldSimple w:instr=" SEQ Table \* ARABIC \s 1 ">
        <w:r w:rsidR="003C3A1D">
          <w:rPr>
            <w:noProof/>
          </w:rPr>
          <w:t>1</w:t>
        </w:r>
      </w:fldSimple>
      <w:bookmarkEnd w:id="136"/>
      <w:r>
        <w:tab/>
        <w:t>AMI tariff revenue ($m, NPV 2009)</w:t>
      </w:r>
    </w:p>
    <w:tbl>
      <w:tblPr>
        <w:tblStyle w:val="AERtable-numbers"/>
        <w:tblW w:w="0" w:type="auto"/>
        <w:tblLook w:val="04A0" w:firstRow="1" w:lastRow="0" w:firstColumn="1" w:lastColumn="0" w:noHBand="0" w:noVBand="1"/>
      </w:tblPr>
      <w:tblGrid>
        <w:gridCol w:w="1066"/>
        <w:gridCol w:w="962"/>
        <w:gridCol w:w="964"/>
        <w:gridCol w:w="964"/>
        <w:gridCol w:w="964"/>
        <w:gridCol w:w="999"/>
        <w:gridCol w:w="999"/>
        <w:gridCol w:w="930"/>
        <w:gridCol w:w="845"/>
      </w:tblGrid>
      <w:tr w:rsidR="00C3016D" w:rsidTr="007B5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rsidR="00C3016D" w:rsidRDefault="00C3016D" w:rsidP="00C3016D"/>
        </w:tc>
        <w:tc>
          <w:tcPr>
            <w:tcW w:w="962"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2009</w:t>
            </w:r>
          </w:p>
        </w:tc>
        <w:tc>
          <w:tcPr>
            <w:tcW w:w="964"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2010</w:t>
            </w:r>
          </w:p>
        </w:tc>
        <w:tc>
          <w:tcPr>
            <w:tcW w:w="964"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2011</w:t>
            </w:r>
          </w:p>
        </w:tc>
        <w:tc>
          <w:tcPr>
            <w:tcW w:w="964"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2012</w:t>
            </w:r>
          </w:p>
        </w:tc>
        <w:tc>
          <w:tcPr>
            <w:tcW w:w="999"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2013</w:t>
            </w:r>
          </w:p>
        </w:tc>
        <w:tc>
          <w:tcPr>
            <w:tcW w:w="999"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2014</w:t>
            </w:r>
          </w:p>
        </w:tc>
        <w:tc>
          <w:tcPr>
            <w:tcW w:w="930"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2015</w:t>
            </w:r>
          </w:p>
        </w:tc>
        <w:tc>
          <w:tcPr>
            <w:tcW w:w="845"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Total</w:t>
            </w:r>
          </w:p>
        </w:tc>
      </w:tr>
      <w:tr w:rsidR="00C3016D" w:rsidTr="007B522A">
        <w:tc>
          <w:tcPr>
            <w:cnfStyle w:val="001000000000" w:firstRow="0" w:lastRow="0" w:firstColumn="1" w:lastColumn="0" w:oddVBand="0" w:evenVBand="0" w:oddHBand="0" w:evenHBand="0" w:firstRowFirstColumn="0" w:firstRowLastColumn="0" w:lastRowFirstColumn="0" w:lastRowLastColumn="0"/>
            <w:tcW w:w="1066" w:type="dxa"/>
          </w:tcPr>
          <w:p w:rsidR="00C3016D" w:rsidRDefault="00C3016D" w:rsidP="00C3016D">
            <w:r>
              <w:t>Tariff revenue</w:t>
            </w:r>
          </w:p>
        </w:tc>
        <w:tc>
          <w:tcPr>
            <w:tcW w:w="962"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31.3</w:t>
            </w:r>
          </w:p>
        </w:tc>
        <w:tc>
          <w:tcPr>
            <w:tcW w:w="964"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62.1</w:t>
            </w:r>
          </w:p>
        </w:tc>
        <w:tc>
          <w:tcPr>
            <w:tcW w:w="964"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57.3</w:t>
            </w:r>
          </w:p>
        </w:tc>
        <w:tc>
          <w:tcPr>
            <w:tcW w:w="964"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57.1</w:t>
            </w:r>
          </w:p>
        </w:tc>
        <w:tc>
          <w:tcPr>
            <w:tcW w:w="999"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66.1</w:t>
            </w:r>
          </w:p>
        </w:tc>
        <w:tc>
          <w:tcPr>
            <w:tcW w:w="999"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56.4</w:t>
            </w:r>
          </w:p>
        </w:tc>
        <w:tc>
          <w:tcPr>
            <w:tcW w:w="930"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47.9</w:t>
            </w:r>
          </w:p>
        </w:tc>
        <w:tc>
          <w:tcPr>
            <w:tcW w:w="845"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378.2</w:t>
            </w:r>
          </w:p>
        </w:tc>
      </w:tr>
    </w:tbl>
    <w:p w:rsidR="00C3016D" w:rsidRDefault="00C3016D" w:rsidP="00C3016D">
      <w:pPr>
        <w:pStyle w:val="AERtablesource"/>
      </w:pPr>
      <w:r>
        <w:t>Source:</w:t>
      </w:r>
      <w:r>
        <w:tab/>
      </w:r>
      <w:r w:rsidR="00D739AF">
        <w:t>Powercor</w:t>
      </w:r>
      <w:r>
        <w:t>, 2009–15 Regulatory Information Notices</w:t>
      </w:r>
      <w:r w:rsidR="00CC7303">
        <w:t>.</w:t>
      </w:r>
    </w:p>
    <w:p w:rsidR="00C3016D" w:rsidRPr="004A3CA1" w:rsidRDefault="00C3016D" w:rsidP="00C3016D">
      <w:pPr>
        <w:pStyle w:val="HeadingBoldItalic"/>
      </w:pPr>
      <w:r w:rsidRPr="004A3CA1">
        <w:t>Step two</w:t>
      </w:r>
    </w:p>
    <w:p w:rsidR="00C3016D" w:rsidRDefault="00C3016D" w:rsidP="00C3016D">
      <w:r>
        <w:t xml:space="preserve">The next step we took was to calculate </w:t>
      </w:r>
      <w:r w:rsidR="00D739AF">
        <w:t>Powercor's</w:t>
      </w:r>
      <w:r>
        <w:t xml:space="preserve"> approved building block costs</w:t>
      </w:r>
      <w:r w:rsidR="00C96B25">
        <w:t xml:space="preserve"> or approved budget costs</w:t>
      </w:r>
      <w:r>
        <w:t xml:space="preserve">. Since </w:t>
      </w:r>
      <w:r w:rsidR="00D739AF">
        <w:t>Powercor</w:t>
      </w:r>
      <w:r>
        <w:t xml:space="preserve"> underspent its budget, this process did not require us to consider any 2014 and 2015 excess expenditure.</w:t>
      </w:r>
    </w:p>
    <w:p w:rsidR="00C3016D" w:rsidRDefault="00C3016D" w:rsidP="00C3016D">
      <w:pPr>
        <w:pStyle w:val="Caption"/>
      </w:pPr>
      <w:r>
        <w:t xml:space="preserve">Table </w:t>
      </w:r>
      <w:r w:rsidRPr="009A23F2">
        <w:fldChar w:fldCharType="begin"/>
      </w:r>
      <w:r>
        <w:instrText xml:space="preserve"> STYLEREF 1 \s </w:instrText>
      </w:r>
      <w:r w:rsidRPr="009A23F2">
        <w:fldChar w:fldCharType="separate"/>
      </w:r>
      <w:r w:rsidR="003C3A1D">
        <w:rPr>
          <w:noProof/>
        </w:rPr>
        <w:t>8</w:t>
      </w:r>
      <w:r w:rsidRPr="009A23F2">
        <w:fldChar w:fldCharType="end"/>
      </w:r>
      <w:r>
        <w:t>.</w:t>
      </w:r>
      <w:fldSimple w:instr=" SEQ Table \* ARABIC \s 1 ">
        <w:r w:rsidR="003C3A1D">
          <w:rPr>
            <w:noProof/>
          </w:rPr>
          <w:t>2</w:t>
        </w:r>
      </w:fldSimple>
      <w:r>
        <w:tab/>
        <w:t xml:space="preserve">Approved recoverable costs ($m, NPV 2009) </w:t>
      </w:r>
    </w:p>
    <w:tbl>
      <w:tblPr>
        <w:tblStyle w:val="AERtable-numbers"/>
        <w:tblW w:w="0" w:type="auto"/>
        <w:tblLook w:val="04A0" w:firstRow="1" w:lastRow="0" w:firstColumn="1" w:lastColumn="0" w:noHBand="0" w:noVBand="1"/>
      </w:tblPr>
      <w:tblGrid>
        <w:gridCol w:w="1071"/>
        <w:gridCol w:w="962"/>
        <w:gridCol w:w="963"/>
        <w:gridCol w:w="963"/>
        <w:gridCol w:w="963"/>
        <w:gridCol w:w="998"/>
        <w:gridCol w:w="998"/>
        <w:gridCol w:w="930"/>
        <w:gridCol w:w="845"/>
      </w:tblGrid>
      <w:tr w:rsidR="00C3016D" w:rsidTr="007B5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C3016D" w:rsidRPr="008F441F" w:rsidRDefault="00C3016D" w:rsidP="00C3016D"/>
        </w:tc>
        <w:tc>
          <w:tcPr>
            <w:tcW w:w="962" w:type="dxa"/>
          </w:tcPr>
          <w:p w:rsidR="00C3016D" w:rsidRPr="008F441F" w:rsidRDefault="00C3016D" w:rsidP="00C3016D">
            <w:pPr>
              <w:cnfStyle w:val="100000000000" w:firstRow="1" w:lastRow="0" w:firstColumn="0" w:lastColumn="0" w:oddVBand="0" w:evenVBand="0" w:oddHBand="0" w:evenHBand="0" w:firstRowFirstColumn="0" w:firstRowLastColumn="0" w:lastRowFirstColumn="0" w:lastRowLastColumn="0"/>
            </w:pPr>
            <w:r w:rsidRPr="008F441F">
              <w:t>2009</w:t>
            </w:r>
          </w:p>
        </w:tc>
        <w:tc>
          <w:tcPr>
            <w:tcW w:w="963" w:type="dxa"/>
          </w:tcPr>
          <w:p w:rsidR="00C3016D" w:rsidRPr="008F441F" w:rsidRDefault="00C3016D" w:rsidP="00C3016D">
            <w:pPr>
              <w:cnfStyle w:val="100000000000" w:firstRow="1" w:lastRow="0" w:firstColumn="0" w:lastColumn="0" w:oddVBand="0" w:evenVBand="0" w:oddHBand="0" w:evenHBand="0" w:firstRowFirstColumn="0" w:firstRowLastColumn="0" w:lastRowFirstColumn="0" w:lastRowLastColumn="0"/>
            </w:pPr>
            <w:r w:rsidRPr="008F441F">
              <w:t>2010</w:t>
            </w:r>
          </w:p>
        </w:tc>
        <w:tc>
          <w:tcPr>
            <w:tcW w:w="963" w:type="dxa"/>
          </w:tcPr>
          <w:p w:rsidR="00C3016D" w:rsidRPr="008F441F" w:rsidRDefault="00C3016D" w:rsidP="00C3016D">
            <w:pPr>
              <w:cnfStyle w:val="100000000000" w:firstRow="1" w:lastRow="0" w:firstColumn="0" w:lastColumn="0" w:oddVBand="0" w:evenVBand="0" w:oddHBand="0" w:evenHBand="0" w:firstRowFirstColumn="0" w:firstRowLastColumn="0" w:lastRowFirstColumn="0" w:lastRowLastColumn="0"/>
            </w:pPr>
            <w:r w:rsidRPr="008F441F">
              <w:t>2011</w:t>
            </w:r>
          </w:p>
        </w:tc>
        <w:tc>
          <w:tcPr>
            <w:tcW w:w="963" w:type="dxa"/>
          </w:tcPr>
          <w:p w:rsidR="00C3016D" w:rsidRPr="008F441F" w:rsidRDefault="00C3016D" w:rsidP="00C3016D">
            <w:pPr>
              <w:cnfStyle w:val="100000000000" w:firstRow="1" w:lastRow="0" w:firstColumn="0" w:lastColumn="0" w:oddVBand="0" w:evenVBand="0" w:oddHBand="0" w:evenHBand="0" w:firstRowFirstColumn="0" w:firstRowLastColumn="0" w:lastRowFirstColumn="0" w:lastRowLastColumn="0"/>
            </w:pPr>
            <w:r w:rsidRPr="008F441F">
              <w:t>2012</w:t>
            </w:r>
          </w:p>
        </w:tc>
        <w:tc>
          <w:tcPr>
            <w:tcW w:w="998" w:type="dxa"/>
          </w:tcPr>
          <w:p w:rsidR="00C3016D" w:rsidRPr="008F441F" w:rsidRDefault="00C3016D" w:rsidP="00C3016D">
            <w:pPr>
              <w:cnfStyle w:val="100000000000" w:firstRow="1" w:lastRow="0" w:firstColumn="0" w:lastColumn="0" w:oddVBand="0" w:evenVBand="0" w:oddHBand="0" w:evenHBand="0" w:firstRowFirstColumn="0" w:firstRowLastColumn="0" w:lastRowFirstColumn="0" w:lastRowLastColumn="0"/>
            </w:pPr>
            <w:r w:rsidRPr="008F441F">
              <w:t>2013</w:t>
            </w:r>
          </w:p>
        </w:tc>
        <w:tc>
          <w:tcPr>
            <w:tcW w:w="998" w:type="dxa"/>
          </w:tcPr>
          <w:p w:rsidR="00C3016D" w:rsidRPr="008F441F" w:rsidRDefault="00C3016D" w:rsidP="00C3016D">
            <w:pPr>
              <w:cnfStyle w:val="100000000000" w:firstRow="1" w:lastRow="0" w:firstColumn="0" w:lastColumn="0" w:oddVBand="0" w:evenVBand="0" w:oddHBand="0" w:evenHBand="0" w:firstRowFirstColumn="0" w:firstRowLastColumn="0" w:lastRowFirstColumn="0" w:lastRowLastColumn="0"/>
            </w:pPr>
            <w:r w:rsidRPr="008F441F">
              <w:t>2014</w:t>
            </w:r>
          </w:p>
        </w:tc>
        <w:tc>
          <w:tcPr>
            <w:tcW w:w="930" w:type="dxa"/>
          </w:tcPr>
          <w:p w:rsidR="00C3016D" w:rsidRPr="008F441F" w:rsidRDefault="00C3016D" w:rsidP="00C3016D">
            <w:pPr>
              <w:cnfStyle w:val="100000000000" w:firstRow="1" w:lastRow="0" w:firstColumn="0" w:lastColumn="0" w:oddVBand="0" w:evenVBand="0" w:oddHBand="0" w:evenHBand="0" w:firstRowFirstColumn="0" w:firstRowLastColumn="0" w:lastRowFirstColumn="0" w:lastRowLastColumn="0"/>
            </w:pPr>
            <w:r w:rsidRPr="008F441F">
              <w:t>2015</w:t>
            </w:r>
          </w:p>
        </w:tc>
        <w:tc>
          <w:tcPr>
            <w:tcW w:w="845" w:type="dxa"/>
          </w:tcPr>
          <w:p w:rsidR="00C3016D" w:rsidRPr="008F441F" w:rsidRDefault="00C3016D" w:rsidP="00C3016D">
            <w:pPr>
              <w:cnfStyle w:val="100000000000" w:firstRow="1" w:lastRow="0" w:firstColumn="0" w:lastColumn="0" w:oddVBand="0" w:evenVBand="0" w:oddHBand="0" w:evenHBand="0" w:firstRowFirstColumn="0" w:firstRowLastColumn="0" w:lastRowFirstColumn="0" w:lastRowLastColumn="0"/>
            </w:pPr>
            <w:r w:rsidRPr="008F441F">
              <w:t>Total</w:t>
            </w:r>
          </w:p>
        </w:tc>
      </w:tr>
      <w:tr w:rsidR="00D739AF" w:rsidTr="007B522A">
        <w:tc>
          <w:tcPr>
            <w:cnfStyle w:val="001000000000" w:firstRow="0" w:lastRow="0" w:firstColumn="1" w:lastColumn="0" w:oddVBand="0" w:evenVBand="0" w:oddHBand="0" w:evenHBand="0" w:firstRowFirstColumn="0" w:firstRowLastColumn="0" w:lastRowFirstColumn="0" w:lastRowLastColumn="0"/>
            <w:tcW w:w="1071" w:type="dxa"/>
          </w:tcPr>
          <w:p w:rsidR="00D739AF" w:rsidRPr="00D739AF" w:rsidRDefault="00D739AF" w:rsidP="00D739AF">
            <w:r>
              <w:t>P</w:t>
            </w:r>
            <w:r w:rsidRPr="00D739AF">
              <w:t xml:space="preserve">owercor's proposal </w:t>
            </w:r>
          </w:p>
        </w:tc>
        <w:tc>
          <w:tcPr>
            <w:tcW w:w="962" w:type="dxa"/>
          </w:tcPr>
          <w:p w:rsidR="00D739AF" w:rsidRPr="00D739AF" w:rsidRDefault="00D739AF" w:rsidP="00D739AF">
            <w:pPr>
              <w:cnfStyle w:val="000000000000" w:firstRow="0" w:lastRow="0" w:firstColumn="0" w:lastColumn="0" w:oddVBand="0" w:evenVBand="0" w:oddHBand="0" w:evenHBand="0" w:firstRowFirstColumn="0" w:firstRowLastColumn="0" w:lastRowFirstColumn="0" w:lastRowLastColumn="0"/>
            </w:pPr>
            <w:r>
              <w:t>61.6</w:t>
            </w:r>
          </w:p>
        </w:tc>
        <w:tc>
          <w:tcPr>
            <w:tcW w:w="963" w:type="dxa"/>
          </w:tcPr>
          <w:p w:rsidR="00D739AF" w:rsidRPr="00D739AF" w:rsidRDefault="00D739AF" w:rsidP="00D739AF">
            <w:pPr>
              <w:cnfStyle w:val="000000000000" w:firstRow="0" w:lastRow="0" w:firstColumn="0" w:lastColumn="0" w:oddVBand="0" w:evenVBand="0" w:oddHBand="0" w:evenHBand="0" w:firstRowFirstColumn="0" w:firstRowLastColumn="0" w:lastRowFirstColumn="0" w:lastRowLastColumn="0"/>
            </w:pPr>
            <w:r>
              <w:t>38.9</w:t>
            </w:r>
          </w:p>
        </w:tc>
        <w:tc>
          <w:tcPr>
            <w:tcW w:w="963" w:type="dxa"/>
          </w:tcPr>
          <w:p w:rsidR="00D739AF" w:rsidRPr="00D739AF" w:rsidRDefault="00D739AF" w:rsidP="00D739AF">
            <w:pPr>
              <w:cnfStyle w:val="000000000000" w:firstRow="0" w:lastRow="0" w:firstColumn="0" w:lastColumn="0" w:oddVBand="0" w:evenVBand="0" w:oddHBand="0" w:evenHBand="0" w:firstRowFirstColumn="0" w:firstRowLastColumn="0" w:lastRowFirstColumn="0" w:lastRowLastColumn="0"/>
            </w:pPr>
            <w:r>
              <w:t>55.0</w:t>
            </w:r>
          </w:p>
        </w:tc>
        <w:tc>
          <w:tcPr>
            <w:tcW w:w="963" w:type="dxa"/>
          </w:tcPr>
          <w:p w:rsidR="00D739AF" w:rsidRPr="00D739AF" w:rsidRDefault="00D739AF" w:rsidP="00D739AF">
            <w:pPr>
              <w:cnfStyle w:val="000000000000" w:firstRow="0" w:lastRow="0" w:firstColumn="0" w:lastColumn="0" w:oddVBand="0" w:evenVBand="0" w:oddHBand="0" w:evenHBand="0" w:firstRowFirstColumn="0" w:firstRowLastColumn="0" w:lastRowFirstColumn="0" w:lastRowLastColumn="0"/>
            </w:pPr>
            <w:r>
              <w:t>59.8</w:t>
            </w:r>
          </w:p>
        </w:tc>
        <w:tc>
          <w:tcPr>
            <w:tcW w:w="998" w:type="dxa"/>
          </w:tcPr>
          <w:p w:rsidR="00D739AF" w:rsidRPr="00D739AF" w:rsidRDefault="00D739AF" w:rsidP="00D739AF">
            <w:pPr>
              <w:cnfStyle w:val="000000000000" w:firstRow="0" w:lastRow="0" w:firstColumn="0" w:lastColumn="0" w:oddVBand="0" w:evenVBand="0" w:oddHBand="0" w:evenHBand="0" w:firstRowFirstColumn="0" w:firstRowLastColumn="0" w:lastRowFirstColumn="0" w:lastRowLastColumn="0"/>
            </w:pPr>
            <w:r>
              <w:t>63.6</w:t>
            </w:r>
          </w:p>
        </w:tc>
        <w:tc>
          <w:tcPr>
            <w:tcW w:w="998" w:type="dxa"/>
          </w:tcPr>
          <w:p w:rsidR="00D739AF" w:rsidRPr="00D739AF" w:rsidRDefault="00D739AF" w:rsidP="00D739AF">
            <w:pPr>
              <w:cnfStyle w:val="000000000000" w:firstRow="0" w:lastRow="0" w:firstColumn="0" w:lastColumn="0" w:oddVBand="0" w:evenVBand="0" w:oddHBand="0" w:evenHBand="0" w:firstRowFirstColumn="0" w:firstRowLastColumn="0" w:lastRowFirstColumn="0" w:lastRowLastColumn="0"/>
            </w:pPr>
            <w:r>
              <w:t>49.7</w:t>
            </w:r>
          </w:p>
        </w:tc>
        <w:tc>
          <w:tcPr>
            <w:tcW w:w="930" w:type="dxa"/>
          </w:tcPr>
          <w:p w:rsidR="00D739AF" w:rsidRPr="00D739AF" w:rsidRDefault="00D739AF" w:rsidP="00D739AF">
            <w:pPr>
              <w:cnfStyle w:val="000000000000" w:firstRow="0" w:lastRow="0" w:firstColumn="0" w:lastColumn="0" w:oddVBand="0" w:evenVBand="0" w:oddHBand="0" w:evenHBand="0" w:firstRowFirstColumn="0" w:firstRowLastColumn="0" w:lastRowFirstColumn="0" w:lastRowLastColumn="0"/>
            </w:pPr>
            <w:r>
              <w:t>43.9</w:t>
            </w:r>
          </w:p>
        </w:tc>
        <w:tc>
          <w:tcPr>
            <w:tcW w:w="845" w:type="dxa"/>
          </w:tcPr>
          <w:p w:rsidR="00D739AF" w:rsidRPr="00D739AF" w:rsidRDefault="00D739AF" w:rsidP="00D739AF">
            <w:pPr>
              <w:cnfStyle w:val="000000000000" w:firstRow="0" w:lastRow="0" w:firstColumn="0" w:lastColumn="0" w:oddVBand="0" w:evenVBand="0" w:oddHBand="0" w:evenHBand="0" w:firstRowFirstColumn="0" w:firstRowLastColumn="0" w:lastRowFirstColumn="0" w:lastRowLastColumn="0"/>
            </w:pPr>
            <w:r>
              <w:t>372.4</w:t>
            </w:r>
          </w:p>
        </w:tc>
      </w:tr>
      <w:tr w:rsidR="00D739AF" w:rsidTr="007B5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00D739AF" w:rsidRPr="00D739AF" w:rsidRDefault="00D739AF" w:rsidP="00D739AF">
            <w:r w:rsidRPr="004B2781">
              <w:t xml:space="preserve">AER </w:t>
            </w:r>
            <w:r w:rsidRPr="00D739AF">
              <w:t>draft decision</w:t>
            </w:r>
          </w:p>
        </w:tc>
        <w:tc>
          <w:tcPr>
            <w:tcW w:w="962"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61.6</w:t>
            </w:r>
          </w:p>
        </w:tc>
        <w:tc>
          <w:tcPr>
            <w:tcW w:w="963"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38.9</w:t>
            </w:r>
          </w:p>
        </w:tc>
        <w:tc>
          <w:tcPr>
            <w:tcW w:w="963"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55.0</w:t>
            </w:r>
          </w:p>
        </w:tc>
        <w:tc>
          <w:tcPr>
            <w:tcW w:w="963"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59.8</w:t>
            </w:r>
          </w:p>
        </w:tc>
        <w:tc>
          <w:tcPr>
            <w:tcW w:w="998"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63.6</w:t>
            </w:r>
          </w:p>
        </w:tc>
        <w:tc>
          <w:tcPr>
            <w:tcW w:w="998"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49.7</w:t>
            </w:r>
          </w:p>
        </w:tc>
        <w:tc>
          <w:tcPr>
            <w:tcW w:w="930"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43.9</w:t>
            </w:r>
          </w:p>
        </w:tc>
        <w:tc>
          <w:tcPr>
            <w:tcW w:w="845"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372.4</w:t>
            </w:r>
          </w:p>
        </w:tc>
      </w:tr>
      <w:tr w:rsidR="00C3016D" w:rsidTr="007B522A">
        <w:tc>
          <w:tcPr>
            <w:cnfStyle w:val="001000000000" w:firstRow="0" w:lastRow="0" w:firstColumn="1" w:lastColumn="0" w:oddVBand="0" w:evenVBand="0" w:oddHBand="0" w:evenHBand="0" w:firstRowFirstColumn="0" w:firstRowLastColumn="0" w:lastRowFirstColumn="0" w:lastRowLastColumn="0"/>
            <w:tcW w:w="1071" w:type="dxa"/>
          </w:tcPr>
          <w:p w:rsidR="00C3016D" w:rsidRPr="00C3016D" w:rsidRDefault="00C3016D" w:rsidP="00C3016D">
            <w:r>
              <w:t>Difference</w:t>
            </w:r>
          </w:p>
        </w:tc>
        <w:tc>
          <w:tcPr>
            <w:tcW w:w="962" w:type="dxa"/>
          </w:tcPr>
          <w:p w:rsidR="00C3016D" w:rsidRPr="009A23F2" w:rsidRDefault="00C3016D" w:rsidP="00C3016D">
            <w:pPr>
              <w:cnfStyle w:val="000000000000" w:firstRow="0" w:lastRow="0" w:firstColumn="0" w:lastColumn="0" w:oddVBand="0" w:evenVBand="0" w:oddHBand="0" w:evenHBand="0" w:firstRowFirstColumn="0" w:firstRowLastColumn="0" w:lastRowFirstColumn="0" w:lastRowLastColumn="0"/>
            </w:pPr>
          </w:p>
        </w:tc>
        <w:tc>
          <w:tcPr>
            <w:tcW w:w="963" w:type="dxa"/>
          </w:tcPr>
          <w:p w:rsidR="00C3016D" w:rsidRPr="009A23F2" w:rsidRDefault="00C3016D" w:rsidP="00C3016D">
            <w:pPr>
              <w:cnfStyle w:val="000000000000" w:firstRow="0" w:lastRow="0" w:firstColumn="0" w:lastColumn="0" w:oddVBand="0" w:evenVBand="0" w:oddHBand="0" w:evenHBand="0" w:firstRowFirstColumn="0" w:firstRowLastColumn="0" w:lastRowFirstColumn="0" w:lastRowLastColumn="0"/>
            </w:pPr>
          </w:p>
        </w:tc>
        <w:tc>
          <w:tcPr>
            <w:tcW w:w="963" w:type="dxa"/>
          </w:tcPr>
          <w:p w:rsidR="00C3016D" w:rsidRPr="009A23F2" w:rsidRDefault="00C3016D" w:rsidP="00C3016D">
            <w:pPr>
              <w:cnfStyle w:val="000000000000" w:firstRow="0" w:lastRow="0" w:firstColumn="0" w:lastColumn="0" w:oddVBand="0" w:evenVBand="0" w:oddHBand="0" w:evenHBand="0" w:firstRowFirstColumn="0" w:firstRowLastColumn="0" w:lastRowFirstColumn="0" w:lastRowLastColumn="0"/>
            </w:pPr>
          </w:p>
        </w:tc>
        <w:tc>
          <w:tcPr>
            <w:tcW w:w="963" w:type="dxa"/>
          </w:tcPr>
          <w:p w:rsidR="00C3016D" w:rsidRPr="009A23F2" w:rsidRDefault="00C3016D" w:rsidP="00C3016D">
            <w:pPr>
              <w:cnfStyle w:val="000000000000" w:firstRow="0" w:lastRow="0" w:firstColumn="0" w:lastColumn="0" w:oddVBand="0" w:evenVBand="0" w:oddHBand="0" w:evenHBand="0" w:firstRowFirstColumn="0" w:firstRowLastColumn="0" w:lastRowFirstColumn="0" w:lastRowLastColumn="0"/>
            </w:pPr>
          </w:p>
        </w:tc>
        <w:tc>
          <w:tcPr>
            <w:tcW w:w="998" w:type="dxa"/>
          </w:tcPr>
          <w:p w:rsidR="00C3016D" w:rsidRPr="009A23F2" w:rsidRDefault="00C3016D" w:rsidP="00C3016D">
            <w:pPr>
              <w:cnfStyle w:val="000000000000" w:firstRow="0" w:lastRow="0" w:firstColumn="0" w:lastColumn="0" w:oddVBand="0" w:evenVBand="0" w:oddHBand="0" w:evenHBand="0" w:firstRowFirstColumn="0" w:firstRowLastColumn="0" w:lastRowFirstColumn="0" w:lastRowLastColumn="0"/>
            </w:pPr>
          </w:p>
        </w:tc>
        <w:tc>
          <w:tcPr>
            <w:tcW w:w="998"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0.0</w:t>
            </w:r>
          </w:p>
        </w:tc>
        <w:tc>
          <w:tcPr>
            <w:tcW w:w="930"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0.0</w:t>
            </w:r>
          </w:p>
        </w:tc>
        <w:tc>
          <w:tcPr>
            <w:tcW w:w="845"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0.0</w:t>
            </w:r>
          </w:p>
        </w:tc>
      </w:tr>
    </w:tbl>
    <w:p w:rsidR="00C3016D" w:rsidRDefault="00C3016D" w:rsidP="00C3016D">
      <w:pPr>
        <w:pStyle w:val="AERtablesource"/>
      </w:pPr>
      <w:r>
        <w:t>Source:</w:t>
      </w:r>
      <w:r>
        <w:tab/>
        <w:t>AER analysis.</w:t>
      </w:r>
    </w:p>
    <w:p w:rsidR="00C3016D" w:rsidRDefault="00C3016D" w:rsidP="00C3016D">
      <w:pPr>
        <w:pStyle w:val="HeadingBoldItalic"/>
      </w:pPr>
      <w:r>
        <w:t>Step three</w:t>
      </w:r>
    </w:p>
    <w:p w:rsidR="00C3016D" w:rsidRPr="00FB73AA" w:rsidRDefault="00C3016D" w:rsidP="00C3016D">
      <w:r>
        <w:t xml:space="preserve">The third step we took was to calculate the difference between </w:t>
      </w:r>
      <w:r w:rsidR="00D739AF">
        <w:t>Powercor's</w:t>
      </w:r>
      <w:r>
        <w:t xml:space="preserve"> revenue and approved costs. </w:t>
      </w:r>
      <w:r w:rsidR="00D739AF">
        <w:fldChar w:fldCharType="begin"/>
      </w:r>
      <w:r w:rsidR="00D739AF">
        <w:instrText xml:space="preserve"> REF _Ref461469413 \h </w:instrText>
      </w:r>
      <w:r w:rsidR="00D739AF">
        <w:fldChar w:fldCharType="separate"/>
      </w:r>
      <w:r w:rsidR="003C3A1D">
        <w:t xml:space="preserve">Table </w:t>
      </w:r>
      <w:r w:rsidR="003C3A1D">
        <w:rPr>
          <w:noProof/>
        </w:rPr>
        <w:t>8</w:t>
      </w:r>
      <w:r w:rsidR="003C3A1D">
        <w:t>.</w:t>
      </w:r>
      <w:r w:rsidR="003C3A1D">
        <w:rPr>
          <w:noProof/>
        </w:rPr>
        <w:t>3</w:t>
      </w:r>
      <w:r w:rsidR="00D739AF">
        <w:fldChar w:fldCharType="end"/>
      </w:r>
      <w:r w:rsidR="00D739AF">
        <w:t xml:space="preserve"> </w:t>
      </w:r>
      <w:r>
        <w:t xml:space="preserve">sets out this calculation in 2009 NPV terms. It shows that our draft decision is the same as </w:t>
      </w:r>
      <w:r w:rsidR="00D739AF">
        <w:t>Powercor's</w:t>
      </w:r>
      <w:r>
        <w:t xml:space="preserve"> proposed.</w:t>
      </w:r>
    </w:p>
    <w:p w:rsidR="00C3016D" w:rsidRDefault="00C3016D" w:rsidP="00C3016D">
      <w:pPr>
        <w:pStyle w:val="Caption"/>
      </w:pPr>
      <w:bookmarkStart w:id="137" w:name="_Ref461469413"/>
      <w:r>
        <w:t xml:space="preserve">Table </w:t>
      </w:r>
      <w:r w:rsidRPr="009A23F2">
        <w:fldChar w:fldCharType="begin"/>
      </w:r>
      <w:r>
        <w:instrText xml:space="preserve"> STYLEREF 1 \s </w:instrText>
      </w:r>
      <w:r w:rsidRPr="009A23F2">
        <w:fldChar w:fldCharType="separate"/>
      </w:r>
      <w:r w:rsidR="003C3A1D">
        <w:rPr>
          <w:noProof/>
        </w:rPr>
        <w:t>8</w:t>
      </w:r>
      <w:r w:rsidRPr="009A23F2">
        <w:fldChar w:fldCharType="end"/>
      </w:r>
      <w:r>
        <w:t>.</w:t>
      </w:r>
      <w:fldSimple w:instr=" SEQ Table \* ARABIC \s 1 ">
        <w:r w:rsidR="003C3A1D">
          <w:rPr>
            <w:noProof/>
          </w:rPr>
          <w:t>3</w:t>
        </w:r>
      </w:fldSimple>
      <w:bookmarkEnd w:id="137"/>
      <w:r>
        <w:tab/>
        <w:t>Revenue and costs true–up ($m, NPV 2009)</w:t>
      </w:r>
    </w:p>
    <w:tbl>
      <w:tblPr>
        <w:tblStyle w:val="AERtable-numbers"/>
        <w:tblW w:w="0" w:type="auto"/>
        <w:tblLook w:val="04A0" w:firstRow="1" w:lastRow="0" w:firstColumn="1" w:lastColumn="0" w:noHBand="0" w:noVBand="1"/>
      </w:tblPr>
      <w:tblGrid>
        <w:gridCol w:w="2173"/>
        <w:gridCol w:w="2173"/>
        <w:gridCol w:w="2173"/>
        <w:gridCol w:w="2174"/>
      </w:tblGrid>
      <w:tr w:rsidR="00C3016D" w:rsidTr="007B5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C3016D" w:rsidRDefault="00C3016D" w:rsidP="00C3016D"/>
        </w:tc>
        <w:tc>
          <w:tcPr>
            <w:tcW w:w="2173"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Revenue</w:t>
            </w:r>
          </w:p>
        </w:tc>
        <w:tc>
          <w:tcPr>
            <w:tcW w:w="2173"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Approved c</w:t>
            </w:r>
            <w:r w:rsidRPr="00C3016D">
              <w:t>osts</w:t>
            </w:r>
          </w:p>
        </w:tc>
        <w:tc>
          <w:tcPr>
            <w:tcW w:w="2174"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T</w:t>
            </w:r>
            <w:r w:rsidRPr="00C3016D">
              <w:t xml:space="preserve">rue-up </w:t>
            </w:r>
          </w:p>
        </w:tc>
      </w:tr>
      <w:tr w:rsidR="00C3016D" w:rsidTr="007B522A">
        <w:tc>
          <w:tcPr>
            <w:cnfStyle w:val="001000000000" w:firstRow="0" w:lastRow="0" w:firstColumn="1" w:lastColumn="0" w:oddVBand="0" w:evenVBand="0" w:oddHBand="0" w:evenHBand="0" w:firstRowFirstColumn="0" w:firstRowLastColumn="0" w:lastRowFirstColumn="0" w:lastRowLastColumn="0"/>
            <w:tcW w:w="2173" w:type="dxa"/>
          </w:tcPr>
          <w:p w:rsidR="00C3016D" w:rsidRPr="00C3016D" w:rsidRDefault="00C3016D" w:rsidP="00C3016D">
            <w:r>
              <w:t>C</w:t>
            </w:r>
            <w:r w:rsidRPr="00C3016D">
              <w:t>itiPower's proposal</w:t>
            </w:r>
          </w:p>
        </w:tc>
        <w:tc>
          <w:tcPr>
            <w:tcW w:w="2173"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378.2</w:t>
            </w:r>
          </w:p>
        </w:tc>
        <w:tc>
          <w:tcPr>
            <w:tcW w:w="2173"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372.4</w:t>
            </w:r>
          </w:p>
        </w:tc>
        <w:tc>
          <w:tcPr>
            <w:tcW w:w="2174" w:type="dxa"/>
          </w:tcPr>
          <w:p w:rsidR="00C3016D" w:rsidRPr="00C3016D" w:rsidRDefault="00D739AF" w:rsidP="00C3016D">
            <w:pPr>
              <w:cnfStyle w:val="000000000000" w:firstRow="0" w:lastRow="0" w:firstColumn="0" w:lastColumn="0" w:oddVBand="0" w:evenVBand="0" w:oddHBand="0" w:evenHBand="0" w:firstRowFirstColumn="0" w:firstRowLastColumn="0" w:lastRowFirstColumn="0" w:lastRowLastColumn="0"/>
            </w:pPr>
            <w:r>
              <w:t>(5.8)</w:t>
            </w:r>
          </w:p>
        </w:tc>
      </w:tr>
      <w:tr w:rsidR="00D739AF" w:rsidTr="007B5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D739AF" w:rsidRPr="00D739AF" w:rsidRDefault="00D739AF" w:rsidP="00D739AF">
            <w:r>
              <w:t>AER draft decision</w:t>
            </w:r>
          </w:p>
        </w:tc>
        <w:tc>
          <w:tcPr>
            <w:tcW w:w="2173"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378.2</w:t>
            </w:r>
          </w:p>
        </w:tc>
        <w:tc>
          <w:tcPr>
            <w:tcW w:w="2173"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372.4</w:t>
            </w:r>
          </w:p>
        </w:tc>
        <w:tc>
          <w:tcPr>
            <w:tcW w:w="2174" w:type="dxa"/>
          </w:tcPr>
          <w:p w:rsidR="00D739AF" w:rsidRPr="00D739AF" w:rsidRDefault="00D739AF" w:rsidP="00D739AF">
            <w:pPr>
              <w:cnfStyle w:val="000000010000" w:firstRow="0" w:lastRow="0" w:firstColumn="0" w:lastColumn="0" w:oddVBand="0" w:evenVBand="0" w:oddHBand="0" w:evenHBand="1" w:firstRowFirstColumn="0" w:firstRowLastColumn="0" w:lastRowFirstColumn="0" w:lastRowLastColumn="0"/>
            </w:pPr>
            <w:r>
              <w:t>(5.8)</w:t>
            </w:r>
          </w:p>
        </w:tc>
      </w:tr>
    </w:tbl>
    <w:p w:rsidR="00C3016D" w:rsidRDefault="00C3016D" w:rsidP="00C3016D">
      <w:pPr>
        <w:pStyle w:val="AERtablesource"/>
      </w:pPr>
      <w:r>
        <w:t>Source:</w:t>
      </w:r>
      <w:r>
        <w:tab/>
        <w:t>AER analysis.</w:t>
      </w:r>
    </w:p>
    <w:p w:rsidR="00C3016D" w:rsidRDefault="00C3016D" w:rsidP="00C3016D">
      <w:pPr>
        <w:pStyle w:val="HeadingBoldItalic"/>
      </w:pPr>
      <w:r>
        <w:t>Step four</w:t>
      </w:r>
    </w:p>
    <w:p w:rsidR="00C3016D" w:rsidRDefault="00C3016D" w:rsidP="00C3016D">
      <w:r>
        <w:t>Our final step was to discount the true–up amount to its correct NPV.</w:t>
      </w:r>
    </w:p>
    <w:p w:rsidR="00C3016D" w:rsidRPr="00991849" w:rsidRDefault="00C3016D" w:rsidP="00C3016D">
      <w:r>
        <w:t>We have decided in this draft decision to apply the transition charge in the 2018 year of the Victorian electricity distributor's 2016–20</w:t>
      </w:r>
      <w:r w:rsidR="00C752D5">
        <w:t>20</w:t>
      </w:r>
      <w:r>
        <w:t xml:space="preserve"> regulatory control period. We therefore discounted the amount we calculated in step three to its 2018 NPV.</w:t>
      </w:r>
      <w:r w:rsidR="008D0E3B">
        <w:rPr>
          <w:rStyle w:val="FootnoteReference"/>
        </w:rPr>
        <w:footnoteReference w:id="110"/>
      </w:r>
      <w:r>
        <w:t xml:space="preserve"> This amount is set out in</w:t>
      </w:r>
      <w:r w:rsidR="00C752D5">
        <w:t xml:space="preserve"> </w:t>
      </w:r>
      <w:r w:rsidR="00C752D5">
        <w:fldChar w:fldCharType="begin"/>
      </w:r>
      <w:r w:rsidR="00C752D5">
        <w:instrText xml:space="preserve"> REF _Ref461526103 \h </w:instrText>
      </w:r>
      <w:r w:rsidR="00C752D5">
        <w:fldChar w:fldCharType="separate"/>
      </w:r>
      <w:r w:rsidR="003C3A1D">
        <w:t xml:space="preserve">Table </w:t>
      </w:r>
      <w:r w:rsidR="003C3A1D">
        <w:rPr>
          <w:noProof/>
        </w:rPr>
        <w:t>8</w:t>
      </w:r>
      <w:r w:rsidR="003C3A1D">
        <w:t>.</w:t>
      </w:r>
      <w:r w:rsidR="003C3A1D">
        <w:rPr>
          <w:noProof/>
        </w:rPr>
        <w:t>4</w:t>
      </w:r>
      <w:r w:rsidR="00C752D5">
        <w:fldChar w:fldCharType="end"/>
      </w:r>
      <w:r>
        <w:t>.</w:t>
      </w:r>
    </w:p>
    <w:p w:rsidR="00C3016D" w:rsidRDefault="00C3016D" w:rsidP="00C3016D">
      <w:pPr>
        <w:pStyle w:val="Caption"/>
      </w:pPr>
      <w:bookmarkStart w:id="138" w:name="_Ref461526103"/>
      <w:r>
        <w:t xml:space="preserve">Table </w:t>
      </w:r>
      <w:r w:rsidRPr="009A23F2">
        <w:fldChar w:fldCharType="begin"/>
      </w:r>
      <w:r>
        <w:instrText xml:space="preserve"> STYLEREF 1 \s </w:instrText>
      </w:r>
      <w:r w:rsidRPr="009A23F2">
        <w:fldChar w:fldCharType="separate"/>
      </w:r>
      <w:r w:rsidR="003C3A1D">
        <w:rPr>
          <w:noProof/>
        </w:rPr>
        <w:t>8</w:t>
      </w:r>
      <w:r w:rsidRPr="009A23F2">
        <w:fldChar w:fldCharType="end"/>
      </w:r>
      <w:r>
        <w:t>.</w:t>
      </w:r>
      <w:fldSimple w:instr=" SEQ Table \* ARABIC \s 1 ">
        <w:r w:rsidR="003C3A1D">
          <w:rPr>
            <w:noProof/>
          </w:rPr>
          <w:t>4</w:t>
        </w:r>
      </w:fldSimple>
      <w:bookmarkEnd w:id="138"/>
      <w:r>
        <w:tab/>
        <w:t>Draft decision on revenue and costs true–up ($m, NPV 2018)</w:t>
      </w:r>
    </w:p>
    <w:tbl>
      <w:tblPr>
        <w:tblStyle w:val="AERtable-numbers"/>
        <w:tblW w:w="0" w:type="auto"/>
        <w:tblLook w:val="04A0" w:firstRow="1" w:lastRow="0" w:firstColumn="1" w:lastColumn="0" w:noHBand="0" w:noVBand="1"/>
      </w:tblPr>
      <w:tblGrid>
        <w:gridCol w:w="4346"/>
        <w:gridCol w:w="4347"/>
      </w:tblGrid>
      <w:tr w:rsidR="00C3016D" w:rsidTr="007B5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C3016D" w:rsidRDefault="00C3016D" w:rsidP="00C3016D"/>
        </w:tc>
        <w:tc>
          <w:tcPr>
            <w:tcW w:w="4347"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True–up</w:t>
            </w:r>
          </w:p>
        </w:tc>
      </w:tr>
      <w:tr w:rsidR="00C3016D" w:rsidTr="007B522A">
        <w:tc>
          <w:tcPr>
            <w:cnfStyle w:val="001000000000" w:firstRow="0" w:lastRow="0" w:firstColumn="1" w:lastColumn="0" w:oddVBand="0" w:evenVBand="0" w:oddHBand="0" w:evenHBand="0" w:firstRowFirstColumn="0" w:firstRowLastColumn="0" w:lastRowFirstColumn="0" w:lastRowLastColumn="0"/>
            <w:tcW w:w="4346" w:type="dxa"/>
          </w:tcPr>
          <w:p w:rsidR="00C3016D" w:rsidRDefault="00C3016D" w:rsidP="00C3016D">
            <w:r>
              <w:t>AER draft decision</w:t>
            </w:r>
          </w:p>
        </w:tc>
        <w:tc>
          <w:tcPr>
            <w:tcW w:w="4347"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(11.8)</w:t>
            </w:r>
          </w:p>
        </w:tc>
      </w:tr>
    </w:tbl>
    <w:p w:rsidR="00C3016D" w:rsidRDefault="00C3016D" w:rsidP="00C3016D">
      <w:pPr>
        <w:pStyle w:val="AERtablesource"/>
      </w:pPr>
      <w:r>
        <w:t>Source:</w:t>
      </w:r>
      <w:r>
        <w:tab/>
        <w:t>AER analysis.</w:t>
      </w:r>
    </w:p>
    <w:p w:rsidR="00C3016D" w:rsidRDefault="00C3016D" w:rsidP="00C3016D">
      <w:pPr>
        <w:pStyle w:val="Heading3"/>
      </w:pPr>
      <w:bookmarkStart w:id="139" w:name="_Toc461526291"/>
      <w:r>
        <w:t>MAB true–up</w:t>
      </w:r>
      <w:bookmarkEnd w:id="139"/>
    </w:p>
    <w:p w:rsidR="00C3016D" w:rsidRDefault="00C3016D" w:rsidP="00C3016D">
      <w:r>
        <w:t xml:space="preserve">We have calculated a </w:t>
      </w:r>
      <w:r w:rsidR="00EF5877">
        <w:t>positive</w:t>
      </w:r>
      <w:r>
        <w:t xml:space="preserve"> MAB true–up of $</w:t>
      </w:r>
      <w:r w:rsidR="00EF5877">
        <w:t>2.0</w:t>
      </w:r>
      <w:r>
        <w:t xml:space="preserve"> million ($2018).</w:t>
      </w:r>
    </w:p>
    <w:p w:rsidR="00C3016D" w:rsidRDefault="00C3016D" w:rsidP="00C3016D">
      <w:pPr>
        <w:pStyle w:val="HeadingBoldItalic"/>
      </w:pPr>
      <w:r>
        <w:t>Step one</w:t>
      </w:r>
    </w:p>
    <w:p w:rsidR="00C3016D" w:rsidRDefault="00C3016D" w:rsidP="00C3016D">
      <w:r>
        <w:t>The first step we took was to recalculate the 2016–20</w:t>
      </w:r>
      <w:r w:rsidR="00C752D5">
        <w:t>20</w:t>
      </w:r>
      <w:r>
        <w:t xml:space="preserve"> opening MAB value.</w:t>
      </w:r>
    </w:p>
    <w:p w:rsidR="00C3016D" w:rsidRPr="00EA5FB4" w:rsidRDefault="00C3016D" w:rsidP="00C3016D">
      <w:r>
        <w:t>This process involved a comparison. In particular, we compared the opening MAB value which we determined in our 2016–20</w:t>
      </w:r>
      <w:r w:rsidR="00C752D5">
        <w:t>20</w:t>
      </w:r>
      <w:r>
        <w:t xml:space="preserve"> distribution determination with the opening MAB value that we have calculated in this transition charges draft decision. </w:t>
      </w:r>
      <w:r w:rsidR="00EF5877">
        <w:fldChar w:fldCharType="begin"/>
      </w:r>
      <w:r w:rsidR="00EF5877">
        <w:instrText xml:space="preserve"> REF _Ref461469563 \h </w:instrText>
      </w:r>
      <w:r w:rsidR="00EF5877">
        <w:fldChar w:fldCharType="separate"/>
      </w:r>
      <w:r w:rsidR="003C3A1D">
        <w:t xml:space="preserve">Table </w:t>
      </w:r>
      <w:r w:rsidR="003C3A1D">
        <w:rPr>
          <w:noProof/>
        </w:rPr>
        <w:t>8</w:t>
      </w:r>
      <w:r w:rsidR="003C3A1D">
        <w:t>.</w:t>
      </w:r>
      <w:r w:rsidR="003C3A1D">
        <w:rPr>
          <w:noProof/>
        </w:rPr>
        <w:t>5</w:t>
      </w:r>
      <w:r w:rsidR="00EF5877">
        <w:fldChar w:fldCharType="end"/>
      </w:r>
      <w:r w:rsidR="00EF5877">
        <w:t xml:space="preserve"> </w:t>
      </w:r>
      <w:r>
        <w:t>sets out that recalculation.</w:t>
      </w:r>
    </w:p>
    <w:p w:rsidR="00C3016D" w:rsidRDefault="00C3016D" w:rsidP="00C3016D">
      <w:pPr>
        <w:pStyle w:val="Caption"/>
      </w:pPr>
      <w:bookmarkStart w:id="140" w:name="_Ref461469563"/>
      <w:r>
        <w:t xml:space="preserve">Table </w:t>
      </w:r>
      <w:r w:rsidRPr="009A23F2">
        <w:fldChar w:fldCharType="begin"/>
      </w:r>
      <w:r>
        <w:instrText xml:space="preserve"> STYLEREF 1 \s </w:instrText>
      </w:r>
      <w:r w:rsidRPr="009A23F2">
        <w:fldChar w:fldCharType="separate"/>
      </w:r>
      <w:r w:rsidR="003C3A1D">
        <w:rPr>
          <w:noProof/>
        </w:rPr>
        <w:t>8</w:t>
      </w:r>
      <w:r w:rsidRPr="009A23F2">
        <w:fldChar w:fldCharType="end"/>
      </w:r>
      <w:r>
        <w:t>.</w:t>
      </w:r>
      <w:fldSimple w:instr=" SEQ Table \* ARABIC \s 1 ">
        <w:r w:rsidR="003C3A1D">
          <w:rPr>
            <w:noProof/>
          </w:rPr>
          <w:t>5</w:t>
        </w:r>
      </w:fldSimple>
      <w:bookmarkEnd w:id="140"/>
      <w:r>
        <w:tab/>
        <w:t>Calculation of opening MAB value ($m, 2008)</w:t>
      </w:r>
    </w:p>
    <w:tbl>
      <w:tblPr>
        <w:tblStyle w:val="AERtable-numbers"/>
        <w:tblW w:w="0" w:type="auto"/>
        <w:tblLook w:val="04A0" w:firstRow="1" w:lastRow="0" w:firstColumn="1" w:lastColumn="0" w:noHBand="0" w:noVBand="1"/>
      </w:tblPr>
      <w:tblGrid>
        <w:gridCol w:w="1853"/>
        <w:gridCol w:w="1159"/>
        <w:gridCol w:w="1158"/>
        <w:gridCol w:w="1158"/>
        <w:gridCol w:w="1158"/>
        <w:gridCol w:w="1106"/>
        <w:gridCol w:w="1101"/>
      </w:tblGrid>
      <w:tr w:rsidR="00C3016D" w:rsidTr="007B5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C3016D" w:rsidRDefault="00C3016D" w:rsidP="00C3016D"/>
        </w:tc>
        <w:tc>
          <w:tcPr>
            <w:tcW w:w="1159"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2011</w:t>
            </w:r>
          </w:p>
        </w:tc>
        <w:tc>
          <w:tcPr>
            <w:tcW w:w="1158"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2012</w:t>
            </w:r>
          </w:p>
        </w:tc>
        <w:tc>
          <w:tcPr>
            <w:tcW w:w="1158"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2013</w:t>
            </w:r>
          </w:p>
        </w:tc>
        <w:tc>
          <w:tcPr>
            <w:tcW w:w="1158"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2014</w:t>
            </w:r>
          </w:p>
        </w:tc>
        <w:tc>
          <w:tcPr>
            <w:tcW w:w="1106"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2015</w:t>
            </w:r>
          </w:p>
        </w:tc>
        <w:tc>
          <w:tcPr>
            <w:tcW w:w="1101" w:type="dxa"/>
          </w:tcPr>
          <w:p w:rsidR="00C3016D" w:rsidRDefault="00C3016D" w:rsidP="00C3016D">
            <w:pPr>
              <w:cnfStyle w:val="100000000000" w:firstRow="1" w:lastRow="0" w:firstColumn="0" w:lastColumn="0" w:oddVBand="0" w:evenVBand="0" w:oddHBand="0" w:evenHBand="0" w:firstRowFirstColumn="0" w:firstRowLastColumn="0" w:lastRowFirstColumn="0" w:lastRowLastColumn="0"/>
            </w:pPr>
            <w:r>
              <w:t>Opening MAB</w:t>
            </w:r>
          </w:p>
        </w:tc>
      </w:tr>
      <w:tr w:rsidR="00C3016D" w:rsidTr="007B522A">
        <w:tc>
          <w:tcPr>
            <w:cnfStyle w:val="001000000000" w:firstRow="0" w:lastRow="0" w:firstColumn="1" w:lastColumn="0" w:oddVBand="0" w:evenVBand="0" w:oddHBand="0" w:evenHBand="0" w:firstRowFirstColumn="0" w:firstRowLastColumn="0" w:lastRowFirstColumn="0" w:lastRowLastColumn="0"/>
            <w:tcW w:w="1853" w:type="dxa"/>
          </w:tcPr>
          <w:p w:rsidR="00C3016D" w:rsidRDefault="00C3016D" w:rsidP="00C3016D">
            <w:r>
              <w:t>2016–20</w:t>
            </w:r>
            <w:r w:rsidR="00CC7303">
              <w:t>20</w:t>
            </w:r>
            <w:r>
              <w:t xml:space="preserve"> Victorian determination</w:t>
            </w:r>
          </w:p>
        </w:tc>
        <w:tc>
          <w:tcPr>
            <w:tcW w:w="1159"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222.9</w:t>
            </w:r>
          </w:p>
        </w:tc>
        <w:tc>
          <w:tcPr>
            <w:tcW w:w="1158"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292.5</w:t>
            </w:r>
          </w:p>
        </w:tc>
        <w:tc>
          <w:tcPr>
            <w:tcW w:w="1158"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321.4</w:t>
            </w:r>
          </w:p>
        </w:tc>
        <w:tc>
          <w:tcPr>
            <w:tcW w:w="1158"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298.7</w:t>
            </w:r>
          </w:p>
        </w:tc>
        <w:tc>
          <w:tcPr>
            <w:tcW w:w="1106"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273.1</w:t>
            </w:r>
          </w:p>
        </w:tc>
        <w:tc>
          <w:tcPr>
            <w:tcW w:w="1101"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273.1</w:t>
            </w:r>
          </w:p>
        </w:tc>
      </w:tr>
      <w:tr w:rsidR="00C3016D" w:rsidTr="007B5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C3016D" w:rsidRDefault="00C3016D" w:rsidP="00C3016D">
            <w:r>
              <w:t>Transition charge draft decision</w:t>
            </w:r>
          </w:p>
        </w:tc>
        <w:tc>
          <w:tcPr>
            <w:tcW w:w="1159"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222.9</w:t>
            </w:r>
          </w:p>
        </w:tc>
        <w:tc>
          <w:tcPr>
            <w:tcW w:w="1158"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292.5</w:t>
            </w:r>
          </w:p>
        </w:tc>
        <w:tc>
          <w:tcPr>
            <w:tcW w:w="1158"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321.4</w:t>
            </w:r>
          </w:p>
        </w:tc>
        <w:tc>
          <w:tcPr>
            <w:tcW w:w="1158"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302.2</w:t>
            </w:r>
          </w:p>
        </w:tc>
        <w:tc>
          <w:tcPr>
            <w:tcW w:w="1106"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275.9</w:t>
            </w:r>
          </w:p>
        </w:tc>
        <w:tc>
          <w:tcPr>
            <w:tcW w:w="1101"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275.9</w:t>
            </w:r>
          </w:p>
        </w:tc>
      </w:tr>
    </w:tbl>
    <w:p w:rsidR="00C3016D" w:rsidRDefault="00C3016D" w:rsidP="00C3016D">
      <w:pPr>
        <w:pStyle w:val="AERtablesource"/>
      </w:pPr>
      <w:r>
        <w:t xml:space="preserve"> Source:</w:t>
      </w:r>
      <w:r>
        <w:tab/>
        <w:t>AER analysis.</w:t>
      </w:r>
    </w:p>
    <w:p w:rsidR="00C3016D" w:rsidRDefault="00C3016D" w:rsidP="00C3016D">
      <w:r>
        <w:t xml:space="preserve">As shown in </w:t>
      </w:r>
      <w:r w:rsidR="00EF5877">
        <w:fldChar w:fldCharType="begin"/>
      </w:r>
      <w:r w:rsidR="00EF5877">
        <w:instrText xml:space="preserve"> REF _Ref461469563 \h </w:instrText>
      </w:r>
      <w:r w:rsidR="00EF5877">
        <w:fldChar w:fldCharType="separate"/>
      </w:r>
      <w:r w:rsidR="003C3A1D">
        <w:t xml:space="preserve">Table </w:t>
      </w:r>
      <w:r w:rsidR="003C3A1D">
        <w:rPr>
          <w:noProof/>
        </w:rPr>
        <w:t>8</w:t>
      </w:r>
      <w:r w:rsidR="003C3A1D">
        <w:t>.</w:t>
      </w:r>
      <w:r w:rsidR="003C3A1D">
        <w:rPr>
          <w:noProof/>
        </w:rPr>
        <w:t>5</w:t>
      </w:r>
      <w:r w:rsidR="00EF5877">
        <w:fldChar w:fldCharType="end"/>
      </w:r>
      <w:r>
        <w:t xml:space="preserve"> above, the opening MAB value we have calculated in this transition charges draft decision is </w:t>
      </w:r>
      <w:r w:rsidR="00EF5877">
        <w:t>higher</w:t>
      </w:r>
      <w:r>
        <w:t xml:space="preserve"> than in our 2016–20</w:t>
      </w:r>
      <w:r w:rsidR="00C752D5">
        <w:t>20</w:t>
      </w:r>
      <w:r>
        <w:t xml:space="preserve"> distribution determination. The reason for this is that our 2016–20</w:t>
      </w:r>
      <w:r w:rsidR="00C752D5">
        <w:t>20</w:t>
      </w:r>
      <w:r>
        <w:t xml:space="preserve"> distribution determination relied on forecast data. In particular, when determining the capex to be rolled into the MAB for the 2014 and 2015 years we used </w:t>
      </w:r>
      <w:r w:rsidR="00EF5877">
        <w:t>Powercor's</w:t>
      </w:r>
      <w:r>
        <w:t xml:space="preserve"> </w:t>
      </w:r>
      <w:r w:rsidRPr="0008672B">
        <w:t>forecast</w:t>
      </w:r>
      <w:r>
        <w:t xml:space="preserve"> capex in its 2015 AMI Charges Revision Applications.</w:t>
      </w:r>
      <w:r>
        <w:rPr>
          <w:rStyle w:val="FootnoteReference"/>
        </w:rPr>
        <w:footnoteReference w:id="111"/>
      </w:r>
      <w:r>
        <w:t xml:space="preserve"> In effect, we used a forecast </w:t>
      </w:r>
      <w:r w:rsidR="00EF5877">
        <w:t>Powercor</w:t>
      </w:r>
      <w:r>
        <w:t xml:space="preserve"> had made in August 2014. Our transition charge draft decision, by contrast, takes </w:t>
      </w:r>
      <w:r w:rsidR="00EF5877">
        <w:t>Powercor's</w:t>
      </w:r>
      <w:r>
        <w:t xml:space="preserve"> </w:t>
      </w:r>
      <w:r w:rsidRPr="0008672B">
        <w:rPr>
          <w:rStyle w:val="AERtextitalic"/>
        </w:rPr>
        <w:t>actual</w:t>
      </w:r>
      <w:r>
        <w:t xml:space="preserve"> capex in 2014 and 2015 into consideration. </w:t>
      </w:r>
    </w:p>
    <w:p w:rsidR="00C3016D" w:rsidRDefault="00C3016D" w:rsidP="00C3016D">
      <w:pPr>
        <w:pStyle w:val="HeadingBoldItalic"/>
      </w:pPr>
      <w:r>
        <w:t>Step two</w:t>
      </w:r>
    </w:p>
    <w:p w:rsidR="00C3016D" w:rsidRDefault="00C3016D" w:rsidP="00C3016D">
      <w:r>
        <w:t xml:space="preserve">Once we had recalculated </w:t>
      </w:r>
      <w:r w:rsidR="00EF5877">
        <w:t>Powercor's</w:t>
      </w:r>
      <w:r>
        <w:t xml:space="preserve"> MAB value, the next step we took was to escalate the value of the recalculated MAB value to 2015 dollar terms. </w:t>
      </w:r>
    </w:p>
    <w:p w:rsidR="00C3016D" w:rsidRDefault="00C3016D" w:rsidP="00C3016D">
      <w:r>
        <w:t>The reason why we escalated it to 2015 dollar terms was that this is the value which we applied in our 2016–20</w:t>
      </w:r>
      <w:r w:rsidR="00CC7303">
        <w:t>20</w:t>
      </w:r>
      <w:r>
        <w:t xml:space="preserve"> distribution determination. </w:t>
      </w:r>
      <w:r w:rsidR="00EF5877">
        <w:fldChar w:fldCharType="begin"/>
      </w:r>
      <w:r w:rsidR="00EF5877">
        <w:instrText xml:space="preserve"> REF _Ref461469781 \h </w:instrText>
      </w:r>
      <w:r w:rsidR="00EF5877">
        <w:fldChar w:fldCharType="separate"/>
      </w:r>
      <w:r w:rsidR="003C3A1D">
        <w:t xml:space="preserve">Table </w:t>
      </w:r>
      <w:r w:rsidR="003C3A1D">
        <w:rPr>
          <w:noProof/>
        </w:rPr>
        <w:t>8</w:t>
      </w:r>
      <w:r w:rsidR="003C3A1D">
        <w:t>.</w:t>
      </w:r>
      <w:r w:rsidR="003C3A1D">
        <w:rPr>
          <w:noProof/>
        </w:rPr>
        <w:t>6</w:t>
      </w:r>
      <w:r w:rsidR="00EF5877">
        <w:fldChar w:fldCharType="end"/>
      </w:r>
      <w:r w:rsidR="00EF5877">
        <w:t xml:space="preserve"> </w:t>
      </w:r>
      <w:r>
        <w:t xml:space="preserve">sets out the results of the escalation we applied. </w:t>
      </w:r>
    </w:p>
    <w:p w:rsidR="00C3016D" w:rsidRDefault="00C3016D" w:rsidP="00C3016D">
      <w:pPr>
        <w:pStyle w:val="Caption"/>
      </w:pPr>
      <w:bookmarkStart w:id="141" w:name="_Ref461469781"/>
      <w:r>
        <w:t xml:space="preserve">Table </w:t>
      </w:r>
      <w:r w:rsidRPr="009A23F2">
        <w:fldChar w:fldCharType="begin"/>
      </w:r>
      <w:r>
        <w:instrText xml:space="preserve"> STYLEREF 1 \s </w:instrText>
      </w:r>
      <w:r w:rsidRPr="009A23F2">
        <w:fldChar w:fldCharType="separate"/>
      </w:r>
      <w:r w:rsidR="003C3A1D">
        <w:rPr>
          <w:noProof/>
        </w:rPr>
        <w:t>8</w:t>
      </w:r>
      <w:r w:rsidRPr="009A23F2">
        <w:fldChar w:fldCharType="end"/>
      </w:r>
      <w:r>
        <w:t>.</w:t>
      </w:r>
      <w:fldSimple w:instr=" SEQ Table \* ARABIC \s 1 ">
        <w:r w:rsidR="003C3A1D">
          <w:rPr>
            <w:noProof/>
          </w:rPr>
          <w:t>6</w:t>
        </w:r>
      </w:fldSimple>
      <w:bookmarkEnd w:id="141"/>
      <w:r>
        <w:tab/>
        <w:t xml:space="preserve">Recalculation of opening MAB value </w:t>
      </w:r>
    </w:p>
    <w:tbl>
      <w:tblPr>
        <w:tblStyle w:val="AERtable-numbers"/>
        <w:tblW w:w="0" w:type="auto"/>
        <w:tblLook w:val="04A0" w:firstRow="1" w:lastRow="0" w:firstColumn="1" w:lastColumn="0" w:noHBand="0" w:noVBand="1"/>
      </w:tblPr>
      <w:tblGrid>
        <w:gridCol w:w="3045"/>
        <w:gridCol w:w="2824"/>
        <w:gridCol w:w="2824"/>
      </w:tblGrid>
      <w:tr w:rsidR="00C3016D" w:rsidTr="007B5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C3016D" w:rsidRDefault="00C3016D" w:rsidP="00C3016D"/>
        </w:tc>
        <w:tc>
          <w:tcPr>
            <w:tcW w:w="2824"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w:t>
            </w:r>
            <w:r w:rsidRPr="00C3016D">
              <w:t>$m, 2008)</w:t>
            </w:r>
          </w:p>
        </w:tc>
        <w:tc>
          <w:tcPr>
            <w:tcW w:w="2824"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w:t>
            </w:r>
            <w:r w:rsidRPr="00C3016D">
              <w:t>$m, 2015)</w:t>
            </w:r>
          </w:p>
        </w:tc>
      </w:tr>
      <w:tr w:rsidR="00C3016D" w:rsidTr="007B522A">
        <w:tc>
          <w:tcPr>
            <w:cnfStyle w:val="001000000000" w:firstRow="0" w:lastRow="0" w:firstColumn="1" w:lastColumn="0" w:oddVBand="0" w:evenVBand="0" w:oddHBand="0" w:evenHBand="0" w:firstRowFirstColumn="0" w:firstRowLastColumn="0" w:lastRowFirstColumn="0" w:lastRowLastColumn="0"/>
            <w:tcW w:w="3045" w:type="dxa"/>
          </w:tcPr>
          <w:p w:rsidR="00C3016D" w:rsidRPr="00C3016D" w:rsidRDefault="00C3016D" w:rsidP="00C3016D">
            <w:r>
              <w:t>Opening MAB</w:t>
            </w:r>
            <w:r w:rsidRPr="00C3016D">
              <w:t xml:space="preserve"> as of 1 January 2016</w:t>
            </w:r>
          </w:p>
        </w:tc>
        <w:tc>
          <w:tcPr>
            <w:tcW w:w="2824"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275.9</w:t>
            </w:r>
          </w:p>
        </w:tc>
        <w:tc>
          <w:tcPr>
            <w:tcW w:w="2824"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335.5</w:t>
            </w:r>
          </w:p>
        </w:tc>
      </w:tr>
    </w:tbl>
    <w:p w:rsidR="00C3016D" w:rsidRDefault="00C3016D" w:rsidP="00C3016D">
      <w:pPr>
        <w:pStyle w:val="AERtablesource"/>
      </w:pPr>
      <w:r>
        <w:t>Source:</w:t>
      </w:r>
      <w:r>
        <w:tab/>
        <w:t>AER analysis</w:t>
      </w:r>
      <w:r w:rsidR="00CC7303">
        <w:t>.</w:t>
      </w:r>
    </w:p>
    <w:p w:rsidR="00C3016D" w:rsidRDefault="00C3016D" w:rsidP="00C3016D">
      <w:pPr>
        <w:pStyle w:val="HeadingBoldItalic"/>
      </w:pPr>
      <w:r>
        <w:t>Step three</w:t>
      </w:r>
    </w:p>
    <w:p w:rsidR="00C3016D" w:rsidRDefault="00C3016D" w:rsidP="00C3016D">
      <w:r>
        <w:t>The next step we took was to compare the revenue recoverable from the opening MAB we set our 2016–20</w:t>
      </w:r>
      <w:r w:rsidR="00C752D5">
        <w:t>20</w:t>
      </w:r>
      <w:r>
        <w:t xml:space="preserve"> distribution determination with our recalculation of the MAB in this transition charge draft decision. </w:t>
      </w:r>
      <w:r w:rsidR="00C752D5">
        <w:fldChar w:fldCharType="begin"/>
      </w:r>
      <w:r w:rsidR="00C752D5">
        <w:instrText xml:space="preserve"> REF _Ref461526207 \h </w:instrText>
      </w:r>
      <w:r w:rsidR="00C752D5">
        <w:fldChar w:fldCharType="separate"/>
      </w:r>
      <w:r w:rsidR="003C3A1D">
        <w:t xml:space="preserve">Table </w:t>
      </w:r>
      <w:r w:rsidR="003C3A1D">
        <w:rPr>
          <w:noProof/>
        </w:rPr>
        <w:t>8</w:t>
      </w:r>
      <w:r w:rsidR="003C3A1D">
        <w:t>.</w:t>
      </w:r>
      <w:r w:rsidR="003C3A1D">
        <w:rPr>
          <w:noProof/>
        </w:rPr>
        <w:t>7</w:t>
      </w:r>
      <w:r w:rsidR="00C752D5">
        <w:fldChar w:fldCharType="end"/>
      </w:r>
      <w:r w:rsidR="00C752D5">
        <w:t xml:space="preserve"> </w:t>
      </w:r>
      <w:r>
        <w:t>sets out the results of this comparison.</w:t>
      </w:r>
    </w:p>
    <w:p w:rsidR="00C3016D" w:rsidRPr="00696CDC" w:rsidRDefault="00C3016D" w:rsidP="00C3016D">
      <w:pPr>
        <w:pStyle w:val="Caption"/>
      </w:pPr>
      <w:bookmarkStart w:id="142" w:name="_Ref461526207"/>
      <w:r>
        <w:t xml:space="preserve">Table </w:t>
      </w:r>
      <w:r w:rsidRPr="009A23F2">
        <w:fldChar w:fldCharType="begin"/>
      </w:r>
      <w:r>
        <w:instrText xml:space="preserve"> STYLEREF 1 \s </w:instrText>
      </w:r>
      <w:r w:rsidRPr="009A23F2">
        <w:fldChar w:fldCharType="separate"/>
      </w:r>
      <w:r w:rsidR="003C3A1D">
        <w:rPr>
          <w:noProof/>
        </w:rPr>
        <w:t>8</w:t>
      </w:r>
      <w:r w:rsidRPr="009A23F2">
        <w:fldChar w:fldCharType="end"/>
      </w:r>
      <w:r>
        <w:t>.</w:t>
      </w:r>
      <w:fldSimple w:instr=" SEQ Table \* ARABIC \s 1 ">
        <w:r w:rsidR="003C3A1D">
          <w:rPr>
            <w:noProof/>
          </w:rPr>
          <w:t>7</w:t>
        </w:r>
      </w:fldSimple>
      <w:bookmarkEnd w:id="142"/>
      <w:r>
        <w:tab/>
        <w:t>Recalculation of MAB revenue ($million)</w:t>
      </w:r>
    </w:p>
    <w:tbl>
      <w:tblPr>
        <w:tblStyle w:val="AERtable-numbers"/>
        <w:tblW w:w="0" w:type="auto"/>
        <w:tblLook w:val="04A0" w:firstRow="1" w:lastRow="0" w:firstColumn="1" w:lastColumn="0" w:noHBand="0" w:noVBand="1"/>
      </w:tblPr>
      <w:tblGrid>
        <w:gridCol w:w="1853"/>
        <w:gridCol w:w="1158"/>
        <w:gridCol w:w="1157"/>
        <w:gridCol w:w="1157"/>
        <w:gridCol w:w="1157"/>
        <w:gridCol w:w="1105"/>
        <w:gridCol w:w="1106"/>
      </w:tblGrid>
      <w:tr w:rsidR="00C3016D" w:rsidTr="007B5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C3016D" w:rsidRDefault="00C3016D" w:rsidP="00C3016D"/>
        </w:tc>
        <w:tc>
          <w:tcPr>
            <w:tcW w:w="1159"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2016</w:t>
            </w:r>
          </w:p>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($nomina</w:t>
            </w:r>
            <w:r w:rsidRPr="00C3016D">
              <w:t>l)</w:t>
            </w:r>
          </w:p>
        </w:tc>
        <w:tc>
          <w:tcPr>
            <w:tcW w:w="1158"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2017</w:t>
            </w:r>
          </w:p>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2018</w:t>
            </w:r>
          </w:p>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($nominal)</w:t>
            </w:r>
          </w:p>
        </w:tc>
        <w:tc>
          <w:tcPr>
            <w:tcW w:w="1158"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2019</w:t>
            </w:r>
          </w:p>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($nominal)</w:t>
            </w:r>
          </w:p>
        </w:tc>
        <w:tc>
          <w:tcPr>
            <w:tcW w:w="1106"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2020</w:t>
            </w:r>
          </w:p>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($nominal)</w:t>
            </w:r>
          </w:p>
        </w:tc>
        <w:tc>
          <w:tcPr>
            <w:tcW w:w="1101" w:type="dxa"/>
          </w:tcPr>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Total</w:t>
            </w:r>
          </w:p>
          <w:p w:rsidR="00C3016D" w:rsidRPr="00C3016D" w:rsidRDefault="00C3016D" w:rsidP="00C3016D">
            <w:pPr>
              <w:cnfStyle w:val="100000000000" w:firstRow="1" w:lastRow="0" w:firstColumn="0" w:lastColumn="0" w:oddVBand="0" w:evenVBand="0" w:oddHBand="0" w:evenHBand="0" w:firstRowFirstColumn="0" w:firstRowLastColumn="0" w:lastRowFirstColumn="0" w:lastRowLastColumn="0"/>
            </w:pPr>
            <w:r>
              <w:t>($Dec</w:t>
            </w:r>
            <w:r w:rsidRPr="00C3016D">
              <w:t> 2015)</w:t>
            </w:r>
          </w:p>
        </w:tc>
      </w:tr>
      <w:tr w:rsidR="00C3016D" w:rsidTr="007B522A">
        <w:tc>
          <w:tcPr>
            <w:cnfStyle w:val="001000000000" w:firstRow="0" w:lastRow="0" w:firstColumn="1" w:lastColumn="0" w:oddVBand="0" w:evenVBand="0" w:oddHBand="0" w:evenHBand="0" w:firstRowFirstColumn="0" w:firstRowLastColumn="0" w:lastRowFirstColumn="0" w:lastRowLastColumn="0"/>
            <w:tcW w:w="1853" w:type="dxa"/>
          </w:tcPr>
          <w:p w:rsidR="00C3016D" w:rsidRDefault="00C752D5" w:rsidP="00C3016D">
            <w:r>
              <w:t xml:space="preserve">2016–2020 </w:t>
            </w:r>
            <w:r w:rsidR="00C3016D">
              <w:t>Victorian determination</w:t>
            </w:r>
          </w:p>
        </w:tc>
        <w:tc>
          <w:tcPr>
            <w:tcW w:w="1159"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52.3</w:t>
            </w:r>
          </w:p>
        </w:tc>
        <w:tc>
          <w:tcPr>
            <w:tcW w:w="1158"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52.0</w:t>
            </w:r>
          </w:p>
        </w:tc>
        <w:tc>
          <w:tcPr>
            <w:tcW w:w="1158"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51.7</w:t>
            </w:r>
          </w:p>
        </w:tc>
        <w:tc>
          <w:tcPr>
            <w:tcW w:w="1158"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47.3</w:t>
            </w:r>
          </w:p>
        </w:tc>
        <w:tc>
          <w:tcPr>
            <w:tcW w:w="1106"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35.4</w:t>
            </w:r>
          </w:p>
        </w:tc>
        <w:tc>
          <w:tcPr>
            <w:tcW w:w="1101"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202.4</w:t>
            </w:r>
          </w:p>
        </w:tc>
      </w:tr>
      <w:tr w:rsidR="00C3016D" w:rsidTr="007B5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C3016D" w:rsidRDefault="00C3016D" w:rsidP="00C3016D">
            <w:r>
              <w:t>Transition charge draft decision</w:t>
            </w:r>
          </w:p>
        </w:tc>
        <w:tc>
          <w:tcPr>
            <w:tcW w:w="1159"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52.7</w:t>
            </w:r>
          </w:p>
        </w:tc>
        <w:tc>
          <w:tcPr>
            <w:tcW w:w="1158"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52.5</w:t>
            </w:r>
          </w:p>
        </w:tc>
        <w:tc>
          <w:tcPr>
            <w:tcW w:w="1158"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51.8</w:t>
            </w:r>
          </w:p>
        </w:tc>
        <w:tc>
          <w:tcPr>
            <w:tcW w:w="1158"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47.8</w:t>
            </w:r>
          </w:p>
        </w:tc>
        <w:tc>
          <w:tcPr>
            <w:tcW w:w="1106"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35.8</w:t>
            </w:r>
          </w:p>
        </w:tc>
        <w:tc>
          <w:tcPr>
            <w:tcW w:w="1101" w:type="dxa"/>
          </w:tcPr>
          <w:p w:rsidR="00C3016D" w:rsidRPr="00C3016D" w:rsidRDefault="00EF5877" w:rsidP="00C3016D">
            <w:pPr>
              <w:cnfStyle w:val="000000010000" w:firstRow="0" w:lastRow="0" w:firstColumn="0" w:lastColumn="0" w:oddVBand="0" w:evenVBand="0" w:oddHBand="0" w:evenHBand="1" w:firstRowFirstColumn="0" w:firstRowLastColumn="0" w:lastRowFirstColumn="0" w:lastRowLastColumn="0"/>
            </w:pPr>
            <w:r>
              <w:t>204.1</w:t>
            </w:r>
          </w:p>
        </w:tc>
      </w:tr>
      <w:tr w:rsidR="00C3016D" w:rsidTr="007B522A">
        <w:tc>
          <w:tcPr>
            <w:cnfStyle w:val="001000000000" w:firstRow="0" w:lastRow="0" w:firstColumn="1" w:lastColumn="0" w:oddVBand="0" w:evenVBand="0" w:oddHBand="0" w:evenHBand="0" w:firstRowFirstColumn="0" w:firstRowLastColumn="0" w:lastRowFirstColumn="0" w:lastRowLastColumn="0"/>
            <w:tcW w:w="1853" w:type="dxa"/>
          </w:tcPr>
          <w:p w:rsidR="00C3016D" w:rsidRDefault="00C3016D" w:rsidP="00C3016D">
            <w:r>
              <w:t>Difference</w:t>
            </w:r>
          </w:p>
        </w:tc>
        <w:tc>
          <w:tcPr>
            <w:tcW w:w="1159" w:type="dxa"/>
          </w:tcPr>
          <w:p w:rsidR="00C3016D" w:rsidRDefault="00C3016D" w:rsidP="00C3016D">
            <w:pPr>
              <w:cnfStyle w:val="000000000000" w:firstRow="0" w:lastRow="0" w:firstColumn="0" w:lastColumn="0" w:oddVBand="0" w:evenVBand="0" w:oddHBand="0" w:evenHBand="0" w:firstRowFirstColumn="0" w:firstRowLastColumn="0" w:lastRowFirstColumn="0" w:lastRowLastColumn="0"/>
            </w:pPr>
          </w:p>
        </w:tc>
        <w:tc>
          <w:tcPr>
            <w:tcW w:w="1158" w:type="dxa"/>
          </w:tcPr>
          <w:p w:rsidR="00C3016D" w:rsidRDefault="00C3016D" w:rsidP="00C3016D">
            <w:pPr>
              <w:cnfStyle w:val="000000000000" w:firstRow="0" w:lastRow="0" w:firstColumn="0" w:lastColumn="0" w:oddVBand="0" w:evenVBand="0" w:oddHBand="0" w:evenHBand="0" w:firstRowFirstColumn="0" w:firstRowLastColumn="0" w:lastRowFirstColumn="0" w:lastRowLastColumn="0"/>
            </w:pPr>
          </w:p>
        </w:tc>
        <w:tc>
          <w:tcPr>
            <w:tcW w:w="1158" w:type="dxa"/>
          </w:tcPr>
          <w:p w:rsidR="00C3016D" w:rsidRDefault="00C3016D" w:rsidP="00C3016D">
            <w:pPr>
              <w:cnfStyle w:val="000000000000" w:firstRow="0" w:lastRow="0" w:firstColumn="0" w:lastColumn="0" w:oddVBand="0" w:evenVBand="0" w:oddHBand="0" w:evenHBand="0" w:firstRowFirstColumn="0" w:firstRowLastColumn="0" w:lastRowFirstColumn="0" w:lastRowLastColumn="0"/>
            </w:pPr>
          </w:p>
        </w:tc>
        <w:tc>
          <w:tcPr>
            <w:tcW w:w="1158" w:type="dxa"/>
          </w:tcPr>
          <w:p w:rsidR="00C3016D" w:rsidRDefault="00C3016D" w:rsidP="00C3016D">
            <w:pPr>
              <w:cnfStyle w:val="000000000000" w:firstRow="0" w:lastRow="0" w:firstColumn="0" w:lastColumn="0" w:oddVBand="0" w:evenVBand="0" w:oddHBand="0" w:evenHBand="0" w:firstRowFirstColumn="0" w:firstRowLastColumn="0" w:lastRowFirstColumn="0" w:lastRowLastColumn="0"/>
            </w:pPr>
          </w:p>
        </w:tc>
        <w:tc>
          <w:tcPr>
            <w:tcW w:w="1106" w:type="dxa"/>
          </w:tcPr>
          <w:p w:rsidR="00C3016D" w:rsidRDefault="00C3016D" w:rsidP="00C3016D">
            <w:pPr>
              <w:cnfStyle w:val="000000000000" w:firstRow="0" w:lastRow="0" w:firstColumn="0" w:lastColumn="0" w:oddVBand="0" w:evenVBand="0" w:oddHBand="0" w:evenHBand="0" w:firstRowFirstColumn="0" w:firstRowLastColumn="0" w:lastRowFirstColumn="0" w:lastRowLastColumn="0"/>
            </w:pPr>
          </w:p>
        </w:tc>
        <w:tc>
          <w:tcPr>
            <w:tcW w:w="1101" w:type="dxa"/>
          </w:tcPr>
          <w:p w:rsidR="00C3016D" w:rsidRPr="00C3016D" w:rsidRDefault="00EF5877" w:rsidP="00C3016D">
            <w:pPr>
              <w:cnfStyle w:val="000000000000" w:firstRow="0" w:lastRow="0" w:firstColumn="0" w:lastColumn="0" w:oddVBand="0" w:evenVBand="0" w:oddHBand="0" w:evenHBand="0" w:firstRowFirstColumn="0" w:firstRowLastColumn="0" w:lastRowFirstColumn="0" w:lastRowLastColumn="0"/>
            </w:pPr>
            <w:r>
              <w:t>1.7</w:t>
            </w:r>
          </w:p>
        </w:tc>
      </w:tr>
    </w:tbl>
    <w:p w:rsidR="00C3016D" w:rsidRDefault="00C3016D" w:rsidP="00C3016D">
      <w:pPr>
        <w:pStyle w:val="AERtablesource"/>
      </w:pPr>
      <w:r>
        <w:t>Source:</w:t>
      </w:r>
      <w:r>
        <w:tab/>
        <w:t>AER analysis</w:t>
      </w:r>
      <w:r w:rsidR="00CC7303">
        <w:t>.</w:t>
      </w:r>
    </w:p>
    <w:p w:rsidR="00C3016D" w:rsidRDefault="00C3016D" w:rsidP="00C3016D">
      <w:pPr>
        <w:pStyle w:val="HeadingBoldItalic"/>
      </w:pPr>
      <w:r>
        <w:t>Step four</w:t>
      </w:r>
    </w:p>
    <w:p w:rsidR="0034546F" w:rsidRPr="00DF0917" w:rsidRDefault="00C3016D" w:rsidP="0034546F">
      <w:r>
        <w:t>The final step we took to calculate the MAB adjustment was to discount the revenue difference calculated in step 3 to its 2018 NPV.</w:t>
      </w:r>
      <w:r w:rsidR="008D0E3B">
        <w:rPr>
          <w:rStyle w:val="FootnoteReference"/>
        </w:rPr>
        <w:footnoteReference w:id="112"/>
      </w:r>
      <w:r>
        <w:t xml:space="preserve"> When we did this, we calculated a negative MAB adjustment of $</w:t>
      </w:r>
      <w:r w:rsidR="00EF5877">
        <w:t>2.0</w:t>
      </w:r>
      <w:r w:rsidR="00C96B25">
        <w:t xml:space="preserve"> million ($2018).</w:t>
      </w:r>
    </w:p>
    <w:p w:rsidR="0034546F" w:rsidRPr="0034546F" w:rsidRDefault="0034546F" w:rsidP="0034546F"/>
    <w:p w:rsidR="0062508A" w:rsidRDefault="0062508A" w:rsidP="005C7BEC">
      <w:pPr>
        <w:pStyle w:val="Heading1"/>
      </w:pPr>
      <w:bookmarkStart w:id="143" w:name="_Ref460402362"/>
      <w:bookmarkStart w:id="144" w:name="_Ref460406079"/>
      <w:bookmarkStart w:id="145" w:name="_Ref460406099"/>
      <w:bookmarkStart w:id="146" w:name="_Ref460406127"/>
      <w:bookmarkStart w:id="147" w:name="_Ref460419315"/>
      <w:bookmarkStart w:id="148" w:name="_Ref460421910"/>
      <w:bookmarkStart w:id="149" w:name="_Toc461526292"/>
      <w:r>
        <w:t>Benchmarking</w:t>
      </w:r>
      <w:bookmarkEnd w:id="118"/>
      <w:bookmarkEnd w:id="119"/>
      <w:bookmarkEnd w:id="120"/>
      <w:bookmarkEnd w:id="121"/>
      <w:bookmarkEnd w:id="143"/>
      <w:bookmarkEnd w:id="144"/>
      <w:bookmarkEnd w:id="145"/>
      <w:bookmarkEnd w:id="146"/>
      <w:bookmarkEnd w:id="147"/>
      <w:bookmarkEnd w:id="148"/>
      <w:bookmarkEnd w:id="149"/>
      <w:r>
        <w:t xml:space="preserve"> </w:t>
      </w:r>
    </w:p>
    <w:p w:rsidR="00B72798" w:rsidRDefault="00B72798" w:rsidP="00B72798">
      <w:r>
        <w:t>In this section, we outline Energeia's benchmarking results.</w:t>
      </w:r>
    </w:p>
    <w:p w:rsidR="00B72798" w:rsidRDefault="00B72798" w:rsidP="00B72798">
      <w:pPr>
        <w:pStyle w:val="Heading2"/>
      </w:pPr>
      <w:bookmarkStart w:id="150" w:name="_Toc461447532"/>
      <w:bookmarkStart w:id="151" w:name="_Toc461526293"/>
      <w:r>
        <w:t>Review approach</w:t>
      </w:r>
      <w:bookmarkEnd w:id="150"/>
      <w:bookmarkEnd w:id="151"/>
    </w:p>
    <w:p w:rsidR="00B72798" w:rsidRDefault="00B72798" w:rsidP="00B72798">
      <w:r>
        <w:t>The key steps Energeia undertook</w:t>
      </w:r>
      <w:r w:rsidR="0092309E">
        <w:t xml:space="preserve"> in performing its benchmarking</w:t>
      </w:r>
      <w:r>
        <w:t xml:space="preserve"> included:</w:t>
      </w:r>
    </w:p>
    <w:p w:rsidR="00B72798" w:rsidRDefault="00B72798" w:rsidP="00B72798">
      <w:pPr>
        <w:pStyle w:val="AERbulletlistfirststyle"/>
      </w:pPr>
      <w:r w:rsidRPr="00BA06FC">
        <w:t>review</w:t>
      </w:r>
      <w:r>
        <w:t>ing</w:t>
      </w:r>
      <w:r w:rsidRPr="00BA06FC">
        <w:t xml:space="preserve"> each </w:t>
      </w:r>
      <w:r>
        <w:t>distributors</w:t>
      </w:r>
      <w:r w:rsidRPr="00BA06FC">
        <w:t xml:space="preserve"> </w:t>
      </w:r>
      <w:r w:rsidRPr="00B72798">
        <w:t>Transition Charges Application and supporting materials</w:t>
      </w:r>
    </w:p>
    <w:p w:rsidR="00B72798" w:rsidRDefault="00B72798" w:rsidP="00B72798">
      <w:pPr>
        <w:pStyle w:val="AERbulletlistfirststyle"/>
      </w:pPr>
      <w:r w:rsidRPr="00BA06FC">
        <w:t>develop</w:t>
      </w:r>
      <w:r>
        <w:t>ing</w:t>
      </w:r>
      <w:r w:rsidRPr="00B72798">
        <w:t xml:space="preserve"> questions to help clarify or supplement information provided by the </w:t>
      </w:r>
      <w:r>
        <w:t>distributors</w:t>
      </w:r>
    </w:p>
    <w:p w:rsidR="00B72798" w:rsidRDefault="00B72798" w:rsidP="00B72798">
      <w:pPr>
        <w:pStyle w:val="AERbulletlistfirststyle"/>
      </w:pPr>
      <w:r>
        <w:t>undertaking</w:t>
      </w:r>
      <w:r w:rsidRPr="00B72798">
        <w:t xml:space="preserve"> independent research, analysis and modelling as required</w:t>
      </w:r>
    </w:p>
    <w:p w:rsidR="00B72798" w:rsidRDefault="00B72798" w:rsidP="00B72798">
      <w:pPr>
        <w:pStyle w:val="AERbulletlistfirststyle"/>
      </w:pPr>
      <w:r w:rsidRPr="00BA06FC">
        <w:t>develop</w:t>
      </w:r>
      <w:r>
        <w:t>ing</w:t>
      </w:r>
      <w:r w:rsidRPr="00B72798">
        <w:t xml:space="preserve"> an independent estimate of the benchmark efficient level of expenditure for each expenditure category and DNSP based on key contextual factors set out in the </w:t>
      </w:r>
      <w:r w:rsidR="0092309E">
        <w:t>Order</w:t>
      </w:r>
      <w:r>
        <w:t>.</w:t>
      </w:r>
    </w:p>
    <w:p w:rsidR="00B72798" w:rsidRDefault="00B72798" w:rsidP="00B72798">
      <w:pPr>
        <w:pStyle w:val="AERbulletlistfirststyle"/>
        <w:numPr>
          <w:ilvl w:val="0"/>
          <w:numId w:val="0"/>
        </w:numPr>
      </w:pPr>
      <w:r>
        <w:t xml:space="preserve">Energeia also </w:t>
      </w:r>
      <w:r w:rsidR="0092309E">
        <w:t>stated that its review included determining '</w:t>
      </w:r>
      <w:r w:rsidR="0092309E" w:rsidRPr="00BA06FC">
        <w:t>efficient levels of excess expenditure where it was less than our estimate of benchmark efficiency levels, adjusted for key contextual differences</w:t>
      </w:r>
      <w:r w:rsidR="0092309E">
        <w:t>'.</w:t>
      </w:r>
      <w:r w:rsidR="0092309E">
        <w:rPr>
          <w:rStyle w:val="FootnoteReference"/>
        </w:rPr>
        <w:footnoteReference w:id="113"/>
      </w:r>
    </w:p>
    <w:p w:rsidR="0092309E" w:rsidRDefault="002D6AB9" w:rsidP="0092309E">
      <w:pPr>
        <w:pStyle w:val="Heading2"/>
      </w:pPr>
      <w:bookmarkStart w:id="152" w:name="_Toc461447533"/>
      <w:bookmarkStart w:id="153" w:name="_Toc461526294"/>
      <w:r>
        <w:t>Category level benchmarking</w:t>
      </w:r>
      <w:bookmarkEnd w:id="152"/>
      <w:bookmarkEnd w:id="153"/>
    </w:p>
    <w:p w:rsidR="0092309E" w:rsidRDefault="0092309E" w:rsidP="0092309E">
      <w:r>
        <w:t>Energeia's</w:t>
      </w:r>
      <w:r w:rsidR="002D6AB9">
        <w:t xml:space="preserve"> category level</w:t>
      </w:r>
      <w:r>
        <w:t xml:space="preserve"> benchmarking results are set out in </w:t>
      </w:r>
      <w:r>
        <w:fldChar w:fldCharType="begin"/>
      </w:r>
      <w:r>
        <w:instrText xml:space="preserve"> REF _Ref459917107 \h </w:instrText>
      </w:r>
      <w:r>
        <w:fldChar w:fldCharType="separate"/>
      </w:r>
      <w:r w:rsidR="003C3A1D">
        <w:t xml:space="preserve">Figure </w:t>
      </w:r>
      <w:r w:rsidR="003C3A1D">
        <w:rPr>
          <w:noProof/>
        </w:rPr>
        <w:t>9</w:t>
      </w:r>
      <w:r w:rsidR="003C3A1D">
        <w:t>.</w:t>
      </w:r>
      <w:r w:rsidR="003C3A1D">
        <w:rPr>
          <w:noProof/>
        </w:rPr>
        <w:t>1</w:t>
      </w:r>
      <w:r>
        <w:fldChar w:fldCharType="end"/>
      </w:r>
      <w:r>
        <w:t>.</w:t>
      </w:r>
    </w:p>
    <w:p w:rsidR="0092309E" w:rsidRDefault="0092309E" w:rsidP="0092309E">
      <w:pPr>
        <w:pStyle w:val="Caption"/>
      </w:pPr>
      <w:bookmarkStart w:id="154" w:name="_Ref459917107"/>
      <w:r>
        <w:t xml:space="preserve">Figure </w:t>
      </w:r>
      <w:r w:rsidR="004F0568">
        <w:fldChar w:fldCharType="begin"/>
      </w:r>
      <w:r w:rsidR="004F0568">
        <w:instrText xml:space="preserve"> STYLEREF 1 \s </w:instrText>
      </w:r>
      <w:r w:rsidR="004F0568">
        <w:fldChar w:fldCharType="separate"/>
      </w:r>
      <w:r w:rsidR="003C3A1D">
        <w:rPr>
          <w:noProof/>
        </w:rPr>
        <w:t>9</w:t>
      </w:r>
      <w:r w:rsidR="004F0568">
        <w:rPr>
          <w:noProof/>
        </w:rPr>
        <w:fldChar w:fldCharType="end"/>
      </w:r>
      <w:r w:rsidR="00434015">
        <w:t>.</w:t>
      </w:r>
      <w:fldSimple w:instr=" SEQ Figure \* ARABIC \s 1 ">
        <w:r w:rsidR="003C3A1D">
          <w:rPr>
            <w:noProof/>
          </w:rPr>
          <w:t>1</w:t>
        </w:r>
      </w:fldSimple>
      <w:bookmarkEnd w:id="154"/>
      <w:r>
        <w:tab/>
        <w:t>Average expenditure per meter over 2009–15 ($2018)</w:t>
      </w:r>
    </w:p>
    <w:p w:rsidR="0092309E" w:rsidRPr="0092309E" w:rsidRDefault="0092309E" w:rsidP="0092309E">
      <w:r w:rsidRPr="0092309E">
        <w:rPr>
          <w:noProof/>
          <w:lang w:val="en-US"/>
        </w:rPr>
        <w:drawing>
          <wp:inline distT="0" distB="0" distL="0" distR="0" wp14:anchorId="11FFD346" wp14:editId="1E58D7FC">
            <wp:extent cx="5382895" cy="1579947"/>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2895" cy="1579947"/>
                    </a:xfrm>
                    <a:prstGeom prst="rect">
                      <a:avLst/>
                    </a:prstGeom>
                    <a:noFill/>
                    <a:ln>
                      <a:noFill/>
                    </a:ln>
                  </pic:spPr>
                </pic:pic>
              </a:graphicData>
            </a:graphic>
          </wp:inline>
        </w:drawing>
      </w:r>
    </w:p>
    <w:p w:rsidR="0062508A" w:rsidRDefault="0092309E" w:rsidP="0092309E">
      <w:pPr>
        <w:pStyle w:val="AERtablesource"/>
      </w:pPr>
      <w:r>
        <w:t xml:space="preserve">Source: </w:t>
      </w:r>
      <w:r>
        <w:tab/>
        <w:t xml:space="preserve">Energeia, </w:t>
      </w:r>
      <w:r w:rsidRPr="00CC7303">
        <w:rPr>
          <w:rStyle w:val="AERtextitalic"/>
        </w:rPr>
        <w:t>Review of 2017 AMI transition applications</w:t>
      </w:r>
      <w:r>
        <w:t>, August 2016, p. 3.</w:t>
      </w:r>
    </w:p>
    <w:p w:rsidR="002D6AB9" w:rsidRDefault="002D6AB9" w:rsidP="002D6AB9">
      <w:pPr>
        <w:pStyle w:val="Heading2"/>
      </w:pPr>
      <w:bookmarkStart w:id="155" w:name="_Toc461526295"/>
      <w:r>
        <w:t>Sub–category level benchmarking</w:t>
      </w:r>
      <w:bookmarkEnd w:id="155"/>
    </w:p>
    <w:p w:rsidR="002D6AB9" w:rsidRDefault="002D6AB9" w:rsidP="002D6AB9">
      <w:r>
        <w:t xml:space="preserve">Energeia </w:t>
      </w:r>
      <w:r w:rsidRPr="00BA06FC">
        <w:t>developed specific s</w:t>
      </w:r>
      <w:r>
        <w:t xml:space="preserve">ub-category benchmark estimates. Its report notes that these 'sub–categories </w:t>
      </w:r>
      <w:r w:rsidRPr="00BA06FC">
        <w:t>included meter installation, rollout completion timeframes, and several opex sub-categories</w:t>
      </w:r>
      <w:r>
        <w:t>'</w:t>
      </w:r>
      <w:r w:rsidRPr="00BA06FC">
        <w:t>.</w:t>
      </w:r>
      <w:r>
        <w:rPr>
          <w:rStyle w:val="FootnoteReference"/>
        </w:rPr>
        <w:footnoteReference w:id="114"/>
      </w:r>
      <w:r w:rsidRPr="00BA06FC">
        <w:t xml:space="preserve">  </w:t>
      </w:r>
    </w:p>
    <w:p w:rsidR="002D6AB9" w:rsidRDefault="002D6AB9" w:rsidP="002D6AB9">
      <w:pPr>
        <w:pStyle w:val="Heading3"/>
      </w:pPr>
      <w:bookmarkStart w:id="156" w:name="_Toc461447535"/>
      <w:bookmarkStart w:id="157" w:name="_Toc461526296"/>
      <w:r>
        <w:t>United Energy</w:t>
      </w:r>
      <w:bookmarkEnd w:id="156"/>
      <w:bookmarkEnd w:id="157"/>
    </w:p>
    <w:p w:rsidR="002D6AB9" w:rsidRDefault="002D6AB9" w:rsidP="002D6AB9">
      <w:r>
        <w:t xml:space="preserve">In its report, Eneregia states that 'all </w:t>
      </w:r>
      <w:r w:rsidRPr="00BA06FC">
        <w:t xml:space="preserve">of </w:t>
      </w:r>
      <w:r>
        <w:t>[United Energy's]</w:t>
      </w:r>
      <w:r w:rsidRPr="00BA06FC">
        <w:t xml:space="preserve"> excess expenditure was found to be efficient under the </w:t>
      </w:r>
      <w:r>
        <w:t>[Order]'. It states that this was</w:t>
      </w:r>
      <w:r w:rsidRPr="00BA06FC">
        <w:t xml:space="preserve"> </w:t>
      </w:r>
      <w:r>
        <w:t>'</w:t>
      </w:r>
      <w:r w:rsidRPr="00BA06FC">
        <w:t>mainly due to our finding that they represent the efficient benchmark entity overall, and in the metering and communications capex sub-categories, which were also their excess expenditure sub-categories</w:t>
      </w:r>
      <w:r>
        <w:t>'</w:t>
      </w:r>
      <w:r w:rsidRPr="00BA06FC">
        <w:t>.</w:t>
      </w:r>
      <w:r w:rsidR="00427552">
        <w:t xml:space="preserve"> </w:t>
      </w:r>
      <w:r w:rsidR="00427552">
        <w:fldChar w:fldCharType="begin"/>
      </w:r>
      <w:r w:rsidR="00427552">
        <w:instrText xml:space="preserve"> REF _Ref459918005 \h </w:instrText>
      </w:r>
      <w:r w:rsidR="00427552">
        <w:fldChar w:fldCharType="separate"/>
      </w:r>
      <w:r w:rsidR="003C3A1D">
        <w:t xml:space="preserve">Figure </w:t>
      </w:r>
      <w:r w:rsidR="003C3A1D">
        <w:rPr>
          <w:noProof/>
        </w:rPr>
        <w:t>9</w:t>
      </w:r>
      <w:r w:rsidR="003C3A1D">
        <w:t>.</w:t>
      </w:r>
      <w:r w:rsidR="003C3A1D">
        <w:rPr>
          <w:noProof/>
        </w:rPr>
        <w:t>2</w:t>
      </w:r>
      <w:r w:rsidR="00427552">
        <w:fldChar w:fldCharType="end"/>
      </w:r>
      <w:r w:rsidR="00427552">
        <w:t xml:space="preserve"> shows the results of Energeia's analysis.</w:t>
      </w:r>
    </w:p>
    <w:p w:rsidR="002D6AB9" w:rsidRDefault="002D6AB9" w:rsidP="002D6AB9">
      <w:pPr>
        <w:pStyle w:val="Caption"/>
      </w:pPr>
      <w:bookmarkStart w:id="158" w:name="_Ref459918005"/>
      <w:r>
        <w:t xml:space="preserve">Figure </w:t>
      </w:r>
      <w:r w:rsidR="004F0568">
        <w:fldChar w:fldCharType="begin"/>
      </w:r>
      <w:r w:rsidR="004F0568">
        <w:instrText xml:space="preserve"> STYLEREF 1 \s </w:instrText>
      </w:r>
      <w:r w:rsidR="004F0568">
        <w:fldChar w:fldCharType="separate"/>
      </w:r>
      <w:r w:rsidR="003C3A1D">
        <w:rPr>
          <w:noProof/>
        </w:rPr>
        <w:t>9</w:t>
      </w:r>
      <w:r w:rsidR="004F0568">
        <w:rPr>
          <w:noProof/>
        </w:rPr>
        <w:fldChar w:fldCharType="end"/>
      </w:r>
      <w:r w:rsidR="00434015">
        <w:t>.</w:t>
      </w:r>
      <w:fldSimple w:instr=" SEQ Figure \* ARABIC \s 1 ">
        <w:r w:rsidR="003C3A1D">
          <w:rPr>
            <w:noProof/>
          </w:rPr>
          <w:t>2</w:t>
        </w:r>
      </w:fldSimple>
      <w:bookmarkEnd w:id="158"/>
      <w:r>
        <w:tab/>
        <w:t>United Energy's expenditure above the benchmark efficient entity in 2009–15 by category ($2018)</w:t>
      </w:r>
    </w:p>
    <w:p w:rsidR="002D6AB9" w:rsidRDefault="002D6AB9" w:rsidP="002D6AB9">
      <w:r w:rsidRPr="002D6AB9">
        <w:rPr>
          <w:noProof/>
          <w:lang w:val="en-US"/>
        </w:rPr>
        <w:drawing>
          <wp:inline distT="0" distB="0" distL="0" distR="0" wp14:anchorId="59075133" wp14:editId="08C2EB25">
            <wp:extent cx="5382895" cy="15098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2895" cy="1509878"/>
                    </a:xfrm>
                    <a:prstGeom prst="rect">
                      <a:avLst/>
                    </a:prstGeom>
                    <a:noFill/>
                    <a:ln>
                      <a:noFill/>
                    </a:ln>
                  </pic:spPr>
                </pic:pic>
              </a:graphicData>
            </a:graphic>
          </wp:inline>
        </w:drawing>
      </w:r>
    </w:p>
    <w:p w:rsidR="002D6AB9" w:rsidRDefault="002D6AB9" w:rsidP="002D6AB9">
      <w:pPr>
        <w:pStyle w:val="AERtablesource"/>
      </w:pPr>
      <w:r>
        <w:t xml:space="preserve">Source: </w:t>
      </w:r>
      <w:r>
        <w:tab/>
        <w:t xml:space="preserve">Energeia, </w:t>
      </w:r>
      <w:r w:rsidRPr="00CC7303">
        <w:rPr>
          <w:rStyle w:val="AERtextitalic"/>
        </w:rPr>
        <w:t>Review of 2017 AMI transition applications</w:t>
      </w:r>
      <w:r>
        <w:t>, August 2016, p. 4.</w:t>
      </w:r>
    </w:p>
    <w:p w:rsidR="002D6AB9" w:rsidRDefault="002D6AB9" w:rsidP="002D6AB9">
      <w:pPr>
        <w:pStyle w:val="Heading3"/>
      </w:pPr>
      <w:bookmarkStart w:id="159" w:name="_Toc461447536"/>
      <w:bookmarkStart w:id="160" w:name="_Toc461526297"/>
      <w:r>
        <w:t>Jemena</w:t>
      </w:r>
      <w:bookmarkEnd w:id="159"/>
      <w:bookmarkEnd w:id="160"/>
    </w:p>
    <w:p w:rsidR="002D6AB9" w:rsidRDefault="00427552" w:rsidP="002D6AB9">
      <w:r>
        <w:t xml:space="preserve">The sub–category level benchmarking </w:t>
      </w:r>
      <w:r w:rsidR="002D6AB9" w:rsidRPr="002D6AB9">
        <w:rPr>
          <w:lang w:eastAsia="en-AU"/>
        </w:rPr>
        <w:t>Energeia</w:t>
      </w:r>
      <w:r>
        <w:t xml:space="preserve"> conducted for Jemena is set out in</w:t>
      </w:r>
      <w:r w:rsidR="00273429">
        <w:t xml:space="preserve"> </w:t>
      </w:r>
      <w:r w:rsidR="00273429">
        <w:fldChar w:fldCharType="begin"/>
      </w:r>
      <w:r w:rsidR="00273429">
        <w:instrText xml:space="preserve"> REF _Ref459918212 \h </w:instrText>
      </w:r>
      <w:r w:rsidR="00273429">
        <w:fldChar w:fldCharType="separate"/>
      </w:r>
      <w:r w:rsidR="003C3A1D">
        <w:t xml:space="preserve">Figure </w:t>
      </w:r>
      <w:r w:rsidR="003C3A1D">
        <w:rPr>
          <w:noProof/>
        </w:rPr>
        <w:t>9</w:t>
      </w:r>
      <w:r w:rsidR="003C3A1D">
        <w:t>.</w:t>
      </w:r>
      <w:r w:rsidR="003C3A1D">
        <w:rPr>
          <w:noProof/>
        </w:rPr>
        <w:t>3</w:t>
      </w:r>
      <w:r w:rsidR="00273429">
        <w:fldChar w:fldCharType="end"/>
      </w:r>
      <w:r w:rsidR="00273429">
        <w:t>. For Jemena, Energeia considered United Energy to be the benchmark efficient entity. This was 'for each capex and opex category, except for IT, where Jemena set the efficient benchmark'.</w:t>
      </w:r>
      <w:r w:rsidR="00273429">
        <w:rPr>
          <w:rStyle w:val="FootnoteReference"/>
        </w:rPr>
        <w:footnoteReference w:id="115"/>
      </w:r>
    </w:p>
    <w:p w:rsidR="002D6AB9" w:rsidRDefault="002D6AB9" w:rsidP="002D6AB9">
      <w:pPr>
        <w:pStyle w:val="Caption"/>
      </w:pPr>
      <w:bookmarkStart w:id="161" w:name="_Ref459918212"/>
      <w:r>
        <w:t xml:space="preserve">Figure </w:t>
      </w:r>
      <w:r w:rsidR="004F0568">
        <w:fldChar w:fldCharType="begin"/>
      </w:r>
      <w:r w:rsidR="004F0568">
        <w:instrText xml:space="preserve"> STYLEREF 1 \s </w:instrText>
      </w:r>
      <w:r w:rsidR="004F0568">
        <w:fldChar w:fldCharType="separate"/>
      </w:r>
      <w:r w:rsidR="003C3A1D">
        <w:rPr>
          <w:noProof/>
        </w:rPr>
        <w:t>9</w:t>
      </w:r>
      <w:r w:rsidR="004F0568">
        <w:rPr>
          <w:noProof/>
        </w:rPr>
        <w:fldChar w:fldCharType="end"/>
      </w:r>
      <w:r w:rsidR="00434015">
        <w:t>.</w:t>
      </w:r>
      <w:r w:rsidR="004F0568">
        <w:fldChar w:fldCharType="begin"/>
      </w:r>
      <w:r w:rsidR="004F0568">
        <w:instrText xml:space="preserve"> SEQ Figure \* ARABIC \s 1 </w:instrText>
      </w:r>
      <w:r w:rsidR="004F0568">
        <w:fldChar w:fldCharType="separate"/>
      </w:r>
      <w:r w:rsidR="003C3A1D">
        <w:rPr>
          <w:noProof/>
        </w:rPr>
        <w:t>3</w:t>
      </w:r>
      <w:r w:rsidR="004F0568">
        <w:rPr>
          <w:noProof/>
        </w:rPr>
        <w:fldChar w:fldCharType="end"/>
      </w:r>
      <w:bookmarkEnd w:id="161"/>
      <w:r>
        <w:tab/>
        <w:t>Jemena's expenditure above the benchmark efficient entity in 2009–15 by category ($2018)</w:t>
      </w:r>
    </w:p>
    <w:p w:rsidR="00273429" w:rsidRDefault="00273429" w:rsidP="00273429">
      <w:r w:rsidRPr="00273429">
        <w:rPr>
          <w:noProof/>
          <w:lang w:val="en-US"/>
        </w:rPr>
        <w:drawing>
          <wp:inline distT="0" distB="0" distL="0" distR="0" wp14:anchorId="1460775A" wp14:editId="53CF6926">
            <wp:extent cx="5382895" cy="1495438"/>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2895" cy="1495438"/>
                    </a:xfrm>
                    <a:prstGeom prst="rect">
                      <a:avLst/>
                    </a:prstGeom>
                    <a:noFill/>
                    <a:ln>
                      <a:noFill/>
                    </a:ln>
                  </pic:spPr>
                </pic:pic>
              </a:graphicData>
            </a:graphic>
          </wp:inline>
        </w:drawing>
      </w:r>
    </w:p>
    <w:p w:rsidR="00273429" w:rsidRDefault="00273429" w:rsidP="00273429">
      <w:pPr>
        <w:pStyle w:val="AERtablesource"/>
      </w:pPr>
      <w:r>
        <w:t xml:space="preserve">Source: </w:t>
      </w:r>
      <w:r>
        <w:tab/>
        <w:t xml:space="preserve">Energeia, </w:t>
      </w:r>
      <w:r w:rsidRPr="00CC7303">
        <w:rPr>
          <w:rStyle w:val="AERtextitalic"/>
        </w:rPr>
        <w:t>Review of 2017 AMI transition applications</w:t>
      </w:r>
      <w:r>
        <w:t>, August 2016, p. 4.</w:t>
      </w:r>
    </w:p>
    <w:p w:rsidR="00273429" w:rsidRDefault="00273429" w:rsidP="00273429">
      <w:pPr>
        <w:pStyle w:val="Heading3"/>
      </w:pPr>
      <w:bookmarkStart w:id="162" w:name="_Toc461447537"/>
      <w:bookmarkStart w:id="163" w:name="_Toc461526298"/>
      <w:r>
        <w:t>AusNet Services</w:t>
      </w:r>
      <w:bookmarkEnd w:id="162"/>
      <w:bookmarkEnd w:id="163"/>
    </w:p>
    <w:p w:rsidR="00273429" w:rsidRDefault="00273429" w:rsidP="00273429">
      <w:r>
        <w:fldChar w:fldCharType="begin"/>
      </w:r>
      <w:r>
        <w:instrText xml:space="preserve"> REF _Ref459918614 \h </w:instrText>
      </w:r>
      <w:r>
        <w:fldChar w:fldCharType="separate"/>
      </w:r>
      <w:r w:rsidR="003C3A1D">
        <w:t xml:space="preserve">Figure </w:t>
      </w:r>
      <w:r w:rsidR="003C3A1D">
        <w:rPr>
          <w:noProof/>
        </w:rPr>
        <w:t>9</w:t>
      </w:r>
      <w:r w:rsidR="003C3A1D">
        <w:t>.</w:t>
      </w:r>
      <w:r w:rsidR="003C3A1D">
        <w:rPr>
          <w:noProof/>
        </w:rPr>
        <w:t>4</w:t>
      </w:r>
      <w:r>
        <w:fldChar w:fldCharType="end"/>
      </w:r>
      <w:r>
        <w:t xml:space="preserve"> sets out the sub–category level benchmarking included in Energeia's report.</w:t>
      </w:r>
      <w:r w:rsidR="00544AC1">
        <w:t xml:space="preserve"> Energeia stated that it used 'Powercor as the benchmark efficient entity for [AusNet Services] except for IT capex, where Powercor and CitiPower were combined to take a more conservative position'.</w:t>
      </w:r>
      <w:r w:rsidR="00544AC1">
        <w:rPr>
          <w:rStyle w:val="FootnoteReference"/>
        </w:rPr>
        <w:footnoteReference w:id="116"/>
      </w:r>
    </w:p>
    <w:p w:rsidR="00273429" w:rsidRDefault="00273429" w:rsidP="00273429">
      <w:pPr>
        <w:pStyle w:val="Caption"/>
      </w:pPr>
      <w:bookmarkStart w:id="164" w:name="_Ref459918614"/>
      <w:r>
        <w:t xml:space="preserve">Figure </w:t>
      </w:r>
      <w:r w:rsidR="004F0568">
        <w:fldChar w:fldCharType="begin"/>
      </w:r>
      <w:r w:rsidR="004F0568">
        <w:instrText xml:space="preserve"> STYLEREF 1 \s </w:instrText>
      </w:r>
      <w:r w:rsidR="004F0568">
        <w:fldChar w:fldCharType="separate"/>
      </w:r>
      <w:r w:rsidR="003C3A1D">
        <w:rPr>
          <w:noProof/>
        </w:rPr>
        <w:t>9</w:t>
      </w:r>
      <w:r w:rsidR="004F0568">
        <w:rPr>
          <w:noProof/>
        </w:rPr>
        <w:fldChar w:fldCharType="end"/>
      </w:r>
      <w:r w:rsidR="00434015">
        <w:t>.</w:t>
      </w:r>
      <w:r w:rsidR="004F0568">
        <w:fldChar w:fldCharType="begin"/>
      </w:r>
      <w:r w:rsidR="004F0568">
        <w:instrText xml:space="preserve"> SEQ Figure \* ARABIC \s 1 </w:instrText>
      </w:r>
      <w:r w:rsidR="004F0568">
        <w:fldChar w:fldCharType="separate"/>
      </w:r>
      <w:r w:rsidR="003C3A1D">
        <w:rPr>
          <w:noProof/>
        </w:rPr>
        <w:t>4</w:t>
      </w:r>
      <w:r w:rsidR="004F0568">
        <w:rPr>
          <w:noProof/>
        </w:rPr>
        <w:fldChar w:fldCharType="end"/>
      </w:r>
      <w:bookmarkEnd w:id="164"/>
      <w:r>
        <w:tab/>
        <w:t>AusNet Services' expenditure above the benchmark efficient entity in 2009–15 by category ($2018)</w:t>
      </w:r>
    </w:p>
    <w:p w:rsidR="001F7EFE" w:rsidRPr="001F7EFE" w:rsidRDefault="00273429" w:rsidP="001F7EFE">
      <w:r w:rsidRPr="00273429">
        <w:rPr>
          <w:noProof/>
          <w:lang w:val="en-US"/>
        </w:rPr>
        <w:drawing>
          <wp:inline distT="0" distB="0" distL="0" distR="0" wp14:anchorId="16594F0F" wp14:editId="7B3AB7AE">
            <wp:extent cx="5382895" cy="1579382"/>
            <wp:effectExtent l="0" t="0" r="825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2895" cy="1579382"/>
                    </a:xfrm>
                    <a:prstGeom prst="rect">
                      <a:avLst/>
                    </a:prstGeom>
                    <a:noFill/>
                    <a:ln>
                      <a:noFill/>
                    </a:ln>
                  </pic:spPr>
                </pic:pic>
              </a:graphicData>
            </a:graphic>
          </wp:inline>
        </w:drawing>
      </w:r>
    </w:p>
    <w:p w:rsidR="006711D8" w:rsidRDefault="006711D8" w:rsidP="006711D8"/>
    <w:sectPr w:rsidR="006711D8" w:rsidSect="00AC02B7">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F97" w:rsidRPr="00290C63" w:rsidRDefault="00EC2F97" w:rsidP="00290C63">
      <w:r>
        <w:separator/>
      </w:r>
    </w:p>
    <w:p w:rsidR="00EC2F97" w:rsidRDefault="00EC2F97"/>
  </w:endnote>
  <w:endnote w:type="continuationSeparator" w:id="0">
    <w:p w:rsidR="00EC2F97" w:rsidRPr="00290C63" w:rsidRDefault="00EC2F97" w:rsidP="00290C63">
      <w:r>
        <w:continuationSeparator/>
      </w:r>
    </w:p>
    <w:p w:rsidR="00EC2F97" w:rsidRDefault="00EC2F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97" w:rsidRPr="00290C63" w:rsidRDefault="00EC2F97"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EC2F97" w:rsidRDefault="00EC2F97"/>
  <w:p w:rsidR="00EC2F97" w:rsidRDefault="00EC2F97"/>
  <w:p w:rsidR="00EC2F97" w:rsidRDefault="00EC2F97"/>
  <w:p w:rsidR="00EC2F97" w:rsidRDefault="00EC2F97"/>
  <w:p w:rsidR="00EC2F97" w:rsidRDefault="00EC2F97"/>
  <w:p w:rsidR="00EC2F97" w:rsidRDefault="00EC2F97"/>
  <w:p w:rsidR="00EC2F97" w:rsidRDefault="00EC2F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655474"/>
      <w:docPartObj>
        <w:docPartGallery w:val="Page Numbers (Bottom of Page)"/>
        <w:docPartUnique/>
      </w:docPartObj>
    </w:sdtPr>
    <w:sdtEndPr>
      <w:rPr>
        <w:noProof/>
        <w:sz w:val="16"/>
        <w:szCs w:val="16"/>
      </w:rPr>
    </w:sdtEndPr>
    <w:sdtContent>
      <w:p w:rsidR="00EC2F97" w:rsidRDefault="00EC2F97">
        <w:pPr>
          <w:pStyle w:val="Footer"/>
        </w:pPr>
        <w:r>
          <w:fldChar w:fldCharType="begin"/>
        </w:r>
        <w:r>
          <w:instrText xml:space="preserve"> PAGE   \* MERGEFORMAT </w:instrText>
        </w:r>
        <w:r>
          <w:fldChar w:fldCharType="separate"/>
        </w:r>
        <w:r w:rsidR="004F0568">
          <w:rPr>
            <w:noProof/>
          </w:rPr>
          <w:t>1-0</w:t>
        </w:r>
        <w:r>
          <w:rPr>
            <w:noProof/>
          </w:rPr>
          <w:fldChar w:fldCharType="end"/>
        </w:r>
        <w:r>
          <w:rPr>
            <w:noProof/>
          </w:rPr>
          <w:t xml:space="preserve">          </w:t>
        </w:r>
        <w:r>
          <w:rPr>
            <w:rFonts w:cs="Gautami"/>
            <w:noProof/>
            <w:sz w:val="16"/>
            <w:szCs w:val="16"/>
          </w:rPr>
          <w:t xml:space="preserve">Draft </w:t>
        </w:r>
        <w:r>
          <w:t>D</w:t>
        </w:r>
        <w:r w:rsidRPr="00FD5E78">
          <w:rPr>
            <w:rFonts w:cs="Gautami"/>
            <w:noProof/>
            <w:sz w:val="16"/>
            <w:szCs w:val="16"/>
          </w:rPr>
          <w:t>ecision</w:t>
        </w:r>
        <w:r>
          <w:rPr>
            <w:rFonts w:cs="Gautami"/>
            <w:noProof/>
            <w:sz w:val="16"/>
            <w:szCs w:val="16"/>
          </w:rPr>
          <w:t>:</w:t>
        </w:r>
        <w:r w:rsidRPr="00FD5E78">
          <w:rPr>
            <w:rFonts w:cs="Gautami"/>
            <w:noProof/>
            <w:sz w:val="16"/>
            <w:szCs w:val="16"/>
          </w:rPr>
          <w:t xml:space="preserve"> </w:t>
        </w:r>
        <w:r>
          <w:t>AMI Transition Charges Applications</w:t>
        </w:r>
      </w:p>
    </w:sdtContent>
  </w:sdt>
  <w:p w:rsidR="00EC2F97" w:rsidRDefault="00EC2F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97" w:rsidRPr="00290C63" w:rsidRDefault="00EC2F97"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EC2F97" w:rsidRDefault="00EC2F97">
    <w:pPr>
      <w:pStyle w:val="Footer"/>
    </w:pPr>
  </w:p>
  <w:p w:rsidR="00EC2F97" w:rsidRDefault="00EC2F97"/>
  <w:p w:rsidR="00EC2F97" w:rsidRDefault="00EC2F97"/>
  <w:p w:rsidR="00EC2F97" w:rsidRDefault="00EC2F97"/>
  <w:p w:rsidR="00EC2F97" w:rsidRDefault="00EC2F97"/>
  <w:p w:rsidR="00EC2F97" w:rsidRDefault="00EC2F97"/>
  <w:p w:rsidR="00EC2F97" w:rsidRDefault="00EC2F97"/>
  <w:p w:rsidR="00EC2F97" w:rsidRDefault="00EC2F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F97" w:rsidRPr="00290C63" w:rsidRDefault="00EC2F97" w:rsidP="00290C63">
      <w:r>
        <w:separator/>
      </w:r>
    </w:p>
    <w:p w:rsidR="00EC2F97" w:rsidRDefault="00EC2F97"/>
  </w:footnote>
  <w:footnote w:type="continuationSeparator" w:id="0">
    <w:p w:rsidR="00EC2F97" w:rsidRPr="00290C63" w:rsidRDefault="00EC2F97" w:rsidP="00290C63">
      <w:r>
        <w:continuationSeparator/>
      </w:r>
    </w:p>
    <w:p w:rsidR="00EC2F97" w:rsidRDefault="00EC2F97"/>
  </w:footnote>
  <w:footnote w:id="1">
    <w:p w:rsidR="00EC2F97" w:rsidRDefault="00EC2F97">
      <w:pPr>
        <w:pStyle w:val="FootnoteText"/>
      </w:pPr>
      <w:r>
        <w:rPr>
          <w:rStyle w:val="FootnoteReference"/>
        </w:rPr>
        <w:footnoteRef/>
      </w:r>
      <w:r>
        <w:t xml:space="preserve"> </w:t>
      </w:r>
      <w:r>
        <w:tab/>
      </w:r>
      <w:r w:rsidRPr="00332E90">
        <w:rPr>
          <w:rStyle w:val="AERtextitalic"/>
        </w:rPr>
        <w:t>Victorian Advanced Metering Infrastructure Cost Recovery Order In Council</w:t>
      </w:r>
      <w:r>
        <w:t>.</w:t>
      </w:r>
    </w:p>
  </w:footnote>
  <w:footnote w:id="2">
    <w:p w:rsidR="00EC2F97" w:rsidRDefault="00EC2F97" w:rsidP="008F6177">
      <w:pPr>
        <w:pStyle w:val="FootnoteText"/>
      </w:pPr>
      <w:r>
        <w:rPr>
          <w:rStyle w:val="FootnoteReference"/>
        </w:rPr>
        <w:footnoteRef/>
      </w:r>
      <w:r>
        <w:t xml:space="preserve"> </w:t>
      </w:r>
      <w:r>
        <w:tab/>
        <w:t>Since the Order was initially made, it has been amended several times. This draft decision applies the latest version of the Order made 15 June 2016.</w:t>
      </w:r>
    </w:p>
  </w:footnote>
  <w:footnote w:id="3">
    <w:p w:rsidR="00EC2F97" w:rsidRDefault="00EC2F97">
      <w:pPr>
        <w:pStyle w:val="FootnoteText"/>
      </w:pPr>
      <w:r>
        <w:rPr>
          <w:rStyle w:val="FootnoteReference"/>
        </w:rPr>
        <w:footnoteRef/>
      </w:r>
      <w:r>
        <w:t xml:space="preserve"> </w:t>
      </w:r>
      <w:r>
        <w:tab/>
      </w:r>
      <w:r w:rsidRPr="007D4722">
        <w:t xml:space="preserve">AER, </w:t>
      </w:r>
      <w:r w:rsidRPr="00332E90">
        <w:rPr>
          <w:rStyle w:val="AERtextitalic"/>
        </w:rPr>
        <w:t>2009–11 AMI budget and charges determination</w:t>
      </w:r>
      <w:r w:rsidRPr="007D4722">
        <w:t xml:space="preserve">, 30 October 2009; AER, </w:t>
      </w:r>
      <w:r w:rsidRPr="00332E90">
        <w:rPr>
          <w:rStyle w:val="AERtextitalic"/>
        </w:rPr>
        <w:t>2012–15 AMI budget and charges determination</w:t>
      </w:r>
      <w:r w:rsidRPr="007D4722">
        <w:t>, 31 October 2011.</w:t>
      </w:r>
    </w:p>
  </w:footnote>
  <w:footnote w:id="4">
    <w:p w:rsidR="00EC2F97" w:rsidRDefault="00EC2F97" w:rsidP="0030583E">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5L.4.</w:t>
      </w:r>
    </w:p>
  </w:footnote>
  <w:footnote w:id="5">
    <w:p w:rsidR="00EC2F97" w:rsidRDefault="00EC2F97" w:rsidP="0030583E">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5L.4.</w:t>
      </w:r>
    </w:p>
  </w:footnote>
  <w:footnote w:id="6">
    <w:p w:rsidR="00EC2F97" w:rsidRDefault="00EC2F97" w:rsidP="0030583E">
      <w:pPr>
        <w:pStyle w:val="FootnoteText"/>
      </w:pPr>
      <w:r>
        <w:rPr>
          <w:rStyle w:val="FootnoteReference"/>
        </w:rPr>
        <w:footnoteRef/>
      </w:r>
      <w:r>
        <w:t xml:space="preserve"> </w:t>
      </w:r>
      <w:r>
        <w:tab/>
        <w:t>See section 2 - Background.</w:t>
      </w:r>
    </w:p>
  </w:footnote>
  <w:footnote w:id="7">
    <w:p w:rsidR="00EC2F97" w:rsidRDefault="00EC2F97" w:rsidP="008F6177">
      <w:pPr>
        <w:pStyle w:val="FootnoteText"/>
      </w:pPr>
      <w:r>
        <w:rPr>
          <w:rStyle w:val="FootnoteReference"/>
        </w:rPr>
        <w:footnoteRef/>
      </w:r>
      <w:r>
        <w:t xml:space="preserve"> </w:t>
      </w:r>
      <w:r>
        <w:tab/>
      </w:r>
      <w:r w:rsidRPr="007A20BF">
        <w:t xml:space="preserve">AER, </w:t>
      </w:r>
      <w:r w:rsidRPr="007A20BF">
        <w:rPr>
          <w:rStyle w:val="AERtextitalic"/>
        </w:rPr>
        <w:t>2012–15 AMI budget and charges determination</w:t>
      </w:r>
      <w:r w:rsidRPr="007A20BF">
        <w:t>, 31 October 2011</w:t>
      </w:r>
      <w:r>
        <w:t>.</w:t>
      </w:r>
    </w:p>
  </w:footnote>
  <w:footnote w:id="8">
    <w:p w:rsidR="00EC2F97" w:rsidRDefault="00EC2F97" w:rsidP="006C1347">
      <w:pPr>
        <w:pStyle w:val="FootnoteText"/>
      </w:pPr>
      <w:r>
        <w:rPr>
          <w:rStyle w:val="FootnoteReference"/>
        </w:rPr>
        <w:footnoteRef/>
      </w:r>
      <w:r>
        <w:t xml:space="preserve"> </w:t>
      </w:r>
      <w:r>
        <w:tab/>
      </w:r>
      <w:r w:rsidRPr="00332E90">
        <w:rPr>
          <w:rStyle w:val="AERtextitalic"/>
        </w:rPr>
        <w:t>Victorian Advanced Metering Infrastructure Cost Recovery Order In Council</w:t>
      </w:r>
      <w:r w:rsidRPr="00B14B56">
        <w:t>, cl 5L.3.</w:t>
      </w:r>
    </w:p>
  </w:footnote>
  <w:footnote w:id="9">
    <w:p w:rsidR="00EC2F97" w:rsidRDefault="00EC2F97">
      <w:pPr>
        <w:pStyle w:val="FootnoteText"/>
      </w:pPr>
      <w:r>
        <w:rPr>
          <w:rStyle w:val="FootnoteReference"/>
        </w:rPr>
        <w:footnoteRef/>
      </w:r>
      <w:r>
        <w:t xml:space="preserve"> </w:t>
      </w:r>
      <w:r>
        <w:tab/>
        <w:t xml:space="preserve">NER, clause 6.18.2(a)(2).  The deadline for pricing proposals is 30 September 2016.  </w:t>
      </w:r>
    </w:p>
  </w:footnote>
  <w:footnote w:id="10">
    <w:p w:rsidR="00EC2F97" w:rsidRDefault="00EC2F97">
      <w:pPr>
        <w:pStyle w:val="FootnoteText"/>
      </w:pPr>
      <w:r>
        <w:rPr>
          <w:rStyle w:val="FootnoteReference"/>
        </w:rPr>
        <w:footnoteRef/>
      </w:r>
      <w:r>
        <w:t xml:space="preserve"> </w:t>
      </w:r>
      <w:r>
        <w:tab/>
        <w:t>Department of Environment, Land, Water &amp; Planning, Submission on Advanced metering infrastructure Transition Charges Applications 2017, 30 August 2016.</w:t>
      </w:r>
    </w:p>
  </w:footnote>
  <w:footnote w:id="11">
    <w:p w:rsidR="00EC2F97" w:rsidRDefault="00EC2F97">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5A.2</w:t>
      </w:r>
    </w:p>
  </w:footnote>
  <w:footnote w:id="12">
    <w:p w:rsidR="00EC2F97" w:rsidRDefault="00EC2F97">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5G.3</w:t>
      </w:r>
    </w:p>
  </w:footnote>
  <w:footnote w:id="13">
    <w:p w:rsidR="00EC2F97" w:rsidRDefault="00EC2F97">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w:t>
      </w:r>
    </w:p>
  </w:footnote>
  <w:footnote w:id="14">
    <w:p w:rsidR="00EC2F97" w:rsidRDefault="00EC2F97">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5A.</w:t>
      </w:r>
    </w:p>
  </w:footnote>
  <w:footnote w:id="15">
    <w:p w:rsidR="00EC2F97" w:rsidRDefault="00EC2F97">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5C.2.</w:t>
      </w:r>
    </w:p>
  </w:footnote>
  <w:footnote w:id="16">
    <w:p w:rsidR="00EC2F97" w:rsidRDefault="00EC2F97" w:rsidP="00F402FA">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5G.</w:t>
      </w:r>
    </w:p>
  </w:footnote>
  <w:footnote w:id="17">
    <w:p w:rsidR="00EC2F97" w:rsidRDefault="00EC2F97">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5G.2.</w:t>
      </w:r>
    </w:p>
  </w:footnote>
  <w:footnote w:id="18">
    <w:p w:rsidR="00EC2F97" w:rsidRDefault="00EC2F97">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5H.1 and 5I.2.</w:t>
      </w:r>
    </w:p>
  </w:footnote>
  <w:footnote w:id="19">
    <w:p w:rsidR="00EC2F97" w:rsidRDefault="00EC2F97" w:rsidP="00E81022">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5G.2.</w:t>
      </w:r>
    </w:p>
  </w:footnote>
  <w:footnote w:id="20">
    <w:p w:rsidR="00EC2F97" w:rsidRDefault="00EC2F97">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5I.5.</w:t>
      </w:r>
    </w:p>
  </w:footnote>
  <w:footnote w:id="21">
    <w:p w:rsidR="00EC2F97" w:rsidRDefault="00EC2F97" w:rsidP="00E81022">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5I.5 to 5I.7B.</w:t>
      </w:r>
    </w:p>
  </w:footnote>
  <w:footnote w:id="22">
    <w:p w:rsidR="00EC2F97" w:rsidRDefault="00EC2F97" w:rsidP="00750EC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5L.3.</w:t>
      </w:r>
    </w:p>
  </w:footnote>
  <w:footnote w:id="23">
    <w:p w:rsidR="00EC2F97" w:rsidRDefault="00EC2F97" w:rsidP="00750EC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5L.3.</w:t>
      </w:r>
    </w:p>
  </w:footnote>
  <w:footnote w:id="24">
    <w:p w:rsidR="00EC2F97" w:rsidRPr="003A58F5" w:rsidRDefault="00EC2F97" w:rsidP="003A58F5">
      <w:pPr>
        <w:pStyle w:val="FootnoteText"/>
        <w:rPr>
          <w:color w:val="0000FF"/>
          <w:sz w:val="22"/>
          <w:u w:val="single"/>
        </w:rPr>
      </w:pPr>
      <w:r>
        <w:rPr>
          <w:rStyle w:val="FootnoteReference"/>
        </w:rPr>
        <w:footnoteRef/>
      </w:r>
      <w:r>
        <w:t xml:space="preserve"> </w:t>
      </w:r>
      <w:r>
        <w:tab/>
      </w:r>
      <w:r w:rsidRPr="0052757A">
        <w:t xml:space="preserve">Victorian Government, Department of Economic Development, Jobs, Transport and Resources </w:t>
      </w:r>
      <w:hyperlink r:id="rId1" w:history="1">
        <w:r w:rsidRPr="003A58F5">
          <w:rPr>
            <w:rStyle w:val="Hyperlink"/>
            <w:color w:val="auto"/>
            <w:sz w:val="16"/>
            <w:u w:val="none"/>
          </w:rPr>
          <w:t>http://www.smartmeters.vic.gov.au/about-smart-meters/end-of-rollout</w:t>
        </w:r>
      </w:hyperlink>
      <w:r>
        <w:t xml:space="preserve">, </w:t>
      </w:r>
      <w:r w:rsidRPr="0052757A">
        <w:t>accessed 11 October 2015.</w:t>
      </w:r>
    </w:p>
  </w:footnote>
  <w:footnote w:id="25">
    <w:p w:rsidR="00EC2F97" w:rsidRDefault="00EC2F97" w:rsidP="00907616">
      <w:pPr>
        <w:pStyle w:val="FootnoteText"/>
      </w:pPr>
      <w:r>
        <w:rPr>
          <w:rStyle w:val="FootnoteReference"/>
        </w:rPr>
        <w:footnoteRef/>
      </w:r>
      <w:r>
        <w:t xml:space="preserve"> </w:t>
      </w:r>
      <w:r>
        <w:tab/>
      </w:r>
      <w:r w:rsidRPr="00907616">
        <w:t xml:space="preserve">See: </w:t>
      </w:r>
      <w:hyperlink r:id="rId2" w:history="1">
        <w:r w:rsidRPr="009A312E">
          <w:rPr>
            <w:rStyle w:val="Hyperlink"/>
            <w:sz w:val="16"/>
          </w:rPr>
          <w:t>http://www.aer.gov.au/networks-pipelines/determinations-access-arrangements?f[0]=field_accc_aer_region%3A15&amp;f[1]=field_accc_aer_segment%3A10&amp;f[2]=type%3Aaccc_aer_determination</w:t>
        </w:r>
      </w:hyperlink>
    </w:p>
  </w:footnote>
  <w:footnote w:id="26">
    <w:p w:rsidR="00EC2F97" w:rsidRDefault="00EC2F97">
      <w:pPr>
        <w:pStyle w:val="FootnoteText"/>
      </w:pPr>
      <w:r>
        <w:rPr>
          <w:rStyle w:val="FootnoteReference"/>
        </w:rPr>
        <w:footnoteRef/>
      </w:r>
      <w:r>
        <w:t xml:space="preserve"> </w:t>
      </w:r>
      <w:r>
        <w:tab/>
        <w:t xml:space="preserve">Subject to certain modifications set out in the </w:t>
      </w:r>
      <w:r w:rsidRPr="00D87322">
        <w:rPr>
          <w:rStyle w:val="AERtextitalic"/>
        </w:rPr>
        <w:t>Victorian Advanced Metering Infrastructure Cost Recovery Order In Council</w:t>
      </w:r>
      <w:r>
        <w:t>.</w:t>
      </w:r>
    </w:p>
  </w:footnote>
  <w:footnote w:id="27">
    <w:p w:rsidR="00EC2F97" w:rsidRDefault="00EC2F97" w:rsidP="00AE418D">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5L.3.</w:t>
      </w:r>
    </w:p>
  </w:footnote>
  <w:footnote w:id="28">
    <w:p w:rsidR="00EC2F97" w:rsidRDefault="00EC2F97" w:rsidP="00AE418D">
      <w:pPr>
        <w:pStyle w:val="FootnoteText"/>
      </w:pPr>
      <w:r>
        <w:rPr>
          <w:rStyle w:val="FootnoteReference"/>
        </w:rPr>
        <w:footnoteRef/>
      </w:r>
      <w:r>
        <w:t xml:space="preserve"> </w:t>
      </w:r>
      <w:r>
        <w:tab/>
      </w:r>
      <w:r w:rsidRPr="00D87322">
        <w:rPr>
          <w:rStyle w:val="AERtextitalic"/>
        </w:rPr>
        <w:t>Victorian Advanced Metering Infrastructure Cost Recovery Order In Council</w:t>
      </w:r>
      <w:r w:rsidRPr="00640593">
        <w:t>, cl 5L.4(b).</w:t>
      </w:r>
    </w:p>
  </w:footnote>
  <w:footnote w:id="29">
    <w:p w:rsidR="00EC2F97" w:rsidRDefault="00EC2F97" w:rsidP="009A436D">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5L.4.</w:t>
      </w:r>
    </w:p>
  </w:footnote>
  <w:footnote w:id="30">
    <w:p w:rsidR="00EC2F97" w:rsidRDefault="00EC2F97" w:rsidP="00AE418D">
      <w:pPr>
        <w:pStyle w:val="FootnoteText"/>
      </w:pPr>
      <w:r>
        <w:rPr>
          <w:rStyle w:val="FootnoteReference"/>
        </w:rPr>
        <w:footnoteRef/>
      </w:r>
      <w:r>
        <w:t xml:space="preserve"> </w:t>
      </w:r>
      <w:r>
        <w:tab/>
        <w:t>2015 AMI charges revision application, August 2014.</w:t>
      </w:r>
    </w:p>
  </w:footnote>
  <w:footnote w:id="31">
    <w:p w:rsidR="00EC2F97" w:rsidRDefault="00EC2F97" w:rsidP="00AE418D">
      <w:pPr>
        <w:pStyle w:val="FootnoteText"/>
      </w:pPr>
      <w:r>
        <w:rPr>
          <w:rStyle w:val="FootnoteReference"/>
        </w:rPr>
        <w:footnoteRef/>
      </w:r>
      <w:r>
        <w:t xml:space="preserve"> </w:t>
      </w:r>
      <w:r>
        <w:tab/>
      </w:r>
      <w:r w:rsidRPr="00D87322">
        <w:rPr>
          <w:rStyle w:val="AERtextitalic"/>
        </w:rPr>
        <w:t>Victorian Advanced Metering Infrastructure Cost Recovery Order In Council</w:t>
      </w:r>
      <w:r>
        <w:t>, cl 5L.7.</w:t>
      </w:r>
    </w:p>
  </w:footnote>
  <w:footnote w:id="32">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5I.2 to 5I.10.</w:t>
      </w:r>
    </w:p>
  </w:footnote>
  <w:footnote w:id="33">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5I.2.</w:t>
      </w:r>
    </w:p>
  </w:footnote>
  <w:footnote w:id="34">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5I.2 to 5I.10.</w:t>
      </w:r>
    </w:p>
  </w:footnote>
  <w:footnote w:id="35">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5L.4.</w:t>
      </w:r>
    </w:p>
  </w:footnote>
  <w:footnote w:id="36">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5I7.</w:t>
      </w:r>
    </w:p>
  </w:footnote>
  <w:footnote w:id="37">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5I.7A.</w:t>
      </w:r>
    </w:p>
  </w:footnote>
  <w:footnote w:id="38">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5I.7B(c).</w:t>
      </w:r>
    </w:p>
  </w:footnote>
  <w:footnote w:id="39">
    <w:p w:rsidR="00EC2F97" w:rsidRDefault="00EC2F97" w:rsidP="00706790">
      <w:pPr>
        <w:pStyle w:val="FootnoteText"/>
      </w:pPr>
      <w:r>
        <w:rPr>
          <w:rStyle w:val="FootnoteReference"/>
        </w:rPr>
        <w:footnoteRef/>
      </w:r>
      <w:r>
        <w:t xml:space="preserve"> </w:t>
      </w:r>
      <w:r>
        <w:tab/>
      </w:r>
      <w:r w:rsidRPr="00D87322">
        <w:rPr>
          <w:rStyle w:val="AERtextitalic"/>
        </w:rPr>
        <w:t>Victorian Advanced Metering Infrastructure Cost Recovery Order In Council</w:t>
      </w:r>
      <w:r>
        <w:t>, cl 5I.7B(d</w:t>
      </w:r>
      <w:r w:rsidRPr="00640593">
        <w:t>).</w:t>
      </w:r>
    </w:p>
  </w:footnote>
  <w:footnote w:id="40">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5I.7AA.</w:t>
      </w:r>
    </w:p>
  </w:footnote>
  <w:footnote w:id="41">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5I.8A.</w:t>
      </w:r>
    </w:p>
  </w:footnote>
  <w:footnote w:id="42">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5L.8B(a).</w:t>
      </w:r>
    </w:p>
  </w:footnote>
  <w:footnote w:id="43">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5L.8B(b).</w:t>
      </w:r>
    </w:p>
  </w:footnote>
  <w:footnote w:id="44">
    <w:p w:rsidR="00EC2F97" w:rsidRDefault="00EC2F97" w:rsidP="00706790">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5L.8B(c).</w:t>
      </w:r>
    </w:p>
  </w:footnote>
  <w:footnote w:id="45">
    <w:p w:rsidR="00EC2F97" w:rsidRDefault="00EC2F97">
      <w:pPr>
        <w:pStyle w:val="FootnoteText"/>
      </w:pPr>
      <w:r>
        <w:rPr>
          <w:rStyle w:val="FootnoteReference"/>
        </w:rPr>
        <w:footnoteRef/>
      </w:r>
      <w:r>
        <w:t xml:space="preserve"> </w:t>
      </w:r>
      <w:r>
        <w:tab/>
      </w:r>
      <w:r w:rsidRPr="00BF64E5">
        <w:t xml:space="preserve">Energeia, </w:t>
      </w:r>
      <w:r w:rsidRPr="00D87322">
        <w:rPr>
          <w:rStyle w:val="AERtextitalic"/>
        </w:rPr>
        <w:t>Review of 2017 AMI transition applications</w:t>
      </w:r>
      <w:r w:rsidRPr="00BF64E5">
        <w:t>, August 2016, section 3.1.</w:t>
      </w:r>
    </w:p>
  </w:footnote>
  <w:footnote w:id="46">
    <w:p w:rsidR="00EC2F97" w:rsidRDefault="00EC2F97">
      <w:pPr>
        <w:pStyle w:val="FootnoteText"/>
      </w:pPr>
      <w:r>
        <w:rPr>
          <w:rStyle w:val="FootnoteReference"/>
        </w:rPr>
        <w:footnoteRef/>
      </w:r>
      <w:r>
        <w:t xml:space="preserve"> </w:t>
      </w:r>
      <w:r>
        <w:tab/>
        <w:t>AusNet Services proposed a transition charge of $12.5 million in NPV $2009 terms. This has been adjusted for a NPV in $2018 terms.</w:t>
      </w:r>
    </w:p>
  </w:footnote>
  <w:footnote w:id="47">
    <w:p w:rsidR="00EC2F97" w:rsidRDefault="00EC2F97">
      <w:pPr>
        <w:pStyle w:val="FootnoteText"/>
      </w:pPr>
      <w:r>
        <w:rPr>
          <w:rStyle w:val="FootnoteReference"/>
        </w:rPr>
        <w:footnoteRef/>
      </w:r>
      <w:r>
        <w:t xml:space="preserve"> </w:t>
      </w:r>
      <w:r>
        <w:tab/>
      </w:r>
      <w:r w:rsidRPr="00A83852">
        <w:rPr>
          <w:rStyle w:val="AERtextitalic"/>
        </w:rPr>
        <w:t>Victorian Advanced Metering Infrastructure Cost Recovery Order In Council</w:t>
      </w:r>
      <w:r>
        <w:t>, cl 5L.4 and 5L.7 to 5L.12.</w:t>
      </w:r>
    </w:p>
  </w:footnote>
  <w:footnote w:id="48">
    <w:p w:rsidR="00EC2F97" w:rsidRDefault="00EC2F97" w:rsidP="00A2652A">
      <w:pPr>
        <w:pStyle w:val="FootnoteText"/>
      </w:pPr>
      <w:r>
        <w:rPr>
          <w:rStyle w:val="FootnoteReference"/>
        </w:rPr>
        <w:footnoteRef/>
      </w:r>
      <w:r>
        <w:t xml:space="preserve"> </w:t>
      </w:r>
      <w:r>
        <w:tab/>
      </w:r>
      <w:r w:rsidRPr="000D6BDF">
        <w:rPr>
          <w:rStyle w:val="AERtextitalic"/>
        </w:rPr>
        <w:t>Victorian Advanced Metering Infrastructure Cost Recovery Order In Council</w:t>
      </w:r>
      <w:r>
        <w:t>, cl 5L.3 and 5L. 4.</w:t>
      </w:r>
    </w:p>
  </w:footnote>
  <w:footnote w:id="49">
    <w:p w:rsidR="00EC2F97" w:rsidRDefault="00EC2F97">
      <w:pPr>
        <w:pStyle w:val="FootnoteText"/>
      </w:pPr>
      <w:r>
        <w:rPr>
          <w:rStyle w:val="FootnoteReference"/>
        </w:rPr>
        <w:footnoteRef/>
      </w:r>
      <w:r>
        <w:t xml:space="preserve"> </w:t>
      </w:r>
      <w:r>
        <w:ta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50">
    <w:p w:rsidR="00EC2F97" w:rsidRDefault="00EC2F97" w:rsidP="00C90A9E">
      <w:pPr>
        <w:pStyle w:val="FootnoteText"/>
      </w:pPr>
      <w:r>
        <w:rPr>
          <w:rStyle w:val="FootnoteReference"/>
        </w:rPr>
        <w:footnoteRef/>
      </w:r>
      <w:r>
        <w:t xml:space="preserve"> </w:t>
      </w:r>
      <w:r>
        <w:tab/>
        <w:t>2015 AMI charges revision application, August 2014.</w:t>
      </w:r>
    </w:p>
  </w:footnote>
  <w:footnote w:id="51">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52">
    <w:p w:rsidR="00EC2F97" w:rsidRDefault="00EC2F97">
      <w:pPr>
        <w:pStyle w:val="FootnoteText"/>
      </w:pPr>
      <w:r>
        <w:rPr>
          <w:rStyle w:val="FootnoteReference"/>
        </w:rPr>
        <w:footnoteRef/>
      </w:r>
      <w:r>
        <w:t xml:space="preserve"> </w:t>
      </w:r>
      <w:r>
        <w:tab/>
        <w:t>Department of Environment, Land, Water &amp; Planning, Submission on Advanced metering infrastructure Transition Charges Applications 2017, 30 August 2016, p. 1.</w:t>
      </w:r>
    </w:p>
  </w:footnote>
  <w:footnote w:id="53">
    <w:p w:rsidR="00EC2F97" w:rsidRDefault="00EC2F97">
      <w:pPr>
        <w:pStyle w:val="FootnoteText"/>
      </w:pPr>
      <w:r>
        <w:rPr>
          <w:rStyle w:val="FootnoteReference"/>
        </w:rPr>
        <w:footnoteRef/>
      </w:r>
      <w:r>
        <w:t xml:space="preserve"> </w:t>
      </w:r>
      <w:r>
        <w:tab/>
        <w:t xml:space="preserve">AusNet Services, </w:t>
      </w:r>
      <w:r w:rsidRPr="00570B48">
        <w:rPr>
          <w:rStyle w:val="AERtextitalic"/>
        </w:rPr>
        <w:t>AMI Transition Charges Application</w:t>
      </w:r>
      <w:r>
        <w:t>, 31 May 2016, p. 28.</w:t>
      </w:r>
    </w:p>
  </w:footnote>
  <w:footnote w:id="54">
    <w:p w:rsidR="00EC2F97" w:rsidRDefault="00EC2F97">
      <w:pPr>
        <w:pStyle w:val="FootnoteText"/>
      </w:pPr>
      <w:r>
        <w:rPr>
          <w:rStyle w:val="FootnoteReference"/>
        </w:rPr>
        <w:footnoteRef/>
      </w:r>
      <w:r>
        <w:t xml:space="preserve"> </w:t>
      </w:r>
      <w:r>
        <w:tab/>
        <w:t xml:space="preserve">AusNet Services, </w:t>
      </w:r>
      <w:r w:rsidRPr="00570B48">
        <w:rPr>
          <w:rStyle w:val="AERtextitalic"/>
        </w:rPr>
        <w:t>AMI Transition Charges Application</w:t>
      </w:r>
      <w:r>
        <w:t>, 31 May 2016, p. 28.</w:t>
      </w:r>
    </w:p>
  </w:footnote>
  <w:footnote w:id="55">
    <w:p w:rsidR="00EC2F97" w:rsidRDefault="00EC2F97" w:rsidP="00C66275">
      <w:pPr>
        <w:pStyle w:val="FootnoteText"/>
      </w:pPr>
      <w:r>
        <w:rPr>
          <w:rStyle w:val="FootnoteReference"/>
        </w:rPr>
        <w:footnoteRef/>
      </w:r>
      <w:r>
        <w:t xml:space="preserve"> </w:t>
      </w:r>
      <w:r>
        <w:tab/>
        <w:t xml:space="preserve">AusNet Services, </w:t>
      </w:r>
      <w:r w:rsidRPr="00570B48">
        <w:rPr>
          <w:rStyle w:val="AERtextitalic"/>
        </w:rPr>
        <w:t>AMI Transition Charges Application</w:t>
      </w:r>
      <w:r>
        <w:t>, 31 May 2016, p. 24.</w:t>
      </w:r>
    </w:p>
  </w:footnote>
  <w:footnote w:id="56">
    <w:p w:rsidR="00EC2F97" w:rsidRDefault="00EC2F97">
      <w:pPr>
        <w:pStyle w:val="FootnoteText"/>
      </w:pPr>
      <w:r>
        <w:rPr>
          <w:rStyle w:val="FootnoteReference"/>
        </w:rPr>
        <w:footnoteRef/>
      </w:r>
      <w:r>
        <w:t xml:space="preserve"> </w:t>
      </w:r>
      <w:r>
        <w:tab/>
        <w:t xml:space="preserve">AusNet Services, </w:t>
      </w:r>
      <w:r w:rsidRPr="00570B48">
        <w:rPr>
          <w:rStyle w:val="AERtextitalic"/>
        </w:rPr>
        <w:t>AMI Transition Charges Application</w:t>
      </w:r>
      <w:r>
        <w:t>, 31 May 2016, p. 26.</w:t>
      </w:r>
    </w:p>
  </w:footnote>
  <w:footnote w:id="57">
    <w:p w:rsidR="00EC2F97" w:rsidRDefault="00EC2F97">
      <w:pPr>
        <w:pStyle w:val="FootnoteText"/>
      </w:pPr>
      <w:r>
        <w:rPr>
          <w:rStyle w:val="FootnoteReference"/>
        </w:rPr>
        <w:footnoteRef/>
      </w:r>
      <w:r>
        <w:t xml:space="preserve"> </w:t>
      </w:r>
      <w:r>
        <w:tab/>
        <w:t xml:space="preserve">Energeia, </w:t>
      </w:r>
      <w:r w:rsidRPr="00570B48">
        <w:rPr>
          <w:rStyle w:val="AERtextitalic"/>
        </w:rPr>
        <w:t>Review of 2017 AMI transition applications</w:t>
      </w:r>
      <w:r>
        <w:t>, August 2016, p. 32.</w:t>
      </w:r>
    </w:p>
  </w:footnote>
  <w:footnote w:id="58">
    <w:p w:rsidR="00EC2F97" w:rsidRDefault="00EC2F97">
      <w:pPr>
        <w:pStyle w:val="FootnoteText"/>
      </w:pPr>
      <w:r>
        <w:rPr>
          <w:rStyle w:val="FootnoteReference"/>
        </w:rPr>
        <w:footnoteRef/>
      </w:r>
      <w:r>
        <w:t xml:space="preserve"> </w:t>
      </w:r>
      <w:r>
        <w:tab/>
        <w:t xml:space="preserve">Energeia, </w:t>
      </w:r>
      <w:r w:rsidRPr="00570B48">
        <w:rPr>
          <w:rStyle w:val="AERtextitalic"/>
        </w:rPr>
        <w:t>Review of 2017 AMI transition applications</w:t>
      </w:r>
      <w:r>
        <w:t>, August 2016, p. 32.</w:t>
      </w:r>
    </w:p>
  </w:footnote>
  <w:footnote w:id="59">
    <w:p w:rsidR="00EC2F97" w:rsidRDefault="00EC2F97">
      <w:pPr>
        <w:pStyle w:val="FootnoteText"/>
      </w:pPr>
      <w:r>
        <w:rPr>
          <w:rStyle w:val="FootnoteReference"/>
        </w:rPr>
        <w:footnoteRef/>
      </w:r>
      <w:r>
        <w:t xml:space="preserve"> </w:t>
      </w:r>
      <w:r>
        <w:tab/>
        <w:t xml:space="preserve">Energeia, </w:t>
      </w:r>
      <w:r w:rsidRPr="00570B48">
        <w:rPr>
          <w:rStyle w:val="AERtextitalic"/>
        </w:rPr>
        <w:t>Review of 2017 AMI transition applications</w:t>
      </w:r>
      <w:r>
        <w:t>, August 2016, p. 32.</w:t>
      </w:r>
    </w:p>
  </w:footnote>
  <w:footnote w:id="60">
    <w:p w:rsidR="00EC2F97" w:rsidRDefault="00EC2F97">
      <w:pPr>
        <w:pStyle w:val="FootnoteText"/>
      </w:pPr>
      <w:r>
        <w:rPr>
          <w:rStyle w:val="FootnoteReference"/>
        </w:rPr>
        <w:footnoteRef/>
      </w:r>
      <w:r>
        <w:t xml:space="preserve"> </w:t>
      </w:r>
      <w:r>
        <w:tab/>
      </w:r>
      <w:r w:rsidRPr="00604765">
        <w:rPr>
          <w:rStyle w:val="AERtextitalic"/>
        </w:rPr>
        <w:t>Appeal by SPI Electricity Pty Ltd [2012] ACompT 11</w:t>
      </w:r>
      <w:r>
        <w:rPr>
          <w:rStyle w:val="AERtextitalic"/>
        </w:rPr>
        <w:t xml:space="preserve">; </w:t>
      </w:r>
      <w:r w:rsidRPr="00604765">
        <w:t xml:space="preserve">AER, </w:t>
      </w:r>
      <w:r w:rsidRPr="00604765">
        <w:rPr>
          <w:rStyle w:val="AERtextitalic"/>
        </w:rPr>
        <w:t>2012–15 AMI SPI Electricity Pty Ltd Budget and Charges Determination - amendments pursuant to the Australian Competition Tribunal's Orders</w:t>
      </w:r>
      <w:r>
        <w:t>, February 2013.</w:t>
      </w:r>
    </w:p>
  </w:footnote>
  <w:footnote w:id="61">
    <w:p w:rsidR="00EC2F97" w:rsidRDefault="00EC2F97">
      <w:pPr>
        <w:pStyle w:val="FootnoteText"/>
      </w:pPr>
      <w:r>
        <w:rPr>
          <w:rStyle w:val="FootnoteReference"/>
        </w:rPr>
        <w:footnoteRef/>
      </w:r>
      <w:r>
        <w:t xml:space="preserve"> </w:t>
      </w:r>
      <w:r>
        <w:tab/>
        <w:t xml:space="preserve">AusNet Services, </w:t>
      </w:r>
      <w:r w:rsidRPr="00570B48">
        <w:rPr>
          <w:rStyle w:val="AERtextitalic"/>
        </w:rPr>
        <w:t>AMI Transition Charges Application</w:t>
      </w:r>
      <w:r>
        <w:t>, 31 May 2016, p. 29.</w:t>
      </w:r>
    </w:p>
  </w:footnote>
  <w:footnote w:id="62">
    <w:p w:rsidR="00EC2F97" w:rsidRDefault="00EC2F97">
      <w:pPr>
        <w:pStyle w:val="FootnoteText"/>
      </w:pPr>
      <w:r>
        <w:rPr>
          <w:rStyle w:val="FootnoteReference"/>
        </w:rPr>
        <w:footnoteRef/>
      </w:r>
      <w:r>
        <w:t xml:space="preserve"> </w:t>
      </w:r>
      <w:r>
        <w:tab/>
        <w:t>Department of Environment, Land, Water &amp; Planning, Submission on Advanced metering infrastructure Transition Charges Applications 2017, 30 August 2016, p. 2.</w:t>
      </w:r>
    </w:p>
  </w:footnote>
  <w:footnote w:id="63">
    <w:p w:rsidR="00EC2F97" w:rsidRDefault="00EC2F97">
      <w:pPr>
        <w:pStyle w:val="FootnoteText"/>
      </w:pPr>
      <w:r>
        <w:rPr>
          <w:rStyle w:val="FootnoteReference"/>
        </w:rPr>
        <w:footnoteRef/>
      </w:r>
      <w:r>
        <w:t xml:space="preserve"> </w:t>
      </w:r>
      <w:r>
        <w:tab/>
      </w:r>
      <w:r w:rsidRPr="00570B48">
        <w:rPr>
          <w:rStyle w:val="AERtextitalic"/>
        </w:rPr>
        <w:t>Victorian Advanced Metering Infrastructure Cost Recovery Order In Council</w:t>
      </w:r>
      <w:r>
        <w:t>, cl 5I.7 and 5I7A.</w:t>
      </w:r>
    </w:p>
  </w:footnote>
  <w:footnote w:id="64">
    <w:p w:rsidR="00EC2F97" w:rsidRDefault="00EC2F97">
      <w:pPr>
        <w:pStyle w:val="FootnoteText"/>
      </w:pPr>
      <w:r>
        <w:rPr>
          <w:rStyle w:val="FootnoteReference"/>
        </w:rPr>
        <w:footnoteRef/>
      </w:r>
      <w:r>
        <w:t xml:space="preserve"> </w:t>
      </w:r>
      <w:r>
        <w:tab/>
      </w:r>
      <w:r w:rsidRPr="00AB69B9">
        <w:t xml:space="preserve">AusNet Services, </w:t>
      </w:r>
      <w:r w:rsidRPr="00570B48">
        <w:rPr>
          <w:rStyle w:val="AERtextitalic"/>
        </w:rPr>
        <w:t>AMI Transition Charges Application</w:t>
      </w:r>
      <w:r>
        <w:t>, 31 May 2016, p. 35</w:t>
      </w:r>
      <w:r w:rsidRPr="00AB69B9">
        <w:t>.</w:t>
      </w:r>
    </w:p>
  </w:footnote>
  <w:footnote w:id="65">
    <w:p w:rsidR="00EC2F97" w:rsidRDefault="00EC2F97">
      <w:pPr>
        <w:pStyle w:val="FootnoteText"/>
      </w:pPr>
      <w:r>
        <w:rPr>
          <w:rStyle w:val="FootnoteReference"/>
        </w:rPr>
        <w:footnoteRef/>
      </w:r>
      <w:r>
        <w:t xml:space="preserve"> </w:t>
      </w:r>
      <w:r>
        <w:tab/>
      </w:r>
      <w:r w:rsidRPr="00AB69B9">
        <w:t xml:space="preserve">AusNet Services, </w:t>
      </w:r>
      <w:r w:rsidRPr="008826FA">
        <w:rPr>
          <w:rStyle w:val="AERtextitalic"/>
        </w:rPr>
        <w:t>AMI Transition Charges Application</w:t>
      </w:r>
      <w:r w:rsidRPr="00AB69B9">
        <w:t xml:space="preserve">, 31 May 2016, p. </w:t>
      </w:r>
      <w:r>
        <w:t>34</w:t>
      </w:r>
      <w:r w:rsidRPr="00AB69B9">
        <w:t>.</w:t>
      </w:r>
    </w:p>
  </w:footnote>
  <w:footnote w:id="66">
    <w:p w:rsidR="00EC2F97" w:rsidRDefault="00EC2F97">
      <w:pPr>
        <w:pStyle w:val="FootnoteText"/>
      </w:pPr>
      <w:r>
        <w:rPr>
          <w:rStyle w:val="FootnoteReference"/>
        </w:rPr>
        <w:footnoteRef/>
      </w:r>
      <w:r>
        <w:t xml:space="preserve"> </w:t>
      </w:r>
      <w:r>
        <w:tab/>
        <w:t xml:space="preserve">Energeia, </w:t>
      </w:r>
      <w:r w:rsidRPr="008826FA">
        <w:rPr>
          <w:rStyle w:val="AERtextitalic"/>
        </w:rPr>
        <w:t>Review of 2017 AMI transition applications</w:t>
      </w:r>
      <w:r>
        <w:t>, August 2016, p. 33.</w:t>
      </w:r>
    </w:p>
  </w:footnote>
  <w:footnote w:id="67">
    <w:p w:rsidR="00EC2F97" w:rsidRDefault="00EC2F97">
      <w:pPr>
        <w:pStyle w:val="FootnoteText"/>
      </w:pPr>
      <w:r>
        <w:rPr>
          <w:rStyle w:val="FootnoteReference"/>
        </w:rPr>
        <w:footnoteRef/>
      </w:r>
      <w:r>
        <w:t xml:space="preserve"> </w:t>
      </w:r>
      <w:r>
        <w:tab/>
        <w:t xml:space="preserve">Energeia, </w:t>
      </w:r>
      <w:r w:rsidRPr="008826FA">
        <w:rPr>
          <w:rStyle w:val="AERtextitalic"/>
        </w:rPr>
        <w:t>Review of 2017 AMI transition applications</w:t>
      </w:r>
      <w:r>
        <w:t>, August 2016, p. 33.</w:t>
      </w:r>
    </w:p>
  </w:footnote>
  <w:footnote w:id="68">
    <w:p w:rsidR="00EC2F97" w:rsidRDefault="00EC2F97">
      <w:pPr>
        <w:pStyle w:val="FootnoteText"/>
      </w:pPr>
      <w:r>
        <w:rPr>
          <w:rStyle w:val="FootnoteReference"/>
        </w:rPr>
        <w:footnoteRef/>
      </w:r>
      <w:r>
        <w:t xml:space="preserve"> </w:t>
      </w:r>
      <w:r>
        <w:tab/>
        <w:t xml:space="preserve">Energeia, </w:t>
      </w:r>
      <w:r w:rsidRPr="008826FA">
        <w:rPr>
          <w:rStyle w:val="AERtextitalic"/>
        </w:rPr>
        <w:t>Review of 2017 AMI transition applications</w:t>
      </w:r>
      <w:r>
        <w:t>, August 2016, p. 33.</w:t>
      </w:r>
    </w:p>
  </w:footnote>
  <w:footnote w:id="69">
    <w:p w:rsidR="00EC2F97" w:rsidRDefault="00EC2F97">
      <w:pPr>
        <w:pStyle w:val="FootnoteText"/>
      </w:pPr>
      <w:r>
        <w:rPr>
          <w:rStyle w:val="FootnoteReference"/>
        </w:rPr>
        <w:footnoteRef/>
      </w:r>
      <w:r>
        <w:t xml:space="preserve"> </w:t>
      </w:r>
      <w:r>
        <w:tab/>
        <w:t xml:space="preserve">AER, </w:t>
      </w:r>
      <w:r w:rsidRPr="00CD23E8">
        <w:rPr>
          <w:rStyle w:val="AERtextitalic"/>
        </w:rPr>
        <w:t>Victorian Distribution Determination 2016–20 Preliminary Decision</w:t>
      </w:r>
      <w:r>
        <w:t>, October 2015, p. 16–46.</w:t>
      </w:r>
    </w:p>
  </w:footnote>
  <w:footnote w:id="70">
    <w:p w:rsidR="00EC2F97" w:rsidRDefault="00EC2F97">
      <w:pPr>
        <w:pStyle w:val="FootnoteText"/>
      </w:pPr>
      <w:r>
        <w:rPr>
          <w:rStyle w:val="FootnoteReference"/>
        </w:rPr>
        <w:footnoteRef/>
      </w:r>
      <w:r>
        <w:t xml:space="preserve"> </w:t>
      </w:r>
      <w:r>
        <w:tab/>
        <w:t xml:space="preserve">Better Regulation, </w:t>
      </w:r>
      <w:r w:rsidRPr="00CD23E8">
        <w:rPr>
          <w:rStyle w:val="AERtextitalic"/>
        </w:rPr>
        <w:t>Explanatory Statement, Expenditure Forecast Assessment Guideline</w:t>
      </w:r>
      <w:r>
        <w:t>, November 2013, p. 34.</w:t>
      </w:r>
    </w:p>
  </w:footnote>
  <w:footnote w:id="71">
    <w:p w:rsidR="00EC2F97" w:rsidRDefault="00EC2F97" w:rsidP="005317EB">
      <w:pPr>
        <w:pStyle w:val="FootnoteText"/>
      </w:pPr>
      <w:r>
        <w:rPr>
          <w:rStyle w:val="FootnoteReference"/>
        </w:rPr>
        <w:footnoteRef/>
      </w:r>
      <w:r>
        <w:t xml:space="preserve"> </w:t>
      </w:r>
      <w:r>
        <w:tab/>
      </w:r>
      <w:r w:rsidRPr="00CD23E8">
        <w:rPr>
          <w:rStyle w:val="AERtextitalic"/>
        </w:rPr>
        <w:t>Victorian Advanced Metering Infrastructure Cost Recovery Order In Council</w:t>
      </w:r>
      <w:r>
        <w:t>, cl 5I.8A and 5I.8B.</w:t>
      </w:r>
    </w:p>
  </w:footnote>
  <w:footnote w:id="72">
    <w:p w:rsidR="00EC2F97" w:rsidRDefault="00EC2F97">
      <w:pPr>
        <w:pStyle w:val="FootnoteText"/>
      </w:pPr>
      <w:r>
        <w:rPr>
          <w:rStyle w:val="FootnoteReference"/>
        </w:rPr>
        <w:footnoteRef/>
      </w:r>
      <w:r>
        <w:t xml:space="preserve"> </w:t>
      </w:r>
      <w:r>
        <w:tab/>
        <w:t xml:space="preserve">Energeia, </w:t>
      </w:r>
      <w:r w:rsidRPr="00CD23E8">
        <w:rPr>
          <w:rStyle w:val="AERtextitalic"/>
        </w:rPr>
        <w:t>Review of 2017 AMI transition applications</w:t>
      </w:r>
      <w:r>
        <w:t>, August 2016, p. 36.</w:t>
      </w:r>
    </w:p>
  </w:footnote>
  <w:footnote w:id="73">
    <w:p w:rsidR="00EC2F97" w:rsidRDefault="00EC2F97">
      <w:pPr>
        <w:pStyle w:val="FootnoteText"/>
      </w:pPr>
      <w:r>
        <w:rPr>
          <w:rStyle w:val="FootnoteReference"/>
        </w:rPr>
        <w:footnoteRef/>
      </w:r>
      <w:r>
        <w:t xml:space="preserve"> </w:t>
      </w:r>
      <w:r>
        <w:tab/>
        <w:t xml:space="preserve">Energeia, </w:t>
      </w:r>
      <w:r w:rsidRPr="00CD23E8">
        <w:rPr>
          <w:rStyle w:val="AERtextitalic"/>
        </w:rPr>
        <w:t>Review of 2017 AMI transition applications</w:t>
      </w:r>
      <w:r>
        <w:t>, August 2016, p. 36.</w:t>
      </w:r>
    </w:p>
  </w:footnote>
  <w:footnote w:id="74">
    <w:p w:rsidR="00EC2F97" w:rsidRDefault="00EC2F97">
      <w:pPr>
        <w:pStyle w:val="FootnoteText"/>
      </w:pPr>
      <w:r>
        <w:rPr>
          <w:rStyle w:val="FootnoteReference"/>
        </w:rPr>
        <w:footnoteRef/>
      </w:r>
      <w:r>
        <w:t xml:space="preserve"> </w:t>
      </w:r>
      <w:r>
        <w:tab/>
      </w:r>
      <w:r w:rsidRPr="00754AE3">
        <w:t>Department of Environment, Land, Water &amp; Planning, Submission on Advanced metering infrastructure Transition Charges Applications 2017, 30 August 2016</w:t>
      </w:r>
      <w:r>
        <w:t>, p. 4.</w:t>
      </w:r>
    </w:p>
  </w:footnote>
  <w:footnote w:id="75">
    <w:p w:rsidR="00EC2F97" w:rsidRDefault="00EC2F97">
      <w:pPr>
        <w:pStyle w:val="FootnoteText"/>
      </w:pPr>
      <w:r>
        <w:rPr>
          <w:rStyle w:val="FootnoteReference"/>
        </w:rPr>
        <w:footnoteRef/>
      </w:r>
      <w:r>
        <w:t xml:space="preserve"> </w:t>
      </w:r>
      <w:r>
        <w:tab/>
      </w:r>
      <w:r w:rsidRPr="00CD23E8">
        <w:rPr>
          <w:rStyle w:val="AERtextitalic"/>
        </w:rPr>
        <w:t>Victorian Advanced Metering Infrastructure Cost Recovery Order In Council</w:t>
      </w:r>
      <w:r>
        <w:t>, cl 5I.7 and 5I.7A.</w:t>
      </w:r>
    </w:p>
  </w:footnote>
  <w:footnote w:id="76">
    <w:p w:rsidR="00EC2F97" w:rsidRDefault="00EC2F97">
      <w:pPr>
        <w:pStyle w:val="FootnoteText"/>
      </w:pPr>
      <w:r>
        <w:rPr>
          <w:rStyle w:val="FootnoteReference"/>
        </w:rPr>
        <w:footnoteRef/>
      </w:r>
      <w:r>
        <w:t xml:space="preserve"> </w:t>
      </w:r>
      <w:r>
        <w:tab/>
        <w:t xml:space="preserve">Energeia, </w:t>
      </w:r>
      <w:r w:rsidRPr="00CD23E8">
        <w:rPr>
          <w:rStyle w:val="AERtextitalic"/>
        </w:rPr>
        <w:t>Review of 2017 AMI transition applications</w:t>
      </w:r>
      <w:r>
        <w:t>, August 2016, p. 36.</w:t>
      </w:r>
    </w:p>
  </w:footnote>
  <w:footnote w:id="77">
    <w:p w:rsidR="00EC2F97" w:rsidRDefault="00EC2F97">
      <w:pPr>
        <w:pStyle w:val="FootnoteText"/>
      </w:pPr>
      <w:r>
        <w:rPr>
          <w:rStyle w:val="FootnoteReference"/>
        </w:rPr>
        <w:footnoteRef/>
      </w:r>
      <w:r>
        <w:t xml:space="preserve"> </w:t>
      </w:r>
      <w:r>
        <w:tab/>
        <w:t xml:space="preserve">Energeia, </w:t>
      </w:r>
      <w:r w:rsidRPr="00CD23E8">
        <w:rPr>
          <w:rStyle w:val="AERtextitalic"/>
        </w:rPr>
        <w:t>Review of 2017 AMI transition applications</w:t>
      </w:r>
      <w:r>
        <w:t>, August 2016, p. 36.</w:t>
      </w:r>
    </w:p>
  </w:footnote>
  <w:footnote w:id="78">
    <w:p w:rsidR="00EC2F97" w:rsidRDefault="00EC2F97">
      <w:pPr>
        <w:pStyle w:val="FootnoteText"/>
      </w:pPr>
      <w:r>
        <w:rPr>
          <w:rStyle w:val="FootnoteReference"/>
        </w:rPr>
        <w:footnoteRef/>
      </w:r>
      <w:r>
        <w:t xml:space="preserve"> </w:t>
      </w:r>
      <w:r>
        <w:tab/>
      </w:r>
      <w:r w:rsidRPr="00A83852">
        <w:rPr>
          <w:rStyle w:val="AERtextitalic"/>
        </w:rPr>
        <w:t>Victorian Advanced Metering Infrastructure Cost Recovery Order In Council</w:t>
      </w:r>
      <w:r>
        <w:t>, cl 5L.4 and 5L.7 to 5L.12.</w:t>
      </w:r>
    </w:p>
  </w:footnote>
  <w:footnote w:id="79">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80">
    <w:p w:rsidR="00EC2F97" w:rsidRDefault="00EC2F97" w:rsidP="009A23F2">
      <w:pPr>
        <w:pStyle w:val="FootnoteText"/>
      </w:pPr>
      <w:r>
        <w:rPr>
          <w:rStyle w:val="FootnoteReference"/>
        </w:rPr>
        <w:footnoteRef/>
      </w:r>
      <w:r>
        <w:t xml:space="preserve"> </w:t>
      </w:r>
      <w:r>
        <w:tab/>
        <w:t>2015 AMI charges revision application, August 2014.</w:t>
      </w:r>
    </w:p>
  </w:footnote>
  <w:footnote w:id="81">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82">
    <w:p w:rsidR="00EC2F97" w:rsidRDefault="00EC2F97">
      <w:pPr>
        <w:pStyle w:val="FootnoteText"/>
      </w:pPr>
      <w:r>
        <w:rPr>
          <w:rStyle w:val="FootnoteReference"/>
        </w:rPr>
        <w:footnoteRef/>
      </w:r>
      <w:r>
        <w:t xml:space="preserve"> </w:t>
      </w:r>
      <w:r>
        <w:tab/>
        <w:t xml:space="preserve">United Energy, </w:t>
      </w:r>
      <w:r w:rsidRPr="00CD23E8">
        <w:rPr>
          <w:rStyle w:val="AERtextitalic"/>
        </w:rPr>
        <w:t>AMI Transition Charges Application</w:t>
      </w:r>
      <w:r>
        <w:t>, 31 May 2016, p. 14.</w:t>
      </w:r>
    </w:p>
  </w:footnote>
  <w:footnote w:id="83">
    <w:p w:rsidR="00EC2F97" w:rsidRDefault="00EC2F97">
      <w:pPr>
        <w:pStyle w:val="FootnoteText"/>
      </w:pPr>
      <w:r>
        <w:rPr>
          <w:rStyle w:val="FootnoteReference"/>
        </w:rPr>
        <w:footnoteRef/>
      </w:r>
      <w:r>
        <w:t xml:space="preserve"> </w:t>
      </w:r>
      <w:r>
        <w:tab/>
        <w:t xml:space="preserve">United Energy, </w:t>
      </w:r>
      <w:r w:rsidRPr="00CD23E8">
        <w:rPr>
          <w:rStyle w:val="AERtextitalic"/>
        </w:rPr>
        <w:t>AMI Transition Charges Application</w:t>
      </w:r>
      <w:r>
        <w:t>, 31 May 2016, p. 14.</w:t>
      </w:r>
    </w:p>
  </w:footnote>
  <w:footnote w:id="84">
    <w:p w:rsidR="00EC2F97" w:rsidRDefault="00EC2F97">
      <w:pPr>
        <w:pStyle w:val="FootnoteText"/>
      </w:pPr>
      <w:r>
        <w:rPr>
          <w:rStyle w:val="FootnoteReference"/>
        </w:rPr>
        <w:footnoteRef/>
      </w:r>
      <w:r>
        <w:t xml:space="preserve"> </w:t>
      </w:r>
      <w:r>
        <w:tab/>
        <w:t xml:space="preserve">Energeia, </w:t>
      </w:r>
      <w:r w:rsidRPr="00CD23E8">
        <w:rPr>
          <w:rStyle w:val="AERtextitalic"/>
        </w:rPr>
        <w:t>Review of 2017 AMI transition applications</w:t>
      </w:r>
      <w:r>
        <w:t>, August 2016, p. 28.</w:t>
      </w:r>
    </w:p>
  </w:footnote>
  <w:footnote w:id="85">
    <w:p w:rsidR="00EC2F97" w:rsidRDefault="00EC2F97">
      <w:pPr>
        <w:pStyle w:val="FootnoteText"/>
      </w:pPr>
      <w:r>
        <w:rPr>
          <w:rStyle w:val="FootnoteReference"/>
        </w:rPr>
        <w:footnoteRef/>
      </w:r>
      <w:r>
        <w:t xml:space="preserve"> </w:t>
      </w:r>
      <w:r>
        <w:tab/>
        <w:t xml:space="preserve">Energeia, </w:t>
      </w:r>
      <w:r w:rsidRPr="00CD23E8">
        <w:rPr>
          <w:rStyle w:val="AERtextitalic"/>
        </w:rPr>
        <w:t>Review of 2017 AMI transition applications</w:t>
      </w:r>
      <w:r>
        <w:t>, August 2016, p. 28.</w:t>
      </w:r>
    </w:p>
  </w:footnote>
  <w:footnote w:id="86">
    <w:p w:rsidR="00EC2F97" w:rsidRDefault="00EC2F97">
      <w:pPr>
        <w:pStyle w:val="FootnoteText"/>
      </w:pPr>
      <w:r>
        <w:rPr>
          <w:rStyle w:val="FootnoteReference"/>
        </w:rPr>
        <w:footnoteRef/>
      </w:r>
      <w:r>
        <w:t xml:space="preserve"> </w:t>
      </w:r>
      <w:r>
        <w:tab/>
        <w:t xml:space="preserve">Energeia, </w:t>
      </w:r>
      <w:r w:rsidRPr="00CD23E8">
        <w:rPr>
          <w:rStyle w:val="AERtextitalic"/>
        </w:rPr>
        <w:t>Review of 2017 AMI transition applications</w:t>
      </w:r>
      <w:r>
        <w:t>, August 2016, p. 28.</w:t>
      </w:r>
    </w:p>
  </w:footnote>
  <w:footnote w:id="87">
    <w:p w:rsidR="00EC2F97" w:rsidRDefault="00EC2F97">
      <w:pPr>
        <w:pStyle w:val="FootnoteText"/>
      </w:pPr>
      <w:r>
        <w:rPr>
          <w:rStyle w:val="FootnoteReference"/>
        </w:rPr>
        <w:footnoteRef/>
      </w:r>
      <w:r>
        <w:t xml:space="preserve"> </w:t>
      </w:r>
      <w:r>
        <w:tab/>
      </w:r>
      <w:r w:rsidRPr="00CD23E8">
        <w:rPr>
          <w:rStyle w:val="AERtextitalic"/>
        </w:rPr>
        <w:t>Victorian Advanced Metering Infrastructure Cost Recovery Order In Council</w:t>
      </w:r>
      <w:r>
        <w:t>, cl 5I.7 and 5I.7A.</w:t>
      </w:r>
    </w:p>
  </w:footnote>
  <w:footnote w:id="88">
    <w:p w:rsidR="00EC2F97" w:rsidRDefault="00EC2F97">
      <w:pPr>
        <w:pStyle w:val="FootnoteText"/>
      </w:pPr>
      <w:r>
        <w:rPr>
          <w:rStyle w:val="FootnoteReference"/>
        </w:rPr>
        <w:footnoteRef/>
      </w:r>
      <w:r>
        <w:t xml:space="preserve"> </w:t>
      </w:r>
      <w:r>
        <w:tab/>
        <w:t xml:space="preserve">United Energy, </w:t>
      </w:r>
      <w:r w:rsidRPr="00CD23E8">
        <w:rPr>
          <w:rStyle w:val="AERtextitalic"/>
        </w:rPr>
        <w:t>AMI Transition Charges Application</w:t>
      </w:r>
      <w:r>
        <w:t>, 31 May 2016, p. 14.</w:t>
      </w:r>
    </w:p>
  </w:footnote>
  <w:footnote w:id="89">
    <w:p w:rsidR="00EC2F97" w:rsidRDefault="00EC2F97" w:rsidP="003B5A94">
      <w:pPr>
        <w:pStyle w:val="FootnoteText"/>
      </w:pPr>
      <w:r>
        <w:rPr>
          <w:rStyle w:val="FootnoteReference"/>
        </w:rPr>
        <w:footnoteRef/>
      </w:r>
      <w:r>
        <w:t xml:space="preserve"> </w:t>
      </w:r>
      <w:r>
        <w:tab/>
      </w:r>
      <w:r w:rsidRPr="00A83852">
        <w:rPr>
          <w:rStyle w:val="AERtextitalic"/>
        </w:rPr>
        <w:t>Victorian Advanced Metering Infrastructure Cost Recovery Order In Council</w:t>
      </w:r>
      <w:r>
        <w:t>, cl 5L.4 and 5L.7 to 5L.12.</w:t>
      </w:r>
    </w:p>
  </w:footnote>
  <w:footnote w:id="90">
    <w:p w:rsidR="00EC2F97" w:rsidRDefault="00EC2F97">
      <w:pPr>
        <w:pStyle w:val="FootnoteText"/>
      </w:pPr>
      <w:r>
        <w:rPr>
          <w:rStyle w:val="FootnoteReference"/>
        </w:rPr>
        <w:footnoteRef/>
      </w:r>
      <w:r>
        <w:t xml:space="preserve"> </w:t>
      </w:r>
      <w:r>
        <w:tab/>
        <w:t xml:space="preserve">Jemena, </w:t>
      </w:r>
      <w:r w:rsidRPr="00CD23E8">
        <w:rPr>
          <w:rStyle w:val="AERtextitalic"/>
        </w:rPr>
        <w:t>AMI Transition Charges Application</w:t>
      </w:r>
      <w:r>
        <w:t>, 31 May 2016, p. 1.</w:t>
      </w:r>
    </w:p>
  </w:footnote>
  <w:footnote w:id="91">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92">
    <w:p w:rsidR="00EC2F97" w:rsidRDefault="00EC2F97" w:rsidP="00814C3A">
      <w:pPr>
        <w:pStyle w:val="FootnoteText"/>
      </w:pPr>
      <w:r>
        <w:rPr>
          <w:rStyle w:val="FootnoteReference"/>
        </w:rPr>
        <w:footnoteRef/>
      </w:r>
      <w:r>
        <w:t xml:space="preserve"> </w:t>
      </w:r>
      <w:r>
        <w:tab/>
        <w:t>2015 AMI charges revision application, August 2014.</w:t>
      </w:r>
    </w:p>
  </w:footnote>
  <w:footnote w:id="93">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94">
    <w:p w:rsidR="00EC2F97" w:rsidRDefault="00EC2F97" w:rsidP="00747E18">
      <w:pPr>
        <w:pStyle w:val="FootnoteText"/>
      </w:pPr>
      <w:r>
        <w:rPr>
          <w:rStyle w:val="FootnoteReference"/>
        </w:rPr>
        <w:footnoteRef/>
      </w:r>
      <w:r>
        <w:t xml:space="preserve"> </w:t>
      </w:r>
      <w:r>
        <w:tab/>
        <w:t xml:space="preserve">Jemena, </w:t>
      </w:r>
      <w:r w:rsidRPr="000B1748">
        <w:rPr>
          <w:rStyle w:val="AERtextitalic"/>
        </w:rPr>
        <w:t>AMI Transition Charges Application</w:t>
      </w:r>
      <w:r>
        <w:t>, 31 May 2016, p. 30.</w:t>
      </w:r>
    </w:p>
  </w:footnote>
  <w:footnote w:id="95">
    <w:p w:rsidR="00EC2F97" w:rsidRDefault="00EC2F97">
      <w:pPr>
        <w:pStyle w:val="FootnoteText"/>
      </w:pPr>
      <w:r>
        <w:rPr>
          <w:rStyle w:val="FootnoteReference"/>
        </w:rPr>
        <w:footnoteRef/>
      </w:r>
      <w:r>
        <w:t xml:space="preserve"> </w:t>
      </w:r>
      <w:r>
        <w:tab/>
        <w:t xml:space="preserve">See sections </w:t>
      </w:r>
      <w:r>
        <w:fldChar w:fldCharType="begin"/>
      </w:r>
      <w:r>
        <w:instrText xml:space="preserve"> REF _Ref459906016 \r \h </w:instrText>
      </w:r>
      <w:r>
        <w:fldChar w:fldCharType="separate"/>
      </w:r>
      <w:r>
        <w:t>4</w:t>
      </w:r>
      <w:r>
        <w:fldChar w:fldCharType="end"/>
      </w:r>
      <w:r>
        <w:t xml:space="preserve"> and </w:t>
      </w:r>
      <w:r>
        <w:fldChar w:fldCharType="begin"/>
      </w:r>
      <w:r>
        <w:instrText xml:space="preserve"> REF _Ref459906018 \r \h </w:instrText>
      </w:r>
      <w:r>
        <w:fldChar w:fldCharType="separate"/>
      </w:r>
      <w:r>
        <w:t>5</w:t>
      </w:r>
      <w:r>
        <w:fldChar w:fldCharType="end"/>
      </w:r>
      <w:r>
        <w:t xml:space="preserve"> of this draft decision.</w:t>
      </w:r>
    </w:p>
  </w:footnote>
  <w:footnote w:id="96">
    <w:p w:rsidR="00EC2F97" w:rsidRDefault="00EC2F97">
      <w:pPr>
        <w:pStyle w:val="FootnoteText"/>
      </w:pPr>
      <w:r>
        <w:rPr>
          <w:rStyle w:val="FootnoteReference"/>
        </w:rPr>
        <w:footnoteRef/>
      </w:r>
      <w:r>
        <w:t xml:space="preserve"> </w:t>
      </w:r>
      <w:r>
        <w:tab/>
        <w:t xml:space="preserve">Jemena, </w:t>
      </w:r>
      <w:r w:rsidRPr="000B1748">
        <w:rPr>
          <w:rStyle w:val="AERtextitalic"/>
        </w:rPr>
        <w:t>AMI Transition Charges Application</w:t>
      </w:r>
      <w:r>
        <w:t>, 31 May 2016, p. 30.</w:t>
      </w:r>
    </w:p>
  </w:footnote>
  <w:footnote w:id="97">
    <w:p w:rsidR="00EC2F97" w:rsidRDefault="00EC2F97">
      <w:pPr>
        <w:pStyle w:val="FootnoteText"/>
      </w:pPr>
      <w:r>
        <w:rPr>
          <w:rStyle w:val="FootnoteReference"/>
        </w:rPr>
        <w:footnoteRef/>
      </w:r>
      <w:r>
        <w:t xml:space="preserve"> </w:t>
      </w:r>
      <w:r>
        <w:tab/>
      </w:r>
      <w:r w:rsidRPr="00AB69B9">
        <w:t xml:space="preserve">Energeia, </w:t>
      </w:r>
      <w:r w:rsidRPr="000B1748">
        <w:rPr>
          <w:rStyle w:val="AERtextitalic"/>
        </w:rPr>
        <w:t>Review of 2017 AMI transition applications</w:t>
      </w:r>
      <w:r>
        <w:t>, August 2016, p. 29</w:t>
      </w:r>
      <w:r w:rsidRPr="00AB69B9">
        <w:t>.</w:t>
      </w:r>
    </w:p>
  </w:footnote>
  <w:footnote w:id="98">
    <w:p w:rsidR="00EC2F97" w:rsidRDefault="00EC2F97">
      <w:pPr>
        <w:pStyle w:val="FootnoteText"/>
      </w:pPr>
      <w:r>
        <w:rPr>
          <w:rStyle w:val="FootnoteReference"/>
        </w:rPr>
        <w:footnoteRef/>
      </w:r>
      <w:r>
        <w:t xml:space="preserve"> </w:t>
      </w:r>
      <w:r>
        <w:tab/>
      </w:r>
      <w:r w:rsidRPr="000B1748">
        <w:rPr>
          <w:rStyle w:val="AERtextitalic"/>
        </w:rPr>
        <w:t>Victorian Advanced Metering Infrastructure Cost Recovery Order In Council</w:t>
      </w:r>
      <w:r>
        <w:t>, cl 5I.7 and 5I.7A.</w:t>
      </w:r>
    </w:p>
  </w:footnote>
  <w:footnote w:id="99">
    <w:p w:rsidR="00EC2F97" w:rsidRDefault="00EC2F97">
      <w:pPr>
        <w:pStyle w:val="FootnoteText"/>
      </w:pPr>
      <w:r>
        <w:rPr>
          <w:rStyle w:val="FootnoteReference"/>
        </w:rPr>
        <w:footnoteRef/>
      </w:r>
      <w:r>
        <w:t xml:space="preserve"> </w:t>
      </w:r>
      <w:r>
        <w:tab/>
      </w:r>
      <w:r w:rsidRPr="00754AE3">
        <w:t>Department of Environment, Land, Water &amp; Planning, Submission on Advanced metering infrastructure Transition Charges Applications 2017, 30 August 2016, p. 4.</w:t>
      </w:r>
    </w:p>
  </w:footnote>
  <w:footnote w:id="100">
    <w:p w:rsidR="00EC2F97" w:rsidRDefault="00EC2F97">
      <w:pPr>
        <w:pStyle w:val="FootnoteText"/>
      </w:pPr>
      <w:r>
        <w:rPr>
          <w:rStyle w:val="FootnoteReference"/>
        </w:rPr>
        <w:footnoteRef/>
      </w:r>
      <w:r>
        <w:t xml:space="preserve"> </w:t>
      </w:r>
      <w:r>
        <w:tab/>
      </w:r>
      <w:r w:rsidRPr="00AB69B9">
        <w:t xml:space="preserve">Energeia, </w:t>
      </w:r>
      <w:r w:rsidRPr="000B1748">
        <w:rPr>
          <w:rStyle w:val="AERtextitalic"/>
        </w:rPr>
        <w:t>Review of 2017 AMI transition applications</w:t>
      </w:r>
      <w:r>
        <w:t>, August 2016, p. 30</w:t>
      </w:r>
      <w:r w:rsidRPr="00AB69B9">
        <w:t>.</w:t>
      </w:r>
    </w:p>
  </w:footnote>
  <w:footnote w:id="101">
    <w:p w:rsidR="00EC2F97" w:rsidRDefault="00EC2F97">
      <w:pPr>
        <w:pStyle w:val="FootnoteText"/>
      </w:pPr>
      <w:r>
        <w:rPr>
          <w:rStyle w:val="FootnoteReference"/>
        </w:rPr>
        <w:footnoteRef/>
      </w:r>
      <w:r>
        <w:t xml:space="preserve"> </w:t>
      </w:r>
      <w:r>
        <w:tab/>
      </w:r>
      <w:r w:rsidRPr="000B1748">
        <w:rPr>
          <w:rStyle w:val="AERtextitalic"/>
        </w:rPr>
        <w:t>Victorian Advanced Metering Infrastructure Cost Recovery Order In Council</w:t>
      </w:r>
      <w:r>
        <w:t>, cl 5I.7 and 5I.7A.</w:t>
      </w:r>
    </w:p>
  </w:footnote>
  <w:footnote w:id="102">
    <w:p w:rsidR="00EC2F97" w:rsidRDefault="00EC2F97">
      <w:pPr>
        <w:pStyle w:val="FootnoteText"/>
      </w:pPr>
      <w:r>
        <w:rPr>
          <w:rStyle w:val="FootnoteReference"/>
        </w:rPr>
        <w:footnoteRef/>
      </w:r>
      <w:r>
        <w:t xml:space="preserve"> </w:t>
      </w:r>
      <w:r>
        <w:tab/>
        <w:t xml:space="preserve">Jemena, </w:t>
      </w:r>
      <w:r w:rsidRPr="000B1748">
        <w:rPr>
          <w:rStyle w:val="AERtextitalic"/>
        </w:rPr>
        <w:t>AMI Transition Charges Application</w:t>
      </w:r>
      <w:r>
        <w:t>, 31 May 2016, p. 32.</w:t>
      </w:r>
    </w:p>
  </w:footnote>
  <w:footnote w:id="103">
    <w:p w:rsidR="00EC2F97" w:rsidRDefault="00EC2F97">
      <w:pPr>
        <w:pStyle w:val="FootnoteText"/>
      </w:pPr>
      <w:r>
        <w:rPr>
          <w:rStyle w:val="FootnoteReference"/>
        </w:rPr>
        <w:footnoteRef/>
      </w:r>
      <w:r>
        <w:t xml:space="preserve"> </w:t>
      </w:r>
      <w:r>
        <w:tab/>
      </w:r>
      <w:r w:rsidRPr="000B1748">
        <w:rPr>
          <w:rStyle w:val="AERtextitalic"/>
        </w:rPr>
        <w:t>Victorian Advanced Metering Infrastructure Cost Recovery Order In Council</w:t>
      </w:r>
      <w:r>
        <w:t>, cl 5I.7 and 5I.7A.</w:t>
      </w:r>
    </w:p>
  </w:footnote>
  <w:footnote w:id="104">
    <w:p w:rsidR="00EC2F97" w:rsidRDefault="00EC2F97">
      <w:pPr>
        <w:pStyle w:val="FootnoteText"/>
      </w:pPr>
      <w:r>
        <w:rPr>
          <w:rStyle w:val="FootnoteReference"/>
        </w:rPr>
        <w:footnoteRef/>
      </w:r>
      <w:r>
        <w:t xml:space="preserve"> </w:t>
      </w:r>
      <w:r>
        <w:tab/>
      </w:r>
      <w:r w:rsidRPr="00AB69B9">
        <w:t>Energeia, Review of 2017 AMI transition applications, August 2016, p</w:t>
      </w:r>
      <w:r>
        <w:t>p</w:t>
      </w:r>
      <w:r w:rsidRPr="00AB69B9">
        <w:t>. 2</w:t>
      </w:r>
      <w:r>
        <w:t>7–28</w:t>
      </w:r>
      <w:r w:rsidRPr="00AB69B9">
        <w:t>.</w:t>
      </w:r>
    </w:p>
  </w:footnote>
  <w:footnote w:id="105">
    <w:p w:rsidR="00EC2F97" w:rsidRDefault="00EC2F97" w:rsidP="002E0D7B">
      <w:pPr>
        <w:pStyle w:val="FootnoteText"/>
      </w:pPr>
      <w:r>
        <w:rPr>
          <w:rStyle w:val="FootnoteReference"/>
        </w:rPr>
        <w:footnoteRef/>
      </w:r>
      <w:r>
        <w:t xml:space="preserve"> </w:t>
      </w:r>
      <w:r>
        <w:tab/>
        <w:t>AusNet Services, Jemena and United Energy did not include a MAB true–up in their calculations.</w:t>
      </w:r>
    </w:p>
  </w:footnote>
  <w:footnote w:id="106">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107">
    <w:p w:rsidR="00EC2F97" w:rsidRDefault="00EC2F97" w:rsidP="0043014C">
      <w:pPr>
        <w:pStyle w:val="FootnoteText"/>
      </w:pPr>
      <w:r>
        <w:rPr>
          <w:rStyle w:val="FootnoteReference"/>
        </w:rPr>
        <w:footnoteRef/>
      </w:r>
      <w:r>
        <w:t xml:space="preserve"> </w:t>
      </w:r>
      <w:r>
        <w:tab/>
        <w:t>2015 AMI charges revision application, August 2014.</w:t>
      </w:r>
    </w:p>
  </w:footnote>
  <w:footnote w:id="108">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109">
    <w:p w:rsidR="00EC2F97" w:rsidRDefault="00EC2F97" w:rsidP="00C3016D">
      <w:pPr>
        <w:pStyle w:val="FootnoteText"/>
      </w:pPr>
      <w:r>
        <w:rPr>
          <w:rStyle w:val="FootnoteReference"/>
        </w:rPr>
        <w:footnoteRef/>
      </w:r>
      <w:r>
        <w:t xml:space="preserve"> </w:t>
      </w:r>
      <w:r>
        <w:tab/>
        <w:t>AusNet Services, Jemena and United Energy did not include a MAB true–up in their calculations.</w:t>
      </w:r>
    </w:p>
  </w:footnote>
  <w:footnote w:id="110">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111">
    <w:p w:rsidR="00EC2F97" w:rsidRDefault="00EC2F97" w:rsidP="00C3016D">
      <w:pPr>
        <w:pStyle w:val="FootnoteText"/>
      </w:pPr>
      <w:r>
        <w:rPr>
          <w:rStyle w:val="FootnoteReference"/>
        </w:rPr>
        <w:footnoteRef/>
      </w:r>
      <w:r>
        <w:t xml:space="preserve"> </w:t>
      </w:r>
      <w:r>
        <w:tab/>
        <w:t>2015 AMI charges revision application, August 2014.</w:t>
      </w:r>
    </w:p>
  </w:footnote>
  <w:footnote w:id="112">
    <w:p w:rsidR="00EC2F97" w:rsidRDefault="00EC2F97">
      <w:pPr>
        <w:pStyle w:val="FootnoteText"/>
      </w:pPr>
      <w:r>
        <w:rPr>
          <w:rStyle w:val="FootnoteReference"/>
        </w:rPr>
        <w:footnoteRef/>
      </w:r>
      <w:r>
        <w:t xml:space="preserve"> </w:t>
      </w:r>
      <w:r>
        <w:tab/>
      </w:r>
      <w:r w:rsidRPr="008D0E3B">
        <w:t>When discounting to a 2018 NPV, we used forecast CPI for the 2018 year. We also applied a forecast WACC for the 2017 and 2018 years. We will update these forecast CPI and WACC values for actuals when we apply the transition charge through our 2018 annual pricing approval processes.</w:t>
      </w:r>
    </w:p>
  </w:footnote>
  <w:footnote w:id="113">
    <w:p w:rsidR="00EC2F97" w:rsidRDefault="00EC2F97">
      <w:pPr>
        <w:pStyle w:val="FootnoteText"/>
      </w:pPr>
      <w:r>
        <w:rPr>
          <w:rStyle w:val="FootnoteReference"/>
        </w:rPr>
        <w:footnoteRef/>
      </w:r>
      <w:r>
        <w:t xml:space="preserve"> </w:t>
      </w:r>
      <w:r>
        <w:tab/>
        <w:t xml:space="preserve">Energeia, </w:t>
      </w:r>
      <w:r w:rsidRPr="00CC7303">
        <w:rPr>
          <w:rStyle w:val="AERtextitalic"/>
        </w:rPr>
        <w:t>Review of 2017 AMI transition applications</w:t>
      </w:r>
      <w:r>
        <w:t>, August 2016, p. 3.</w:t>
      </w:r>
    </w:p>
  </w:footnote>
  <w:footnote w:id="114">
    <w:p w:rsidR="00EC2F97" w:rsidRDefault="00EC2F97">
      <w:pPr>
        <w:pStyle w:val="FootnoteText"/>
      </w:pPr>
      <w:r>
        <w:rPr>
          <w:rStyle w:val="FootnoteReference"/>
        </w:rPr>
        <w:footnoteRef/>
      </w:r>
      <w:r>
        <w:t xml:space="preserve"> </w:t>
      </w:r>
      <w:r>
        <w:tab/>
        <w:t xml:space="preserve">Energeia, </w:t>
      </w:r>
      <w:r w:rsidRPr="00CC7303">
        <w:rPr>
          <w:rStyle w:val="AERtextitalic"/>
        </w:rPr>
        <w:t>Review of 2017 AMI transition applications</w:t>
      </w:r>
      <w:r>
        <w:t>, August 2016, p. 3.</w:t>
      </w:r>
    </w:p>
  </w:footnote>
  <w:footnote w:id="115">
    <w:p w:rsidR="00EC2F97" w:rsidRDefault="00EC2F97" w:rsidP="00273429">
      <w:pPr>
        <w:pStyle w:val="FootnoteText"/>
      </w:pPr>
      <w:r>
        <w:rPr>
          <w:rStyle w:val="FootnoteReference"/>
        </w:rPr>
        <w:footnoteRef/>
      </w:r>
      <w:r>
        <w:t xml:space="preserve"> </w:t>
      </w:r>
      <w:r>
        <w:tab/>
        <w:t xml:space="preserve">Energeia, </w:t>
      </w:r>
      <w:r w:rsidRPr="00CC7303">
        <w:rPr>
          <w:rStyle w:val="AERtextitalic"/>
        </w:rPr>
        <w:t>Review of 2017 AMI transition applications</w:t>
      </w:r>
      <w:r>
        <w:t>, August 2016, p. 3.</w:t>
      </w:r>
    </w:p>
  </w:footnote>
  <w:footnote w:id="116">
    <w:p w:rsidR="00EC2F97" w:rsidRDefault="00EC2F97" w:rsidP="00544AC1">
      <w:pPr>
        <w:pStyle w:val="FootnoteText"/>
      </w:pPr>
      <w:r>
        <w:rPr>
          <w:rStyle w:val="FootnoteReference"/>
        </w:rPr>
        <w:footnoteRef/>
      </w:r>
      <w:r>
        <w:t xml:space="preserve"> </w:t>
      </w:r>
      <w:r>
        <w:tab/>
        <w:t xml:space="preserve">Energeia, </w:t>
      </w:r>
      <w:r w:rsidRPr="00CC7303">
        <w:rPr>
          <w:rStyle w:val="AERtextitalic"/>
        </w:rPr>
        <w:t>Review of 2017 AMI transition applications</w:t>
      </w:r>
      <w:r>
        <w:t>, August 2016, p.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E76A4940"/>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55D8AA6A"/>
    <w:lvl w:ilvl="0" w:tplc="3A90FEB2">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1323F5A"/>
    <w:multiLevelType w:val="hybridMultilevel"/>
    <w:tmpl w:val="26061A6A"/>
    <w:lvl w:ilvl="0" w:tplc="C45C7CE8">
      <w:start w:val="1"/>
      <w:numFmt w:val="lowerRoman"/>
      <w:lvlText w:val="(%1)"/>
      <w:lvlJc w:val="left"/>
      <w:pPr>
        <w:ind w:left="780" w:hanging="360"/>
      </w:pPr>
      <w:rPr>
        <w:rFonts w:ascii="Arial" w:eastAsiaTheme="minorHAnsi" w:hAnsi="Arial" w:cstheme="minorBidi"/>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7">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592056E"/>
    <w:multiLevelType w:val="multilevel"/>
    <w:tmpl w:val="950A1C52"/>
    <w:numStyleLink w:val="AERHeadings"/>
  </w:abstractNum>
  <w:abstractNum w:abstractNumId="19">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8865DF8"/>
    <w:multiLevelType w:val="hybridMultilevel"/>
    <w:tmpl w:val="7400C28A"/>
    <w:lvl w:ilvl="0" w:tplc="E47ABAF2">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8B13F87"/>
    <w:multiLevelType w:val="hybridMultilevel"/>
    <w:tmpl w:val="C0DA26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4">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6">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9">
    <w:nsid w:val="3F5F4FFC"/>
    <w:multiLevelType w:val="multilevel"/>
    <w:tmpl w:val="950A1C52"/>
    <w:numStyleLink w:val="AERHeadings"/>
  </w:abstractNum>
  <w:abstractNum w:abstractNumId="30">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41A80E45"/>
    <w:multiLevelType w:val="multilevel"/>
    <w:tmpl w:val="950A1C52"/>
    <w:numStyleLink w:val="AERHeadings"/>
  </w:abstractNum>
  <w:abstractNum w:abstractNumId="3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3">
    <w:nsid w:val="487C7731"/>
    <w:multiLevelType w:val="multilevel"/>
    <w:tmpl w:val="950A1C52"/>
    <w:numStyleLink w:val="AERHeadings"/>
  </w:abstractNum>
  <w:abstractNum w:abstractNumId="3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9B57867"/>
    <w:multiLevelType w:val="hybridMultilevel"/>
    <w:tmpl w:val="9D32FF56"/>
    <w:lvl w:ilvl="0" w:tplc="46F4780C">
      <w:start w:val="1"/>
      <w:numFmt w:val="lowerLetter"/>
      <w:lvlText w:val="(%1)"/>
      <w:lvlJc w:val="left"/>
      <w:pPr>
        <w:ind w:left="-1710" w:hanging="45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360" w:hanging="180"/>
      </w:pPr>
    </w:lvl>
    <w:lvl w:ilvl="3" w:tplc="0C09000F">
      <w:start w:val="1"/>
      <w:numFmt w:val="decimal"/>
      <w:lvlText w:val="%4."/>
      <w:lvlJc w:val="left"/>
      <w:pPr>
        <w:ind w:left="360" w:hanging="360"/>
      </w:pPr>
    </w:lvl>
    <w:lvl w:ilvl="4" w:tplc="0C090019">
      <w:start w:val="1"/>
      <w:numFmt w:val="lowerLetter"/>
      <w:lvlText w:val="%5."/>
      <w:lvlJc w:val="left"/>
      <w:pPr>
        <w:ind w:left="1080" w:hanging="360"/>
      </w:pPr>
    </w:lvl>
    <w:lvl w:ilvl="5" w:tplc="0C09001B">
      <w:start w:val="1"/>
      <w:numFmt w:val="lowerRoman"/>
      <w:lvlText w:val="%6."/>
      <w:lvlJc w:val="right"/>
      <w:pPr>
        <w:ind w:left="1800" w:hanging="180"/>
      </w:pPr>
    </w:lvl>
    <w:lvl w:ilvl="6" w:tplc="0C09000F" w:tentative="1">
      <w:start w:val="1"/>
      <w:numFmt w:val="decimal"/>
      <w:lvlText w:val="%7."/>
      <w:lvlJc w:val="left"/>
      <w:pPr>
        <w:ind w:left="2520" w:hanging="360"/>
      </w:pPr>
    </w:lvl>
    <w:lvl w:ilvl="7" w:tplc="0C090019" w:tentative="1">
      <w:start w:val="1"/>
      <w:numFmt w:val="lowerLetter"/>
      <w:lvlText w:val="%8."/>
      <w:lvlJc w:val="left"/>
      <w:pPr>
        <w:ind w:left="3240" w:hanging="360"/>
      </w:pPr>
    </w:lvl>
    <w:lvl w:ilvl="8" w:tplc="0C09001B" w:tentative="1">
      <w:start w:val="1"/>
      <w:numFmt w:val="lowerRoman"/>
      <w:lvlText w:val="%9."/>
      <w:lvlJc w:val="right"/>
      <w:pPr>
        <w:ind w:left="3960" w:hanging="180"/>
      </w:pPr>
    </w:lvl>
  </w:abstractNum>
  <w:abstractNum w:abstractNumId="3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8">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40">
    <w:nsid w:val="5ECE4384"/>
    <w:multiLevelType w:val="multilevel"/>
    <w:tmpl w:val="70B2CAD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42">
    <w:nsid w:val="6DE36827"/>
    <w:multiLevelType w:val="multilevel"/>
    <w:tmpl w:val="950A1C52"/>
    <w:numStyleLink w:val="AERHeadings"/>
  </w:abstractNum>
  <w:abstractNum w:abstractNumId="43">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57B30E8"/>
    <w:multiLevelType w:val="hybridMultilevel"/>
    <w:tmpl w:val="C3A412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AEF67FF"/>
    <w:multiLevelType w:val="multilevel"/>
    <w:tmpl w:val="AACE20AA"/>
    <w:lvl w:ilvl="0">
      <w:start w:val="1"/>
      <w:numFmt w:val="bullet"/>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1"/>
  </w:num>
  <w:num w:numId="13">
    <w:abstractNumId w:val="26"/>
  </w:num>
  <w:num w:numId="14">
    <w:abstractNumId w:val="11"/>
  </w:num>
  <w:num w:numId="15">
    <w:abstractNumId w:val="14"/>
  </w:num>
  <w:num w:numId="16">
    <w:abstractNumId w:val="34"/>
  </w:num>
  <w:num w:numId="17">
    <w:abstractNumId w:val="10"/>
  </w:num>
  <w:num w:numId="18">
    <w:abstractNumId w:val="20"/>
  </w:num>
  <w:num w:numId="19">
    <w:abstractNumId w:val="36"/>
  </w:num>
  <w:num w:numId="20">
    <w:abstractNumId w:val="43"/>
  </w:num>
  <w:num w:numId="21">
    <w:abstractNumId w:val="15"/>
  </w:num>
  <w:num w:numId="22">
    <w:abstractNumId w:val="39"/>
  </w:num>
  <w:num w:numId="23">
    <w:abstractNumId w:val="37"/>
  </w:num>
  <w:num w:numId="24">
    <w:abstractNumId w:val="23"/>
  </w:num>
  <w:num w:numId="25">
    <w:abstractNumId w:val="38"/>
  </w:num>
  <w:num w:numId="26">
    <w:abstractNumId w:val="40"/>
  </w:num>
  <w:num w:numId="27">
    <w:abstractNumId w:val="24"/>
  </w:num>
  <w:num w:numId="28">
    <w:abstractNumId w:val="22"/>
  </w:num>
  <w:num w:numId="29">
    <w:abstractNumId w:val="19"/>
  </w:num>
  <w:num w:numId="30">
    <w:abstractNumId w:val="44"/>
  </w:num>
  <w:num w:numId="31">
    <w:abstractNumId w:val="17"/>
  </w:num>
  <w:num w:numId="32">
    <w:abstractNumId w:val="30"/>
  </w:num>
  <w:num w:numId="33">
    <w:abstractNumId w:val="23"/>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3"/>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3"/>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42"/>
  </w:num>
  <w:num w:numId="37">
    <w:abstractNumId w:val="33"/>
  </w:num>
  <w:num w:numId="38">
    <w:abstractNumId w:val="29"/>
  </w:num>
  <w:num w:numId="39">
    <w:abstractNumId w:val="13"/>
  </w:num>
  <w:num w:numId="40">
    <w:abstractNumId w:val="40"/>
  </w:num>
  <w:num w:numId="41">
    <w:abstractNumId w:val="40"/>
  </w:num>
  <w:num w:numId="42">
    <w:abstractNumId w:val="31"/>
  </w:num>
  <w:num w:numId="43">
    <w:abstractNumId w:val="18"/>
  </w:num>
  <w:num w:numId="44">
    <w:abstractNumId w:val="32"/>
  </w:num>
  <w:num w:numId="45">
    <w:abstractNumId w:val="27"/>
  </w:num>
  <w:num w:numId="46">
    <w:abstractNumId w:val="9"/>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21"/>
  </w:num>
  <w:num w:numId="50">
    <w:abstractNumId w:val="35"/>
  </w:num>
  <w:num w:numId="51">
    <w:abstractNumId w:val="8"/>
    <w:lvlOverride w:ilvl="0">
      <w:startOverride w:val="1"/>
    </w:lvlOverride>
  </w:num>
  <w:num w:numId="52">
    <w:abstractNumId w:val="8"/>
    <w:lvlOverride w:ilvl="0">
      <w:startOverride w:val="1"/>
    </w:lvlOverride>
  </w:num>
  <w:num w:numId="53">
    <w:abstractNumId w:val="25"/>
  </w:num>
  <w:num w:numId="54">
    <w:abstractNumId w:val="28"/>
  </w:num>
  <w:num w:numId="55">
    <w:abstractNumId w:val="46"/>
  </w:num>
  <w:num w:numId="56">
    <w:abstractNumId w:val="16"/>
    <w:lvlOverride w:ilvl="0">
      <w:startOverride w:val="1"/>
    </w:lvlOverride>
    <w:lvlOverride w:ilvl="1"/>
    <w:lvlOverride w:ilvl="2"/>
    <w:lvlOverride w:ilvl="3"/>
    <w:lvlOverride w:ilvl="4"/>
    <w:lvlOverride w:ilvl="5"/>
    <w:lvlOverride w:ilvl="6"/>
    <w:lvlOverride w:ilvl="7"/>
    <w:lvlOverride w:ilvl="8"/>
  </w:num>
  <w:num w:numId="57">
    <w:abstractNumId w:val="16"/>
  </w:num>
  <w:num w:numId="58">
    <w:abstractNumId w:val="8"/>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fefT0bhmYu4NoV4CKHnnkYpBaZBNjqh0w0FdgsYntQI=" w:saltValue="QqZZ8N3JHCePn9EXF1gn9A==" w:algorithmName="SHA-256"/>
  <w:defaultTabStop w:val="340"/>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708\D16 124871  AMI transition charges - Draft decision - Post board meeting.DOCX"/>
  </w:docVars>
  <w:rsids>
    <w:rsidRoot w:val="00961A4A"/>
    <w:rsid w:val="00001175"/>
    <w:rsid w:val="000035FC"/>
    <w:rsid w:val="00003B14"/>
    <w:rsid w:val="00005540"/>
    <w:rsid w:val="0000676A"/>
    <w:rsid w:val="0001282E"/>
    <w:rsid w:val="00012DA5"/>
    <w:rsid w:val="00014EA1"/>
    <w:rsid w:val="00020998"/>
    <w:rsid w:val="00021202"/>
    <w:rsid w:val="00021BD3"/>
    <w:rsid w:val="00021C2B"/>
    <w:rsid w:val="00021C36"/>
    <w:rsid w:val="000221E5"/>
    <w:rsid w:val="0002463B"/>
    <w:rsid w:val="0002517F"/>
    <w:rsid w:val="000254C6"/>
    <w:rsid w:val="00027189"/>
    <w:rsid w:val="00030556"/>
    <w:rsid w:val="00032BAE"/>
    <w:rsid w:val="000351C2"/>
    <w:rsid w:val="0003578C"/>
    <w:rsid w:val="00040612"/>
    <w:rsid w:val="00051190"/>
    <w:rsid w:val="00051F5A"/>
    <w:rsid w:val="00055F7E"/>
    <w:rsid w:val="000560AB"/>
    <w:rsid w:val="000605E2"/>
    <w:rsid w:val="00061C08"/>
    <w:rsid w:val="00063247"/>
    <w:rsid w:val="00065F2F"/>
    <w:rsid w:val="00070F9F"/>
    <w:rsid w:val="0007137B"/>
    <w:rsid w:val="000744D6"/>
    <w:rsid w:val="00075728"/>
    <w:rsid w:val="00077389"/>
    <w:rsid w:val="00077F6D"/>
    <w:rsid w:val="00082863"/>
    <w:rsid w:val="00083184"/>
    <w:rsid w:val="000837DF"/>
    <w:rsid w:val="00085663"/>
    <w:rsid w:val="00085EBF"/>
    <w:rsid w:val="0008672B"/>
    <w:rsid w:val="00086871"/>
    <w:rsid w:val="00086B7D"/>
    <w:rsid w:val="0009105B"/>
    <w:rsid w:val="00093A60"/>
    <w:rsid w:val="00093F95"/>
    <w:rsid w:val="00094A40"/>
    <w:rsid w:val="0009693E"/>
    <w:rsid w:val="000979FC"/>
    <w:rsid w:val="000A00B0"/>
    <w:rsid w:val="000A040C"/>
    <w:rsid w:val="000A0E29"/>
    <w:rsid w:val="000A2E6F"/>
    <w:rsid w:val="000A3020"/>
    <w:rsid w:val="000A333B"/>
    <w:rsid w:val="000A6C7B"/>
    <w:rsid w:val="000A757D"/>
    <w:rsid w:val="000B1748"/>
    <w:rsid w:val="000B1755"/>
    <w:rsid w:val="000B2430"/>
    <w:rsid w:val="000B321F"/>
    <w:rsid w:val="000B387E"/>
    <w:rsid w:val="000B3FBD"/>
    <w:rsid w:val="000B51E3"/>
    <w:rsid w:val="000B6029"/>
    <w:rsid w:val="000B7141"/>
    <w:rsid w:val="000B776C"/>
    <w:rsid w:val="000B7C21"/>
    <w:rsid w:val="000C06DC"/>
    <w:rsid w:val="000C2B40"/>
    <w:rsid w:val="000D122C"/>
    <w:rsid w:val="000D5226"/>
    <w:rsid w:val="000D7AD5"/>
    <w:rsid w:val="000E12D2"/>
    <w:rsid w:val="000E1819"/>
    <w:rsid w:val="000E4821"/>
    <w:rsid w:val="000E55FD"/>
    <w:rsid w:val="000E5E16"/>
    <w:rsid w:val="000E6C72"/>
    <w:rsid w:val="000E7D8F"/>
    <w:rsid w:val="000F1DD2"/>
    <w:rsid w:val="000F6881"/>
    <w:rsid w:val="000F6F13"/>
    <w:rsid w:val="000F7CB9"/>
    <w:rsid w:val="00103AE2"/>
    <w:rsid w:val="00104772"/>
    <w:rsid w:val="00112031"/>
    <w:rsid w:val="00114942"/>
    <w:rsid w:val="00116666"/>
    <w:rsid w:val="00116EB2"/>
    <w:rsid w:val="001203C4"/>
    <w:rsid w:val="0012448F"/>
    <w:rsid w:val="00124609"/>
    <w:rsid w:val="00126A4C"/>
    <w:rsid w:val="00127B23"/>
    <w:rsid w:val="00132AEB"/>
    <w:rsid w:val="001374BA"/>
    <w:rsid w:val="00137820"/>
    <w:rsid w:val="00140AD5"/>
    <w:rsid w:val="00140B4A"/>
    <w:rsid w:val="00142C18"/>
    <w:rsid w:val="00143BE2"/>
    <w:rsid w:val="0014573B"/>
    <w:rsid w:val="00145C13"/>
    <w:rsid w:val="00155BBD"/>
    <w:rsid w:val="001573E4"/>
    <w:rsid w:val="00160756"/>
    <w:rsid w:val="00162A98"/>
    <w:rsid w:val="00163DFA"/>
    <w:rsid w:val="00164B9D"/>
    <w:rsid w:val="00166A0F"/>
    <w:rsid w:val="00166AB7"/>
    <w:rsid w:val="00166AC6"/>
    <w:rsid w:val="0017232E"/>
    <w:rsid w:val="001726FA"/>
    <w:rsid w:val="00173D96"/>
    <w:rsid w:val="00174102"/>
    <w:rsid w:val="001754EE"/>
    <w:rsid w:val="00175A09"/>
    <w:rsid w:val="00177039"/>
    <w:rsid w:val="00180157"/>
    <w:rsid w:val="001806E4"/>
    <w:rsid w:val="00181C1C"/>
    <w:rsid w:val="00185311"/>
    <w:rsid w:val="00185C55"/>
    <w:rsid w:val="00185CB9"/>
    <w:rsid w:val="00186391"/>
    <w:rsid w:val="00186657"/>
    <w:rsid w:val="00186F77"/>
    <w:rsid w:val="00191B06"/>
    <w:rsid w:val="001921F2"/>
    <w:rsid w:val="001926A4"/>
    <w:rsid w:val="00192798"/>
    <w:rsid w:val="00192AD5"/>
    <w:rsid w:val="001972B4"/>
    <w:rsid w:val="001A14DB"/>
    <w:rsid w:val="001A5D7B"/>
    <w:rsid w:val="001B0247"/>
    <w:rsid w:val="001B050F"/>
    <w:rsid w:val="001B06BF"/>
    <w:rsid w:val="001B3554"/>
    <w:rsid w:val="001B380B"/>
    <w:rsid w:val="001B45A0"/>
    <w:rsid w:val="001B5ABA"/>
    <w:rsid w:val="001B64AF"/>
    <w:rsid w:val="001B713B"/>
    <w:rsid w:val="001C1D9B"/>
    <w:rsid w:val="001C4E70"/>
    <w:rsid w:val="001C508F"/>
    <w:rsid w:val="001D055E"/>
    <w:rsid w:val="001D3154"/>
    <w:rsid w:val="001E1498"/>
    <w:rsid w:val="001E68E0"/>
    <w:rsid w:val="001E6C2D"/>
    <w:rsid w:val="001E6CDB"/>
    <w:rsid w:val="001E78E2"/>
    <w:rsid w:val="001F1E25"/>
    <w:rsid w:val="001F3750"/>
    <w:rsid w:val="001F492E"/>
    <w:rsid w:val="001F6DA3"/>
    <w:rsid w:val="001F7EFE"/>
    <w:rsid w:val="002010BC"/>
    <w:rsid w:val="002016E7"/>
    <w:rsid w:val="00202366"/>
    <w:rsid w:val="00202E03"/>
    <w:rsid w:val="0020492C"/>
    <w:rsid w:val="002059A7"/>
    <w:rsid w:val="0022175D"/>
    <w:rsid w:val="00224DB9"/>
    <w:rsid w:val="0023085C"/>
    <w:rsid w:val="00230EBA"/>
    <w:rsid w:val="00233775"/>
    <w:rsid w:val="00235314"/>
    <w:rsid w:val="002368F5"/>
    <w:rsid w:val="002415E2"/>
    <w:rsid w:val="00242FC8"/>
    <w:rsid w:val="002447ED"/>
    <w:rsid w:val="00251745"/>
    <w:rsid w:val="00255078"/>
    <w:rsid w:val="00257428"/>
    <w:rsid w:val="0026275C"/>
    <w:rsid w:val="00263AC0"/>
    <w:rsid w:val="00264264"/>
    <w:rsid w:val="0026720F"/>
    <w:rsid w:val="0026772D"/>
    <w:rsid w:val="00270159"/>
    <w:rsid w:val="00272496"/>
    <w:rsid w:val="00273429"/>
    <w:rsid w:val="00275998"/>
    <w:rsid w:val="00286874"/>
    <w:rsid w:val="0028744B"/>
    <w:rsid w:val="002876B3"/>
    <w:rsid w:val="00287B78"/>
    <w:rsid w:val="00290B47"/>
    <w:rsid w:val="00290C63"/>
    <w:rsid w:val="00291292"/>
    <w:rsid w:val="0029334A"/>
    <w:rsid w:val="00296828"/>
    <w:rsid w:val="00296B65"/>
    <w:rsid w:val="002971DE"/>
    <w:rsid w:val="00297C2E"/>
    <w:rsid w:val="002A0C23"/>
    <w:rsid w:val="002A5FC8"/>
    <w:rsid w:val="002A646E"/>
    <w:rsid w:val="002A6B21"/>
    <w:rsid w:val="002A7DEF"/>
    <w:rsid w:val="002B1C7E"/>
    <w:rsid w:val="002B5632"/>
    <w:rsid w:val="002B6D1B"/>
    <w:rsid w:val="002C233C"/>
    <w:rsid w:val="002C30C6"/>
    <w:rsid w:val="002C52C4"/>
    <w:rsid w:val="002C6EA4"/>
    <w:rsid w:val="002C7C3C"/>
    <w:rsid w:val="002D650A"/>
    <w:rsid w:val="002D6AB9"/>
    <w:rsid w:val="002D72E8"/>
    <w:rsid w:val="002E0B69"/>
    <w:rsid w:val="002E0C56"/>
    <w:rsid w:val="002E0D7B"/>
    <w:rsid w:val="002E3F93"/>
    <w:rsid w:val="002E65F0"/>
    <w:rsid w:val="002E7B22"/>
    <w:rsid w:val="002F10E5"/>
    <w:rsid w:val="002F2F12"/>
    <w:rsid w:val="002F5406"/>
    <w:rsid w:val="002F7986"/>
    <w:rsid w:val="003018E2"/>
    <w:rsid w:val="00301B40"/>
    <w:rsid w:val="003029EE"/>
    <w:rsid w:val="0030382C"/>
    <w:rsid w:val="00303C05"/>
    <w:rsid w:val="0030583E"/>
    <w:rsid w:val="00305CC8"/>
    <w:rsid w:val="00306B8E"/>
    <w:rsid w:val="00307F6D"/>
    <w:rsid w:val="0031049A"/>
    <w:rsid w:val="00311F74"/>
    <w:rsid w:val="003138E3"/>
    <w:rsid w:val="00314590"/>
    <w:rsid w:val="0031578A"/>
    <w:rsid w:val="0031660B"/>
    <w:rsid w:val="00316C23"/>
    <w:rsid w:val="003177A2"/>
    <w:rsid w:val="00317D44"/>
    <w:rsid w:val="00317E52"/>
    <w:rsid w:val="00320379"/>
    <w:rsid w:val="003261FE"/>
    <w:rsid w:val="00326F64"/>
    <w:rsid w:val="003271B5"/>
    <w:rsid w:val="003277B6"/>
    <w:rsid w:val="00327A1E"/>
    <w:rsid w:val="00327CE5"/>
    <w:rsid w:val="00331264"/>
    <w:rsid w:val="003328EC"/>
    <w:rsid w:val="00332E90"/>
    <w:rsid w:val="00334C8D"/>
    <w:rsid w:val="00335DDB"/>
    <w:rsid w:val="00336568"/>
    <w:rsid w:val="0033757B"/>
    <w:rsid w:val="00342217"/>
    <w:rsid w:val="00343A18"/>
    <w:rsid w:val="0034546F"/>
    <w:rsid w:val="00351450"/>
    <w:rsid w:val="003518B3"/>
    <w:rsid w:val="00354E8E"/>
    <w:rsid w:val="00355369"/>
    <w:rsid w:val="00355C44"/>
    <w:rsid w:val="0035637B"/>
    <w:rsid w:val="00360538"/>
    <w:rsid w:val="00360DA4"/>
    <w:rsid w:val="00362C05"/>
    <w:rsid w:val="00365502"/>
    <w:rsid w:val="00367CAF"/>
    <w:rsid w:val="00376C08"/>
    <w:rsid w:val="00376F80"/>
    <w:rsid w:val="00381B9E"/>
    <w:rsid w:val="00382D66"/>
    <w:rsid w:val="003846F1"/>
    <w:rsid w:val="00386C14"/>
    <w:rsid w:val="003903F6"/>
    <w:rsid w:val="00392A61"/>
    <w:rsid w:val="00394BC3"/>
    <w:rsid w:val="00395657"/>
    <w:rsid w:val="003A05F7"/>
    <w:rsid w:val="003A43B3"/>
    <w:rsid w:val="003A58F5"/>
    <w:rsid w:val="003A7A8B"/>
    <w:rsid w:val="003B2B38"/>
    <w:rsid w:val="003B3707"/>
    <w:rsid w:val="003B484F"/>
    <w:rsid w:val="003B5A94"/>
    <w:rsid w:val="003B7A04"/>
    <w:rsid w:val="003B7FBA"/>
    <w:rsid w:val="003C1F1A"/>
    <w:rsid w:val="003C303F"/>
    <w:rsid w:val="003C3A1D"/>
    <w:rsid w:val="003C3A9C"/>
    <w:rsid w:val="003D168F"/>
    <w:rsid w:val="003D1D20"/>
    <w:rsid w:val="003D3DB2"/>
    <w:rsid w:val="003D5C26"/>
    <w:rsid w:val="003E250A"/>
    <w:rsid w:val="003E33DE"/>
    <w:rsid w:val="003E62AB"/>
    <w:rsid w:val="003E662C"/>
    <w:rsid w:val="003F035B"/>
    <w:rsid w:val="003F174D"/>
    <w:rsid w:val="003F311D"/>
    <w:rsid w:val="003F5467"/>
    <w:rsid w:val="00400514"/>
    <w:rsid w:val="00404FE2"/>
    <w:rsid w:val="004055A0"/>
    <w:rsid w:val="004072BE"/>
    <w:rsid w:val="00411506"/>
    <w:rsid w:val="00415F31"/>
    <w:rsid w:val="004167F2"/>
    <w:rsid w:val="00416D79"/>
    <w:rsid w:val="00422E65"/>
    <w:rsid w:val="004235A1"/>
    <w:rsid w:val="00423A77"/>
    <w:rsid w:val="00424045"/>
    <w:rsid w:val="004243FA"/>
    <w:rsid w:val="00424EAD"/>
    <w:rsid w:val="00427552"/>
    <w:rsid w:val="004279A4"/>
    <w:rsid w:val="0043014C"/>
    <w:rsid w:val="00430536"/>
    <w:rsid w:val="00430F69"/>
    <w:rsid w:val="0043269E"/>
    <w:rsid w:val="00434015"/>
    <w:rsid w:val="004357EB"/>
    <w:rsid w:val="00435914"/>
    <w:rsid w:val="004411ED"/>
    <w:rsid w:val="00444D15"/>
    <w:rsid w:val="00455BEC"/>
    <w:rsid w:val="00457020"/>
    <w:rsid w:val="0045777E"/>
    <w:rsid w:val="00457D11"/>
    <w:rsid w:val="004606ED"/>
    <w:rsid w:val="00464264"/>
    <w:rsid w:val="00464EE2"/>
    <w:rsid w:val="00467394"/>
    <w:rsid w:val="0047025E"/>
    <w:rsid w:val="00470A02"/>
    <w:rsid w:val="00477965"/>
    <w:rsid w:val="0048002B"/>
    <w:rsid w:val="004800AC"/>
    <w:rsid w:val="00480B14"/>
    <w:rsid w:val="00480B4B"/>
    <w:rsid w:val="00485DC4"/>
    <w:rsid w:val="00490D95"/>
    <w:rsid w:val="00491349"/>
    <w:rsid w:val="004922F8"/>
    <w:rsid w:val="00492389"/>
    <w:rsid w:val="00494719"/>
    <w:rsid w:val="004A1E67"/>
    <w:rsid w:val="004A3CA1"/>
    <w:rsid w:val="004A43D1"/>
    <w:rsid w:val="004A4BA0"/>
    <w:rsid w:val="004A65EB"/>
    <w:rsid w:val="004B0C6E"/>
    <w:rsid w:val="004B2781"/>
    <w:rsid w:val="004B32E0"/>
    <w:rsid w:val="004B4412"/>
    <w:rsid w:val="004B54E4"/>
    <w:rsid w:val="004B5BB5"/>
    <w:rsid w:val="004C0A80"/>
    <w:rsid w:val="004C1478"/>
    <w:rsid w:val="004C32B3"/>
    <w:rsid w:val="004C348C"/>
    <w:rsid w:val="004D03FA"/>
    <w:rsid w:val="004D141C"/>
    <w:rsid w:val="004D3325"/>
    <w:rsid w:val="004D4888"/>
    <w:rsid w:val="004D55BA"/>
    <w:rsid w:val="004D5609"/>
    <w:rsid w:val="004D7D8E"/>
    <w:rsid w:val="004E22EC"/>
    <w:rsid w:val="004E7EBB"/>
    <w:rsid w:val="004F0568"/>
    <w:rsid w:val="004F2F1B"/>
    <w:rsid w:val="004F4462"/>
    <w:rsid w:val="004F6A0E"/>
    <w:rsid w:val="005003EE"/>
    <w:rsid w:val="005029E0"/>
    <w:rsid w:val="00504C9E"/>
    <w:rsid w:val="00505CFB"/>
    <w:rsid w:val="00510A73"/>
    <w:rsid w:val="00511D62"/>
    <w:rsid w:val="00514721"/>
    <w:rsid w:val="005147CC"/>
    <w:rsid w:val="00517224"/>
    <w:rsid w:val="005173A4"/>
    <w:rsid w:val="00520CFC"/>
    <w:rsid w:val="0052146F"/>
    <w:rsid w:val="00521C6A"/>
    <w:rsid w:val="00524381"/>
    <w:rsid w:val="00530128"/>
    <w:rsid w:val="005302B0"/>
    <w:rsid w:val="005317EB"/>
    <w:rsid w:val="00532467"/>
    <w:rsid w:val="005328FD"/>
    <w:rsid w:val="0053300B"/>
    <w:rsid w:val="00540418"/>
    <w:rsid w:val="00541EE0"/>
    <w:rsid w:val="005424DD"/>
    <w:rsid w:val="0054367E"/>
    <w:rsid w:val="00544AC1"/>
    <w:rsid w:val="00544C12"/>
    <w:rsid w:val="005453FF"/>
    <w:rsid w:val="00546A52"/>
    <w:rsid w:val="005474A7"/>
    <w:rsid w:val="005504AB"/>
    <w:rsid w:val="00550952"/>
    <w:rsid w:val="00551400"/>
    <w:rsid w:val="005527B3"/>
    <w:rsid w:val="00553342"/>
    <w:rsid w:val="00554FB0"/>
    <w:rsid w:val="005556D1"/>
    <w:rsid w:val="00557F6E"/>
    <w:rsid w:val="00560413"/>
    <w:rsid w:val="00564430"/>
    <w:rsid w:val="00564A4D"/>
    <w:rsid w:val="00564E56"/>
    <w:rsid w:val="005654C0"/>
    <w:rsid w:val="00565AA7"/>
    <w:rsid w:val="00567BA5"/>
    <w:rsid w:val="00570B48"/>
    <w:rsid w:val="00571B35"/>
    <w:rsid w:val="00571D57"/>
    <w:rsid w:val="00576E4D"/>
    <w:rsid w:val="00577A09"/>
    <w:rsid w:val="00577EB7"/>
    <w:rsid w:val="005829C2"/>
    <w:rsid w:val="00584D8F"/>
    <w:rsid w:val="00596D1C"/>
    <w:rsid w:val="00597CF2"/>
    <w:rsid w:val="005A119A"/>
    <w:rsid w:val="005A24AC"/>
    <w:rsid w:val="005A2EC5"/>
    <w:rsid w:val="005A3920"/>
    <w:rsid w:val="005A404D"/>
    <w:rsid w:val="005A4FBA"/>
    <w:rsid w:val="005A71A5"/>
    <w:rsid w:val="005B0D30"/>
    <w:rsid w:val="005B1E3C"/>
    <w:rsid w:val="005B5962"/>
    <w:rsid w:val="005B704A"/>
    <w:rsid w:val="005C26CC"/>
    <w:rsid w:val="005C628A"/>
    <w:rsid w:val="005C7BEC"/>
    <w:rsid w:val="005D24A5"/>
    <w:rsid w:val="005D6019"/>
    <w:rsid w:val="005D7366"/>
    <w:rsid w:val="005D7BA2"/>
    <w:rsid w:val="005E1C36"/>
    <w:rsid w:val="005E221A"/>
    <w:rsid w:val="005E23A0"/>
    <w:rsid w:val="005E36C2"/>
    <w:rsid w:val="005E4011"/>
    <w:rsid w:val="005E4E89"/>
    <w:rsid w:val="005E6767"/>
    <w:rsid w:val="005F1B85"/>
    <w:rsid w:val="005F254F"/>
    <w:rsid w:val="005F343A"/>
    <w:rsid w:val="005F3CA6"/>
    <w:rsid w:val="005F7410"/>
    <w:rsid w:val="006005B2"/>
    <w:rsid w:val="00604118"/>
    <w:rsid w:val="00604765"/>
    <w:rsid w:val="00604B08"/>
    <w:rsid w:val="00606A06"/>
    <w:rsid w:val="00607D9F"/>
    <w:rsid w:val="00612F4F"/>
    <w:rsid w:val="0061390B"/>
    <w:rsid w:val="00614942"/>
    <w:rsid w:val="00615C6B"/>
    <w:rsid w:val="00616C7A"/>
    <w:rsid w:val="00621DCE"/>
    <w:rsid w:val="00623AB0"/>
    <w:rsid w:val="0062508A"/>
    <w:rsid w:val="006264EF"/>
    <w:rsid w:val="0062661B"/>
    <w:rsid w:val="0062739D"/>
    <w:rsid w:val="006309C8"/>
    <w:rsid w:val="0063225E"/>
    <w:rsid w:val="00632D6D"/>
    <w:rsid w:val="00633BB6"/>
    <w:rsid w:val="00640593"/>
    <w:rsid w:val="00642C3E"/>
    <w:rsid w:val="00643960"/>
    <w:rsid w:val="0064490B"/>
    <w:rsid w:val="0064642A"/>
    <w:rsid w:val="00646DC6"/>
    <w:rsid w:val="006537AA"/>
    <w:rsid w:val="006545D4"/>
    <w:rsid w:val="0066104A"/>
    <w:rsid w:val="00663DAD"/>
    <w:rsid w:val="00666CE6"/>
    <w:rsid w:val="00670C2A"/>
    <w:rsid w:val="006711D8"/>
    <w:rsid w:val="006715B3"/>
    <w:rsid w:val="00672B58"/>
    <w:rsid w:val="00674AC4"/>
    <w:rsid w:val="00675285"/>
    <w:rsid w:val="00675E20"/>
    <w:rsid w:val="00676679"/>
    <w:rsid w:val="0068246C"/>
    <w:rsid w:val="00683C89"/>
    <w:rsid w:val="00687028"/>
    <w:rsid w:val="006937FC"/>
    <w:rsid w:val="00693C6A"/>
    <w:rsid w:val="00693E11"/>
    <w:rsid w:val="006943A3"/>
    <w:rsid w:val="00696CDC"/>
    <w:rsid w:val="006A0638"/>
    <w:rsid w:val="006A08A8"/>
    <w:rsid w:val="006A1B81"/>
    <w:rsid w:val="006A3B84"/>
    <w:rsid w:val="006A45EB"/>
    <w:rsid w:val="006B1F17"/>
    <w:rsid w:val="006B2395"/>
    <w:rsid w:val="006B4CF9"/>
    <w:rsid w:val="006B4D3B"/>
    <w:rsid w:val="006B7AC8"/>
    <w:rsid w:val="006C0357"/>
    <w:rsid w:val="006C1347"/>
    <w:rsid w:val="006C1736"/>
    <w:rsid w:val="006C4304"/>
    <w:rsid w:val="006C4CDF"/>
    <w:rsid w:val="006C6794"/>
    <w:rsid w:val="006D1FAC"/>
    <w:rsid w:val="006D2622"/>
    <w:rsid w:val="006D3CCA"/>
    <w:rsid w:val="006D47AE"/>
    <w:rsid w:val="006D4FD9"/>
    <w:rsid w:val="006D5008"/>
    <w:rsid w:val="006D550F"/>
    <w:rsid w:val="006D63F1"/>
    <w:rsid w:val="006E0DEA"/>
    <w:rsid w:val="006E6672"/>
    <w:rsid w:val="006E687B"/>
    <w:rsid w:val="006E7CC3"/>
    <w:rsid w:val="006F52C5"/>
    <w:rsid w:val="00700299"/>
    <w:rsid w:val="00701CAB"/>
    <w:rsid w:val="007025E7"/>
    <w:rsid w:val="0070265D"/>
    <w:rsid w:val="00703550"/>
    <w:rsid w:val="00704A9F"/>
    <w:rsid w:val="00706165"/>
    <w:rsid w:val="00706790"/>
    <w:rsid w:val="00707563"/>
    <w:rsid w:val="0071219B"/>
    <w:rsid w:val="00712539"/>
    <w:rsid w:val="00713956"/>
    <w:rsid w:val="007217BE"/>
    <w:rsid w:val="007221BC"/>
    <w:rsid w:val="00722669"/>
    <w:rsid w:val="0072348C"/>
    <w:rsid w:val="007238C4"/>
    <w:rsid w:val="007249C2"/>
    <w:rsid w:val="00724A37"/>
    <w:rsid w:val="007273B0"/>
    <w:rsid w:val="007303C3"/>
    <w:rsid w:val="00731756"/>
    <w:rsid w:val="0073255F"/>
    <w:rsid w:val="00732808"/>
    <w:rsid w:val="00734BDE"/>
    <w:rsid w:val="00734C47"/>
    <w:rsid w:val="007362E1"/>
    <w:rsid w:val="007429BE"/>
    <w:rsid w:val="00743223"/>
    <w:rsid w:val="00746513"/>
    <w:rsid w:val="00746E01"/>
    <w:rsid w:val="00747E18"/>
    <w:rsid w:val="00750EC0"/>
    <w:rsid w:val="00754AE3"/>
    <w:rsid w:val="00755C4C"/>
    <w:rsid w:val="007571B3"/>
    <w:rsid w:val="00757337"/>
    <w:rsid w:val="00757364"/>
    <w:rsid w:val="007578BB"/>
    <w:rsid w:val="00757BDF"/>
    <w:rsid w:val="007609D0"/>
    <w:rsid w:val="00763E5D"/>
    <w:rsid w:val="007660FC"/>
    <w:rsid w:val="00767740"/>
    <w:rsid w:val="00770877"/>
    <w:rsid w:val="007727DB"/>
    <w:rsid w:val="00777EE6"/>
    <w:rsid w:val="00782EEA"/>
    <w:rsid w:val="0078465B"/>
    <w:rsid w:val="007864C7"/>
    <w:rsid w:val="00787F3F"/>
    <w:rsid w:val="00790D17"/>
    <w:rsid w:val="00790FCE"/>
    <w:rsid w:val="00796270"/>
    <w:rsid w:val="00796C05"/>
    <w:rsid w:val="00797BB8"/>
    <w:rsid w:val="007A20BF"/>
    <w:rsid w:val="007A57E0"/>
    <w:rsid w:val="007B1733"/>
    <w:rsid w:val="007B186E"/>
    <w:rsid w:val="007B2A98"/>
    <w:rsid w:val="007B2C72"/>
    <w:rsid w:val="007B522A"/>
    <w:rsid w:val="007B63E9"/>
    <w:rsid w:val="007C1C53"/>
    <w:rsid w:val="007C550E"/>
    <w:rsid w:val="007C74BB"/>
    <w:rsid w:val="007C7ED9"/>
    <w:rsid w:val="007D0A72"/>
    <w:rsid w:val="007D0C90"/>
    <w:rsid w:val="007D1DA5"/>
    <w:rsid w:val="007D260B"/>
    <w:rsid w:val="007D43BE"/>
    <w:rsid w:val="007D456E"/>
    <w:rsid w:val="007D4722"/>
    <w:rsid w:val="007D576B"/>
    <w:rsid w:val="007E0434"/>
    <w:rsid w:val="007E0AB9"/>
    <w:rsid w:val="007E1D64"/>
    <w:rsid w:val="007E418B"/>
    <w:rsid w:val="007E4904"/>
    <w:rsid w:val="007E4CB5"/>
    <w:rsid w:val="007E77BF"/>
    <w:rsid w:val="007E7D8D"/>
    <w:rsid w:val="007F01B3"/>
    <w:rsid w:val="007F066B"/>
    <w:rsid w:val="007F23C8"/>
    <w:rsid w:val="007F2E65"/>
    <w:rsid w:val="007F3506"/>
    <w:rsid w:val="00800A30"/>
    <w:rsid w:val="008033C4"/>
    <w:rsid w:val="00803C8A"/>
    <w:rsid w:val="008040B9"/>
    <w:rsid w:val="0080534C"/>
    <w:rsid w:val="00806C88"/>
    <w:rsid w:val="0081034E"/>
    <w:rsid w:val="00811CE7"/>
    <w:rsid w:val="008126F3"/>
    <w:rsid w:val="00812E32"/>
    <w:rsid w:val="008140CE"/>
    <w:rsid w:val="00814C3A"/>
    <w:rsid w:val="008205E7"/>
    <w:rsid w:val="008216DC"/>
    <w:rsid w:val="00830E97"/>
    <w:rsid w:val="00833188"/>
    <w:rsid w:val="00833EBC"/>
    <w:rsid w:val="008344F6"/>
    <w:rsid w:val="0083510F"/>
    <w:rsid w:val="008352D6"/>
    <w:rsid w:val="00837BC2"/>
    <w:rsid w:val="0084259C"/>
    <w:rsid w:val="00842AFA"/>
    <w:rsid w:val="00851209"/>
    <w:rsid w:val="00851E62"/>
    <w:rsid w:val="0085241D"/>
    <w:rsid w:val="00852B11"/>
    <w:rsid w:val="008550B3"/>
    <w:rsid w:val="008613E1"/>
    <w:rsid w:val="00875F34"/>
    <w:rsid w:val="0088115C"/>
    <w:rsid w:val="00881ACE"/>
    <w:rsid w:val="008826FA"/>
    <w:rsid w:val="008837AC"/>
    <w:rsid w:val="0089160A"/>
    <w:rsid w:val="00893DAD"/>
    <w:rsid w:val="008A0F00"/>
    <w:rsid w:val="008A12D1"/>
    <w:rsid w:val="008A587D"/>
    <w:rsid w:val="008B35CD"/>
    <w:rsid w:val="008B4F94"/>
    <w:rsid w:val="008B5C08"/>
    <w:rsid w:val="008B5FCC"/>
    <w:rsid w:val="008C04D0"/>
    <w:rsid w:val="008C2E42"/>
    <w:rsid w:val="008C5486"/>
    <w:rsid w:val="008C6971"/>
    <w:rsid w:val="008C6ACB"/>
    <w:rsid w:val="008D0E3B"/>
    <w:rsid w:val="008D1661"/>
    <w:rsid w:val="008D551D"/>
    <w:rsid w:val="008D6883"/>
    <w:rsid w:val="008E3B21"/>
    <w:rsid w:val="008E6001"/>
    <w:rsid w:val="008E6215"/>
    <w:rsid w:val="008E674B"/>
    <w:rsid w:val="008E7031"/>
    <w:rsid w:val="008E77DE"/>
    <w:rsid w:val="008E7D3D"/>
    <w:rsid w:val="008F07A3"/>
    <w:rsid w:val="008F0AAC"/>
    <w:rsid w:val="008F2429"/>
    <w:rsid w:val="008F441F"/>
    <w:rsid w:val="008F6177"/>
    <w:rsid w:val="008F660D"/>
    <w:rsid w:val="009001B6"/>
    <w:rsid w:val="00900E1B"/>
    <w:rsid w:val="009026D8"/>
    <w:rsid w:val="00902EB5"/>
    <w:rsid w:val="00904256"/>
    <w:rsid w:val="0090431C"/>
    <w:rsid w:val="00904B51"/>
    <w:rsid w:val="00907616"/>
    <w:rsid w:val="009106BD"/>
    <w:rsid w:val="0091195E"/>
    <w:rsid w:val="009159BF"/>
    <w:rsid w:val="0091650C"/>
    <w:rsid w:val="00917593"/>
    <w:rsid w:val="00921F86"/>
    <w:rsid w:val="0092309E"/>
    <w:rsid w:val="009233EE"/>
    <w:rsid w:val="0092383A"/>
    <w:rsid w:val="0093285E"/>
    <w:rsid w:val="0093628B"/>
    <w:rsid w:val="00940434"/>
    <w:rsid w:val="009420AF"/>
    <w:rsid w:val="009423D8"/>
    <w:rsid w:val="009460AA"/>
    <w:rsid w:val="00951978"/>
    <w:rsid w:val="00953BF3"/>
    <w:rsid w:val="00961A4A"/>
    <w:rsid w:val="00961F1D"/>
    <w:rsid w:val="009661DE"/>
    <w:rsid w:val="00972325"/>
    <w:rsid w:val="00972B83"/>
    <w:rsid w:val="00974016"/>
    <w:rsid w:val="0097486E"/>
    <w:rsid w:val="00975000"/>
    <w:rsid w:val="00976EDD"/>
    <w:rsid w:val="00977FE0"/>
    <w:rsid w:val="009801E5"/>
    <w:rsid w:val="00983C25"/>
    <w:rsid w:val="00984E7F"/>
    <w:rsid w:val="009855C6"/>
    <w:rsid w:val="009856B7"/>
    <w:rsid w:val="00985C86"/>
    <w:rsid w:val="00991849"/>
    <w:rsid w:val="0099359F"/>
    <w:rsid w:val="00995705"/>
    <w:rsid w:val="00996349"/>
    <w:rsid w:val="00996A8E"/>
    <w:rsid w:val="00997651"/>
    <w:rsid w:val="009A23F2"/>
    <w:rsid w:val="009A436D"/>
    <w:rsid w:val="009A4F2E"/>
    <w:rsid w:val="009A5FC3"/>
    <w:rsid w:val="009A65B7"/>
    <w:rsid w:val="009A66BF"/>
    <w:rsid w:val="009A7D9D"/>
    <w:rsid w:val="009B090B"/>
    <w:rsid w:val="009B3EEB"/>
    <w:rsid w:val="009B6E48"/>
    <w:rsid w:val="009B74B0"/>
    <w:rsid w:val="009C0D47"/>
    <w:rsid w:val="009C1048"/>
    <w:rsid w:val="009C42CD"/>
    <w:rsid w:val="009C680D"/>
    <w:rsid w:val="009C6907"/>
    <w:rsid w:val="009C69D2"/>
    <w:rsid w:val="009C7F51"/>
    <w:rsid w:val="009D182F"/>
    <w:rsid w:val="009D3906"/>
    <w:rsid w:val="009D4991"/>
    <w:rsid w:val="009D5E60"/>
    <w:rsid w:val="009D6B46"/>
    <w:rsid w:val="009D7F04"/>
    <w:rsid w:val="009E379E"/>
    <w:rsid w:val="009F4940"/>
    <w:rsid w:val="009F4965"/>
    <w:rsid w:val="009F52B1"/>
    <w:rsid w:val="009F5BA1"/>
    <w:rsid w:val="00A02A88"/>
    <w:rsid w:val="00A047D7"/>
    <w:rsid w:val="00A0562E"/>
    <w:rsid w:val="00A0726D"/>
    <w:rsid w:val="00A149EE"/>
    <w:rsid w:val="00A1711C"/>
    <w:rsid w:val="00A23452"/>
    <w:rsid w:val="00A23AC8"/>
    <w:rsid w:val="00A2473F"/>
    <w:rsid w:val="00A25FB4"/>
    <w:rsid w:val="00A2652A"/>
    <w:rsid w:val="00A27F5C"/>
    <w:rsid w:val="00A310E2"/>
    <w:rsid w:val="00A31883"/>
    <w:rsid w:val="00A31C54"/>
    <w:rsid w:val="00A32FBB"/>
    <w:rsid w:val="00A342F5"/>
    <w:rsid w:val="00A344D3"/>
    <w:rsid w:val="00A345B5"/>
    <w:rsid w:val="00A366AF"/>
    <w:rsid w:val="00A423DA"/>
    <w:rsid w:val="00A4278C"/>
    <w:rsid w:val="00A428EE"/>
    <w:rsid w:val="00A42941"/>
    <w:rsid w:val="00A43720"/>
    <w:rsid w:val="00A44773"/>
    <w:rsid w:val="00A4478A"/>
    <w:rsid w:val="00A44852"/>
    <w:rsid w:val="00A4640E"/>
    <w:rsid w:val="00A46612"/>
    <w:rsid w:val="00A50C0E"/>
    <w:rsid w:val="00A51DC2"/>
    <w:rsid w:val="00A546D6"/>
    <w:rsid w:val="00A55B0C"/>
    <w:rsid w:val="00A57790"/>
    <w:rsid w:val="00A57D04"/>
    <w:rsid w:val="00A607EF"/>
    <w:rsid w:val="00A60A26"/>
    <w:rsid w:val="00A61598"/>
    <w:rsid w:val="00A639F0"/>
    <w:rsid w:val="00A63EDD"/>
    <w:rsid w:val="00A64C27"/>
    <w:rsid w:val="00A663E4"/>
    <w:rsid w:val="00A704B2"/>
    <w:rsid w:val="00A71B2E"/>
    <w:rsid w:val="00A71E73"/>
    <w:rsid w:val="00A7378E"/>
    <w:rsid w:val="00A74BF8"/>
    <w:rsid w:val="00A77BCF"/>
    <w:rsid w:val="00A801F7"/>
    <w:rsid w:val="00A8059B"/>
    <w:rsid w:val="00A80848"/>
    <w:rsid w:val="00A80D2A"/>
    <w:rsid w:val="00A83852"/>
    <w:rsid w:val="00A84A99"/>
    <w:rsid w:val="00A84F46"/>
    <w:rsid w:val="00A871F4"/>
    <w:rsid w:val="00A878D6"/>
    <w:rsid w:val="00A87952"/>
    <w:rsid w:val="00A9579E"/>
    <w:rsid w:val="00A96815"/>
    <w:rsid w:val="00AA098F"/>
    <w:rsid w:val="00AA3090"/>
    <w:rsid w:val="00AA3B8E"/>
    <w:rsid w:val="00AA55D1"/>
    <w:rsid w:val="00AB477A"/>
    <w:rsid w:val="00AB4A81"/>
    <w:rsid w:val="00AB4D90"/>
    <w:rsid w:val="00AB69B9"/>
    <w:rsid w:val="00AB6A14"/>
    <w:rsid w:val="00AC02B7"/>
    <w:rsid w:val="00AC0C43"/>
    <w:rsid w:val="00AC0C71"/>
    <w:rsid w:val="00AC1B2C"/>
    <w:rsid w:val="00AC3264"/>
    <w:rsid w:val="00AC38ED"/>
    <w:rsid w:val="00AC39E2"/>
    <w:rsid w:val="00AC4546"/>
    <w:rsid w:val="00AC57A6"/>
    <w:rsid w:val="00AC5812"/>
    <w:rsid w:val="00AD272E"/>
    <w:rsid w:val="00AD339F"/>
    <w:rsid w:val="00AD72C6"/>
    <w:rsid w:val="00AE1BF1"/>
    <w:rsid w:val="00AE20E9"/>
    <w:rsid w:val="00AE418D"/>
    <w:rsid w:val="00AF0DD2"/>
    <w:rsid w:val="00AF19A7"/>
    <w:rsid w:val="00AF3DA7"/>
    <w:rsid w:val="00AF7B94"/>
    <w:rsid w:val="00B0061D"/>
    <w:rsid w:val="00B00AF9"/>
    <w:rsid w:val="00B03E41"/>
    <w:rsid w:val="00B059D2"/>
    <w:rsid w:val="00B06C2F"/>
    <w:rsid w:val="00B13048"/>
    <w:rsid w:val="00B14B56"/>
    <w:rsid w:val="00B1716D"/>
    <w:rsid w:val="00B17A1D"/>
    <w:rsid w:val="00B207A0"/>
    <w:rsid w:val="00B217BD"/>
    <w:rsid w:val="00B21D21"/>
    <w:rsid w:val="00B22906"/>
    <w:rsid w:val="00B2303F"/>
    <w:rsid w:val="00B25127"/>
    <w:rsid w:val="00B33620"/>
    <w:rsid w:val="00B514DD"/>
    <w:rsid w:val="00B5197D"/>
    <w:rsid w:val="00B5203A"/>
    <w:rsid w:val="00B52AF0"/>
    <w:rsid w:val="00B55165"/>
    <w:rsid w:val="00B561BD"/>
    <w:rsid w:val="00B56E03"/>
    <w:rsid w:val="00B634AD"/>
    <w:rsid w:val="00B7101E"/>
    <w:rsid w:val="00B71499"/>
    <w:rsid w:val="00B72798"/>
    <w:rsid w:val="00B8080B"/>
    <w:rsid w:val="00B82223"/>
    <w:rsid w:val="00B87BA5"/>
    <w:rsid w:val="00B87C39"/>
    <w:rsid w:val="00B92CAD"/>
    <w:rsid w:val="00B92D4C"/>
    <w:rsid w:val="00B94A5B"/>
    <w:rsid w:val="00B9562D"/>
    <w:rsid w:val="00B9733D"/>
    <w:rsid w:val="00BA047C"/>
    <w:rsid w:val="00BA41FD"/>
    <w:rsid w:val="00BA4665"/>
    <w:rsid w:val="00BB2FB2"/>
    <w:rsid w:val="00BB3304"/>
    <w:rsid w:val="00BB380D"/>
    <w:rsid w:val="00BB62F1"/>
    <w:rsid w:val="00BC3EEE"/>
    <w:rsid w:val="00BC7C2B"/>
    <w:rsid w:val="00BD11EC"/>
    <w:rsid w:val="00BD1ABB"/>
    <w:rsid w:val="00BD3446"/>
    <w:rsid w:val="00BD397E"/>
    <w:rsid w:val="00BD3D49"/>
    <w:rsid w:val="00BD5D87"/>
    <w:rsid w:val="00BD5E21"/>
    <w:rsid w:val="00BE1F1B"/>
    <w:rsid w:val="00BE3C76"/>
    <w:rsid w:val="00BE3FA5"/>
    <w:rsid w:val="00BE47B5"/>
    <w:rsid w:val="00BE6EB2"/>
    <w:rsid w:val="00BF1525"/>
    <w:rsid w:val="00BF318F"/>
    <w:rsid w:val="00BF64E5"/>
    <w:rsid w:val="00BF6685"/>
    <w:rsid w:val="00BF6DE5"/>
    <w:rsid w:val="00BF7E8F"/>
    <w:rsid w:val="00C00297"/>
    <w:rsid w:val="00C039F6"/>
    <w:rsid w:val="00C05EDC"/>
    <w:rsid w:val="00C06B74"/>
    <w:rsid w:val="00C06D3D"/>
    <w:rsid w:val="00C10341"/>
    <w:rsid w:val="00C11B13"/>
    <w:rsid w:val="00C13B9C"/>
    <w:rsid w:val="00C14B21"/>
    <w:rsid w:val="00C157AA"/>
    <w:rsid w:val="00C25FA6"/>
    <w:rsid w:val="00C26737"/>
    <w:rsid w:val="00C3016D"/>
    <w:rsid w:val="00C32379"/>
    <w:rsid w:val="00C419AE"/>
    <w:rsid w:val="00C41C80"/>
    <w:rsid w:val="00C420BC"/>
    <w:rsid w:val="00C464A6"/>
    <w:rsid w:val="00C46A68"/>
    <w:rsid w:val="00C50F3B"/>
    <w:rsid w:val="00C52B87"/>
    <w:rsid w:val="00C538A9"/>
    <w:rsid w:val="00C53B5A"/>
    <w:rsid w:val="00C5458E"/>
    <w:rsid w:val="00C546F4"/>
    <w:rsid w:val="00C54F5A"/>
    <w:rsid w:val="00C569B4"/>
    <w:rsid w:val="00C609A5"/>
    <w:rsid w:val="00C60DEA"/>
    <w:rsid w:val="00C65068"/>
    <w:rsid w:val="00C66275"/>
    <w:rsid w:val="00C663A7"/>
    <w:rsid w:val="00C67A92"/>
    <w:rsid w:val="00C73C7A"/>
    <w:rsid w:val="00C752D5"/>
    <w:rsid w:val="00C75B8C"/>
    <w:rsid w:val="00C81758"/>
    <w:rsid w:val="00C830D8"/>
    <w:rsid w:val="00C84560"/>
    <w:rsid w:val="00C85C49"/>
    <w:rsid w:val="00C86679"/>
    <w:rsid w:val="00C8739E"/>
    <w:rsid w:val="00C87608"/>
    <w:rsid w:val="00C90A9E"/>
    <w:rsid w:val="00C91311"/>
    <w:rsid w:val="00C91575"/>
    <w:rsid w:val="00C91649"/>
    <w:rsid w:val="00C91FEB"/>
    <w:rsid w:val="00C95CD9"/>
    <w:rsid w:val="00C96B25"/>
    <w:rsid w:val="00C97DEA"/>
    <w:rsid w:val="00CA489E"/>
    <w:rsid w:val="00CA67ED"/>
    <w:rsid w:val="00CA69E8"/>
    <w:rsid w:val="00CA776C"/>
    <w:rsid w:val="00CB0279"/>
    <w:rsid w:val="00CB12C2"/>
    <w:rsid w:val="00CB2720"/>
    <w:rsid w:val="00CB2C6A"/>
    <w:rsid w:val="00CB5763"/>
    <w:rsid w:val="00CB666B"/>
    <w:rsid w:val="00CB6950"/>
    <w:rsid w:val="00CB69A4"/>
    <w:rsid w:val="00CB6D98"/>
    <w:rsid w:val="00CC2F81"/>
    <w:rsid w:val="00CC7303"/>
    <w:rsid w:val="00CC7F1D"/>
    <w:rsid w:val="00CD19A9"/>
    <w:rsid w:val="00CD23E8"/>
    <w:rsid w:val="00CD23FE"/>
    <w:rsid w:val="00CE0686"/>
    <w:rsid w:val="00CE484B"/>
    <w:rsid w:val="00CE6129"/>
    <w:rsid w:val="00CE6C3B"/>
    <w:rsid w:val="00CF00AE"/>
    <w:rsid w:val="00CF0CCD"/>
    <w:rsid w:val="00CF2AE9"/>
    <w:rsid w:val="00CF54E5"/>
    <w:rsid w:val="00CF6177"/>
    <w:rsid w:val="00D004FB"/>
    <w:rsid w:val="00D006AE"/>
    <w:rsid w:val="00D00B5A"/>
    <w:rsid w:val="00D01CF0"/>
    <w:rsid w:val="00D0274B"/>
    <w:rsid w:val="00D0442A"/>
    <w:rsid w:val="00D1327D"/>
    <w:rsid w:val="00D1563D"/>
    <w:rsid w:val="00D164B1"/>
    <w:rsid w:val="00D17061"/>
    <w:rsid w:val="00D2146A"/>
    <w:rsid w:val="00D22DFC"/>
    <w:rsid w:val="00D24E4C"/>
    <w:rsid w:val="00D25591"/>
    <w:rsid w:val="00D26930"/>
    <w:rsid w:val="00D27530"/>
    <w:rsid w:val="00D27704"/>
    <w:rsid w:val="00D30E13"/>
    <w:rsid w:val="00D30EB3"/>
    <w:rsid w:val="00D325B8"/>
    <w:rsid w:val="00D33B63"/>
    <w:rsid w:val="00D4283A"/>
    <w:rsid w:val="00D42D38"/>
    <w:rsid w:val="00D453B9"/>
    <w:rsid w:val="00D4777B"/>
    <w:rsid w:val="00D47EC2"/>
    <w:rsid w:val="00D50AFD"/>
    <w:rsid w:val="00D51702"/>
    <w:rsid w:val="00D61291"/>
    <w:rsid w:val="00D612A3"/>
    <w:rsid w:val="00D61388"/>
    <w:rsid w:val="00D61A54"/>
    <w:rsid w:val="00D64DEA"/>
    <w:rsid w:val="00D7168E"/>
    <w:rsid w:val="00D71E57"/>
    <w:rsid w:val="00D73953"/>
    <w:rsid w:val="00D739AF"/>
    <w:rsid w:val="00D760A8"/>
    <w:rsid w:val="00D804A6"/>
    <w:rsid w:val="00D80893"/>
    <w:rsid w:val="00D80AF3"/>
    <w:rsid w:val="00D836BB"/>
    <w:rsid w:val="00D836DD"/>
    <w:rsid w:val="00D84854"/>
    <w:rsid w:val="00D85496"/>
    <w:rsid w:val="00D860A1"/>
    <w:rsid w:val="00D86A98"/>
    <w:rsid w:val="00D86B27"/>
    <w:rsid w:val="00D87322"/>
    <w:rsid w:val="00D9027C"/>
    <w:rsid w:val="00D903DC"/>
    <w:rsid w:val="00D9283D"/>
    <w:rsid w:val="00D92CF1"/>
    <w:rsid w:val="00D92D38"/>
    <w:rsid w:val="00D950F5"/>
    <w:rsid w:val="00DA23A4"/>
    <w:rsid w:val="00DA4752"/>
    <w:rsid w:val="00DA479A"/>
    <w:rsid w:val="00DA5E8D"/>
    <w:rsid w:val="00DA61F3"/>
    <w:rsid w:val="00DA6A65"/>
    <w:rsid w:val="00DB0F93"/>
    <w:rsid w:val="00DB1051"/>
    <w:rsid w:val="00DB1A67"/>
    <w:rsid w:val="00DB2001"/>
    <w:rsid w:val="00DB48C6"/>
    <w:rsid w:val="00DB5074"/>
    <w:rsid w:val="00DC036D"/>
    <w:rsid w:val="00DC0527"/>
    <w:rsid w:val="00DC142D"/>
    <w:rsid w:val="00DC269A"/>
    <w:rsid w:val="00DC5D3C"/>
    <w:rsid w:val="00DC6B85"/>
    <w:rsid w:val="00DC7981"/>
    <w:rsid w:val="00DD0AE6"/>
    <w:rsid w:val="00DD1773"/>
    <w:rsid w:val="00DE1093"/>
    <w:rsid w:val="00DE3695"/>
    <w:rsid w:val="00DE4EFA"/>
    <w:rsid w:val="00DE5520"/>
    <w:rsid w:val="00DE5544"/>
    <w:rsid w:val="00DE563D"/>
    <w:rsid w:val="00DE68A9"/>
    <w:rsid w:val="00DF0917"/>
    <w:rsid w:val="00DF116C"/>
    <w:rsid w:val="00DF53BA"/>
    <w:rsid w:val="00DF70F3"/>
    <w:rsid w:val="00DF77D0"/>
    <w:rsid w:val="00E0035F"/>
    <w:rsid w:val="00E03478"/>
    <w:rsid w:val="00E04818"/>
    <w:rsid w:val="00E04AEC"/>
    <w:rsid w:val="00E06442"/>
    <w:rsid w:val="00E07BED"/>
    <w:rsid w:val="00E11544"/>
    <w:rsid w:val="00E11B64"/>
    <w:rsid w:val="00E128BE"/>
    <w:rsid w:val="00E13CF0"/>
    <w:rsid w:val="00E14BFD"/>
    <w:rsid w:val="00E15BFA"/>
    <w:rsid w:val="00E16A7E"/>
    <w:rsid w:val="00E204B7"/>
    <w:rsid w:val="00E21CDF"/>
    <w:rsid w:val="00E226D9"/>
    <w:rsid w:val="00E23993"/>
    <w:rsid w:val="00E244C6"/>
    <w:rsid w:val="00E2508C"/>
    <w:rsid w:val="00E25B8C"/>
    <w:rsid w:val="00E26C04"/>
    <w:rsid w:val="00E30B8D"/>
    <w:rsid w:val="00E31642"/>
    <w:rsid w:val="00E317AC"/>
    <w:rsid w:val="00E33255"/>
    <w:rsid w:val="00E34613"/>
    <w:rsid w:val="00E35929"/>
    <w:rsid w:val="00E36534"/>
    <w:rsid w:val="00E37EFF"/>
    <w:rsid w:val="00E40CE6"/>
    <w:rsid w:val="00E42A7D"/>
    <w:rsid w:val="00E43C30"/>
    <w:rsid w:val="00E542E4"/>
    <w:rsid w:val="00E6060C"/>
    <w:rsid w:val="00E62B02"/>
    <w:rsid w:val="00E65C85"/>
    <w:rsid w:val="00E66199"/>
    <w:rsid w:val="00E7048A"/>
    <w:rsid w:val="00E73088"/>
    <w:rsid w:val="00E755EC"/>
    <w:rsid w:val="00E7624D"/>
    <w:rsid w:val="00E76DC2"/>
    <w:rsid w:val="00E77AFF"/>
    <w:rsid w:val="00E81022"/>
    <w:rsid w:val="00E85005"/>
    <w:rsid w:val="00E875FB"/>
    <w:rsid w:val="00E90EC7"/>
    <w:rsid w:val="00E92408"/>
    <w:rsid w:val="00E928D3"/>
    <w:rsid w:val="00E93709"/>
    <w:rsid w:val="00E93D93"/>
    <w:rsid w:val="00E95059"/>
    <w:rsid w:val="00E95A93"/>
    <w:rsid w:val="00E95FAA"/>
    <w:rsid w:val="00E97452"/>
    <w:rsid w:val="00EA2713"/>
    <w:rsid w:val="00EA3D42"/>
    <w:rsid w:val="00EA403A"/>
    <w:rsid w:val="00EA46DC"/>
    <w:rsid w:val="00EA5626"/>
    <w:rsid w:val="00EA5D5D"/>
    <w:rsid w:val="00EA5FB4"/>
    <w:rsid w:val="00EA6B1B"/>
    <w:rsid w:val="00EB3036"/>
    <w:rsid w:val="00EB49AA"/>
    <w:rsid w:val="00EB6502"/>
    <w:rsid w:val="00EC04F1"/>
    <w:rsid w:val="00EC163D"/>
    <w:rsid w:val="00EC2F97"/>
    <w:rsid w:val="00EC3E7E"/>
    <w:rsid w:val="00ED10D1"/>
    <w:rsid w:val="00ED2A57"/>
    <w:rsid w:val="00ED53DA"/>
    <w:rsid w:val="00ED5982"/>
    <w:rsid w:val="00ED5F00"/>
    <w:rsid w:val="00ED6277"/>
    <w:rsid w:val="00ED7323"/>
    <w:rsid w:val="00EE149B"/>
    <w:rsid w:val="00EE1A76"/>
    <w:rsid w:val="00EE28F3"/>
    <w:rsid w:val="00EE3B8C"/>
    <w:rsid w:val="00EE50D1"/>
    <w:rsid w:val="00EE5948"/>
    <w:rsid w:val="00EE7FD2"/>
    <w:rsid w:val="00EF022B"/>
    <w:rsid w:val="00EF43F4"/>
    <w:rsid w:val="00EF5110"/>
    <w:rsid w:val="00EF5877"/>
    <w:rsid w:val="00EF6D51"/>
    <w:rsid w:val="00EF7146"/>
    <w:rsid w:val="00F016D2"/>
    <w:rsid w:val="00F03818"/>
    <w:rsid w:val="00F0443F"/>
    <w:rsid w:val="00F0689C"/>
    <w:rsid w:val="00F06B6E"/>
    <w:rsid w:val="00F102B6"/>
    <w:rsid w:val="00F10411"/>
    <w:rsid w:val="00F11613"/>
    <w:rsid w:val="00F11CCE"/>
    <w:rsid w:val="00F12969"/>
    <w:rsid w:val="00F15882"/>
    <w:rsid w:val="00F171E0"/>
    <w:rsid w:val="00F20BD3"/>
    <w:rsid w:val="00F20D1E"/>
    <w:rsid w:val="00F306C2"/>
    <w:rsid w:val="00F30747"/>
    <w:rsid w:val="00F30D29"/>
    <w:rsid w:val="00F33D1C"/>
    <w:rsid w:val="00F35322"/>
    <w:rsid w:val="00F373A5"/>
    <w:rsid w:val="00F402FA"/>
    <w:rsid w:val="00F40EF6"/>
    <w:rsid w:val="00F41D77"/>
    <w:rsid w:val="00F421DD"/>
    <w:rsid w:val="00F42928"/>
    <w:rsid w:val="00F45DE6"/>
    <w:rsid w:val="00F47223"/>
    <w:rsid w:val="00F47559"/>
    <w:rsid w:val="00F50626"/>
    <w:rsid w:val="00F51D66"/>
    <w:rsid w:val="00F53824"/>
    <w:rsid w:val="00F5445F"/>
    <w:rsid w:val="00F544F0"/>
    <w:rsid w:val="00F6084E"/>
    <w:rsid w:val="00F6185A"/>
    <w:rsid w:val="00F64806"/>
    <w:rsid w:val="00F64C7B"/>
    <w:rsid w:val="00F676DD"/>
    <w:rsid w:val="00F70D8D"/>
    <w:rsid w:val="00F7268A"/>
    <w:rsid w:val="00F73143"/>
    <w:rsid w:val="00F73261"/>
    <w:rsid w:val="00F75A26"/>
    <w:rsid w:val="00F76706"/>
    <w:rsid w:val="00F8285B"/>
    <w:rsid w:val="00F83EB1"/>
    <w:rsid w:val="00F83FAD"/>
    <w:rsid w:val="00F861DF"/>
    <w:rsid w:val="00F87208"/>
    <w:rsid w:val="00F9135C"/>
    <w:rsid w:val="00F93404"/>
    <w:rsid w:val="00F952A0"/>
    <w:rsid w:val="00F95795"/>
    <w:rsid w:val="00F97143"/>
    <w:rsid w:val="00FA2AAF"/>
    <w:rsid w:val="00FA378F"/>
    <w:rsid w:val="00FA3C7F"/>
    <w:rsid w:val="00FA427E"/>
    <w:rsid w:val="00FA4835"/>
    <w:rsid w:val="00FA5F12"/>
    <w:rsid w:val="00FB18E0"/>
    <w:rsid w:val="00FB2382"/>
    <w:rsid w:val="00FB3ED2"/>
    <w:rsid w:val="00FB60FE"/>
    <w:rsid w:val="00FB73AA"/>
    <w:rsid w:val="00FB74E2"/>
    <w:rsid w:val="00FB76CD"/>
    <w:rsid w:val="00FB7EB8"/>
    <w:rsid w:val="00FC2DD9"/>
    <w:rsid w:val="00FC3940"/>
    <w:rsid w:val="00FC4EF7"/>
    <w:rsid w:val="00FD00F6"/>
    <w:rsid w:val="00FD054C"/>
    <w:rsid w:val="00FD0FB6"/>
    <w:rsid w:val="00FD3501"/>
    <w:rsid w:val="00FD45C7"/>
    <w:rsid w:val="00FD5614"/>
    <w:rsid w:val="00FD5B6F"/>
    <w:rsid w:val="00FD5E78"/>
    <w:rsid w:val="00FE0BE1"/>
    <w:rsid w:val="00FE1DE9"/>
    <w:rsid w:val="00FE36AF"/>
    <w:rsid w:val="00FE39C2"/>
    <w:rsid w:val="00FE3C32"/>
    <w:rsid w:val="00FE5473"/>
    <w:rsid w:val="00FE55BF"/>
    <w:rsid w:val="00FE64AE"/>
    <w:rsid w:val="00FE6534"/>
    <w:rsid w:val="00FF0656"/>
    <w:rsid w:val="00FF5122"/>
    <w:rsid w:val="00FF67CF"/>
    <w:rsid w:val="00FF6801"/>
    <w:rsid w:val="00FF78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2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footnote reference" w:qFormat="1"/>
    <w:lsdException w:name="annotation reference" w:uiPriority="0"/>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754AE3"/>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unhideWhenUsed/>
    <w:rsid w:val="00E92408"/>
    <w:pPr>
      <w:spacing w:before="0" w:after="150" w:line="240" w:lineRule="auto"/>
    </w:pPr>
    <w:rPr>
      <w:rFonts w:ascii="Times New Roman" w:eastAsia="Times New Roman" w:hAnsi="Times New Roman" w:cs="Times New Roman"/>
      <w:sz w:val="24"/>
      <w:szCs w:val="24"/>
      <w:lang w:val="en-US"/>
    </w:rPr>
  </w:style>
  <w:style w:type="paragraph" w:styleId="MessageHeader">
    <w:name w:val="Message Header"/>
    <w:basedOn w:val="Normal"/>
    <w:link w:val="MessageHeaderChar"/>
    <w:uiPriority w:val="99"/>
    <w:unhideWhenUsed/>
    <w:rsid w:val="00AE418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AE418D"/>
    <w:rPr>
      <w:rFonts w:asciiTheme="majorHAnsi" w:eastAsiaTheme="majorEastAsia" w:hAnsiTheme="majorHAnsi" w:cstheme="majorBidi"/>
      <w:sz w:val="24"/>
      <w:szCs w:val="24"/>
      <w:shd w:val="pct20"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footnote reference" w:qFormat="1"/>
    <w:lsdException w:name="annotation reference" w:uiPriority="0"/>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754AE3"/>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unhideWhenUsed/>
    <w:rsid w:val="00E92408"/>
    <w:pPr>
      <w:spacing w:before="0" w:after="150" w:line="240" w:lineRule="auto"/>
    </w:pPr>
    <w:rPr>
      <w:rFonts w:ascii="Times New Roman" w:eastAsia="Times New Roman" w:hAnsi="Times New Roman" w:cs="Times New Roman"/>
      <w:sz w:val="24"/>
      <w:szCs w:val="24"/>
      <w:lang w:val="en-US"/>
    </w:rPr>
  </w:style>
  <w:style w:type="paragraph" w:styleId="MessageHeader">
    <w:name w:val="Message Header"/>
    <w:basedOn w:val="Normal"/>
    <w:link w:val="MessageHeaderChar"/>
    <w:uiPriority w:val="99"/>
    <w:unhideWhenUsed/>
    <w:rsid w:val="00AE418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AE418D"/>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3055">
      <w:bodyDiv w:val="1"/>
      <w:marLeft w:val="0"/>
      <w:marRight w:val="0"/>
      <w:marTop w:val="0"/>
      <w:marBottom w:val="0"/>
      <w:divBdr>
        <w:top w:val="none" w:sz="0" w:space="0" w:color="auto"/>
        <w:left w:val="none" w:sz="0" w:space="0" w:color="auto"/>
        <w:bottom w:val="none" w:sz="0" w:space="0" w:color="auto"/>
        <w:right w:val="none" w:sz="0" w:space="0" w:color="auto"/>
      </w:divBdr>
    </w:div>
    <w:div w:id="185683200">
      <w:bodyDiv w:val="1"/>
      <w:marLeft w:val="0"/>
      <w:marRight w:val="0"/>
      <w:marTop w:val="0"/>
      <w:marBottom w:val="0"/>
      <w:divBdr>
        <w:top w:val="none" w:sz="0" w:space="0" w:color="auto"/>
        <w:left w:val="none" w:sz="0" w:space="0" w:color="auto"/>
        <w:bottom w:val="none" w:sz="0" w:space="0" w:color="auto"/>
        <w:right w:val="none" w:sz="0" w:space="0" w:color="auto"/>
      </w:divBdr>
    </w:div>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diagramLayout" Target="diagrams/layout2.xml"/><Relationship Id="rId39" Type="http://schemas.microsoft.com/office/2007/relationships/diagramDrawing" Target="diagrams/drawing4.xml"/><Relationship Id="rId3" Type="http://schemas.openxmlformats.org/officeDocument/2006/relationships/numbering" Target="numbering.xml"/><Relationship Id="rId21" Type="http://schemas.microsoft.com/office/2007/relationships/diagramDrawing" Target="diagrams/drawing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image" Target="media/image5.emf"/><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AERInquiry@gov.au" TargetMode="External"/><Relationship Id="rId20" Type="http://schemas.openxmlformats.org/officeDocument/2006/relationships/diagramColors" Target="diagrams/colors1.xml"/><Relationship Id="rId29" Type="http://schemas.microsoft.com/office/2007/relationships/diagramDrawing" Target="diagrams/drawing2.xml"/><Relationship Id="rId41"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chart" Target="charts/chart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image" Target="media/image3.emf"/><Relationship Id="rId5" Type="http://schemas.microsoft.com/office/2007/relationships/stylesWithEffects" Target="stylesWithEffects.xml"/><Relationship Id="rId15" Type="http://schemas.openxmlformats.org/officeDocument/2006/relationships/hyperlink" Target="http://www.aer.gov.au" TargetMode="External"/><Relationship Id="rId23" Type="http://schemas.openxmlformats.org/officeDocument/2006/relationships/image" Target="media/image2.emf"/><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diagramQuickStyle" Target="diagrams/quickStyle1.xml"/><Relationship Id="rId31" Type="http://schemas.openxmlformats.org/officeDocument/2006/relationships/diagramLayout" Target="diagrams/layout3.xml"/><Relationship Id="rId44" Type="http://schemas.microsoft.com/office/2007/relationships/diagramDrawing" Target="diagrams/drawing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image" Target="media/image6.emf"/><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aer.gov.au/networks-pipelines/determinations-access-arrangements?f%5b0%5d=field_accc_aer_region%3A15&amp;f%5b1%5d=field_accc_aer_segment%3A10&amp;f%5b2%5d=type%3Aaccc_aer_determination" TargetMode="External"/><Relationship Id="rId1" Type="http://schemas.openxmlformats.org/officeDocument/2006/relationships/hyperlink" Target="http://www.smartmeters.vic.gov.au/about-smart-meters/end-of-rollou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85739282589675E-2"/>
          <c:y val="5.1400554097404488E-2"/>
          <c:w val="0.86924825021872254"/>
          <c:h val="0.76317512394284048"/>
        </c:manualLayout>
      </c:layout>
      <c:barChart>
        <c:barDir val="col"/>
        <c:grouping val="clustered"/>
        <c:varyColors val="0"/>
        <c:ser>
          <c:idx val="0"/>
          <c:order val="0"/>
          <c:tx>
            <c:strRef>
              <c:f>Sheet1!$B$4</c:f>
              <c:strCache>
                <c:ptCount val="1"/>
                <c:pt idx="0">
                  <c:v>Proposal</c:v>
                </c:pt>
              </c:strCache>
            </c:strRef>
          </c:tx>
          <c:invertIfNegative val="0"/>
          <c:cat>
            <c:strRef>
              <c:f>Sheet1!$C$3:$E$3</c:f>
              <c:strCache>
                <c:ptCount val="3"/>
                <c:pt idx="0">
                  <c:v>Meter supply</c:v>
                </c:pt>
                <c:pt idx="1">
                  <c:v>Meter installation</c:v>
                </c:pt>
                <c:pt idx="2">
                  <c:v>IT</c:v>
                </c:pt>
              </c:strCache>
            </c:strRef>
          </c:cat>
          <c:val>
            <c:numRef>
              <c:f>Sheet1!$C$4:$E$4</c:f>
              <c:numCache>
                <c:formatCode>0.0</c:formatCode>
                <c:ptCount val="3"/>
                <c:pt idx="0">
                  <c:v>25.597180877447602</c:v>
                </c:pt>
                <c:pt idx="1">
                  <c:v>15.535628954217387</c:v>
                </c:pt>
                <c:pt idx="2">
                  <c:v>33.268150319125184</c:v>
                </c:pt>
              </c:numCache>
            </c:numRef>
          </c:val>
        </c:ser>
        <c:ser>
          <c:idx val="1"/>
          <c:order val="1"/>
          <c:tx>
            <c:strRef>
              <c:f>Sheet1!$B$5</c:f>
              <c:strCache>
                <c:ptCount val="1"/>
                <c:pt idx="0">
                  <c:v>Draft decision</c:v>
                </c:pt>
              </c:strCache>
            </c:strRef>
          </c:tx>
          <c:invertIfNegative val="0"/>
          <c:cat>
            <c:strRef>
              <c:f>Sheet1!$C$3:$E$3</c:f>
              <c:strCache>
                <c:ptCount val="3"/>
                <c:pt idx="0">
                  <c:v>Meter supply</c:v>
                </c:pt>
                <c:pt idx="1">
                  <c:v>Meter installation</c:v>
                </c:pt>
                <c:pt idx="2">
                  <c:v>IT</c:v>
                </c:pt>
              </c:strCache>
            </c:strRef>
          </c:cat>
          <c:val>
            <c:numRef>
              <c:f>Sheet1!$C$5:$E$5</c:f>
              <c:numCache>
                <c:formatCode>0.0</c:formatCode>
                <c:ptCount val="3"/>
                <c:pt idx="0">
                  <c:v>13.908116775836378</c:v>
                </c:pt>
                <c:pt idx="1">
                  <c:v>7.3625090878121719</c:v>
                </c:pt>
                <c:pt idx="2">
                  <c:v>5.6657548578422787</c:v>
                </c:pt>
              </c:numCache>
            </c:numRef>
          </c:val>
        </c:ser>
        <c:dLbls>
          <c:dLblPos val="ctr"/>
          <c:showLegendKey val="0"/>
          <c:showVal val="1"/>
          <c:showCatName val="0"/>
          <c:showSerName val="0"/>
          <c:showPercent val="0"/>
          <c:showBubbleSize val="0"/>
        </c:dLbls>
        <c:gapWidth val="150"/>
        <c:axId val="39921152"/>
        <c:axId val="39922688"/>
      </c:barChart>
      <c:catAx>
        <c:axId val="39921152"/>
        <c:scaling>
          <c:orientation val="minMax"/>
        </c:scaling>
        <c:delete val="0"/>
        <c:axPos val="b"/>
        <c:majorTickMark val="out"/>
        <c:minorTickMark val="none"/>
        <c:tickLblPos val="nextTo"/>
        <c:crossAx val="39922688"/>
        <c:crosses val="autoZero"/>
        <c:auto val="1"/>
        <c:lblAlgn val="ctr"/>
        <c:lblOffset val="100"/>
        <c:noMultiLvlLbl val="0"/>
      </c:catAx>
      <c:valAx>
        <c:axId val="39922688"/>
        <c:scaling>
          <c:orientation val="minMax"/>
        </c:scaling>
        <c:delete val="0"/>
        <c:axPos val="l"/>
        <c:majorGridlines/>
        <c:numFmt formatCode="0.0" sourceLinked="1"/>
        <c:majorTickMark val="out"/>
        <c:minorTickMark val="none"/>
        <c:tickLblPos val="nextTo"/>
        <c:crossAx val="39921152"/>
        <c:crosses val="autoZero"/>
        <c:crossBetween val="between"/>
      </c:valAx>
    </c:plotArea>
    <c:legend>
      <c:legendPos val="r"/>
      <c:layout>
        <c:manualLayout>
          <c:xMode val="edge"/>
          <c:yMode val="edge"/>
          <c:x val="0"/>
          <c:y val="0.91628280839895015"/>
          <c:w val="1"/>
          <c:h val="7.9471420239136767E-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16907261592301"/>
          <c:y val="5.1400554097404488E-2"/>
          <c:w val="0.87833136482939633"/>
          <c:h val="0.62498396033829096"/>
        </c:manualLayout>
      </c:layout>
      <c:barChart>
        <c:barDir val="col"/>
        <c:grouping val="stacked"/>
        <c:varyColors val="0"/>
        <c:ser>
          <c:idx val="0"/>
          <c:order val="0"/>
          <c:tx>
            <c:strRef>
              <c:f>AusNet!$B$14</c:f>
              <c:strCache>
                <c:ptCount val="1"/>
                <c:pt idx="0">
                  <c:v>2016-2020 distribution determination</c:v>
                </c:pt>
              </c:strCache>
            </c:strRef>
          </c:tx>
          <c:invertIfNegative val="0"/>
          <c:cat>
            <c:strRef>
              <c:f>AusNet!$C$13:$F$13</c:f>
              <c:strCache>
                <c:ptCount val="4"/>
                <c:pt idx="0">
                  <c:v>Jemena</c:v>
                </c:pt>
                <c:pt idx="1">
                  <c:v>United Energy</c:v>
                </c:pt>
                <c:pt idx="2">
                  <c:v>AusNet Services</c:v>
                </c:pt>
                <c:pt idx="3">
                  <c:v>CitiPower and Powercor (combined)</c:v>
                </c:pt>
              </c:strCache>
            </c:strRef>
          </c:cat>
          <c:val>
            <c:numRef>
              <c:f>AusNet!$C$14:$F$14</c:f>
              <c:numCache>
                <c:formatCode>0.0</c:formatCode>
                <c:ptCount val="4"/>
                <c:pt idx="0">
                  <c:v>3.3574843602028324</c:v>
                </c:pt>
                <c:pt idx="1">
                  <c:v>7.8691039692253888</c:v>
                </c:pt>
                <c:pt idx="2">
                  <c:v>0.9442924763070466</c:v>
                </c:pt>
                <c:pt idx="3">
                  <c:v>6.6100473341493258</c:v>
                </c:pt>
              </c:numCache>
            </c:numRef>
          </c:val>
        </c:ser>
        <c:ser>
          <c:idx val="1"/>
          <c:order val="1"/>
          <c:tx>
            <c:strRef>
              <c:f>AusNet!$B$15</c:f>
              <c:strCache>
                <c:ptCount val="1"/>
                <c:pt idx="0">
                  <c:v>Proposed 2014 and 2015 excess expenditure</c:v>
                </c:pt>
              </c:strCache>
            </c:strRef>
          </c:tx>
          <c:invertIfNegative val="0"/>
          <c:dLbls>
            <c:dLbl>
              <c:idx val="0"/>
              <c:delete val="1"/>
            </c:dLbl>
            <c:dLbl>
              <c:idx val="1"/>
              <c:delete val="1"/>
            </c:dLbl>
            <c:dLbl>
              <c:idx val="3"/>
              <c:delete val="1"/>
            </c:dLbl>
            <c:dLblPos val="ctr"/>
            <c:showLegendKey val="0"/>
            <c:showVal val="1"/>
            <c:showCatName val="0"/>
            <c:showSerName val="0"/>
            <c:showPercent val="0"/>
            <c:showBubbleSize val="0"/>
            <c:showLeaderLines val="0"/>
          </c:dLbls>
          <c:cat>
            <c:strRef>
              <c:f>AusNet!$C$13:$F$13</c:f>
              <c:strCache>
                <c:ptCount val="4"/>
                <c:pt idx="0">
                  <c:v>Jemena</c:v>
                </c:pt>
                <c:pt idx="1">
                  <c:v>United Energy</c:v>
                </c:pt>
                <c:pt idx="2">
                  <c:v>AusNet Services</c:v>
                </c:pt>
                <c:pt idx="3">
                  <c:v>CitiPower and Powercor (combined)</c:v>
                </c:pt>
              </c:strCache>
            </c:strRef>
          </c:cat>
          <c:val>
            <c:numRef>
              <c:f>AusNet!$C$15:$F$15</c:f>
              <c:numCache>
                <c:formatCode>0.0</c:formatCode>
                <c:ptCount val="4"/>
                <c:pt idx="0">
                  <c:v>0</c:v>
                </c:pt>
                <c:pt idx="1">
                  <c:v>0</c:v>
                </c:pt>
                <c:pt idx="2">
                  <c:v>33.268150319125184</c:v>
                </c:pt>
                <c:pt idx="3">
                  <c:v>0</c:v>
                </c:pt>
              </c:numCache>
            </c:numRef>
          </c:val>
        </c:ser>
        <c:dLbls>
          <c:dLblPos val="ctr"/>
          <c:showLegendKey val="0"/>
          <c:showVal val="1"/>
          <c:showCatName val="0"/>
          <c:showSerName val="0"/>
          <c:showPercent val="0"/>
          <c:showBubbleSize val="0"/>
        </c:dLbls>
        <c:gapWidth val="150"/>
        <c:overlap val="100"/>
        <c:axId val="177932544"/>
        <c:axId val="177998080"/>
      </c:barChart>
      <c:catAx>
        <c:axId val="177932544"/>
        <c:scaling>
          <c:orientation val="minMax"/>
        </c:scaling>
        <c:delete val="0"/>
        <c:axPos val="b"/>
        <c:majorTickMark val="out"/>
        <c:minorTickMark val="none"/>
        <c:tickLblPos val="nextTo"/>
        <c:crossAx val="177998080"/>
        <c:crosses val="autoZero"/>
        <c:auto val="1"/>
        <c:lblAlgn val="ctr"/>
        <c:lblOffset val="100"/>
        <c:noMultiLvlLbl val="0"/>
      </c:catAx>
      <c:valAx>
        <c:axId val="177998080"/>
        <c:scaling>
          <c:orientation val="minMax"/>
        </c:scaling>
        <c:delete val="0"/>
        <c:axPos val="l"/>
        <c:majorGridlines/>
        <c:numFmt formatCode="0.0" sourceLinked="1"/>
        <c:majorTickMark val="out"/>
        <c:minorTickMark val="none"/>
        <c:tickLblPos val="nextTo"/>
        <c:crossAx val="177932544"/>
        <c:crosses val="autoZero"/>
        <c:crossBetween val="between"/>
      </c:valAx>
    </c:plotArea>
    <c:legend>
      <c:legendPos val="r"/>
      <c:layout>
        <c:manualLayout>
          <c:xMode val="edge"/>
          <c:yMode val="edge"/>
          <c:x val="0"/>
          <c:y val="0.89275080198308543"/>
          <c:w val="1"/>
          <c:h val="9.4128025663458723E-2"/>
        </c:manualLayout>
      </c:layout>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34AA4-C2E0-4B0F-A6CD-901A46E00102}" type="doc">
      <dgm:prSet loTypeId="urn:microsoft.com/office/officeart/2005/8/layout/equation1" loCatId="process" qsTypeId="urn:microsoft.com/office/officeart/2005/8/quickstyle/simple1" qsCatId="simple" csTypeId="urn:microsoft.com/office/officeart/2005/8/colors/accent1_2" csCatId="accent1" phldr="1"/>
      <dgm:spPr/>
    </dgm:pt>
    <dgm:pt modelId="{4086CD7C-3D15-47BA-8D2C-E0DBE12EB92F}">
      <dgm:prSet phldrT="[Text]"/>
      <dgm:spPr>
        <a:solidFill>
          <a:srgbClr val="0070C0"/>
        </a:solidFill>
      </dgm:spPr>
      <dgm:t>
        <a:bodyPr/>
        <a:lstStyle/>
        <a:p>
          <a:r>
            <a:rPr lang="en-US"/>
            <a:t>Revenue and costs true-up</a:t>
          </a:r>
        </a:p>
        <a:p>
          <a:r>
            <a:rPr lang="en-US"/>
            <a:t>($42.0 million)</a:t>
          </a:r>
        </a:p>
        <a:p>
          <a:endParaRPr lang="en-US"/>
        </a:p>
      </dgm:t>
    </dgm:pt>
    <dgm:pt modelId="{41A82DE6-E602-4DB0-ABB5-CF18F4A00B1D}" type="parTrans" cxnId="{8F3749D0-35B6-4688-9228-66B6AF7ABD43}">
      <dgm:prSet/>
      <dgm:spPr/>
      <dgm:t>
        <a:bodyPr/>
        <a:lstStyle/>
        <a:p>
          <a:endParaRPr lang="en-US"/>
        </a:p>
      </dgm:t>
    </dgm:pt>
    <dgm:pt modelId="{C2957523-DC60-4795-ADA3-8DFAC7908737}" type="sibTrans" cxnId="{8F3749D0-35B6-4688-9228-66B6AF7ABD43}">
      <dgm:prSet/>
      <dgm:spPr>
        <a:solidFill>
          <a:srgbClr val="0070C0"/>
        </a:solidFill>
      </dgm:spPr>
      <dgm:t>
        <a:bodyPr/>
        <a:lstStyle/>
        <a:p>
          <a:endParaRPr lang="en-US"/>
        </a:p>
      </dgm:t>
    </dgm:pt>
    <dgm:pt modelId="{D2B00C2C-4B6A-4242-B448-A0ABB7D81300}">
      <dgm:prSet phldrT="[Text]"/>
      <dgm:spPr>
        <a:solidFill>
          <a:srgbClr val="0070C0"/>
        </a:solidFill>
      </dgm:spPr>
      <dgm:t>
        <a:bodyPr/>
        <a:lstStyle/>
        <a:p>
          <a:r>
            <a:rPr lang="en-US"/>
            <a:t>Metering asset base true-up</a:t>
          </a:r>
        </a:p>
        <a:p>
          <a:r>
            <a:rPr lang="en-US"/>
            <a:t>($20.1 million)</a:t>
          </a:r>
        </a:p>
        <a:p>
          <a:endParaRPr lang="en-US"/>
        </a:p>
      </dgm:t>
    </dgm:pt>
    <dgm:pt modelId="{18F7161F-030C-4D64-BE74-6A04B93D5BCF}" type="parTrans" cxnId="{C8A5FE91-0BDE-4566-BA8F-C9B38E3675B1}">
      <dgm:prSet/>
      <dgm:spPr/>
      <dgm:t>
        <a:bodyPr/>
        <a:lstStyle/>
        <a:p>
          <a:endParaRPr lang="en-US"/>
        </a:p>
      </dgm:t>
    </dgm:pt>
    <dgm:pt modelId="{EEB4B90C-0404-44FF-A0FB-3B8ABA6D2B0D}" type="sibTrans" cxnId="{C8A5FE91-0BDE-4566-BA8F-C9B38E3675B1}">
      <dgm:prSet/>
      <dgm:spPr>
        <a:solidFill>
          <a:srgbClr val="0070C0"/>
        </a:solidFill>
      </dgm:spPr>
      <dgm:t>
        <a:bodyPr/>
        <a:lstStyle/>
        <a:p>
          <a:endParaRPr lang="en-US"/>
        </a:p>
      </dgm:t>
    </dgm:pt>
    <dgm:pt modelId="{5D857FF6-426A-4A3D-B9F5-6B53F3C874FA}">
      <dgm:prSet phldrT="[Text]"/>
      <dgm:spPr>
        <a:solidFill>
          <a:srgbClr val="0070C0"/>
        </a:solidFill>
      </dgm:spPr>
      <dgm:t>
        <a:bodyPr/>
        <a:lstStyle/>
        <a:p>
          <a:r>
            <a:rPr lang="en-US"/>
            <a:t>Transition charge</a:t>
          </a:r>
        </a:p>
        <a:p>
          <a:r>
            <a:rPr lang="en-US"/>
            <a:t>($62.1 million)</a:t>
          </a:r>
        </a:p>
        <a:p>
          <a:endParaRPr lang="en-US"/>
        </a:p>
      </dgm:t>
    </dgm:pt>
    <dgm:pt modelId="{2F617624-AA38-48E5-AB45-9B2AED1463A9}" type="parTrans" cxnId="{BBDFB487-5499-4412-AC86-D5B3F4252F16}">
      <dgm:prSet/>
      <dgm:spPr/>
      <dgm:t>
        <a:bodyPr/>
        <a:lstStyle/>
        <a:p>
          <a:endParaRPr lang="en-US"/>
        </a:p>
      </dgm:t>
    </dgm:pt>
    <dgm:pt modelId="{0C9023E0-C1F2-427E-A410-E1A2EDE44467}" type="sibTrans" cxnId="{BBDFB487-5499-4412-AC86-D5B3F4252F16}">
      <dgm:prSet/>
      <dgm:spPr/>
      <dgm:t>
        <a:bodyPr/>
        <a:lstStyle/>
        <a:p>
          <a:endParaRPr lang="en-US"/>
        </a:p>
      </dgm:t>
    </dgm:pt>
    <dgm:pt modelId="{2A36DD7A-4496-45DB-BF2B-5297DB1AC7CF}" type="pres">
      <dgm:prSet presAssocID="{50834AA4-C2E0-4B0F-A6CD-901A46E00102}" presName="linearFlow" presStyleCnt="0">
        <dgm:presLayoutVars>
          <dgm:dir/>
          <dgm:resizeHandles val="exact"/>
        </dgm:presLayoutVars>
      </dgm:prSet>
      <dgm:spPr/>
    </dgm:pt>
    <dgm:pt modelId="{BBEA9098-0899-45F4-9205-1C59057F3DB8}" type="pres">
      <dgm:prSet presAssocID="{4086CD7C-3D15-47BA-8D2C-E0DBE12EB92F}" presName="node" presStyleLbl="node1" presStyleIdx="0" presStyleCnt="3">
        <dgm:presLayoutVars>
          <dgm:bulletEnabled val="1"/>
        </dgm:presLayoutVars>
      </dgm:prSet>
      <dgm:spPr/>
      <dgm:t>
        <a:bodyPr/>
        <a:lstStyle/>
        <a:p>
          <a:endParaRPr lang="en-US"/>
        </a:p>
      </dgm:t>
    </dgm:pt>
    <dgm:pt modelId="{6762D40C-071E-452E-A8DE-80794B6CDA18}" type="pres">
      <dgm:prSet presAssocID="{C2957523-DC60-4795-ADA3-8DFAC7908737}" presName="spacerL" presStyleCnt="0"/>
      <dgm:spPr/>
    </dgm:pt>
    <dgm:pt modelId="{65092078-6A31-4C4B-B153-04B69BB31751}" type="pres">
      <dgm:prSet presAssocID="{C2957523-DC60-4795-ADA3-8DFAC7908737}" presName="sibTrans" presStyleLbl="sibTrans2D1" presStyleIdx="0" presStyleCnt="2"/>
      <dgm:spPr/>
      <dgm:t>
        <a:bodyPr/>
        <a:lstStyle/>
        <a:p>
          <a:endParaRPr lang="en-US"/>
        </a:p>
      </dgm:t>
    </dgm:pt>
    <dgm:pt modelId="{193D8336-5ACE-44A9-8B39-8BEF89A2C0DE}" type="pres">
      <dgm:prSet presAssocID="{C2957523-DC60-4795-ADA3-8DFAC7908737}" presName="spacerR" presStyleCnt="0"/>
      <dgm:spPr/>
    </dgm:pt>
    <dgm:pt modelId="{0C69A736-EBDB-4A1B-949F-7530A2A9E094}" type="pres">
      <dgm:prSet presAssocID="{D2B00C2C-4B6A-4242-B448-A0ABB7D81300}" presName="node" presStyleLbl="node1" presStyleIdx="1" presStyleCnt="3">
        <dgm:presLayoutVars>
          <dgm:bulletEnabled val="1"/>
        </dgm:presLayoutVars>
      </dgm:prSet>
      <dgm:spPr/>
      <dgm:t>
        <a:bodyPr/>
        <a:lstStyle/>
        <a:p>
          <a:endParaRPr lang="en-US"/>
        </a:p>
      </dgm:t>
    </dgm:pt>
    <dgm:pt modelId="{AFE2CA29-07A6-416C-B76A-7095E1C7C111}" type="pres">
      <dgm:prSet presAssocID="{EEB4B90C-0404-44FF-A0FB-3B8ABA6D2B0D}" presName="spacerL" presStyleCnt="0"/>
      <dgm:spPr/>
    </dgm:pt>
    <dgm:pt modelId="{AD4636FA-7B6D-4F84-94F7-8A7CAB0BD32C}" type="pres">
      <dgm:prSet presAssocID="{EEB4B90C-0404-44FF-A0FB-3B8ABA6D2B0D}" presName="sibTrans" presStyleLbl="sibTrans2D1" presStyleIdx="1" presStyleCnt="2"/>
      <dgm:spPr/>
      <dgm:t>
        <a:bodyPr/>
        <a:lstStyle/>
        <a:p>
          <a:endParaRPr lang="en-US"/>
        </a:p>
      </dgm:t>
    </dgm:pt>
    <dgm:pt modelId="{DC3BAD35-9FEC-40E9-920D-77407311B320}" type="pres">
      <dgm:prSet presAssocID="{EEB4B90C-0404-44FF-A0FB-3B8ABA6D2B0D}" presName="spacerR" presStyleCnt="0"/>
      <dgm:spPr/>
    </dgm:pt>
    <dgm:pt modelId="{63DFADE2-FD0A-4341-BE52-28EFFFB032AA}" type="pres">
      <dgm:prSet presAssocID="{5D857FF6-426A-4A3D-B9F5-6B53F3C874FA}" presName="node" presStyleLbl="node1" presStyleIdx="2" presStyleCnt="3">
        <dgm:presLayoutVars>
          <dgm:bulletEnabled val="1"/>
        </dgm:presLayoutVars>
      </dgm:prSet>
      <dgm:spPr/>
      <dgm:t>
        <a:bodyPr/>
        <a:lstStyle/>
        <a:p>
          <a:endParaRPr lang="en-US"/>
        </a:p>
      </dgm:t>
    </dgm:pt>
  </dgm:ptLst>
  <dgm:cxnLst>
    <dgm:cxn modelId="{2A7D6C62-3A39-4211-AAFB-5263DE759981}" type="presOf" srcId="{C2957523-DC60-4795-ADA3-8DFAC7908737}" destId="{65092078-6A31-4C4B-B153-04B69BB31751}" srcOrd="0" destOrd="0" presId="urn:microsoft.com/office/officeart/2005/8/layout/equation1"/>
    <dgm:cxn modelId="{769ABE70-A54C-4199-AB12-29B2A8420FFC}" type="presOf" srcId="{D2B00C2C-4B6A-4242-B448-A0ABB7D81300}" destId="{0C69A736-EBDB-4A1B-949F-7530A2A9E094}" srcOrd="0" destOrd="0" presId="urn:microsoft.com/office/officeart/2005/8/layout/equation1"/>
    <dgm:cxn modelId="{F5DCD794-2DDA-45CD-836C-4F8DAF231C9C}" type="presOf" srcId="{4086CD7C-3D15-47BA-8D2C-E0DBE12EB92F}" destId="{BBEA9098-0899-45F4-9205-1C59057F3DB8}" srcOrd="0" destOrd="0" presId="urn:microsoft.com/office/officeart/2005/8/layout/equation1"/>
    <dgm:cxn modelId="{C8A5FE91-0BDE-4566-BA8F-C9B38E3675B1}" srcId="{50834AA4-C2E0-4B0F-A6CD-901A46E00102}" destId="{D2B00C2C-4B6A-4242-B448-A0ABB7D81300}" srcOrd="1" destOrd="0" parTransId="{18F7161F-030C-4D64-BE74-6A04B93D5BCF}" sibTransId="{EEB4B90C-0404-44FF-A0FB-3B8ABA6D2B0D}"/>
    <dgm:cxn modelId="{BBDFB487-5499-4412-AC86-D5B3F4252F16}" srcId="{50834AA4-C2E0-4B0F-A6CD-901A46E00102}" destId="{5D857FF6-426A-4A3D-B9F5-6B53F3C874FA}" srcOrd="2" destOrd="0" parTransId="{2F617624-AA38-48E5-AB45-9B2AED1463A9}" sibTransId="{0C9023E0-C1F2-427E-A410-E1A2EDE44467}"/>
    <dgm:cxn modelId="{48833CA1-97B8-4752-8BCA-3D098C4CD635}" type="presOf" srcId="{50834AA4-C2E0-4B0F-A6CD-901A46E00102}" destId="{2A36DD7A-4496-45DB-BF2B-5297DB1AC7CF}" srcOrd="0" destOrd="0" presId="urn:microsoft.com/office/officeart/2005/8/layout/equation1"/>
    <dgm:cxn modelId="{BAF901BB-3EE7-4FAF-BCA3-8452C7CB2CDD}" type="presOf" srcId="{5D857FF6-426A-4A3D-B9F5-6B53F3C874FA}" destId="{63DFADE2-FD0A-4341-BE52-28EFFFB032AA}" srcOrd="0" destOrd="0" presId="urn:microsoft.com/office/officeart/2005/8/layout/equation1"/>
    <dgm:cxn modelId="{5C2AB190-0991-4835-974C-399354FB3B75}" type="presOf" srcId="{EEB4B90C-0404-44FF-A0FB-3B8ABA6D2B0D}" destId="{AD4636FA-7B6D-4F84-94F7-8A7CAB0BD32C}" srcOrd="0" destOrd="0" presId="urn:microsoft.com/office/officeart/2005/8/layout/equation1"/>
    <dgm:cxn modelId="{8F3749D0-35B6-4688-9228-66B6AF7ABD43}" srcId="{50834AA4-C2E0-4B0F-A6CD-901A46E00102}" destId="{4086CD7C-3D15-47BA-8D2C-E0DBE12EB92F}" srcOrd="0" destOrd="0" parTransId="{41A82DE6-E602-4DB0-ABB5-CF18F4A00B1D}" sibTransId="{C2957523-DC60-4795-ADA3-8DFAC7908737}"/>
    <dgm:cxn modelId="{4A4831FC-DC05-46DF-9A78-14888AE53424}" type="presParOf" srcId="{2A36DD7A-4496-45DB-BF2B-5297DB1AC7CF}" destId="{BBEA9098-0899-45F4-9205-1C59057F3DB8}" srcOrd="0" destOrd="0" presId="urn:microsoft.com/office/officeart/2005/8/layout/equation1"/>
    <dgm:cxn modelId="{CE8C10B9-7FA0-4DE7-87E4-849FF4A0AFB6}" type="presParOf" srcId="{2A36DD7A-4496-45DB-BF2B-5297DB1AC7CF}" destId="{6762D40C-071E-452E-A8DE-80794B6CDA18}" srcOrd="1" destOrd="0" presId="urn:microsoft.com/office/officeart/2005/8/layout/equation1"/>
    <dgm:cxn modelId="{6228E765-388B-4500-BFF9-F5C31CA8E4F6}" type="presParOf" srcId="{2A36DD7A-4496-45DB-BF2B-5297DB1AC7CF}" destId="{65092078-6A31-4C4B-B153-04B69BB31751}" srcOrd="2" destOrd="0" presId="urn:microsoft.com/office/officeart/2005/8/layout/equation1"/>
    <dgm:cxn modelId="{334C9917-A689-4B3A-9538-BA679E996E92}" type="presParOf" srcId="{2A36DD7A-4496-45DB-BF2B-5297DB1AC7CF}" destId="{193D8336-5ACE-44A9-8B39-8BEF89A2C0DE}" srcOrd="3" destOrd="0" presId="urn:microsoft.com/office/officeart/2005/8/layout/equation1"/>
    <dgm:cxn modelId="{870A71B5-0C61-4B3A-BDA0-C7F922D3288C}" type="presParOf" srcId="{2A36DD7A-4496-45DB-BF2B-5297DB1AC7CF}" destId="{0C69A736-EBDB-4A1B-949F-7530A2A9E094}" srcOrd="4" destOrd="0" presId="urn:microsoft.com/office/officeart/2005/8/layout/equation1"/>
    <dgm:cxn modelId="{BAAFD3A3-1B00-48AB-B702-F2A406D93205}" type="presParOf" srcId="{2A36DD7A-4496-45DB-BF2B-5297DB1AC7CF}" destId="{AFE2CA29-07A6-416C-B76A-7095E1C7C111}" srcOrd="5" destOrd="0" presId="urn:microsoft.com/office/officeart/2005/8/layout/equation1"/>
    <dgm:cxn modelId="{29C25278-4419-40BE-855E-A38AFBD50D08}" type="presParOf" srcId="{2A36DD7A-4496-45DB-BF2B-5297DB1AC7CF}" destId="{AD4636FA-7B6D-4F84-94F7-8A7CAB0BD32C}" srcOrd="6" destOrd="0" presId="urn:microsoft.com/office/officeart/2005/8/layout/equation1"/>
    <dgm:cxn modelId="{1E7BA3DC-96F1-4555-BC09-A78D53817C6F}" type="presParOf" srcId="{2A36DD7A-4496-45DB-BF2B-5297DB1AC7CF}" destId="{DC3BAD35-9FEC-40E9-920D-77407311B320}" srcOrd="7" destOrd="0" presId="urn:microsoft.com/office/officeart/2005/8/layout/equation1"/>
    <dgm:cxn modelId="{FF2432B7-5FA8-4A81-AA9B-999747A2086C}" type="presParOf" srcId="{2A36DD7A-4496-45DB-BF2B-5297DB1AC7CF}" destId="{63DFADE2-FD0A-4341-BE52-28EFFFB032AA}" srcOrd="8" destOrd="0" presId="urn:microsoft.com/office/officeart/2005/8/layout/equati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834AA4-C2E0-4B0F-A6CD-901A46E00102}" type="doc">
      <dgm:prSet loTypeId="urn:microsoft.com/office/officeart/2005/8/layout/equation1" loCatId="process" qsTypeId="urn:microsoft.com/office/officeart/2005/8/quickstyle/simple1" qsCatId="simple" csTypeId="urn:microsoft.com/office/officeart/2005/8/colors/accent1_2" csCatId="accent1" phldr="1"/>
      <dgm:spPr/>
    </dgm:pt>
    <dgm:pt modelId="{4086CD7C-3D15-47BA-8D2C-E0DBE12EB92F}">
      <dgm:prSet phldrT="[Text]"/>
      <dgm:spPr>
        <a:xfrm>
          <a:off x="905"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Revenue and costs true-up</a:t>
          </a:r>
        </a:p>
        <a:p>
          <a:r>
            <a:rPr lang="en-US">
              <a:solidFill>
                <a:sysClr val="window" lastClr="FFFFFF"/>
              </a:solidFill>
              <a:latin typeface="Arial"/>
              <a:ea typeface="+mn-ea"/>
              <a:cs typeface="+mn-cs"/>
            </a:rPr>
            <a:t>$1.0 million</a:t>
          </a:r>
        </a:p>
        <a:p>
          <a:endParaRPr lang="en-US">
            <a:solidFill>
              <a:sysClr val="window" lastClr="FFFFFF"/>
            </a:solidFill>
            <a:latin typeface="Arial"/>
            <a:ea typeface="+mn-ea"/>
            <a:cs typeface="+mn-cs"/>
          </a:endParaRPr>
        </a:p>
      </dgm:t>
    </dgm:pt>
    <dgm:pt modelId="{41A82DE6-E602-4DB0-ABB5-CF18F4A00B1D}" type="parTrans" cxnId="{8F3749D0-35B6-4688-9228-66B6AF7ABD43}">
      <dgm:prSet/>
      <dgm:spPr/>
      <dgm:t>
        <a:bodyPr/>
        <a:lstStyle/>
        <a:p>
          <a:endParaRPr lang="en-US"/>
        </a:p>
      </dgm:t>
    </dgm:pt>
    <dgm:pt modelId="{C2957523-DC60-4795-ADA3-8DFAC7908737}" type="sibTrans" cxnId="{8F3749D0-35B6-4688-9228-66B6AF7ABD43}">
      <dgm:prSet/>
      <dgm:spPr>
        <a:xfrm>
          <a:off x="1298179" y="311965"/>
          <a:ext cx="695911" cy="695911"/>
        </a:xfrm>
        <a:prstGeom prst="mathPlus">
          <a:avLst/>
        </a:prstGeom>
        <a:solidFill>
          <a:srgbClr val="0070C0"/>
        </a:solidFill>
        <a:ln>
          <a:noFill/>
        </a:ln>
        <a:effectLst/>
      </dgm:spPr>
      <dgm:t>
        <a:bodyPr/>
        <a:lstStyle/>
        <a:p>
          <a:endParaRPr lang="en-US">
            <a:solidFill>
              <a:sysClr val="window" lastClr="FFFFFF"/>
            </a:solidFill>
            <a:latin typeface="Arial"/>
            <a:ea typeface="+mn-ea"/>
            <a:cs typeface="+mn-cs"/>
          </a:endParaRPr>
        </a:p>
      </dgm:t>
    </dgm:pt>
    <dgm:pt modelId="{D2B00C2C-4B6A-4242-B448-A0ABB7D81300}">
      <dgm:prSet phldrT="[Text]"/>
      <dgm:spPr>
        <a:xfrm>
          <a:off x="2091518"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Metering asset base true-up</a:t>
          </a:r>
        </a:p>
        <a:p>
          <a:r>
            <a:rPr lang="en-US">
              <a:solidFill>
                <a:sysClr val="window" lastClr="FFFFFF"/>
              </a:solidFill>
              <a:latin typeface="Arial"/>
              <a:ea typeface="+mn-ea"/>
              <a:cs typeface="+mn-cs"/>
            </a:rPr>
            <a:t>($4.9 million)</a:t>
          </a:r>
        </a:p>
        <a:p>
          <a:endParaRPr lang="en-US">
            <a:solidFill>
              <a:sysClr val="window" lastClr="FFFFFF"/>
            </a:solidFill>
            <a:latin typeface="Arial"/>
            <a:ea typeface="+mn-ea"/>
            <a:cs typeface="+mn-cs"/>
          </a:endParaRPr>
        </a:p>
      </dgm:t>
    </dgm:pt>
    <dgm:pt modelId="{18F7161F-030C-4D64-BE74-6A04B93D5BCF}" type="parTrans" cxnId="{C8A5FE91-0BDE-4566-BA8F-C9B38E3675B1}">
      <dgm:prSet/>
      <dgm:spPr/>
      <dgm:t>
        <a:bodyPr/>
        <a:lstStyle/>
        <a:p>
          <a:endParaRPr lang="en-US"/>
        </a:p>
      </dgm:t>
    </dgm:pt>
    <dgm:pt modelId="{EEB4B90C-0404-44FF-A0FB-3B8ABA6D2B0D}" type="sibTrans" cxnId="{C8A5FE91-0BDE-4566-BA8F-C9B38E3675B1}">
      <dgm:prSet/>
      <dgm:spPr>
        <a:xfrm>
          <a:off x="3388792" y="311965"/>
          <a:ext cx="695911" cy="695911"/>
        </a:xfrm>
        <a:prstGeom prst="mathEqual">
          <a:avLst/>
        </a:prstGeom>
        <a:solidFill>
          <a:srgbClr val="0070C0"/>
        </a:solidFill>
        <a:ln>
          <a:noFill/>
        </a:ln>
        <a:effectLst/>
      </dgm:spPr>
      <dgm:t>
        <a:bodyPr/>
        <a:lstStyle/>
        <a:p>
          <a:endParaRPr lang="en-US">
            <a:solidFill>
              <a:sysClr val="window" lastClr="FFFFFF"/>
            </a:solidFill>
            <a:latin typeface="Arial"/>
            <a:ea typeface="+mn-ea"/>
            <a:cs typeface="+mn-cs"/>
          </a:endParaRPr>
        </a:p>
      </dgm:t>
    </dgm:pt>
    <dgm:pt modelId="{5D857FF6-426A-4A3D-B9F5-6B53F3C874FA}">
      <dgm:prSet phldrT="[Text]"/>
      <dgm:spPr>
        <a:xfrm>
          <a:off x="4182131"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Transition charge</a:t>
          </a:r>
        </a:p>
        <a:p>
          <a:r>
            <a:rPr lang="en-US">
              <a:solidFill>
                <a:sysClr val="window" lastClr="FFFFFF"/>
              </a:solidFill>
              <a:latin typeface="Arial"/>
              <a:ea typeface="+mn-ea"/>
              <a:cs typeface="+mn-cs"/>
            </a:rPr>
            <a:t>($3.9 million)</a:t>
          </a:r>
        </a:p>
        <a:p>
          <a:endParaRPr lang="en-US">
            <a:solidFill>
              <a:sysClr val="window" lastClr="FFFFFF"/>
            </a:solidFill>
            <a:latin typeface="Arial"/>
            <a:ea typeface="+mn-ea"/>
            <a:cs typeface="+mn-cs"/>
          </a:endParaRPr>
        </a:p>
      </dgm:t>
    </dgm:pt>
    <dgm:pt modelId="{2F617624-AA38-48E5-AB45-9B2AED1463A9}" type="parTrans" cxnId="{BBDFB487-5499-4412-AC86-D5B3F4252F16}">
      <dgm:prSet/>
      <dgm:spPr/>
      <dgm:t>
        <a:bodyPr/>
        <a:lstStyle/>
        <a:p>
          <a:endParaRPr lang="en-US"/>
        </a:p>
      </dgm:t>
    </dgm:pt>
    <dgm:pt modelId="{0C9023E0-C1F2-427E-A410-E1A2EDE44467}" type="sibTrans" cxnId="{BBDFB487-5499-4412-AC86-D5B3F4252F16}">
      <dgm:prSet/>
      <dgm:spPr/>
      <dgm:t>
        <a:bodyPr/>
        <a:lstStyle/>
        <a:p>
          <a:endParaRPr lang="en-US"/>
        </a:p>
      </dgm:t>
    </dgm:pt>
    <dgm:pt modelId="{2A36DD7A-4496-45DB-BF2B-5297DB1AC7CF}" type="pres">
      <dgm:prSet presAssocID="{50834AA4-C2E0-4B0F-A6CD-901A46E00102}" presName="linearFlow" presStyleCnt="0">
        <dgm:presLayoutVars>
          <dgm:dir/>
          <dgm:resizeHandles val="exact"/>
        </dgm:presLayoutVars>
      </dgm:prSet>
      <dgm:spPr/>
    </dgm:pt>
    <dgm:pt modelId="{BBEA9098-0899-45F4-9205-1C59057F3DB8}" type="pres">
      <dgm:prSet presAssocID="{4086CD7C-3D15-47BA-8D2C-E0DBE12EB92F}" presName="node" presStyleLbl="node1" presStyleIdx="0" presStyleCnt="3">
        <dgm:presLayoutVars>
          <dgm:bulletEnabled val="1"/>
        </dgm:presLayoutVars>
      </dgm:prSet>
      <dgm:spPr/>
      <dgm:t>
        <a:bodyPr/>
        <a:lstStyle/>
        <a:p>
          <a:endParaRPr lang="en-US"/>
        </a:p>
      </dgm:t>
    </dgm:pt>
    <dgm:pt modelId="{6762D40C-071E-452E-A8DE-80794B6CDA18}" type="pres">
      <dgm:prSet presAssocID="{C2957523-DC60-4795-ADA3-8DFAC7908737}" presName="spacerL" presStyleCnt="0"/>
      <dgm:spPr/>
    </dgm:pt>
    <dgm:pt modelId="{65092078-6A31-4C4B-B153-04B69BB31751}" type="pres">
      <dgm:prSet presAssocID="{C2957523-DC60-4795-ADA3-8DFAC7908737}" presName="sibTrans" presStyleLbl="sibTrans2D1" presStyleIdx="0" presStyleCnt="2"/>
      <dgm:spPr/>
      <dgm:t>
        <a:bodyPr/>
        <a:lstStyle/>
        <a:p>
          <a:endParaRPr lang="en-US"/>
        </a:p>
      </dgm:t>
    </dgm:pt>
    <dgm:pt modelId="{193D8336-5ACE-44A9-8B39-8BEF89A2C0DE}" type="pres">
      <dgm:prSet presAssocID="{C2957523-DC60-4795-ADA3-8DFAC7908737}" presName="spacerR" presStyleCnt="0"/>
      <dgm:spPr/>
    </dgm:pt>
    <dgm:pt modelId="{0C69A736-EBDB-4A1B-949F-7530A2A9E094}" type="pres">
      <dgm:prSet presAssocID="{D2B00C2C-4B6A-4242-B448-A0ABB7D81300}" presName="node" presStyleLbl="node1" presStyleIdx="1" presStyleCnt="3">
        <dgm:presLayoutVars>
          <dgm:bulletEnabled val="1"/>
        </dgm:presLayoutVars>
      </dgm:prSet>
      <dgm:spPr/>
      <dgm:t>
        <a:bodyPr/>
        <a:lstStyle/>
        <a:p>
          <a:endParaRPr lang="en-US"/>
        </a:p>
      </dgm:t>
    </dgm:pt>
    <dgm:pt modelId="{AFE2CA29-07A6-416C-B76A-7095E1C7C111}" type="pres">
      <dgm:prSet presAssocID="{EEB4B90C-0404-44FF-A0FB-3B8ABA6D2B0D}" presName="spacerL" presStyleCnt="0"/>
      <dgm:spPr/>
    </dgm:pt>
    <dgm:pt modelId="{AD4636FA-7B6D-4F84-94F7-8A7CAB0BD32C}" type="pres">
      <dgm:prSet presAssocID="{EEB4B90C-0404-44FF-A0FB-3B8ABA6D2B0D}" presName="sibTrans" presStyleLbl="sibTrans2D1" presStyleIdx="1" presStyleCnt="2"/>
      <dgm:spPr/>
      <dgm:t>
        <a:bodyPr/>
        <a:lstStyle/>
        <a:p>
          <a:endParaRPr lang="en-US"/>
        </a:p>
      </dgm:t>
    </dgm:pt>
    <dgm:pt modelId="{DC3BAD35-9FEC-40E9-920D-77407311B320}" type="pres">
      <dgm:prSet presAssocID="{EEB4B90C-0404-44FF-A0FB-3B8ABA6D2B0D}" presName="spacerR" presStyleCnt="0"/>
      <dgm:spPr/>
    </dgm:pt>
    <dgm:pt modelId="{63DFADE2-FD0A-4341-BE52-28EFFFB032AA}" type="pres">
      <dgm:prSet presAssocID="{5D857FF6-426A-4A3D-B9F5-6B53F3C874FA}" presName="node" presStyleLbl="node1" presStyleIdx="2" presStyleCnt="3">
        <dgm:presLayoutVars>
          <dgm:bulletEnabled val="1"/>
        </dgm:presLayoutVars>
      </dgm:prSet>
      <dgm:spPr/>
      <dgm:t>
        <a:bodyPr/>
        <a:lstStyle/>
        <a:p>
          <a:endParaRPr lang="en-US"/>
        </a:p>
      </dgm:t>
    </dgm:pt>
  </dgm:ptLst>
  <dgm:cxnLst>
    <dgm:cxn modelId="{8F052F99-DB01-4556-BA9A-A04BD2A155F3}" type="presOf" srcId="{D2B00C2C-4B6A-4242-B448-A0ABB7D81300}" destId="{0C69A736-EBDB-4A1B-949F-7530A2A9E094}" srcOrd="0" destOrd="0" presId="urn:microsoft.com/office/officeart/2005/8/layout/equation1"/>
    <dgm:cxn modelId="{547AF453-1C2B-4C13-9380-E7B7069967B9}" type="presOf" srcId="{4086CD7C-3D15-47BA-8D2C-E0DBE12EB92F}" destId="{BBEA9098-0899-45F4-9205-1C59057F3DB8}" srcOrd="0" destOrd="0" presId="urn:microsoft.com/office/officeart/2005/8/layout/equation1"/>
    <dgm:cxn modelId="{29E57637-2383-4467-A133-DBE496439379}" type="presOf" srcId="{C2957523-DC60-4795-ADA3-8DFAC7908737}" destId="{65092078-6A31-4C4B-B153-04B69BB31751}" srcOrd="0" destOrd="0" presId="urn:microsoft.com/office/officeart/2005/8/layout/equation1"/>
    <dgm:cxn modelId="{621E547B-710E-4E72-AFAC-413EEF6B0658}" type="presOf" srcId="{5D857FF6-426A-4A3D-B9F5-6B53F3C874FA}" destId="{63DFADE2-FD0A-4341-BE52-28EFFFB032AA}" srcOrd="0" destOrd="0" presId="urn:microsoft.com/office/officeart/2005/8/layout/equation1"/>
    <dgm:cxn modelId="{20979FFB-ECA3-4525-8621-18DC2D38172F}" type="presOf" srcId="{EEB4B90C-0404-44FF-A0FB-3B8ABA6D2B0D}" destId="{AD4636FA-7B6D-4F84-94F7-8A7CAB0BD32C}" srcOrd="0" destOrd="0" presId="urn:microsoft.com/office/officeart/2005/8/layout/equation1"/>
    <dgm:cxn modelId="{C8A5FE91-0BDE-4566-BA8F-C9B38E3675B1}" srcId="{50834AA4-C2E0-4B0F-A6CD-901A46E00102}" destId="{D2B00C2C-4B6A-4242-B448-A0ABB7D81300}" srcOrd="1" destOrd="0" parTransId="{18F7161F-030C-4D64-BE74-6A04B93D5BCF}" sibTransId="{EEB4B90C-0404-44FF-A0FB-3B8ABA6D2B0D}"/>
    <dgm:cxn modelId="{BBDFB487-5499-4412-AC86-D5B3F4252F16}" srcId="{50834AA4-C2E0-4B0F-A6CD-901A46E00102}" destId="{5D857FF6-426A-4A3D-B9F5-6B53F3C874FA}" srcOrd="2" destOrd="0" parTransId="{2F617624-AA38-48E5-AB45-9B2AED1463A9}" sibTransId="{0C9023E0-C1F2-427E-A410-E1A2EDE44467}"/>
    <dgm:cxn modelId="{4912D5F3-935E-4A26-BC4D-6C7E2661C49D}" type="presOf" srcId="{50834AA4-C2E0-4B0F-A6CD-901A46E00102}" destId="{2A36DD7A-4496-45DB-BF2B-5297DB1AC7CF}" srcOrd="0" destOrd="0" presId="urn:microsoft.com/office/officeart/2005/8/layout/equation1"/>
    <dgm:cxn modelId="{8F3749D0-35B6-4688-9228-66B6AF7ABD43}" srcId="{50834AA4-C2E0-4B0F-A6CD-901A46E00102}" destId="{4086CD7C-3D15-47BA-8D2C-E0DBE12EB92F}" srcOrd="0" destOrd="0" parTransId="{41A82DE6-E602-4DB0-ABB5-CF18F4A00B1D}" sibTransId="{C2957523-DC60-4795-ADA3-8DFAC7908737}"/>
    <dgm:cxn modelId="{1B2B68C3-0A6D-48F0-BDA1-EFA698F3D87B}" type="presParOf" srcId="{2A36DD7A-4496-45DB-BF2B-5297DB1AC7CF}" destId="{BBEA9098-0899-45F4-9205-1C59057F3DB8}" srcOrd="0" destOrd="0" presId="urn:microsoft.com/office/officeart/2005/8/layout/equation1"/>
    <dgm:cxn modelId="{F8F2EB9C-47BB-46C2-85ED-B85A9AA94051}" type="presParOf" srcId="{2A36DD7A-4496-45DB-BF2B-5297DB1AC7CF}" destId="{6762D40C-071E-452E-A8DE-80794B6CDA18}" srcOrd="1" destOrd="0" presId="urn:microsoft.com/office/officeart/2005/8/layout/equation1"/>
    <dgm:cxn modelId="{710B76C8-BA8F-4F30-9001-56FCCA0D64DC}" type="presParOf" srcId="{2A36DD7A-4496-45DB-BF2B-5297DB1AC7CF}" destId="{65092078-6A31-4C4B-B153-04B69BB31751}" srcOrd="2" destOrd="0" presId="urn:microsoft.com/office/officeart/2005/8/layout/equation1"/>
    <dgm:cxn modelId="{734EDD5D-6260-496C-9E8B-E414F41CAEDF}" type="presParOf" srcId="{2A36DD7A-4496-45DB-BF2B-5297DB1AC7CF}" destId="{193D8336-5ACE-44A9-8B39-8BEF89A2C0DE}" srcOrd="3" destOrd="0" presId="urn:microsoft.com/office/officeart/2005/8/layout/equation1"/>
    <dgm:cxn modelId="{914182BC-CB32-43B7-8F5E-A0A62B8B092B}" type="presParOf" srcId="{2A36DD7A-4496-45DB-BF2B-5297DB1AC7CF}" destId="{0C69A736-EBDB-4A1B-949F-7530A2A9E094}" srcOrd="4" destOrd="0" presId="urn:microsoft.com/office/officeart/2005/8/layout/equation1"/>
    <dgm:cxn modelId="{E47852D5-4430-42E1-9B80-F8E0CC95BBBA}" type="presParOf" srcId="{2A36DD7A-4496-45DB-BF2B-5297DB1AC7CF}" destId="{AFE2CA29-07A6-416C-B76A-7095E1C7C111}" srcOrd="5" destOrd="0" presId="urn:microsoft.com/office/officeart/2005/8/layout/equation1"/>
    <dgm:cxn modelId="{F40752B2-924A-4D43-A46F-BE923B676618}" type="presParOf" srcId="{2A36DD7A-4496-45DB-BF2B-5297DB1AC7CF}" destId="{AD4636FA-7B6D-4F84-94F7-8A7CAB0BD32C}" srcOrd="6" destOrd="0" presId="urn:microsoft.com/office/officeart/2005/8/layout/equation1"/>
    <dgm:cxn modelId="{848BD05D-C8F6-4492-8AD0-5A6AA0011BD9}" type="presParOf" srcId="{2A36DD7A-4496-45DB-BF2B-5297DB1AC7CF}" destId="{DC3BAD35-9FEC-40E9-920D-77407311B320}" srcOrd="7" destOrd="0" presId="urn:microsoft.com/office/officeart/2005/8/layout/equation1"/>
    <dgm:cxn modelId="{EDBA1FEF-62A0-47E9-BD97-66E9DB85F1D0}" type="presParOf" srcId="{2A36DD7A-4496-45DB-BF2B-5297DB1AC7CF}" destId="{63DFADE2-FD0A-4341-BE52-28EFFFB032AA}" srcOrd="8" destOrd="0" presId="urn:microsoft.com/office/officeart/2005/8/layout/equati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834AA4-C2E0-4B0F-A6CD-901A46E00102}" type="doc">
      <dgm:prSet loTypeId="urn:microsoft.com/office/officeart/2005/8/layout/equation1" loCatId="process" qsTypeId="urn:microsoft.com/office/officeart/2005/8/quickstyle/simple1" qsCatId="simple" csTypeId="urn:microsoft.com/office/officeart/2005/8/colors/accent1_2" csCatId="accent1" phldr="1"/>
      <dgm:spPr/>
    </dgm:pt>
    <dgm:pt modelId="{4086CD7C-3D15-47BA-8D2C-E0DBE12EB92F}">
      <dgm:prSet phldrT="[Text]"/>
      <dgm:spPr>
        <a:xfrm>
          <a:off x="905"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Revenue and costs true-up</a:t>
          </a:r>
        </a:p>
        <a:p>
          <a:r>
            <a:rPr lang="en-US">
              <a:solidFill>
                <a:sysClr val="window" lastClr="FFFFFF"/>
              </a:solidFill>
              <a:latin typeface="Arial"/>
              <a:ea typeface="+mn-ea"/>
              <a:cs typeface="+mn-cs"/>
            </a:rPr>
            <a:t>($7.0 million)</a:t>
          </a:r>
        </a:p>
        <a:p>
          <a:endParaRPr lang="en-US">
            <a:solidFill>
              <a:sysClr val="window" lastClr="FFFFFF"/>
            </a:solidFill>
            <a:latin typeface="Arial"/>
            <a:ea typeface="+mn-ea"/>
            <a:cs typeface="+mn-cs"/>
          </a:endParaRPr>
        </a:p>
      </dgm:t>
    </dgm:pt>
    <dgm:pt modelId="{41A82DE6-E602-4DB0-ABB5-CF18F4A00B1D}" type="parTrans" cxnId="{8F3749D0-35B6-4688-9228-66B6AF7ABD43}">
      <dgm:prSet/>
      <dgm:spPr/>
      <dgm:t>
        <a:bodyPr/>
        <a:lstStyle/>
        <a:p>
          <a:endParaRPr lang="en-US"/>
        </a:p>
      </dgm:t>
    </dgm:pt>
    <dgm:pt modelId="{C2957523-DC60-4795-ADA3-8DFAC7908737}" type="sibTrans" cxnId="{8F3749D0-35B6-4688-9228-66B6AF7ABD43}">
      <dgm:prSet/>
      <dgm:spPr>
        <a:xfrm>
          <a:off x="1298179" y="311965"/>
          <a:ext cx="695911" cy="695911"/>
        </a:xfrm>
        <a:solidFill>
          <a:srgbClr val="0070C0"/>
        </a:solidFill>
        <a:ln>
          <a:noFill/>
        </a:ln>
        <a:effectLst/>
      </dgm:spPr>
      <dgm:t>
        <a:bodyPr/>
        <a:lstStyle/>
        <a:p>
          <a:endParaRPr lang="en-US">
            <a:solidFill>
              <a:sysClr val="window" lastClr="FFFFFF"/>
            </a:solidFill>
            <a:latin typeface="Arial"/>
            <a:ea typeface="+mn-ea"/>
            <a:cs typeface="+mn-cs"/>
          </a:endParaRPr>
        </a:p>
      </dgm:t>
    </dgm:pt>
    <dgm:pt modelId="{D2B00C2C-4B6A-4242-B448-A0ABB7D81300}">
      <dgm:prSet phldrT="[Text]"/>
      <dgm:spPr>
        <a:xfrm>
          <a:off x="2091518"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Metering asset base true-up</a:t>
          </a:r>
        </a:p>
        <a:p>
          <a:r>
            <a:rPr lang="en-US">
              <a:solidFill>
                <a:sysClr val="window" lastClr="FFFFFF"/>
              </a:solidFill>
              <a:latin typeface="Arial"/>
              <a:ea typeface="+mn-ea"/>
              <a:cs typeface="+mn-cs"/>
            </a:rPr>
            <a:t>($9.6 million)</a:t>
          </a:r>
        </a:p>
        <a:p>
          <a:endParaRPr lang="en-US">
            <a:solidFill>
              <a:sysClr val="window" lastClr="FFFFFF"/>
            </a:solidFill>
            <a:latin typeface="Arial"/>
            <a:ea typeface="+mn-ea"/>
            <a:cs typeface="+mn-cs"/>
          </a:endParaRPr>
        </a:p>
      </dgm:t>
    </dgm:pt>
    <dgm:pt modelId="{18F7161F-030C-4D64-BE74-6A04B93D5BCF}" type="parTrans" cxnId="{C8A5FE91-0BDE-4566-BA8F-C9B38E3675B1}">
      <dgm:prSet/>
      <dgm:spPr/>
      <dgm:t>
        <a:bodyPr/>
        <a:lstStyle/>
        <a:p>
          <a:endParaRPr lang="en-US"/>
        </a:p>
      </dgm:t>
    </dgm:pt>
    <dgm:pt modelId="{EEB4B90C-0404-44FF-A0FB-3B8ABA6D2B0D}" type="sibTrans" cxnId="{C8A5FE91-0BDE-4566-BA8F-C9B38E3675B1}">
      <dgm:prSet/>
      <dgm:spPr>
        <a:xfrm>
          <a:off x="3388792" y="311965"/>
          <a:ext cx="695911" cy="695911"/>
        </a:xfrm>
        <a:solidFill>
          <a:srgbClr val="0070C0"/>
        </a:solidFill>
        <a:ln>
          <a:noFill/>
        </a:ln>
        <a:effectLst/>
      </dgm:spPr>
      <dgm:t>
        <a:bodyPr/>
        <a:lstStyle/>
        <a:p>
          <a:endParaRPr lang="en-US">
            <a:solidFill>
              <a:sysClr val="window" lastClr="FFFFFF"/>
            </a:solidFill>
            <a:latin typeface="Arial"/>
            <a:ea typeface="+mn-ea"/>
            <a:cs typeface="+mn-cs"/>
          </a:endParaRPr>
        </a:p>
      </dgm:t>
    </dgm:pt>
    <dgm:pt modelId="{5D857FF6-426A-4A3D-B9F5-6B53F3C874FA}">
      <dgm:prSet phldrT="[Text]"/>
      <dgm:spPr>
        <a:xfrm>
          <a:off x="4182131"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Transition charge</a:t>
          </a:r>
        </a:p>
        <a:p>
          <a:r>
            <a:rPr lang="en-US">
              <a:solidFill>
                <a:sysClr val="window" lastClr="FFFFFF"/>
              </a:solidFill>
              <a:latin typeface="Arial"/>
              <a:ea typeface="+mn-ea"/>
              <a:cs typeface="+mn-cs"/>
            </a:rPr>
            <a:t>($16.5 million)</a:t>
          </a:r>
        </a:p>
        <a:p>
          <a:endParaRPr lang="en-US">
            <a:solidFill>
              <a:sysClr val="window" lastClr="FFFFFF"/>
            </a:solidFill>
            <a:latin typeface="Arial"/>
            <a:ea typeface="+mn-ea"/>
            <a:cs typeface="+mn-cs"/>
          </a:endParaRPr>
        </a:p>
      </dgm:t>
    </dgm:pt>
    <dgm:pt modelId="{2F617624-AA38-48E5-AB45-9B2AED1463A9}" type="parTrans" cxnId="{BBDFB487-5499-4412-AC86-D5B3F4252F16}">
      <dgm:prSet/>
      <dgm:spPr/>
      <dgm:t>
        <a:bodyPr/>
        <a:lstStyle/>
        <a:p>
          <a:endParaRPr lang="en-US"/>
        </a:p>
      </dgm:t>
    </dgm:pt>
    <dgm:pt modelId="{0C9023E0-C1F2-427E-A410-E1A2EDE44467}" type="sibTrans" cxnId="{BBDFB487-5499-4412-AC86-D5B3F4252F16}">
      <dgm:prSet/>
      <dgm:spPr/>
      <dgm:t>
        <a:bodyPr/>
        <a:lstStyle/>
        <a:p>
          <a:endParaRPr lang="en-US"/>
        </a:p>
      </dgm:t>
    </dgm:pt>
    <dgm:pt modelId="{2A36DD7A-4496-45DB-BF2B-5297DB1AC7CF}" type="pres">
      <dgm:prSet presAssocID="{50834AA4-C2E0-4B0F-A6CD-901A46E00102}" presName="linearFlow" presStyleCnt="0">
        <dgm:presLayoutVars>
          <dgm:dir/>
          <dgm:resizeHandles val="exact"/>
        </dgm:presLayoutVars>
      </dgm:prSet>
      <dgm:spPr/>
    </dgm:pt>
    <dgm:pt modelId="{BBEA9098-0899-45F4-9205-1C59057F3DB8}" type="pres">
      <dgm:prSet presAssocID="{4086CD7C-3D15-47BA-8D2C-E0DBE12EB92F}" presName="node" presStyleLbl="node1" presStyleIdx="0" presStyleCnt="3">
        <dgm:presLayoutVars>
          <dgm:bulletEnabled val="1"/>
        </dgm:presLayoutVars>
      </dgm:prSet>
      <dgm:spPr>
        <a:prstGeom prst="ellipse">
          <a:avLst/>
        </a:prstGeom>
      </dgm:spPr>
      <dgm:t>
        <a:bodyPr/>
        <a:lstStyle/>
        <a:p>
          <a:endParaRPr lang="en-US"/>
        </a:p>
      </dgm:t>
    </dgm:pt>
    <dgm:pt modelId="{6762D40C-071E-452E-A8DE-80794B6CDA18}" type="pres">
      <dgm:prSet presAssocID="{C2957523-DC60-4795-ADA3-8DFAC7908737}" presName="spacerL" presStyleCnt="0"/>
      <dgm:spPr/>
    </dgm:pt>
    <dgm:pt modelId="{65092078-6A31-4C4B-B153-04B69BB31751}" type="pres">
      <dgm:prSet presAssocID="{C2957523-DC60-4795-ADA3-8DFAC7908737}" presName="sibTrans" presStyleLbl="sibTrans2D1" presStyleIdx="0" presStyleCnt="2"/>
      <dgm:spPr>
        <a:prstGeom prst="mathPlus">
          <a:avLst/>
        </a:prstGeom>
      </dgm:spPr>
      <dgm:t>
        <a:bodyPr/>
        <a:lstStyle/>
        <a:p>
          <a:endParaRPr lang="en-US"/>
        </a:p>
      </dgm:t>
    </dgm:pt>
    <dgm:pt modelId="{193D8336-5ACE-44A9-8B39-8BEF89A2C0DE}" type="pres">
      <dgm:prSet presAssocID="{C2957523-DC60-4795-ADA3-8DFAC7908737}" presName="spacerR" presStyleCnt="0"/>
      <dgm:spPr/>
    </dgm:pt>
    <dgm:pt modelId="{0C69A736-EBDB-4A1B-949F-7530A2A9E094}" type="pres">
      <dgm:prSet presAssocID="{D2B00C2C-4B6A-4242-B448-A0ABB7D81300}" presName="node" presStyleLbl="node1" presStyleIdx="1" presStyleCnt="3">
        <dgm:presLayoutVars>
          <dgm:bulletEnabled val="1"/>
        </dgm:presLayoutVars>
      </dgm:prSet>
      <dgm:spPr>
        <a:prstGeom prst="ellipse">
          <a:avLst/>
        </a:prstGeom>
      </dgm:spPr>
      <dgm:t>
        <a:bodyPr/>
        <a:lstStyle/>
        <a:p>
          <a:endParaRPr lang="en-US"/>
        </a:p>
      </dgm:t>
    </dgm:pt>
    <dgm:pt modelId="{AFE2CA29-07A6-416C-B76A-7095E1C7C111}" type="pres">
      <dgm:prSet presAssocID="{EEB4B90C-0404-44FF-A0FB-3B8ABA6D2B0D}" presName="spacerL" presStyleCnt="0"/>
      <dgm:spPr/>
    </dgm:pt>
    <dgm:pt modelId="{AD4636FA-7B6D-4F84-94F7-8A7CAB0BD32C}" type="pres">
      <dgm:prSet presAssocID="{EEB4B90C-0404-44FF-A0FB-3B8ABA6D2B0D}" presName="sibTrans" presStyleLbl="sibTrans2D1" presStyleIdx="1" presStyleCnt="2"/>
      <dgm:spPr>
        <a:prstGeom prst="mathEqual">
          <a:avLst/>
        </a:prstGeom>
      </dgm:spPr>
      <dgm:t>
        <a:bodyPr/>
        <a:lstStyle/>
        <a:p>
          <a:endParaRPr lang="en-US"/>
        </a:p>
      </dgm:t>
    </dgm:pt>
    <dgm:pt modelId="{DC3BAD35-9FEC-40E9-920D-77407311B320}" type="pres">
      <dgm:prSet presAssocID="{EEB4B90C-0404-44FF-A0FB-3B8ABA6D2B0D}" presName="spacerR" presStyleCnt="0"/>
      <dgm:spPr/>
    </dgm:pt>
    <dgm:pt modelId="{63DFADE2-FD0A-4341-BE52-28EFFFB032AA}" type="pres">
      <dgm:prSet presAssocID="{5D857FF6-426A-4A3D-B9F5-6B53F3C874FA}" presName="node" presStyleLbl="node1" presStyleIdx="2" presStyleCnt="3">
        <dgm:presLayoutVars>
          <dgm:bulletEnabled val="1"/>
        </dgm:presLayoutVars>
      </dgm:prSet>
      <dgm:spPr>
        <a:prstGeom prst="ellipse">
          <a:avLst/>
        </a:prstGeom>
      </dgm:spPr>
      <dgm:t>
        <a:bodyPr/>
        <a:lstStyle/>
        <a:p>
          <a:endParaRPr lang="en-US"/>
        </a:p>
      </dgm:t>
    </dgm:pt>
  </dgm:ptLst>
  <dgm:cxnLst>
    <dgm:cxn modelId="{2A185F81-FA3B-4268-BCFE-77ACF1B6549B}" type="presOf" srcId="{EEB4B90C-0404-44FF-A0FB-3B8ABA6D2B0D}" destId="{AD4636FA-7B6D-4F84-94F7-8A7CAB0BD32C}" srcOrd="0" destOrd="0" presId="urn:microsoft.com/office/officeart/2005/8/layout/equation1"/>
    <dgm:cxn modelId="{2FDC2F97-18FE-40B9-928F-215EA0137849}" type="presOf" srcId="{C2957523-DC60-4795-ADA3-8DFAC7908737}" destId="{65092078-6A31-4C4B-B153-04B69BB31751}" srcOrd="0" destOrd="0" presId="urn:microsoft.com/office/officeart/2005/8/layout/equation1"/>
    <dgm:cxn modelId="{F6D2F7FA-3372-4152-8DAF-788F464ED658}" type="presOf" srcId="{50834AA4-C2E0-4B0F-A6CD-901A46E00102}" destId="{2A36DD7A-4496-45DB-BF2B-5297DB1AC7CF}" srcOrd="0" destOrd="0" presId="urn:microsoft.com/office/officeart/2005/8/layout/equation1"/>
    <dgm:cxn modelId="{E8A92D4D-0392-4382-B31A-5A77762A50A3}" type="presOf" srcId="{D2B00C2C-4B6A-4242-B448-A0ABB7D81300}" destId="{0C69A736-EBDB-4A1B-949F-7530A2A9E094}" srcOrd="0" destOrd="0" presId="urn:microsoft.com/office/officeart/2005/8/layout/equation1"/>
    <dgm:cxn modelId="{F32287F6-FAB6-4A4F-A6B8-6F9F451A6525}" type="presOf" srcId="{5D857FF6-426A-4A3D-B9F5-6B53F3C874FA}" destId="{63DFADE2-FD0A-4341-BE52-28EFFFB032AA}" srcOrd="0" destOrd="0" presId="urn:microsoft.com/office/officeart/2005/8/layout/equation1"/>
    <dgm:cxn modelId="{851B57FC-58FA-481D-8689-BBEBE8364F70}" type="presOf" srcId="{4086CD7C-3D15-47BA-8D2C-E0DBE12EB92F}" destId="{BBEA9098-0899-45F4-9205-1C59057F3DB8}" srcOrd="0" destOrd="0" presId="urn:microsoft.com/office/officeart/2005/8/layout/equation1"/>
    <dgm:cxn modelId="{C8A5FE91-0BDE-4566-BA8F-C9B38E3675B1}" srcId="{50834AA4-C2E0-4B0F-A6CD-901A46E00102}" destId="{D2B00C2C-4B6A-4242-B448-A0ABB7D81300}" srcOrd="1" destOrd="0" parTransId="{18F7161F-030C-4D64-BE74-6A04B93D5BCF}" sibTransId="{EEB4B90C-0404-44FF-A0FB-3B8ABA6D2B0D}"/>
    <dgm:cxn modelId="{BBDFB487-5499-4412-AC86-D5B3F4252F16}" srcId="{50834AA4-C2E0-4B0F-A6CD-901A46E00102}" destId="{5D857FF6-426A-4A3D-B9F5-6B53F3C874FA}" srcOrd="2" destOrd="0" parTransId="{2F617624-AA38-48E5-AB45-9B2AED1463A9}" sibTransId="{0C9023E0-C1F2-427E-A410-E1A2EDE44467}"/>
    <dgm:cxn modelId="{8F3749D0-35B6-4688-9228-66B6AF7ABD43}" srcId="{50834AA4-C2E0-4B0F-A6CD-901A46E00102}" destId="{4086CD7C-3D15-47BA-8D2C-E0DBE12EB92F}" srcOrd="0" destOrd="0" parTransId="{41A82DE6-E602-4DB0-ABB5-CF18F4A00B1D}" sibTransId="{C2957523-DC60-4795-ADA3-8DFAC7908737}"/>
    <dgm:cxn modelId="{3D47831C-692E-4282-ABF1-3EE51A24D935}" type="presParOf" srcId="{2A36DD7A-4496-45DB-BF2B-5297DB1AC7CF}" destId="{BBEA9098-0899-45F4-9205-1C59057F3DB8}" srcOrd="0" destOrd="0" presId="urn:microsoft.com/office/officeart/2005/8/layout/equation1"/>
    <dgm:cxn modelId="{2BC120D7-4560-4E80-93FA-A89251F8F27E}" type="presParOf" srcId="{2A36DD7A-4496-45DB-BF2B-5297DB1AC7CF}" destId="{6762D40C-071E-452E-A8DE-80794B6CDA18}" srcOrd="1" destOrd="0" presId="urn:microsoft.com/office/officeart/2005/8/layout/equation1"/>
    <dgm:cxn modelId="{43A35989-4B63-497C-9A79-5AD9E22043A3}" type="presParOf" srcId="{2A36DD7A-4496-45DB-BF2B-5297DB1AC7CF}" destId="{65092078-6A31-4C4B-B153-04B69BB31751}" srcOrd="2" destOrd="0" presId="urn:microsoft.com/office/officeart/2005/8/layout/equation1"/>
    <dgm:cxn modelId="{3CD31087-8EB6-43C2-AC3A-74170C550086}" type="presParOf" srcId="{2A36DD7A-4496-45DB-BF2B-5297DB1AC7CF}" destId="{193D8336-5ACE-44A9-8B39-8BEF89A2C0DE}" srcOrd="3" destOrd="0" presId="urn:microsoft.com/office/officeart/2005/8/layout/equation1"/>
    <dgm:cxn modelId="{A7AF969E-C909-40AC-B488-50E0A40E0FB4}" type="presParOf" srcId="{2A36DD7A-4496-45DB-BF2B-5297DB1AC7CF}" destId="{0C69A736-EBDB-4A1B-949F-7530A2A9E094}" srcOrd="4" destOrd="0" presId="urn:microsoft.com/office/officeart/2005/8/layout/equation1"/>
    <dgm:cxn modelId="{5B99172F-227A-4935-87B5-93063E4FB083}" type="presParOf" srcId="{2A36DD7A-4496-45DB-BF2B-5297DB1AC7CF}" destId="{AFE2CA29-07A6-416C-B76A-7095E1C7C111}" srcOrd="5" destOrd="0" presId="urn:microsoft.com/office/officeart/2005/8/layout/equation1"/>
    <dgm:cxn modelId="{441AE11C-76EA-4F94-90B6-6423D885C249}" type="presParOf" srcId="{2A36DD7A-4496-45DB-BF2B-5297DB1AC7CF}" destId="{AD4636FA-7B6D-4F84-94F7-8A7CAB0BD32C}" srcOrd="6" destOrd="0" presId="urn:microsoft.com/office/officeart/2005/8/layout/equation1"/>
    <dgm:cxn modelId="{25D20B66-D15B-4FD3-8A65-8B4395724856}" type="presParOf" srcId="{2A36DD7A-4496-45DB-BF2B-5297DB1AC7CF}" destId="{DC3BAD35-9FEC-40E9-920D-77407311B320}" srcOrd="7" destOrd="0" presId="urn:microsoft.com/office/officeart/2005/8/layout/equation1"/>
    <dgm:cxn modelId="{569D837F-C946-4361-9D9F-66CB7F704F04}" type="presParOf" srcId="{2A36DD7A-4496-45DB-BF2B-5297DB1AC7CF}" destId="{63DFADE2-FD0A-4341-BE52-28EFFFB032AA}" srcOrd="8" destOrd="0" presId="urn:microsoft.com/office/officeart/2005/8/layout/equati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834AA4-C2E0-4B0F-A6CD-901A46E00102}" type="doc">
      <dgm:prSet loTypeId="urn:microsoft.com/office/officeart/2005/8/layout/equation1" loCatId="process" qsTypeId="urn:microsoft.com/office/officeart/2005/8/quickstyle/simple1" qsCatId="simple" csTypeId="urn:microsoft.com/office/officeart/2005/8/colors/accent1_2" csCatId="accent1" phldr="1"/>
      <dgm:spPr/>
    </dgm:pt>
    <dgm:pt modelId="{4086CD7C-3D15-47BA-8D2C-E0DBE12EB92F}">
      <dgm:prSet phldrT="[Text]"/>
      <dgm:spPr>
        <a:xfrm>
          <a:off x="905"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Revenue and costs true-up</a:t>
          </a:r>
        </a:p>
        <a:p>
          <a:r>
            <a:rPr lang="en-US">
              <a:solidFill>
                <a:sysClr val="window" lastClr="FFFFFF"/>
              </a:solidFill>
              <a:latin typeface="Arial"/>
              <a:ea typeface="+mn-ea"/>
              <a:cs typeface="+mn-cs"/>
            </a:rPr>
            <a:t>($0.6) million</a:t>
          </a:r>
        </a:p>
        <a:p>
          <a:endParaRPr lang="en-US">
            <a:solidFill>
              <a:sysClr val="window" lastClr="FFFFFF"/>
            </a:solidFill>
            <a:latin typeface="Arial"/>
            <a:ea typeface="+mn-ea"/>
            <a:cs typeface="+mn-cs"/>
          </a:endParaRPr>
        </a:p>
      </dgm:t>
    </dgm:pt>
    <dgm:pt modelId="{41A82DE6-E602-4DB0-ABB5-CF18F4A00B1D}" type="parTrans" cxnId="{8F3749D0-35B6-4688-9228-66B6AF7ABD43}">
      <dgm:prSet/>
      <dgm:spPr/>
      <dgm:t>
        <a:bodyPr/>
        <a:lstStyle/>
        <a:p>
          <a:endParaRPr lang="en-US"/>
        </a:p>
      </dgm:t>
    </dgm:pt>
    <dgm:pt modelId="{C2957523-DC60-4795-ADA3-8DFAC7908737}" type="sibTrans" cxnId="{8F3749D0-35B6-4688-9228-66B6AF7ABD43}">
      <dgm:prSet/>
      <dgm:spPr>
        <a:xfrm>
          <a:off x="1298179" y="311965"/>
          <a:ext cx="695911" cy="695911"/>
        </a:xfrm>
        <a:solidFill>
          <a:srgbClr val="0070C0"/>
        </a:solidFill>
        <a:ln>
          <a:noFill/>
        </a:ln>
        <a:effectLst/>
      </dgm:spPr>
      <dgm:t>
        <a:bodyPr/>
        <a:lstStyle/>
        <a:p>
          <a:endParaRPr lang="en-US">
            <a:solidFill>
              <a:sysClr val="window" lastClr="FFFFFF"/>
            </a:solidFill>
            <a:latin typeface="Arial"/>
            <a:ea typeface="+mn-ea"/>
            <a:cs typeface="+mn-cs"/>
          </a:endParaRPr>
        </a:p>
      </dgm:t>
    </dgm:pt>
    <dgm:pt modelId="{D2B00C2C-4B6A-4242-B448-A0ABB7D81300}">
      <dgm:prSet phldrT="[Text]"/>
      <dgm:spPr>
        <a:xfrm>
          <a:off x="2091518"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Metering asset base true-up</a:t>
          </a:r>
        </a:p>
        <a:p>
          <a:r>
            <a:rPr lang="en-US">
              <a:solidFill>
                <a:sysClr val="window" lastClr="FFFFFF"/>
              </a:solidFill>
              <a:latin typeface="Arial"/>
              <a:ea typeface="+mn-ea"/>
              <a:cs typeface="+mn-cs"/>
            </a:rPr>
            <a:t>($1.2 million)</a:t>
          </a:r>
        </a:p>
        <a:p>
          <a:endParaRPr lang="en-US">
            <a:solidFill>
              <a:sysClr val="window" lastClr="FFFFFF"/>
            </a:solidFill>
            <a:latin typeface="Arial"/>
            <a:ea typeface="+mn-ea"/>
            <a:cs typeface="+mn-cs"/>
          </a:endParaRPr>
        </a:p>
      </dgm:t>
    </dgm:pt>
    <dgm:pt modelId="{18F7161F-030C-4D64-BE74-6A04B93D5BCF}" type="parTrans" cxnId="{C8A5FE91-0BDE-4566-BA8F-C9B38E3675B1}">
      <dgm:prSet/>
      <dgm:spPr/>
      <dgm:t>
        <a:bodyPr/>
        <a:lstStyle/>
        <a:p>
          <a:endParaRPr lang="en-US"/>
        </a:p>
      </dgm:t>
    </dgm:pt>
    <dgm:pt modelId="{EEB4B90C-0404-44FF-A0FB-3B8ABA6D2B0D}" type="sibTrans" cxnId="{C8A5FE91-0BDE-4566-BA8F-C9B38E3675B1}">
      <dgm:prSet/>
      <dgm:spPr>
        <a:xfrm>
          <a:off x="3388792" y="311965"/>
          <a:ext cx="695911" cy="695911"/>
        </a:xfrm>
        <a:solidFill>
          <a:srgbClr val="0070C0"/>
        </a:solidFill>
        <a:ln>
          <a:noFill/>
        </a:ln>
        <a:effectLst/>
      </dgm:spPr>
      <dgm:t>
        <a:bodyPr/>
        <a:lstStyle/>
        <a:p>
          <a:endParaRPr lang="en-US">
            <a:solidFill>
              <a:sysClr val="window" lastClr="FFFFFF"/>
            </a:solidFill>
            <a:latin typeface="Arial"/>
            <a:ea typeface="+mn-ea"/>
            <a:cs typeface="+mn-cs"/>
          </a:endParaRPr>
        </a:p>
      </dgm:t>
    </dgm:pt>
    <dgm:pt modelId="{5D857FF6-426A-4A3D-B9F5-6B53F3C874FA}">
      <dgm:prSet phldrT="[Text]"/>
      <dgm:spPr>
        <a:xfrm>
          <a:off x="4182131"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Transition charge</a:t>
          </a:r>
        </a:p>
        <a:p>
          <a:r>
            <a:rPr lang="en-US">
              <a:solidFill>
                <a:sysClr val="window" lastClr="FFFFFF"/>
              </a:solidFill>
              <a:latin typeface="Arial"/>
              <a:ea typeface="+mn-ea"/>
              <a:cs typeface="+mn-cs"/>
            </a:rPr>
            <a:t>($1.8 million)</a:t>
          </a:r>
        </a:p>
        <a:p>
          <a:endParaRPr lang="en-US">
            <a:solidFill>
              <a:sysClr val="window" lastClr="FFFFFF"/>
            </a:solidFill>
            <a:latin typeface="Arial"/>
            <a:ea typeface="+mn-ea"/>
            <a:cs typeface="+mn-cs"/>
          </a:endParaRPr>
        </a:p>
      </dgm:t>
    </dgm:pt>
    <dgm:pt modelId="{2F617624-AA38-48E5-AB45-9B2AED1463A9}" type="parTrans" cxnId="{BBDFB487-5499-4412-AC86-D5B3F4252F16}">
      <dgm:prSet/>
      <dgm:spPr/>
      <dgm:t>
        <a:bodyPr/>
        <a:lstStyle/>
        <a:p>
          <a:endParaRPr lang="en-US"/>
        </a:p>
      </dgm:t>
    </dgm:pt>
    <dgm:pt modelId="{0C9023E0-C1F2-427E-A410-E1A2EDE44467}" type="sibTrans" cxnId="{BBDFB487-5499-4412-AC86-D5B3F4252F16}">
      <dgm:prSet/>
      <dgm:spPr/>
      <dgm:t>
        <a:bodyPr/>
        <a:lstStyle/>
        <a:p>
          <a:endParaRPr lang="en-US"/>
        </a:p>
      </dgm:t>
    </dgm:pt>
    <dgm:pt modelId="{2A36DD7A-4496-45DB-BF2B-5297DB1AC7CF}" type="pres">
      <dgm:prSet presAssocID="{50834AA4-C2E0-4B0F-A6CD-901A46E00102}" presName="linearFlow" presStyleCnt="0">
        <dgm:presLayoutVars>
          <dgm:dir/>
          <dgm:resizeHandles val="exact"/>
        </dgm:presLayoutVars>
      </dgm:prSet>
      <dgm:spPr/>
    </dgm:pt>
    <dgm:pt modelId="{BBEA9098-0899-45F4-9205-1C59057F3DB8}" type="pres">
      <dgm:prSet presAssocID="{4086CD7C-3D15-47BA-8D2C-E0DBE12EB92F}" presName="node" presStyleLbl="node1" presStyleIdx="0" presStyleCnt="3">
        <dgm:presLayoutVars>
          <dgm:bulletEnabled val="1"/>
        </dgm:presLayoutVars>
      </dgm:prSet>
      <dgm:spPr>
        <a:prstGeom prst="ellipse">
          <a:avLst/>
        </a:prstGeom>
      </dgm:spPr>
      <dgm:t>
        <a:bodyPr/>
        <a:lstStyle/>
        <a:p>
          <a:endParaRPr lang="en-US"/>
        </a:p>
      </dgm:t>
    </dgm:pt>
    <dgm:pt modelId="{6762D40C-071E-452E-A8DE-80794B6CDA18}" type="pres">
      <dgm:prSet presAssocID="{C2957523-DC60-4795-ADA3-8DFAC7908737}" presName="spacerL" presStyleCnt="0"/>
      <dgm:spPr/>
    </dgm:pt>
    <dgm:pt modelId="{65092078-6A31-4C4B-B153-04B69BB31751}" type="pres">
      <dgm:prSet presAssocID="{C2957523-DC60-4795-ADA3-8DFAC7908737}" presName="sibTrans" presStyleLbl="sibTrans2D1" presStyleIdx="0" presStyleCnt="2"/>
      <dgm:spPr>
        <a:prstGeom prst="mathPlus">
          <a:avLst/>
        </a:prstGeom>
      </dgm:spPr>
      <dgm:t>
        <a:bodyPr/>
        <a:lstStyle/>
        <a:p>
          <a:endParaRPr lang="en-US"/>
        </a:p>
      </dgm:t>
    </dgm:pt>
    <dgm:pt modelId="{193D8336-5ACE-44A9-8B39-8BEF89A2C0DE}" type="pres">
      <dgm:prSet presAssocID="{C2957523-DC60-4795-ADA3-8DFAC7908737}" presName="spacerR" presStyleCnt="0"/>
      <dgm:spPr/>
    </dgm:pt>
    <dgm:pt modelId="{0C69A736-EBDB-4A1B-949F-7530A2A9E094}" type="pres">
      <dgm:prSet presAssocID="{D2B00C2C-4B6A-4242-B448-A0ABB7D81300}" presName="node" presStyleLbl="node1" presStyleIdx="1" presStyleCnt="3">
        <dgm:presLayoutVars>
          <dgm:bulletEnabled val="1"/>
        </dgm:presLayoutVars>
      </dgm:prSet>
      <dgm:spPr>
        <a:prstGeom prst="ellipse">
          <a:avLst/>
        </a:prstGeom>
      </dgm:spPr>
      <dgm:t>
        <a:bodyPr/>
        <a:lstStyle/>
        <a:p>
          <a:endParaRPr lang="en-US"/>
        </a:p>
      </dgm:t>
    </dgm:pt>
    <dgm:pt modelId="{AFE2CA29-07A6-416C-B76A-7095E1C7C111}" type="pres">
      <dgm:prSet presAssocID="{EEB4B90C-0404-44FF-A0FB-3B8ABA6D2B0D}" presName="spacerL" presStyleCnt="0"/>
      <dgm:spPr/>
    </dgm:pt>
    <dgm:pt modelId="{AD4636FA-7B6D-4F84-94F7-8A7CAB0BD32C}" type="pres">
      <dgm:prSet presAssocID="{EEB4B90C-0404-44FF-A0FB-3B8ABA6D2B0D}" presName="sibTrans" presStyleLbl="sibTrans2D1" presStyleIdx="1" presStyleCnt="2"/>
      <dgm:spPr>
        <a:prstGeom prst="mathEqual">
          <a:avLst/>
        </a:prstGeom>
      </dgm:spPr>
      <dgm:t>
        <a:bodyPr/>
        <a:lstStyle/>
        <a:p>
          <a:endParaRPr lang="en-US"/>
        </a:p>
      </dgm:t>
    </dgm:pt>
    <dgm:pt modelId="{DC3BAD35-9FEC-40E9-920D-77407311B320}" type="pres">
      <dgm:prSet presAssocID="{EEB4B90C-0404-44FF-A0FB-3B8ABA6D2B0D}" presName="spacerR" presStyleCnt="0"/>
      <dgm:spPr/>
    </dgm:pt>
    <dgm:pt modelId="{63DFADE2-FD0A-4341-BE52-28EFFFB032AA}" type="pres">
      <dgm:prSet presAssocID="{5D857FF6-426A-4A3D-B9F5-6B53F3C874FA}" presName="node" presStyleLbl="node1" presStyleIdx="2" presStyleCnt="3">
        <dgm:presLayoutVars>
          <dgm:bulletEnabled val="1"/>
        </dgm:presLayoutVars>
      </dgm:prSet>
      <dgm:spPr>
        <a:prstGeom prst="ellipse">
          <a:avLst/>
        </a:prstGeom>
      </dgm:spPr>
      <dgm:t>
        <a:bodyPr/>
        <a:lstStyle/>
        <a:p>
          <a:endParaRPr lang="en-US"/>
        </a:p>
      </dgm:t>
    </dgm:pt>
  </dgm:ptLst>
  <dgm:cxnLst>
    <dgm:cxn modelId="{13DE8ABA-F1E8-402C-8B81-F226ECB79C82}" type="presOf" srcId="{50834AA4-C2E0-4B0F-A6CD-901A46E00102}" destId="{2A36DD7A-4496-45DB-BF2B-5297DB1AC7CF}" srcOrd="0" destOrd="0" presId="urn:microsoft.com/office/officeart/2005/8/layout/equation1"/>
    <dgm:cxn modelId="{1E282A30-4E16-4FF0-AB37-56208C9EC54E}" type="presOf" srcId="{C2957523-DC60-4795-ADA3-8DFAC7908737}" destId="{65092078-6A31-4C4B-B153-04B69BB31751}" srcOrd="0" destOrd="0" presId="urn:microsoft.com/office/officeart/2005/8/layout/equation1"/>
    <dgm:cxn modelId="{53446C6E-7415-423D-897D-9C0DBD971DBA}" type="presOf" srcId="{EEB4B90C-0404-44FF-A0FB-3B8ABA6D2B0D}" destId="{AD4636FA-7B6D-4F84-94F7-8A7CAB0BD32C}" srcOrd="0" destOrd="0" presId="urn:microsoft.com/office/officeart/2005/8/layout/equation1"/>
    <dgm:cxn modelId="{05A9EDD2-D89C-4BC7-A682-228A114D11AE}" type="presOf" srcId="{5D857FF6-426A-4A3D-B9F5-6B53F3C874FA}" destId="{63DFADE2-FD0A-4341-BE52-28EFFFB032AA}" srcOrd="0" destOrd="0" presId="urn:microsoft.com/office/officeart/2005/8/layout/equation1"/>
    <dgm:cxn modelId="{433EE889-2F1F-42EA-B11A-2716019DD467}" type="presOf" srcId="{D2B00C2C-4B6A-4242-B448-A0ABB7D81300}" destId="{0C69A736-EBDB-4A1B-949F-7530A2A9E094}" srcOrd="0" destOrd="0" presId="urn:microsoft.com/office/officeart/2005/8/layout/equation1"/>
    <dgm:cxn modelId="{C8A5FE91-0BDE-4566-BA8F-C9B38E3675B1}" srcId="{50834AA4-C2E0-4B0F-A6CD-901A46E00102}" destId="{D2B00C2C-4B6A-4242-B448-A0ABB7D81300}" srcOrd="1" destOrd="0" parTransId="{18F7161F-030C-4D64-BE74-6A04B93D5BCF}" sibTransId="{EEB4B90C-0404-44FF-A0FB-3B8ABA6D2B0D}"/>
    <dgm:cxn modelId="{BBDFB487-5499-4412-AC86-D5B3F4252F16}" srcId="{50834AA4-C2E0-4B0F-A6CD-901A46E00102}" destId="{5D857FF6-426A-4A3D-B9F5-6B53F3C874FA}" srcOrd="2" destOrd="0" parTransId="{2F617624-AA38-48E5-AB45-9B2AED1463A9}" sibTransId="{0C9023E0-C1F2-427E-A410-E1A2EDE44467}"/>
    <dgm:cxn modelId="{8F3749D0-35B6-4688-9228-66B6AF7ABD43}" srcId="{50834AA4-C2E0-4B0F-A6CD-901A46E00102}" destId="{4086CD7C-3D15-47BA-8D2C-E0DBE12EB92F}" srcOrd="0" destOrd="0" parTransId="{41A82DE6-E602-4DB0-ABB5-CF18F4A00B1D}" sibTransId="{C2957523-DC60-4795-ADA3-8DFAC7908737}"/>
    <dgm:cxn modelId="{3137CEEE-32BB-40B8-892C-CE69E6E5060D}" type="presOf" srcId="{4086CD7C-3D15-47BA-8D2C-E0DBE12EB92F}" destId="{BBEA9098-0899-45F4-9205-1C59057F3DB8}" srcOrd="0" destOrd="0" presId="urn:microsoft.com/office/officeart/2005/8/layout/equation1"/>
    <dgm:cxn modelId="{F80FFD55-410F-4F17-9993-4493E87AC797}" type="presParOf" srcId="{2A36DD7A-4496-45DB-BF2B-5297DB1AC7CF}" destId="{BBEA9098-0899-45F4-9205-1C59057F3DB8}" srcOrd="0" destOrd="0" presId="urn:microsoft.com/office/officeart/2005/8/layout/equation1"/>
    <dgm:cxn modelId="{047DAB4E-ED56-4109-9AD3-E0B507AD17E4}" type="presParOf" srcId="{2A36DD7A-4496-45DB-BF2B-5297DB1AC7CF}" destId="{6762D40C-071E-452E-A8DE-80794B6CDA18}" srcOrd="1" destOrd="0" presId="urn:microsoft.com/office/officeart/2005/8/layout/equation1"/>
    <dgm:cxn modelId="{71C25EC5-22E8-4D69-A351-66930C77A176}" type="presParOf" srcId="{2A36DD7A-4496-45DB-BF2B-5297DB1AC7CF}" destId="{65092078-6A31-4C4B-B153-04B69BB31751}" srcOrd="2" destOrd="0" presId="urn:microsoft.com/office/officeart/2005/8/layout/equation1"/>
    <dgm:cxn modelId="{4D9E45D4-522A-4D7E-B2ED-E0241931DD7B}" type="presParOf" srcId="{2A36DD7A-4496-45DB-BF2B-5297DB1AC7CF}" destId="{193D8336-5ACE-44A9-8B39-8BEF89A2C0DE}" srcOrd="3" destOrd="0" presId="urn:microsoft.com/office/officeart/2005/8/layout/equation1"/>
    <dgm:cxn modelId="{74753A6E-7B86-4598-A125-9508654E1AB7}" type="presParOf" srcId="{2A36DD7A-4496-45DB-BF2B-5297DB1AC7CF}" destId="{0C69A736-EBDB-4A1B-949F-7530A2A9E094}" srcOrd="4" destOrd="0" presId="urn:microsoft.com/office/officeart/2005/8/layout/equation1"/>
    <dgm:cxn modelId="{1E853CF3-1E8B-4FF1-9654-BC9580B591ED}" type="presParOf" srcId="{2A36DD7A-4496-45DB-BF2B-5297DB1AC7CF}" destId="{AFE2CA29-07A6-416C-B76A-7095E1C7C111}" srcOrd="5" destOrd="0" presId="urn:microsoft.com/office/officeart/2005/8/layout/equation1"/>
    <dgm:cxn modelId="{643032E2-7BD5-4F44-8C5E-23818C2E7A06}" type="presParOf" srcId="{2A36DD7A-4496-45DB-BF2B-5297DB1AC7CF}" destId="{AD4636FA-7B6D-4F84-94F7-8A7CAB0BD32C}" srcOrd="6" destOrd="0" presId="urn:microsoft.com/office/officeart/2005/8/layout/equation1"/>
    <dgm:cxn modelId="{A30E9BFE-CB7E-4488-ACE3-DEE4158DF575}" type="presParOf" srcId="{2A36DD7A-4496-45DB-BF2B-5297DB1AC7CF}" destId="{DC3BAD35-9FEC-40E9-920D-77407311B320}" srcOrd="7" destOrd="0" presId="urn:microsoft.com/office/officeart/2005/8/layout/equation1"/>
    <dgm:cxn modelId="{34E5109A-B1FA-4382-956B-6EEF5C24705F}" type="presParOf" srcId="{2A36DD7A-4496-45DB-BF2B-5297DB1AC7CF}" destId="{63DFADE2-FD0A-4341-BE52-28EFFFB032AA}" srcOrd="8" destOrd="0" presId="urn:microsoft.com/office/officeart/2005/8/layout/equatio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0834AA4-C2E0-4B0F-A6CD-901A46E00102}" type="doc">
      <dgm:prSet loTypeId="urn:microsoft.com/office/officeart/2005/8/layout/equation1" loCatId="process" qsTypeId="urn:microsoft.com/office/officeart/2005/8/quickstyle/simple1" qsCatId="simple" csTypeId="urn:microsoft.com/office/officeart/2005/8/colors/accent1_2" csCatId="accent1" phldr="1"/>
      <dgm:spPr/>
    </dgm:pt>
    <dgm:pt modelId="{4086CD7C-3D15-47BA-8D2C-E0DBE12EB92F}">
      <dgm:prSet phldrT="[Text]"/>
      <dgm:spPr>
        <a:xfrm>
          <a:off x="905"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Revenue and costs true-up</a:t>
          </a:r>
        </a:p>
        <a:p>
          <a:r>
            <a:rPr lang="en-US">
              <a:solidFill>
                <a:sysClr val="window" lastClr="FFFFFF"/>
              </a:solidFill>
              <a:latin typeface="Arial"/>
              <a:ea typeface="+mn-ea"/>
              <a:cs typeface="+mn-cs"/>
            </a:rPr>
            <a:t>($11.8) million</a:t>
          </a:r>
        </a:p>
        <a:p>
          <a:endParaRPr lang="en-US">
            <a:solidFill>
              <a:sysClr val="window" lastClr="FFFFFF"/>
            </a:solidFill>
            <a:latin typeface="Arial"/>
            <a:ea typeface="+mn-ea"/>
            <a:cs typeface="+mn-cs"/>
          </a:endParaRPr>
        </a:p>
      </dgm:t>
    </dgm:pt>
    <dgm:pt modelId="{41A82DE6-E602-4DB0-ABB5-CF18F4A00B1D}" type="parTrans" cxnId="{8F3749D0-35B6-4688-9228-66B6AF7ABD43}">
      <dgm:prSet/>
      <dgm:spPr/>
      <dgm:t>
        <a:bodyPr/>
        <a:lstStyle/>
        <a:p>
          <a:endParaRPr lang="en-US"/>
        </a:p>
      </dgm:t>
    </dgm:pt>
    <dgm:pt modelId="{C2957523-DC60-4795-ADA3-8DFAC7908737}" type="sibTrans" cxnId="{8F3749D0-35B6-4688-9228-66B6AF7ABD43}">
      <dgm:prSet/>
      <dgm:spPr>
        <a:xfrm>
          <a:off x="1298179" y="311965"/>
          <a:ext cx="695911" cy="695911"/>
        </a:xfrm>
        <a:solidFill>
          <a:srgbClr val="0070C0"/>
        </a:solidFill>
        <a:ln>
          <a:noFill/>
        </a:ln>
        <a:effectLst/>
      </dgm:spPr>
      <dgm:t>
        <a:bodyPr/>
        <a:lstStyle/>
        <a:p>
          <a:endParaRPr lang="en-US">
            <a:solidFill>
              <a:sysClr val="window" lastClr="FFFFFF"/>
            </a:solidFill>
            <a:latin typeface="Arial"/>
            <a:ea typeface="+mn-ea"/>
            <a:cs typeface="+mn-cs"/>
          </a:endParaRPr>
        </a:p>
      </dgm:t>
    </dgm:pt>
    <dgm:pt modelId="{D2B00C2C-4B6A-4242-B448-A0ABB7D81300}">
      <dgm:prSet phldrT="[Text]"/>
      <dgm:spPr>
        <a:xfrm>
          <a:off x="2091518"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Metering asset base true-up</a:t>
          </a:r>
        </a:p>
        <a:p>
          <a:r>
            <a:rPr lang="en-US">
              <a:solidFill>
                <a:sysClr val="window" lastClr="FFFFFF"/>
              </a:solidFill>
              <a:latin typeface="Arial"/>
              <a:ea typeface="+mn-ea"/>
              <a:cs typeface="+mn-cs"/>
            </a:rPr>
            <a:t>$2.0 million</a:t>
          </a:r>
        </a:p>
        <a:p>
          <a:endParaRPr lang="en-US">
            <a:solidFill>
              <a:sysClr val="window" lastClr="FFFFFF"/>
            </a:solidFill>
            <a:latin typeface="Arial"/>
            <a:ea typeface="+mn-ea"/>
            <a:cs typeface="+mn-cs"/>
          </a:endParaRPr>
        </a:p>
      </dgm:t>
    </dgm:pt>
    <dgm:pt modelId="{18F7161F-030C-4D64-BE74-6A04B93D5BCF}" type="parTrans" cxnId="{C8A5FE91-0BDE-4566-BA8F-C9B38E3675B1}">
      <dgm:prSet/>
      <dgm:spPr/>
      <dgm:t>
        <a:bodyPr/>
        <a:lstStyle/>
        <a:p>
          <a:endParaRPr lang="en-US"/>
        </a:p>
      </dgm:t>
    </dgm:pt>
    <dgm:pt modelId="{EEB4B90C-0404-44FF-A0FB-3B8ABA6D2B0D}" type="sibTrans" cxnId="{C8A5FE91-0BDE-4566-BA8F-C9B38E3675B1}">
      <dgm:prSet/>
      <dgm:spPr>
        <a:xfrm>
          <a:off x="3388792" y="311965"/>
          <a:ext cx="695911" cy="695911"/>
        </a:xfrm>
        <a:solidFill>
          <a:srgbClr val="0070C0"/>
        </a:solidFill>
        <a:ln>
          <a:noFill/>
        </a:ln>
        <a:effectLst/>
      </dgm:spPr>
      <dgm:t>
        <a:bodyPr/>
        <a:lstStyle/>
        <a:p>
          <a:endParaRPr lang="en-US">
            <a:solidFill>
              <a:sysClr val="window" lastClr="FFFFFF"/>
            </a:solidFill>
            <a:latin typeface="Arial"/>
            <a:ea typeface="+mn-ea"/>
            <a:cs typeface="+mn-cs"/>
          </a:endParaRPr>
        </a:p>
      </dgm:t>
    </dgm:pt>
    <dgm:pt modelId="{5D857FF6-426A-4A3D-B9F5-6B53F3C874FA}">
      <dgm:prSet phldrT="[Text]"/>
      <dgm:spPr>
        <a:xfrm>
          <a:off x="4182131" y="59997"/>
          <a:ext cx="1199846" cy="1199846"/>
        </a:xfrm>
        <a:solidFill>
          <a:srgbClr val="0070C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a:ea typeface="+mn-ea"/>
              <a:cs typeface="+mn-cs"/>
            </a:rPr>
            <a:t>Transition charge</a:t>
          </a:r>
        </a:p>
        <a:p>
          <a:r>
            <a:rPr lang="en-US">
              <a:solidFill>
                <a:sysClr val="window" lastClr="FFFFFF"/>
              </a:solidFill>
              <a:latin typeface="Arial"/>
              <a:ea typeface="+mn-ea"/>
              <a:cs typeface="+mn-cs"/>
            </a:rPr>
            <a:t>($9.8 million)</a:t>
          </a:r>
        </a:p>
        <a:p>
          <a:endParaRPr lang="en-US">
            <a:solidFill>
              <a:sysClr val="window" lastClr="FFFFFF"/>
            </a:solidFill>
            <a:latin typeface="Arial"/>
            <a:ea typeface="+mn-ea"/>
            <a:cs typeface="+mn-cs"/>
          </a:endParaRPr>
        </a:p>
      </dgm:t>
    </dgm:pt>
    <dgm:pt modelId="{2F617624-AA38-48E5-AB45-9B2AED1463A9}" type="parTrans" cxnId="{BBDFB487-5499-4412-AC86-D5B3F4252F16}">
      <dgm:prSet/>
      <dgm:spPr/>
      <dgm:t>
        <a:bodyPr/>
        <a:lstStyle/>
        <a:p>
          <a:endParaRPr lang="en-US"/>
        </a:p>
      </dgm:t>
    </dgm:pt>
    <dgm:pt modelId="{0C9023E0-C1F2-427E-A410-E1A2EDE44467}" type="sibTrans" cxnId="{BBDFB487-5499-4412-AC86-D5B3F4252F16}">
      <dgm:prSet/>
      <dgm:spPr/>
      <dgm:t>
        <a:bodyPr/>
        <a:lstStyle/>
        <a:p>
          <a:endParaRPr lang="en-US"/>
        </a:p>
      </dgm:t>
    </dgm:pt>
    <dgm:pt modelId="{2A36DD7A-4496-45DB-BF2B-5297DB1AC7CF}" type="pres">
      <dgm:prSet presAssocID="{50834AA4-C2E0-4B0F-A6CD-901A46E00102}" presName="linearFlow" presStyleCnt="0">
        <dgm:presLayoutVars>
          <dgm:dir/>
          <dgm:resizeHandles val="exact"/>
        </dgm:presLayoutVars>
      </dgm:prSet>
      <dgm:spPr/>
    </dgm:pt>
    <dgm:pt modelId="{BBEA9098-0899-45F4-9205-1C59057F3DB8}" type="pres">
      <dgm:prSet presAssocID="{4086CD7C-3D15-47BA-8D2C-E0DBE12EB92F}" presName="node" presStyleLbl="node1" presStyleIdx="0" presStyleCnt="3">
        <dgm:presLayoutVars>
          <dgm:bulletEnabled val="1"/>
        </dgm:presLayoutVars>
      </dgm:prSet>
      <dgm:spPr>
        <a:prstGeom prst="ellipse">
          <a:avLst/>
        </a:prstGeom>
      </dgm:spPr>
      <dgm:t>
        <a:bodyPr/>
        <a:lstStyle/>
        <a:p>
          <a:endParaRPr lang="en-US"/>
        </a:p>
      </dgm:t>
    </dgm:pt>
    <dgm:pt modelId="{6762D40C-071E-452E-A8DE-80794B6CDA18}" type="pres">
      <dgm:prSet presAssocID="{C2957523-DC60-4795-ADA3-8DFAC7908737}" presName="spacerL" presStyleCnt="0"/>
      <dgm:spPr/>
    </dgm:pt>
    <dgm:pt modelId="{65092078-6A31-4C4B-B153-04B69BB31751}" type="pres">
      <dgm:prSet presAssocID="{C2957523-DC60-4795-ADA3-8DFAC7908737}" presName="sibTrans" presStyleLbl="sibTrans2D1" presStyleIdx="0" presStyleCnt="2"/>
      <dgm:spPr>
        <a:prstGeom prst="mathPlus">
          <a:avLst/>
        </a:prstGeom>
      </dgm:spPr>
      <dgm:t>
        <a:bodyPr/>
        <a:lstStyle/>
        <a:p>
          <a:endParaRPr lang="en-US"/>
        </a:p>
      </dgm:t>
    </dgm:pt>
    <dgm:pt modelId="{193D8336-5ACE-44A9-8B39-8BEF89A2C0DE}" type="pres">
      <dgm:prSet presAssocID="{C2957523-DC60-4795-ADA3-8DFAC7908737}" presName="spacerR" presStyleCnt="0"/>
      <dgm:spPr/>
    </dgm:pt>
    <dgm:pt modelId="{0C69A736-EBDB-4A1B-949F-7530A2A9E094}" type="pres">
      <dgm:prSet presAssocID="{D2B00C2C-4B6A-4242-B448-A0ABB7D81300}" presName="node" presStyleLbl="node1" presStyleIdx="1" presStyleCnt="3">
        <dgm:presLayoutVars>
          <dgm:bulletEnabled val="1"/>
        </dgm:presLayoutVars>
      </dgm:prSet>
      <dgm:spPr>
        <a:prstGeom prst="ellipse">
          <a:avLst/>
        </a:prstGeom>
      </dgm:spPr>
      <dgm:t>
        <a:bodyPr/>
        <a:lstStyle/>
        <a:p>
          <a:endParaRPr lang="en-US"/>
        </a:p>
      </dgm:t>
    </dgm:pt>
    <dgm:pt modelId="{AFE2CA29-07A6-416C-B76A-7095E1C7C111}" type="pres">
      <dgm:prSet presAssocID="{EEB4B90C-0404-44FF-A0FB-3B8ABA6D2B0D}" presName="spacerL" presStyleCnt="0"/>
      <dgm:spPr/>
    </dgm:pt>
    <dgm:pt modelId="{AD4636FA-7B6D-4F84-94F7-8A7CAB0BD32C}" type="pres">
      <dgm:prSet presAssocID="{EEB4B90C-0404-44FF-A0FB-3B8ABA6D2B0D}" presName="sibTrans" presStyleLbl="sibTrans2D1" presStyleIdx="1" presStyleCnt="2"/>
      <dgm:spPr>
        <a:prstGeom prst="mathEqual">
          <a:avLst/>
        </a:prstGeom>
      </dgm:spPr>
      <dgm:t>
        <a:bodyPr/>
        <a:lstStyle/>
        <a:p>
          <a:endParaRPr lang="en-US"/>
        </a:p>
      </dgm:t>
    </dgm:pt>
    <dgm:pt modelId="{DC3BAD35-9FEC-40E9-920D-77407311B320}" type="pres">
      <dgm:prSet presAssocID="{EEB4B90C-0404-44FF-A0FB-3B8ABA6D2B0D}" presName="spacerR" presStyleCnt="0"/>
      <dgm:spPr/>
    </dgm:pt>
    <dgm:pt modelId="{63DFADE2-FD0A-4341-BE52-28EFFFB032AA}" type="pres">
      <dgm:prSet presAssocID="{5D857FF6-426A-4A3D-B9F5-6B53F3C874FA}" presName="node" presStyleLbl="node1" presStyleIdx="2" presStyleCnt="3">
        <dgm:presLayoutVars>
          <dgm:bulletEnabled val="1"/>
        </dgm:presLayoutVars>
      </dgm:prSet>
      <dgm:spPr>
        <a:prstGeom prst="ellipse">
          <a:avLst/>
        </a:prstGeom>
      </dgm:spPr>
      <dgm:t>
        <a:bodyPr/>
        <a:lstStyle/>
        <a:p>
          <a:endParaRPr lang="en-US"/>
        </a:p>
      </dgm:t>
    </dgm:pt>
  </dgm:ptLst>
  <dgm:cxnLst>
    <dgm:cxn modelId="{4A46717B-CCFA-43EF-938B-654E4F04FC1B}" type="presOf" srcId="{4086CD7C-3D15-47BA-8D2C-E0DBE12EB92F}" destId="{BBEA9098-0899-45F4-9205-1C59057F3DB8}" srcOrd="0" destOrd="0" presId="urn:microsoft.com/office/officeart/2005/8/layout/equation1"/>
    <dgm:cxn modelId="{C8A5FE91-0BDE-4566-BA8F-C9B38E3675B1}" srcId="{50834AA4-C2E0-4B0F-A6CD-901A46E00102}" destId="{D2B00C2C-4B6A-4242-B448-A0ABB7D81300}" srcOrd="1" destOrd="0" parTransId="{18F7161F-030C-4D64-BE74-6A04B93D5BCF}" sibTransId="{EEB4B90C-0404-44FF-A0FB-3B8ABA6D2B0D}"/>
    <dgm:cxn modelId="{AF299D9E-C198-4505-A80C-29F4DD4E4C88}" type="presOf" srcId="{5D857FF6-426A-4A3D-B9F5-6B53F3C874FA}" destId="{63DFADE2-FD0A-4341-BE52-28EFFFB032AA}" srcOrd="0" destOrd="0" presId="urn:microsoft.com/office/officeart/2005/8/layout/equation1"/>
    <dgm:cxn modelId="{0EED5AB1-7BF4-486B-BCE9-F6F15D99A777}" type="presOf" srcId="{D2B00C2C-4B6A-4242-B448-A0ABB7D81300}" destId="{0C69A736-EBDB-4A1B-949F-7530A2A9E094}" srcOrd="0" destOrd="0" presId="urn:microsoft.com/office/officeart/2005/8/layout/equation1"/>
    <dgm:cxn modelId="{8F3749D0-35B6-4688-9228-66B6AF7ABD43}" srcId="{50834AA4-C2E0-4B0F-A6CD-901A46E00102}" destId="{4086CD7C-3D15-47BA-8D2C-E0DBE12EB92F}" srcOrd="0" destOrd="0" parTransId="{41A82DE6-E602-4DB0-ABB5-CF18F4A00B1D}" sibTransId="{C2957523-DC60-4795-ADA3-8DFAC7908737}"/>
    <dgm:cxn modelId="{201EC690-E480-4A2A-A08E-D49199F891AB}" type="presOf" srcId="{EEB4B90C-0404-44FF-A0FB-3B8ABA6D2B0D}" destId="{AD4636FA-7B6D-4F84-94F7-8A7CAB0BD32C}" srcOrd="0" destOrd="0" presId="urn:microsoft.com/office/officeart/2005/8/layout/equation1"/>
    <dgm:cxn modelId="{8C2706DE-FEA7-4AC6-9C38-308E18D6416A}" type="presOf" srcId="{C2957523-DC60-4795-ADA3-8DFAC7908737}" destId="{65092078-6A31-4C4B-B153-04B69BB31751}" srcOrd="0" destOrd="0" presId="urn:microsoft.com/office/officeart/2005/8/layout/equation1"/>
    <dgm:cxn modelId="{BBDFB487-5499-4412-AC86-D5B3F4252F16}" srcId="{50834AA4-C2E0-4B0F-A6CD-901A46E00102}" destId="{5D857FF6-426A-4A3D-B9F5-6B53F3C874FA}" srcOrd="2" destOrd="0" parTransId="{2F617624-AA38-48E5-AB45-9B2AED1463A9}" sibTransId="{0C9023E0-C1F2-427E-A410-E1A2EDE44467}"/>
    <dgm:cxn modelId="{DDD72445-9AF5-489C-A49E-F3658587018D}" type="presOf" srcId="{50834AA4-C2E0-4B0F-A6CD-901A46E00102}" destId="{2A36DD7A-4496-45DB-BF2B-5297DB1AC7CF}" srcOrd="0" destOrd="0" presId="urn:microsoft.com/office/officeart/2005/8/layout/equation1"/>
    <dgm:cxn modelId="{CAEE0066-8C1C-47A8-A4B8-EF95D39A6B32}" type="presParOf" srcId="{2A36DD7A-4496-45DB-BF2B-5297DB1AC7CF}" destId="{BBEA9098-0899-45F4-9205-1C59057F3DB8}" srcOrd="0" destOrd="0" presId="urn:microsoft.com/office/officeart/2005/8/layout/equation1"/>
    <dgm:cxn modelId="{D88538BC-ECDF-4A7A-8856-8E8864D3ABC1}" type="presParOf" srcId="{2A36DD7A-4496-45DB-BF2B-5297DB1AC7CF}" destId="{6762D40C-071E-452E-A8DE-80794B6CDA18}" srcOrd="1" destOrd="0" presId="urn:microsoft.com/office/officeart/2005/8/layout/equation1"/>
    <dgm:cxn modelId="{A8D16BC8-74DF-409E-9E0F-C39246CA5851}" type="presParOf" srcId="{2A36DD7A-4496-45DB-BF2B-5297DB1AC7CF}" destId="{65092078-6A31-4C4B-B153-04B69BB31751}" srcOrd="2" destOrd="0" presId="urn:microsoft.com/office/officeart/2005/8/layout/equation1"/>
    <dgm:cxn modelId="{F2E2F3E5-5093-4431-8BD9-1C5EA0879EA4}" type="presParOf" srcId="{2A36DD7A-4496-45DB-BF2B-5297DB1AC7CF}" destId="{193D8336-5ACE-44A9-8B39-8BEF89A2C0DE}" srcOrd="3" destOrd="0" presId="urn:microsoft.com/office/officeart/2005/8/layout/equation1"/>
    <dgm:cxn modelId="{DD8848AD-28F7-4DB1-AC51-7705D907F48C}" type="presParOf" srcId="{2A36DD7A-4496-45DB-BF2B-5297DB1AC7CF}" destId="{0C69A736-EBDB-4A1B-949F-7530A2A9E094}" srcOrd="4" destOrd="0" presId="urn:microsoft.com/office/officeart/2005/8/layout/equation1"/>
    <dgm:cxn modelId="{DC2FBE85-8CA9-47E1-9E7A-549373C4186F}" type="presParOf" srcId="{2A36DD7A-4496-45DB-BF2B-5297DB1AC7CF}" destId="{AFE2CA29-07A6-416C-B76A-7095E1C7C111}" srcOrd="5" destOrd="0" presId="urn:microsoft.com/office/officeart/2005/8/layout/equation1"/>
    <dgm:cxn modelId="{E1B8CA43-F48E-44E5-AAA8-24B278114AD2}" type="presParOf" srcId="{2A36DD7A-4496-45DB-BF2B-5297DB1AC7CF}" destId="{AD4636FA-7B6D-4F84-94F7-8A7CAB0BD32C}" srcOrd="6" destOrd="0" presId="urn:microsoft.com/office/officeart/2005/8/layout/equation1"/>
    <dgm:cxn modelId="{E4FD04B3-8E11-4FB0-8A38-F38D9D454F78}" type="presParOf" srcId="{2A36DD7A-4496-45DB-BF2B-5297DB1AC7CF}" destId="{DC3BAD35-9FEC-40E9-920D-77407311B320}" srcOrd="7" destOrd="0" presId="urn:microsoft.com/office/officeart/2005/8/layout/equation1"/>
    <dgm:cxn modelId="{1EBC006C-4065-4E8D-8902-E0B224BFA399}" type="presParOf" srcId="{2A36DD7A-4496-45DB-BF2B-5297DB1AC7CF}" destId="{63DFADE2-FD0A-4341-BE52-28EFFFB032AA}" srcOrd="8" destOrd="0" presId="urn:microsoft.com/office/officeart/2005/8/layout/equati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A9098-0899-45F4-9205-1C59057F3DB8}">
      <dsp:nvSpPr>
        <dsp:cNvPr id="0" name=""/>
        <dsp:cNvSpPr/>
      </dsp:nvSpPr>
      <dsp:spPr>
        <a:xfrm>
          <a:off x="905" y="59997"/>
          <a:ext cx="1199846" cy="1199846"/>
        </a:xfrm>
        <a:prstGeom prst="ellips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Revenue and costs true-up</a:t>
          </a:r>
        </a:p>
        <a:p>
          <a:pPr lvl="0" algn="ctr" defTabSz="444500">
            <a:lnSpc>
              <a:spcPct val="90000"/>
            </a:lnSpc>
            <a:spcBef>
              <a:spcPct val="0"/>
            </a:spcBef>
            <a:spcAft>
              <a:spcPct val="35000"/>
            </a:spcAft>
          </a:pPr>
          <a:r>
            <a:rPr lang="en-US" sz="1000" kern="1200"/>
            <a:t>($42.0 million)</a:t>
          </a:r>
        </a:p>
        <a:p>
          <a:pPr lvl="0" algn="ctr" defTabSz="444500">
            <a:lnSpc>
              <a:spcPct val="90000"/>
            </a:lnSpc>
            <a:spcBef>
              <a:spcPct val="0"/>
            </a:spcBef>
            <a:spcAft>
              <a:spcPct val="35000"/>
            </a:spcAft>
          </a:pPr>
          <a:endParaRPr lang="en-US" sz="1000" kern="1200"/>
        </a:p>
      </dsp:txBody>
      <dsp:txXfrm>
        <a:off x="176618" y="235710"/>
        <a:ext cx="848420" cy="848420"/>
      </dsp:txXfrm>
    </dsp:sp>
    <dsp:sp modelId="{65092078-6A31-4C4B-B153-04B69BB31751}">
      <dsp:nvSpPr>
        <dsp:cNvPr id="0" name=""/>
        <dsp:cNvSpPr/>
      </dsp:nvSpPr>
      <dsp:spPr>
        <a:xfrm>
          <a:off x="1298179" y="311965"/>
          <a:ext cx="695911" cy="695911"/>
        </a:xfrm>
        <a:prstGeom prst="mathPlus">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390422" y="578081"/>
        <a:ext cx="511425" cy="163679"/>
      </dsp:txXfrm>
    </dsp:sp>
    <dsp:sp modelId="{0C69A736-EBDB-4A1B-949F-7530A2A9E094}">
      <dsp:nvSpPr>
        <dsp:cNvPr id="0" name=""/>
        <dsp:cNvSpPr/>
      </dsp:nvSpPr>
      <dsp:spPr>
        <a:xfrm>
          <a:off x="2091518" y="59997"/>
          <a:ext cx="1199846" cy="1199846"/>
        </a:xfrm>
        <a:prstGeom prst="ellips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Metering asset base true-up</a:t>
          </a:r>
        </a:p>
        <a:p>
          <a:pPr lvl="0" algn="ctr" defTabSz="444500">
            <a:lnSpc>
              <a:spcPct val="90000"/>
            </a:lnSpc>
            <a:spcBef>
              <a:spcPct val="0"/>
            </a:spcBef>
            <a:spcAft>
              <a:spcPct val="35000"/>
            </a:spcAft>
          </a:pPr>
          <a:r>
            <a:rPr lang="en-US" sz="1000" kern="1200"/>
            <a:t>($20.1 million)</a:t>
          </a:r>
        </a:p>
        <a:p>
          <a:pPr lvl="0" algn="ctr" defTabSz="444500">
            <a:lnSpc>
              <a:spcPct val="90000"/>
            </a:lnSpc>
            <a:spcBef>
              <a:spcPct val="0"/>
            </a:spcBef>
            <a:spcAft>
              <a:spcPct val="35000"/>
            </a:spcAft>
          </a:pPr>
          <a:endParaRPr lang="en-US" sz="1000" kern="1200"/>
        </a:p>
      </dsp:txBody>
      <dsp:txXfrm>
        <a:off x="2267231" y="235710"/>
        <a:ext cx="848420" cy="848420"/>
      </dsp:txXfrm>
    </dsp:sp>
    <dsp:sp modelId="{AD4636FA-7B6D-4F84-94F7-8A7CAB0BD32C}">
      <dsp:nvSpPr>
        <dsp:cNvPr id="0" name=""/>
        <dsp:cNvSpPr/>
      </dsp:nvSpPr>
      <dsp:spPr>
        <a:xfrm>
          <a:off x="3388792" y="311965"/>
          <a:ext cx="695911" cy="695911"/>
        </a:xfrm>
        <a:prstGeom prst="mathEqual">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481035" y="455323"/>
        <a:ext cx="511425" cy="409195"/>
      </dsp:txXfrm>
    </dsp:sp>
    <dsp:sp modelId="{63DFADE2-FD0A-4341-BE52-28EFFFB032AA}">
      <dsp:nvSpPr>
        <dsp:cNvPr id="0" name=""/>
        <dsp:cNvSpPr/>
      </dsp:nvSpPr>
      <dsp:spPr>
        <a:xfrm>
          <a:off x="4182131" y="59997"/>
          <a:ext cx="1199846" cy="1199846"/>
        </a:xfrm>
        <a:prstGeom prst="ellips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Transition charge</a:t>
          </a:r>
        </a:p>
        <a:p>
          <a:pPr lvl="0" algn="ctr" defTabSz="444500">
            <a:lnSpc>
              <a:spcPct val="90000"/>
            </a:lnSpc>
            <a:spcBef>
              <a:spcPct val="0"/>
            </a:spcBef>
            <a:spcAft>
              <a:spcPct val="35000"/>
            </a:spcAft>
          </a:pPr>
          <a:r>
            <a:rPr lang="en-US" sz="1000" kern="1200"/>
            <a:t>($62.1 million)</a:t>
          </a:r>
        </a:p>
        <a:p>
          <a:pPr lvl="0" algn="ctr" defTabSz="444500">
            <a:lnSpc>
              <a:spcPct val="90000"/>
            </a:lnSpc>
            <a:spcBef>
              <a:spcPct val="0"/>
            </a:spcBef>
            <a:spcAft>
              <a:spcPct val="35000"/>
            </a:spcAft>
          </a:pPr>
          <a:endParaRPr lang="en-US" sz="1000" kern="1200"/>
        </a:p>
      </dsp:txBody>
      <dsp:txXfrm>
        <a:off x="4357844" y="235710"/>
        <a:ext cx="848420" cy="8484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A9098-0899-45F4-9205-1C59057F3DB8}">
      <dsp:nvSpPr>
        <dsp:cNvPr id="0" name=""/>
        <dsp:cNvSpPr/>
      </dsp:nvSpPr>
      <dsp:spPr>
        <a:xfrm>
          <a:off x="905"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Revenue and costs true-up</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$1.0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176618" y="235710"/>
        <a:ext cx="848420" cy="848420"/>
      </dsp:txXfrm>
    </dsp:sp>
    <dsp:sp modelId="{65092078-6A31-4C4B-B153-04B69BB31751}">
      <dsp:nvSpPr>
        <dsp:cNvPr id="0" name=""/>
        <dsp:cNvSpPr/>
      </dsp:nvSpPr>
      <dsp:spPr>
        <a:xfrm>
          <a:off x="1298179" y="311965"/>
          <a:ext cx="695911" cy="695911"/>
        </a:xfrm>
        <a:prstGeom prst="mathPlus">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Arial"/>
            <a:ea typeface="+mn-ea"/>
            <a:cs typeface="+mn-cs"/>
          </a:endParaRPr>
        </a:p>
      </dsp:txBody>
      <dsp:txXfrm>
        <a:off x="1390422" y="578081"/>
        <a:ext cx="511425" cy="163679"/>
      </dsp:txXfrm>
    </dsp:sp>
    <dsp:sp modelId="{0C69A736-EBDB-4A1B-949F-7530A2A9E094}">
      <dsp:nvSpPr>
        <dsp:cNvPr id="0" name=""/>
        <dsp:cNvSpPr/>
      </dsp:nvSpPr>
      <dsp:spPr>
        <a:xfrm>
          <a:off x="2091518"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Metering asset base true-up</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($4.9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2267231" y="235710"/>
        <a:ext cx="848420" cy="848420"/>
      </dsp:txXfrm>
    </dsp:sp>
    <dsp:sp modelId="{AD4636FA-7B6D-4F84-94F7-8A7CAB0BD32C}">
      <dsp:nvSpPr>
        <dsp:cNvPr id="0" name=""/>
        <dsp:cNvSpPr/>
      </dsp:nvSpPr>
      <dsp:spPr>
        <a:xfrm>
          <a:off x="3388792" y="311965"/>
          <a:ext cx="695911" cy="695911"/>
        </a:xfrm>
        <a:prstGeom prst="mathEqual">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Arial"/>
            <a:ea typeface="+mn-ea"/>
            <a:cs typeface="+mn-cs"/>
          </a:endParaRPr>
        </a:p>
      </dsp:txBody>
      <dsp:txXfrm>
        <a:off x="3481035" y="455323"/>
        <a:ext cx="511425" cy="409195"/>
      </dsp:txXfrm>
    </dsp:sp>
    <dsp:sp modelId="{63DFADE2-FD0A-4341-BE52-28EFFFB032AA}">
      <dsp:nvSpPr>
        <dsp:cNvPr id="0" name=""/>
        <dsp:cNvSpPr/>
      </dsp:nvSpPr>
      <dsp:spPr>
        <a:xfrm>
          <a:off x="4182131"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Transition charge</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($3.9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4357844" y="235710"/>
        <a:ext cx="848420" cy="8484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A9098-0899-45F4-9205-1C59057F3DB8}">
      <dsp:nvSpPr>
        <dsp:cNvPr id="0" name=""/>
        <dsp:cNvSpPr/>
      </dsp:nvSpPr>
      <dsp:spPr>
        <a:xfrm>
          <a:off x="905"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Revenue and costs true-up</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($7.0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176618" y="235710"/>
        <a:ext cx="848420" cy="848420"/>
      </dsp:txXfrm>
    </dsp:sp>
    <dsp:sp modelId="{65092078-6A31-4C4B-B153-04B69BB31751}">
      <dsp:nvSpPr>
        <dsp:cNvPr id="0" name=""/>
        <dsp:cNvSpPr/>
      </dsp:nvSpPr>
      <dsp:spPr>
        <a:xfrm>
          <a:off x="1298179" y="311965"/>
          <a:ext cx="695911" cy="695911"/>
        </a:xfrm>
        <a:prstGeom prst="mathPlus">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Arial"/>
            <a:ea typeface="+mn-ea"/>
            <a:cs typeface="+mn-cs"/>
          </a:endParaRPr>
        </a:p>
      </dsp:txBody>
      <dsp:txXfrm>
        <a:off x="1390422" y="578081"/>
        <a:ext cx="511425" cy="163679"/>
      </dsp:txXfrm>
    </dsp:sp>
    <dsp:sp modelId="{0C69A736-EBDB-4A1B-949F-7530A2A9E094}">
      <dsp:nvSpPr>
        <dsp:cNvPr id="0" name=""/>
        <dsp:cNvSpPr/>
      </dsp:nvSpPr>
      <dsp:spPr>
        <a:xfrm>
          <a:off x="2091518"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Metering asset base true-up</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($9.6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2267231" y="235710"/>
        <a:ext cx="848420" cy="848420"/>
      </dsp:txXfrm>
    </dsp:sp>
    <dsp:sp modelId="{AD4636FA-7B6D-4F84-94F7-8A7CAB0BD32C}">
      <dsp:nvSpPr>
        <dsp:cNvPr id="0" name=""/>
        <dsp:cNvSpPr/>
      </dsp:nvSpPr>
      <dsp:spPr>
        <a:xfrm>
          <a:off x="3388792" y="311965"/>
          <a:ext cx="695911" cy="695911"/>
        </a:xfrm>
        <a:prstGeom prst="mathEqual">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Arial"/>
            <a:ea typeface="+mn-ea"/>
            <a:cs typeface="+mn-cs"/>
          </a:endParaRPr>
        </a:p>
      </dsp:txBody>
      <dsp:txXfrm>
        <a:off x="3481035" y="455323"/>
        <a:ext cx="511425" cy="409195"/>
      </dsp:txXfrm>
    </dsp:sp>
    <dsp:sp modelId="{63DFADE2-FD0A-4341-BE52-28EFFFB032AA}">
      <dsp:nvSpPr>
        <dsp:cNvPr id="0" name=""/>
        <dsp:cNvSpPr/>
      </dsp:nvSpPr>
      <dsp:spPr>
        <a:xfrm>
          <a:off x="4182131"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Transition charge</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($16.5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4357844" y="235710"/>
        <a:ext cx="848420" cy="8484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A9098-0899-45F4-9205-1C59057F3DB8}">
      <dsp:nvSpPr>
        <dsp:cNvPr id="0" name=""/>
        <dsp:cNvSpPr/>
      </dsp:nvSpPr>
      <dsp:spPr>
        <a:xfrm>
          <a:off x="905"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Revenue and costs true-up</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($0.6)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176618" y="235710"/>
        <a:ext cx="848420" cy="848420"/>
      </dsp:txXfrm>
    </dsp:sp>
    <dsp:sp modelId="{65092078-6A31-4C4B-B153-04B69BB31751}">
      <dsp:nvSpPr>
        <dsp:cNvPr id="0" name=""/>
        <dsp:cNvSpPr/>
      </dsp:nvSpPr>
      <dsp:spPr>
        <a:xfrm>
          <a:off x="1298179" y="311965"/>
          <a:ext cx="695911" cy="695911"/>
        </a:xfrm>
        <a:prstGeom prst="mathPlus">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Arial"/>
            <a:ea typeface="+mn-ea"/>
            <a:cs typeface="+mn-cs"/>
          </a:endParaRPr>
        </a:p>
      </dsp:txBody>
      <dsp:txXfrm>
        <a:off x="1390422" y="578081"/>
        <a:ext cx="511425" cy="163679"/>
      </dsp:txXfrm>
    </dsp:sp>
    <dsp:sp modelId="{0C69A736-EBDB-4A1B-949F-7530A2A9E094}">
      <dsp:nvSpPr>
        <dsp:cNvPr id="0" name=""/>
        <dsp:cNvSpPr/>
      </dsp:nvSpPr>
      <dsp:spPr>
        <a:xfrm>
          <a:off x="2091518"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Metering asset base true-up</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($1.2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2267231" y="235710"/>
        <a:ext cx="848420" cy="848420"/>
      </dsp:txXfrm>
    </dsp:sp>
    <dsp:sp modelId="{AD4636FA-7B6D-4F84-94F7-8A7CAB0BD32C}">
      <dsp:nvSpPr>
        <dsp:cNvPr id="0" name=""/>
        <dsp:cNvSpPr/>
      </dsp:nvSpPr>
      <dsp:spPr>
        <a:xfrm>
          <a:off x="3388792" y="311965"/>
          <a:ext cx="695911" cy="695911"/>
        </a:xfrm>
        <a:prstGeom prst="mathEqual">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Arial"/>
            <a:ea typeface="+mn-ea"/>
            <a:cs typeface="+mn-cs"/>
          </a:endParaRPr>
        </a:p>
      </dsp:txBody>
      <dsp:txXfrm>
        <a:off x="3481035" y="455323"/>
        <a:ext cx="511425" cy="409195"/>
      </dsp:txXfrm>
    </dsp:sp>
    <dsp:sp modelId="{63DFADE2-FD0A-4341-BE52-28EFFFB032AA}">
      <dsp:nvSpPr>
        <dsp:cNvPr id="0" name=""/>
        <dsp:cNvSpPr/>
      </dsp:nvSpPr>
      <dsp:spPr>
        <a:xfrm>
          <a:off x="4182131"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Transition charge</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($1.8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4357844" y="235710"/>
        <a:ext cx="848420" cy="8484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A9098-0899-45F4-9205-1C59057F3DB8}">
      <dsp:nvSpPr>
        <dsp:cNvPr id="0" name=""/>
        <dsp:cNvSpPr/>
      </dsp:nvSpPr>
      <dsp:spPr>
        <a:xfrm>
          <a:off x="905"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Revenue and costs true-up</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($11.8)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176618" y="235710"/>
        <a:ext cx="848420" cy="848420"/>
      </dsp:txXfrm>
    </dsp:sp>
    <dsp:sp modelId="{65092078-6A31-4C4B-B153-04B69BB31751}">
      <dsp:nvSpPr>
        <dsp:cNvPr id="0" name=""/>
        <dsp:cNvSpPr/>
      </dsp:nvSpPr>
      <dsp:spPr>
        <a:xfrm>
          <a:off x="1298179" y="311965"/>
          <a:ext cx="695911" cy="695911"/>
        </a:xfrm>
        <a:prstGeom prst="mathPlus">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Arial"/>
            <a:ea typeface="+mn-ea"/>
            <a:cs typeface="+mn-cs"/>
          </a:endParaRPr>
        </a:p>
      </dsp:txBody>
      <dsp:txXfrm>
        <a:off x="1390422" y="578081"/>
        <a:ext cx="511425" cy="163679"/>
      </dsp:txXfrm>
    </dsp:sp>
    <dsp:sp modelId="{0C69A736-EBDB-4A1B-949F-7530A2A9E094}">
      <dsp:nvSpPr>
        <dsp:cNvPr id="0" name=""/>
        <dsp:cNvSpPr/>
      </dsp:nvSpPr>
      <dsp:spPr>
        <a:xfrm>
          <a:off x="2091518"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Metering asset base true-up</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$2.0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2267231" y="235710"/>
        <a:ext cx="848420" cy="848420"/>
      </dsp:txXfrm>
    </dsp:sp>
    <dsp:sp modelId="{AD4636FA-7B6D-4F84-94F7-8A7CAB0BD32C}">
      <dsp:nvSpPr>
        <dsp:cNvPr id="0" name=""/>
        <dsp:cNvSpPr/>
      </dsp:nvSpPr>
      <dsp:spPr>
        <a:xfrm>
          <a:off x="3388792" y="311965"/>
          <a:ext cx="695911" cy="695911"/>
        </a:xfrm>
        <a:prstGeom prst="mathEqual">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Arial"/>
            <a:ea typeface="+mn-ea"/>
            <a:cs typeface="+mn-cs"/>
          </a:endParaRPr>
        </a:p>
      </dsp:txBody>
      <dsp:txXfrm>
        <a:off x="3481035" y="455323"/>
        <a:ext cx="511425" cy="409195"/>
      </dsp:txXfrm>
    </dsp:sp>
    <dsp:sp modelId="{63DFADE2-FD0A-4341-BE52-28EFFFB032AA}">
      <dsp:nvSpPr>
        <dsp:cNvPr id="0" name=""/>
        <dsp:cNvSpPr/>
      </dsp:nvSpPr>
      <dsp:spPr>
        <a:xfrm>
          <a:off x="4182131" y="59997"/>
          <a:ext cx="1199846" cy="1199846"/>
        </a:xfrm>
        <a:prstGeom prst="ellipse">
          <a:avLst/>
        </a:prstGeom>
        <a:solidFill>
          <a:srgbClr val="0070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Transition charge</a:t>
          </a:r>
        </a:p>
        <a:p>
          <a:pPr lvl="0" algn="ctr" defTabSz="444500">
            <a:lnSpc>
              <a:spcPct val="90000"/>
            </a:lnSpc>
            <a:spcBef>
              <a:spcPct val="0"/>
            </a:spcBef>
            <a:spcAft>
              <a:spcPct val="35000"/>
            </a:spcAft>
          </a:pPr>
          <a:r>
            <a:rPr lang="en-US" sz="1000" kern="1200">
              <a:solidFill>
                <a:sysClr val="window" lastClr="FFFFFF"/>
              </a:solidFill>
              <a:latin typeface="Arial"/>
              <a:ea typeface="+mn-ea"/>
              <a:cs typeface="+mn-cs"/>
            </a:rPr>
            <a:t>($9.8 million)</a:t>
          </a:r>
        </a:p>
        <a:p>
          <a:pPr lvl="0" algn="ctr" defTabSz="444500">
            <a:lnSpc>
              <a:spcPct val="90000"/>
            </a:lnSpc>
            <a:spcBef>
              <a:spcPct val="0"/>
            </a:spcBef>
            <a:spcAft>
              <a:spcPct val="35000"/>
            </a:spcAft>
          </a:pPr>
          <a:endParaRPr lang="en-US" sz="1000" kern="1200">
            <a:solidFill>
              <a:sysClr val="window" lastClr="FFFFFF"/>
            </a:solidFill>
            <a:latin typeface="Arial"/>
            <a:ea typeface="+mn-ea"/>
            <a:cs typeface="+mn-cs"/>
          </a:endParaRPr>
        </a:p>
      </dsp:txBody>
      <dsp:txXfrm>
        <a:off x="4357844" y="235710"/>
        <a:ext cx="848420" cy="848420"/>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FB8622-DEA0-4613-B278-02B1697A6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EEF85DB2</Template>
  <TotalTime>1</TotalTime>
  <Pages>64</Pages>
  <Words>16467</Words>
  <Characters>93866</Characters>
  <Application>Microsoft Office Word</Application>
  <DocSecurity>4</DocSecurity>
  <Lines>782</Lines>
  <Paragraphs>220</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110113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Smith, Deanne</dc:creator>
  <cp:lastModifiedBy>Moffitt, Shannon</cp:lastModifiedBy>
  <cp:revision>2</cp:revision>
  <cp:lastPrinted>2016-09-19T00:12:00Z</cp:lastPrinted>
  <dcterms:created xsi:type="dcterms:W3CDTF">2016-09-19T04:22:00Z</dcterms:created>
  <dcterms:modified xsi:type="dcterms:W3CDTF">2016-09-19T04:22:00Z</dcterms:modified>
</cp:coreProperties>
</file>