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B4FA8B8" wp14:editId="4A0887B7">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444B4E66" wp14:editId="180B6D82">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062757" w:rsidRDefault="00062757" w:rsidP="00D5015C">
          <w:pPr>
            <w:pStyle w:val="ReportSubtitle"/>
          </w:pPr>
          <w:r w:rsidRPr="00062757">
            <w:t>DRAFT DECISION</w:t>
          </w:r>
        </w:p>
        <w:p w:rsidR="00D5015C" w:rsidRDefault="00D5015C" w:rsidP="00D5015C">
          <w:pPr>
            <w:pStyle w:val="ReportSubtitle"/>
          </w:pPr>
          <w:r>
            <w:t>Australian Gas Networks</w:t>
          </w:r>
        </w:p>
        <w:p w:rsidR="00D5015C" w:rsidRDefault="00D5015C" w:rsidP="00D5015C">
          <w:pPr>
            <w:pStyle w:val="ReportSubtitle"/>
          </w:pPr>
          <w:r>
            <w:t xml:space="preserve">Victoria </w:t>
          </w:r>
          <w:r w:rsidRPr="00D5015C">
            <w:t>and</w:t>
          </w:r>
          <w:r>
            <w:t xml:space="preserve"> Albury gas access arrangement</w:t>
          </w:r>
        </w:p>
        <w:p w:rsidR="00D5015C" w:rsidRDefault="00D5015C" w:rsidP="00D5015C">
          <w:pPr>
            <w:pStyle w:val="ReportSubtitle"/>
          </w:pPr>
          <w:r>
            <w:t xml:space="preserve"> 2018 to 2022</w:t>
          </w:r>
        </w:p>
        <w:p w:rsidR="008F07A3" w:rsidRPr="000A6C7B" w:rsidRDefault="008F07A3" w:rsidP="00D5015C">
          <w:pPr>
            <w:pStyle w:val="ReportSubtitle"/>
            <w:tabs>
              <w:tab w:val="left" w:pos="1122"/>
              <w:tab w:val="center" w:pos="4238"/>
            </w:tabs>
            <w:jc w:val="left"/>
          </w:pPr>
        </w:p>
        <w:p w:rsidR="000A6C7B" w:rsidRDefault="0037699E" w:rsidP="008F07A3">
          <w:pPr>
            <w:pStyle w:val="ReportSubtitle"/>
          </w:pPr>
          <w:r>
            <w:t xml:space="preserve">Attachment </w:t>
          </w:r>
          <w:r w:rsidR="00DD3546">
            <w:t>9</w:t>
          </w:r>
          <w:r w:rsidR="000474DF">
            <w:t xml:space="preserve"> </w:t>
          </w:r>
          <w:r w:rsidR="00185BA5">
            <w:t>–</w:t>
          </w:r>
          <w:r w:rsidR="000474DF">
            <w:t xml:space="preserve"> </w:t>
          </w:r>
          <w:r w:rsidR="00DD3546">
            <w:t>Efficiency carryover mechanism</w:t>
          </w:r>
        </w:p>
        <w:p w:rsidR="00D5015C" w:rsidRDefault="00D5015C" w:rsidP="00327A1E">
          <w:pPr>
            <w:pStyle w:val="ReportDate"/>
          </w:pPr>
        </w:p>
        <w:p w:rsidR="00D5015C" w:rsidRDefault="00D5015C" w:rsidP="00327A1E">
          <w:pPr>
            <w:pStyle w:val="ReportDate"/>
          </w:pPr>
        </w:p>
        <w:p w:rsidR="000A6C7B" w:rsidRPr="00327A1E" w:rsidRDefault="00E5084C" w:rsidP="00327A1E">
          <w:pPr>
            <w:pStyle w:val="ReportDate"/>
          </w:pPr>
          <w:r>
            <w:t>Ju</w:t>
          </w:r>
          <w:r w:rsidR="002F042C">
            <w:t>ly</w:t>
          </w:r>
          <w:r w:rsidR="00D5015C">
            <w:t xml:space="preserve"> </w:t>
          </w:r>
          <w:r w:rsidR="00F22A8C">
            <w:t>2017</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DD3546">
        <w:t>7</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w:t>
      </w:r>
      <w:r w:rsidR="0064687C">
        <w:t xml:space="preserve"> 1300 585 165</w:t>
      </w:r>
      <w:r>
        <w:b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1" w:name="_Toc404153950"/>
      <w:bookmarkStart w:id="2" w:name="_Toc404437593"/>
      <w:bookmarkStart w:id="3" w:name="_Toc486832772"/>
      <w:r>
        <w:lastRenderedPageBreak/>
        <w:t>Note</w:t>
      </w:r>
      <w:bookmarkEnd w:id="1"/>
      <w:bookmarkEnd w:id="2"/>
      <w:bookmarkEnd w:id="3"/>
    </w:p>
    <w:p w:rsidR="00D5015C" w:rsidRDefault="00D5015C" w:rsidP="00D5015C">
      <w:pPr>
        <w:numPr>
          <w:ilvl w:val="0"/>
          <w:numId w:val="23"/>
        </w:numPr>
      </w:pPr>
      <w:r>
        <w:t xml:space="preserve">This attachment forms part of the AER's draft decision on the access arrangement for </w:t>
      </w:r>
      <w:r w:rsidR="00E5084C">
        <w:t>AGN'</w:t>
      </w:r>
      <w:r>
        <w:t>s Victoria and Albury gas distribution networks for 2018</w:t>
      </w:r>
      <w:r w:rsidR="005B69D6">
        <w:rPr>
          <w:rStyle w:val="AERbody"/>
        </w:rPr>
        <w:t>–</w:t>
      </w:r>
      <w:r>
        <w:t>22. It should be read with all other parts of the draft decision.</w:t>
      </w:r>
    </w:p>
    <w:p w:rsidR="00D5015C" w:rsidRDefault="00D5015C" w:rsidP="00D5015C">
      <w:pPr>
        <w:numPr>
          <w:ilvl w:val="0"/>
          <w:numId w:val="23"/>
        </w:numPr>
      </w:pPr>
      <w:r>
        <w:t>The draft decision includes the following documents:</w:t>
      </w:r>
    </w:p>
    <w:p w:rsidR="00D5015C" w:rsidRDefault="00D5015C" w:rsidP="00D5015C">
      <w:pPr>
        <w:numPr>
          <w:ilvl w:val="0"/>
          <w:numId w:val="23"/>
        </w:numPr>
      </w:pPr>
      <w:r>
        <w:t>Overview</w:t>
      </w:r>
    </w:p>
    <w:p w:rsidR="00D5015C" w:rsidRDefault="00D5015C" w:rsidP="00D5015C">
      <w:r>
        <w:t>Attachment 1 - Services covered by the access arrangement</w:t>
      </w:r>
    </w:p>
    <w:p w:rsidR="00D5015C" w:rsidRDefault="00D5015C" w:rsidP="00D5015C">
      <w:r>
        <w:t>Attachment 2 - Capital base</w:t>
      </w:r>
    </w:p>
    <w:p w:rsidR="00D5015C" w:rsidRDefault="00D5015C" w:rsidP="00D5015C">
      <w:r>
        <w:t>Attachment 3 - Rate of return</w:t>
      </w:r>
    </w:p>
    <w:p w:rsidR="00D5015C" w:rsidRDefault="00D5015C" w:rsidP="00D5015C">
      <w:r>
        <w:t>Attachment 4 - Value of imputation credits</w:t>
      </w:r>
    </w:p>
    <w:p w:rsidR="00D5015C" w:rsidRDefault="00D5015C" w:rsidP="00D5015C">
      <w:r>
        <w:t>Attachment 5 - Regulatory depreciation</w:t>
      </w:r>
    </w:p>
    <w:p w:rsidR="00D5015C" w:rsidRDefault="00D5015C" w:rsidP="00D5015C">
      <w:r>
        <w:t xml:space="preserve">Attachment 6 - Capital expenditure </w:t>
      </w:r>
    </w:p>
    <w:p w:rsidR="00D5015C" w:rsidRDefault="00D5015C" w:rsidP="00D5015C">
      <w:r>
        <w:t>Attachment 7 - Operating expenditure</w:t>
      </w:r>
    </w:p>
    <w:p w:rsidR="00D5015C" w:rsidRDefault="00D5015C" w:rsidP="00D5015C">
      <w:r>
        <w:t>Attachment 8 - Corporate income tax</w:t>
      </w:r>
    </w:p>
    <w:p w:rsidR="00D5015C" w:rsidRDefault="00D5015C" w:rsidP="00D5015C">
      <w:r>
        <w:t>Attachment 9 - Efficiency carryover mechanism</w:t>
      </w:r>
    </w:p>
    <w:p w:rsidR="00D5015C" w:rsidRDefault="00D5015C" w:rsidP="00D5015C">
      <w:r>
        <w:t>Attachment 10 - Reference tariff setting</w:t>
      </w:r>
    </w:p>
    <w:p w:rsidR="00D5015C" w:rsidRDefault="00D5015C" w:rsidP="00D5015C">
      <w:r>
        <w:t>Attachment 11 - Reference tariff variation mechanism</w:t>
      </w:r>
    </w:p>
    <w:p w:rsidR="00D5015C" w:rsidRDefault="00D5015C" w:rsidP="00D5015C">
      <w:r>
        <w:t>Attachment 12 - Non-tariff components</w:t>
      </w:r>
    </w:p>
    <w:p w:rsidR="00D5015C" w:rsidRDefault="00D5015C" w:rsidP="00D5015C">
      <w:r>
        <w:t>Attachment 13 - Demand</w:t>
      </w:r>
    </w:p>
    <w:p w:rsidR="00D5015C" w:rsidRDefault="00D5015C" w:rsidP="00D5015C">
      <w:r>
        <w:t>Attachment 14 - Other incentive schemes</w:t>
      </w:r>
    </w:p>
    <w:p w:rsidR="00761454" w:rsidRPr="009D3906" w:rsidRDefault="00761454" w:rsidP="00761454"/>
    <w:p w:rsidR="00CE2A23" w:rsidRPr="00CE2A23" w:rsidRDefault="00CE2A23" w:rsidP="00CE2A23">
      <w:bookmarkStart w:id="4" w:name="_Toc404354899"/>
      <w:bookmarkStart w:id="5" w:name="_Toc404353070"/>
      <w:bookmarkStart w:id="6" w:name="_Toc404684201"/>
      <w:bookmarkStart w:id="7" w:name="_Toc404700923"/>
      <w:r>
        <w:br w:type="page"/>
      </w:r>
    </w:p>
    <w:bookmarkEnd w:id="4"/>
    <w:bookmarkEnd w:id="5"/>
    <w:bookmarkEnd w:id="6"/>
    <w:bookmarkEnd w:id="7"/>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8" w:name="_Toc403144133"/>
      <w:bookmarkStart w:id="9" w:name="_Toc486832773"/>
      <w:r>
        <w:t>Contents</w:t>
      </w:r>
      <w:bookmarkEnd w:id="8"/>
      <w:bookmarkEnd w:id="9"/>
    </w:p>
    <w:p w:rsidR="00CE2A23" w:rsidRDefault="00CE2A23" w:rsidP="00CE2A23"/>
    <w:sdt>
      <w:sdtPr>
        <w:id w:val="1269200322"/>
        <w:docPartObj>
          <w:docPartGallery w:val="Table of Contents"/>
          <w:docPartUnique/>
        </w:docPartObj>
      </w:sdtPr>
      <w:sdtEndPr/>
      <w:sdtContent>
        <w:p w:rsidR="00B07182" w:rsidRDefault="00386FEB">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 </w:instrText>
          </w:r>
          <w:r>
            <w:fldChar w:fldCharType="separate"/>
          </w:r>
          <w:hyperlink w:anchor="_Toc486832772" w:history="1">
            <w:r w:rsidR="00B07182" w:rsidRPr="00FC5DA8">
              <w:rPr>
                <w:rStyle w:val="Hyperlink"/>
              </w:rPr>
              <w:t>Note</w:t>
            </w:r>
            <w:r w:rsidR="00B07182">
              <w:rPr>
                <w:webHidden/>
              </w:rPr>
              <w:tab/>
            </w:r>
            <w:r w:rsidR="00B07182">
              <w:rPr>
                <w:webHidden/>
              </w:rPr>
              <w:fldChar w:fldCharType="begin"/>
            </w:r>
            <w:r w:rsidR="00B07182">
              <w:rPr>
                <w:webHidden/>
              </w:rPr>
              <w:instrText xml:space="preserve"> PAGEREF _Toc486832772 \h </w:instrText>
            </w:r>
            <w:r w:rsidR="00B07182">
              <w:rPr>
                <w:webHidden/>
              </w:rPr>
            </w:r>
            <w:r w:rsidR="00B07182">
              <w:rPr>
                <w:webHidden/>
              </w:rPr>
              <w:fldChar w:fldCharType="separate"/>
            </w:r>
            <w:r w:rsidR="0071749E">
              <w:rPr>
                <w:webHidden/>
              </w:rPr>
              <w:t>9-2</w:t>
            </w:r>
            <w:r w:rsidR="00B07182">
              <w:rPr>
                <w:webHidden/>
              </w:rPr>
              <w:fldChar w:fldCharType="end"/>
            </w:r>
          </w:hyperlink>
        </w:p>
        <w:p w:rsidR="00B07182" w:rsidRDefault="0071749E">
          <w:pPr>
            <w:pStyle w:val="TOC1"/>
            <w:rPr>
              <w:rFonts w:asciiTheme="minorHAnsi" w:eastAsiaTheme="minorEastAsia" w:hAnsiTheme="minorHAnsi"/>
              <w:b w:val="0"/>
              <w:color w:val="auto"/>
              <w:sz w:val="22"/>
              <w:lang w:val="en-AU" w:eastAsia="en-AU"/>
            </w:rPr>
          </w:pPr>
          <w:hyperlink w:anchor="_Toc486832773" w:history="1">
            <w:r w:rsidR="00B07182" w:rsidRPr="00FC5DA8">
              <w:rPr>
                <w:rStyle w:val="Hyperlink"/>
              </w:rPr>
              <w:t>Contents</w:t>
            </w:r>
            <w:r w:rsidR="00B07182">
              <w:rPr>
                <w:webHidden/>
              </w:rPr>
              <w:tab/>
            </w:r>
            <w:r w:rsidR="00B07182">
              <w:rPr>
                <w:webHidden/>
              </w:rPr>
              <w:fldChar w:fldCharType="begin"/>
            </w:r>
            <w:r w:rsidR="00B07182">
              <w:rPr>
                <w:webHidden/>
              </w:rPr>
              <w:instrText xml:space="preserve"> PAGEREF _Toc486832773 \h </w:instrText>
            </w:r>
            <w:r w:rsidR="00B07182">
              <w:rPr>
                <w:webHidden/>
              </w:rPr>
            </w:r>
            <w:r w:rsidR="00B07182">
              <w:rPr>
                <w:webHidden/>
              </w:rPr>
              <w:fldChar w:fldCharType="separate"/>
            </w:r>
            <w:r>
              <w:rPr>
                <w:webHidden/>
              </w:rPr>
              <w:t>9-3</w:t>
            </w:r>
            <w:r w:rsidR="00B07182">
              <w:rPr>
                <w:webHidden/>
              </w:rPr>
              <w:fldChar w:fldCharType="end"/>
            </w:r>
          </w:hyperlink>
        </w:p>
        <w:p w:rsidR="00B07182" w:rsidRDefault="0071749E">
          <w:pPr>
            <w:pStyle w:val="TOC1"/>
            <w:rPr>
              <w:rFonts w:asciiTheme="minorHAnsi" w:eastAsiaTheme="minorEastAsia" w:hAnsiTheme="minorHAnsi"/>
              <w:b w:val="0"/>
              <w:color w:val="auto"/>
              <w:sz w:val="22"/>
              <w:lang w:val="en-AU" w:eastAsia="en-AU"/>
            </w:rPr>
          </w:pPr>
          <w:hyperlink w:anchor="_Toc486832774" w:history="1">
            <w:r w:rsidR="00B07182" w:rsidRPr="00FC5DA8">
              <w:rPr>
                <w:rStyle w:val="Hyperlink"/>
              </w:rPr>
              <w:t>Shortened forms</w:t>
            </w:r>
            <w:r w:rsidR="00B07182">
              <w:rPr>
                <w:webHidden/>
              </w:rPr>
              <w:tab/>
            </w:r>
            <w:r w:rsidR="00B07182">
              <w:rPr>
                <w:webHidden/>
              </w:rPr>
              <w:fldChar w:fldCharType="begin"/>
            </w:r>
            <w:r w:rsidR="00B07182">
              <w:rPr>
                <w:webHidden/>
              </w:rPr>
              <w:instrText xml:space="preserve"> PAGEREF _Toc486832774 \h </w:instrText>
            </w:r>
            <w:r w:rsidR="00B07182">
              <w:rPr>
                <w:webHidden/>
              </w:rPr>
            </w:r>
            <w:r w:rsidR="00B07182">
              <w:rPr>
                <w:webHidden/>
              </w:rPr>
              <w:fldChar w:fldCharType="separate"/>
            </w:r>
            <w:r>
              <w:rPr>
                <w:webHidden/>
              </w:rPr>
              <w:t>9-4</w:t>
            </w:r>
            <w:r w:rsidR="00B07182">
              <w:rPr>
                <w:webHidden/>
              </w:rPr>
              <w:fldChar w:fldCharType="end"/>
            </w:r>
          </w:hyperlink>
        </w:p>
        <w:p w:rsidR="00B07182" w:rsidRDefault="0071749E">
          <w:pPr>
            <w:pStyle w:val="TOC1"/>
            <w:rPr>
              <w:rFonts w:asciiTheme="minorHAnsi" w:eastAsiaTheme="minorEastAsia" w:hAnsiTheme="minorHAnsi"/>
              <w:b w:val="0"/>
              <w:color w:val="auto"/>
              <w:sz w:val="22"/>
              <w:lang w:val="en-AU" w:eastAsia="en-AU"/>
            </w:rPr>
          </w:pPr>
          <w:hyperlink w:anchor="_Toc486832775" w:history="1">
            <w:r w:rsidR="00B07182" w:rsidRPr="00FC5DA8">
              <w:rPr>
                <w:rStyle w:val="Hyperlink"/>
              </w:rPr>
              <w:t>9</w:t>
            </w:r>
            <w:r w:rsidR="00B07182">
              <w:rPr>
                <w:rFonts w:asciiTheme="minorHAnsi" w:eastAsiaTheme="minorEastAsia" w:hAnsiTheme="minorHAnsi"/>
                <w:b w:val="0"/>
                <w:color w:val="auto"/>
                <w:sz w:val="22"/>
                <w:lang w:val="en-AU" w:eastAsia="en-AU"/>
              </w:rPr>
              <w:tab/>
            </w:r>
            <w:r w:rsidR="00B07182" w:rsidRPr="00FC5DA8">
              <w:rPr>
                <w:rStyle w:val="Hyperlink"/>
              </w:rPr>
              <w:t>Efficiency carryover mechanism</w:t>
            </w:r>
            <w:r w:rsidR="00B07182">
              <w:rPr>
                <w:webHidden/>
              </w:rPr>
              <w:tab/>
            </w:r>
            <w:r w:rsidR="00B07182">
              <w:rPr>
                <w:webHidden/>
              </w:rPr>
              <w:fldChar w:fldCharType="begin"/>
            </w:r>
            <w:r w:rsidR="00B07182">
              <w:rPr>
                <w:webHidden/>
              </w:rPr>
              <w:instrText xml:space="preserve"> PAGEREF _Toc486832775 \h </w:instrText>
            </w:r>
            <w:r w:rsidR="00B07182">
              <w:rPr>
                <w:webHidden/>
              </w:rPr>
            </w:r>
            <w:r w:rsidR="00B07182">
              <w:rPr>
                <w:webHidden/>
              </w:rPr>
              <w:fldChar w:fldCharType="separate"/>
            </w:r>
            <w:r>
              <w:rPr>
                <w:webHidden/>
              </w:rPr>
              <w:t>9-5</w:t>
            </w:r>
            <w:r w:rsidR="00B07182">
              <w:rPr>
                <w:webHidden/>
              </w:rPr>
              <w:fldChar w:fldCharType="end"/>
            </w:r>
          </w:hyperlink>
        </w:p>
        <w:p w:rsidR="00B07182" w:rsidRDefault="0071749E">
          <w:pPr>
            <w:pStyle w:val="TOC2"/>
            <w:rPr>
              <w:rFonts w:asciiTheme="minorHAnsi" w:eastAsiaTheme="minorEastAsia" w:hAnsiTheme="minorHAnsi"/>
              <w:b w:val="0"/>
              <w:color w:val="auto"/>
              <w:sz w:val="22"/>
              <w:lang w:eastAsia="en-AU"/>
            </w:rPr>
          </w:pPr>
          <w:hyperlink w:anchor="_Toc486832776" w:history="1">
            <w:r w:rsidR="00B07182" w:rsidRPr="00FC5DA8">
              <w:rPr>
                <w:rStyle w:val="Hyperlink"/>
              </w:rPr>
              <w:t>9.1</w:t>
            </w:r>
            <w:r w:rsidR="00B07182">
              <w:rPr>
                <w:rFonts w:asciiTheme="minorHAnsi" w:eastAsiaTheme="minorEastAsia" w:hAnsiTheme="minorHAnsi"/>
                <w:b w:val="0"/>
                <w:color w:val="auto"/>
                <w:sz w:val="22"/>
                <w:lang w:eastAsia="en-AU"/>
              </w:rPr>
              <w:tab/>
            </w:r>
            <w:r w:rsidR="00B07182" w:rsidRPr="00FC5DA8">
              <w:rPr>
                <w:rStyle w:val="Hyperlink"/>
              </w:rPr>
              <w:t>Draft decision</w:t>
            </w:r>
            <w:r w:rsidR="00B07182">
              <w:rPr>
                <w:webHidden/>
              </w:rPr>
              <w:tab/>
            </w:r>
            <w:r w:rsidR="00B07182">
              <w:rPr>
                <w:webHidden/>
              </w:rPr>
              <w:fldChar w:fldCharType="begin"/>
            </w:r>
            <w:r w:rsidR="00B07182">
              <w:rPr>
                <w:webHidden/>
              </w:rPr>
              <w:instrText xml:space="preserve"> PAGEREF _Toc486832776 \h </w:instrText>
            </w:r>
            <w:r w:rsidR="00B07182">
              <w:rPr>
                <w:webHidden/>
              </w:rPr>
            </w:r>
            <w:r w:rsidR="00B07182">
              <w:rPr>
                <w:webHidden/>
              </w:rPr>
              <w:fldChar w:fldCharType="separate"/>
            </w:r>
            <w:r>
              <w:rPr>
                <w:webHidden/>
              </w:rPr>
              <w:t>9-5</w:t>
            </w:r>
            <w:r w:rsidR="00B07182">
              <w:rPr>
                <w:webHidden/>
              </w:rPr>
              <w:fldChar w:fldCharType="end"/>
            </w:r>
          </w:hyperlink>
        </w:p>
        <w:p w:rsidR="00B07182" w:rsidRDefault="0071749E">
          <w:pPr>
            <w:pStyle w:val="TOC2"/>
            <w:rPr>
              <w:rFonts w:asciiTheme="minorHAnsi" w:eastAsiaTheme="minorEastAsia" w:hAnsiTheme="minorHAnsi"/>
              <w:b w:val="0"/>
              <w:color w:val="auto"/>
              <w:sz w:val="22"/>
              <w:lang w:eastAsia="en-AU"/>
            </w:rPr>
          </w:pPr>
          <w:hyperlink w:anchor="_Toc486832777" w:history="1">
            <w:r w:rsidR="00B07182" w:rsidRPr="00FC5DA8">
              <w:rPr>
                <w:rStyle w:val="Hyperlink"/>
              </w:rPr>
              <w:t>9.2</w:t>
            </w:r>
            <w:r w:rsidR="00B07182">
              <w:rPr>
                <w:rFonts w:asciiTheme="minorHAnsi" w:eastAsiaTheme="minorEastAsia" w:hAnsiTheme="minorHAnsi"/>
                <w:b w:val="0"/>
                <w:color w:val="auto"/>
                <w:sz w:val="22"/>
                <w:lang w:eastAsia="en-AU"/>
              </w:rPr>
              <w:tab/>
            </w:r>
            <w:r w:rsidR="00B07182" w:rsidRPr="00FC5DA8">
              <w:rPr>
                <w:rStyle w:val="Hyperlink"/>
              </w:rPr>
              <w:t>AGN's proposal</w:t>
            </w:r>
            <w:r w:rsidR="00B07182">
              <w:rPr>
                <w:webHidden/>
              </w:rPr>
              <w:tab/>
            </w:r>
            <w:r w:rsidR="00B07182">
              <w:rPr>
                <w:webHidden/>
              </w:rPr>
              <w:fldChar w:fldCharType="begin"/>
            </w:r>
            <w:r w:rsidR="00B07182">
              <w:rPr>
                <w:webHidden/>
              </w:rPr>
              <w:instrText xml:space="preserve"> PAGEREF _Toc486832777 \h </w:instrText>
            </w:r>
            <w:r w:rsidR="00B07182">
              <w:rPr>
                <w:webHidden/>
              </w:rPr>
            </w:r>
            <w:r w:rsidR="00B07182">
              <w:rPr>
                <w:webHidden/>
              </w:rPr>
              <w:fldChar w:fldCharType="separate"/>
            </w:r>
            <w:r>
              <w:rPr>
                <w:webHidden/>
              </w:rPr>
              <w:t>9-7</w:t>
            </w:r>
            <w:r w:rsidR="00B07182">
              <w:rPr>
                <w:webHidden/>
              </w:rPr>
              <w:fldChar w:fldCharType="end"/>
            </w:r>
          </w:hyperlink>
        </w:p>
        <w:p w:rsidR="00B07182" w:rsidRDefault="0071749E">
          <w:pPr>
            <w:pStyle w:val="TOC3"/>
            <w:rPr>
              <w:rFonts w:asciiTheme="minorHAnsi" w:eastAsiaTheme="minorEastAsia" w:hAnsiTheme="minorHAnsi"/>
              <w:lang w:eastAsia="en-AU"/>
            </w:rPr>
          </w:pPr>
          <w:hyperlink w:anchor="_Toc486832778" w:history="1">
            <w:r w:rsidR="00B07182" w:rsidRPr="00FC5DA8">
              <w:rPr>
                <w:rStyle w:val="Hyperlink"/>
              </w:rPr>
              <w:t>9.2.1</w:t>
            </w:r>
            <w:r w:rsidR="00B07182">
              <w:rPr>
                <w:rFonts w:asciiTheme="minorHAnsi" w:eastAsiaTheme="minorEastAsia" w:hAnsiTheme="minorHAnsi"/>
                <w:lang w:eastAsia="en-AU"/>
              </w:rPr>
              <w:tab/>
            </w:r>
            <w:r w:rsidR="00B07182" w:rsidRPr="00FC5DA8">
              <w:rPr>
                <w:rStyle w:val="Hyperlink"/>
              </w:rPr>
              <w:t>Carryover amounts from the 2013–17 access arrangement period</w:t>
            </w:r>
            <w:r w:rsidR="00B07182">
              <w:rPr>
                <w:webHidden/>
              </w:rPr>
              <w:tab/>
            </w:r>
            <w:r w:rsidR="00B07182">
              <w:rPr>
                <w:webHidden/>
              </w:rPr>
              <w:fldChar w:fldCharType="begin"/>
            </w:r>
            <w:r w:rsidR="00B07182">
              <w:rPr>
                <w:webHidden/>
              </w:rPr>
              <w:instrText xml:space="preserve"> PAGEREF _Toc486832778 \h </w:instrText>
            </w:r>
            <w:r w:rsidR="00B07182">
              <w:rPr>
                <w:webHidden/>
              </w:rPr>
            </w:r>
            <w:r w:rsidR="00B07182">
              <w:rPr>
                <w:webHidden/>
              </w:rPr>
              <w:fldChar w:fldCharType="separate"/>
            </w:r>
            <w:r>
              <w:rPr>
                <w:webHidden/>
              </w:rPr>
              <w:t>9-7</w:t>
            </w:r>
            <w:r w:rsidR="00B07182">
              <w:rPr>
                <w:webHidden/>
              </w:rPr>
              <w:fldChar w:fldCharType="end"/>
            </w:r>
          </w:hyperlink>
        </w:p>
        <w:p w:rsidR="00B07182" w:rsidRDefault="0071749E">
          <w:pPr>
            <w:pStyle w:val="TOC3"/>
            <w:rPr>
              <w:rFonts w:asciiTheme="minorHAnsi" w:eastAsiaTheme="minorEastAsia" w:hAnsiTheme="minorHAnsi"/>
              <w:lang w:eastAsia="en-AU"/>
            </w:rPr>
          </w:pPr>
          <w:hyperlink w:anchor="_Toc486832779" w:history="1">
            <w:r w:rsidR="00B07182" w:rsidRPr="00FC5DA8">
              <w:rPr>
                <w:rStyle w:val="Hyperlink"/>
              </w:rPr>
              <w:t>9.2.2</w:t>
            </w:r>
            <w:r w:rsidR="00B07182">
              <w:rPr>
                <w:rFonts w:asciiTheme="minorHAnsi" w:eastAsiaTheme="minorEastAsia" w:hAnsiTheme="minorHAnsi"/>
                <w:lang w:eastAsia="en-AU"/>
              </w:rPr>
              <w:tab/>
            </w:r>
            <w:r w:rsidR="00B07182" w:rsidRPr="00FC5DA8">
              <w:rPr>
                <w:rStyle w:val="Hyperlink"/>
              </w:rPr>
              <w:t>Application of the efficiency carryover mechanism in the 2018–22 access arrangement period</w:t>
            </w:r>
            <w:r w:rsidR="00B07182">
              <w:rPr>
                <w:webHidden/>
              </w:rPr>
              <w:tab/>
            </w:r>
            <w:r w:rsidR="00B07182">
              <w:rPr>
                <w:webHidden/>
              </w:rPr>
              <w:fldChar w:fldCharType="begin"/>
            </w:r>
            <w:r w:rsidR="00B07182">
              <w:rPr>
                <w:webHidden/>
              </w:rPr>
              <w:instrText xml:space="preserve"> PAGEREF _Toc486832779 \h </w:instrText>
            </w:r>
            <w:r w:rsidR="00B07182">
              <w:rPr>
                <w:webHidden/>
              </w:rPr>
            </w:r>
            <w:r w:rsidR="00B07182">
              <w:rPr>
                <w:webHidden/>
              </w:rPr>
              <w:fldChar w:fldCharType="separate"/>
            </w:r>
            <w:r>
              <w:rPr>
                <w:webHidden/>
              </w:rPr>
              <w:t>9-7</w:t>
            </w:r>
            <w:r w:rsidR="00B07182">
              <w:rPr>
                <w:webHidden/>
              </w:rPr>
              <w:fldChar w:fldCharType="end"/>
            </w:r>
          </w:hyperlink>
        </w:p>
        <w:p w:rsidR="00B07182" w:rsidRDefault="0071749E">
          <w:pPr>
            <w:pStyle w:val="TOC2"/>
            <w:rPr>
              <w:rFonts w:asciiTheme="minorHAnsi" w:eastAsiaTheme="minorEastAsia" w:hAnsiTheme="minorHAnsi"/>
              <w:b w:val="0"/>
              <w:color w:val="auto"/>
              <w:sz w:val="22"/>
              <w:lang w:eastAsia="en-AU"/>
            </w:rPr>
          </w:pPr>
          <w:hyperlink w:anchor="_Toc486832780" w:history="1">
            <w:r w:rsidR="00B07182" w:rsidRPr="00FC5DA8">
              <w:rPr>
                <w:rStyle w:val="Hyperlink"/>
              </w:rPr>
              <w:t>9.3</w:t>
            </w:r>
            <w:r w:rsidR="00B07182">
              <w:rPr>
                <w:rFonts w:asciiTheme="minorHAnsi" w:eastAsiaTheme="minorEastAsia" w:hAnsiTheme="minorHAnsi"/>
                <w:b w:val="0"/>
                <w:color w:val="auto"/>
                <w:sz w:val="22"/>
                <w:lang w:eastAsia="en-AU"/>
              </w:rPr>
              <w:tab/>
            </w:r>
            <w:r w:rsidR="00B07182" w:rsidRPr="00FC5DA8">
              <w:rPr>
                <w:rStyle w:val="Hyperlink"/>
              </w:rPr>
              <w:t>Our assessment approach</w:t>
            </w:r>
            <w:r w:rsidR="00B07182">
              <w:rPr>
                <w:webHidden/>
              </w:rPr>
              <w:tab/>
            </w:r>
            <w:r w:rsidR="00B07182">
              <w:rPr>
                <w:webHidden/>
              </w:rPr>
              <w:fldChar w:fldCharType="begin"/>
            </w:r>
            <w:r w:rsidR="00B07182">
              <w:rPr>
                <w:webHidden/>
              </w:rPr>
              <w:instrText xml:space="preserve"> PAGEREF _Toc486832780 \h </w:instrText>
            </w:r>
            <w:r w:rsidR="00B07182">
              <w:rPr>
                <w:webHidden/>
              </w:rPr>
            </w:r>
            <w:r w:rsidR="00B07182">
              <w:rPr>
                <w:webHidden/>
              </w:rPr>
              <w:fldChar w:fldCharType="separate"/>
            </w:r>
            <w:r>
              <w:rPr>
                <w:webHidden/>
              </w:rPr>
              <w:t>9-8</w:t>
            </w:r>
            <w:r w:rsidR="00B07182">
              <w:rPr>
                <w:webHidden/>
              </w:rPr>
              <w:fldChar w:fldCharType="end"/>
            </w:r>
          </w:hyperlink>
        </w:p>
        <w:p w:rsidR="00B07182" w:rsidRDefault="0071749E">
          <w:pPr>
            <w:pStyle w:val="TOC3"/>
            <w:rPr>
              <w:rFonts w:asciiTheme="minorHAnsi" w:eastAsiaTheme="minorEastAsia" w:hAnsiTheme="minorHAnsi"/>
              <w:lang w:eastAsia="en-AU"/>
            </w:rPr>
          </w:pPr>
          <w:hyperlink w:anchor="_Toc486832781" w:history="1">
            <w:r w:rsidR="00B07182" w:rsidRPr="00FC5DA8">
              <w:rPr>
                <w:rStyle w:val="Hyperlink"/>
              </w:rPr>
              <w:t>9.3.1</w:t>
            </w:r>
            <w:r w:rsidR="00B07182">
              <w:rPr>
                <w:rFonts w:asciiTheme="minorHAnsi" w:eastAsiaTheme="minorEastAsia" w:hAnsiTheme="minorHAnsi"/>
                <w:lang w:eastAsia="en-AU"/>
              </w:rPr>
              <w:tab/>
            </w:r>
            <w:r w:rsidR="00B07182" w:rsidRPr="00FC5DA8">
              <w:rPr>
                <w:rStyle w:val="Hyperlink"/>
              </w:rPr>
              <w:t>Interrelationships</w:t>
            </w:r>
            <w:r w:rsidR="00B07182">
              <w:rPr>
                <w:webHidden/>
              </w:rPr>
              <w:tab/>
            </w:r>
            <w:r w:rsidR="00B07182">
              <w:rPr>
                <w:webHidden/>
              </w:rPr>
              <w:fldChar w:fldCharType="begin"/>
            </w:r>
            <w:r w:rsidR="00B07182">
              <w:rPr>
                <w:webHidden/>
              </w:rPr>
              <w:instrText xml:space="preserve"> PAGEREF _Toc486832781 \h </w:instrText>
            </w:r>
            <w:r w:rsidR="00B07182">
              <w:rPr>
                <w:webHidden/>
              </w:rPr>
            </w:r>
            <w:r w:rsidR="00B07182">
              <w:rPr>
                <w:webHidden/>
              </w:rPr>
              <w:fldChar w:fldCharType="separate"/>
            </w:r>
            <w:r>
              <w:rPr>
                <w:webHidden/>
              </w:rPr>
              <w:t>9-9</w:t>
            </w:r>
            <w:r w:rsidR="00B07182">
              <w:rPr>
                <w:webHidden/>
              </w:rPr>
              <w:fldChar w:fldCharType="end"/>
            </w:r>
          </w:hyperlink>
        </w:p>
        <w:p w:rsidR="00B07182" w:rsidRDefault="0071749E">
          <w:pPr>
            <w:pStyle w:val="TOC2"/>
            <w:rPr>
              <w:rFonts w:asciiTheme="minorHAnsi" w:eastAsiaTheme="minorEastAsia" w:hAnsiTheme="minorHAnsi"/>
              <w:b w:val="0"/>
              <w:color w:val="auto"/>
              <w:sz w:val="22"/>
              <w:lang w:eastAsia="en-AU"/>
            </w:rPr>
          </w:pPr>
          <w:hyperlink w:anchor="_Toc486832782" w:history="1">
            <w:r w:rsidR="00B07182" w:rsidRPr="00FC5DA8">
              <w:rPr>
                <w:rStyle w:val="Hyperlink"/>
              </w:rPr>
              <w:t>9.4</w:t>
            </w:r>
            <w:r w:rsidR="00B07182">
              <w:rPr>
                <w:rFonts w:asciiTheme="minorHAnsi" w:eastAsiaTheme="minorEastAsia" w:hAnsiTheme="minorHAnsi"/>
                <w:b w:val="0"/>
                <w:color w:val="auto"/>
                <w:sz w:val="22"/>
                <w:lang w:eastAsia="en-AU"/>
              </w:rPr>
              <w:tab/>
            </w:r>
            <w:r w:rsidR="00B07182" w:rsidRPr="00FC5DA8">
              <w:rPr>
                <w:rStyle w:val="Hyperlink"/>
              </w:rPr>
              <w:t>Reasons for draft decision</w:t>
            </w:r>
            <w:r w:rsidR="00B07182">
              <w:rPr>
                <w:webHidden/>
              </w:rPr>
              <w:tab/>
            </w:r>
            <w:r w:rsidR="00B07182">
              <w:rPr>
                <w:webHidden/>
              </w:rPr>
              <w:fldChar w:fldCharType="begin"/>
            </w:r>
            <w:r w:rsidR="00B07182">
              <w:rPr>
                <w:webHidden/>
              </w:rPr>
              <w:instrText xml:space="preserve"> PAGEREF _Toc486832782 \h </w:instrText>
            </w:r>
            <w:r w:rsidR="00B07182">
              <w:rPr>
                <w:webHidden/>
              </w:rPr>
            </w:r>
            <w:r w:rsidR="00B07182">
              <w:rPr>
                <w:webHidden/>
              </w:rPr>
              <w:fldChar w:fldCharType="separate"/>
            </w:r>
            <w:r>
              <w:rPr>
                <w:webHidden/>
              </w:rPr>
              <w:t>9-9</w:t>
            </w:r>
            <w:r w:rsidR="00B07182">
              <w:rPr>
                <w:webHidden/>
              </w:rPr>
              <w:fldChar w:fldCharType="end"/>
            </w:r>
          </w:hyperlink>
        </w:p>
        <w:p w:rsidR="00B07182" w:rsidRDefault="0071749E">
          <w:pPr>
            <w:pStyle w:val="TOC3"/>
            <w:rPr>
              <w:rFonts w:asciiTheme="minorHAnsi" w:eastAsiaTheme="minorEastAsia" w:hAnsiTheme="minorHAnsi"/>
              <w:lang w:eastAsia="en-AU"/>
            </w:rPr>
          </w:pPr>
          <w:hyperlink w:anchor="_Toc486832783" w:history="1">
            <w:r w:rsidR="00B07182" w:rsidRPr="00FC5DA8">
              <w:rPr>
                <w:rStyle w:val="Hyperlink"/>
              </w:rPr>
              <w:t>9.4.1</w:t>
            </w:r>
            <w:r w:rsidR="00B07182">
              <w:rPr>
                <w:rFonts w:asciiTheme="minorHAnsi" w:eastAsiaTheme="minorEastAsia" w:hAnsiTheme="minorHAnsi"/>
                <w:lang w:eastAsia="en-AU"/>
              </w:rPr>
              <w:tab/>
            </w:r>
            <w:r w:rsidR="00B07182" w:rsidRPr="00FC5DA8">
              <w:rPr>
                <w:rStyle w:val="Hyperlink"/>
              </w:rPr>
              <w:t>Carryover amounts from the 2013–17 access arrangement period</w:t>
            </w:r>
            <w:r w:rsidR="00B07182">
              <w:rPr>
                <w:webHidden/>
              </w:rPr>
              <w:tab/>
            </w:r>
            <w:r w:rsidR="00B07182">
              <w:rPr>
                <w:webHidden/>
              </w:rPr>
              <w:fldChar w:fldCharType="begin"/>
            </w:r>
            <w:r w:rsidR="00B07182">
              <w:rPr>
                <w:webHidden/>
              </w:rPr>
              <w:instrText xml:space="preserve"> PAGEREF _Toc486832783 \h </w:instrText>
            </w:r>
            <w:r w:rsidR="00B07182">
              <w:rPr>
                <w:webHidden/>
              </w:rPr>
            </w:r>
            <w:r w:rsidR="00B07182">
              <w:rPr>
                <w:webHidden/>
              </w:rPr>
              <w:fldChar w:fldCharType="separate"/>
            </w:r>
            <w:r>
              <w:rPr>
                <w:webHidden/>
              </w:rPr>
              <w:t>9-9</w:t>
            </w:r>
            <w:r w:rsidR="00B07182">
              <w:rPr>
                <w:webHidden/>
              </w:rPr>
              <w:fldChar w:fldCharType="end"/>
            </w:r>
          </w:hyperlink>
        </w:p>
        <w:p w:rsidR="00B07182" w:rsidRDefault="0071749E">
          <w:pPr>
            <w:pStyle w:val="TOC3"/>
            <w:rPr>
              <w:rFonts w:asciiTheme="minorHAnsi" w:eastAsiaTheme="minorEastAsia" w:hAnsiTheme="minorHAnsi"/>
              <w:lang w:eastAsia="en-AU"/>
            </w:rPr>
          </w:pPr>
          <w:hyperlink w:anchor="_Toc486832784" w:history="1">
            <w:r w:rsidR="00B07182" w:rsidRPr="00FC5DA8">
              <w:rPr>
                <w:rStyle w:val="Hyperlink"/>
              </w:rPr>
              <w:t>9.4.2</w:t>
            </w:r>
            <w:r w:rsidR="00B07182">
              <w:rPr>
                <w:rFonts w:asciiTheme="minorHAnsi" w:eastAsiaTheme="minorEastAsia" w:hAnsiTheme="minorHAnsi"/>
                <w:lang w:eastAsia="en-AU"/>
              </w:rPr>
              <w:tab/>
            </w:r>
            <w:r w:rsidR="00B07182" w:rsidRPr="00FC5DA8">
              <w:rPr>
                <w:rStyle w:val="Hyperlink"/>
              </w:rPr>
              <w:t>The opex incentive mechanism to apply in the 2018–22 access arrangement period</w:t>
            </w:r>
            <w:r w:rsidR="00B07182">
              <w:rPr>
                <w:webHidden/>
              </w:rPr>
              <w:tab/>
            </w:r>
            <w:r w:rsidR="00B07182">
              <w:rPr>
                <w:webHidden/>
              </w:rPr>
              <w:fldChar w:fldCharType="begin"/>
            </w:r>
            <w:r w:rsidR="00B07182">
              <w:rPr>
                <w:webHidden/>
              </w:rPr>
              <w:instrText xml:space="preserve"> PAGEREF _Toc486832784 \h </w:instrText>
            </w:r>
            <w:r w:rsidR="00B07182">
              <w:rPr>
                <w:webHidden/>
              </w:rPr>
            </w:r>
            <w:r w:rsidR="00B07182">
              <w:rPr>
                <w:webHidden/>
              </w:rPr>
              <w:fldChar w:fldCharType="separate"/>
            </w:r>
            <w:r>
              <w:rPr>
                <w:webHidden/>
              </w:rPr>
              <w:t>9-10</w:t>
            </w:r>
            <w:r w:rsidR="00B07182">
              <w:rPr>
                <w:webHidden/>
              </w:rPr>
              <w:fldChar w:fldCharType="end"/>
            </w:r>
          </w:hyperlink>
        </w:p>
        <w:p w:rsidR="00B07182" w:rsidRDefault="0071749E">
          <w:pPr>
            <w:pStyle w:val="TOC2"/>
            <w:rPr>
              <w:rFonts w:asciiTheme="minorHAnsi" w:eastAsiaTheme="minorEastAsia" w:hAnsiTheme="minorHAnsi"/>
              <w:b w:val="0"/>
              <w:color w:val="auto"/>
              <w:sz w:val="22"/>
              <w:lang w:eastAsia="en-AU"/>
            </w:rPr>
          </w:pPr>
          <w:hyperlink w:anchor="_Toc486832785" w:history="1">
            <w:r w:rsidR="00B07182" w:rsidRPr="00FC5DA8">
              <w:rPr>
                <w:rStyle w:val="Hyperlink"/>
              </w:rPr>
              <w:t>9.5</w:t>
            </w:r>
            <w:r w:rsidR="00B07182">
              <w:rPr>
                <w:rFonts w:asciiTheme="minorHAnsi" w:eastAsiaTheme="minorEastAsia" w:hAnsiTheme="minorHAnsi"/>
                <w:b w:val="0"/>
                <w:color w:val="auto"/>
                <w:sz w:val="22"/>
                <w:lang w:eastAsia="en-AU"/>
              </w:rPr>
              <w:tab/>
            </w:r>
            <w:r w:rsidR="00B07182" w:rsidRPr="00FC5DA8">
              <w:rPr>
                <w:rStyle w:val="Hyperlink"/>
              </w:rPr>
              <w:t>Revisions</w:t>
            </w:r>
            <w:r w:rsidR="00B07182">
              <w:rPr>
                <w:webHidden/>
              </w:rPr>
              <w:tab/>
            </w:r>
            <w:r w:rsidR="00B07182">
              <w:rPr>
                <w:webHidden/>
              </w:rPr>
              <w:fldChar w:fldCharType="begin"/>
            </w:r>
            <w:r w:rsidR="00B07182">
              <w:rPr>
                <w:webHidden/>
              </w:rPr>
              <w:instrText xml:space="preserve"> PAGEREF _Toc486832785 \h </w:instrText>
            </w:r>
            <w:r w:rsidR="00B07182">
              <w:rPr>
                <w:webHidden/>
              </w:rPr>
            </w:r>
            <w:r w:rsidR="00B07182">
              <w:rPr>
                <w:webHidden/>
              </w:rPr>
              <w:fldChar w:fldCharType="separate"/>
            </w:r>
            <w:r>
              <w:rPr>
                <w:webHidden/>
              </w:rPr>
              <w:t>9-15</w:t>
            </w:r>
            <w:r w:rsidR="00B07182">
              <w:rPr>
                <w:webHidden/>
              </w:rPr>
              <w:fldChar w:fldCharType="end"/>
            </w:r>
          </w:hyperlink>
        </w:p>
        <w:p w:rsidR="00CE2A23" w:rsidRDefault="00386FEB" w:rsidP="00386FEB">
          <w:pPr>
            <w:pStyle w:val="TOC1"/>
          </w:pPr>
          <w:r>
            <w:fldChar w:fldCharType="end"/>
          </w:r>
        </w:p>
      </w:sdtContent>
    </w:sdt>
    <w:p w:rsidR="00CE2A23" w:rsidRPr="00CE2A23" w:rsidRDefault="00CE2A23" w:rsidP="00CE2A23">
      <w:r>
        <w:t xml:space="preserve"> </w:t>
      </w:r>
    </w:p>
    <w:p w:rsidR="0064687C" w:rsidRPr="00271F7C" w:rsidRDefault="00CE2A23" w:rsidP="00CE2A23">
      <w:pPr>
        <w:pStyle w:val="UnnumberedHeading"/>
        <w:numPr>
          <w:ilvl w:val="0"/>
          <w:numId w:val="23"/>
        </w:numPr>
      </w:pPr>
      <w:bookmarkStart w:id="10" w:name="_Toc404700925"/>
      <w:bookmarkStart w:id="11" w:name="_Toc486832774"/>
      <w:r>
        <w:t>Shortened forms</w:t>
      </w:r>
      <w:bookmarkEnd w:id="10"/>
      <w:bookmarkEnd w:id="11"/>
    </w:p>
    <w:tbl>
      <w:tblPr>
        <w:tblStyle w:val="AERtable-numbers"/>
        <w:tblW w:w="0" w:type="auto"/>
        <w:tblLook w:val="04A0" w:firstRow="1" w:lastRow="0" w:firstColumn="1" w:lastColumn="0" w:noHBand="0" w:noVBand="1"/>
      </w:tblPr>
      <w:tblGrid>
        <w:gridCol w:w="3652"/>
        <w:gridCol w:w="5041"/>
      </w:tblGrid>
      <w:tr w:rsidR="0064687C" w:rsidTr="00697B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Shortened form</w:t>
            </w:r>
          </w:p>
        </w:tc>
        <w:tc>
          <w:tcPr>
            <w:tcW w:w="5041" w:type="dxa"/>
          </w:tcPr>
          <w:p w:rsidR="0064687C" w:rsidRDefault="0064687C" w:rsidP="0064687C">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AER</w:t>
            </w:r>
          </w:p>
        </w:tc>
        <w:tc>
          <w:tcPr>
            <w:tcW w:w="5041" w:type="dxa"/>
          </w:tcPr>
          <w:p w:rsidR="0064687C" w:rsidRDefault="0064687C" w:rsidP="0064687C">
            <w:pPr>
              <w:numPr>
                <w:ilvl w:val="0"/>
                <w:numId w:val="24"/>
              </w:numPr>
              <w:cnfStyle w:val="000000000000" w:firstRow="0" w:lastRow="0" w:firstColumn="0" w:lastColumn="0" w:oddVBand="0" w:evenVBand="0" w:oddHBand="0" w:evenHBand="0" w:firstRowFirstColumn="0" w:firstRowLastColumn="0" w:lastRowFirstColumn="0" w:lastRowLastColumn="0"/>
            </w:pPr>
            <w:r>
              <w:t>Australian Energy Regulator</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ATO</w:t>
            </w:r>
          </w:p>
        </w:tc>
        <w:tc>
          <w:tcPr>
            <w:tcW w:w="5041" w:type="dxa"/>
          </w:tcPr>
          <w:p w:rsidR="0064687C" w:rsidRPr="0064687C" w:rsidRDefault="0064687C" w:rsidP="0064687C">
            <w:pPr>
              <w:cnfStyle w:val="000000010000" w:firstRow="0" w:lastRow="0" w:firstColumn="0" w:lastColumn="0" w:oddVBand="0" w:evenVBand="0" w:oddHBand="0" w:evenHBand="1" w:firstRowFirstColumn="0" w:firstRowLastColumn="0" w:lastRowFirstColumn="0" w:lastRowLastColumn="0"/>
            </w:pPr>
            <w:r>
              <w:t>Australian Tax Office</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capex</w:t>
            </w:r>
          </w:p>
        </w:tc>
        <w:tc>
          <w:tcPr>
            <w:tcW w:w="5041" w:type="dxa"/>
          </w:tcPr>
          <w:p w:rsidR="0064687C" w:rsidRDefault="0064687C" w:rsidP="0064687C">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CAPM</w:t>
            </w:r>
          </w:p>
        </w:tc>
        <w:tc>
          <w:tcPr>
            <w:tcW w:w="5041" w:type="dxa"/>
          </w:tcPr>
          <w:p w:rsidR="0064687C" w:rsidRDefault="0064687C" w:rsidP="0064687C">
            <w:pPr>
              <w:numPr>
                <w:ilvl w:val="0"/>
                <w:numId w:val="24"/>
              </w:numPr>
              <w:cnfStyle w:val="000000010000" w:firstRow="0" w:lastRow="0" w:firstColumn="0" w:lastColumn="0" w:oddVBand="0" w:evenVBand="0" w:oddHBand="0" w:evenHBand="1" w:firstRowFirstColumn="0" w:firstRowLastColumn="0" w:lastRowFirstColumn="0" w:lastRowLastColumn="0"/>
            </w:pPr>
            <w:r>
              <w:t>capital asset pricing model</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CESS</w:t>
            </w:r>
          </w:p>
        </w:tc>
        <w:tc>
          <w:tcPr>
            <w:tcW w:w="5041" w:type="dxa"/>
          </w:tcPr>
          <w:p w:rsidR="0064687C" w:rsidRDefault="0064687C" w:rsidP="0064687C">
            <w:pPr>
              <w:numPr>
                <w:ilvl w:val="0"/>
                <w:numId w:val="24"/>
              </w:numPr>
              <w:cnfStyle w:val="000000000000" w:firstRow="0" w:lastRow="0" w:firstColumn="0" w:lastColumn="0" w:oddVBand="0" w:evenVBand="0" w:oddHBand="0" w:evenHBand="0" w:firstRowFirstColumn="0" w:firstRowLastColumn="0" w:lastRowFirstColumn="0" w:lastRowLastColumn="0"/>
            </w:pPr>
            <w:r>
              <w:t>Capital Expenditure Sharing Scheme</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CPI</w:t>
            </w:r>
          </w:p>
        </w:tc>
        <w:tc>
          <w:tcPr>
            <w:tcW w:w="5041" w:type="dxa"/>
          </w:tcPr>
          <w:p w:rsidR="0064687C" w:rsidRDefault="0064687C" w:rsidP="0064687C">
            <w:pPr>
              <w:numPr>
                <w:ilvl w:val="0"/>
                <w:numId w:val="24"/>
              </w:numPr>
              <w:cnfStyle w:val="000000010000" w:firstRow="0" w:lastRow="0" w:firstColumn="0" w:lastColumn="0" w:oddVBand="0" w:evenVBand="0" w:oddHBand="0" w:evenHBand="1" w:firstRowFirstColumn="0" w:firstRowLastColumn="0" w:lastRowFirstColumn="0" w:lastRowLastColumn="0"/>
            </w:pPr>
            <w:r>
              <w:t>consumer price index</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DRP</w:t>
            </w:r>
          </w:p>
        </w:tc>
        <w:tc>
          <w:tcPr>
            <w:tcW w:w="5041" w:type="dxa"/>
          </w:tcPr>
          <w:p w:rsidR="0064687C" w:rsidRDefault="0064687C" w:rsidP="0064687C">
            <w:pPr>
              <w:numPr>
                <w:ilvl w:val="0"/>
                <w:numId w:val="24"/>
              </w:numPr>
              <w:cnfStyle w:val="000000000000" w:firstRow="0" w:lastRow="0" w:firstColumn="0" w:lastColumn="0" w:oddVBand="0" w:evenVBand="0" w:oddHBand="0" w:evenHBand="0" w:firstRowFirstColumn="0" w:firstRowLastColumn="0" w:lastRowFirstColumn="0" w:lastRowLastColumn="0"/>
            </w:pPr>
            <w:r>
              <w:t>debt risk premium</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ECM</w:t>
            </w:r>
          </w:p>
        </w:tc>
        <w:tc>
          <w:tcPr>
            <w:tcW w:w="5041" w:type="dxa"/>
          </w:tcPr>
          <w:p w:rsidR="0064687C" w:rsidRPr="0064687C" w:rsidRDefault="0064687C" w:rsidP="0064687C">
            <w:pPr>
              <w:cnfStyle w:val="000000010000" w:firstRow="0" w:lastRow="0" w:firstColumn="0" w:lastColumn="0" w:oddVBand="0" w:evenVBand="0" w:oddHBand="0" w:evenHBand="1" w:firstRowFirstColumn="0" w:firstRowLastColumn="0" w:lastRowFirstColumn="0" w:lastRowLastColumn="0"/>
            </w:pPr>
            <w:r>
              <w:t>(Opex) Efficiency Carryover Mechanism</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ERP</w:t>
            </w:r>
          </w:p>
        </w:tc>
        <w:tc>
          <w:tcPr>
            <w:tcW w:w="5041" w:type="dxa"/>
          </w:tcPr>
          <w:p w:rsidR="0064687C" w:rsidRDefault="0064687C" w:rsidP="0064687C">
            <w:pPr>
              <w:numPr>
                <w:ilvl w:val="0"/>
                <w:numId w:val="24"/>
              </w:numPr>
              <w:cnfStyle w:val="000000000000" w:firstRow="0" w:lastRow="0" w:firstColumn="0" w:lastColumn="0" w:oddVBand="0" w:evenVBand="0" w:oddHBand="0" w:evenHBand="0" w:firstRowFirstColumn="0" w:firstRowLastColumn="0" w:lastRowFirstColumn="0" w:lastRowLastColumn="0"/>
            </w:pPr>
            <w:r>
              <w:t>equity risk premium</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Expenditure Guideline</w:t>
            </w:r>
          </w:p>
        </w:tc>
        <w:tc>
          <w:tcPr>
            <w:tcW w:w="5041" w:type="dxa"/>
          </w:tcPr>
          <w:p w:rsidR="0064687C" w:rsidRPr="0064687C" w:rsidRDefault="0064687C" w:rsidP="0064687C">
            <w:pPr>
              <w:cnfStyle w:val="000000010000" w:firstRow="0" w:lastRow="0" w:firstColumn="0" w:lastColumn="0" w:oddVBand="0" w:evenVBand="0" w:oddHBand="0" w:evenHBand="1" w:firstRowFirstColumn="0" w:firstRowLastColumn="0" w:lastRowFirstColumn="0" w:lastRowLastColumn="0"/>
            </w:pPr>
            <w:r>
              <w:t>Expenditure Forecast Assessment Guideline</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gamma</w:t>
            </w:r>
          </w:p>
        </w:tc>
        <w:tc>
          <w:tcPr>
            <w:tcW w:w="5041" w:type="dxa"/>
          </w:tcPr>
          <w:p w:rsidR="0064687C" w:rsidRPr="0064687C" w:rsidRDefault="0064687C" w:rsidP="0064687C">
            <w:pPr>
              <w:cnfStyle w:val="000000000000" w:firstRow="0" w:lastRow="0" w:firstColumn="0" w:lastColumn="0" w:oddVBand="0" w:evenVBand="0" w:oddHBand="0" w:evenHBand="0" w:firstRowFirstColumn="0" w:firstRowLastColumn="0" w:lastRowFirstColumn="0" w:lastRowLastColumn="0"/>
            </w:pPr>
            <w:r>
              <w:t>Value of Imputation Credits</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MRP</w:t>
            </w:r>
          </w:p>
        </w:tc>
        <w:tc>
          <w:tcPr>
            <w:tcW w:w="5041" w:type="dxa"/>
          </w:tcPr>
          <w:p w:rsidR="0064687C" w:rsidRDefault="0064687C" w:rsidP="0064687C">
            <w:pPr>
              <w:numPr>
                <w:ilvl w:val="0"/>
                <w:numId w:val="24"/>
              </w:numPr>
              <w:cnfStyle w:val="000000010000" w:firstRow="0" w:lastRow="0" w:firstColumn="0" w:lastColumn="0" w:oddVBand="0" w:evenVBand="0" w:oddHBand="0" w:evenHBand="1" w:firstRowFirstColumn="0" w:firstRowLastColumn="0" w:lastRowFirstColumn="0" w:lastRowLastColumn="0"/>
            </w:pPr>
            <w:r>
              <w:t>market risk premium</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NGL</w:t>
            </w:r>
          </w:p>
        </w:tc>
        <w:tc>
          <w:tcPr>
            <w:tcW w:w="5041" w:type="dxa"/>
          </w:tcPr>
          <w:p w:rsidR="0064687C" w:rsidRDefault="0064687C" w:rsidP="0064687C">
            <w:pPr>
              <w:numPr>
                <w:ilvl w:val="0"/>
                <w:numId w:val="24"/>
              </w:numPr>
              <w:cnfStyle w:val="000000000000" w:firstRow="0" w:lastRow="0" w:firstColumn="0" w:lastColumn="0" w:oddVBand="0" w:evenVBand="0" w:oddHBand="0" w:evenHBand="0" w:firstRowFirstColumn="0" w:firstRowLastColumn="0" w:lastRowFirstColumn="0" w:lastRowLastColumn="0"/>
            </w:pPr>
            <w:r>
              <w:t>National Gas Law</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NGO</w:t>
            </w:r>
          </w:p>
        </w:tc>
        <w:tc>
          <w:tcPr>
            <w:tcW w:w="5041" w:type="dxa"/>
          </w:tcPr>
          <w:p w:rsidR="0064687C" w:rsidRDefault="0064687C" w:rsidP="0064687C">
            <w:pPr>
              <w:numPr>
                <w:ilvl w:val="0"/>
                <w:numId w:val="24"/>
              </w:numPr>
              <w:cnfStyle w:val="000000010000" w:firstRow="0" w:lastRow="0" w:firstColumn="0" w:lastColumn="0" w:oddVBand="0" w:evenVBand="0" w:oddHBand="0" w:evenHBand="1" w:firstRowFirstColumn="0" w:firstRowLastColumn="0" w:lastRowFirstColumn="0" w:lastRowLastColumn="0"/>
            </w:pPr>
            <w:r>
              <w:t>national gas objective</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NGR</w:t>
            </w:r>
          </w:p>
        </w:tc>
        <w:tc>
          <w:tcPr>
            <w:tcW w:w="5041" w:type="dxa"/>
          </w:tcPr>
          <w:p w:rsidR="0064687C" w:rsidRDefault="0064687C" w:rsidP="0064687C">
            <w:pPr>
              <w:numPr>
                <w:ilvl w:val="0"/>
                <w:numId w:val="24"/>
              </w:numPr>
              <w:cnfStyle w:val="000000000000" w:firstRow="0" w:lastRow="0" w:firstColumn="0" w:lastColumn="0" w:oddVBand="0" w:evenVBand="0" w:oddHBand="0" w:evenHBand="0" w:firstRowFirstColumn="0" w:firstRowLastColumn="0" w:lastRowFirstColumn="0" w:lastRowLastColumn="0"/>
            </w:pPr>
            <w:r>
              <w:t>National Gas Rules</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NPV</w:t>
            </w:r>
          </w:p>
        </w:tc>
        <w:tc>
          <w:tcPr>
            <w:tcW w:w="5041" w:type="dxa"/>
          </w:tcPr>
          <w:p w:rsidR="0064687C" w:rsidRPr="0064687C" w:rsidRDefault="0064687C" w:rsidP="0064687C">
            <w:pPr>
              <w:cnfStyle w:val="000000010000" w:firstRow="0" w:lastRow="0" w:firstColumn="0" w:lastColumn="0" w:oddVBand="0" w:evenVBand="0" w:oddHBand="0" w:evenHBand="1" w:firstRowFirstColumn="0" w:firstRowLastColumn="0" w:lastRowFirstColumn="0" w:lastRowLastColumn="0"/>
            </w:pPr>
            <w:r>
              <w:t>net present value</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opex</w:t>
            </w:r>
          </w:p>
        </w:tc>
        <w:tc>
          <w:tcPr>
            <w:tcW w:w="5041" w:type="dxa"/>
          </w:tcPr>
          <w:p w:rsidR="0064687C" w:rsidRDefault="0064687C" w:rsidP="0064687C">
            <w:pPr>
              <w:numPr>
                <w:ilvl w:val="0"/>
                <w:numId w:val="24"/>
              </w:numPr>
              <w:cnfStyle w:val="000000000000" w:firstRow="0" w:lastRow="0" w:firstColumn="0" w:lastColumn="0" w:oddVBand="0" w:evenVBand="0" w:oddHBand="0" w:evenHBand="0" w:firstRowFirstColumn="0" w:firstRowLastColumn="0" w:lastRowFirstColumn="0" w:lastRowLastColumn="0"/>
            </w:pPr>
            <w:r>
              <w:t>operating expenditure</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PTRM</w:t>
            </w:r>
          </w:p>
        </w:tc>
        <w:tc>
          <w:tcPr>
            <w:tcW w:w="5041" w:type="dxa"/>
          </w:tcPr>
          <w:p w:rsidR="0064687C" w:rsidRDefault="0064687C" w:rsidP="0064687C">
            <w:pPr>
              <w:numPr>
                <w:ilvl w:val="0"/>
                <w:numId w:val="24"/>
              </w:numPr>
              <w:cnfStyle w:val="000000010000" w:firstRow="0" w:lastRow="0" w:firstColumn="0" w:lastColumn="0" w:oddVBand="0" w:evenVBand="0" w:oddHBand="0" w:evenHBand="1" w:firstRowFirstColumn="0" w:firstRowLastColumn="0" w:lastRowFirstColumn="0" w:lastRowLastColumn="0"/>
            </w:pPr>
            <w:r>
              <w:t>post-tax revenue model</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RBA</w:t>
            </w:r>
          </w:p>
        </w:tc>
        <w:tc>
          <w:tcPr>
            <w:tcW w:w="5041" w:type="dxa"/>
          </w:tcPr>
          <w:p w:rsidR="0064687C" w:rsidRDefault="0064687C" w:rsidP="0064687C">
            <w:pPr>
              <w:numPr>
                <w:ilvl w:val="0"/>
                <w:numId w:val="24"/>
              </w:numPr>
              <w:cnfStyle w:val="000000000000" w:firstRow="0" w:lastRow="0" w:firstColumn="0" w:lastColumn="0" w:oddVBand="0" w:evenVBand="0" w:oddHBand="0" w:evenHBand="0" w:firstRowFirstColumn="0" w:firstRowLastColumn="0" w:lastRowFirstColumn="0" w:lastRowLastColumn="0"/>
            </w:pPr>
            <w:r>
              <w:t>Reserve Bank of Australia</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RFM</w:t>
            </w:r>
          </w:p>
        </w:tc>
        <w:tc>
          <w:tcPr>
            <w:tcW w:w="5041" w:type="dxa"/>
          </w:tcPr>
          <w:p w:rsidR="0064687C" w:rsidRDefault="0064687C" w:rsidP="0064687C">
            <w:pPr>
              <w:numPr>
                <w:ilvl w:val="0"/>
                <w:numId w:val="24"/>
              </w:numPr>
              <w:cnfStyle w:val="000000010000" w:firstRow="0" w:lastRow="0" w:firstColumn="0" w:lastColumn="0" w:oddVBand="0" w:evenVBand="0" w:oddHBand="0" w:evenHBand="1" w:firstRowFirstColumn="0" w:firstRowLastColumn="0" w:lastRowFirstColumn="0" w:lastRowLastColumn="0"/>
            </w:pPr>
            <w:r>
              <w:t>roll forward model</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RIN</w:t>
            </w:r>
          </w:p>
        </w:tc>
        <w:tc>
          <w:tcPr>
            <w:tcW w:w="5041" w:type="dxa"/>
          </w:tcPr>
          <w:p w:rsidR="0064687C" w:rsidRDefault="0064687C" w:rsidP="0064687C">
            <w:pPr>
              <w:numPr>
                <w:ilvl w:val="0"/>
                <w:numId w:val="24"/>
              </w:numPr>
              <w:cnfStyle w:val="000000000000" w:firstRow="0" w:lastRow="0" w:firstColumn="0" w:lastColumn="0" w:oddVBand="0" w:evenVBand="0" w:oddHBand="0" w:evenHBand="0" w:firstRowFirstColumn="0" w:firstRowLastColumn="0" w:lastRowFirstColumn="0" w:lastRowLastColumn="0"/>
            </w:pPr>
            <w:r>
              <w:t>regulatory information notice</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RPP</w:t>
            </w:r>
          </w:p>
        </w:tc>
        <w:tc>
          <w:tcPr>
            <w:tcW w:w="5041" w:type="dxa"/>
          </w:tcPr>
          <w:p w:rsidR="0064687C" w:rsidRDefault="0064687C" w:rsidP="0064687C">
            <w:pPr>
              <w:numPr>
                <w:ilvl w:val="0"/>
                <w:numId w:val="24"/>
              </w:numPr>
              <w:cnfStyle w:val="000000010000" w:firstRow="0" w:lastRow="0" w:firstColumn="0" w:lastColumn="0" w:oddVBand="0" w:evenVBand="0" w:oddHBand="0" w:evenHBand="1" w:firstRowFirstColumn="0" w:firstRowLastColumn="0" w:lastRowFirstColumn="0" w:lastRowLastColumn="0"/>
            </w:pPr>
            <w:r>
              <w:t>revenue and pricing principles</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SLCAPM</w:t>
            </w:r>
          </w:p>
        </w:tc>
        <w:tc>
          <w:tcPr>
            <w:tcW w:w="5041" w:type="dxa"/>
          </w:tcPr>
          <w:p w:rsidR="0064687C" w:rsidRDefault="0064687C" w:rsidP="0064687C">
            <w:pPr>
              <w:numPr>
                <w:ilvl w:val="0"/>
                <w:numId w:val="24"/>
              </w:numPr>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STTM</w:t>
            </w:r>
          </w:p>
        </w:tc>
        <w:tc>
          <w:tcPr>
            <w:tcW w:w="5041" w:type="dxa"/>
          </w:tcPr>
          <w:p w:rsidR="0064687C" w:rsidRPr="0064687C" w:rsidRDefault="0064687C" w:rsidP="0064687C">
            <w:pPr>
              <w:cnfStyle w:val="000000010000" w:firstRow="0" w:lastRow="0" w:firstColumn="0" w:lastColumn="0" w:oddVBand="0" w:evenVBand="0" w:oddHBand="0" w:evenHBand="1" w:firstRowFirstColumn="0" w:firstRowLastColumn="0" w:lastRowFirstColumn="0" w:lastRowLastColumn="0"/>
            </w:pPr>
            <w:r>
              <w:t>Short Term Trading Market</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TAB</w:t>
            </w:r>
          </w:p>
        </w:tc>
        <w:tc>
          <w:tcPr>
            <w:tcW w:w="5041" w:type="dxa"/>
          </w:tcPr>
          <w:p w:rsidR="0064687C" w:rsidRPr="0064687C" w:rsidRDefault="0064687C" w:rsidP="0064687C">
            <w:pPr>
              <w:cnfStyle w:val="000000000000" w:firstRow="0" w:lastRow="0" w:firstColumn="0" w:lastColumn="0" w:oddVBand="0" w:evenVBand="0" w:oddHBand="0" w:evenHBand="0" w:firstRowFirstColumn="0" w:firstRowLastColumn="0" w:lastRowFirstColumn="0" w:lastRowLastColumn="0"/>
            </w:pPr>
            <w:r>
              <w:t>Tax asset base</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UAFG</w:t>
            </w:r>
          </w:p>
        </w:tc>
        <w:tc>
          <w:tcPr>
            <w:tcW w:w="5041" w:type="dxa"/>
          </w:tcPr>
          <w:p w:rsidR="0064687C" w:rsidRPr="0064687C" w:rsidRDefault="0064687C" w:rsidP="0064687C">
            <w:pPr>
              <w:cnfStyle w:val="000000010000" w:firstRow="0" w:lastRow="0" w:firstColumn="0" w:lastColumn="0" w:oddVBand="0" w:evenVBand="0" w:oddHBand="0" w:evenHBand="1" w:firstRowFirstColumn="0" w:firstRowLastColumn="0" w:lastRowFirstColumn="0" w:lastRowLastColumn="0"/>
            </w:pPr>
            <w:r>
              <w:t>Unaccounted for gas</w:t>
            </w:r>
          </w:p>
        </w:tc>
      </w:tr>
      <w:tr w:rsidR="0064687C" w:rsidTr="00697B81">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WACC</w:t>
            </w:r>
          </w:p>
        </w:tc>
        <w:tc>
          <w:tcPr>
            <w:tcW w:w="5041" w:type="dxa"/>
          </w:tcPr>
          <w:p w:rsidR="0064687C" w:rsidRDefault="0064687C" w:rsidP="0064687C">
            <w:pPr>
              <w:numPr>
                <w:ilvl w:val="0"/>
                <w:numId w:val="24"/>
              </w:numPr>
              <w:cnfStyle w:val="000000000000" w:firstRow="0" w:lastRow="0" w:firstColumn="0" w:lastColumn="0" w:oddVBand="0" w:evenVBand="0" w:oddHBand="0" w:evenHBand="0" w:firstRowFirstColumn="0" w:firstRowLastColumn="0" w:lastRowFirstColumn="0" w:lastRowLastColumn="0"/>
            </w:pPr>
            <w:r>
              <w:t>weighted average cost of capital</w:t>
            </w:r>
          </w:p>
        </w:tc>
      </w:tr>
      <w:tr w:rsidR="0064687C" w:rsidTr="00697B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2" w:type="dxa"/>
          </w:tcPr>
          <w:p w:rsidR="0064687C" w:rsidRDefault="0064687C" w:rsidP="0064687C">
            <w:pPr>
              <w:numPr>
                <w:ilvl w:val="0"/>
                <w:numId w:val="24"/>
              </w:numPr>
            </w:pPr>
            <w:r>
              <w:t>WPI</w:t>
            </w:r>
          </w:p>
        </w:tc>
        <w:tc>
          <w:tcPr>
            <w:tcW w:w="5041" w:type="dxa"/>
          </w:tcPr>
          <w:p w:rsidR="0064687C" w:rsidRPr="0064687C" w:rsidRDefault="0064687C" w:rsidP="0064687C">
            <w:pPr>
              <w:cnfStyle w:val="000000010000" w:firstRow="0" w:lastRow="0" w:firstColumn="0" w:lastColumn="0" w:oddVBand="0" w:evenVBand="0" w:oddHBand="0" w:evenHBand="1" w:firstRowFirstColumn="0" w:firstRowLastColumn="0" w:lastRowFirstColumn="0" w:lastRowLastColumn="0"/>
            </w:pPr>
            <w:r>
              <w:t>Wage Price Index</w:t>
            </w:r>
          </w:p>
        </w:tc>
      </w:tr>
    </w:tbl>
    <w:p w:rsidR="00DE563D" w:rsidRDefault="00DD3546" w:rsidP="00DD3546">
      <w:pPr>
        <w:pStyle w:val="Heading1"/>
      </w:pPr>
      <w:bookmarkStart w:id="12" w:name="_Toc416278154"/>
      <w:bookmarkStart w:id="13" w:name="_Toc416346517"/>
      <w:bookmarkStart w:id="14" w:name="_Toc416278157"/>
      <w:bookmarkStart w:id="15" w:name="_Toc416346520"/>
      <w:bookmarkStart w:id="16" w:name="_Toc416278160"/>
      <w:bookmarkStart w:id="17" w:name="_Toc416346523"/>
      <w:bookmarkStart w:id="18" w:name="_Toc416278163"/>
      <w:bookmarkStart w:id="19" w:name="_Toc416346526"/>
      <w:bookmarkStart w:id="20" w:name="_Toc416278166"/>
      <w:bookmarkStart w:id="21" w:name="_Toc416346529"/>
      <w:bookmarkStart w:id="22" w:name="_Toc416278169"/>
      <w:bookmarkStart w:id="23" w:name="_Toc416346532"/>
      <w:bookmarkStart w:id="24" w:name="_Toc416278172"/>
      <w:bookmarkStart w:id="25" w:name="_Toc416346535"/>
      <w:bookmarkStart w:id="26" w:name="_Toc416278175"/>
      <w:bookmarkStart w:id="27" w:name="_Toc416346538"/>
      <w:bookmarkStart w:id="28" w:name="_Toc416278178"/>
      <w:bookmarkStart w:id="29" w:name="_Toc416346541"/>
      <w:bookmarkStart w:id="30" w:name="_Toc416278181"/>
      <w:bookmarkStart w:id="31" w:name="_Toc416346544"/>
      <w:bookmarkStart w:id="32" w:name="_Toc416278184"/>
      <w:bookmarkStart w:id="33" w:name="_Toc416346547"/>
      <w:bookmarkStart w:id="34" w:name="_Toc416278187"/>
      <w:bookmarkStart w:id="35" w:name="_Toc416346550"/>
      <w:bookmarkStart w:id="36" w:name="_Toc416278190"/>
      <w:bookmarkStart w:id="37" w:name="_Toc416346553"/>
      <w:bookmarkStart w:id="38" w:name="_Toc416278193"/>
      <w:bookmarkStart w:id="39" w:name="_Toc416346556"/>
      <w:bookmarkStart w:id="40" w:name="_Toc416278196"/>
      <w:bookmarkStart w:id="41" w:name="_Toc416346559"/>
      <w:bookmarkStart w:id="42" w:name="_Toc416278199"/>
      <w:bookmarkStart w:id="43" w:name="_Toc416346562"/>
      <w:bookmarkStart w:id="44" w:name="_Toc416278202"/>
      <w:bookmarkStart w:id="45" w:name="_Toc416346565"/>
      <w:bookmarkStart w:id="46" w:name="_Toc416278205"/>
      <w:bookmarkStart w:id="47" w:name="_Toc416346568"/>
      <w:bookmarkStart w:id="48" w:name="_Toc416278208"/>
      <w:bookmarkStart w:id="49" w:name="_Toc416346571"/>
      <w:bookmarkStart w:id="50" w:name="_Toc416278211"/>
      <w:bookmarkStart w:id="51" w:name="_Toc416346574"/>
      <w:bookmarkStart w:id="52" w:name="_Toc416278214"/>
      <w:bookmarkStart w:id="53" w:name="_Toc416346577"/>
      <w:bookmarkStart w:id="54" w:name="_Toc416278217"/>
      <w:bookmarkStart w:id="55" w:name="_Toc416346580"/>
      <w:bookmarkStart w:id="56" w:name="_Toc416278220"/>
      <w:bookmarkStart w:id="57" w:name="_Toc416346583"/>
      <w:bookmarkStart w:id="58" w:name="_Toc416278223"/>
      <w:bookmarkStart w:id="59" w:name="_Toc416346586"/>
      <w:bookmarkStart w:id="60" w:name="_Toc416278226"/>
      <w:bookmarkStart w:id="61" w:name="_Toc416346589"/>
      <w:bookmarkStart w:id="62" w:name="_Toc416278229"/>
      <w:bookmarkStart w:id="63" w:name="_Toc416346592"/>
      <w:bookmarkStart w:id="64" w:name="_Toc416278232"/>
      <w:bookmarkStart w:id="65" w:name="_Toc416346595"/>
      <w:bookmarkStart w:id="66" w:name="_Toc416278235"/>
      <w:bookmarkStart w:id="67" w:name="_Toc416346598"/>
      <w:bookmarkStart w:id="68" w:name="_Toc416278238"/>
      <w:bookmarkStart w:id="69" w:name="_Toc416346601"/>
      <w:bookmarkStart w:id="70" w:name="_Toc486832775"/>
      <w:bookmarkEnd w:id="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t>Efficiency carryover mechanism</w:t>
      </w:r>
      <w:bookmarkEnd w:id="70"/>
    </w:p>
    <w:p w:rsidR="00E5084C" w:rsidRDefault="00E5084C" w:rsidP="00E5084C">
      <w:r>
        <w:t xml:space="preserve">An efficiency carryover mechanism provides an additional incentive for service providers to pursue efficiency improvements in operating expenditure (opex). It is often used in incentive regulation. </w:t>
      </w:r>
    </w:p>
    <w:p w:rsidR="00E5084C" w:rsidRDefault="00E5084C" w:rsidP="00E5084C">
      <w:r>
        <w:t xml:space="preserve">To encourage a service provider to become more efficient, it is allowed to keep any difference between its approved opex forecast and its actual opex in an access arrangement period. This is supplemented by the efficiency carryover mechanism, </w:t>
      </w:r>
      <w:r w:rsidR="007B3AD2">
        <w:t>which provides that the service provider benefits from efficiency gains and is penalised by efficiency losses</w:t>
      </w:r>
      <w:r w:rsidR="009D6F1B" w:rsidRPr="009D6F1B">
        <w:t xml:space="preserve"> </w:t>
      </w:r>
      <w:r w:rsidR="009D6F1B">
        <w:t>over a longer period</w:t>
      </w:r>
      <w:r w:rsidR="007B3AD2">
        <w:t xml:space="preserve">. In total these rewards and penalties work together to provide a continuous incentive for a service provider to pursue efficiency gains over the access arrangement period. The efficiency carryover mechanism also discourages a service provider from inflating its opex in the expected base year for the following access arrangement period because this could lead to higher forecast opex for that period. </w:t>
      </w:r>
      <w:r>
        <w:t xml:space="preserve"> </w:t>
      </w:r>
    </w:p>
    <w:p w:rsidR="00E5084C" w:rsidRDefault="00E5084C" w:rsidP="00E5084C">
      <w:r>
        <w:t xml:space="preserve">Consumers benefit from </w:t>
      </w:r>
      <w:r w:rsidR="009D6F1B">
        <w:t xml:space="preserve">any </w:t>
      </w:r>
      <w:r>
        <w:t>efficiency gains made by the service provider as we base our opex forecast for the next access arrangement period on the service provider's lower revealed opex. This is how efficiency improvements are shared between consumers and the business.</w:t>
      </w:r>
    </w:p>
    <w:p w:rsidR="00E5084C" w:rsidRPr="001E239F" w:rsidRDefault="00E5084C" w:rsidP="00E5084C">
      <w:r>
        <w:t>An efficiency carryover mechanism applied to AGN</w:t>
      </w:r>
      <w:r w:rsidR="00163AB4">
        <w:t>'s</w:t>
      </w:r>
      <w:r>
        <w:t xml:space="preserve"> Victoria </w:t>
      </w:r>
      <w:r w:rsidR="00163AB4">
        <w:t xml:space="preserve">network </w:t>
      </w:r>
      <w:r>
        <w:t xml:space="preserve">and </w:t>
      </w:r>
      <w:r w:rsidR="00163AB4">
        <w:t xml:space="preserve">its </w:t>
      </w:r>
      <w:r>
        <w:t>Albury</w:t>
      </w:r>
      <w:r w:rsidR="00163AB4">
        <w:t xml:space="preserve"> network</w:t>
      </w:r>
      <w:r>
        <w:t xml:space="preserve"> during the 2013–17 access arrangement </w:t>
      </w:r>
      <w:proofErr w:type="gramStart"/>
      <w:r>
        <w:t>period</w:t>
      </w:r>
      <w:proofErr w:type="gramEnd"/>
      <w:r>
        <w:t xml:space="preserve">. </w:t>
      </w:r>
      <w:r>
        <w:rPr>
          <w:rStyle w:val="AERbody"/>
        </w:rPr>
        <w:t>AGN</w:t>
      </w:r>
      <w:r w:rsidRPr="0082272C">
        <w:rPr>
          <w:rStyle w:val="AERbody"/>
        </w:rPr>
        <w:t xml:space="preserve"> proposed an efficiency carryover m</w:t>
      </w:r>
      <w:r>
        <w:rPr>
          <w:rStyle w:val="AERbody"/>
        </w:rPr>
        <w:t xml:space="preserve">echanism apply to </w:t>
      </w:r>
      <w:r w:rsidR="009D6F1B">
        <w:rPr>
          <w:rStyle w:val="AERbody"/>
        </w:rPr>
        <w:t>the joint network</w:t>
      </w:r>
      <w:r>
        <w:rPr>
          <w:rStyle w:val="AERbody"/>
        </w:rPr>
        <w:t xml:space="preserve"> in the 2018–22</w:t>
      </w:r>
      <w:r w:rsidRPr="0082272C">
        <w:rPr>
          <w:rStyle w:val="AERbody"/>
        </w:rPr>
        <w:t xml:space="preserve"> access arrangement </w:t>
      </w:r>
      <w:proofErr w:type="gramStart"/>
      <w:r w:rsidRPr="0082272C">
        <w:rPr>
          <w:rStyle w:val="AERbody"/>
        </w:rPr>
        <w:t>period</w:t>
      </w:r>
      <w:proofErr w:type="gramEnd"/>
      <w:r w:rsidRPr="0082272C">
        <w:rPr>
          <w:rStyle w:val="AERbody"/>
        </w:rPr>
        <w:t>.</w:t>
      </w:r>
    </w:p>
    <w:p w:rsidR="00E5084C" w:rsidRDefault="00E5084C" w:rsidP="00E5084C">
      <w:pPr>
        <w:pStyle w:val="Heading2"/>
      </w:pPr>
      <w:bookmarkStart w:id="71" w:name="_Toc408404320"/>
      <w:bookmarkStart w:id="72" w:name="_Toc419366913"/>
      <w:bookmarkStart w:id="73" w:name="_Toc479174750"/>
      <w:bookmarkStart w:id="74" w:name="_Toc483397594"/>
      <w:bookmarkStart w:id="75" w:name="_Toc486832776"/>
      <w:r>
        <w:t>Draft</w:t>
      </w:r>
      <w:r w:rsidRPr="0074565D">
        <w:t xml:space="preserve"> decision</w:t>
      </w:r>
      <w:bookmarkEnd w:id="71"/>
      <w:bookmarkEnd w:id="72"/>
      <w:bookmarkEnd w:id="73"/>
      <w:bookmarkEnd w:id="74"/>
      <w:bookmarkEnd w:id="75"/>
    </w:p>
    <w:p w:rsidR="00163AB4" w:rsidRDefault="00163AB4" w:rsidP="00163AB4">
      <w:bookmarkStart w:id="76" w:name="_Toc419366914"/>
      <w:r>
        <w:rPr>
          <w:rStyle w:val="AERbody"/>
        </w:rPr>
        <w:t xml:space="preserve">Our draft decision is to </w:t>
      </w:r>
      <w:r w:rsidRPr="0060237E">
        <w:rPr>
          <w:rStyle w:val="AERbody"/>
        </w:rPr>
        <w:t>appro</w:t>
      </w:r>
      <w:r>
        <w:rPr>
          <w:rStyle w:val="AERbody"/>
        </w:rPr>
        <w:t xml:space="preserve">ve carryover </w:t>
      </w:r>
      <w:r w:rsidR="005B36AF">
        <w:rPr>
          <w:rStyle w:val="AERbody"/>
        </w:rPr>
        <w:t xml:space="preserve">amounts </w:t>
      </w:r>
      <w:r>
        <w:rPr>
          <w:rStyle w:val="AERbody"/>
        </w:rPr>
        <w:t xml:space="preserve">of </w:t>
      </w:r>
      <w:r w:rsidRPr="0060237E">
        <w:rPr>
          <w:rStyle w:val="AERbody"/>
        </w:rPr>
        <w:t>$</w:t>
      </w:r>
      <w:r>
        <w:t>18.1</w:t>
      </w:r>
      <w:r>
        <w:rPr>
          <w:rStyle w:val="AERbody"/>
        </w:rPr>
        <w:t xml:space="preserve"> million ($2017) for AGN's Victorian network and $1.0 million ($2017</w:t>
      </w:r>
      <w:r w:rsidRPr="0060237E">
        <w:rPr>
          <w:rStyle w:val="AERbody"/>
        </w:rPr>
        <w:t xml:space="preserve">) </w:t>
      </w:r>
      <w:r>
        <w:rPr>
          <w:rStyle w:val="AERbody"/>
        </w:rPr>
        <w:t>for its Albury network,</w:t>
      </w:r>
      <w:r w:rsidRPr="0060237E">
        <w:rPr>
          <w:rStyle w:val="AERbody"/>
        </w:rPr>
        <w:t xml:space="preserve"> from the app</w:t>
      </w:r>
      <w:r>
        <w:rPr>
          <w:rStyle w:val="AERbody"/>
        </w:rPr>
        <w:t>lication of their efficiency carryover mechanisms in the 2013–17</w:t>
      </w:r>
      <w:r w:rsidRPr="0060237E">
        <w:rPr>
          <w:rStyle w:val="AERbody"/>
        </w:rPr>
        <w:t xml:space="preserve"> </w:t>
      </w:r>
      <w:r>
        <w:rPr>
          <w:rStyle w:val="AERbody"/>
        </w:rPr>
        <w:t>access arrangement</w:t>
      </w:r>
      <w:r w:rsidRPr="0060237E">
        <w:rPr>
          <w:rStyle w:val="AERbody"/>
        </w:rPr>
        <w:t xml:space="preserve"> </w:t>
      </w:r>
      <w:proofErr w:type="gramStart"/>
      <w:r w:rsidRPr="0060237E">
        <w:rPr>
          <w:rStyle w:val="AERbody"/>
        </w:rPr>
        <w:t>period</w:t>
      </w:r>
      <w:proofErr w:type="gramEnd"/>
      <w:r w:rsidRPr="0060237E">
        <w:rPr>
          <w:rStyle w:val="AERbody"/>
        </w:rPr>
        <w:t xml:space="preserve">. </w:t>
      </w:r>
      <w:r>
        <w:rPr>
          <w:rStyle w:val="AERbody"/>
        </w:rPr>
        <w:t xml:space="preserve">AGN's proposal was based on an estimate of its opex for 2016, which we have updated with actual opex (as contemplated in AGN's proposal). As a result, the carryover amount approved in this draft decision </w:t>
      </w:r>
      <w:r w:rsidRPr="00883854">
        <w:rPr>
          <w:rStyle w:val="AERbody"/>
        </w:rPr>
        <w:t>is $</w:t>
      </w:r>
      <w:r>
        <w:rPr>
          <w:rStyle w:val="AERbody"/>
        </w:rPr>
        <w:t xml:space="preserve">7.0 million </w:t>
      </w:r>
      <w:r w:rsidR="00B21E18">
        <w:rPr>
          <w:rStyle w:val="AERbody"/>
        </w:rPr>
        <w:t>($20</w:t>
      </w:r>
      <w:r w:rsidR="00B21E18" w:rsidRPr="00883854">
        <w:rPr>
          <w:rStyle w:val="AERbody"/>
        </w:rPr>
        <w:t xml:space="preserve">17) </w:t>
      </w:r>
      <w:r>
        <w:rPr>
          <w:rStyle w:val="AERbody"/>
        </w:rPr>
        <w:t>less</w:t>
      </w:r>
      <w:r w:rsidRPr="00883854">
        <w:rPr>
          <w:rStyle w:val="AERbody"/>
        </w:rPr>
        <w:t xml:space="preserve"> than </w:t>
      </w:r>
      <w:r>
        <w:rPr>
          <w:rStyle w:val="AERbody"/>
        </w:rPr>
        <w:t>AGN proposed for its Victorian network and $0.4 million ($20</w:t>
      </w:r>
      <w:r w:rsidRPr="00883854">
        <w:rPr>
          <w:rStyle w:val="AERbody"/>
        </w:rPr>
        <w:t xml:space="preserve">17) </w:t>
      </w:r>
      <w:r>
        <w:rPr>
          <w:rStyle w:val="AERbody"/>
        </w:rPr>
        <w:t xml:space="preserve">less than it proposed for </w:t>
      </w:r>
      <w:r w:rsidR="005B36AF">
        <w:rPr>
          <w:rStyle w:val="AERbody"/>
        </w:rPr>
        <w:t xml:space="preserve">its </w:t>
      </w:r>
      <w:r>
        <w:rPr>
          <w:rStyle w:val="AERbody"/>
        </w:rPr>
        <w:t>Albury</w:t>
      </w:r>
      <w:r w:rsidR="005B36AF">
        <w:rPr>
          <w:rStyle w:val="AERbody"/>
        </w:rPr>
        <w:t xml:space="preserve"> network</w:t>
      </w:r>
      <w:r w:rsidRPr="00883854">
        <w:rPr>
          <w:rStyle w:val="AERbody"/>
        </w:rPr>
        <w:t xml:space="preserve">. </w:t>
      </w:r>
    </w:p>
    <w:p w:rsidR="0064687C" w:rsidRDefault="005B36AF" w:rsidP="00163AB4">
      <w:r>
        <w:t>O</w:t>
      </w:r>
      <w:r w:rsidR="00163AB4" w:rsidRPr="004664BA">
        <w:t xml:space="preserve">ur draft decision on the carryover </w:t>
      </w:r>
      <w:r w:rsidR="00333B4E">
        <w:t xml:space="preserve">amounts </w:t>
      </w:r>
      <w:r w:rsidR="00424EAE">
        <w:t>for the Victorian network</w:t>
      </w:r>
      <w:r>
        <w:t xml:space="preserve"> is set out in </w:t>
      </w:r>
      <w:r>
        <w:fldChar w:fldCharType="begin"/>
      </w:r>
      <w:r>
        <w:instrText xml:space="preserve"> REF _Ref483549621 \h </w:instrText>
      </w:r>
      <w:r>
        <w:fldChar w:fldCharType="separate"/>
      </w:r>
      <w:r w:rsidR="0071749E">
        <w:t xml:space="preserve">Table </w:t>
      </w:r>
      <w:r w:rsidR="0071749E">
        <w:rPr>
          <w:noProof/>
        </w:rPr>
        <w:t>9</w:t>
      </w:r>
      <w:r w:rsidR="0071749E">
        <w:t>.</w:t>
      </w:r>
      <w:r w:rsidR="0071749E">
        <w:rPr>
          <w:noProof/>
        </w:rPr>
        <w:t>1</w:t>
      </w:r>
      <w:r>
        <w:fldChar w:fldCharType="end"/>
      </w:r>
      <w:r w:rsidR="00163AB4" w:rsidRPr="004664BA">
        <w:t>.</w:t>
      </w:r>
      <w:r w:rsidR="00424EAE">
        <w:t xml:space="preserve"> </w:t>
      </w:r>
    </w:p>
    <w:p w:rsidR="0064687C" w:rsidRDefault="0064687C">
      <w:pPr>
        <w:spacing w:line="240" w:lineRule="auto"/>
      </w:pPr>
      <w:r>
        <w:br w:type="page"/>
      </w:r>
    </w:p>
    <w:p w:rsidR="00163AB4" w:rsidRPr="004664BA" w:rsidRDefault="005B69D6" w:rsidP="005B69D6">
      <w:pPr>
        <w:pStyle w:val="Caption"/>
      </w:pPr>
      <w:bookmarkStart w:id="77" w:name="_Ref483549621"/>
      <w:bookmarkStart w:id="78" w:name="_GoBack"/>
      <w:bookmarkEnd w:id="78"/>
      <w:proofErr w:type="gramStart"/>
      <w:r>
        <w:t xml:space="preserve">Table </w:t>
      </w:r>
      <w:proofErr w:type="gramEnd"/>
      <w:r w:rsidR="0071749E">
        <w:fldChar w:fldCharType="begin"/>
      </w:r>
      <w:r w:rsidR="0071749E">
        <w:instrText xml:space="preserve"> STYLEREF 1 \s </w:instrText>
      </w:r>
      <w:r w:rsidR="0071749E">
        <w:fldChar w:fldCharType="separate"/>
      </w:r>
      <w:r w:rsidR="0071749E">
        <w:rPr>
          <w:noProof/>
        </w:rPr>
        <w:t>9</w:t>
      </w:r>
      <w:r w:rsidR="0071749E">
        <w:rPr>
          <w:noProof/>
        </w:rPr>
        <w:fldChar w:fldCharType="end"/>
      </w:r>
      <w:proofErr w:type="gramStart"/>
      <w:r>
        <w:t>.</w:t>
      </w:r>
      <w:proofErr w:type="gramEnd"/>
      <w:r w:rsidR="00866830">
        <w:fldChar w:fldCharType="begin"/>
      </w:r>
      <w:r w:rsidR="00866830">
        <w:instrText xml:space="preserve"> SEQ Table \* ARABIC \s 1 </w:instrText>
      </w:r>
      <w:r w:rsidR="00866830">
        <w:fldChar w:fldCharType="separate"/>
      </w:r>
      <w:r w:rsidR="0071749E">
        <w:rPr>
          <w:noProof/>
        </w:rPr>
        <w:t>1</w:t>
      </w:r>
      <w:r w:rsidR="00866830">
        <w:rPr>
          <w:noProof/>
        </w:rPr>
        <w:fldChar w:fldCharType="end"/>
      </w:r>
      <w:bookmarkEnd w:id="77"/>
      <w:r w:rsidR="00163AB4">
        <w:tab/>
      </w:r>
      <w:r w:rsidR="005B36AF">
        <w:t>Our</w:t>
      </w:r>
      <w:r w:rsidR="00163AB4" w:rsidRPr="004664BA">
        <w:t xml:space="preserve"> draft decision on </w:t>
      </w:r>
      <w:r w:rsidR="002435ED">
        <w:t>the Victorian network's</w:t>
      </w:r>
      <w:r w:rsidR="002435ED" w:rsidRPr="004664BA">
        <w:t xml:space="preserve"> </w:t>
      </w:r>
      <w:r w:rsidR="00163AB4" w:rsidRPr="004664BA">
        <w:t>carryover amounts ($</w:t>
      </w:r>
      <w:r w:rsidR="00176B6D">
        <w:t xml:space="preserve"> </w:t>
      </w:r>
      <w:r w:rsidR="00163AB4" w:rsidRPr="004664BA">
        <w:t>million, $201</w:t>
      </w:r>
      <w:r w:rsidR="00163AB4">
        <w:t>7</w:t>
      </w:r>
      <w:r w:rsidR="00163AB4" w:rsidRPr="004664BA">
        <w:t>)</w:t>
      </w:r>
    </w:p>
    <w:tbl>
      <w:tblPr>
        <w:tblStyle w:val="AERtable-numbers"/>
        <w:tblW w:w="4811" w:type="pct"/>
        <w:tblInd w:w="108" w:type="dxa"/>
        <w:tblLayout w:type="fixed"/>
        <w:tblLook w:val="04A0" w:firstRow="1" w:lastRow="0" w:firstColumn="1" w:lastColumn="0" w:noHBand="0" w:noVBand="1"/>
      </w:tblPr>
      <w:tblGrid>
        <w:gridCol w:w="3189"/>
        <w:gridCol w:w="862"/>
        <w:gridCol w:w="863"/>
        <w:gridCol w:w="863"/>
        <w:gridCol w:w="861"/>
        <w:gridCol w:w="863"/>
        <w:gridCol w:w="863"/>
      </w:tblGrid>
      <w:tr w:rsidR="00163AB4" w:rsidRPr="004664BA" w:rsidTr="005B6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vAlign w:val="top"/>
          </w:tcPr>
          <w:p w:rsidR="00163AB4" w:rsidRPr="00140111" w:rsidRDefault="00163AB4" w:rsidP="00163AB4"/>
        </w:tc>
        <w:tc>
          <w:tcPr>
            <w:tcW w:w="515" w:type="pct"/>
            <w:vAlign w:val="top"/>
          </w:tcPr>
          <w:p w:rsidR="00163AB4" w:rsidRPr="00163AB4" w:rsidRDefault="00163AB4" w:rsidP="00163AB4">
            <w:pPr>
              <w:cnfStyle w:val="100000000000" w:firstRow="1" w:lastRow="0" w:firstColumn="0" w:lastColumn="0" w:oddVBand="0" w:evenVBand="0" w:oddHBand="0" w:evenHBand="0" w:firstRowFirstColumn="0" w:firstRowLastColumn="0" w:lastRowFirstColumn="0" w:lastRowLastColumn="0"/>
            </w:pPr>
            <w:r>
              <w:t>2017</w:t>
            </w:r>
          </w:p>
        </w:tc>
        <w:tc>
          <w:tcPr>
            <w:tcW w:w="516" w:type="pct"/>
            <w:vAlign w:val="top"/>
          </w:tcPr>
          <w:p w:rsidR="00163AB4" w:rsidRPr="00163AB4" w:rsidRDefault="00163AB4" w:rsidP="00163AB4">
            <w:pPr>
              <w:cnfStyle w:val="100000000000" w:firstRow="1" w:lastRow="0" w:firstColumn="0" w:lastColumn="0" w:oddVBand="0" w:evenVBand="0" w:oddHBand="0" w:evenHBand="0" w:firstRowFirstColumn="0" w:firstRowLastColumn="0" w:lastRowFirstColumn="0" w:lastRowLastColumn="0"/>
            </w:pPr>
            <w:r>
              <w:t>2018</w:t>
            </w:r>
          </w:p>
        </w:tc>
        <w:tc>
          <w:tcPr>
            <w:tcW w:w="516" w:type="pct"/>
            <w:vAlign w:val="top"/>
          </w:tcPr>
          <w:p w:rsidR="00163AB4" w:rsidRPr="00163AB4" w:rsidRDefault="00163AB4" w:rsidP="00163AB4">
            <w:pPr>
              <w:cnfStyle w:val="100000000000" w:firstRow="1" w:lastRow="0" w:firstColumn="0" w:lastColumn="0" w:oddVBand="0" w:evenVBand="0" w:oddHBand="0" w:evenHBand="0" w:firstRowFirstColumn="0" w:firstRowLastColumn="0" w:lastRowFirstColumn="0" w:lastRowLastColumn="0"/>
            </w:pPr>
            <w:r>
              <w:t>2019</w:t>
            </w:r>
          </w:p>
        </w:tc>
        <w:tc>
          <w:tcPr>
            <w:tcW w:w="515" w:type="pct"/>
            <w:vAlign w:val="top"/>
          </w:tcPr>
          <w:p w:rsidR="00163AB4" w:rsidRPr="00163AB4" w:rsidRDefault="00163AB4" w:rsidP="00163AB4">
            <w:pPr>
              <w:cnfStyle w:val="100000000000" w:firstRow="1" w:lastRow="0" w:firstColumn="0" w:lastColumn="0" w:oddVBand="0" w:evenVBand="0" w:oddHBand="0" w:evenHBand="0" w:firstRowFirstColumn="0" w:firstRowLastColumn="0" w:lastRowFirstColumn="0" w:lastRowLastColumn="0"/>
            </w:pPr>
            <w:r>
              <w:t>2020</w:t>
            </w:r>
          </w:p>
        </w:tc>
        <w:tc>
          <w:tcPr>
            <w:tcW w:w="516" w:type="pct"/>
            <w:vAlign w:val="top"/>
          </w:tcPr>
          <w:p w:rsidR="00163AB4" w:rsidRPr="00163AB4" w:rsidRDefault="00163AB4" w:rsidP="00163AB4">
            <w:pPr>
              <w:cnfStyle w:val="100000000000" w:firstRow="1" w:lastRow="0" w:firstColumn="0" w:lastColumn="0" w:oddVBand="0" w:evenVBand="0" w:oddHBand="0" w:evenHBand="0" w:firstRowFirstColumn="0" w:firstRowLastColumn="0" w:lastRowFirstColumn="0" w:lastRowLastColumn="0"/>
            </w:pPr>
            <w:r>
              <w:t>2021</w:t>
            </w:r>
          </w:p>
        </w:tc>
        <w:tc>
          <w:tcPr>
            <w:tcW w:w="516" w:type="pct"/>
          </w:tcPr>
          <w:p w:rsidR="00163AB4" w:rsidRPr="00163AB4" w:rsidRDefault="00163AB4" w:rsidP="00163AB4">
            <w:pPr>
              <w:cnfStyle w:val="100000000000" w:firstRow="1" w:lastRow="0" w:firstColumn="0" w:lastColumn="0" w:oddVBand="0" w:evenVBand="0" w:oddHBand="0" w:evenHBand="0" w:firstRowFirstColumn="0" w:firstRowLastColumn="0" w:lastRowFirstColumn="0" w:lastRowLastColumn="0"/>
            </w:pPr>
            <w:r w:rsidRPr="00140111">
              <w:t>Total</w:t>
            </w:r>
          </w:p>
        </w:tc>
      </w:tr>
      <w:tr w:rsidR="00163AB4" w:rsidRPr="004664BA" w:rsidTr="005B69D6">
        <w:tc>
          <w:tcPr>
            <w:cnfStyle w:val="001000000000" w:firstRow="0" w:lastRow="0" w:firstColumn="1" w:lastColumn="0" w:oddVBand="0" w:evenVBand="0" w:oddHBand="0" w:evenHBand="0" w:firstRowFirstColumn="0" w:firstRowLastColumn="0" w:lastRowFirstColumn="0" w:lastRowLastColumn="0"/>
            <w:tcW w:w="1906" w:type="pct"/>
          </w:tcPr>
          <w:p w:rsidR="00163AB4" w:rsidRPr="00163AB4" w:rsidRDefault="00163AB4" w:rsidP="00575C36">
            <w:r>
              <w:t>AGN</w:t>
            </w:r>
            <w:r w:rsidR="00176B6D">
              <w:t>'s</w:t>
            </w:r>
            <w:r>
              <w:t xml:space="preserve"> </w:t>
            </w:r>
            <w:r w:rsidRPr="00163AB4">
              <w:t>proposed carryover</w:t>
            </w:r>
            <w:r w:rsidR="00575C36">
              <w:t>—</w:t>
            </w:r>
            <w:r w:rsidRPr="00163AB4">
              <w:t>Victoria</w:t>
            </w:r>
          </w:p>
        </w:tc>
        <w:tc>
          <w:tcPr>
            <w:tcW w:w="515" w:type="pct"/>
            <w:vAlign w:val="top"/>
          </w:tcPr>
          <w:p w:rsidR="00163AB4" w:rsidRPr="00163AB4" w:rsidRDefault="00163AB4" w:rsidP="00163AB4">
            <w:pPr>
              <w:cnfStyle w:val="000000000000" w:firstRow="0" w:lastRow="0" w:firstColumn="0" w:lastColumn="0" w:oddVBand="0" w:evenVBand="0" w:oddHBand="0" w:evenHBand="0" w:firstRowFirstColumn="0" w:firstRowLastColumn="0" w:lastRowFirstColumn="0" w:lastRowLastColumn="0"/>
            </w:pPr>
            <w:r>
              <w:t>14.8</w:t>
            </w:r>
          </w:p>
        </w:tc>
        <w:tc>
          <w:tcPr>
            <w:tcW w:w="516" w:type="pct"/>
            <w:vAlign w:val="top"/>
          </w:tcPr>
          <w:p w:rsidR="00163AB4" w:rsidRPr="00163AB4" w:rsidRDefault="00163AB4" w:rsidP="00163AB4">
            <w:pPr>
              <w:cnfStyle w:val="000000000000" w:firstRow="0" w:lastRow="0" w:firstColumn="0" w:lastColumn="0" w:oddVBand="0" w:evenVBand="0" w:oddHBand="0" w:evenHBand="0" w:firstRowFirstColumn="0" w:firstRowLastColumn="0" w:lastRowFirstColumn="0" w:lastRowLastColumn="0"/>
            </w:pPr>
            <w:r>
              <w:t>6.4</w:t>
            </w:r>
          </w:p>
        </w:tc>
        <w:tc>
          <w:tcPr>
            <w:tcW w:w="516" w:type="pct"/>
            <w:vAlign w:val="top"/>
          </w:tcPr>
          <w:p w:rsidR="00163AB4" w:rsidRPr="00163AB4" w:rsidRDefault="00163AB4" w:rsidP="00163AB4">
            <w:pPr>
              <w:cnfStyle w:val="000000000000" w:firstRow="0" w:lastRow="0" w:firstColumn="0" w:lastColumn="0" w:oddVBand="0" w:evenVBand="0" w:oddHBand="0" w:evenHBand="0" w:firstRowFirstColumn="0" w:firstRowLastColumn="0" w:lastRowFirstColumn="0" w:lastRowLastColumn="0"/>
            </w:pPr>
            <w:r>
              <w:t>4.4</w:t>
            </w:r>
          </w:p>
        </w:tc>
        <w:tc>
          <w:tcPr>
            <w:tcW w:w="515" w:type="pct"/>
            <w:vAlign w:val="top"/>
          </w:tcPr>
          <w:p w:rsidR="00163AB4" w:rsidRPr="00163AB4" w:rsidRDefault="00575C36" w:rsidP="00163AB4">
            <w:pPr>
              <w:cnfStyle w:val="000000000000" w:firstRow="0" w:lastRow="0" w:firstColumn="0" w:lastColumn="0" w:oddVBand="0" w:evenVBand="0" w:oddHBand="0" w:evenHBand="0" w:firstRowFirstColumn="0" w:firstRowLastColumn="0" w:lastRowFirstColumn="0" w:lastRowLastColumn="0"/>
            </w:pPr>
            <w:r>
              <w:t>–</w:t>
            </w:r>
            <w:r w:rsidR="00163AB4">
              <w:t>0.4</w:t>
            </w:r>
          </w:p>
        </w:tc>
        <w:tc>
          <w:tcPr>
            <w:tcW w:w="516" w:type="pct"/>
            <w:vAlign w:val="top"/>
          </w:tcPr>
          <w:p w:rsidR="00163AB4" w:rsidRPr="00163AB4" w:rsidRDefault="00575C36" w:rsidP="00163AB4">
            <w:pPr>
              <w:cnfStyle w:val="000000000000" w:firstRow="0" w:lastRow="0" w:firstColumn="0" w:lastColumn="0" w:oddVBand="0" w:evenVBand="0" w:oddHBand="0" w:evenHBand="0" w:firstRowFirstColumn="0" w:firstRowLastColumn="0" w:lastRowFirstColumn="0" w:lastRowLastColumn="0"/>
            </w:pPr>
            <w:r>
              <w:t>–</w:t>
            </w:r>
          </w:p>
        </w:tc>
        <w:tc>
          <w:tcPr>
            <w:tcW w:w="516" w:type="pct"/>
          </w:tcPr>
          <w:p w:rsidR="00163AB4" w:rsidRPr="00163AB4" w:rsidRDefault="00163AB4" w:rsidP="00163AB4">
            <w:pPr>
              <w:cnfStyle w:val="000000000000" w:firstRow="0" w:lastRow="0" w:firstColumn="0" w:lastColumn="0" w:oddVBand="0" w:evenVBand="0" w:oddHBand="0" w:evenHBand="0" w:firstRowFirstColumn="0" w:firstRowLastColumn="0" w:lastRowFirstColumn="0" w:lastRowLastColumn="0"/>
            </w:pPr>
            <w:r>
              <w:t>25.1</w:t>
            </w:r>
          </w:p>
        </w:tc>
      </w:tr>
      <w:tr w:rsidR="00163AB4" w:rsidRPr="00333B4E" w:rsidTr="005B69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tcPr>
          <w:p w:rsidR="00163AB4" w:rsidRPr="00333B4E" w:rsidRDefault="00163AB4" w:rsidP="00575C36">
            <w:r w:rsidRPr="00333B4E">
              <w:t>Draft decision</w:t>
            </w:r>
            <w:r w:rsidR="00575C36">
              <w:t>—</w:t>
            </w:r>
            <w:r w:rsidR="00424EAE" w:rsidRPr="00333B4E">
              <w:t>Victoria</w:t>
            </w:r>
          </w:p>
        </w:tc>
        <w:tc>
          <w:tcPr>
            <w:tcW w:w="515" w:type="pct"/>
            <w:vAlign w:val="top"/>
          </w:tcPr>
          <w:p w:rsidR="00163AB4" w:rsidRPr="00333B4E" w:rsidRDefault="00163AB4" w:rsidP="00333B4E">
            <w:pPr>
              <w:cnfStyle w:val="000000010000" w:firstRow="0" w:lastRow="0" w:firstColumn="0" w:lastColumn="0" w:oddVBand="0" w:evenVBand="0" w:oddHBand="0" w:evenHBand="1" w:firstRowFirstColumn="0" w:firstRowLastColumn="0" w:lastRowFirstColumn="0" w:lastRowLastColumn="0"/>
            </w:pPr>
            <w:r w:rsidRPr="00333B4E">
              <w:t>11.6</w:t>
            </w:r>
          </w:p>
        </w:tc>
        <w:tc>
          <w:tcPr>
            <w:tcW w:w="516" w:type="pct"/>
            <w:vAlign w:val="top"/>
          </w:tcPr>
          <w:p w:rsidR="00163AB4" w:rsidRPr="00333B4E" w:rsidRDefault="00163AB4" w:rsidP="00333B4E">
            <w:pPr>
              <w:cnfStyle w:val="000000010000" w:firstRow="0" w:lastRow="0" w:firstColumn="0" w:lastColumn="0" w:oddVBand="0" w:evenVBand="0" w:oddHBand="0" w:evenHBand="1" w:firstRowFirstColumn="0" w:firstRowLastColumn="0" w:lastRowFirstColumn="0" w:lastRowLastColumn="0"/>
            </w:pPr>
            <w:r w:rsidRPr="00333B4E">
              <w:t>5.1</w:t>
            </w:r>
          </w:p>
        </w:tc>
        <w:tc>
          <w:tcPr>
            <w:tcW w:w="516" w:type="pct"/>
            <w:vAlign w:val="top"/>
          </w:tcPr>
          <w:p w:rsidR="00163AB4" w:rsidRPr="00333B4E" w:rsidRDefault="00163AB4" w:rsidP="00333B4E">
            <w:pPr>
              <w:cnfStyle w:val="000000010000" w:firstRow="0" w:lastRow="0" w:firstColumn="0" w:lastColumn="0" w:oddVBand="0" w:evenVBand="0" w:oddHBand="0" w:evenHBand="1" w:firstRowFirstColumn="0" w:firstRowLastColumn="0" w:lastRowFirstColumn="0" w:lastRowLastColumn="0"/>
            </w:pPr>
            <w:r w:rsidRPr="00333B4E">
              <w:t>3.1</w:t>
            </w:r>
          </w:p>
        </w:tc>
        <w:tc>
          <w:tcPr>
            <w:tcW w:w="515" w:type="pct"/>
            <w:vAlign w:val="top"/>
          </w:tcPr>
          <w:p w:rsidR="00163AB4" w:rsidRPr="00333B4E" w:rsidRDefault="00575C36" w:rsidP="00333B4E">
            <w:pPr>
              <w:cnfStyle w:val="000000010000" w:firstRow="0" w:lastRow="0" w:firstColumn="0" w:lastColumn="0" w:oddVBand="0" w:evenVBand="0" w:oddHBand="0" w:evenHBand="1" w:firstRowFirstColumn="0" w:firstRowLastColumn="0" w:lastRowFirstColumn="0" w:lastRowLastColumn="0"/>
            </w:pPr>
            <w:r>
              <w:t>–</w:t>
            </w:r>
            <w:r w:rsidR="00163AB4" w:rsidRPr="00333B4E">
              <w:t>1.8</w:t>
            </w:r>
          </w:p>
        </w:tc>
        <w:tc>
          <w:tcPr>
            <w:tcW w:w="516" w:type="pct"/>
            <w:vAlign w:val="top"/>
          </w:tcPr>
          <w:p w:rsidR="00163AB4" w:rsidRPr="00333B4E" w:rsidRDefault="00575C36" w:rsidP="00333B4E">
            <w:pPr>
              <w:cnfStyle w:val="000000010000" w:firstRow="0" w:lastRow="0" w:firstColumn="0" w:lastColumn="0" w:oddVBand="0" w:evenVBand="0" w:oddHBand="0" w:evenHBand="1" w:firstRowFirstColumn="0" w:firstRowLastColumn="0" w:lastRowFirstColumn="0" w:lastRowLastColumn="0"/>
            </w:pPr>
            <w:r>
              <w:t>–</w:t>
            </w:r>
          </w:p>
        </w:tc>
        <w:tc>
          <w:tcPr>
            <w:tcW w:w="516" w:type="pct"/>
          </w:tcPr>
          <w:p w:rsidR="00163AB4" w:rsidRPr="00333B4E" w:rsidRDefault="00163AB4" w:rsidP="00333B4E">
            <w:pPr>
              <w:cnfStyle w:val="000000010000" w:firstRow="0" w:lastRow="0" w:firstColumn="0" w:lastColumn="0" w:oddVBand="0" w:evenVBand="0" w:oddHBand="0" w:evenHBand="1" w:firstRowFirstColumn="0" w:firstRowLastColumn="0" w:lastRowFirstColumn="0" w:lastRowLastColumn="0"/>
            </w:pPr>
            <w:r w:rsidRPr="00333B4E">
              <w:t>18.1</w:t>
            </w:r>
          </w:p>
        </w:tc>
      </w:tr>
      <w:tr w:rsidR="00163AB4" w:rsidRPr="00333B4E" w:rsidTr="005B69D6">
        <w:tc>
          <w:tcPr>
            <w:cnfStyle w:val="001000000000" w:firstRow="0" w:lastRow="0" w:firstColumn="1" w:lastColumn="0" w:oddVBand="0" w:evenVBand="0" w:oddHBand="0" w:evenHBand="0" w:firstRowFirstColumn="0" w:firstRowLastColumn="0" w:lastRowFirstColumn="0" w:lastRowLastColumn="0"/>
            <w:tcW w:w="1906" w:type="pct"/>
          </w:tcPr>
          <w:p w:rsidR="00163AB4" w:rsidRPr="00333B4E" w:rsidRDefault="00163AB4" w:rsidP="00424EAE">
            <w:pPr>
              <w:rPr>
                <w:rStyle w:val="Strong"/>
              </w:rPr>
            </w:pPr>
            <w:r w:rsidRPr="00333B4E">
              <w:rPr>
                <w:rStyle w:val="Strong"/>
              </w:rPr>
              <w:t>Difference</w:t>
            </w:r>
          </w:p>
        </w:tc>
        <w:tc>
          <w:tcPr>
            <w:tcW w:w="515" w:type="pct"/>
            <w:vAlign w:val="top"/>
          </w:tcPr>
          <w:p w:rsidR="00163AB4" w:rsidRPr="00333B4E" w:rsidRDefault="00575C36" w:rsidP="00424EA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163AB4" w:rsidRPr="00333B4E">
              <w:rPr>
                <w:rStyle w:val="Strong"/>
              </w:rPr>
              <w:t>3.1</w:t>
            </w:r>
          </w:p>
        </w:tc>
        <w:tc>
          <w:tcPr>
            <w:tcW w:w="516" w:type="pct"/>
            <w:vAlign w:val="top"/>
          </w:tcPr>
          <w:p w:rsidR="00163AB4" w:rsidRPr="00333B4E" w:rsidRDefault="00575C36" w:rsidP="00424EA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163AB4" w:rsidRPr="00333B4E">
              <w:rPr>
                <w:rStyle w:val="Strong"/>
              </w:rPr>
              <w:t>1.2</w:t>
            </w:r>
          </w:p>
        </w:tc>
        <w:tc>
          <w:tcPr>
            <w:tcW w:w="516" w:type="pct"/>
            <w:vAlign w:val="top"/>
          </w:tcPr>
          <w:p w:rsidR="00163AB4" w:rsidRPr="00333B4E" w:rsidRDefault="00575C36" w:rsidP="00424EA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163AB4" w:rsidRPr="00333B4E">
              <w:rPr>
                <w:rStyle w:val="Strong"/>
              </w:rPr>
              <w:t>1.3</w:t>
            </w:r>
          </w:p>
        </w:tc>
        <w:tc>
          <w:tcPr>
            <w:tcW w:w="515" w:type="pct"/>
            <w:vAlign w:val="top"/>
          </w:tcPr>
          <w:p w:rsidR="00163AB4" w:rsidRPr="00333B4E" w:rsidRDefault="00575C36" w:rsidP="00424EA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163AB4" w:rsidRPr="00333B4E">
              <w:rPr>
                <w:rStyle w:val="Strong"/>
              </w:rPr>
              <w:t>1.3</w:t>
            </w:r>
          </w:p>
        </w:tc>
        <w:tc>
          <w:tcPr>
            <w:tcW w:w="516" w:type="pct"/>
            <w:vAlign w:val="top"/>
          </w:tcPr>
          <w:p w:rsidR="00163AB4" w:rsidRPr="00333B4E" w:rsidRDefault="00575C36" w:rsidP="00424EA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p>
        </w:tc>
        <w:tc>
          <w:tcPr>
            <w:tcW w:w="516" w:type="pct"/>
          </w:tcPr>
          <w:p w:rsidR="00163AB4" w:rsidRPr="00333B4E" w:rsidRDefault="00575C36" w:rsidP="00424EA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163AB4" w:rsidRPr="00333B4E">
              <w:rPr>
                <w:rStyle w:val="Strong"/>
              </w:rPr>
              <w:t>7.0</w:t>
            </w:r>
          </w:p>
        </w:tc>
      </w:tr>
    </w:tbl>
    <w:p w:rsidR="00163AB4" w:rsidRPr="00140111" w:rsidRDefault="00163AB4" w:rsidP="00163AB4">
      <w:pPr>
        <w:pStyle w:val="AERtablesource"/>
      </w:pPr>
      <w:r w:rsidRPr="004664BA">
        <w:t>Source</w:t>
      </w:r>
      <w:r w:rsidRPr="00140111">
        <w:t>:</w:t>
      </w:r>
      <w:r w:rsidRPr="00140111">
        <w:tab/>
        <w:t>AER analysis.</w:t>
      </w:r>
      <w:r w:rsidR="008A72E8">
        <w:t xml:space="preserve"> Numbers may not add up due to rounding.</w:t>
      </w:r>
    </w:p>
    <w:p w:rsidR="00424EAE" w:rsidRPr="004664BA" w:rsidRDefault="005B36AF" w:rsidP="00424EAE">
      <w:r>
        <w:t>O</w:t>
      </w:r>
      <w:r w:rsidR="00424EAE" w:rsidRPr="004664BA">
        <w:t>ur draft decision on the carryover amounts</w:t>
      </w:r>
      <w:r w:rsidR="00424EAE">
        <w:t xml:space="preserve"> for the Albury network</w:t>
      </w:r>
      <w:r>
        <w:t xml:space="preserve"> is set out in </w:t>
      </w:r>
      <w:r>
        <w:br/>
      </w:r>
      <w:r>
        <w:fldChar w:fldCharType="begin"/>
      </w:r>
      <w:r>
        <w:instrText xml:space="preserve"> REF _Ref483997168 \h </w:instrText>
      </w:r>
      <w:r>
        <w:fldChar w:fldCharType="separate"/>
      </w:r>
      <w:r w:rsidR="0071749E">
        <w:t xml:space="preserve">Table </w:t>
      </w:r>
      <w:r w:rsidR="0071749E">
        <w:rPr>
          <w:noProof/>
        </w:rPr>
        <w:t>9</w:t>
      </w:r>
      <w:r w:rsidR="0071749E">
        <w:t>.</w:t>
      </w:r>
      <w:r w:rsidR="0071749E">
        <w:rPr>
          <w:noProof/>
        </w:rPr>
        <w:t>2</w:t>
      </w:r>
      <w:r>
        <w:fldChar w:fldCharType="end"/>
      </w:r>
      <w:r w:rsidR="00424EAE" w:rsidRPr="004664BA">
        <w:t>.</w:t>
      </w:r>
      <w:r w:rsidR="00424EAE">
        <w:t xml:space="preserve"> </w:t>
      </w:r>
    </w:p>
    <w:p w:rsidR="00424EAE" w:rsidRPr="004664BA" w:rsidRDefault="00424EAE" w:rsidP="00424EAE">
      <w:pPr>
        <w:pStyle w:val="Caption"/>
      </w:pPr>
      <w:bookmarkStart w:id="79" w:name="_Ref483997168"/>
      <w:proofErr w:type="gramStart"/>
      <w:r>
        <w:t xml:space="preserve">Table </w:t>
      </w:r>
      <w:proofErr w:type="gramEnd"/>
      <w:r w:rsidR="0071749E">
        <w:fldChar w:fldCharType="begin"/>
      </w:r>
      <w:r w:rsidR="0071749E">
        <w:instrText xml:space="preserve"> STYLEREF 1 \s </w:instrText>
      </w:r>
      <w:r w:rsidR="0071749E">
        <w:fldChar w:fldCharType="separate"/>
      </w:r>
      <w:r w:rsidR="0071749E">
        <w:rPr>
          <w:noProof/>
        </w:rPr>
        <w:t>9</w:t>
      </w:r>
      <w:r w:rsidR="0071749E">
        <w:rPr>
          <w:noProof/>
        </w:rPr>
        <w:fldChar w:fldCharType="end"/>
      </w:r>
      <w:proofErr w:type="gramStart"/>
      <w:r>
        <w:t>.</w:t>
      </w:r>
      <w:proofErr w:type="gramEnd"/>
      <w:r w:rsidR="00866830">
        <w:fldChar w:fldCharType="begin"/>
      </w:r>
      <w:r w:rsidR="00866830">
        <w:instrText xml:space="preserve"> SEQ Table \* ARABIC \s 1 </w:instrText>
      </w:r>
      <w:r w:rsidR="00866830">
        <w:fldChar w:fldCharType="separate"/>
      </w:r>
      <w:r w:rsidR="0071749E">
        <w:rPr>
          <w:noProof/>
        </w:rPr>
        <w:t>2</w:t>
      </w:r>
      <w:r w:rsidR="00866830">
        <w:rPr>
          <w:noProof/>
        </w:rPr>
        <w:fldChar w:fldCharType="end"/>
      </w:r>
      <w:bookmarkEnd w:id="79"/>
      <w:r>
        <w:tab/>
      </w:r>
      <w:r w:rsidR="005B36AF">
        <w:t>Our</w:t>
      </w:r>
      <w:r w:rsidRPr="004664BA">
        <w:t xml:space="preserve"> draft decision on </w:t>
      </w:r>
      <w:r w:rsidR="002435ED">
        <w:t xml:space="preserve">the Albury network's </w:t>
      </w:r>
      <w:r w:rsidRPr="004664BA">
        <w:t>carryover amounts ($</w:t>
      </w:r>
      <w:r w:rsidR="00176B6D">
        <w:t xml:space="preserve"> </w:t>
      </w:r>
      <w:r w:rsidRPr="004664BA">
        <w:t>million, $201</w:t>
      </w:r>
      <w:r>
        <w:t>7</w:t>
      </w:r>
      <w:r w:rsidRPr="004664BA">
        <w:t>)</w:t>
      </w:r>
    </w:p>
    <w:tbl>
      <w:tblPr>
        <w:tblStyle w:val="AERtable-numbers"/>
        <w:tblW w:w="4811" w:type="pct"/>
        <w:tblInd w:w="108" w:type="dxa"/>
        <w:tblLayout w:type="fixed"/>
        <w:tblLook w:val="04A0" w:firstRow="1" w:lastRow="0" w:firstColumn="1" w:lastColumn="0" w:noHBand="0" w:noVBand="1"/>
      </w:tblPr>
      <w:tblGrid>
        <w:gridCol w:w="3189"/>
        <w:gridCol w:w="862"/>
        <w:gridCol w:w="863"/>
        <w:gridCol w:w="863"/>
        <w:gridCol w:w="861"/>
        <w:gridCol w:w="863"/>
        <w:gridCol w:w="863"/>
      </w:tblGrid>
      <w:tr w:rsidR="00424EAE" w:rsidRPr="004664BA" w:rsidTr="00424E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vAlign w:val="top"/>
          </w:tcPr>
          <w:p w:rsidR="00424EAE" w:rsidRPr="00140111" w:rsidRDefault="00424EAE" w:rsidP="00424EAE"/>
        </w:tc>
        <w:tc>
          <w:tcPr>
            <w:tcW w:w="515" w:type="pct"/>
            <w:vAlign w:val="top"/>
          </w:tcPr>
          <w:p w:rsidR="00424EAE" w:rsidRPr="00424EAE" w:rsidRDefault="00424EAE" w:rsidP="00424EAE">
            <w:pPr>
              <w:cnfStyle w:val="100000000000" w:firstRow="1" w:lastRow="0" w:firstColumn="0" w:lastColumn="0" w:oddVBand="0" w:evenVBand="0" w:oddHBand="0" w:evenHBand="0" w:firstRowFirstColumn="0" w:firstRowLastColumn="0" w:lastRowFirstColumn="0" w:lastRowLastColumn="0"/>
            </w:pPr>
            <w:r>
              <w:t>2017</w:t>
            </w:r>
          </w:p>
        </w:tc>
        <w:tc>
          <w:tcPr>
            <w:tcW w:w="516" w:type="pct"/>
            <w:vAlign w:val="top"/>
          </w:tcPr>
          <w:p w:rsidR="00424EAE" w:rsidRPr="00424EAE" w:rsidRDefault="00424EAE" w:rsidP="00424EAE">
            <w:pPr>
              <w:cnfStyle w:val="100000000000" w:firstRow="1" w:lastRow="0" w:firstColumn="0" w:lastColumn="0" w:oddVBand="0" w:evenVBand="0" w:oddHBand="0" w:evenHBand="0" w:firstRowFirstColumn="0" w:firstRowLastColumn="0" w:lastRowFirstColumn="0" w:lastRowLastColumn="0"/>
            </w:pPr>
            <w:r>
              <w:t>2018</w:t>
            </w:r>
          </w:p>
        </w:tc>
        <w:tc>
          <w:tcPr>
            <w:tcW w:w="516" w:type="pct"/>
            <w:vAlign w:val="top"/>
          </w:tcPr>
          <w:p w:rsidR="00424EAE" w:rsidRPr="00424EAE" w:rsidRDefault="00424EAE" w:rsidP="00424EAE">
            <w:pPr>
              <w:cnfStyle w:val="100000000000" w:firstRow="1" w:lastRow="0" w:firstColumn="0" w:lastColumn="0" w:oddVBand="0" w:evenVBand="0" w:oddHBand="0" w:evenHBand="0" w:firstRowFirstColumn="0" w:firstRowLastColumn="0" w:lastRowFirstColumn="0" w:lastRowLastColumn="0"/>
            </w:pPr>
            <w:r>
              <w:t>2019</w:t>
            </w:r>
          </w:p>
        </w:tc>
        <w:tc>
          <w:tcPr>
            <w:tcW w:w="515" w:type="pct"/>
            <w:vAlign w:val="top"/>
          </w:tcPr>
          <w:p w:rsidR="00424EAE" w:rsidRPr="00424EAE" w:rsidRDefault="00424EAE" w:rsidP="00424EAE">
            <w:pPr>
              <w:cnfStyle w:val="100000000000" w:firstRow="1" w:lastRow="0" w:firstColumn="0" w:lastColumn="0" w:oddVBand="0" w:evenVBand="0" w:oddHBand="0" w:evenHBand="0" w:firstRowFirstColumn="0" w:firstRowLastColumn="0" w:lastRowFirstColumn="0" w:lastRowLastColumn="0"/>
            </w:pPr>
            <w:r>
              <w:t>2020</w:t>
            </w:r>
          </w:p>
        </w:tc>
        <w:tc>
          <w:tcPr>
            <w:tcW w:w="516" w:type="pct"/>
            <w:vAlign w:val="top"/>
          </w:tcPr>
          <w:p w:rsidR="00424EAE" w:rsidRPr="00424EAE" w:rsidRDefault="00424EAE" w:rsidP="00424EAE">
            <w:pPr>
              <w:cnfStyle w:val="100000000000" w:firstRow="1" w:lastRow="0" w:firstColumn="0" w:lastColumn="0" w:oddVBand="0" w:evenVBand="0" w:oddHBand="0" w:evenHBand="0" w:firstRowFirstColumn="0" w:firstRowLastColumn="0" w:lastRowFirstColumn="0" w:lastRowLastColumn="0"/>
            </w:pPr>
            <w:r>
              <w:t>2021</w:t>
            </w:r>
          </w:p>
        </w:tc>
        <w:tc>
          <w:tcPr>
            <w:tcW w:w="516" w:type="pct"/>
          </w:tcPr>
          <w:p w:rsidR="00424EAE" w:rsidRPr="00424EAE" w:rsidRDefault="00424EAE" w:rsidP="00424EAE">
            <w:pPr>
              <w:cnfStyle w:val="100000000000" w:firstRow="1" w:lastRow="0" w:firstColumn="0" w:lastColumn="0" w:oddVBand="0" w:evenVBand="0" w:oddHBand="0" w:evenHBand="0" w:firstRowFirstColumn="0" w:firstRowLastColumn="0" w:lastRowFirstColumn="0" w:lastRowLastColumn="0"/>
            </w:pPr>
            <w:r w:rsidRPr="00140111">
              <w:t>Total</w:t>
            </w:r>
          </w:p>
        </w:tc>
      </w:tr>
      <w:tr w:rsidR="00424EAE" w:rsidRPr="004664BA" w:rsidTr="00424EAE">
        <w:tc>
          <w:tcPr>
            <w:cnfStyle w:val="001000000000" w:firstRow="0" w:lastRow="0" w:firstColumn="1" w:lastColumn="0" w:oddVBand="0" w:evenVBand="0" w:oddHBand="0" w:evenHBand="0" w:firstRowFirstColumn="0" w:firstRowLastColumn="0" w:lastRowFirstColumn="0" w:lastRowLastColumn="0"/>
            <w:tcW w:w="1906" w:type="pct"/>
          </w:tcPr>
          <w:p w:rsidR="00424EAE" w:rsidRPr="00424EAE" w:rsidRDefault="00424EAE" w:rsidP="00575C36">
            <w:r>
              <w:t>A</w:t>
            </w:r>
            <w:r w:rsidRPr="00424EAE">
              <w:t>GN</w:t>
            </w:r>
            <w:r w:rsidR="00176B6D">
              <w:t>'s</w:t>
            </w:r>
            <w:r w:rsidRPr="00424EAE">
              <w:t xml:space="preserve"> proposed carryover</w:t>
            </w:r>
            <w:r w:rsidR="00575C36">
              <w:t>—</w:t>
            </w:r>
            <w:r w:rsidRPr="00424EAE">
              <w:t>Albury</w:t>
            </w:r>
          </w:p>
        </w:tc>
        <w:tc>
          <w:tcPr>
            <w:tcW w:w="515" w:type="pct"/>
            <w:vAlign w:val="top"/>
          </w:tcPr>
          <w:p w:rsidR="00424EAE" w:rsidRPr="00424EAE" w:rsidRDefault="00424EAE" w:rsidP="00424EAE">
            <w:pPr>
              <w:cnfStyle w:val="000000000000" w:firstRow="0" w:lastRow="0" w:firstColumn="0" w:lastColumn="0" w:oddVBand="0" w:evenVBand="0" w:oddHBand="0" w:evenHBand="0" w:firstRowFirstColumn="0" w:firstRowLastColumn="0" w:lastRowFirstColumn="0" w:lastRowLastColumn="0"/>
            </w:pPr>
            <w:r>
              <w:t>1.3</w:t>
            </w:r>
          </w:p>
        </w:tc>
        <w:tc>
          <w:tcPr>
            <w:tcW w:w="516" w:type="pct"/>
            <w:vAlign w:val="top"/>
          </w:tcPr>
          <w:p w:rsidR="00424EAE" w:rsidRPr="00424EAE" w:rsidRDefault="00424EAE" w:rsidP="00424EAE">
            <w:pPr>
              <w:cnfStyle w:val="000000000000" w:firstRow="0" w:lastRow="0" w:firstColumn="0" w:lastColumn="0" w:oddVBand="0" w:evenVBand="0" w:oddHBand="0" w:evenHBand="0" w:firstRowFirstColumn="0" w:firstRowLastColumn="0" w:lastRowFirstColumn="0" w:lastRowLastColumn="0"/>
            </w:pPr>
            <w:r>
              <w:t>0.1</w:t>
            </w:r>
          </w:p>
        </w:tc>
        <w:tc>
          <w:tcPr>
            <w:tcW w:w="516" w:type="pct"/>
            <w:vAlign w:val="top"/>
          </w:tcPr>
          <w:p w:rsidR="00424EAE" w:rsidRPr="00424EAE" w:rsidRDefault="00424EAE" w:rsidP="00424EAE">
            <w:pPr>
              <w:cnfStyle w:val="000000000000" w:firstRow="0" w:lastRow="0" w:firstColumn="0" w:lastColumn="0" w:oddVBand="0" w:evenVBand="0" w:oddHBand="0" w:evenHBand="0" w:firstRowFirstColumn="0" w:firstRowLastColumn="0" w:lastRowFirstColumn="0" w:lastRowLastColumn="0"/>
            </w:pPr>
            <w:r>
              <w:t>0.2</w:t>
            </w:r>
          </w:p>
        </w:tc>
        <w:tc>
          <w:tcPr>
            <w:tcW w:w="515" w:type="pct"/>
            <w:vAlign w:val="top"/>
          </w:tcPr>
          <w:p w:rsidR="00424EAE" w:rsidRPr="00424EAE" w:rsidRDefault="00575C36" w:rsidP="00424EAE">
            <w:pPr>
              <w:cnfStyle w:val="000000000000" w:firstRow="0" w:lastRow="0" w:firstColumn="0" w:lastColumn="0" w:oddVBand="0" w:evenVBand="0" w:oddHBand="0" w:evenHBand="0" w:firstRowFirstColumn="0" w:firstRowLastColumn="0" w:lastRowFirstColumn="0" w:lastRowLastColumn="0"/>
            </w:pPr>
            <w:r>
              <w:t>–</w:t>
            </w:r>
            <w:r w:rsidR="00424EAE">
              <w:t>0.1</w:t>
            </w:r>
          </w:p>
        </w:tc>
        <w:tc>
          <w:tcPr>
            <w:tcW w:w="516" w:type="pct"/>
            <w:vAlign w:val="top"/>
          </w:tcPr>
          <w:p w:rsidR="00424EAE" w:rsidRPr="00424EAE" w:rsidRDefault="00575C36" w:rsidP="00424EAE">
            <w:pPr>
              <w:cnfStyle w:val="000000000000" w:firstRow="0" w:lastRow="0" w:firstColumn="0" w:lastColumn="0" w:oddVBand="0" w:evenVBand="0" w:oddHBand="0" w:evenHBand="0" w:firstRowFirstColumn="0" w:firstRowLastColumn="0" w:lastRowFirstColumn="0" w:lastRowLastColumn="0"/>
            </w:pPr>
            <w:r>
              <w:t>–</w:t>
            </w:r>
          </w:p>
        </w:tc>
        <w:tc>
          <w:tcPr>
            <w:tcW w:w="516" w:type="pct"/>
          </w:tcPr>
          <w:p w:rsidR="00424EAE" w:rsidRPr="00424EAE" w:rsidRDefault="00424EAE" w:rsidP="00424EAE">
            <w:pPr>
              <w:cnfStyle w:val="000000000000" w:firstRow="0" w:lastRow="0" w:firstColumn="0" w:lastColumn="0" w:oddVBand="0" w:evenVBand="0" w:oddHBand="0" w:evenHBand="0" w:firstRowFirstColumn="0" w:firstRowLastColumn="0" w:lastRowFirstColumn="0" w:lastRowLastColumn="0"/>
            </w:pPr>
            <w:r>
              <w:t>1.4</w:t>
            </w:r>
          </w:p>
        </w:tc>
      </w:tr>
      <w:tr w:rsidR="00424EAE" w:rsidRPr="00333B4E" w:rsidTr="00424E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6" w:type="pct"/>
          </w:tcPr>
          <w:p w:rsidR="00424EAE" w:rsidRPr="00333B4E" w:rsidRDefault="00424EAE" w:rsidP="00575C36">
            <w:r w:rsidRPr="00333B4E">
              <w:t>Draft decision</w:t>
            </w:r>
            <w:r w:rsidR="00575C36">
              <w:t>—</w:t>
            </w:r>
            <w:r w:rsidRPr="00333B4E">
              <w:t>Albury</w:t>
            </w:r>
          </w:p>
        </w:tc>
        <w:tc>
          <w:tcPr>
            <w:tcW w:w="515" w:type="pct"/>
            <w:vAlign w:val="top"/>
          </w:tcPr>
          <w:p w:rsidR="00424EAE" w:rsidRPr="00333B4E" w:rsidRDefault="00424EAE" w:rsidP="00333B4E">
            <w:pPr>
              <w:cnfStyle w:val="000000010000" w:firstRow="0" w:lastRow="0" w:firstColumn="0" w:lastColumn="0" w:oddVBand="0" w:evenVBand="0" w:oddHBand="0" w:evenHBand="1" w:firstRowFirstColumn="0" w:firstRowLastColumn="0" w:lastRowFirstColumn="0" w:lastRowLastColumn="0"/>
            </w:pPr>
            <w:r w:rsidRPr="00333B4E">
              <w:t>1.3</w:t>
            </w:r>
          </w:p>
        </w:tc>
        <w:tc>
          <w:tcPr>
            <w:tcW w:w="516" w:type="pct"/>
            <w:vAlign w:val="top"/>
          </w:tcPr>
          <w:p w:rsidR="00424EAE" w:rsidRPr="00333B4E" w:rsidRDefault="00B21E18" w:rsidP="00333B4E">
            <w:pPr>
              <w:cnfStyle w:val="000000010000" w:firstRow="0" w:lastRow="0" w:firstColumn="0" w:lastColumn="0" w:oddVBand="0" w:evenVBand="0" w:oddHBand="0" w:evenHBand="1" w:firstRowFirstColumn="0" w:firstRowLastColumn="0" w:lastRowFirstColumn="0" w:lastRowLastColumn="0"/>
            </w:pPr>
            <w:r>
              <w:t>–</w:t>
            </w:r>
            <w:r w:rsidR="00424EAE" w:rsidRPr="00333B4E">
              <w:t>0.0</w:t>
            </w:r>
          </w:p>
        </w:tc>
        <w:tc>
          <w:tcPr>
            <w:tcW w:w="516" w:type="pct"/>
            <w:vAlign w:val="top"/>
          </w:tcPr>
          <w:p w:rsidR="00424EAE" w:rsidRPr="00333B4E" w:rsidRDefault="00424EAE" w:rsidP="00333B4E">
            <w:pPr>
              <w:cnfStyle w:val="000000010000" w:firstRow="0" w:lastRow="0" w:firstColumn="0" w:lastColumn="0" w:oddVBand="0" w:evenVBand="0" w:oddHBand="0" w:evenHBand="1" w:firstRowFirstColumn="0" w:firstRowLastColumn="0" w:lastRowFirstColumn="0" w:lastRowLastColumn="0"/>
            </w:pPr>
            <w:r w:rsidRPr="00333B4E">
              <w:t>0.0</w:t>
            </w:r>
          </w:p>
        </w:tc>
        <w:tc>
          <w:tcPr>
            <w:tcW w:w="515" w:type="pct"/>
            <w:vAlign w:val="top"/>
          </w:tcPr>
          <w:p w:rsidR="00424EAE" w:rsidRPr="00333B4E" w:rsidRDefault="00575C36" w:rsidP="00333B4E">
            <w:pPr>
              <w:cnfStyle w:val="000000010000" w:firstRow="0" w:lastRow="0" w:firstColumn="0" w:lastColumn="0" w:oddVBand="0" w:evenVBand="0" w:oddHBand="0" w:evenHBand="1" w:firstRowFirstColumn="0" w:firstRowLastColumn="0" w:lastRowFirstColumn="0" w:lastRowLastColumn="0"/>
            </w:pPr>
            <w:r>
              <w:t>–</w:t>
            </w:r>
            <w:r w:rsidR="00424EAE" w:rsidRPr="00333B4E">
              <w:t>0.3</w:t>
            </w:r>
          </w:p>
        </w:tc>
        <w:tc>
          <w:tcPr>
            <w:tcW w:w="516" w:type="pct"/>
            <w:vAlign w:val="top"/>
          </w:tcPr>
          <w:p w:rsidR="00424EAE" w:rsidRPr="00333B4E" w:rsidRDefault="00575C36" w:rsidP="00333B4E">
            <w:pPr>
              <w:cnfStyle w:val="000000010000" w:firstRow="0" w:lastRow="0" w:firstColumn="0" w:lastColumn="0" w:oddVBand="0" w:evenVBand="0" w:oddHBand="0" w:evenHBand="1" w:firstRowFirstColumn="0" w:firstRowLastColumn="0" w:lastRowFirstColumn="0" w:lastRowLastColumn="0"/>
            </w:pPr>
            <w:r>
              <w:t>–</w:t>
            </w:r>
          </w:p>
        </w:tc>
        <w:tc>
          <w:tcPr>
            <w:tcW w:w="516" w:type="pct"/>
          </w:tcPr>
          <w:p w:rsidR="00424EAE" w:rsidRPr="00333B4E" w:rsidRDefault="00424EAE" w:rsidP="00333B4E">
            <w:pPr>
              <w:cnfStyle w:val="000000010000" w:firstRow="0" w:lastRow="0" w:firstColumn="0" w:lastColumn="0" w:oddVBand="0" w:evenVBand="0" w:oddHBand="0" w:evenHBand="1" w:firstRowFirstColumn="0" w:firstRowLastColumn="0" w:lastRowFirstColumn="0" w:lastRowLastColumn="0"/>
            </w:pPr>
            <w:r w:rsidRPr="00333B4E">
              <w:t>1.0</w:t>
            </w:r>
          </w:p>
        </w:tc>
      </w:tr>
      <w:tr w:rsidR="00424EAE" w:rsidRPr="00333B4E" w:rsidTr="00424EAE">
        <w:tc>
          <w:tcPr>
            <w:cnfStyle w:val="001000000000" w:firstRow="0" w:lastRow="0" w:firstColumn="1" w:lastColumn="0" w:oddVBand="0" w:evenVBand="0" w:oddHBand="0" w:evenHBand="0" w:firstRowFirstColumn="0" w:firstRowLastColumn="0" w:lastRowFirstColumn="0" w:lastRowLastColumn="0"/>
            <w:tcW w:w="1906" w:type="pct"/>
          </w:tcPr>
          <w:p w:rsidR="00424EAE" w:rsidRPr="00333B4E" w:rsidRDefault="00424EAE" w:rsidP="00424EAE">
            <w:pPr>
              <w:rPr>
                <w:rStyle w:val="Strong"/>
              </w:rPr>
            </w:pPr>
            <w:r w:rsidRPr="00333B4E">
              <w:rPr>
                <w:rStyle w:val="Strong"/>
              </w:rPr>
              <w:t>Difference</w:t>
            </w:r>
          </w:p>
        </w:tc>
        <w:tc>
          <w:tcPr>
            <w:tcW w:w="515" w:type="pct"/>
            <w:vAlign w:val="top"/>
          </w:tcPr>
          <w:p w:rsidR="00424EAE" w:rsidRPr="00333B4E" w:rsidRDefault="00424EAE" w:rsidP="00424EAE">
            <w:pPr>
              <w:cnfStyle w:val="000000000000" w:firstRow="0" w:lastRow="0" w:firstColumn="0" w:lastColumn="0" w:oddVBand="0" w:evenVBand="0" w:oddHBand="0" w:evenHBand="0" w:firstRowFirstColumn="0" w:firstRowLastColumn="0" w:lastRowFirstColumn="0" w:lastRowLastColumn="0"/>
              <w:rPr>
                <w:rStyle w:val="Strong"/>
              </w:rPr>
            </w:pPr>
            <w:r w:rsidRPr="00333B4E">
              <w:rPr>
                <w:rStyle w:val="Strong"/>
              </w:rPr>
              <w:t>0.1</w:t>
            </w:r>
          </w:p>
        </w:tc>
        <w:tc>
          <w:tcPr>
            <w:tcW w:w="516" w:type="pct"/>
            <w:vAlign w:val="top"/>
          </w:tcPr>
          <w:p w:rsidR="00424EAE" w:rsidRPr="00333B4E" w:rsidRDefault="00575C36" w:rsidP="00424EA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424EAE" w:rsidRPr="00333B4E">
              <w:rPr>
                <w:rStyle w:val="Strong"/>
              </w:rPr>
              <w:t>0.1</w:t>
            </w:r>
          </w:p>
        </w:tc>
        <w:tc>
          <w:tcPr>
            <w:tcW w:w="516" w:type="pct"/>
            <w:vAlign w:val="top"/>
          </w:tcPr>
          <w:p w:rsidR="00424EAE" w:rsidRPr="00333B4E" w:rsidRDefault="00575C36" w:rsidP="00424EA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424EAE" w:rsidRPr="00333B4E">
              <w:rPr>
                <w:rStyle w:val="Strong"/>
              </w:rPr>
              <w:t>0.2</w:t>
            </w:r>
          </w:p>
        </w:tc>
        <w:tc>
          <w:tcPr>
            <w:tcW w:w="515" w:type="pct"/>
            <w:vAlign w:val="top"/>
          </w:tcPr>
          <w:p w:rsidR="00424EAE" w:rsidRPr="00333B4E" w:rsidRDefault="00575C36" w:rsidP="00424EA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424EAE" w:rsidRPr="00333B4E">
              <w:rPr>
                <w:rStyle w:val="Strong"/>
              </w:rPr>
              <w:t>0.2</w:t>
            </w:r>
          </w:p>
        </w:tc>
        <w:tc>
          <w:tcPr>
            <w:tcW w:w="516" w:type="pct"/>
            <w:vAlign w:val="top"/>
          </w:tcPr>
          <w:p w:rsidR="00424EAE" w:rsidRPr="00333B4E" w:rsidRDefault="00575C36" w:rsidP="00424EA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p>
        </w:tc>
        <w:tc>
          <w:tcPr>
            <w:tcW w:w="516" w:type="pct"/>
          </w:tcPr>
          <w:p w:rsidR="00424EAE" w:rsidRPr="00333B4E" w:rsidRDefault="00575C36" w:rsidP="00424EAE">
            <w:pPr>
              <w:cnfStyle w:val="000000000000" w:firstRow="0" w:lastRow="0" w:firstColumn="0" w:lastColumn="0" w:oddVBand="0" w:evenVBand="0" w:oddHBand="0" w:evenHBand="0" w:firstRowFirstColumn="0" w:firstRowLastColumn="0" w:lastRowFirstColumn="0" w:lastRowLastColumn="0"/>
              <w:rPr>
                <w:rStyle w:val="Strong"/>
              </w:rPr>
            </w:pPr>
            <w:r>
              <w:rPr>
                <w:rStyle w:val="Strong"/>
              </w:rPr>
              <w:t>–</w:t>
            </w:r>
            <w:r w:rsidR="00424EAE" w:rsidRPr="00333B4E">
              <w:rPr>
                <w:rStyle w:val="Strong"/>
              </w:rPr>
              <w:t>0.4</w:t>
            </w:r>
          </w:p>
        </w:tc>
      </w:tr>
    </w:tbl>
    <w:p w:rsidR="00424EAE" w:rsidRPr="00140111" w:rsidRDefault="00424EAE" w:rsidP="00424EAE">
      <w:pPr>
        <w:pStyle w:val="AERtablesource"/>
      </w:pPr>
      <w:r w:rsidRPr="004664BA">
        <w:t>Source</w:t>
      </w:r>
      <w:r w:rsidRPr="00140111">
        <w:t>:</w:t>
      </w:r>
      <w:r w:rsidRPr="00140111">
        <w:tab/>
        <w:t>AER analysis.</w:t>
      </w:r>
      <w:r w:rsidR="008A72E8">
        <w:t xml:space="preserve"> Numbers may not add up due to rounding. </w:t>
      </w:r>
    </w:p>
    <w:p w:rsidR="007D75A8" w:rsidRDefault="00163AB4" w:rsidP="00163AB4">
      <w:r>
        <w:t xml:space="preserve">We accept AGN's proposal to retain an efficiency carryover mechanism for the </w:t>
      </w:r>
      <w:r>
        <w:br/>
        <w:t>2018–22 access arrangement period, which will reflect the combined opex forecast for the two pipelines. However, w</w:t>
      </w:r>
      <w:r w:rsidRPr="00FA160A">
        <w:t>e have amended AGN’s proposed efficiency carryover mechanism to reflect improvements included in the efficiency benefit sharing scheme (EBSS) we released in November 2013 for electricity service providers</w:t>
      </w:r>
      <w:r>
        <w:t>.</w:t>
      </w:r>
      <w:r>
        <w:rPr>
          <w:rStyle w:val="FootnoteReference"/>
        </w:rPr>
        <w:footnoteReference w:id="1"/>
      </w:r>
      <w:r w:rsidRPr="00FA160A">
        <w:t xml:space="preserve"> Importantly, the amendments will give AGN flexibility in the choice of base year it uses to forecast opex in the following period. We have also</w:t>
      </w:r>
      <w:r w:rsidR="007D75A8">
        <w:t>:</w:t>
      </w:r>
      <w:r w:rsidRPr="00FA160A">
        <w:t xml:space="preserve"> </w:t>
      </w:r>
    </w:p>
    <w:p w:rsidR="007D75A8" w:rsidRDefault="00163AB4" w:rsidP="007D75A8">
      <w:pPr>
        <w:pStyle w:val="AERbulletlistfirststyle"/>
      </w:pPr>
      <w:r w:rsidRPr="00FA160A">
        <w:t>reduced the number of cost categories we will exclude from the mechanism</w:t>
      </w:r>
      <w:r>
        <w:t xml:space="preserve"> </w:t>
      </w:r>
    </w:p>
    <w:p w:rsidR="00163AB4" w:rsidRDefault="00697B81" w:rsidP="007D75A8">
      <w:pPr>
        <w:pStyle w:val="AERbulletlistfirststyle"/>
      </w:pPr>
      <w:proofErr w:type="gramStart"/>
      <w:r>
        <w:t>removed</w:t>
      </w:r>
      <w:proofErr w:type="gramEnd"/>
      <w:r>
        <w:t xml:space="preserve"> fixed principle C because we have not yet determined the form of any incentive mech</w:t>
      </w:r>
      <w:r w:rsidR="007D75A8">
        <w:t>an</w:t>
      </w:r>
      <w:r>
        <w:t>ism that will apply in the access arrangement period expected to commence 1 January 2023.</w:t>
      </w:r>
    </w:p>
    <w:p w:rsidR="00E5084C" w:rsidRDefault="00E5084C" w:rsidP="00E5084C">
      <w:r>
        <w:fldChar w:fldCharType="begin"/>
      </w:r>
      <w:r>
        <w:instrText xml:space="preserve"> REF _Ref475532802 \h </w:instrText>
      </w:r>
      <w:r>
        <w:fldChar w:fldCharType="separate"/>
      </w:r>
      <w:r w:rsidR="0071749E">
        <w:t xml:space="preserve">Table </w:t>
      </w:r>
      <w:r w:rsidR="0071749E">
        <w:rPr>
          <w:noProof/>
        </w:rPr>
        <w:t>9</w:t>
      </w:r>
      <w:r w:rsidR="0071749E">
        <w:t>.</w:t>
      </w:r>
      <w:r w:rsidR="0071749E">
        <w:rPr>
          <w:noProof/>
        </w:rPr>
        <w:t>3</w:t>
      </w:r>
      <w:r>
        <w:fldChar w:fldCharType="end"/>
      </w:r>
      <w:r>
        <w:t xml:space="preserve"> </w:t>
      </w:r>
      <w:r w:rsidRPr="00175243">
        <w:t xml:space="preserve">sets out our </w:t>
      </w:r>
      <w:r>
        <w:t>draft</w:t>
      </w:r>
      <w:r w:rsidRPr="00175243">
        <w:t xml:space="preserve"> decision on </w:t>
      </w:r>
      <w:r>
        <w:t xml:space="preserve">the </w:t>
      </w:r>
      <w:r w:rsidR="00C0389C">
        <w:t xml:space="preserve">approved opex </w:t>
      </w:r>
      <w:r w:rsidR="00586F6E">
        <w:t xml:space="preserve">forecast </w:t>
      </w:r>
      <w:r w:rsidRPr="00175243">
        <w:t xml:space="preserve">we will </w:t>
      </w:r>
      <w:r>
        <w:t xml:space="preserve">use to </w:t>
      </w:r>
      <w:r w:rsidRPr="00175243">
        <w:t>calcul</w:t>
      </w:r>
      <w:r>
        <w:t xml:space="preserve">ate efficiency gains and losses </w:t>
      </w:r>
      <w:r w:rsidR="00C0389C">
        <w:t xml:space="preserve">for the combined networks </w:t>
      </w:r>
      <w:r>
        <w:t>in the 2018</w:t>
      </w:r>
      <w:r w:rsidRPr="00175243">
        <w:t xml:space="preserve">–22 </w:t>
      </w:r>
      <w:r>
        <w:rPr>
          <w:rStyle w:val="AERbody"/>
        </w:rPr>
        <w:t>access arrangement</w:t>
      </w:r>
      <w:r w:rsidRPr="00175243">
        <w:t xml:space="preserve"> </w:t>
      </w:r>
      <w:proofErr w:type="gramStart"/>
      <w:r w:rsidRPr="00175243">
        <w:t>period</w:t>
      </w:r>
      <w:proofErr w:type="gramEnd"/>
      <w:r>
        <w:t xml:space="preserve">. </w:t>
      </w:r>
      <w:r w:rsidR="002E5690">
        <w:t xml:space="preserve">We will update these amounts in our final decision to reflect our final decision on forecast opex. </w:t>
      </w:r>
      <w:r>
        <w:t xml:space="preserve">These amounts are </w:t>
      </w:r>
      <w:r w:rsidR="002E5690">
        <w:t xml:space="preserve">also </w:t>
      </w:r>
      <w:r>
        <w:t xml:space="preserve">subject to adjustments </w:t>
      </w:r>
      <w:r w:rsidR="00A22A6A">
        <w:t>permitted</w:t>
      </w:r>
      <w:r>
        <w:t xml:space="preserve"> by the efficiency carryover mechanism</w:t>
      </w:r>
      <w:r w:rsidRPr="00175243">
        <w:t>.</w:t>
      </w:r>
      <w:r w:rsidR="002E5690">
        <w:t xml:space="preserve"> </w:t>
      </w:r>
    </w:p>
    <w:p w:rsidR="00E5084C" w:rsidRDefault="00E5084C" w:rsidP="00E5084C">
      <w:pPr>
        <w:pStyle w:val="Caption"/>
      </w:pPr>
      <w:bookmarkStart w:id="80" w:name="_Ref475532802"/>
      <w:proofErr w:type="gramStart"/>
      <w:r>
        <w:t xml:space="preserve">Table </w:t>
      </w:r>
      <w:proofErr w:type="gramEnd"/>
      <w:r w:rsidR="0071749E">
        <w:fldChar w:fldCharType="begin"/>
      </w:r>
      <w:r w:rsidR="0071749E">
        <w:instrText xml:space="preserve"> STYLEREF 1 \s </w:instrText>
      </w:r>
      <w:r w:rsidR="0071749E">
        <w:fldChar w:fldCharType="separate"/>
      </w:r>
      <w:r w:rsidR="0071749E">
        <w:rPr>
          <w:noProof/>
        </w:rPr>
        <w:t>9</w:t>
      </w:r>
      <w:r w:rsidR="0071749E">
        <w:rPr>
          <w:noProof/>
        </w:rPr>
        <w:fldChar w:fldCharType="end"/>
      </w:r>
      <w:proofErr w:type="gramStart"/>
      <w:r w:rsidR="005B69D6">
        <w:t>.</w:t>
      </w:r>
      <w:proofErr w:type="gramEnd"/>
      <w:r w:rsidR="00866830">
        <w:fldChar w:fldCharType="begin"/>
      </w:r>
      <w:r w:rsidR="00866830">
        <w:instrText xml:space="preserve"> SEQ Table \* ARABIC \s 1 </w:instrText>
      </w:r>
      <w:r w:rsidR="00866830">
        <w:fldChar w:fldCharType="separate"/>
      </w:r>
      <w:r w:rsidR="0071749E">
        <w:rPr>
          <w:noProof/>
        </w:rPr>
        <w:t>3</w:t>
      </w:r>
      <w:r w:rsidR="00866830">
        <w:rPr>
          <w:noProof/>
        </w:rPr>
        <w:fldChar w:fldCharType="end"/>
      </w:r>
      <w:bookmarkEnd w:id="80"/>
      <w:r>
        <w:tab/>
      </w:r>
      <w:r w:rsidR="00505BBC">
        <w:t xml:space="preserve">Approved </w:t>
      </w:r>
      <w:r w:rsidR="007C67FA">
        <w:t xml:space="preserve">forecast </w:t>
      </w:r>
      <w:r>
        <w:t>opex for the efficiency carryover mechanism</w:t>
      </w:r>
      <w:r w:rsidDel="00791AAC">
        <w:t xml:space="preserve"> </w:t>
      </w:r>
      <w:r>
        <w:t>($ million, 20</w:t>
      </w:r>
      <w:r w:rsidRPr="00EC118B">
        <w:t>17)</w:t>
      </w:r>
    </w:p>
    <w:tbl>
      <w:tblPr>
        <w:tblStyle w:val="AERtable-numbers"/>
        <w:tblW w:w="0" w:type="auto"/>
        <w:tblLayout w:type="fixed"/>
        <w:tblLook w:val="04A0" w:firstRow="1" w:lastRow="0" w:firstColumn="1" w:lastColumn="0" w:noHBand="0" w:noVBand="1"/>
      </w:tblPr>
      <w:tblGrid>
        <w:gridCol w:w="2333"/>
        <w:gridCol w:w="908"/>
        <w:gridCol w:w="909"/>
        <w:gridCol w:w="908"/>
        <w:gridCol w:w="909"/>
        <w:gridCol w:w="908"/>
        <w:gridCol w:w="909"/>
        <w:gridCol w:w="909"/>
      </w:tblGrid>
      <w:tr w:rsidR="00505BBC" w:rsidTr="00EC1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3" w:type="dxa"/>
          </w:tcPr>
          <w:p w:rsidR="00505BBC" w:rsidRDefault="00505BBC" w:rsidP="00E5084C"/>
        </w:tc>
        <w:tc>
          <w:tcPr>
            <w:tcW w:w="908" w:type="dxa"/>
          </w:tcPr>
          <w:p w:rsidR="00505BBC" w:rsidRDefault="00505BBC" w:rsidP="00E5084C">
            <w:pPr>
              <w:cnfStyle w:val="100000000000" w:firstRow="1" w:lastRow="0" w:firstColumn="0" w:lastColumn="0" w:oddVBand="0" w:evenVBand="0" w:oddHBand="0" w:evenHBand="0" w:firstRowFirstColumn="0" w:firstRowLastColumn="0" w:lastRowFirstColumn="0" w:lastRowLastColumn="0"/>
            </w:pPr>
            <w:r>
              <w:t>2016</w:t>
            </w:r>
          </w:p>
        </w:tc>
        <w:tc>
          <w:tcPr>
            <w:tcW w:w="909" w:type="dxa"/>
          </w:tcPr>
          <w:p w:rsidR="00505BBC" w:rsidRDefault="00505BBC" w:rsidP="00E5084C">
            <w:pPr>
              <w:cnfStyle w:val="100000000000" w:firstRow="1" w:lastRow="0" w:firstColumn="0" w:lastColumn="0" w:oddVBand="0" w:evenVBand="0" w:oddHBand="0" w:evenHBand="0" w:firstRowFirstColumn="0" w:firstRowLastColumn="0" w:lastRowFirstColumn="0" w:lastRowLastColumn="0"/>
            </w:pPr>
            <w:r>
              <w:t>2017</w:t>
            </w:r>
          </w:p>
        </w:tc>
        <w:tc>
          <w:tcPr>
            <w:tcW w:w="908" w:type="dxa"/>
          </w:tcPr>
          <w:p w:rsidR="00505BBC" w:rsidRPr="00E5084C" w:rsidRDefault="00505BBC" w:rsidP="00E5084C">
            <w:pPr>
              <w:cnfStyle w:val="100000000000" w:firstRow="1" w:lastRow="0" w:firstColumn="0" w:lastColumn="0" w:oddVBand="0" w:evenVBand="0" w:oddHBand="0" w:evenHBand="0" w:firstRowFirstColumn="0" w:firstRowLastColumn="0" w:lastRowFirstColumn="0" w:lastRowLastColumn="0"/>
            </w:pPr>
            <w:r>
              <w:t>20</w:t>
            </w:r>
            <w:r w:rsidRPr="00E5084C">
              <w:t>18</w:t>
            </w:r>
          </w:p>
        </w:tc>
        <w:tc>
          <w:tcPr>
            <w:tcW w:w="909" w:type="dxa"/>
          </w:tcPr>
          <w:p w:rsidR="00505BBC" w:rsidRPr="00E5084C" w:rsidRDefault="00505BBC" w:rsidP="00E5084C">
            <w:pPr>
              <w:cnfStyle w:val="100000000000" w:firstRow="1" w:lastRow="0" w:firstColumn="0" w:lastColumn="0" w:oddVBand="0" w:evenVBand="0" w:oddHBand="0" w:evenHBand="0" w:firstRowFirstColumn="0" w:firstRowLastColumn="0" w:lastRowFirstColumn="0" w:lastRowLastColumn="0"/>
            </w:pPr>
            <w:r>
              <w:t>20</w:t>
            </w:r>
            <w:r w:rsidRPr="00E5084C">
              <w:t>19</w:t>
            </w:r>
          </w:p>
        </w:tc>
        <w:tc>
          <w:tcPr>
            <w:tcW w:w="908" w:type="dxa"/>
          </w:tcPr>
          <w:p w:rsidR="00505BBC" w:rsidRPr="00E5084C" w:rsidRDefault="00505BBC" w:rsidP="00E5084C">
            <w:pPr>
              <w:cnfStyle w:val="100000000000" w:firstRow="1" w:lastRow="0" w:firstColumn="0" w:lastColumn="0" w:oddVBand="0" w:evenVBand="0" w:oddHBand="0" w:evenHBand="0" w:firstRowFirstColumn="0" w:firstRowLastColumn="0" w:lastRowFirstColumn="0" w:lastRowLastColumn="0"/>
            </w:pPr>
            <w:r>
              <w:t>20</w:t>
            </w:r>
            <w:r w:rsidRPr="00E5084C">
              <w:t>20</w:t>
            </w:r>
          </w:p>
        </w:tc>
        <w:tc>
          <w:tcPr>
            <w:tcW w:w="909" w:type="dxa"/>
          </w:tcPr>
          <w:p w:rsidR="00505BBC" w:rsidRPr="00E5084C" w:rsidRDefault="00505BBC" w:rsidP="00E5084C">
            <w:pPr>
              <w:cnfStyle w:val="100000000000" w:firstRow="1" w:lastRow="0" w:firstColumn="0" w:lastColumn="0" w:oddVBand="0" w:evenVBand="0" w:oddHBand="0" w:evenHBand="0" w:firstRowFirstColumn="0" w:firstRowLastColumn="0" w:lastRowFirstColumn="0" w:lastRowLastColumn="0"/>
            </w:pPr>
            <w:r>
              <w:t>20</w:t>
            </w:r>
            <w:r w:rsidRPr="00E5084C">
              <w:t>21</w:t>
            </w:r>
          </w:p>
        </w:tc>
        <w:tc>
          <w:tcPr>
            <w:tcW w:w="909" w:type="dxa"/>
          </w:tcPr>
          <w:p w:rsidR="00505BBC" w:rsidRPr="00E5084C" w:rsidRDefault="00505BBC" w:rsidP="00E5084C">
            <w:pPr>
              <w:cnfStyle w:val="100000000000" w:firstRow="1" w:lastRow="0" w:firstColumn="0" w:lastColumn="0" w:oddVBand="0" w:evenVBand="0" w:oddHBand="0" w:evenHBand="0" w:firstRowFirstColumn="0" w:firstRowLastColumn="0" w:lastRowFirstColumn="0" w:lastRowLastColumn="0"/>
            </w:pPr>
            <w:r>
              <w:t>20</w:t>
            </w:r>
            <w:r w:rsidRPr="00E5084C">
              <w:t>22</w:t>
            </w:r>
          </w:p>
        </w:tc>
      </w:tr>
      <w:tr w:rsidR="00EC1E71" w:rsidRPr="005564A0" w:rsidTr="00EC1E71">
        <w:tc>
          <w:tcPr>
            <w:cnfStyle w:val="001000000000" w:firstRow="0" w:lastRow="0" w:firstColumn="1" w:lastColumn="0" w:oddVBand="0" w:evenVBand="0" w:oddHBand="0" w:evenHBand="0" w:firstRowFirstColumn="0" w:firstRowLastColumn="0" w:lastRowFirstColumn="0" w:lastRowLastColumn="0"/>
            <w:tcW w:w="2333" w:type="dxa"/>
          </w:tcPr>
          <w:p w:rsidR="00EC1E71" w:rsidRPr="00EC1E71" w:rsidRDefault="00EC1E71" w:rsidP="00EC1E71">
            <w:pPr>
              <w:rPr>
                <w:rStyle w:val="Strong"/>
              </w:rPr>
            </w:pPr>
            <w:r w:rsidRPr="00EC1E71">
              <w:rPr>
                <w:rStyle w:val="Strong"/>
              </w:rPr>
              <w:t xml:space="preserve">Approved forecast opex </w:t>
            </w:r>
          </w:p>
        </w:tc>
        <w:tc>
          <w:tcPr>
            <w:tcW w:w="908" w:type="dxa"/>
            <w:vAlign w:val="top"/>
          </w:tcPr>
          <w:p w:rsidR="00EC1E71" w:rsidRPr="00EC1E71" w:rsidRDefault="00EC1E71" w:rsidP="0075482C">
            <w:pPr>
              <w:cnfStyle w:val="000000000000" w:firstRow="0" w:lastRow="0" w:firstColumn="0" w:lastColumn="0" w:oddVBand="0" w:evenVBand="0" w:oddHBand="0" w:evenHBand="0" w:firstRowFirstColumn="0" w:firstRowLastColumn="0" w:lastRowFirstColumn="0" w:lastRowLastColumn="0"/>
              <w:rPr>
                <w:rStyle w:val="Strong"/>
              </w:rPr>
            </w:pPr>
            <w:r w:rsidRPr="00EC1E71">
              <w:rPr>
                <w:rStyle w:val="Strong"/>
              </w:rPr>
              <w:t xml:space="preserve"> 64.4 </w:t>
            </w:r>
          </w:p>
        </w:tc>
        <w:tc>
          <w:tcPr>
            <w:tcW w:w="909" w:type="dxa"/>
            <w:vAlign w:val="top"/>
          </w:tcPr>
          <w:p w:rsidR="00EC1E71" w:rsidRPr="00EC1E71" w:rsidRDefault="00EC1E71" w:rsidP="00EC1E71">
            <w:pPr>
              <w:cnfStyle w:val="000000000000" w:firstRow="0" w:lastRow="0" w:firstColumn="0" w:lastColumn="0" w:oddVBand="0" w:evenVBand="0" w:oddHBand="0" w:evenHBand="0" w:firstRowFirstColumn="0" w:firstRowLastColumn="0" w:lastRowFirstColumn="0" w:lastRowLastColumn="0"/>
              <w:rPr>
                <w:rStyle w:val="Strong"/>
              </w:rPr>
            </w:pPr>
            <w:r w:rsidRPr="00EC1E71">
              <w:rPr>
                <w:rStyle w:val="Strong"/>
              </w:rPr>
              <w:t>64.7</w:t>
            </w:r>
          </w:p>
        </w:tc>
        <w:tc>
          <w:tcPr>
            <w:tcW w:w="908" w:type="dxa"/>
          </w:tcPr>
          <w:p w:rsidR="00EC1E71" w:rsidRPr="00EC1E71" w:rsidRDefault="00EC1E71" w:rsidP="00EC1E71">
            <w:pPr>
              <w:cnfStyle w:val="000000000000" w:firstRow="0" w:lastRow="0" w:firstColumn="0" w:lastColumn="0" w:oddVBand="0" w:evenVBand="0" w:oddHBand="0" w:evenHBand="0" w:firstRowFirstColumn="0" w:firstRowLastColumn="0" w:lastRowFirstColumn="0" w:lastRowLastColumn="0"/>
              <w:rPr>
                <w:rStyle w:val="Strong"/>
              </w:rPr>
            </w:pPr>
            <w:r w:rsidRPr="00EC1E71">
              <w:rPr>
                <w:rStyle w:val="Strong"/>
              </w:rPr>
              <w:t>66.3</w:t>
            </w:r>
          </w:p>
        </w:tc>
        <w:tc>
          <w:tcPr>
            <w:tcW w:w="909" w:type="dxa"/>
          </w:tcPr>
          <w:p w:rsidR="00EC1E71" w:rsidRPr="00EC1E71" w:rsidRDefault="00EC1E71" w:rsidP="00EC1E71">
            <w:pPr>
              <w:cnfStyle w:val="000000000000" w:firstRow="0" w:lastRow="0" w:firstColumn="0" w:lastColumn="0" w:oddVBand="0" w:evenVBand="0" w:oddHBand="0" w:evenHBand="0" w:firstRowFirstColumn="0" w:firstRowLastColumn="0" w:lastRowFirstColumn="0" w:lastRowLastColumn="0"/>
              <w:rPr>
                <w:rStyle w:val="Strong"/>
              </w:rPr>
            </w:pPr>
            <w:r w:rsidRPr="00EC1E71">
              <w:t>67.0</w:t>
            </w:r>
          </w:p>
        </w:tc>
        <w:tc>
          <w:tcPr>
            <w:tcW w:w="908" w:type="dxa"/>
          </w:tcPr>
          <w:p w:rsidR="00EC1E71" w:rsidRPr="00EC1E71" w:rsidRDefault="00EC1E71" w:rsidP="00EC1E71">
            <w:pPr>
              <w:cnfStyle w:val="000000000000" w:firstRow="0" w:lastRow="0" w:firstColumn="0" w:lastColumn="0" w:oddVBand="0" w:evenVBand="0" w:oddHBand="0" w:evenHBand="0" w:firstRowFirstColumn="0" w:firstRowLastColumn="0" w:lastRowFirstColumn="0" w:lastRowLastColumn="0"/>
              <w:rPr>
                <w:rStyle w:val="Strong"/>
              </w:rPr>
            </w:pPr>
            <w:r w:rsidRPr="00EC1E71">
              <w:rPr>
                <w:rStyle w:val="Strong"/>
              </w:rPr>
              <w:t>67.7</w:t>
            </w:r>
          </w:p>
        </w:tc>
        <w:tc>
          <w:tcPr>
            <w:tcW w:w="909" w:type="dxa"/>
          </w:tcPr>
          <w:p w:rsidR="00EC1E71" w:rsidRPr="00EC1E71" w:rsidRDefault="00EC1E71" w:rsidP="00EC1E71">
            <w:pPr>
              <w:cnfStyle w:val="000000000000" w:firstRow="0" w:lastRow="0" w:firstColumn="0" w:lastColumn="0" w:oddVBand="0" w:evenVBand="0" w:oddHBand="0" w:evenHBand="0" w:firstRowFirstColumn="0" w:firstRowLastColumn="0" w:lastRowFirstColumn="0" w:lastRowLastColumn="0"/>
              <w:rPr>
                <w:rStyle w:val="Strong"/>
              </w:rPr>
            </w:pPr>
            <w:r w:rsidRPr="00EC1E71">
              <w:rPr>
                <w:rStyle w:val="Strong"/>
              </w:rPr>
              <w:t>68.6</w:t>
            </w:r>
          </w:p>
        </w:tc>
        <w:tc>
          <w:tcPr>
            <w:tcW w:w="909" w:type="dxa"/>
          </w:tcPr>
          <w:p w:rsidR="00EC1E71" w:rsidRPr="00EC1E71" w:rsidRDefault="00EC1E71" w:rsidP="00EC1E71">
            <w:pPr>
              <w:cnfStyle w:val="000000000000" w:firstRow="0" w:lastRow="0" w:firstColumn="0" w:lastColumn="0" w:oddVBand="0" w:evenVBand="0" w:oddHBand="0" w:evenHBand="0" w:firstRowFirstColumn="0" w:firstRowLastColumn="0" w:lastRowFirstColumn="0" w:lastRowLastColumn="0"/>
              <w:rPr>
                <w:rStyle w:val="Strong"/>
              </w:rPr>
            </w:pPr>
            <w:r w:rsidRPr="00EC1E71">
              <w:rPr>
                <w:rStyle w:val="Strong"/>
              </w:rPr>
              <w:t>69.6</w:t>
            </w:r>
          </w:p>
        </w:tc>
      </w:tr>
    </w:tbl>
    <w:p w:rsidR="00E5084C" w:rsidRDefault="00E5084C" w:rsidP="00E5084C">
      <w:pPr>
        <w:pStyle w:val="Source"/>
      </w:pPr>
      <w:r>
        <w:t xml:space="preserve">Note: </w:t>
      </w:r>
      <w:r w:rsidR="00575C36">
        <w:tab/>
      </w:r>
      <w:r w:rsidR="00505BBC">
        <w:t>Excludes debt raising costs</w:t>
      </w:r>
      <w:r>
        <w:t>.</w:t>
      </w:r>
    </w:p>
    <w:p w:rsidR="00E5084C" w:rsidRDefault="00E5084C" w:rsidP="00E5084C">
      <w:pPr>
        <w:pStyle w:val="Heading2"/>
      </w:pPr>
      <w:bookmarkStart w:id="81" w:name="_Toc479174751"/>
      <w:bookmarkStart w:id="82" w:name="_Toc483397595"/>
      <w:bookmarkStart w:id="83" w:name="_Toc486832777"/>
      <w:r>
        <w:t>AGN's proposal</w:t>
      </w:r>
      <w:bookmarkEnd w:id="76"/>
      <w:bookmarkEnd w:id="81"/>
      <w:bookmarkEnd w:id="82"/>
      <w:bookmarkEnd w:id="83"/>
    </w:p>
    <w:p w:rsidR="00E5084C" w:rsidRPr="00875607" w:rsidRDefault="00E5084C" w:rsidP="00E5084C">
      <w:pPr>
        <w:pStyle w:val="Heading3"/>
      </w:pPr>
      <w:bookmarkStart w:id="84" w:name="_Toc436389920"/>
      <w:bookmarkStart w:id="85" w:name="_Toc456602454"/>
      <w:bookmarkStart w:id="86" w:name="_Toc483397596"/>
      <w:bookmarkStart w:id="87" w:name="_Toc486832778"/>
      <w:r w:rsidRPr="00365D75">
        <w:t>Carryover</w:t>
      </w:r>
      <w:r>
        <w:t xml:space="preserve"> amounts from the 2013</w:t>
      </w:r>
      <w:r w:rsidRPr="00875607">
        <w:t xml:space="preserve">–17 </w:t>
      </w:r>
      <w:r w:rsidRPr="00DB4FCA">
        <w:t xml:space="preserve">access arrangement </w:t>
      </w:r>
      <w:r w:rsidRPr="00875607">
        <w:t>period</w:t>
      </w:r>
      <w:bookmarkEnd w:id="84"/>
      <w:bookmarkEnd w:id="85"/>
      <w:bookmarkEnd w:id="86"/>
      <w:bookmarkEnd w:id="87"/>
    </w:p>
    <w:p w:rsidR="00E5084C" w:rsidRPr="00365D75" w:rsidRDefault="00C26681" w:rsidP="00E5084C">
      <w:r>
        <w:t xml:space="preserve">For its Victorian network, </w:t>
      </w:r>
      <w:r w:rsidR="00E5084C">
        <w:t>AGN proposed a $</w:t>
      </w:r>
      <w:r>
        <w:t>25.1</w:t>
      </w:r>
      <w:r w:rsidR="00E5084C">
        <w:t xml:space="preserve"> million ($2017</w:t>
      </w:r>
      <w:r w:rsidR="00E5084C" w:rsidRPr="00365D75">
        <w:t xml:space="preserve">) </w:t>
      </w:r>
      <w:r w:rsidR="00E5084C">
        <w:t xml:space="preserve">carryover </w:t>
      </w:r>
      <w:r w:rsidR="00E5084C" w:rsidRPr="00365D75">
        <w:t xml:space="preserve">be </w:t>
      </w:r>
      <w:r w:rsidR="00E5084C">
        <w:t>added</w:t>
      </w:r>
      <w:r w:rsidR="00E5084C" w:rsidRPr="00365D75">
        <w:t xml:space="preserve"> </w:t>
      </w:r>
      <w:r w:rsidR="00E5084C">
        <w:t>to</w:t>
      </w:r>
      <w:r w:rsidR="00E5084C" w:rsidRPr="00365D75">
        <w:t xml:space="preserve"> i</w:t>
      </w:r>
      <w:r w:rsidR="00E5084C">
        <w:t>ts revenue in the 2018–22</w:t>
      </w:r>
      <w:r w:rsidR="00E5084C" w:rsidRPr="00365D75">
        <w:t xml:space="preserve"> </w:t>
      </w:r>
      <w:r w:rsidR="00E5084C">
        <w:rPr>
          <w:rStyle w:val="AERbody"/>
        </w:rPr>
        <w:t>access arrangement</w:t>
      </w:r>
      <w:r w:rsidR="00E5084C" w:rsidRPr="0060237E">
        <w:rPr>
          <w:rStyle w:val="AERbody"/>
        </w:rPr>
        <w:t xml:space="preserve"> </w:t>
      </w:r>
      <w:proofErr w:type="gramStart"/>
      <w:r w:rsidR="00E5084C" w:rsidRPr="00365D75">
        <w:t>period</w:t>
      </w:r>
      <w:proofErr w:type="gramEnd"/>
      <w:r w:rsidR="00E5084C" w:rsidRPr="00365D75">
        <w:t>.</w:t>
      </w:r>
      <w:r w:rsidR="00E5084C">
        <w:rPr>
          <w:rStyle w:val="FootnoteReference"/>
        </w:rPr>
        <w:footnoteReference w:id="2"/>
      </w:r>
      <w:r>
        <w:t xml:space="preserve"> For its Albury network it proposed a $1.4 million ($2017</w:t>
      </w:r>
      <w:r w:rsidRPr="00365D75">
        <w:t>)</w:t>
      </w:r>
      <w:r w:rsidR="00851E17">
        <w:t xml:space="preserve"> </w:t>
      </w:r>
      <w:r w:rsidR="00A22A6A">
        <w:t>carryover be added</w:t>
      </w:r>
      <w:r w:rsidRPr="00365D75">
        <w:t>.</w:t>
      </w:r>
      <w:r>
        <w:rPr>
          <w:rStyle w:val="FootnoteReference"/>
        </w:rPr>
        <w:footnoteReference w:id="3"/>
      </w:r>
    </w:p>
    <w:p w:rsidR="00E5084C" w:rsidRDefault="00E5084C" w:rsidP="00E5084C">
      <w:r>
        <w:t xml:space="preserve">AGN used the equations set out in clause 5.1 of </w:t>
      </w:r>
      <w:r w:rsidR="00C26681">
        <w:t>both</w:t>
      </w:r>
      <w:r>
        <w:t xml:space="preserve"> 2013–17 access arrangement</w:t>
      </w:r>
      <w:r w:rsidR="00C26681">
        <w:t>s</w:t>
      </w:r>
      <w:r>
        <w:t xml:space="preserve"> to calculate its annual efficiency gains (or losses) in each year.</w:t>
      </w:r>
    </w:p>
    <w:p w:rsidR="00E5084C" w:rsidRPr="00365D75" w:rsidRDefault="00E5084C" w:rsidP="00E5084C">
      <w:r w:rsidRPr="00365D75">
        <w:t xml:space="preserve">In estimating its proposed carryover amounts, </w:t>
      </w:r>
      <w:r>
        <w:t>AGN excluded</w:t>
      </w:r>
      <w:r w:rsidRPr="00365D75">
        <w:t xml:space="preserve"> the following costs</w:t>
      </w:r>
      <w:r>
        <w:t xml:space="preserve"> from its actual opex:</w:t>
      </w:r>
    </w:p>
    <w:p w:rsidR="00506175" w:rsidRDefault="00506175" w:rsidP="00E5084C">
      <w:pPr>
        <w:pStyle w:val="AERbulletlistfirststyle"/>
      </w:pPr>
      <w:r>
        <w:t>license fees</w:t>
      </w:r>
    </w:p>
    <w:p w:rsidR="00506175" w:rsidRDefault="00506175" w:rsidP="00E5084C">
      <w:pPr>
        <w:pStyle w:val="AERbulletlistfirststyle"/>
      </w:pPr>
      <w:r>
        <w:t xml:space="preserve">Energy </w:t>
      </w:r>
      <w:r w:rsidR="00575C36">
        <w:t>S</w:t>
      </w:r>
      <w:r>
        <w:t>afe Victoria levy</w:t>
      </w:r>
    </w:p>
    <w:p w:rsidR="00E5084C" w:rsidRDefault="00E5084C" w:rsidP="00E5084C">
      <w:pPr>
        <w:pStyle w:val="AERbulletlistfirststyle"/>
      </w:pPr>
      <w:r>
        <w:t>debt raising costs</w:t>
      </w:r>
    </w:p>
    <w:p w:rsidR="00506175" w:rsidRDefault="00506175" w:rsidP="00E5084C">
      <w:pPr>
        <w:pStyle w:val="AERbulletlistfirststyle"/>
      </w:pPr>
      <w:r>
        <w:t>network management fee</w:t>
      </w:r>
    </w:p>
    <w:p w:rsidR="00E5084C" w:rsidRPr="00883854" w:rsidRDefault="00506175" w:rsidP="00506175">
      <w:pPr>
        <w:pStyle w:val="AERbulletlistfirststyle"/>
      </w:pPr>
      <w:proofErr w:type="gramStart"/>
      <w:r>
        <w:t>incentive</w:t>
      </w:r>
      <w:proofErr w:type="gramEnd"/>
      <w:r>
        <w:t xml:space="preserve"> fees.</w:t>
      </w:r>
      <w:r w:rsidRPr="00506175">
        <w:rPr>
          <w:rStyle w:val="FootnoteReference"/>
        </w:rPr>
        <w:footnoteReference w:id="4"/>
      </w:r>
      <w:r w:rsidRPr="00883854">
        <w:t xml:space="preserve"> </w:t>
      </w:r>
    </w:p>
    <w:p w:rsidR="00E5084C" w:rsidRPr="00875607" w:rsidRDefault="00E5084C" w:rsidP="00E5084C">
      <w:pPr>
        <w:pStyle w:val="Heading3"/>
      </w:pPr>
      <w:bookmarkStart w:id="88" w:name="_Toc436389921"/>
      <w:bookmarkStart w:id="89" w:name="_Toc456602455"/>
      <w:bookmarkStart w:id="90" w:name="_Toc483397597"/>
      <w:bookmarkStart w:id="91" w:name="_Toc486832779"/>
      <w:r w:rsidRPr="00365D75">
        <w:t>App</w:t>
      </w:r>
      <w:r>
        <w:t>lication of the efficiency carryover mechanism in the 2018</w:t>
      </w:r>
      <w:r w:rsidRPr="00365D75">
        <w:t xml:space="preserve">–22 </w:t>
      </w:r>
      <w:r w:rsidRPr="00DB4FCA">
        <w:t>access arrangement</w:t>
      </w:r>
      <w:r w:rsidRPr="00365D75">
        <w:t xml:space="preserve"> period</w:t>
      </w:r>
      <w:bookmarkEnd w:id="88"/>
      <w:bookmarkEnd w:id="89"/>
      <w:bookmarkEnd w:id="90"/>
      <w:bookmarkEnd w:id="91"/>
    </w:p>
    <w:p w:rsidR="00E5084C" w:rsidRDefault="00E5084C" w:rsidP="00E5084C">
      <w:r>
        <w:rPr>
          <w:rStyle w:val="AERbody"/>
        </w:rPr>
        <w:t xml:space="preserve">AGN </w:t>
      </w:r>
      <w:r w:rsidRPr="00365D75">
        <w:rPr>
          <w:rStyle w:val="AERbody"/>
        </w:rPr>
        <w:t xml:space="preserve">proposed </w:t>
      </w:r>
      <w:r>
        <w:rPr>
          <w:rStyle w:val="AERbody"/>
        </w:rPr>
        <w:t>an efficiency carryover</w:t>
      </w:r>
      <w:r w:rsidRPr="00365D75">
        <w:rPr>
          <w:rStyle w:val="AERbody"/>
        </w:rPr>
        <w:t xml:space="preserve"> scheme would apply to it</w:t>
      </w:r>
      <w:r w:rsidR="00C26681">
        <w:rPr>
          <w:rStyle w:val="AERbody"/>
        </w:rPr>
        <w:t>s combined networks</w:t>
      </w:r>
      <w:r w:rsidRPr="00365D75">
        <w:rPr>
          <w:rStyle w:val="AERbody"/>
        </w:rPr>
        <w:t xml:space="preserve"> in the </w:t>
      </w:r>
      <w:r>
        <w:t>2018–22</w:t>
      </w:r>
      <w:r w:rsidRPr="00365D75">
        <w:t xml:space="preserve"> </w:t>
      </w:r>
      <w:r>
        <w:rPr>
          <w:rStyle w:val="AERbody"/>
        </w:rPr>
        <w:t>access arrangement</w:t>
      </w:r>
      <w:r w:rsidRPr="0060237E">
        <w:rPr>
          <w:rStyle w:val="AERbody"/>
        </w:rPr>
        <w:t xml:space="preserve"> </w:t>
      </w:r>
      <w:proofErr w:type="gramStart"/>
      <w:r w:rsidRPr="00365D75">
        <w:t>period</w:t>
      </w:r>
      <w:proofErr w:type="gramEnd"/>
      <w:r w:rsidRPr="00365D75">
        <w:t xml:space="preserve"> subject to specific exclusions.</w:t>
      </w:r>
      <w:r>
        <w:t xml:space="preserve"> </w:t>
      </w:r>
    </w:p>
    <w:p w:rsidR="00E5084C" w:rsidRPr="00365D75" w:rsidRDefault="00E5084C" w:rsidP="00E5084C">
      <w:r w:rsidRPr="00365D75">
        <w:t>It proposed we exclude the following cost categories from the scheme:</w:t>
      </w:r>
    </w:p>
    <w:p w:rsidR="00E5084C" w:rsidRDefault="00E5084C" w:rsidP="00E5084C">
      <w:pPr>
        <w:pStyle w:val="AERbulletlistfirststyle"/>
      </w:pPr>
      <w:r w:rsidRPr="003E08FD">
        <w:t>costs associated with complying with retailer</w:t>
      </w:r>
      <w:r>
        <w:t xml:space="preserve"> of last resort requirements</w:t>
      </w:r>
      <w:r w:rsidRPr="003E08FD">
        <w:t xml:space="preserve">   </w:t>
      </w:r>
    </w:p>
    <w:p w:rsidR="00E5084C" w:rsidRPr="003E08FD" w:rsidRDefault="00E5084C" w:rsidP="00E5084C">
      <w:pPr>
        <w:pStyle w:val="AERbulletlistfirststyle"/>
      </w:pPr>
      <w:r w:rsidRPr="003E08FD">
        <w:t xml:space="preserve">approved </w:t>
      </w:r>
      <w:r>
        <w:t>c</w:t>
      </w:r>
      <w:r w:rsidRPr="003E08FD">
        <w:t xml:space="preserve">ost </w:t>
      </w:r>
      <w:r>
        <w:t>p</w:t>
      </w:r>
      <w:r w:rsidRPr="003E08FD">
        <w:t xml:space="preserve">ass </w:t>
      </w:r>
      <w:r>
        <w:t>t</w:t>
      </w:r>
      <w:r w:rsidRPr="003E08FD">
        <w:t xml:space="preserve">hrough </w:t>
      </w:r>
      <w:r w:rsidR="00B96152">
        <w:t>amounts</w:t>
      </w:r>
    </w:p>
    <w:p w:rsidR="00E5084C" w:rsidRPr="003E08FD" w:rsidRDefault="00E5084C" w:rsidP="00E5084C">
      <w:pPr>
        <w:pStyle w:val="AERbulletlistfirststyle"/>
      </w:pPr>
      <w:r w:rsidRPr="003E08FD">
        <w:t>unaccounted for gas expenses</w:t>
      </w:r>
    </w:p>
    <w:p w:rsidR="00E5084C" w:rsidRDefault="00E5084C" w:rsidP="00E5084C">
      <w:pPr>
        <w:pStyle w:val="AERbulletlistfirststyle"/>
      </w:pPr>
      <w:r w:rsidRPr="003E08FD">
        <w:t>licence fees</w:t>
      </w:r>
    </w:p>
    <w:p w:rsidR="001D7C82" w:rsidRPr="003E08FD" w:rsidRDefault="001D7C82" w:rsidP="00E5084C">
      <w:pPr>
        <w:pStyle w:val="AERbulletlistfirststyle"/>
      </w:pPr>
      <w:r>
        <w:t>Energy Safe Victoria levy</w:t>
      </w:r>
    </w:p>
    <w:p w:rsidR="00E5084C" w:rsidRDefault="00E5084C" w:rsidP="00E5084C">
      <w:pPr>
        <w:pStyle w:val="AERbulletlistfirststyle"/>
      </w:pPr>
      <w:r w:rsidRPr="003E08FD">
        <w:t>debt raising costs</w:t>
      </w:r>
    </w:p>
    <w:p w:rsidR="001D7C82" w:rsidRDefault="001D7C82" w:rsidP="00E5084C">
      <w:pPr>
        <w:pStyle w:val="AERbulletlistfirststyle"/>
      </w:pPr>
      <w:r>
        <w:t>network management fee</w:t>
      </w:r>
    </w:p>
    <w:p w:rsidR="001D7C82" w:rsidRPr="003E08FD" w:rsidRDefault="001D7C82" w:rsidP="00E5084C">
      <w:pPr>
        <w:pStyle w:val="AERbulletlistfirststyle"/>
      </w:pPr>
      <w:r>
        <w:t>incentive fees</w:t>
      </w:r>
    </w:p>
    <w:p w:rsidR="00E5084C" w:rsidRPr="003E08FD" w:rsidRDefault="00E5084C" w:rsidP="00E5084C">
      <w:pPr>
        <w:pStyle w:val="AERbulletlistfirststyle"/>
      </w:pPr>
      <w:r w:rsidRPr="003E08FD">
        <w:t>movements in provisions</w:t>
      </w:r>
    </w:p>
    <w:p w:rsidR="00E5084C" w:rsidRPr="003E08FD" w:rsidRDefault="00204D38" w:rsidP="00E5084C">
      <w:pPr>
        <w:pStyle w:val="AERbulletlistfirststyle"/>
      </w:pPr>
      <w:r>
        <w:t>approved</w:t>
      </w:r>
      <w:r w:rsidR="00E5084C" w:rsidRPr="003E08FD">
        <w:t xml:space="preserve"> </w:t>
      </w:r>
      <w:r w:rsidR="001D7C82">
        <w:t>network innovation scheme (</w:t>
      </w:r>
      <w:r w:rsidR="00E5084C" w:rsidRPr="003E08FD">
        <w:t>NIS</w:t>
      </w:r>
      <w:r w:rsidR="001D7C82">
        <w:t>)</w:t>
      </w:r>
      <w:r w:rsidR="00E5084C" w:rsidRPr="003E08FD">
        <w:t xml:space="preserve"> expenditure </w:t>
      </w:r>
    </w:p>
    <w:p w:rsidR="00E5084C" w:rsidRPr="00217E71" w:rsidRDefault="00E5084C" w:rsidP="00E5084C">
      <w:pPr>
        <w:pStyle w:val="AERbulletlistfirststyle"/>
      </w:pPr>
      <w:proofErr w:type="gramStart"/>
      <w:r w:rsidRPr="003E08FD">
        <w:t>any</w:t>
      </w:r>
      <w:proofErr w:type="gramEnd"/>
      <w:r w:rsidRPr="003E08FD">
        <w:t xml:space="preserve"> other activity that </w:t>
      </w:r>
      <w:r>
        <w:t>we and AGN</w:t>
      </w:r>
      <w:r w:rsidRPr="003E08FD">
        <w:t xml:space="preserve"> agree to exclude from the operation of the efficiency carryover mechanism.</w:t>
      </w:r>
    </w:p>
    <w:p w:rsidR="00E5084C" w:rsidRPr="00875607" w:rsidRDefault="00E5084C" w:rsidP="00E5084C">
      <w:r>
        <w:t xml:space="preserve">It also proposed we adjust </w:t>
      </w:r>
      <w:r w:rsidR="0025187B">
        <w:t xml:space="preserve">approved </w:t>
      </w:r>
      <w:r w:rsidR="0059251F">
        <w:t xml:space="preserve">forecast </w:t>
      </w:r>
      <w:r w:rsidR="00A22A6A">
        <w:t xml:space="preserve">opex </w:t>
      </w:r>
      <w:r>
        <w:t>to account for changes in capitalisation policy.</w:t>
      </w:r>
      <w:r>
        <w:rPr>
          <w:rStyle w:val="FootnoteReference"/>
        </w:rPr>
        <w:footnoteReference w:id="5"/>
      </w:r>
    </w:p>
    <w:p w:rsidR="00E5084C" w:rsidRDefault="00DB7F71" w:rsidP="00E5084C">
      <w:pPr>
        <w:pStyle w:val="Heading2"/>
      </w:pPr>
      <w:bookmarkStart w:id="92" w:name="_Toc408404322"/>
      <w:bookmarkStart w:id="93" w:name="_Toc419366915"/>
      <w:bookmarkStart w:id="94" w:name="_Toc479174752"/>
      <w:bookmarkStart w:id="95" w:name="_Toc483397598"/>
      <w:bookmarkStart w:id="96" w:name="_Toc486832780"/>
      <w:r>
        <w:t>Our</w:t>
      </w:r>
      <w:r w:rsidR="00E5084C" w:rsidRPr="0074565D">
        <w:t xml:space="preserve"> assessment approach</w:t>
      </w:r>
      <w:bookmarkEnd w:id="92"/>
      <w:bookmarkEnd w:id="93"/>
      <w:bookmarkEnd w:id="94"/>
      <w:bookmarkEnd w:id="95"/>
      <w:bookmarkEnd w:id="96"/>
    </w:p>
    <w:p w:rsidR="00E5084C" w:rsidRDefault="00E5084C" w:rsidP="00E5084C">
      <w:r>
        <w:t>An efficiency carryover mechanism is a form of incentive mechanism. A full access arrangement may include (and we may require it to include) one or more incentive mechanisms to encourage efficiency in the provision of services by the service provider.</w:t>
      </w:r>
      <w:r>
        <w:rPr>
          <w:rStyle w:val="FootnoteReference"/>
        </w:rPr>
        <w:footnoteReference w:id="6"/>
      </w:r>
      <w:r>
        <w:t xml:space="preserve"> An incentive mechanism must be consistent with the revenue and pricing principles.</w:t>
      </w:r>
      <w:r>
        <w:rPr>
          <w:rStyle w:val="FootnoteReference"/>
        </w:rPr>
        <w:footnoteReference w:id="7"/>
      </w:r>
      <w:r>
        <w:t xml:space="preserve"> </w:t>
      </w:r>
    </w:p>
    <w:p w:rsidR="00E5084C" w:rsidRDefault="00E5084C" w:rsidP="00E5084C">
      <w:r>
        <w:t xml:space="preserve">We consider the following revenue and pricing principle is most relevant for assessing AGN'S </w:t>
      </w:r>
      <w:r w:rsidR="0059251F">
        <w:t xml:space="preserve">proposed </w:t>
      </w:r>
      <w:r>
        <w:t>efficiency carryover mechanism:</w:t>
      </w:r>
    </w:p>
    <w:p w:rsidR="00E5084C" w:rsidRPr="0059251F" w:rsidRDefault="00E5084C" w:rsidP="0059251F">
      <w:pPr>
        <w:pStyle w:val="AERquote"/>
      </w:pPr>
      <w:r w:rsidRPr="0059251F">
        <w:t>A service provider should be provided with effective incentives in order to promote economic efficiency with respect to reference services the service provider provides.</w:t>
      </w:r>
    </w:p>
    <w:p w:rsidR="00E5084C" w:rsidRPr="0059251F" w:rsidRDefault="00E5084C" w:rsidP="0059251F">
      <w:pPr>
        <w:pStyle w:val="AERquote"/>
      </w:pPr>
      <w:r w:rsidRPr="0059251F">
        <w:t>The economic efficiency t</w:t>
      </w:r>
      <w:r w:rsidR="00A22A6A" w:rsidRPr="0059251F">
        <w:t>hat should be promoted includes:</w:t>
      </w:r>
    </w:p>
    <w:p w:rsidR="00E5084C" w:rsidRPr="0059251F" w:rsidRDefault="00E5084C" w:rsidP="0059251F">
      <w:pPr>
        <w:pStyle w:val="AERquote"/>
      </w:pPr>
      <w:r w:rsidRPr="0059251F">
        <w:t xml:space="preserve">(a) </w:t>
      </w:r>
      <w:proofErr w:type="gramStart"/>
      <w:r w:rsidRPr="0059251F">
        <w:t>efficient</w:t>
      </w:r>
      <w:proofErr w:type="gramEnd"/>
      <w:r w:rsidRPr="0059251F">
        <w:t xml:space="preserve"> investment in, or in connection with, a pipeline with which the service provider provides reference services</w:t>
      </w:r>
    </w:p>
    <w:p w:rsidR="00E5084C" w:rsidRPr="0059251F" w:rsidRDefault="00E5084C" w:rsidP="0059251F">
      <w:pPr>
        <w:pStyle w:val="AERquote"/>
      </w:pPr>
      <w:r w:rsidRPr="0059251F">
        <w:t xml:space="preserve">(b) </w:t>
      </w:r>
      <w:proofErr w:type="gramStart"/>
      <w:r w:rsidRPr="0059251F">
        <w:t>the</w:t>
      </w:r>
      <w:proofErr w:type="gramEnd"/>
      <w:r w:rsidRPr="0059251F">
        <w:t xml:space="preserve"> efficient provision of pipeline services</w:t>
      </w:r>
    </w:p>
    <w:p w:rsidR="00E5084C" w:rsidRDefault="00E5084C" w:rsidP="0059251F">
      <w:pPr>
        <w:pStyle w:val="AERquote"/>
      </w:pPr>
      <w:r w:rsidRPr="0059251F">
        <w:t xml:space="preserve">(c) </w:t>
      </w:r>
      <w:proofErr w:type="gramStart"/>
      <w:r w:rsidRPr="0059251F">
        <w:t>the</w:t>
      </w:r>
      <w:proofErr w:type="gramEnd"/>
      <w:r w:rsidRPr="0059251F">
        <w:t xml:space="preserve"> efficient use of the pipeline.</w:t>
      </w:r>
      <w:r>
        <w:rPr>
          <w:rStyle w:val="FootnoteReference"/>
        </w:rPr>
        <w:footnoteReference w:id="8"/>
      </w:r>
    </w:p>
    <w:p w:rsidR="00E5084C" w:rsidRDefault="00E5084C" w:rsidP="00E5084C">
      <w:r>
        <w:t>Under the NGR we have full discretion in our decision as to whether to apply an incentive scheme.</w:t>
      </w:r>
      <w:r>
        <w:rPr>
          <w:rStyle w:val="FootnoteReference"/>
        </w:rPr>
        <w:footnoteReference w:id="9"/>
      </w:r>
    </w:p>
    <w:p w:rsidR="00E5084C" w:rsidRPr="00C232E3" w:rsidRDefault="00E5084C" w:rsidP="00E5084C">
      <w:pPr>
        <w:pStyle w:val="Heading3"/>
      </w:pPr>
      <w:bookmarkStart w:id="97" w:name="_Toc403138099"/>
      <w:bookmarkStart w:id="98" w:name="_Ref411244321"/>
      <w:bookmarkStart w:id="99" w:name="_Toc417636187"/>
      <w:bookmarkStart w:id="100" w:name="_Toc424111945"/>
      <w:bookmarkStart w:id="101" w:name="_Toc433036275"/>
      <w:bookmarkStart w:id="102" w:name="_Toc462826356"/>
      <w:bookmarkStart w:id="103" w:name="_Toc483397599"/>
      <w:bookmarkStart w:id="104" w:name="_Toc486832781"/>
      <w:r>
        <w:t>Interrelationships</w:t>
      </w:r>
      <w:bookmarkEnd w:id="97"/>
      <w:bookmarkEnd w:id="98"/>
      <w:bookmarkEnd w:id="99"/>
      <w:bookmarkEnd w:id="100"/>
      <w:bookmarkEnd w:id="101"/>
      <w:bookmarkEnd w:id="102"/>
      <w:bookmarkEnd w:id="103"/>
      <w:bookmarkEnd w:id="104"/>
    </w:p>
    <w:p w:rsidR="00E5084C" w:rsidRDefault="00E5084C" w:rsidP="00E5084C">
      <w:pPr>
        <w:rPr>
          <w:rStyle w:val="AERbody"/>
        </w:rPr>
      </w:pPr>
      <w:r w:rsidRPr="00567FCA">
        <w:t xml:space="preserve">The </w:t>
      </w:r>
      <w:r>
        <w:t xml:space="preserve">efficiency carryover mechanism </w:t>
      </w:r>
      <w:r w:rsidRPr="00567FCA">
        <w:t xml:space="preserve">is intrinsically linked to our opex revealed cost forecasting approach. </w:t>
      </w:r>
      <w:r>
        <w:t xml:space="preserve">Under our revealed cost forecasting approach we base our forecast on a service provider's audited actual opex in a single year. </w:t>
      </w:r>
      <w:r>
        <w:rPr>
          <w:rStyle w:val="AERbody"/>
        </w:rPr>
        <w:t xml:space="preserve">When we assess a service provider's proposed </w:t>
      </w:r>
      <w:r>
        <w:t>carryover</w:t>
      </w:r>
      <w:r>
        <w:rPr>
          <w:rStyle w:val="AERbody"/>
        </w:rPr>
        <w:t xml:space="preserve">, we have regard to </w:t>
      </w:r>
      <w:r w:rsidRPr="00462CE4">
        <w:rPr>
          <w:rStyle w:val="AERbody"/>
        </w:rPr>
        <w:t xml:space="preserve">whether </w:t>
      </w:r>
      <w:r>
        <w:rPr>
          <w:rStyle w:val="AERbody"/>
        </w:rPr>
        <w:t>it is consistent with its proposed approach to forecast</w:t>
      </w:r>
      <w:r w:rsidR="00B22E34">
        <w:rPr>
          <w:rStyle w:val="AERbody"/>
        </w:rPr>
        <w:t>ing</w:t>
      </w:r>
      <w:r>
        <w:rPr>
          <w:rStyle w:val="AERbody"/>
        </w:rPr>
        <w:t xml:space="preserve"> opex for the following period.  </w:t>
      </w:r>
    </w:p>
    <w:p w:rsidR="00E5084C" w:rsidRDefault="00E5084C" w:rsidP="00E5084C">
      <w:pPr>
        <w:pStyle w:val="Heading2"/>
      </w:pPr>
      <w:bookmarkStart w:id="105" w:name="_Toc408404324"/>
      <w:bookmarkStart w:id="106" w:name="_Toc419366917"/>
      <w:bookmarkStart w:id="107" w:name="_Toc479174753"/>
      <w:bookmarkStart w:id="108" w:name="_Toc483397600"/>
      <w:bookmarkStart w:id="109" w:name="_Toc486832782"/>
      <w:r w:rsidRPr="0074565D">
        <w:t xml:space="preserve">Reasons for </w:t>
      </w:r>
      <w:r>
        <w:t>draft</w:t>
      </w:r>
      <w:r w:rsidRPr="0074565D">
        <w:t xml:space="preserve"> decision</w:t>
      </w:r>
      <w:bookmarkEnd w:id="105"/>
      <w:bookmarkEnd w:id="106"/>
      <w:bookmarkEnd w:id="107"/>
      <w:bookmarkEnd w:id="108"/>
      <w:bookmarkEnd w:id="109"/>
      <w:r w:rsidRPr="0074565D">
        <w:t xml:space="preserve"> </w:t>
      </w:r>
    </w:p>
    <w:p w:rsidR="00E5084C" w:rsidRDefault="00E5084C" w:rsidP="00E5084C">
      <w:pPr>
        <w:pStyle w:val="Heading3"/>
      </w:pPr>
      <w:bookmarkStart w:id="110" w:name="_Toc483397601"/>
      <w:bookmarkStart w:id="111" w:name="_Toc486832783"/>
      <w:r w:rsidRPr="00365D75">
        <w:t>Carryover</w:t>
      </w:r>
      <w:r>
        <w:t xml:space="preserve"> amounts from the 2013</w:t>
      </w:r>
      <w:r w:rsidRPr="00875607">
        <w:t xml:space="preserve">–17 </w:t>
      </w:r>
      <w:r>
        <w:t>access arrangement</w:t>
      </w:r>
      <w:r w:rsidRPr="00875607">
        <w:t xml:space="preserve"> period</w:t>
      </w:r>
      <w:bookmarkEnd w:id="110"/>
      <w:bookmarkEnd w:id="111"/>
    </w:p>
    <w:p w:rsidR="00E5084C" w:rsidRDefault="00112E3E" w:rsidP="00E5084C">
      <w:r>
        <w:t>W</w:t>
      </w:r>
      <w:r w:rsidR="00E5084C" w:rsidRPr="0060237E">
        <w:t xml:space="preserve">e consider </w:t>
      </w:r>
      <w:r w:rsidR="00E5084C">
        <w:t xml:space="preserve">AGN </w:t>
      </w:r>
      <w:r w:rsidR="00E5084C" w:rsidRPr="0060237E">
        <w:t>should rec</w:t>
      </w:r>
      <w:r w:rsidR="00E5084C">
        <w:t>eive a carryover of $</w:t>
      </w:r>
      <w:r w:rsidR="00C26681">
        <w:t>18.1</w:t>
      </w:r>
      <w:r w:rsidR="00E5084C">
        <w:t xml:space="preserve"> million ($2017</w:t>
      </w:r>
      <w:r w:rsidR="00E5084C" w:rsidRPr="0060237E">
        <w:t>) from the application of</w:t>
      </w:r>
      <w:r w:rsidR="00E5084C">
        <w:t xml:space="preserve"> the efficiency carryover mechanism </w:t>
      </w:r>
      <w:r>
        <w:t xml:space="preserve">to its Victorian network </w:t>
      </w:r>
      <w:r w:rsidR="00B26F83">
        <w:t>and $1.0</w:t>
      </w:r>
      <w:r w:rsidR="00EC1E71">
        <w:t> </w:t>
      </w:r>
      <w:r w:rsidR="00B26F83">
        <w:t xml:space="preserve">million ($ 2017) to its Albury network </w:t>
      </w:r>
      <w:r w:rsidR="00E5084C">
        <w:t>during the 2013–17</w:t>
      </w:r>
      <w:r w:rsidR="00E5084C" w:rsidRPr="0060237E">
        <w:t xml:space="preserve"> </w:t>
      </w:r>
      <w:r w:rsidR="00E5084C">
        <w:t>access arrangement</w:t>
      </w:r>
      <w:r w:rsidR="00E5084C" w:rsidRPr="0060237E">
        <w:t xml:space="preserve"> </w:t>
      </w:r>
      <w:proofErr w:type="gramStart"/>
      <w:r w:rsidR="00E5084C" w:rsidRPr="0060237E">
        <w:t>period</w:t>
      </w:r>
      <w:proofErr w:type="gramEnd"/>
      <w:r w:rsidR="00E5084C" w:rsidRPr="0060237E">
        <w:t>.</w:t>
      </w:r>
      <w:r>
        <w:t xml:space="preserve"> </w:t>
      </w:r>
    </w:p>
    <w:p w:rsidR="00C26681" w:rsidRDefault="00C26681" w:rsidP="00E5084C">
      <w:r>
        <w:rPr>
          <w:rStyle w:val="AERbody"/>
        </w:rPr>
        <w:t xml:space="preserve">The carryover amount </w:t>
      </w:r>
      <w:r w:rsidR="00112E3E">
        <w:rPr>
          <w:rStyle w:val="AERbody"/>
        </w:rPr>
        <w:t>we calculated</w:t>
      </w:r>
      <w:r>
        <w:rPr>
          <w:rStyle w:val="AERbody"/>
        </w:rPr>
        <w:t xml:space="preserve"> </w:t>
      </w:r>
      <w:r w:rsidRPr="00883854">
        <w:rPr>
          <w:rStyle w:val="AERbody"/>
        </w:rPr>
        <w:t>is $</w:t>
      </w:r>
      <w:r>
        <w:rPr>
          <w:rStyle w:val="AERbody"/>
        </w:rPr>
        <w:t xml:space="preserve">7.0 million </w:t>
      </w:r>
      <w:r w:rsidR="00EC1E71" w:rsidRPr="00EC1E71">
        <w:rPr>
          <w:rStyle w:val="AERbody"/>
        </w:rPr>
        <w:t xml:space="preserve">($2017) </w:t>
      </w:r>
      <w:r>
        <w:rPr>
          <w:rStyle w:val="AERbody"/>
        </w:rPr>
        <w:t>less</w:t>
      </w:r>
      <w:r w:rsidRPr="00883854">
        <w:rPr>
          <w:rStyle w:val="AERbody"/>
        </w:rPr>
        <w:t xml:space="preserve"> than </w:t>
      </w:r>
      <w:r w:rsidR="00112E3E">
        <w:rPr>
          <w:rStyle w:val="AERbody"/>
        </w:rPr>
        <w:t xml:space="preserve">the carryover </w:t>
      </w:r>
      <w:r>
        <w:rPr>
          <w:rStyle w:val="AERbody"/>
        </w:rPr>
        <w:t>AGN proposed for its Victorian network and $0.4 million ($20</w:t>
      </w:r>
      <w:r w:rsidRPr="00883854">
        <w:rPr>
          <w:rStyle w:val="AERbody"/>
        </w:rPr>
        <w:t xml:space="preserve">17) </w:t>
      </w:r>
      <w:r>
        <w:rPr>
          <w:rStyle w:val="AERbody"/>
        </w:rPr>
        <w:t xml:space="preserve">less than </w:t>
      </w:r>
      <w:r w:rsidR="00112E3E">
        <w:rPr>
          <w:rStyle w:val="AERbody"/>
        </w:rPr>
        <w:t xml:space="preserve">the carryover </w:t>
      </w:r>
      <w:r>
        <w:rPr>
          <w:rStyle w:val="AERbody"/>
        </w:rPr>
        <w:t xml:space="preserve">it proposed for </w:t>
      </w:r>
      <w:r w:rsidR="00112E3E">
        <w:rPr>
          <w:rStyle w:val="AERbody"/>
        </w:rPr>
        <w:t xml:space="preserve">its </w:t>
      </w:r>
      <w:r>
        <w:rPr>
          <w:rStyle w:val="AERbody"/>
        </w:rPr>
        <w:t>Albury</w:t>
      </w:r>
      <w:r w:rsidR="00112E3E">
        <w:rPr>
          <w:rStyle w:val="AERbody"/>
        </w:rPr>
        <w:t xml:space="preserve"> network</w:t>
      </w:r>
      <w:r w:rsidRPr="00883854">
        <w:rPr>
          <w:rStyle w:val="AERbody"/>
        </w:rPr>
        <w:t>.</w:t>
      </w:r>
      <w:r>
        <w:rPr>
          <w:rStyle w:val="AERbody"/>
        </w:rPr>
        <w:t xml:space="preserve"> The </w:t>
      </w:r>
      <w:r w:rsidR="00112E3E">
        <w:rPr>
          <w:rStyle w:val="AERbody"/>
        </w:rPr>
        <w:t>difference is</w:t>
      </w:r>
      <w:r>
        <w:rPr>
          <w:rStyle w:val="AERbody"/>
        </w:rPr>
        <w:t xml:space="preserve"> primarily because AGN's proposal was based on an estimate of its opex for 2016, which we updated with actual opex (as contemplated in AGN's proposal). </w:t>
      </w:r>
    </w:p>
    <w:p w:rsidR="00E5084C" w:rsidRDefault="00E5084C" w:rsidP="00E5084C">
      <w:r>
        <w:t>Other drivers of the difference between our calculation of the carryover and AGN'</w:t>
      </w:r>
      <w:r w:rsidR="003F1B4B">
        <w:t>s</w:t>
      </w:r>
      <w:r>
        <w:t xml:space="preserve"> are:</w:t>
      </w:r>
    </w:p>
    <w:p w:rsidR="009F7E1D" w:rsidRDefault="009F7E1D" w:rsidP="009F7E1D">
      <w:pPr>
        <w:pStyle w:val="AERbulletlistfirststyle"/>
      </w:pPr>
      <w:r>
        <w:t>AGN did not adjust its approved opex forecast to reflect the actual change in the scale of its activities</w:t>
      </w:r>
    </w:p>
    <w:p w:rsidR="00E5084C" w:rsidRDefault="00E5084C" w:rsidP="00E5084C">
      <w:pPr>
        <w:pStyle w:val="AERbulletlistfirststyle"/>
      </w:pPr>
      <w:r>
        <w:t xml:space="preserve">AGN </w:t>
      </w:r>
      <w:r w:rsidR="0081627F">
        <w:t xml:space="preserve">incorrectly reported </w:t>
      </w:r>
      <w:r w:rsidR="00F15EA4">
        <w:t xml:space="preserve">approved forecast </w:t>
      </w:r>
      <w:r w:rsidR="0081627F">
        <w:t>opex in 2011</w:t>
      </w:r>
    </w:p>
    <w:p w:rsidR="00E5084C" w:rsidRDefault="0081627F" w:rsidP="00E5084C">
      <w:pPr>
        <w:pStyle w:val="AERbulletlistfirststyle"/>
      </w:pPr>
      <w:proofErr w:type="gramStart"/>
      <w:r>
        <w:t>we</w:t>
      </w:r>
      <w:proofErr w:type="gramEnd"/>
      <w:r>
        <w:t xml:space="preserve"> include the 2011 inflation rate.</w:t>
      </w:r>
    </w:p>
    <w:p w:rsidR="00E5084C" w:rsidRDefault="00E5084C" w:rsidP="00E5084C">
      <w:r>
        <w:t>We discuss each of these issues below.</w:t>
      </w:r>
    </w:p>
    <w:p w:rsidR="00A51A08" w:rsidRDefault="00A51A08" w:rsidP="00220D9E">
      <w:pPr>
        <w:pStyle w:val="HeadingItalic"/>
      </w:pPr>
      <w:r>
        <w:t>Updating estimated opex for 2016 with actuals</w:t>
      </w:r>
    </w:p>
    <w:p w:rsidR="008673C5" w:rsidRPr="00D27EE0" w:rsidRDefault="008673C5" w:rsidP="008673C5">
      <w:r w:rsidRPr="00D27EE0">
        <w:t xml:space="preserve">At the time AGN submitted its proposal it did not </w:t>
      </w:r>
      <w:r>
        <w:t>have audited</w:t>
      </w:r>
      <w:r w:rsidRPr="00D27EE0">
        <w:t xml:space="preserve"> opex for 2016</w:t>
      </w:r>
      <w:r w:rsidR="005B0EE5">
        <w:t xml:space="preserve">. So </w:t>
      </w:r>
      <w:r w:rsidRPr="00D27EE0">
        <w:t>its proposed carryover amount was calculated using estimated opex</w:t>
      </w:r>
      <w:r>
        <w:t xml:space="preserve"> for 2016</w:t>
      </w:r>
      <w:r w:rsidRPr="00D27EE0">
        <w:t xml:space="preserve">. Since </w:t>
      </w:r>
      <w:r>
        <w:t>then,</w:t>
      </w:r>
      <w:r w:rsidRPr="00D27EE0">
        <w:t xml:space="preserve"> AGN submitted audited opex for 201</w:t>
      </w:r>
      <w:r>
        <w:t>6 which w</w:t>
      </w:r>
      <w:r w:rsidRPr="00D27EE0">
        <w:t xml:space="preserve">e used </w:t>
      </w:r>
      <w:r>
        <w:t>in our calculations. Because the audited opex</w:t>
      </w:r>
      <w:r w:rsidRPr="00D27EE0">
        <w:t xml:space="preserve"> </w:t>
      </w:r>
      <w:r>
        <w:t>was higher than AGN's</w:t>
      </w:r>
      <w:r w:rsidRPr="00D27EE0">
        <w:t xml:space="preserve"> estimate</w:t>
      </w:r>
      <w:r w:rsidR="005B0EE5">
        <w:t>,</w:t>
      </w:r>
      <w:r>
        <w:t xml:space="preserve"> this </w:t>
      </w:r>
      <w:r w:rsidRPr="00D27EE0">
        <w:t>reduc</w:t>
      </w:r>
      <w:r>
        <w:t>ed</w:t>
      </w:r>
      <w:r w:rsidRPr="00D27EE0">
        <w:t xml:space="preserve"> its carryover by </w:t>
      </w:r>
      <w:r w:rsidR="008C6F06">
        <w:t xml:space="preserve">around </w:t>
      </w:r>
      <w:r w:rsidRPr="00D27EE0">
        <w:t>$5.</w:t>
      </w:r>
      <w:r w:rsidR="008C6F06">
        <w:t>0</w:t>
      </w:r>
      <w:r w:rsidR="00EC1E71">
        <w:t> </w:t>
      </w:r>
      <w:r w:rsidRPr="00D27EE0">
        <w:t xml:space="preserve">million ($2017). </w:t>
      </w:r>
      <w:r>
        <w:t>We note t</w:t>
      </w:r>
      <w:r w:rsidRPr="00D27EE0">
        <w:t xml:space="preserve">he revenue impact </w:t>
      </w:r>
      <w:r>
        <w:t xml:space="preserve">of the higher opex in 2016 </w:t>
      </w:r>
      <w:r w:rsidRPr="00D27EE0">
        <w:t>will be largely offset when AGN updates its opex forecast in its revised proposal.</w:t>
      </w:r>
    </w:p>
    <w:p w:rsidR="00A51A08" w:rsidRPr="00A51A08" w:rsidRDefault="00A51A08" w:rsidP="00220D9E">
      <w:pPr>
        <w:pStyle w:val="HeadingItalic"/>
      </w:pPr>
      <w:r w:rsidRPr="00A51A08">
        <w:t xml:space="preserve">Adjustment to </w:t>
      </w:r>
      <w:r w:rsidR="007B3AD2">
        <w:t>the approved</w:t>
      </w:r>
      <w:r w:rsidR="007B3AD2" w:rsidRPr="00A51A08">
        <w:t xml:space="preserve"> </w:t>
      </w:r>
      <w:r w:rsidRPr="00A51A08">
        <w:t xml:space="preserve">opex </w:t>
      </w:r>
      <w:r w:rsidR="007B3AD2">
        <w:t xml:space="preserve">forecast </w:t>
      </w:r>
      <w:r w:rsidRPr="00A51A08">
        <w:t>to reflect actual change in scale</w:t>
      </w:r>
    </w:p>
    <w:p w:rsidR="00A51A08" w:rsidRPr="00A51A08" w:rsidRDefault="008673C5" w:rsidP="00A51A08">
      <w:r w:rsidRPr="00A51A08">
        <w:t>A</w:t>
      </w:r>
      <w:r>
        <w:t>GN</w:t>
      </w:r>
      <w:r w:rsidRPr="00A51A08">
        <w:t xml:space="preserve">'s </w:t>
      </w:r>
      <w:r w:rsidR="00A51A08" w:rsidRPr="00A51A08">
        <w:t xml:space="preserve">access arrangement </w:t>
      </w:r>
      <w:r w:rsidR="00FE2D83">
        <w:t>for 2013–17</w:t>
      </w:r>
      <w:r w:rsidR="005B0EE5">
        <w:t xml:space="preserve"> </w:t>
      </w:r>
      <w:r w:rsidR="00A51A08" w:rsidRPr="00A51A08">
        <w:t>requires that efficiency carryovers</w:t>
      </w:r>
      <w:r w:rsidR="00F15EA4">
        <w:t xml:space="preserve"> be calculated</w:t>
      </w:r>
      <w:r w:rsidR="00A51A08" w:rsidRPr="00A51A08">
        <w:t xml:space="preserve"> in a manner that takes account of any change in the scale of the activities which form the basis of the determination of the original benchmarks</w:t>
      </w:r>
      <w:r w:rsidR="00FE2D83">
        <w:t>.</w:t>
      </w:r>
      <w:r w:rsidR="00FE2D83">
        <w:rPr>
          <w:rStyle w:val="FootnoteReference"/>
        </w:rPr>
        <w:footnoteReference w:id="10"/>
      </w:r>
      <w:r w:rsidR="00A51A08" w:rsidRPr="00A51A08">
        <w:t xml:space="preserve"> Further, the opex benchmarks </w:t>
      </w:r>
      <w:r w:rsidR="00F15EA4">
        <w:t xml:space="preserve">should be adjusted </w:t>
      </w:r>
      <w:r w:rsidR="00A51A08" w:rsidRPr="00A51A08">
        <w:t>consistent</w:t>
      </w:r>
      <w:r w:rsidR="00C0389C">
        <w:t>ly</w:t>
      </w:r>
      <w:r w:rsidR="00A51A08" w:rsidRPr="00A51A08">
        <w:t xml:space="preserve"> with the way we determined the benchmarks. This requires </w:t>
      </w:r>
      <w:r>
        <w:t>AGN</w:t>
      </w:r>
      <w:r w:rsidR="00A51A08" w:rsidRPr="00A51A08">
        <w:t xml:space="preserve">'s </w:t>
      </w:r>
      <w:r w:rsidR="00F15EA4">
        <w:t xml:space="preserve">approved forecast </w:t>
      </w:r>
      <w:r w:rsidR="00A51A08" w:rsidRPr="00A51A08">
        <w:t xml:space="preserve">opex </w:t>
      </w:r>
      <w:r w:rsidR="00F15EA4">
        <w:t xml:space="preserve">be recalculated to </w:t>
      </w:r>
      <w:r w:rsidR="00A51A08" w:rsidRPr="00A51A08">
        <w:t>reflect actual ou</w:t>
      </w:r>
      <w:r>
        <w:t>t</w:t>
      </w:r>
      <w:r w:rsidR="00A51A08" w:rsidRPr="00A51A08">
        <w:t xml:space="preserve">put growth rather than the forecasts of output growth we used to determine </w:t>
      </w:r>
      <w:r w:rsidR="00F15EA4">
        <w:t xml:space="preserve">forecast </w:t>
      </w:r>
      <w:r w:rsidR="00A51A08" w:rsidRPr="00A51A08">
        <w:t xml:space="preserve">opex for the 2013–17 access arrangement period. </w:t>
      </w:r>
      <w:r>
        <w:t>AGN</w:t>
      </w:r>
      <w:r w:rsidR="00A51A08" w:rsidRPr="00A51A08">
        <w:t xml:space="preserve"> did not </w:t>
      </w:r>
      <w:r w:rsidR="00F15EA4">
        <w:t>follow these requirements</w:t>
      </w:r>
      <w:r w:rsidR="00A51A08" w:rsidRPr="00A51A08">
        <w:t>.</w:t>
      </w:r>
    </w:p>
    <w:p w:rsidR="00A51A08" w:rsidRDefault="00A51A08" w:rsidP="00A51A08">
      <w:r w:rsidRPr="00A51A08">
        <w:t xml:space="preserve">Consequently, we measured output growth for the current access arrangement period </w:t>
      </w:r>
      <w:r w:rsidR="00C915AA">
        <w:t xml:space="preserve">based on actual </w:t>
      </w:r>
      <w:r w:rsidR="005F5ED6">
        <w:t xml:space="preserve">rather than forecast </w:t>
      </w:r>
      <w:r w:rsidR="00C915AA">
        <w:t>customer numbers</w:t>
      </w:r>
      <w:r w:rsidRPr="00A51A08">
        <w:t xml:space="preserve">. This reduced the </w:t>
      </w:r>
      <w:r w:rsidR="00586F6E">
        <w:t xml:space="preserve">forecast </w:t>
      </w:r>
      <w:r w:rsidRPr="00A51A08">
        <w:t>opex we used to calculate efficiency carryovers.</w:t>
      </w:r>
    </w:p>
    <w:p w:rsidR="00D27EE0" w:rsidRDefault="00381A82" w:rsidP="00220D9E">
      <w:pPr>
        <w:pStyle w:val="HeadingItalic"/>
      </w:pPr>
      <w:r>
        <w:t>T</w:t>
      </w:r>
      <w:r w:rsidR="00D27EE0">
        <w:t>echnical errors</w:t>
      </w:r>
    </w:p>
    <w:p w:rsidR="00D27EE0" w:rsidRDefault="00D27EE0" w:rsidP="00D27EE0">
      <w:r>
        <w:t xml:space="preserve">AGN </w:t>
      </w:r>
      <w:r w:rsidR="001A27FB">
        <w:t>did not correctly report</w:t>
      </w:r>
      <w:r w:rsidR="003F1B4B">
        <w:t xml:space="preserve"> the</w:t>
      </w:r>
      <w:r>
        <w:t xml:space="preserve"> </w:t>
      </w:r>
      <w:r w:rsidR="001A27FB">
        <w:t xml:space="preserve">approved </w:t>
      </w:r>
      <w:r w:rsidR="000B62DC">
        <w:t xml:space="preserve">forecast </w:t>
      </w:r>
      <w:r w:rsidR="001A27FB">
        <w:t>opex for</w:t>
      </w:r>
      <w:r>
        <w:t xml:space="preserve"> 2011 in its </w:t>
      </w:r>
      <w:r w:rsidR="003F1B4B">
        <w:t>calculation</w:t>
      </w:r>
      <w:r w:rsidR="001A27FB">
        <w:t xml:space="preserve">, as </w:t>
      </w:r>
      <w:r w:rsidR="003F1B4B">
        <w:t>specified in its current access arrangement.</w:t>
      </w:r>
      <w:r w:rsidR="003F1B4B">
        <w:rPr>
          <w:rStyle w:val="FootnoteReference"/>
        </w:rPr>
        <w:footnoteReference w:id="11"/>
      </w:r>
      <w:r w:rsidR="003F1B4B">
        <w:t xml:space="preserve"> </w:t>
      </w:r>
      <w:r w:rsidR="00893881">
        <w:t>C</w:t>
      </w:r>
      <w:r>
        <w:t>orrect</w:t>
      </w:r>
      <w:r w:rsidR="00893881">
        <w:t>ing</w:t>
      </w:r>
      <w:r>
        <w:t xml:space="preserve"> this reduced its carryover amount by </w:t>
      </w:r>
      <w:r w:rsidR="008C6F06">
        <w:t xml:space="preserve">around </w:t>
      </w:r>
      <w:r>
        <w:t>$1.</w:t>
      </w:r>
      <w:r w:rsidR="008C6F06">
        <w:t>0</w:t>
      </w:r>
      <w:r>
        <w:t xml:space="preserve"> million ($2017).</w:t>
      </w:r>
    </w:p>
    <w:p w:rsidR="00D27EE0" w:rsidRPr="00D27EE0" w:rsidRDefault="00D27EE0" w:rsidP="00D27EE0">
      <w:r>
        <w:t xml:space="preserve">We corrected the model template to include the inflation </w:t>
      </w:r>
      <w:r w:rsidR="003F1B4B">
        <w:t xml:space="preserve">annual </w:t>
      </w:r>
      <w:r>
        <w:t xml:space="preserve">rate for 2011. </w:t>
      </w:r>
      <w:r w:rsidR="00893881">
        <w:t xml:space="preserve">We </w:t>
      </w:r>
      <w:r>
        <w:t xml:space="preserve">needed </w:t>
      </w:r>
      <w:r w:rsidR="00893881">
        <w:t xml:space="preserve">this </w:t>
      </w:r>
      <w:r>
        <w:t xml:space="preserve">to convert </w:t>
      </w:r>
      <w:r w:rsidR="003F1B4B">
        <w:t>actual opex for 201</w:t>
      </w:r>
      <w:r w:rsidR="00381A82">
        <w:t>1</w:t>
      </w:r>
      <w:r>
        <w:t xml:space="preserve"> into $2017. </w:t>
      </w:r>
    </w:p>
    <w:p w:rsidR="00D24B9C" w:rsidRPr="00D24B9C" w:rsidRDefault="00D24B9C" w:rsidP="00D24B9C">
      <w:pPr>
        <w:pStyle w:val="Heading3"/>
      </w:pPr>
      <w:bookmarkStart w:id="112" w:name="_Toc483397602"/>
      <w:bookmarkStart w:id="113" w:name="_Toc486832784"/>
      <w:r w:rsidRPr="00D24B9C">
        <w:t xml:space="preserve">The </w:t>
      </w:r>
      <w:r w:rsidR="000B62DC">
        <w:t xml:space="preserve">opex </w:t>
      </w:r>
      <w:r w:rsidRPr="00D24B9C">
        <w:t>incentive mechanism to apply in the 2018–22 access arrangement period</w:t>
      </w:r>
      <w:bookmarkEnd w:id="112"/>
      <w:bookmarkEnd w:id="113"/>
    </w:p>
    <w:p w:rsidR="00D24B9C" w:rsidRDefault="00D24B9C" w:rsidP="00D24B9C">
      <w:r>
        <w:t>We approve the application of an efficiency carryover mechanism</w:t>
      </w:r>
      <w:r w:rsidR="009F6389">
        <w:t xml:space="preserve"> to the combined networks</w:t>
      </w:r>
      <w:r>
        <w:t xml:space="preserve"> in the 2018–22 access arrangement. </w:t>
      </w:r>
    </w:p>
    <w:p w:rsidR="00D24B9C" w:rsidRDefault="00D24B9C" w:rsidP="00D24B9C">
      <w:r>
        <w:t xml:space="preserve">An efficiency carryover mechanism is required to provide AGN with a continuous incentive to pursue efficiency gains during the 2018–22 </w:t>
      </w:r>
      <w:r w:rsidR="000B62DC">
        <w:t xml:space="preserve">access arrangement </w:t>
      </w:r>
      <w:proofErr w:type="gramStart"/>
      <w:r>
        <w:t>period</w:t>
      </w:r>
      <w:proofErr w:type="gramEnd"/>
      <w:r>
        <w:t>. It will also provide AGN with an incentive not to increase its reported opex in the expected base year, given we typically rely on reported opex</w:t>
      </w:r>
      <w:r w:rsidR="000B62DC">
        <w:t xml:space="preserve"> in a single year to forecast</w:t>
      </w:r>
      <w:r>
        <w:t xml:space="preserve"> opex.</w:t>
      </w:r>
    </w:p>
    <w:p w:rsidR="00D24B9C" w:rsidRDefault="00DA2220" w:rsidP="00D24B9C">
      <w:r>
        <w:t>W</w:t>
      </w:r>
      <w:r w:rsidR="009F6389" w:rsidRPr="00FA160A">
        <w:t>e have amended AGN’s proposed efficiency carryover mechanism to reflect improvements included in the efficiency benefit sharing scheme (EBSS) we released in November 2013 for electricity service providers</w:t>
      </w:r>
      <w:r w:rsidR="009F6389">
        <w:t>.</w:t>
      </w:r>
      <w:r w:rsidR="009F6389">
        <w:rPr>
          <w:rStyle w:val="FootnoteReference"/>
        </w:rPr>
        <w:footnoteReference w:id="12"/>
      </w:r>
      <w:r w:rsidR="009F6389">
        <w:t xml:space="preserve"> T</w:t>
      </w:r>
      <w:r w:rsidR="009F6389" w:rsidRPr="00FA160A">
        <w:t>he amendments will give AGN flexibility in the choice of base year it uses to forecast opex in the following period. We have also reduced the number of cost categories we will exclude from the mechanism</w:t>
      </w:r>
      <w:r w:rsidR="00D24B9C">
        <w:t xml:space="preserve"> </w:t>
      </w:r>
      <w:r w:rsidR="007D75A8">
        <w:t>and</w:t>
      </w:r>
      <w:r w:rsidR="00697B81">
        <w:t xml:space="preserve"> removed fixed principle C</w:t>
      </w:r>
      <w:r w:rsidR="007D75A8">
        <w:t>. This is</w:t>
      </w:r>
      <w:r w:rsidR="00697B81">
        <w:t xml:space="preserve"> because we have not yet determined the form of any incentive mech</w:t>
      </w:r>
      <w:r w:rsidR="007D75A8">
        <w:t>an</w:t>
      </w:r>
      <w:r w:rsidR="00697B81">
        <w:t>ism that will apply in the access arrangement period expected to commence 1 January 2023.</w:t>
      </w:r>
    </w:p>
    <w:p w:rsidR="00D24B9C" w:rsidRDefault="001A27FB" w:rsidP="00D24B9C">
      <w:r w:rsidRPr="00540A32">
        <w:t xml:space="preserve">The EBSS is consistent with the revenue pricing principles </w:t>
      </w:r>
      <w:r>
        <w:t>and we designed it taking into account the interactions</w:t>
      </w:r>
      <w:r w:rsidRPr="00540A32" w:rsidDel="00C44949">
        <w:t xml:space="preserve"> </w:t>
      </w:r>
      <w:r w:rsidRPr="00540A32">
        <w:t>with our revealed opex forecasting approach</w:t>
      </w:r>
      <w:r w:rsidR="00DA2220">
        <w:t>.</w:t>
      </w:r>
      <w:r w:rsidR="00EB4FD4">
        <w:rPr>
          <w:rStyle w:val="FootnoteReference"/>
        </w:rPr>
        <w:footnoteReference w:id="13"/>
      </w:r>
    </w:p>
    <w:p w:rsidR="00D24B9C" w:rsidRPr="000D1488" w:rsidRDefault="00D24B9C" w:rsidP="007D75A8">
      <w:pPr>
        <w:pStyle w:val="HeadingBoldItalic"/>
      </w:pPr>
      <w:r w:rsidRPr="000D1488">
        <w:t>Revised equations consistent with the EBSS</w:t>
      </w:r>
    </w:p>
    <w:p w:rsidR="00D24B9C" w:rsidRDefault="00D24B9C" w:rsidP="00D24B9C">
      <w:r>
        <w:t xml:space="preserve">The efficiency mechanism AGN proposed is similar to </w:t>
      </w:r>
      <w:r w:rsidR="001A27FB">
        <w:t>the EBSS for electricity service providers</w:t>
      </w:r>
      <w:r>
        <w:t xml:space="preserve">. The key difference is that the EBSS provides greater flexibility. </w:t>
      </w:r>
    </w:p>
    <w:p w:rsidR="00D24B9C" w:rsidRDefault="00D24B9C" w:rsidP="00D24B9C">
      <w:r>
        <w:t>The equations proposed by AGN assume</w:t>
      </w:r>
      <w:r w:rsidR="00397714">
        <w:t>d</w:t>
      </w:r>
      <w:r>
        <w:t xml:space="preserve"> it will use </w:t>
      </w:r>
      <w:r w:rsidR="0081627F">
        <w:t xml:space="preserve">revealed </w:t>
      </w:r>
      <w:r>
        <w:t>opex in 2021 to forecast opex for the following period.</w:t>
      </w:r>
      <w:r>
        <w:rPr>
          <w:rStyle w:val="FootnoteReference"/>
        </w:rPr>
        <w:footnoteReference w:id="14"/>
      </w:r>
      <w:r w:rsidR="003744B7">
        <w:t xml:space="preserve"> </w:t>
      </w:r>
      <w:r w:rsidR="0081627F" w:rsidRPr="0081627F">
        <w:t xml:space="preserve">We have amended the equations to provide AGN </w:t>
      </w:r>
      <w:r w:rsidR="0081627F">
        <w:t xml:space="preserve">with </w:t>
      </w:r>
      <w:r w:rsidR="00CA08D3">
        <w:t xml:space="preserve">the </w:t>
      </w:r>
      <w:r w:rsidR="0081627F" w:rsidRPr="0081627F">
        <w:t xml:space="preserve">flexibility </w:t>
      </w:r>
      <w:r w:rsidR="00CA08D3">
        <w:t>to</w:t>
      </w:r>
      <w:r w:rsidR="0081627F">
        <w:t xml:space="preserve"> cho</w:t>
      </w:r>
      <w:r w:rsidR="00CA08D3">
        <w:t>ose</w:t>
      </w:r>
      <w:r w:rsidR="0081627F">
        <w:t xml:space="preserve"> </w:t>
      </w:r>
      <w:r w:rsidR="00CA08D3">
        <w:t>any</w:t>
      </w:r>
      <w:r w:rsidR="0081627F">
        <w:t xml:space="preserve"> base year</w:t>
      </w:r>
      <w:r w:rsidR="0081627F" w:rsidRPr="0081627F">
        <w:t>.</w:t>
      </w:r>
      <w:r>
        <w:t xml:space="preserve">  </w:t>
      </w:r>
    </w:p>
    <w:p w:rsidR="00D24B9C" w:rsidRDefault="00D24B9C" w:rsidP="00D24B9C">
      <w:r>
        <w:t>These revisions reflect the equations in the EBSS for electricity service providers we released in November 2013.</w:t>
      </w:r>
      <w:r>
        <w:rPr>
          <w:rStyle w:val="FootnoteReference"/>
        </w:rPr>
        <w:footnoteReference w:id="15"/>
      </w:r>
    </w:p>
    <w:p w:rsidR="0011580A" w:rsidRPr="00453087" w:rsidRDefault="0011580A" w:rsidP="007D75A8">
      <w:pPr>
        <w:pStyle w:val="HeadingBoldItalic"/>
      </w:pPr>
      <w:r w:rsidRPr="00453087">
        <w:t>Exclusions from the operation of the efficiency carryover mechanism</w:t>
      </w:r>
    </w:p>
    <w:p w:rsidR="00FE2D83" w:rsidRDefault="0011580A" w:rsidP="0011580A">
      <w:r>
        <w:t>AGN proposed a number of adjustments and exclusions to forecast and actual opex when calculating carryover</w:t>
      </w:r>
      <w:r w:rsidR="007B3AD2">
        <w:t xml:space="preserve"> amount</w:t>
      </w:r>
      <w:r>
        <w:t>s.</w:t>
      </w:r>
      <w:r w:rsidR="001948E2">
        <w:t xml:space="preserve"> </w:t>
      </w:r>
    </w:p>
    <w:p w:rsidR="0011580A" w:rsidRDefault="001948E2" w:rsidP="0011580A">
      <w:r w:rsidRPr="001948E2">
        <w:t xml:space="preserve">We agree the following adjustments and exclusions </w:t>
      </w:r>
      <w:r>
        <w:t>will contribute to AGN</w:t>
      </w:r>
      <w:r w:rsidRPr="001948E2">
        <w:t xml:space="preserve"> being rewarded (penalised) for genuine efficiency gains (losses)</w:t>
      </w:r>
      <w:r w:rsidR="0011580A">
        <w:t>:</w:t>
      </w:r>
    </w:p>
    <w:p w:rsidR="0011580A" w:rsidRDefault="0011580A" w:rsidP="0011580A">
      <w:pPr>
        <w:pStyle w:val="AERbulletlistfirststyle"/>
      </w:pPr>
      <w:r>
        <w:t xml:space="preserve">adjust </w:t>
      </w:r>
      <w:r w:rsidR="004F3779">
        <w:t>forecast</w:t>
      </w:r>
      <w:r>
        <w:t xml:space="preserve"> opex for approved cost pass through amounts </w:t>
      </w:r>
    </w:p>
    <w:p w:rsidR="0011580A" w:rsidRPr="00DE225D" w:rsidRDefault="0011580A" w:rsidP="0011580A">
      <w:pPr>
        <w:pStyle w:val="AERbulletlistfirststyle"/>
      </w:pPr>
      <w:r>
        <w:t>exclude movements in provisions from actual opex</w:t>
      </w:r>
    </w:p>
    <w:p w:rsidR="0011580A" w:rsidRDefault="0011580A" w:rsidP="0011580A">
      <w:pPr>
        <w:pStyle w:val="AERbulletlistfirststyle"/>
      </w:pPr>
      <w:proofErr w:type="gramStart"/>
      <w:r w:rsidRPr="00DE225D">
        <w:t>any</w:t>
      </w:r>
      <w:proofErr w:type="gramEnd"/>
      <w:r w:rsidRPr="00DE225D">
        <w:t xml:space="preserve"> other activity </w:t>
      </w:r>
      <w:r w:rsidR="00402FAB">
        <w:t>AGN</w:t>
      </w:r>
      <w:r w:rsidRPr="00DE225D">
        <w:t xml:space="preserve"> and </w:t>
      </w:r>
      <w:r w:rsidR="00402FAB">
        <w:t>we</w:t>
      </w:r>
      <w:r w:rsidRPr="00DE225D">
        <w:t xml:space="preserve"> agree to exclude from the operation of the efficiency carryover mechanism</w:t>
      </w:r>
      <w:r>
        <w:t>.</w:t>
      </w:r>
    </w:p>
    <w:p w:rsidR="0011580A" w:rsidRDefault="0011580A" w:rsidP="0011580A">
      <w:r>
        <w:t>We discuss AGN'</w:t>
      </w:r>
      <w:r w:rsidR="001948E2">
        <w:t>s</w:t>
      </w:r>
      <w:r>
        <w:t xml:space="preserve"> other proposed adjustments and exclusions below. </w:t>
      </w:r>
    </w:p>
    <w:p w:rsidR="0011580A" w:rsidRPr="006E7AAA" w:rsidRDefault="0011580A" w:rsidP="0011580A">
      <w:pPr>
        <w:pStyle w:val="HeadingItalic"/>
      </w:pPr>
      <w:r>
        <w:t>Costs associated with complying with RoLR requirements</w:t>
      </w:r>
    </w:p>
    <w:p w:rsidR="0011580A" w:rsidRDefault="0011580A" w:rsidP="0011580A">
      <w:r>
        <w:t xml:space="preserve">AGN proposed that </w:t>
      </w:r>
      <w:r w:rsidR="00402FAB">
        <w:t xml:space="preserve">the </w:t>
      </w:r>
      <w:r>
        <w:t xml:space="preserve">costs </w:t>
      </w:r>
      <w:r w:rsidR="007B3AD2">
        <w:t>of</w:t>
      </w:r>
      <w:r>
        <w:t xml:space="preserve"> complying with any retailer of last resort (RoLR) requirements be excluded from the operation of the efficiency carryover mechanism. </w:t>
      </w:r>
    </w:p>
    <w:p w:rsidR="0011580A" w:rsidRDefault="0011580A" w:rsidP="0011580A">
      <w:r>
        <w:t>We consider there is no need to exclude costs of complying with RoLR requirements from the efficiency carryover mechanism because if a RoLR event occurs, AGN will be able to apply for a cost pass through and forecast opex will be adjusted accordingly.</w:t>
      </w:r>
    </w:p>
    <w:p w:rsidR="0011580A" w:rsidRDefault="0011580A" w:rsidP="0011580A">
      <w:r>
        <w:t xml:space="preserve">In this draft decision we include a </w:t>
      </w:r>
      <w:r w:rsidR="009F672B">
        <w:t>Network User Failure</w:t>
      </w:r>
      <w:r w:rsidRPr="002429C0">
        <w:t xml:space="preserve"> </w:t>
      </w:r>
      <w:r w:rsidR="009F672B">
        <w:t xml:space="preserve">Event as a defined </w:t>
      </w:r>
      <w:r>
        <w:t>cost pass through e</w:t>
      </w:r>
      <w:r w:rsidRPr="002429C0">
        <w:t>vent</w:t>
      </w:r>
      <w:r w:rsidR="009F672B">
        <w:t xml:space="preserve"> for AGN</w:t>
      </w:r>
      <w:r>
        <w:t xml:space="preserve"> (</w:t>
      </w:r>
      <w:r w:rsidR="009F672B">
        <w:t>see</w:t>
      </w:r>
      <w:r>
        <w:t xml:space="preserve"> attachment 11). Th</w:t>
      </w:r>
      <w:r w:rsidR="003F3CE4">
        <w:t>is event</w:t>
      </w:r>
      <w:r>
        <w:t xml:space="preserve"> cover</w:t>
      </w:r>
      <w:r w:rsidR="003F3CE4">
        <w:t>s</w:t>
      </w:r>
      <w:r>
        <w:t xml:space="preserve"> costs incurred by AGN when a user becomes insolvent or is unable to supply gas to its customers. Consequently, there would be no need to exclude costs of complying with RoLR requirements from the efficiency carryover mechanism. This is because clause 5.1(</w:t>
      </w:r>
      <w:r w:rsidR="00AA0D14">
        <w:t>h</w:t>
      </w:r>
      <w:r>
        <w:t xml:space="preserve">) of the revised access arrangement indicates the </w:t>
      </w:r>
      <w:r w:rsidRPr="00792F71">
        <w:t xml:space="preserve">forecast </w:t>
      </w:r>
      <w:r w:rsidR="00AE0FDA">
        <w:t>opex</w:t>
      </w:r>
      <w:r w:rsidRPr="00792F71">
        <w:t xml:space="preserve"> amount for each year of </w:t>
      </w:r>
      <w:r>
        <w:t>the applicable access arrangement p</w:t>
      </w:r>
      <w:r w:rsidRPr="00792F71">
        <w:t>eriod w</w:t>
      </w:r>
      <w:r>
        <w:t>ill be adjusted to include any determined pass through a</w:t>
      </w:r>
      <w:r w:rsidRPr="00792F71">
        <w:t>mounts</w:t>
      </w:r>
      <w:r>
        <w:t>.</w:t>
      </w:r>
    </w:p>
    <w:p w:rsidR="0011580A" w:rsidRPr="0060721A" w:rsidRDefault="0011580A" w:rsidP="0011580A">
      <w:pPr>
        <w:pStyle w:val="HeadingItalic"/>
      </w:pPr>
      <w:r w:rsidRPr="0060721A">
        <w:t xml:space="preserve">Amounts for approved cost pass through events </w:t>
      </w:r>
    </w:p>
    <w:p w:rsidR="0011580A" w:rsidRPr="0060721A" w:rsidRDefault="0011580A" w:rsidP="0011580A">
      <w:r>
        <w:t xml:space="preserve">We agree that we should adjust the efficiency carryover calculation to account for approved cost pass through events. </w:t>
      </w:r>
    </w:p>
    <w:p w:rsidR="0011580A" w:rsidRDefault="0011580A" w:rsidP="0011580A">
      <w:r>
        <w:t>However, w</w:t>
      </w:r>
      <w:r w:rsidRPr="0060721A">
        <w:t xml:space="preserve">e consider that adjusting the opex forecast ex post rather than removing the costs from actual opex is the </w:t>
      </w:r>
      <w:r w:rsidR="007B3AD2">
        <w:t>simplest</w:t>
      </w:r>
      <w:r>
        <w:t xml:space="preserve"> way </w:t>
      </w:r>
      <w:r w:rsidRPr="0060721A">
        <w:t xml:space="preserve">to account </w:t>
      </w:r>
      <w:r>
        <w:t>for approved cost pass through events. We have included this in clause 5.1(</w:t>
      </w:r>
      <w:r w:rsidR="00AA0D14">
        <w:t>h</w:t>
      </w:r>
      <w:r>
        <w:t>) in our revisions.</w:t>
      </w:r>
    </w:p>
    <w:p w:rsidR="0011580A" w:rsidRDefault="0011580A" w:rsidP="0011580A">
      <w:pPr>
        <w:pStyle w:val="HeadingItalic"/>
      </w:pPr>
      <w:r>
        <w:t>Unaccounted for gas expenses</w:t>
      </w:r>
    </w:p>
    <w:p w:rsidR="0011580A" w:rsidRDefault="0011580A" w:rsidP="0011580A">
      <w:r>
        <w:t xml:space="preserve">We agree that, should we continue to forecast unaccounted for gas expenses in the same way, we should continue to exclude them from the efficiency carryover mechanism. </w:t>
      </w:r>
      <w:r w:rsidR="00402FAB">
        <w:t>W</w:t>
      </w:r>
      <w:r>
        <w:t xml:space="preserve">e exclude these costs because we do not forecast them based on the expenses revealed in a single year. Consequently the access arrangement does not need to explicitly exclude these costs because the access arrangement will exclude costs </w:t>
      </w:r>
      <w:r w:rsidRPr="00B92E4F">
        <w:t>not forecast using a single year revealed cost approach for the next regulatory period (commencing 1 January 2023).</w:t>
      </w:r>
      <w:r>
        <w:t xml:space="preserve"> Nonetheless, we have listed unaccounted for gas expenses in the access arrangement as an example of costs </w:t>
      </w:r>
      <w:r w:rsidRPr="00B92E4F">
        <w:t>not forecast using a single year revealed cost approach</w:t>
      </w:r>
      <w:r>
        <w:t>. Should these costs be forecast on a different basis in the future we will reconsider whether they should be excluded, taking into account the basis on which they are forecast.</w:t>
      </w:r>
    </w:p>
    <w:p w:rsidR="0011580A" w:rsidRDefault="0011580A" w:rsidP="0011580A">
      <w:pPr>
        <w:pStyle w:val="HeadingItalic"/>
      </w:pPr>
      <w:r>
        <w:t>Licence fees</w:t>
      </w:r>
    </w:p>
    <w:p w:rsidR="0011580A" w:rsidRPr="009D6BDC" w:rsidRDefault="0011580A" w:rsidP="0011580A">
      <w:pPr>
        <w:rPr>
          <w:rStyle w:val="AERbody"/>
        </w:rPr>
      </w:pPr>
      <w:r w:rsidRPr="009D6BDC">
        <w:rPr>
          <w:rStyle w:val="AERbody"/>
        </w:rPr>
        <w:t xml:space="preserve">In the 2013–17 access arrangement </w:t>
      </w:r>
      <w:proofErr w:type="gramStart"/>
      <w:r w:rsidRPr="009D6BDC">
        <w:rPr>
          <w:rStyle w:val="AERbody"/>
        </w:rPr>
        <w:t>period</w:t>
      </w:r>
      <w:proofErr w:type="gramEnd"/>
      <w:r w:rsidRPr="009D6BDC">
        <w:rPr>
          <w:rStyle w:val="AERbody"/>
        </w:rPr>
        <w:t xml:space="preserve">, </w:t>
      </w:r>
      <w:r>
        <w:rPr>
          <w:rStyle w:val="AERbody"/>
        </w:rPr>
        <w:t>AGN</w:t>
      </w:r>
      <w:r w:rsidRPr="009D6BDC">
        <w:rPr>
          <w:rStyle w:val="AERbody"/>
        </w:rPr>
        <w:t xml:space="preserve"> recovered the costs of its annual licence fees payable to Essential Services Commission</w:t>
      </w:r>
      <w:r w:rsidR="005276C5">
        <w:rPr>
          <w:rStyle w:val="AERbody"/>
        </w:rPr>
        <w:t xml:space="preserve"> of Victoria</w:t>
      </w:r>
      <w:r w:rsidRPr="009D6BDC">
        <w:rPr>
          <w:rStyle w:val="AERbody"/>
        </w:rPr>
        <w:t xml:space="preserve"> through a licence fee factor in its tariff control formula.</w:t>
      </w:r>
      <w:r w:rsidRPr="009D6BDC">
        <w:rPr>
          <w:rStyle w:val="FootnoteReference"/>
        </w:rPr>
        <w:footnoteReference w:id="16"/>
      </w:r>
      <w:r>
        <w:rPr>
          <w:rStyle w:val="AERbody"/>
        </w:rPr>
        <w:t xml:space="preserve"> For this reason we excluded these costs from the efficiency carryover mechanism in the current access arrangement period.</w:t>
      </w:r>
    </w:p>
    <w:p w:rsidR="0011580A" w:rsidRPr="0060721A" w:rsidRDefault="0011580A" w:rsidP="0011580A">
      <w:r w:rsidRPr="009D6BDC">
        <w:rPr>
          <w:rStyle w:val="AERbody"/>
        </w:rPr>
        <w:t>In its 2018</w:t>
      </w:r>
      <w:r>
        <w:rPr>
          <w:rStyle w:val="AERbody"/>
        </w:rPr>
        <w:t>–</w:t>
      </w:r>
      <w:r w:rsidRPr="009D6BDC">
        <w:rPr>
          <w:rStyle w:val="AERbody"/>
        </w:rPr>
        <w:t xml:space="preserve">22 access arrangement proposal, </w:t>
      </w:r>
      <w:r>
        <w:rPr>
          <w:rStyle w:val="AERbody"/>
        </w:rPr>
        <w:t>AGN</w:t>
      </w:r>
      <w:r w:rsidRPr="009D6BDC">
        <w:rPr>
          <w:rStyle w:val="AERbody"/>
        </w:rPr>
        <w:t xml:space="preserve"> again </w:t>
      </w:r>
      <w:r>
        <w:rPr>
          <w:rStyle w:val="AERbody"/>
        </w:rPr>
        <w:t>proposed</w:t>
      </w:r>
      <w:r w:rsidRPr="009D6BDC">
        <w:rPr>
          <w:rStyle w:val="AERbody"/>
        </w:rPr>
        <w:t xml:space="preserve"> a licence fee factor in </w:t>
      </w:r>
      <w:r>
        <w:rPr>
          <w:rStyle w:val="AERbody"/>
        </w:rPr>
        <w:t>the Tariff Variation Mechanism</w:t>
      </w:r>
      <w:r w:rsidRPr="009D6BDC">
        <w:rPr>
          <w:rStyle w:val="AERbody"/>
        </w:rPr>
        <w:t>.</w:t>
      </w:r>
      <w:r w:rsidRPr="009D6BDC">
        <w:rPr>
          <w:rStyle w:val="FootnoteReference"/>
        </w:rPr>
        <w:footnoteReference w:id="17"/>
      </w:r>
      <w:r>
        <w:rPr>
          <w:rStyle w:val="AERbody"/>
        </w:rPr>
        <w:t xml:space="preserve"> However, for the reasons we explain in attachment</w:t>
      </w:r>
      <w:r w:rsidR="00747459">
        <w:rPr>
          <w:rStyle w:val="AERbody"/>
        </w:rPr>
        <w:t> </w:t>
      </w:r>
      <w:r>
        <w:rPr>
          <w:rStyle w:val="AERbody"/>
        </w:rPr>
        <w:t xml:space="preserve">7, </w:t>
      </w:r>
      <w:r w:rsidRPr="009D6BDC">
        <w:rPr>
          <w:rStyle w:val="AERbody"/>
        </w:rPr>
        <w:t>we will exclude the licence fee factor from the tariff variation formula</w:t>
      </w:r>
      <w:r>
        <w:rPr>
          <w:rStyle w:val="AERbody"/>
        </w:rPr>
        <w:t xml:space="preserve"> for the 2018–22 access arrangement period. We have also included these costs in base opex and thus we have forecast them as part of total opex using </w:t>
      </w:r>
      <w:r w:rsidRPr="00971328">
        <w:rPr>
          <w:rStyle w:val="AERbody"/>
        </w:rPr>
        <w:t>a single year revealed cost approach</w:t>
      </w:r>
      <w:r>
        <w:rPr>
          <w:rStyle w:val="AERbody"/>
        </w:rPr>
        <w:t>. Given this</w:t>
      </w:r>
      <w:r w:rsidR="0035104F">
        <w:rPr>
          <w:rStyle w:val="AERbody"/>
        </w:rPr>
        <w:t>,</w:t>
      </w:r>
      <w:r>
        <w:rPr>
          <w:rStyle w:val="AERbody"/>
        </w:rPr>
        <w:t xml:space="preserve"> we consider there is no basis for excluding these costs from the efficiency carryover mechanism in the 2018–22 access arrangement </w:t>
      </w:r>
      <w:proofErr w:type="gramStart"/>
      <w:r>
        <w:rPr>
          <w:rStyle w:val="AERbody"/>
        </w:rPr>
        <w:t>period</w:t>
      </w:r>
      <w:proofErr w:type="gramEnd"/>
      <w:r>
        <w:rPr>
          <w:rStyle w:val="AERbody"/>
        </w:rPr>
        <w:t>.</w:t>
      </w:r>
    </w:p>
    <w:p w:rsidR="0011580A" w:rsidRPr="0060721A" w:rsidRDefault="0011580A" w:rsidP="0011580A">
      <w:pPr>
        <w:pStyle w:val="HeadingItalic"/>
      </w:pPr>
      <w:r w:rsidRPr="0060721A">
        <w:t xml:space="preserve">Debt raising costs </w:t>
      </w:r>
    </w:p>
    <w:p w:rsidR="0011580A" w:rsidRDefault="0011580A" w:rsidP="0011580A">
      <w:r>
        <w:t xml:space="preserve">We agree debt raising costs should be excluded from the efficiency carryover mechanism. However, we consider debt </w:t>
      </w:r>
      <w:proofErr w:type="gramStart"/>
      <w:r>
        <w:t>raising</w:t>
      </w:r>
      <w:proofErr w:type="gramEnd"/>
      <w:r>
        <w:t xml:space="preserve"> costs fall in the clause that excludes all costs not forecast using a single year revealed cost approach in the access arrangement period following the 2018–22 access arrangement period. We have listed debt raising costs as an example of costs </w:t>
      </w:r>
      <w:r w:rsidRPr="00B92E4F">
        <w:t>not forecast using a single year revealed cost approach</w:t>
      </w:r>
      <w:r w:rsidRPr="00721BB7">
        <w:t xml:space="preserve"> </w:t>
      </w:r>
      <w:r>
        <w:t>in the access arrangement.</w:t>
      </w:r>
    </w:p>
    <w:p w:rsidR="0011580A" w:rsidRDefault="0011580A" w:rsidP="0011580A">
      <w:pPr>
        <w:pStyle w:val="HeadingItalic"/>
      </w:pPr>
      <w:r>
        <w:t xml:space="preserve">Allowable </w:t>
      </w:r>
      <w:r w:rsidRPr="00EA4190">
        <w:t xml:space="preserve">network innovation scheme </w:t>
      </w:r>
      <w:r>
        <w:t>expenditure</w:t>
      </w:r>
    </w:p>
    <w:p w:rsidR="0011580A" w:rsidRPr="00971328" w:rsidRDefault="0011580A" w:rsidP="0011580A">
      <w:r>
        <w:t xml:space="preserve">AGN included a network innovation scheme in its access arrangement for the 2018–22 </w:t>
      </w:r>
      <w:proofErr w:type="gramStart"/>
      <w:r>
        <w:t>period</w:t>
      </w:r>
      <w:proofErr w:type="gramEnd"/>
      <w:r>
        <w:t>. As we have rejected the proposed scheme in this draft decision (discussed in attachment 14) there is no need to exclude allowable network innovation scheme expenditure from the efficiency carryover mechanism. Regardless, there would be no need to explicitly exclude allowable network innovation scheme expenditure because we would not forecast it us</w:t>
      </w:r>
      <w:r w:rsidRPr="00B92E4F">
        <w:t>ing a single year revealed cost approach</w:t>
      </w:r>
      <w:r>
        <w:t>.</w:t>
      </w:r>
    </w:p>
    <w:p w:rsidR="0011580A" w:rsidRPr="00871C1C" w:rsidRDefault="0011580A" w:rsidP="0011580A">
      <w:pPr>
        <w:pStyle w:val="HeadingItalic"/>
      </w:pPr>
      <w:r>
        <w:t xml:space="preserve">Changes in capitalisation policy </w:t>
      </w:r>
    </w:p>
    <w:p w:rsidR="0011580A" w:rsidRDefault="0011580A" w:rsidP="0011580A">
      <w:r>
        <w:t>We do not accept that the efficiency carryover mechanism should</w:t>
      </w:r>
      <w:r w:rsidDel="00642165">
        <w:t xml:space="preserve"> </w:t>
      </w:r>
      <w:r>
        <w:t>take into account changes in AGN'</w:t>
      </w:r>
      <w:r w:rsidR="00E03C88">
        <w:t>s</w:t>
      </w:r>
      <w:r>
        <w:t xml:space="preserve"> capitalisation policy in all circumstances. Given the operation of the capital expenditure sharing scheme, AGN will have balanced incentives to reduce opex and capex in most circumstances.</w:t>
      </w:r>
      <w:r w:rsidR="00747459">
        <w:rPr>
          <w:rStyle w:val="FootnoteReference"/>
        </w:rPr>
        <w:footnoteReference w:id="18"/>
      </w:r>
      <w:r>
        <w:t xml:space="preserve"> However, it may be necessary to take into account changes in AGN'</w:t>
      </w:r>
      <w:r w:rsidR="00E03C88">
        <w:t>s</w:t>
      </w:r>
      <w:r>
        <w:t xml:space="preserve"> capitalisation policy </w:t>
      </w:r>
      <w:r w:rsidR="00820417">
        <w:t xml:space="preserve">in limited circumstances, </w:t>
      </w:r>
      <w:r>
        <w:t xml:space="preserve">to provide </w:t>
      </w:r>
      <w:r w:rsidRPr="00A119DB">
        <w:t>effective incentives to promote economic efficiency</w:t>
      </w:r>
      <w:r>
        <w:t>.</w:t>
      </w:r>
    </w:p>
    <w:p w:rsidR="0011580A" w:rsidRDefault="0011580A" w:rsidP="0011580A">
      <w:r>
        <w:t xml:space="preserve">We will adjust the efficiency carryover mechanism to reflect capitalisation policy changes only when it is necessary to provide </w:t>
      </w:r>
      <w:r w:rsidRPr="00A119DB">
        <w:t>effective incentives to promote economic efficiency</w:t>
      </w:r>
      <w:r>
        <w:t xml:space="preserve">. This would be the case where AGN fails to meet its network health target, </w:t>
      </w:r>
      <w:r w:rsidR="0025187B">
        <w:t xml:space="preserve">and as a result </w:t>
      </w:r>
      <w:r w:rsidR="00DA2220">
        <w:t>would</w:t>
      </w:r>
      <w:r w:rsidR="0025187B">
        <w:t xml:space="preserve"> not receive any reward it may have accrued under the cap</w:t>
      </w:r>
      <w:r w:rsidR="00DA2220">
        <w:t>ital expenditure sharing scheme</w:t>
      </w:r>
      <w:r>
        <w:t>.</w:t>
      </w:r>
    </w:p>
    <w:p w:rsidR="0011580A" w:rsidRDefault="0011580A" w:rsidP="0011580A">
      <w:r>
        <w:t>It is important to consider th</w:t>
      </w:r>
      <w:r w:rsidRPr="002C712D">
        <w:t xml:space="preserve">e incentives that </w:t>
      </w:r>
      <w:r>
        <w:t>service providers</w:t>
      </w:r>
      <w:r w:rsidRPr="002C712D">
        <w:t xml:space="preserve"> may have to capitalise expenditure. If they are not balanced then </w:t>
      </w:r>
      <w:r>
        <w:t>service providers</w:t>
      </w:r>
      <w:r w:rsidRPr="002C712D">
        <w:t xml:space="preserve"> may have an incentive to substitute opex with capex even if it is not efficient to do so. Ideally s</w:t>
      </w:r>
      <w:r>
        <w:t>ervice providers</w:t>
      </w:r>
      <w:r w:rsidRPr="002C712D">
        <w:t xml:space="preserve"> should be indifferent between spending a dollar of opex </w:t>
      </w:r>
      <w:r>
        <w:t>and spending</w:t>
      </w:r>
      <w:r w:rsidRPr="002C712D">
        <w:t xml:space="preserve"> a dollar of capex. This is consistent with the revenue and pricing principles, which require that </w:t>
      </w:r>
      <w:r>
        <w:t>service providers</w:t>
      </w:r>
      <w:r w:rsidRPr="002C712D">
        <w:t xml:space="preserve"> should be provided with effective incentives to promote economic efficiency.</w:t>
      </w:r>
      <w:r>
        <w:rPr>
          <w:rStyle w:val="FootnoteReference"/>
        </w:rPr>
        <w:footnoteReference w:id="19"/>
      </w:r>
      <w:r w:rsidRPr="002C712D">
        <w:t xml:space="preserve">  </w:t>
      </w:r>
    </w:p>
    <w:p w:rsidR="0011580A" w:rsidRDefault="0011580A" w:rsidP="0011580A">
      <w:r>
        <w:t xml:space="preserve">The clause proposed by AGN is included in its current access arrangement. However, it is important to note that where AGN was not subject to a capital expenditure sharing scheme in the current access arrangement period, it will be subject to a capital expenditure sharing scheme in the 2018–22 access arrangement </w:t>
      </w:r>
      <w:proofErr w:type="gramStart"/>
      <w:r>
        <w:t>period</w:t>
      </w:r>
      <w:proofErr w:type="gramEnd"/>
      <w:r>
        <w:t xml:space="preserve"> (see attachment 14). The application of the capital expenditure sharing scheme should provide AGN with a similar incentive to reduce capex as it does to reduce opex. </w:t>
      </w:r>
      <w:r w:rsidR="0035104F">
        <w:t xml:space="preserve">When </w:t>
      </w:r>
      <w:r>
        <w:t>the capital expenditure sharing scheme applies to AGN, accounting for capitalisation policy changes in the efficiency carryover mechanism, but not in the capital expenditure sharing scheme</w:t>
      </w:r>
      <w:r w:rsidR="0035104F">
        <w:t>,</w:t>
      </w:r>
      <w:r>
        <w:t xml:space="preserve"> would provide AGN an incentive to substitute capex with opex even when it is not efficient to do so. This would not be consistent with the revenue and pricing principles.</w:t>
      </w:r>
      <w:r>
        <w:rPr>
          <w:rStyle w:val="FootnoteReference"/>
        </w:rPr>
        <w:footnoteReference w:id="20"/>
      </w:r>
      <w:r>
        <w:t xml:space="preserve">  </w:t>
      </w:r>
    </w:p>
    <w:p w:rsidR="0011580A" w:rsidRDefault="0011580A" w:rsidP="0011580A">
      <w:r>
        <w:t>W</w:t>
      </w:r>
      <w:r w:rsidRPr="0011580A">
        <w:t xml:space="preserve">e do note that the capital expenditure sharing scheme that will apply to </w:t>
      </w:r>
      <w:r>
        <w:t>AGN</w:t>
      </w:r>
      <w:r w:rsidRPr="0011580A">
        <w:t xml:space="preserve"> is contingent. If </w:t>
      </w:r>
      <w:r>
        <w:t>AGN</w:t>
      </w:r>
      <w:r w:rsidRPr="0011580A">
        <w:t xml:space="preserve"> does not meet a specified network health target it will not receive rewards under the capital expenditure sharing scheme. However, it will be liable for penalties it accrues under the scheme regardless of network health performance. Consequently</w:t>
      </w:r>
      <w:r w:rsidR="0035104F">
        <w:t>,</w:t>
      </w:r>
      <w:r w:rsidRPr="0011580A">
        <w:t xml:space="preserve"> if </w:t>
      </w:r>
      <w:r>
        <w:t>AGN</w:t>
      </w:r>
      <w:r w:rsidRPr="0011580A">
        <w:t xml:space="preserve"> fails to meet its network health target, and has accrued a reward under the capital expenditure sharing scheme (which it will not receive) it will have an incentive to substitute opex with capex if we do not adjust for capitalisation policy changes in the efficiency carryover mechanism.</w:t>
      </w:r>
    </w:p>
    <w:p w:rsidR="00CF6B07" w:rsidRDefault="00CF6B07" w:rsidP="00CF6B07">
      <w:pPr>
        <w:pStyle w:val="HeadingItalic"/>
      </w:pPr>
      <w:r>
        <w:t>O</w:t>
      </w:r>
      <w:r w:rsidRPr="00B84490">
        <w:t>pex not forecast using a single year revealed cost approach for the next regulatory period</w:t>
      </w:r>
    </w:p>
    <w:p w:rsidR="00CF6B07" w:rsidRDefault="00CF6B07" w:rsidP="00CF6B07">
      <w:r>
        <w:t>Three factors drive the incentive to reduce opex:</w:t>
      </w:r>
    </w:p>
    <w:p w:rsidR="00CF6B07" w:rsidRDefault="00CF6B07" w:rsidP="00CF6B07">
      <w:pPr>
        <w:pStyle w:val="ListNumber"/>
      </w:pPr>
      <w:r>
        <w:t xml:space="preserve">the ex-ante </w:t>
      </w:r>
      <w:r w:rsidR="007C26EB">
        <w:t xml:space="preserve">approved </w:t>
      </w:r>
      <w:r w:rsidR="0035104F">
        <w:t xml:space="preserve">total </w:t>
      </w:r>
      <w:r>
        <w:t xml:space="preserve">opex </w:t>
      </w:r>
      <w:r w:rsidR="00DA2220">
        <w:t>forecast</w:t>
      </w:r>
    </w:p>
    <w:p w:rsidR="00CF6B07" w:rsidRDefault="00CF6B07" w:rsidP="00CF6B07">
      <w:pPr>
        <w:pStyle w:val="ListNumber"/>
      </w:pPr>
      <w:r>
        <w:t>the opex efficiency carryover mechanism</w:t>
      </w:r>
    </w:p>
    <w:p w:rsidR="00CF6B07" w:rsidRDefault="00CF6B07" w:rsidP="00CF6B07">
      <w:pPr>
        <w:pStyle w:val="ListNumber"/>
      </w:pPr>
      <w:proofErr w:type="gramStart"/>
      <w:r>
        <w:t>how</w:t>
      </w:r>
      <w:proofErr w:type="gramEnd"/>
      <w:r>
        <w:t xml:space="preserve"> actual opex is used to forecast opex in future access arrangement periods.</w:t>
      </w:r>
    </w:p>
    <w:p w:rsidR="00CF6B07" w:rsidRPr="00F95527" w:rsidRDefault="00CF6B07" w:rsidP="00CF6B07">
      <w:r>
        <w:t>We typically forecast opex based on audited actual opex reported for a single year. The efficiency carryover mechanism is designed on the basis that opex is forecast in this way. However, service providers</w:t>
      </w:r>
      <w:r w:rsidRPr="00F95527">
        <w:t xml:space="preserve"> may not forecast opex using a single year revealed cost forecasting method. This could be at an overall level or category level. For example, a </w:t>
      </w:r>
      <w:r>
        <w:t>service provider</w:t>
      </w:r>
      <w:r w:rsidRPr="00F95527">
        <w:t xml:space="preserve"> may use a bottom up forecasting approach or use industry benchmarks. </w:t>
      </w:r>
      <w:r>
        <w:t>Service providers</w:t>
      </w:r>
      <w:r w:rsidRPr="00F95527">
        <w:t xml:space="preserve"> may have a number of reasons to propose alternative forecasting approaches.</w:t>
      </w:r>
      <w:r>
        <w:t xml:space="preserve"> I</w:t>
      </w:r>
      <w:r w:rsidRPr="00F95527">
        <w:t xml:space="preserve">f such an </w:t>
      </w:r>
      <w:r>
        <w:t xml:space="preserve">alternative </w:t>
      </w:r>
      <w:r w:rsidRPr="00F95527">
        <w:t xml:space="preserve">approach is used, </w:t>
      </w:r>
      <w:r>
        <w:t>efficiency gains and losses will be shared differently between the service provider and its customers.</w:t>
      </w:r>
      <w:r w:rsidRPr="00F95527">
        <w:t xml:space="preserve"> There is a risk the </w:t>
      </w:r>
      <w:r>
        <w:t xml:space="preserve">efficiency carryover mechanism </w:t>
      </w:r>
      <w:r w:rsidRPr="00F95527">
        <w:t xml:space="preserve">may provide windfall gains or losses to a </w:t>
      </w:r>
      <w:r>
        <w:t>service provider</w:t>
      </w:r>
      <w:r w:rsidRPr="00F95527">
        <w:t xml:space="preserve">. </w:t>
      </w:r>
    </w:p>
    <w:p w:rsidR="00CF6B07" w:rsidRDefault="00CF6B07" w:rsidP="0011580A">
      <w:r w:rsidRPr="00F95527">
        <w:t xml:space="preserve">To address this, </w:t>
      </w:r>
      <w:r>
        <w:t xml:space="preserve">we have inserted a clause allowing us to exclude </w:t>
      </w:r>
      <w:r w:rsidRPr="00EE53DF">
        <w:t>any cost category that is not forecast using a single year revealed cost approach in the access arrangement period inte</w:t>
      </w:r>
      <w:r>
        <w:t>nded to commence 1 January 2023</w:t>
      </w:r>
      <w:r w:rsidRPr="00EE53DF">
        <w:t>.</w:t>
      </w:r>
    </w:p>
    <w:p w:rsidR="006779F1" w:rsidRDefault="006779F1" w:rsidP="0011580A"/>
    <w:p w:rsidR="00052C50" w:rsidRPr="00052C50" w:rsidRDefault="00052C50" w:rsidP="00B86B16">
      <w:pPr>
        <w:pStyle w:val="HeadingItalic"/>
      </w:pPr>
      <w:r w:rsidRPr="00052C50">
        <w:t>Energy Safe Victoria levy</w:t>
      </w:r>
      <w:r>
        <w:t xml:space="preserve">, </w:t>
      </w:r>
      <w:r w:rsidRPr="00052C50">
        <w:t>network management fee</w:t>
      </w:r>
      <w:r>
        <w:t xml:space="preserve">, </w:t>
      </w:r>
      <w:r w:rsidRPr="00052C50">
        <w:t>incentive fees</w:t>
      </w:r>
    </w:p>
    <w:p w:rsidR="00052C50" w:rsidRDefault="00E14A2D" w:rsidP="0011580A">
      <w:pPr>
        <w:rPr>
          <w:rStyle w:val="AERbody"/>
        </w:rPr>
      </w:pPr>
      <w:r>
        <w:rPr>
          <w:rStyle w:val="AERbody"/>
        </w:rPr>
        <w:t xml:space="preserve">The </w:t>
      </w:r>
      <w:r w:rsidRPr="00E14A2D">
        <w:rPr>
          <w:rStyle w:val="AERbody"/>
        </w:rPr>
        <w:t>Energy Safe Victor</w:t>
      </w:r>
      <w:r>
        <w:rPr>
          <w:rStyle w:val="AERbody"/>
        </w:rPr>
        <w:t>ia levy, network management fee</w:t>
      </w:r>
      <w:r w:rsidR="00231C0B">
        <w:rPr>
          <w:rStyle w:val="AERbody"/>
        </w:rPr>
        <w:t>s</w:t>
      </w:r>
      <w:r>
        <w:rPr>
          <w:rStyle w:val="AERbody"/>
        </w:rPr>
        <w:t xml:space="preserve"> and</w:t>
      </w:r>
      <w:r w:rsidRPr="00E14A2D">
        <w:rPr>
          <w:rStyle w:val="AERbody"/>
        </w:rPr>
        <w:t xml:space="preserve"> incentive fees </w:t>
      </w:r>
      <w:r>
        <w:rPr>
          <w:rStyle w:val="AERbody"/>
        </w:rPr>
        <w:t>are included in base opex</w:t>
      </w:r>
      <w:r w:rsidR="00231C0B">
        <w:rPr>
          <w:rStyle w:val="AERbody"/>
        </w:rPr>
        <w:t xml:space="preserve"> and</w:t>
      </w:r>
      <w:r>
        <w:rPr>
          <w:rStyle w:val="AERbody"/>
        </w:rPr>
        <w:t xml:space="preserve"> we have forecast them as part of total opex using </w:t>
      </w:r>
      <w:r w:rsidRPr="00971328">
        <w:rPr>
          <w:rStyle w:val="AERbody"/>
        </w:rPr>
        <w:t>a single year revealed cost approach</w:t>
      </w:r>
      <w:r>
        <w:rPr>
          <w:rStyle w:val="AERbody"/>
        </w:rPr>
        <w:t xml:space="preserve">. </w:t>
      </w:r>
      <w:r w:rsidR="00BF6607">
        <w:rPr>
          <w:rStyle w:val="AERbody"/>
        </w:rPr>
        <w:t>Consistent with clause 5.1(</w:t>
      </w:r>
      <w:r w:rsidR="00AA0D14">
        <w:rPr>
          <w:rStyle w:val="AERbody"/>
        </w:rPr>
        <w:t>g</w:t>
      </w:r>
      <w:proofErr w:type="gramStart"/>
      <w:r w:rsidR="00BF6607">
        <w:rPr>
          <w:rStyle w:val="AERbody"/>
        </w:rPr>
        <w:t>)(</w:t>
      </w:r>
      <w:proofErr w:type="gramEnd"/>
      <w:r w:rsidR="00BF6607">
        <w:rPr>
          <w:rStyle w:val="AERbody"/>
        </w:rPr>
        <w:t>ii)</w:t>
      </w:r>
      <w:r>
        <w:rPr>
          <w:rStyle w:val="AERbody"/>
        </w:rPr>
        <w:t xml:space="preserve"> </w:t>
      </w:r>
      <w:r w:rsidR="00BF6607">
        <w:rPr>
          <w:rStyle w:val="AERbody"/>
        </w:rPr>
        <w:t xml:space="preserve">below, </w:t>
      </w:r>
      <w:r>
        <w:rPr>
          <w:rStyle w:val="AERbody"/>
        </w:rPr>
        <w:t>we consider there is no basis for excluding these costs from the efficiency carryover mechanism in the 2018–22 access arrangement period.</w:t>
      </w:r>
    </w:p>
    <w:p w:rsidR="00C51396" w:rsidRDefault="00C51396" w:rsidP="00C51396">
      <w:pPr>
        <w:pStyle w:val="HeadingBoldItalic"/>
      </w:pPr>
      <w:r>
        <w:t>Removal of proposed fixed principle C</w:t>
      </w:r>
    </w:p>
    <w:p w:rsidR="00C51396" w:rsidRDefault="00C51396" w:rsidP="00C51396">
      <w:r>
        <w:t>AGN proposed that t</w:t>
      </w:r>
      <w:r w:rsidRPr="00C51396">
        <w:t xml:space="preserve">he principle in </w:t>
      </w:r>
      <w:r>
        <w:t>clause</w:t>
      </w:r>
      <w:r w:rsidRPr="00C51396">
        <w:t xml:space="preserve"> 5.1(e) </w:t>
      </w:r>
      <w:r>
        <w:t>of its proposed access arrangement</w:t>
      </w:r>
      <w:r w:rsidR="00866830" w:rsidRPr="00866830">
        <w:t xml:space="preserve"> </w:t>
      </w:r>
      <w:r w:rsidR="00866830">
        <w:t xml:space="preserve">should be </w:t>
      </w:r>
      <w:r w:rsidR="00866830" w:rsidRPr="00C51396">
        <w:t>a fixed principle</w:t>
      </w:r>
      <w:r w:rsidR="003B2D42">
        <w:t xml:space="preserve"> (fixed principle C)</w:t>
      </w:r>
      <w:r w:rsidR="00866830">
        <w:t>.</w:t>
      </w:r>
      <w:r w:rsidR="00860F35">
        <w:rPr>
          <w:rStyle w:val="FootnoteReference"/>
        </w:rPr>
        <w:footnoteReference w:id="21"/>
      </w:r>
      <w:r>
        <w:t xml:space="preserve"> </w:t>
      </w:r>
      <w:r w:rsidR="00860F35">
        <w:t>However, w</w:t>
      </w:r>
      <w:r w:rsidR="003B2D42">
        <w:t>e</w:t>
      </w:r>
      <w:r w:rsidR="00860F35">
        <w:t xml:space="preserve"> do not agree. </w:t>
      </w:r>
      <w:r>
        <w:t xml:space="preserve"> </w:t>
      </w:r>
    </w:p>
    <w:p w:rsidR="00860F35" w:rsidRDefault="00C51396" w:rsidP="00C51396">
      <w:r>
        <w:t xml:space="preserve">Proposed fixed principle C relates to how an efficiency carryover mechanism would apply in just one year of the access arrangement period expected to commence 1 January 2023. However, we have not yet determined whether an opex incentive mechanism should apply in the access arrangement period expected to commence 1 January 2023 </w:t>
      </w:r>
      <w:r w:rsidR="00860F35">
        <w:t>or</w:t>
      </w:r>
      <w:r>
        <w:t xml:space="preserve"> what form it should take. </w:t>
      </w:r>
      <w:r w:rsidR="003B23FA">
        <w:t xml:space="preserve">Given this, we </w:t>
      </w:r>
      <w:r w:rsidR="00440D68">
        <w:t>require AGN to remove</w:t>
      </w:r>
      <w:r w:rsidR="003B2D42">
        <w:t xml:space="preserve"> both clauses</w:t>
      </w:r>
      <w:r w:rsidR="00440D68">
        <w:t xml:space="preserve"> from the access arrangement</w:t>
      </w:r>
      <w:r w:rsidR="00860F35">
        <w:t xml:space="preserve">: </w:t>
      </w:r>
      <w:r w:rsidR="003B23FA">
        <w:t xml:space="preserve"> </w:t>
      </w:r>
    </w:p>
    <w:p w:rsidR="00860F35" w:rsidRDefault="003B2D42" w:rsidP="002F01DE">
      <w:pPr>
        <w:pStyle w:val="AERbulletlistfirststyle"/>
      </w:pPr>
      <w:r>
        <w:t xml:space="preserve">clause 4.7.3 which sets out </w:t>
      </w:r>
      <w:r w:rsidR="003B23FA">
        <w:t xml:space="preserve">fixed principle C </w:t>
      </w:r>
    </w:p>
    <w:p w:rsidR="00C51396" w:rsidRPr="00C51396" w:rsidRDefault="003B23FA" w:rsidP="002F01DE">
      <w:pPr>
        <w:pStyle w:val="AERbulletlistfirststyle"/>
      </w:pPr>
      <w:proofErr w:type="gramStart"/>
      <w:r>
        <w:t>clause</w:t>
      </w:r>
      <w:proofErr w:type="gramEnd"/>
      <w:r>
        <w:t xml:space="preserve"> 5.1(e)</w:t>
      </w:r>
      <w:r w:rsidR="003B2D42">
        <w:t xml:space="preserve"> which </w:t>
      </w:r>
      <w:r w:rsidR="003B2D42" w:rsidRPr="00860F35">
        <w:t>sets out the calculation of the carryover amount for the first year of the access arrangement period expected to commence 1 January 2023</w:t>
      </w:r>
      <w:r>
        <w:t>.</w:t>
      </w:r>
    </w:p>
    <w:p w:rsidR="00D5015C" w:rsidRDefault="00D5015C" w:rsidP="00D5015C">
      <w:pPr>
        <w:pStyle w:val="Heading2"/>
      </w:pPr>
      <w:bookmarkStart w:id="114" w:name="_Toc486832785"/>
      <w:r>
        <w:t>Revisions</w:t>
      </w:r>
      <w:bookmarkEnd w:id="114"/>
    </w:p>
    <w:p w:rsidR="00D24B9C" w:rsidRDefault="00D24B9C" w:rsidP="00D24B9C">
      <w:r>
        <w:t>We require the following revisions to make the access arrangement proposal acceptable:</w:t>
      </w:r>
    </w:p>
    <w:p w:rsidR="00D24B9C" w:rsidRDefault="00D24B9C" w:rsidP="00D24B9C">
      <w:r w:rsidRPr="00B36376">
        <w:rPr>
          <w:rStyle w:val="Strong"/>
        </w:rPr>
        <w:t>Revision 9.1:</w:t>
      </w:r>
      <w:r>
        <w:t xml:space="preserve"> Remove clause 5.1 of the proposed access arrangement and replace it with the following text: </w:t>
      </w:r>
    </w:p>
    <w:p w:rsidR="00D24B9C" w:rsidRDefault="00D24B9C" w:rsidP="00D24B9C">
      <w:pPr>
        <w:pStyle w:val="AERrevisionbox"/>
      </w:pPr>
      <w:r>
        <w:t>5.1 Efficiency carryover mechanism</w:t>
      </w:r>
    </w:p>
    <w:p w:rsidR="00D24B9C" w:rsidRDefault="00D24B9C" w:rsidP="00D24B9C">
      <w:pPr>
        <w:pStyle w:val="AERrevisionbox"/>
      </w:pPr>
      <w:r>
        <w:t>An efficiency carryover mechanism will apply to operating expenditure.</w:t>
      </w:r>
    </w:p>
    <w:p w:rsidR="00D24B9C" w:rsidRDefault="00D24B9C" w:rsidP="00D24B9C">
      <w:pPr>
        <w:pStyle w:val="AERrevisionbox"/>
      </w:pPr>
      <w:r>
        <w:t>The incentive mechanism will operate in the following way:</w:t>
      </w:r>
    </w:p>
    <w:p w:rsidR="00D24B9C" w:rsidRPr="00087F12" w:rsidRDefault="00D24B9C" w:rsidP="00D24B9C">
      <w:pPr>
        <w:pStyle w:val="AERnumberedlistthirdstyle"/>
      </w:pPr>
      <w:r>
        <w:t xml:space="preserve">the mechanism carries forward AGN's incremental efficiency gains (or losses) for five </w:t>
      </w:r>
      <w:r w:rsidR="001C3548">
        <w:t>y</w:t>
      </w:r>
      <w:r>
        <w:t xml:space="preserve">ears from the </w:t>
      </w:r>
      <w:r w:rsidR="001C3548">
        <w:t>y</w:t>
      </w:r>
      <w:r>
        <w:t xml:space="preserve">ear those gains (or losses) occur; </w:t>
      </w:r>
    </w:p>
    <w:p w:rsidR="00D24B9C" w:rsidRPr="00087F12" w:rsidRDefault="00D24B9C" w:rsidP="00D24B9C">
      <w:pPr>
        <w:pStyle w:val="AERnumberedlistthirdstyle"/>
      </w:pPr>
      <w:r>
        <w:t xml:space="preserve">annual carryover amounts accrue in each </w:t>
      </w:r>
      <w:r w:rsidR="001C3548">
        <w:t>y</w:t>
      </w:r>
      <w:r>
        <w:t xml:space="preserve">ear of the subsequent access arrangement period as the summation of the incremental efficiency gains (or losses) in the immediately prior access arrangement period that are carried forward for five years or less into the </w:t>
      </w:r>
      <w:r w:rsidR="001C3548">
        <w:t>y</w:t>
      </w:r>
      <w:r>
        <w:t>ear; and</w:t>
      </w:r>
    </w:p>
    <w:p w:rsidR="00D24B9C" w:rsidRPr="00087F12" w:rsidRDefault="00D24B9C" w:rsidP="00D24B9C">
      <w:pPr>
        <w:pStyle w:val="AERnumberedlistthirdstyle"/>
      </w:pPr>
      <w:proofErr w:type="gramStart"/>
      <w:r>
        <w:t>the</w:t>
      </w:r>
      <w:proofErr w:type="gramEnd"/>
      <w:r>
        <w:t xml:space="preserve"> annual carryover amounts are added to AGN's total revenue in each Year of the subsequent access arrangement period. If necessary, the annual efficiency gain (or loss) is carried forward into the access arrangement period commencing 1 July 2021 until it has been retained by the Service Provider for a period of five years</w:t>
      </w:r>
      <w:r w:rsidRPr="00087F12">
        <w:t>.</w:t>
      </w:r>
    </w:p>
    <w:p w:rsidR="00A808B1" w:rsidRPr="00087F12" w:rsidRDefault="00A808B1" w:rsidP="00A808B1">
      <w:pPr>
        <w:pStyle w:val="AERnumberedlistsecondstyle"/>
      </w:pPr>
      <w:r>
        <w:t>The incremental efficiency gain</w:t>
      </w:r>
      <w:r w:rsidRPr="00087F12">
        <w:t xml:space="preserve"> (loss) for 201</w:t>
      </w:r>
      <w:r>
        <w:t>8</w:t>
      </w:r>
      <w:r w:rsidRPr="00087F12">
        <w:t xml:space="preserve"> will be calculated using:</w:t>
      </w:r>
    </w:p>
    <w:p w:rsidR="00A808B1" w:rsidRPr="008D1E84" w:rsidRDefault="0071749E" w:rsidP="00A808B1">
      <w:pPr>
        <w:pStyle w:val="ListContinue2"/>
      </w:pPr>
      <m:oMathPara>
        <m:oMathParaPr>
          <m:jc m:val="center"/>
        </m:oMathParaPr>
        <m:oMath>
          <m:sSub>
            <m:sSubPr>
              <m:ctrlPr>
                <w:rPr>
                  <w:rFonts w:ascii="Cambria Math" w:hAnsi="Cambria Math"/>
                </w:rPr>
              </m:ctrlPr>
            </m:sSubPr>
            <m:e>
              <m:r>
                <w:rPr>
                  <w:rFonts w:ascii="Cambria Math" w:hAnsi="Cambria Math"/>
                </w:rPr>
                <m:t>I</m:t>
              </m:r>
            </m:e>
            <m:sub>
              <m:r>
                <m:rPr>
                  <m:sty m:val="p"/>
                </m:rPr>
                <w:rPr>
                  <w:rFonts w:ascii="Cambria Math" w:hAnsi="Cambria Math"/>
                </w:rPr>
                <m:t>2018</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m:rPr>
                      <m:sty m:val="p"/>
                    </m:rPr>
                    <w:rPr>
                      <w:rFonts w:ascii="Cambria Math" w:hAnsi="Cambria Math"/>
                    </w:rPr>
                    <m:t>2018</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2018</m:t>
                  </m:r>
                </m:sub>
              </m:sSub>
            </m:e>
          </m:d>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2017</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2017</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2016</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2016</m:t>
                      </m:r>
                    </m:sub>
                  </m:sSub>
                </m:e>
              </m:d>
            </m:e>
          </m:d>
        </m:oMath>
      </m:oMathPara>
    </w:p>
    <w:p w:rsidR="00A808B1" w:rsidRPr="00087F12" w:rsidRDefault="00A808B1" w:rsidP="00A808B1">
      <w:pPr>
        <w:pStyle w:val="ListContinue2"/>
      </w:pPr>
      <w:r>
        <w:t>where</w:t>
      </w:r>
    </w:p>
    <w:p w:rsidR="00A808B1" w:rsidRPr="00087F12" w:rsidRDefault="0071749E" w:rsidP="00A808B1">
      <w:pPr>
        <w:pStyle w:val="ListContinue2"/>
      </w:pPr>
      <m:oMath>
        <m:sSub>
          <m:sSubPr>
            <m:ctrlPr>
              <w:rPr>
                <w:rFonts w:ascii="Cambria Math" w:hAnsi="Cambria Math"/>
              </w:rPr>
            </m:ctrlPr>
          </m:sSubPr>
          <m:e>
            <m:r>
              <w:rPr>
                <w:rFonts w:ascii="Cambria Math" w:hAnsi="Cambria Math"/>
              </w:rPr>
              <m:t>I</m:t>
            </m:r>
          </m:e>
          <m:sub>
            <m:r>
              <m:rPr>
                <m:sty m:val="p"/>
              </m:rPr>
              <w:rPr>
                <w:rFonts w:ascii="Cambria Math" w:hAnsi="Cambria Math"/>
              </w:rPr>
              <m:t>2018</m:t>
            </m:r>
          </m:sub>
        </m:sSub>
      </m:oMath>
      <w:r w:rsidR="00A808B1" w:rsidRPr="00087F12">
        <w:t xml:space="preserve"> </w:t>
      </w:r>
      <w:proofErr w:type="gramStart"/>
      <w:r w:rsidR="00A808B1" w:rsidRPr="00087F12">
        <w:t>is</w:t>
      </w:r>
      <w:proofErr w:type="gramEnd"/>
      <w:r w:rsidR="00A808B1" w:rsidRPr="00087F12">
        <w:t xml:space="preserve"> the incremental efficiency gain (loss) for 201</w:t>
      </w:r>
      <w:r w:rsidR="00A808B1">
        <w:t>8</w:t>
      </w:r>
      <w:r w:rsidR="00A808B1" w:rsidRPr="00087F12">
        <w:t>.</w:t>
      </w:r>
    </w:p>
    <w:p w:rsidR="00A808B1" w:rsidRPr="00087F12" w:rsidRDefault="0071749E" w:rsidP="00A808B1">
      <w:pPr>
        <w:pStyle w:val="ListContinue2"/>
      </w:pPr>
      <m:oMath>
        <m:sSub>
          <m:sSubPr>
            <m:ctrlPr>
              <w:rPr>
                <w:rFonts w:ascii="Cambria Math" w:hAnsi="Cambria Math"/>
              </w:rPr>
            </m:ctrlPr>
          </m:sSubPr>
          <m:e>
            <m:r>
              <w:rPr>
                <w:rFonts w:ascii="Cambria Math" w:hAnsi="Cambria Math"/>
              </w:rPr>
              <m:t>F</m:t>
            </m:r>
          </m:e>
          <m:sub>
            <m:r>
              <m:rPr>
                <m:sty m:val="p"/>
              </m:rPr>
              <w:rPr>
                <w:rFonts w:ascii="Cambria Math" w:hAnsi="Cambria Math"/>
              </w:rPr>
              <m:t>2018</m:t>
            </m:r>
          </m:sub>
        </m:sSub>
      </m:oMath>
      <w:r w:rsidR="00A808B1" w:rsidRPr="00087F12">
        <w:t xml:space="preserve"> </w:t>
      </w:r>
      <w:proofErr w:type="gramStart"/>
      <w:r w:rsidR="00A808B1" w:rsidRPr="00087F12">
        <w:t>is</w:t>
      </w:r>
      <w:proofErr w:type="gramEnd"/>
      <w:r w:rsidR="00A808B1" w:rsidRPr="00087F12">
        <w:t xml:space="preserve"> the </w:t>
      </w:r>
      <w:r w:rsidR="00AE0FDA">
        <w:t xml:space="preserve">approved </w:t>
      </w:r>
      <w:r w:rsidR="00A808B1" w:rsidRPr="00087F12">
        <w:t xml:space="preserve">forecast </w:t>
      </w:r>
      <w:r w:rsidR="00AE0FDA">
        <w:t>opex</w:t>
      </w:r>
      <w:r w:rsidR="00A808B1" w:rsidRPr="00087F12">
        <w:t xml:space="preserve"> for 201</w:t>
      </w:r>
      <w:r w:rsidR="00A808B1">
        <w:t>8</w:t>
      </w:r>
      <w:r w:rsidR="00A808B1" w:rsidRPr="00087F12">
        <w:t>.</w:t>
      </w:r>
    </w:p>
    <w:p w:rsidR="00A808B1" w:rsidRPr="00087F12" w:rsidRDefault="0071749E" w:rsidP="00A808B1">
      <w:pPr>
        <w:pStyle w:val="ListContinue2"/>
      </w:pPr>
      <m:oMath>
        <m:sSub>
          <m:sSubPr>
            <m:ctrlPr>
              <w:rPr>
                <w:rFonts w:ascii="Cambria Math" w:hAnsi="Cambria Math"/>
              </w:rPr>
            </m:ctrlPr>
          </m:sSubPr>
          <m:e>
            <m:r>
              <w:rPr>
                <w:rFonts w:ascii="Cambria Math" w:hAnsi="Cambria Math"/>
              </w:rPr>
              <m:t>A</m:t>
            </m:r>
          </m:e>
          <m:sub>
            <m:r>
              <m:rPr>
                <m:sty m:val="p"/>
              </m:rPr>
              <w:rPr>
                <w:rFonts w:ascii="Cambria Math" w:hAnsi="Cambria Math"/>
              </w:rPr>
              <m:t>2018</m:t>
            </m:r>
          </m:sub>
        </m:sSub>
      </m:oMath>
      <w:r w:rsidR="00A808B1" w:rsidRPr="00087F12">
        <w:t xml:space="preserve"> </w:t>
      </w:r>
      <w:proofErr w:type="gramStart"/>
      <w:r w:rsidR="00A808B1" w:rsidRPr="00087F12">
        <w:t>is</w:t>
      </w:r>
      <w:proofErr w:type="gramEnd"/>
      <w:r w:rsidR="00A808B1" w:rsidRPr="00087F12">
        <w:t xml:space="preserve"> the actual </w:t>
      </w:r>
      <w:r w:rsidR="00AE0FDA">
        <w:t>opex</w:t>
      </w:r>
      <w:r w:rsidR="00A808B1" w:rsidRPr="00087F12">
        <w:t xml:space="preserve"> for 201</w:t>
      </w:r>
      <w:r w:rsidR="00A808B1">
        <w:t>8</w:t>
      </w:r>
      <w:r w:rsidR="00A808B1" w:rsidRPr="00087F12">
        <w:t>.</w:t>
      </w:r>
    </w:p>
    <w:p w:rsidR="00A808B1" w:rsidRPr="00087F12" w:rsidRDefault="0071749E" w:rsidP="00A808B1">
      <w:pPr>
        <w:pStyle w:val="ListContinue2"/>
      </w:pPr>
      <m:oMath>
        <m:sSub>
          <m:sSubPr>
            <m:ctrlPr>
              <w:rPr>
                <w:rFonts w:ascii="Cambria Math" w:hAnsi="Cambria Math"/>
              </w:rPr>
            </m:ctrlPr>
          </m:sSubPr>
          <m:e>
            <m:r>
              <w:rPr>
                <w:rFonts w:ascii="Cambria Math" w:hAnsi="Cambria Math"/>
              </w:rPr>
              <m:t>F</m:t>
            </m:r>
          </m:e>
          <m:sub>
            <m:r>
              <w:rPr>
                <w:rFonts w:ascii="Cambria Math" w:hAnsi="Cambria Math"/>
              </w:rPr>
              <m:t>2017</m:t>
            </m:r>
          </m:sub>
        </m:sSub>
      </m:oMath>
      <w:r w:rsidR="00A808B1" w:rsidRPr="00087F12">
        <w:t xml:space="preserve"> </w:t>
      </w:r>
      <w:proofErr w:type="gramStart"/>
      <w:r w:rsidR="00A808B1" w:rsidRPr="00087F12">
        <w:t>is</w:t>
      </w:r>
      <w:proofErr w:type="gramEnd"/>
      <w:r w:rsidR="00A808B1" w:rsidRPr="00087F12">
        <w:t xml:space="preserve"> the </w:t>
      </w:r>
      <w:r w:rsidR="00AE0FDA" w:rsidRPr="00AE0FDA">
        <w:t xml:space="preserve">approved </w:t>
      </w:r>
      <w:r w:rsidR="00A808B1" w:rsidRPr="00087F12">
        <w:t xml:space="preserve">forecast </w:t>
      </w:r>
      <w:r w:rsidR="00AE0FDA">
        <w:t>opex</w:t>
      </w:r>
      <w:r w:rsidR="00A808B1" w:rsidRPr="00087F12">
        <w:t xml:space="preserve"> for 201</w:t>
      </w:r>
      <w:r w:rsidR="00A808B1">
        <w:t>7</w:t>
      </w:r>
      <w:r w:rsidR="00A808B1" w:rsidRPr="00087F12">
        <w:t>.</w:t>
      </w:r>
    </w:p>
    <w:p w:rsidR="00A808B1" w:rsidRPr="00087F12" w:rsidRDefault="0071749E" w:rsidP="00A808B1">
      <w:pPr>
        <w:pStyle w:val="ListContinue2"/>
      </w:pPr>
      <m:oMath>
        <m:sSub>
          <m:sSubPr>
            <m:ctrlPr>
              <w:rPr>
                <w:rFonts w:ascii="Cambria Math" w:hAnsi="Cambria Math"/>
              </w:rPr>
            </m:ctrlPr>
          </m:sSubPr>
          <m:e>
            <m:r>
              <w:rPr>
                <w:rFonts w:ascii="Cambria Math" w:hAnsi="Cambria Math"/>
              </w:rPr>
              <m:t>A</m:t>
            </m:r>
          </m:e>
          <m:sub>
            <m:r>
              <w:rPr>
                <w:rFonts w:ascii="Cambria Math" w:hAnsi="Cambria Math"/>
              </w:rPr>
              <m:t>2017</m:t>
            </m:r>
          </m:sub>
        </m:sSub>
      </m:oMath>
      <w:r w:rsidR="00A808B1" w:rsidRPr="00087F12">
        <w:t xml:space="preserve"> </w:t>
      </w:r>
      <w:proofErr w:type="gramStart"/>
      <w:r w:rsidR="00A808B1" w:rsidRPr="00087F12">
        <w:t>is</w:t>
      </w:r>
      <w:proofErr w:type="gramEnd"/>
      <w:r w:rsidR="00A808B1" w:rsidRPr="00087F12">
        <w:t xml:space="preserve"> the actual </w:t>
      </w:r>
      <w:r w:rsidR="00AE0FDA">
        <w:t>opex</w:t>
      </w:r>
      <w:r w:rsidR="00A808B1" w:rsidRPr="00087F12">
        <w:t xml:space="preserve"> for 201</w:t>
      </w:r>
      <w:r w:rsidR="00A808B1">
        <w:t>7</w:t>
      </w:r>
      <w:r w:rsidR="00A808B1" w:rsidRPr="00087F12">
        <w:t>.</w:t>
      </w:r>
    </w:p>
    <w:p w:rsidR="00A808B1" w:rsidRPr="00087F12" w:rsidRDefault="0071749E" w:rsidP="00A808B1">
      <w:pPr>
        <w:pStyle w:val="ListContinue2"/>
      </w:pPr>
      <m:oMath>
        <m:sSub>
          <m:sSubPr>
            <m:ctrlPr>
              <w:rPr>
                <w:rFonts w:ascii="Cambria Math" w:hAnsi="Cambria Math"/>
              </w:rPr>
            </m:ctrlPr>
          </m:sSubPr>
          <m:e>
            <m:r>
              <w:rPr>
                <w:rFonts w:ascii="Cambria Math" w:hAnsi="Cambria Math"/>
              </w:rPr>
              <m:t>F</m:t>
            </m:r>
          </m:e>
          <m:sub>
            <m:r>
              <w:rPr>
                <w:rFonts w:ascii="Cambria Math" w:hAnsi="Cambria Math"/>
              </w:rPr>
              <m:t>2016</m:t>
            </m:r>
          </m:sub>
        </m:sSub>
      </m:oMath>
      <w:r w:rsidR="00A808B1" w:rsidRPr="00087F12">
        <w:t xml:space="preserve"> </w:t>
      </w:r>
      <w:proofErr w:type="gramStart"/>
      <w:r w:rsidR="00A808B1" w:rsidRPr="00087F12">
        <w:t>is</w:t>
      </w:r>
      <w:proofErr w:type="gramEnd"/>
      <w:r w:rsidR="00A808B1" w:rsidRPr="00087F12">
        <w:t xml:space="preserve"> the </w:t>
      </w:r>
      <w:r w:rsidR="00AE0FDA" w:rsidRPr="00AE0FDA">
        <w:t xml:space="preserve">approved </w:t>
      </w:r>
      <w:r w:rsidR="00A808B1" w:rsidRPr="00087F12">
        <w:t xml:space="preserve">forecast </w:t>
      </w:r>
      <w:r w:rsidR="00AE0FDA">
        <w:t>opex</w:t>
      </w:r>
      <w:r w:rsidR="00A808B1" w:rsidRPr="00087F12">
        <w:t xml:space="preserve"> for 2015.</w:t>
      </w:r>
    </w:p>
    <w:p w:rsidR="00A808B1" w:rsidRDefault="0071749E" w:rsidP="00A808B1">
      <w:pPr>
        <w:pStyle w:val="ListContinue2"/>
      </w:pPr>
      <m:oMath>
        <m:sSub>
          <m:sSubPr>
            <m:ctrlPr>
              <w:rPr>
                <w:rFonts w:ascii="Cambria Math" w:hAnsi="Cambria Math"/>
              </w:rPr>
            </m:ctrlPr>
          </m:sSubPr>
          <m:e>
            <m:r>
              <w:rPr>
                <w:rFonts w:ascii="Cambria Math" w:hAnsi="Cambria Math"/>
              </w:rPr>
              <m:t>A</m:t>
            </m:r>
          </m:e>
          <m:sub>
            <m:r>
              <w:rPr>
                <w:rFonts w:ascii="Cambria Math" w:hAnsi="Cambria Math"/>
              </w:rPr>
              <m:t>2016</m:t>
            </m:r>
          </m:sub>
        </m:sSub>
      </m:oMath>
      <w:r w:rsidR="00A808B1" w:rsidRPr="00087F12">
        <w:t xml:space="preserve"> </w:t>
      </w:r>
      <w:proofErr w:type="gramStart"/>
      <w:r w:rsidR="00A808B1" w:rsidRPr="00087F12">
        <w:t>is</w:t>
      </w:r>
      <w:proofErr w:type="gramEnd"/>
      <w:r w:rsidR="00A808B1" w:rsidRPr="00087F12">
        <w:t xml:space="preserve"> the actual </w:t>
      </w:r>
      <w:r w:rsidR="00AE0FDA">
        <w:t>opex</w:t>
      </w:r>
      <w:r w:rsidR="00A808B1" w:rsidRPr="00087F12">
        <w:t xml:space="preserve"> for 2015.</w:t>
      </w:r>
    </w:p>
    <w:p w:rsidR="00A808B1" w:rsidRDefault="00A808B1" w:rsidP="00A808B1">
      <w:pPr>
        <w:pStyle w:val="AERnumberedlistsecondstyle"/>
      </w:pPr>
      <w:r>
        <w:t xml:space="preserve">The incremental efficiency gain (or loss) for </w:t>
      </w:r>
      <w:r w:rsidRPr="00087F12">
        <w:t>201</w:t>
      </w:r>
      <w:r>
        <w:t>9</w:t>
      </w:r>
      <w:r w:rsidRPr="00087F12">
        <w:t xml:space="preserve"> to 20</w:t>
      </w:r>
      <w:r>
        <w:t>22</w:t>
      </w:r>
      <w:r w:rsidRPr="00087F12">
        <w:t xml:space="preserve"> (inclusive) will be calculated using:</w:t>
      </w:r>
    </w:p>
    <w:p w:rsidR="00A808B1" w:rsidRPr="008D1E84" w:rsidRDefault="0071749E" w:rsidP="00A808B1">
      <w:pPr>
        <w:pStyle w:val="ListContinue2"/>
      </w:pPr>
      <m:oMathPara>
        <m:oMathParaPr>
          <m:jc m:val="center"/>
        </m:oMathParaPr>
        <m:oMath>
          <m:sSub>
            <m:sSubPr>
              <m:ctrlPr>
                <w:rPr>
                  <w:rStyle w:val="AERbody"/>
                  <w:rFonts w:ascii="Cambria Math" w:hAnsi="Cambria Math"/>
                </w:rPr>
              </m:ctrlPr>
            </m:sSubPr>
            <m:e>
              <m:r>
                <w:rPr>
                  <w:rStyle w:val="AERbody"/>
                  <w:rFonts w:ascii="Cambria Math" w:hAnsi="Cambria Math"/>
                </w:rPr>
                <m:t>I</m:t>
              </m:r>
            </m:e>
            <m:sub>
              <m:r>
                <w:rPr>
                  <w:rStyle w:val="AERbody"/>
                  <w:rFonts w:ascii="Cambria Math" w:hAnsi="Cambria Math"/>
                </w:rPr>
                <m:t>i</m:t>
              </m:r>
            </m:sub>
          </m:sSub>
          <m:r>
            <w:rPr>
              <w:rStyle w:val="AERbody"/>
              <w:rFonts w:ascii="Cambria Math" w:hAnsi="Cambria Math"/>
            </w:rPr>
            <m:t>=</m:t>
          </m:r>
          <m:d>
            <m:dPr>
              <m:ctrlPr>
                <w:rPr>
                  <w:rStyle w:val="AERbody"/>
                  <w:rFonts w:ascii="Cambria Math" w:hAnsi="Cambria Math"/>
                </w:rPr>
              </m:ctrlPr>
            </m:dPr>
            <m:e>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i</m:t>
                  </m:r>
                </m:sub>
              </m:sSub>
              <m: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A</m:t>
                  </m:r>
                </m:e>
                <m:sub>
                  <m:r>
                    <w:rPr>
                      <w:rStyle w:val="AERbody"/>
                      <w:rFonts w:ascii="Cambria Math" w:hAnsi="Cambria Math"/>
                    </w:rPr>
                    <m:t>i</m:t>
                  </m:r>
                </m:sub>
              </m:sSub>
            </m:e>
          </m:d>
          <m:r>
            <w:rPr>
              <w:rStyle w:val="AERbody"/>
              <w:rFonts w:ascii="Cambria Math" w:hAnsi="Cambria Math"/>
            </w:rPr>
            <m:t>-</m:t>
          </m:r>
          <m:d>
            <m:dPr>
              <m:ctrlPr>
                <w:rPr>
                  <w:rStyle w:val="AERbody"/>
                  <w:rFonts w:ascii="Cambria Math" w:hAnsi="Cambria Math"/>
                </w:rPr>
              </m:ctrlPr>
            </m:dPr>
            <m:e>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i-1</m:t>
                  </m:r>
                </m:sub>
              </m:sSub>
              <m:r>
                <w:rPr>
                  <w:rStyle w:val="AERbody"/>
                  <w:rFonts w:ascii="Cambria Math" w:hAnsi="Cambria Math"/>
                </w:rPr>
                <m:t>-</m:t>
              </m:r>
              <m:sSub>
                <m:sSubPr>
                  <m:ctrlPr>
                    <w:rPr>
                      <w:rStyle w:val="AERbody"/>
                      <w:rFonts w:ascii="Cambria Math" w:hAnsi="Cambria Math"/>
                    </w:rPr>
                  </m:ctrlPr>
                </m:sSubPr>
                <m:e>
                  <m:r>
                    <w:rPr>
                      <w:rStyle w:val="AERbody"/>
                      <w:rFonts w:ascii="Cambria Math" w:hAnsi="Cambria Math"/>
                    </w:rPr>
                    <m:t>A</m:t>
                  </m:r>
                </m:e>
                <m:sub>
                  <m:r>
                    <w:rPr>
                      <w:rStyle w:val="AERbody"/>
                      <w:rFonts w:ascii="Cambria Math" w:hAnsi="Cambria Math"/>
                    </w:rPr>
                    <m:t>i-1</m:t>
                  </m:r>
                </m:sub>
              </m:sSub>
            </m:e>
          </m:d>
        </m:oMath>
      </m:oMathPara>
    </w:p>
    <w:p w:rsidR="00A808B1" w:rsidRPr="00087F12" w:rsidRDefault="00A808B1" w:rsidP="00A808B1">
      <w:pPr>
        <w:pStyle w:val="ListContinue2"/>
      </w:pPr>
      <w:r>
        <w:t>where</w:t>
      </w:r>
    </w:p>
    <w:p w:rsidR="00A808B1" w:rsidRPr="00087F12" w:rsidRDefault="0071749E" w:rsidP="00A808B1">
      <w:pPr>
        <w:pStyle w:val="ListContinue2"/>
      </w:pPr>
      <m:oMath>
        <m:sSub>
          <m:sSubPr>
            <m:ctrlPr>
              <w:rPr>
                <w:rStyle w:val="AERbody"/>
                <w:rFonts w:ascii="Cambria Math" w:hAnsi="Cambria Math"/>
              </w:rPr>
            </m:ctrlPr>
          </m:sSubPr>
          <m:e>
            <m:r>
              <w:rPr>
                <w:rStyle w:val="AERbody"/>
                <w:rFonts w:ascii="Cambria Math" w:hAnsi="Cambria Math"/>
              </w:rPr>
              <m:t>I</m:t>
            </m:r>
          </m:e>
          <m:sub>
            <m:r>
              <w:rPr>
                <w:rStyle w:val="AERbody"/>
                <w:rFonts w:ascii="Cambria Math" w:hAnsi="Cambria Math"/>
              </w:rPr>
              <m:t>i</m:t>
            </m:r>
          </m:sub>
        </m:sSub>
      </m:oMath>
      <w:r w:rsidR="00A808B1" w:rsidRPr="00087F12">
        <w:t xml:space="preserve"> </w:t>
      </w:r>
      <w:proofErr w:type="gramStart"/>
      <w:r w:rsidR="00A808B1" w:rsidRPr="00087F12">
        <w:t>is</w:t>
      </w:r>
      <w:proofErr w:type="gramEnd"/>
      <w:r w:rsidR="00A808B1" w:rsidRPr="00087F12">
        <w:t xml:space="preserve"> the incremental efficiency gain in year i of the access arrangement period.</w:t>
      </w:r>
    </w:p>
    <w:p w:rsidR="00A808B1" w:rsidRPr="00087F12" w:rsidRDefault="0071749E" w:rsidP="00A808B1">
      <w:pPr>
        <w:pStyle w:val="ListContinue2"/>
      </w:pPr>
      <m:oMath>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i</m:t>
            </m:r>
          </m:sub>
        </m:sSub>
      </m:oMath>
      <w:r w:rsidR="00A808B1" w:rsidRPr="00087F12">
        <w:t xml:space="preserve"> </w:t>
      </w:r>
      <w:proofErr w:type="gramStart"/>
      <w:r w:rsidR="00A808B1" w:rsidRPr="00087F12">
        <w:t>is</w:t>
      </w:r>
      <w:proofErr w:type="gramEnd"/>
      <w:r w:rsidR="00A808B1" w:rsidRPr="00087F12">
        <w:t xml:space="preserve"> the </w:t>
      </w:r>
      <w:r w:rsidR="00AE0FDA" w:rsidRPr="00AE0FDA">
        <w:t xml:space="preserve">approved </w:t>
      </w:r>
      <w:r w:rsidR="00A808B1" w:rsidRPr="00087F12">
        <w:t xml:space="preserve">forecast </w:t>
      </w:r>
      <w:r w:rsidR="00AE0FDA">
        <w:t>opex</w:t>
      </w:r>
      <w:r w:rsidR="00A808B1" w:rsidRPr="00087F12">
        <w:t xml:space="preserve"> in year </w:t>
      </w:r>
      <w:proofErr w:type="spellStart"/>
      <w:r w:rsidR="00A808B1" w:rsidRPr="00087F12">
        <w:t>i</w:t>
      </w:r>
      <w:proofErr w:type="spellEnd"/>
      <w:r w:rsidR="00A808B1" w:rsidRPr="00087F12">
        <w:t xml:space="preserve"> of the access arrangement period.</w:t>
      </w:r>
    </w:p>
    <w:p w:rsidR="00A808B1" w:rsidRPr="00087F12" w:rsidRDefault="0071749E" w:rsidP="00A808B1">
      <w:pPr>
        <w:pStyle w:val="ListContinue2"/>
      </w:pPr>
      <m:oMath>
        <m:sSub>
          <m:sSubPr>
            <m:ctrlPr>
              <w:rPr>
                <w:rStyle w:val="AERbody"/>
                <w:rFonts w:ascii="Cambria Math" w:hAnsi="Cambria Math"/>
              </w:rPr>
            </m:ctrlPr>
          </m:sSubPr>
          <m:e>
            <m:r>
              <w:rPr>
                <w:rStyle w:val="AERbody"/>
                <w:rFonts w:ascii="Cambria Math" w:hAnsi="Cambria Math"/>
              </w:rPr>
              <m:t>A</m:t>
            </m:r>
          </m:e>
          <m:sub>
            <m:r>
              <w:rPr>
                <w:rStyle w:val="AERbody"/>
                <w:rFonts w:ascii="Cambria Math" w:hAnsi="Cambria Math"/>
              </w:rPr>
              <m:t>i</m:t>
            </m:r>
          </m:sub>
        </m:sSub>
      </m:oMath>
      <w:r w:rsidR="00A808B1" w:rsidRPr="00087F12">
        <w:t xml:space="preserve"> </w:t>
      </w:r>
      <w:proofErr w:type="gramStart"/>
      <w:r w:rsidR="00A808B1" w:rsidRPr="00087F12">
        <w:t>is</w:t>
      </w:r>
      <w:proofErr w:type="gramEnd"/>
      <w:r w:rsidR="00A808B1" w:rsidRPr="00087F12">
        <w:t xml:space="preserve"> the actual </w:t>
      </w:r>
      <w:r w:rsidR="00AE0FDA">
        <w:t>opex</w:t>
      </w:r>
      <w:r w:rsidR="00A808B1" w:rsidRPr="00087F12">
        <w:t xml:space="preserve"> in year </w:t>
      </w:r>
      <w:proofErr w:type="spellStart"/>
      <w:r w:rsidR="00A808B1" w:rsidRPr="00087F12">
        <w:t>i</w:t>
      </w:r>
      <w:proofErr w:type="spellEnd"/>
      <w:r w:rsidR="00A808B1" w:rsidRPr="00087F12">
        <w:t xml:space="preserve"> of the access arrangement period.</w:t>
      </w:r>
    </w:p>
    <w:p w:rsidR="00A808B1" w:rsidRPr="00087F12" w:rsidRDefault="0071749E" w:rsidP="00A808B1">
      <w:pPr>
        <w:pStyle w:val="ListContinue2"/>
      </w:pPr>
      <m:oMath>
        <m:sSub>
          <m:sSubPr>
            <m:ctrlPr>
              <w:rPr>
                <w:rStyle w:val="AERbody"/>
                <w:rFonts w:ascii="Cambria Math" w:hAnsi="Cambria Math"/>
              </w:rPr>
            </m:ctrlPr>
          </m:sSubPr>
          <m:e>
            <m:r>
              <w:rPr>
                <w:rStyle w:val="AERbody"/>
                <w:rFonts w:ascii="Cambria Math" w:hAnsi="Cambria Math"/>
              </w:rPr>
              <m:t>F</m:t>
            </m:r>
          </m:e>
          <m:sub>
            <m:r>
              <w:rPr>
                <w:rStyle w:val="AERbody"/>
                <w:rFonts w:ascii="Cambria Math" w:hAnsi="Cambria Math"/>
              </w:rPr>
              <m:t>i-1</m:t>
            </m:r>
          </m:sub>
        </m:sSub>
      </m:oMath>
      <w:r w:rsidR="00A808B1" w:rsidRPr="00087F12">
        <w:t xml:space="preserve"> </w:t>
      </w:r>
      <w:proofErr w:type="gramStart"/>
      <w:r w:rsidR="00A808B1" w:rsidRPr="00087F12">
        <w:t>is</w:t>
      </w:r>
      <w:proofErr w:type="gramEnd"/>
      <w:r w:rsidR="00A808B1" w:rsidRPr="00087F12">
        <w:t xml:space="preserve"> the </w:t>
      </w:r>
      <w:r w:rsidR="00AE0FDA" w:rsidRPr="00AE0FDA">
        <w:t xml:space="preserve">approved </w:t>
      </w:r>
      <w:r w:rsidR="00A808B1" w:rsidRPr="00087F12">
        <w:t xml:space="preserve">forecast </w:t>
      </w:r>
      <w:r w:rsidR="00AE0FDA">
        <w:t>opex</w:t>
      </w:r>
      <w:r w:rsidR="00A808B1" w:rsidRPr="00087F12">
        <w:t xml:space="preserve"> in year </w:t>
      </w:r>
      <w:r w:rsidR="008D1E84">
        <w:t xml:space="preserve">I – </w:t>
      </w:r>
      <w:r w:rsidR="00A808B1" w:rsidRPr="00087F12">
        <w:t>1 of the access arrangement period.</w:t>
      </w:r>
    </w:p>
    <w:p w:rsidR="00A808B1" w:rsidRDefault="0071749E" w:rsidP="00A808B1">
      <w:pPr>
        <w:pStyle w:val="ListContinue2"/>
      </w:pPr>
      <m:oMath>
        <m:sSub>
          <m:sSubPr>
            <m:ctrlPr>
              <w:rPr>
                <w:rStyle w:val="AERbody"/>
                <w:rFonts w:ascii="Cambria Math" w:hAnsi="Cambria Math"/>
              </w:rPr>
            </m:ctrlPr>
          </m:sSubPr>
          <m:e>
            <m:r>
              <w:rPr>
                <w:rStyle w:val="AERbody"/>
                <w:rFonts w:ascii="Cambria Math" w:hAnsi="Cambria Math"/>
              </w:rPr>
              <m:t>A</m:t>
            </m:r>
          </m:e>
          <m:sub>
            <m:r>
              <w:rPr>
                <w:rStyle w:val="AERbody"/>
                <w:rFonts w:ascii="Cambria Math" w:hAnsi="Cambria Math"/>
              </w:rPr>
              <m:t>i-1</m:t>
            </m:r>
          </m:sub>
        </m:sSub>
      </m:oMath>
      <w:r w:rsidR="00A808B1" w:rsidRPr="00087F12">
        <w:t xml:space="preserve"> </w:t>
      </w:r>
      <w:proofErr w:type="gramStart"/>
      <w:r w:rsidR="00A808B1" w:rsidRPr="00087F12">
        <w:t>is</w:t>
      </w:r>
      <w:proofErr w:type="gramEnd"/>
      <w:r w:rsidR="00A808B1" w:rsidRPr="00087F12">
        <w:t xml:space="preserve"> the actual </w:t>
      </w:r>
      <w:r w:rsidR="00AE0FDA">
        <w:t>opex</w:t>
      </w:r>
      <w:r w:rsidR="00A808B1" w:rsidRPr="00087F12">
        <w:t xml:space="preserve"> in year </w:t>
      </w:r>
      <w:r w:rsidR="008D1E84">
        <w:t xml:space="preserve">I – </w:t>
      </w:r>
      <w:r w:rsidR="00A808B1" w:rsidRPr="00087F12">
        <w:t>1 of the access arrangement period.</w:t>
      </w:r>
    </w:p>
    <w:p w:rsidR="00A808B1" w:rsidRPr="00087F12" w:rsidRDefault="00A808B1" w:rsidP="00A808B1">
      <w:pPr>
        <w:pStyle w:val="AERnumberedlistsecondstyle"/>
      </w:pPr>
      <w:r>
        <w:t xml:space="preserve">Actual </w:t>
      </w:r>
      <w:r w:rsidR="00AE0FDA">
        <w:t>opex</w:t>
      </w:r>
      <w:r w:rsidRPr="00087F12">
        <w:t xml:space="preserve"> in the final year</w:t>
      </w:r>
      <w:r>
        <w:t>,</w:t>
      </w:r>
      <w:r w:rsidRPr="00087F12">
        <w:t xml:space="preserve"> </w:t>
      </w:r>
      <w:r>
        <w:t xml:space="preserve">2022, </w:t>
      </w:r>
      <w:r w:rsidRPr="00087F12">
        <w:t xml:space="preserve">of the access arrangement period is to be estimated using: </w:t>
      </w:r>
    </w:p>
    <w:p w:rsidR="00A808B1" w:rsidRPr="008D1E84" w:rsidRDefault="0071749E" w:rsidP="00A808B1">
      <w:pPr>
        <w:pStyle w:val="ListContinue2"/>
        <w:rPr>
          <w:rStyle w:val="Strong"/>
        </w:rPr>
      </w:pPr>
      <m:oMathPara>
        <m:oMathParaPr>
          <m:jc m:val="center"/>
        </m:oMathParaPr>
        <m:oMath>
          <m:sSubSup>
            <m:sSubSupPr>
              <m:ctrlPr>
                <w:rPr>
                  <w:rStyle w:val="Strong"/>
                  <w:rFonts w:ascii="Cambria Math" w:hAnsi="Cambria Math"/>
                  <w:b w:val="0"/>
                  <w:bCs w:val="0"/>
                </w:rPr>
              </m:ctrlPr>
            </m:sSubSupPr>
            <m:e>
              <m:r>
                <w:rPr>
                  <w:rStyle w:val="Strong"/>
                  <w:rFonts w:ascii="Cambria Math" w:hAnsi="Cambria Math"/>
                </w:rPr>
                <m:t>A</m:t>
              </m:r>
            </m:e>
            <m:sub>
              <m:r>
                <m:rPr>
                  <m:sty m:val="p"/>
                </m:rPr>
                <w:rPr>
                  <w:rStyle w:val="Strong"/>
                  <w:rFonts w:ascii="Cambria Math" w:hAnsi="Cambria Math"/>
                </w:rPr>
                <m:t>2022</m:t>
              </m:r>
            </m:sub>
            <m:sup>
              <m:r>
                <m:rPr>
                  <m:sty m:val="p"/>
                </m:rPr>
                <w:rPr>
                  <w:rStyle w:val="Strong"/>
                  <w:rFonts w:ascii="Cambria Math" w:hAnsi="Cambria Math"/>
                </w:rPr>
                <m:t>*</m:t>
              </m:r>
            </m:sup>
          </m:sSubSup>
          <m:r>
            <m:rPr>
              <m:sty m:val="p"/>
            </m:rPr>
            <w:rPr>
              <w:rStyle w:val="Strong"/>
              <w:rFonts w:ascii="Cambria Math" w:hAnsi="Cambria Math"/>
            </w:rPr>
            <m:t>=</m:t>
          </m:r>
          <m:sSub>
            <m:sSubPr>
              <m:ctrlPr>
                <w:rPr>
                  <w:rStyle w:val="Strong"/>
                  <w:rFonts w:ascii="Cambria Math" w:hAnsi="Cambria Math"/>
                  <w:b w:val="0"/>
                  <w:bCs w:val="0"/>
                </w:rPr>
              </m:ctrlPr>
            </m:sSubPr>
            <m:e>
              <m:r>
                <w:rPr>
                  <w:rStyle w:val="Strong"/>
                  <w:rFonts w:ascii="Cambria Math" w:hAnsi="Cambria Math"/>
                </w:rPr>
                <m:t>F</m:t>
              </m:r>
            </m:e>
            <m:sub>
              <m:r>
                <m:rPr>
                  <m:sty m:val="p"/>
                </m:rPr>
                <w:rPr>
                  <w:rStyle w:val="Strong"/>
                  <w:rFonts w:ascii="Cambria Math" w:hAnsi="Cambria Math"/>
                </w:rPr>
                <m:t>2022</m:t>
              </m:r>
            </m:sub>
          </m:sSub>
          <m:r>
            <m:rPr>
              <m:sty m:val="p"/>
            </m:rPr>
            <w:rPr>
              <w:rStyle w:val="Strong"/>
              <w:rFonts w:ascii="Cambria Math" w:hAnsi="Cambria Math"/>
            </w:rPr>
            <m:t>-</m:t>
          </m:r>
          <m:d>
            <m:dPr>
              <m:ctrlPr>
                <w:rPr>
                  <w:rStyle w:val="Strong"/>
                  <w:rFonts w:ascii="Cambria Math" w:hAnsi="Cambria Math"/>
                  <w:b w:val="0"/>
                  <w:bCs w:val="0"/>
                </w:rPr>
              </m:ctrlPr>
            </m:dPr>
            <m:e>
              <m:sSub>
                <m:sSubPr>
                  <m:ctrlPr>
                    <w:rPr>
                      <w:rStyle w:val="Strong"/>
                      <w:rFonts w:ascii="Cambria Math" w:hAnsi="Cambria Math"/>
                      <w:b w:val="0"/>
                      <w:bCs w:val="0"/>
                    </w:rPr>
                  </m:ctrlPr>
                </m:sSubPr>
                <m:e>
                  <m:r>
                    <w:rPr>
                      <w:rStyle w:val="Strong"/>
                      <w:rFonts w:ascii="Cambria Math" w:hAnsi="Cambria Math"/>
                    </w:rPr>
                    <m:t>F</m:t>
                  </m:r>
                </m:e>
                <m:sub>
                  <m:r>
                    <w:rPr>
                      <w:rStyle w:val="Strong"/>
                      <w:rFonts w:ascii="Cambria Math" w:hAnsi="Cambria Math"/>
                    </w:rPr>
                    <m:t>b</m:t>
                  </m:r>
                </m:sub>
              </m:sSub>
              <m:r>
                <m:rPr>
                  <m:sty m:val="p"/>
                </m:rPr>
                <w:rPr>
                  <w:rStyle w:val="Strong"/>
                  <w:rFonts w:ascii="Cambria Math" w:hAnsi="Cambria Math"/>
                </w:rPr>
                <m:t>-</m:t>
              </m:r>
              <m:sSub>
                <m:sSubPr>
                  <m:ctrlPr>
                    <w:rPr>
                      <w:rStyle w:val="Strong"/>
                      <w:rFonts w:ascii="Cambria Math" w:hAnsi="Cambria Math"/>
                      <w:b w:val="0"/>
                      <w:bCs w:val="0"/>
                    </w:rPr>
                  </m:ctrlPr>
                </m:sSubPr>
                <m:e>
                  <m:r>
                    <w:rPr>
                      <w:rStyle w:val="Strong"/>
                      <w:rFonts w:ascii="Cambria Math" w:hAnsi="Cambria Math"/>
                    </w:rPr>
                    <m:t>A</m:t>
                  </m:r>
                </m:e>
                <m:sub>
                  <m:r>
                    <w:rPr>
                      <w:rStyle w:val="Strong"/>
                      <w:rFonts w:ascii="Cambria Math" w:hAnsi="Cambria Math"/>
                    </w:rPr>
                    <m:t>b</m:t>
                  </m:r>
                </m:sub>
              </m:sSub>
            </m:e>
          </m:d>
          <m:r>
            <m:rPr>
              <m:sty m:val="p"/>
            </m:rPr>
            <w:rPr>
              <w:rStyle w:val="Strong"/>
              <w:rFonts w:ascii="Cambria Math" w:hAnsi="Cambria Math"/>
            </w:rPr>
            <m:t xml:space="preserve">+ </m:t>
          </m:r>
          <m:sSub>
            <m:sSubPr>
              <m:ctrlPr>
                <w:rPr>
                  <w:rStyle w:val="Strong"/>
                  <w:rFonts w:ascii="Cambria Math" w:hAnsi="Cambria Math"/>
                  <w:b w:val="0"/>
                  <w:bCs w:val="0"/>
                </w:rPr>
              </m:ctrlPr>
            </m:sSubPr>
            <m:e>
              <m:r>
                <w:rPr>
                  <w:rStyle w:val="Strong"/>
                  <w:rFonts w:ascii="Cambria Math" w:hAnsi="Cambria Math"/>
                </w:rPr>
                <m:t>non</m:t>
              </m:r>
              <m:r>
                <m:rPr>
                  <m:nor/>
                </m:rPr>
                <w:rPr>
                  <w:rStyle w:val="Strong"/>
                  <w:b w:val="0"/>
                  <w:bCs w:val="0"/>
                </w:rPr>
                <m:t>-</m:t>
              </m:r>
              <m:r>
                <w:rPr>
                  <w:rStyle w:val="Strong"/>
                  <w:rFonts w:ascii="Cambria Math" w:hAnsi="Cambria Math"/>
                </w:rPr>
                <m:t>recurrent</m:t>
              </m:r>
              <m:r>
                <m:rPr>
                  <m:sty m:val="p"/>
                </m:rPr>
                <w:rPr>
                  <w:rStyle w:val="Strong"/>
                  <w:rFonts w:ascii="Cambria Math" w:hAnsi="Cambria Math"/>
                </w:rPr>
                <m:t xml:space="preserve"> </m:t>
              </m:r>
              <m:r>
                <w:rPr>
                  <w:rStyle w:val="Strong"/>
                  <w:rFonts w:ascii="Cambria Math" w:hAnsi="Cambria Math"/>
                </w:rPr>
                <m:t>efficiency</m:t>
              </m:r>
              <m:r>
                <m:rPr>
                  <m:sty m:val="p"/>
                </m:rPr>
                <w:rPr>
                  <w:rStyle w:val="Strong"/>
                  <w:rFonts w:ascii="Cambria Math" w:hAnsi="Cambria Math"/>
                </w:rPr>
                <m:t xml:space="preserve"> </m:t>
              </m:r>
              <m:r>
                <w:rPr>
                  <w:rStyle w:val="Strong"/>
                  <w:rFonts w:ascii="Cambria Math" w:hAnsi="Cambria Math"/>
                </w:rPr>
                <m:t>gain</m:t>
              </m:r>
            </m:e>
            <m:sub>
              <m:r>
                <w:rPr>
                  <w:rStyle w:val="Strong"/>
                  <w:rFonts w:ascii="Cambria Math" w:hAnsi="Cambria Math"/>
                </w:rPr>
                <m:t>b</m:t>
              </m:r>
            </m:sub>
          </m:sSub>
        </m:oMath>
      </m:oMathPara>
    </w:p>
    <w:p w:rsidR="00A808B1" w:rsidRPr="00087F12" w:rsidRDefault="00A808B1" w:rsidP="00A808B1">
      <w:pPr>
        <w:pStyle w:val="ListContinue2"/>
      </w:pPr>
      <w:r>
        <w:t>where</w:t>
      </w:r>
    </w:p>
    <w:p w:rsidR="00A808B1" w:rsidRPr="00087F12" w:rsidRDefault="0071749E" w:rsidP="00A808B1">
      <w:pPr>
        <w:pStyle w:val="ListContinue2"/>
      </w:pPr>
      <m:oMath>
        <m:sSubSup>
          <m:sSubSupPr>
            <m:ctrlPr>
              <w:rPr>
                <w:rFonts w:ascii="Cambria Math" w:hAnsi="Cambria Math"/>
              </w:rPr>
            </m:ctrlPr>
          </m:sSubSupPr>
          <m:e>
            <m:r>
              <w:rPr>
                <w:rFonts w:ascii="Cambria Math" w:hAnsi="Cambria Math"/>
              </w:rPr>
              <m:t>A</m:t>
            </m:r>
          </m:e>
          <m:sub>
            <m:r>
              <w:rPr>
                <w:rFonts w:ascii="Cambria Math" w:hAnsi="Cambria Math"/>
              </w:rPr>
              <m:t>2022</m:t>
            </m:r>
          </m:sub>
          <m:sup>
            <m:r>
              <w:rPr>
                <w:rFonts w:ascii="Cambria Math" w:hAnsi="Cambria Math"/>
              </w:rPr>
              <m:t>*</m:t>
            </m:r>
          </m:sup>
        </m:sSubSup>
      </m:oMath>
      <w:r w:rsidR="00A808B1" w:rsidRPr="00087F12">
        <w:t xml:space="preserve"> </w:t>
      </w:r>
      <w:proofErr w:type="gramStart"/>
      <w:r w:rsidR="00A808B1" w:rsidRPr="00087F12">
        <w:t>is</w:t>
      </w:r>
      <w:proofErr w:type="gramEnd"/>
      <w:r w:rsidR="00A808B1" w:rsidRPr="00087F12">
        <w:t xml:space="preserve"> the estimate of opex for </w:t>
      </w:r>
      <w:r w:rsidR="00A808B1">
        <w:t>2022</w:t>
      </w:r>
      <w:r w:rsidR="00A808B1" w:rsidRPr="00087F12">
        <w:t xml:space="preserve">. </w:t>
      </w:r>
    </w:p>
    <w:p w:rsidR="00A808B1" w:rsidRPr="00087F12" w:rsidRDefault="0071749E" w:rsidP="00A808B1">
      <w:pPr>
        <w:pStyle w:val="ListContinue2"/>
      </w:pPr>
      <m:oMath>
        <m:sSub>
          <m:sSubPr>
            <m:ctrlPr>
              <w:rPr>
                <w:rFonts w:ascii="Cambria Math" w:hAnsi="Cambria Math"/>
              </w:rPr>
            </m:ctrlPr>
          </m:sSubPr>
          <m:e>
            <m:r>
              <w:rPr>
                <w:rFonts w:ascii="Cambria Math" w:hAnsi="Cambria Math"/>
              </w:rPr>
              <m:t>F</m:t>
            </m:r>
          </m:e>
          <m:sub>
            <m:r>
              <w:rPr>
                <w:rFonts w:ascii="Cambria Math" w:hAnsi="Cambria Math"/>
              </w:rPr>
              <m:t>2022</m:t>
            </m:r>
          </m:sub>
        </m:sSub>
      </m:oMath>
      <w:proofErr w:type="gramStart"/>
      <w:r w:rsidR="00A808B1" w:rsidRPr="00087F12">
        <w:t>is</w:t>
      </w:r>
      <w:proofErr w:type="gramEnd"/>
      <w:r w:rsidR="00A808B1" w:rsidRPr="00087F12">
        <w:t xml:space="preserve"> the </w:t>
      </w:r>
      <w:r w:rsidR="00AE0FDA" w:rsidRPr="00AE0FDA">
        <w:t xml:space="preserve">approved </w:t>
      </w:r>
      <w:r w:rsidR="00A808B1" w:rsidRPr="00087F12">
        <w:t xml:space="preserve">forecast opex for </w:t>
      </w:r>
      <w:r w:rsidR="00A808B1">
        <w:t>2022</w:t>
      </w:r>
      <w:r w:rsidR="00A808B1" w:rsidRPr="00087F12">
        <w:t>.</w:t>
      </w:r>
    </w:p>
    <w:p w:rsidR="00A808B1" w:rsidRPr="00087F12" w:rsidRDefault="0071749E" w:rsidP="00A808B1">
      <w:pPr>
        <w:pStyle w:val="ListContinue2"/>
      </w:pPr>
      <m:oMath>
        <m:sSub>
          <m:sSubPr>
            <m:ctrlPr>
              <w:rPr>
                <w:rFonts w:ascii="Cambria Math" w:hAnsi="Cambria Math"/>
              </w:rPr>
            </m:ctrlPr>
          </m:sSubPr>
          <m:e>
            <m:r>
              <w:rPr>
                <w:rFonts w:ascii="Cambria Math" w:hAnsi="Cambria Math"/>
              </w:rPr>
              <m:t>F</m:t>
            </m:r>
          </m:e>
          <m:sub>
            <m:r>
              <w:rPr>
                <w:rFonts w:ascii="Cambria Math" w:hAnsi="Cambria Math"/>
              </w:rPr>
              <m:t>b</m:t>
            </m:r>
          </m:sub>
        </m:sSub>
      </m:oMath>
      <w:proofErr w:type="gramStart"/>
      <w:r w:rsidR="00A808B1" w:rsidRPr="00087F12">
        <w:t>is</w:t>
      </w:r>
      <w:proofErr w:type="gramEnd"/>
      <w:r w:rsidR="00A808B1" w:rsidRPr="00087F12">
        <w:t xml:space="preserve"> the </w:t>
      </w:r>
      <w:r w:rsidR="00AE0FDA" w:rsidRPr="00AE0FDA">
        <w:t xml:space="preserve">approved </w:t>
      </w:r>
      <w:r w:rsidR="00A808B1" w:rsidRPr="00087F12">
        <w:t xml:space="preserve">forecast opex for the base year used to forecast opex in the access arrangement period following this access arrangement. </w:t>
      </w:r>
    </w:p>
    <w:p w:rsidR="00A808B1" w:rsidRPr="00087F12" w:rsidRDefault="0071749E" w:rsidP="00A808B1">
      <w:pPr>
        <w:pStyle w:val="ListContinue2"/>
      </w:pPr>
      <m:oMath>
        <m:sSub>
          <m:sSubPr>
            <m:ctrlPr>
              <w:rPr>
                <w:rFonts w:ascii="Cambria Math" w:hAnsi="Cambria Math"/>
              </w:rPr>
            </m:ctrlPr>
          </m:sSubPr>
          <m:e>
            <m:r>
              <w:rPr>
                <w:rFonts w:ascii="Cambria Math" w:hAnsi="Cambria Math"/>
              </w:rPr>
              <m:t>A</m:t>
            </m:r>
          </m:e>
          <m:sub>
            <m:r>
              <w:rPr>
                <w:rFonts w:ascii="Cambria Math" w:hAnsi="Cambria Math"/>
              </w:rPr>
              <m:t>b</m:t>
            </m:r>
          </m:sub>
        </m:sSub>
      </m:oMath>
      <w:proofErr w:type="gramStart"/>
      <w:r w:rsidR="00A808B1" w:rsidRPr="00087F12">
        <w:t>is</w:t>
      </w:r>
      <w:proofErr w:type="gramEnd"/>
      <w:r w:rsidR="00A808B1" w:rsidRPr="00087F12">
        <w:t xml:space="preserve"> the actual opex for the base year used to forecast opex in the access arrangement period following this access arrangement.</w:t>
      </w:r>
    </w:p>
    <w:p w:rsidR="00A808B1" w:rsidRPr="00087F12" w:rsidRDefault="0071749E" w:rsidP="00A808B1">
      <w:pPr>
        <w:pStyle w:val="ListContinue2"/>
      </w:pPr>
      <m:oMath>
        <m:sSub>
          <m:sSubPr>
            <m:ctrlPr>
              <w:rPr>
                <w:rFonts w:ascii="Cambria Math" w:hAnsi="Cambria Math"/>
              </w:rPr>
            </m:ctrlPr>
          </m:sSubPr>
          <m:e>
            <m:r>
              <w:rPr>
                <w:rFonts w:ascii="Cambria Math" w:hAnsi="Cambria Math"/>
              </w:rPr>
              <m:t>non</m:t>
            </m:r>
            <m:r>
              <m:rPr>
                <m:nor/>
              </m:rPr>
              <m:t>-</m:t>
            </m:r>
            <m:r>
              <w:rPr>
                <w:rFonts w:ascii="Cambria Math" w:hAnsi="Cambria Math"/>
              </w:rPr>
              <m:t>recurrent efficiency gain</m:t>
            </m:r>
          </m:e>
          <m:sub>
            <m:r>
              <w:rPr>
                <w:rFonts w:ascii="Cambria Math" w:hAnsi="Cambria Math"/>
              </w:rPr>
              <m:t>b</m:t>
            </m:r>
          </m:sub>
        </m:sSub>
      </m:oMath>
      <w:r w:rsidR="00A808B1">
        <w:t xml:space="preserve"> </w:t>
      </w:r>
      <w:proofErr w:type="gramStart"/>
      <w:r w:rsidR="00A808B1" w:rsidRPr="00087F12">
        <w:t>is</w:t>
      </w:r>
      <w:proofErr w:type="gramEnd"/>
      <w:r w:rsidR="00A808B1" w:rsidRPr="00087F12">
        <w:t xml:space="preserve"> the adjustment made to base year opex used to forecast opex for the access arrangement period expected to commence 1 July 2021 to account for opex associated with one-off factors.</w:t>
      </w:r>
    </w:p>
    <w:p w:rsidR="00A808B1" w:rsidRDefault="003744B7" w:rsidP="00A808B1">
      <w:pPr>
        <w:pStyle w:val="AERnumberedlistsecondstyle"/>
      </w:pPr>
      <w:r>
        <w:t>T</w:t>
      </w:r>
      <w:r w:rsidR="00A808B1" w:rsidRPr="00DE225D">
        <w:t xml:space="preserve">o ensure efficiency gains or losses made in 2022 are retained for five years, opex for the </w:t>
      </w:r>
      <w:r w:rsidR="00E5494D">
        <w:t>a</w:t>
      </w:r>
      <w:r w:rsidR="00A808B1" w:rsidRPr="00DE225D">
        <w:t>c</w:t>
      </w:r>
      <w:r w:rsidR="00E5494D">
        <w:t>cess arrangement p</w:t>
      </w:r>
      <w:r w:rsidR="00A808B1" w:rsidRPr="00DE225D">
        <w:t xml:space="preserve">eriod </w:t>
      </w:r>
      <w:r w:rsidR="00E5494D">
        <w:t xml:space="preserve">commencing 1 January 2023 </w:t>
      </w:r>
      <w:r w:rsidR="00A808B1" w:rsidRPr="00DE225D">
        <w:t xml:space="preserve">should be forecast in a manner consistent with the estimate for opex in 2022, </w:t>
      </w:r>
      <m:oMath>
        <m:sSubSup>
          <m:sSubSupPr>
            <m:ctrlPr>
              <w:rPr>
                <w:rFonts w:ascii="Cambria Math" w:hAnsi="Cambria Math"/>
              </w:rPr>
            </m:ctrlPr>
          </m:sSubSupPr>
          <m:e>
            <m:r>
              <w:rPr>
                <w:rFonts w:ascii="Cambria Math" w:hAnsi="Cambria Math"/>
              </w:rPr>
              <m:t>A</m:t>
            </m:r>
          </m:e>
          <m:sub>
            <m:r>
              <w:rPr>
                <w:rFonts w:ascii="Cambria Math" w:hAnsi="Cambria Math"/>
              </w:rPr>
              <m:t>2022</m:t>
            </m:r>
          </m:sub>
          <m:sup>
            <m:r>
              <w:rPr>
                <w:rFonts w:ascii="Cambria Math" w:hAnsi="Cambria Math"/>
              </w:rPr>
              <m:t>*</m:t>
            </m:r>
          </m:sup>
        </m:sSubSup>
      </m:oMath>
      <w:r w:rsidR="00A808B1" w:rsidRPr="00DE225D">
        <w:t>, in paragraph (c) above. This provides the Service Provider the same reward had the expenditure level in 2022 been known.</w:t>
      </w:r>
    </w:p>
    <w:p w:rsidR="00A808B1" w:rsidRPr="00087F12" w:rsidRDefault="003744B7" w:rsidP="00A808B1">
      <w:pPr>
        <w:pStyle w:val="AERnumberedlistsecondstyle"/>
      </w:pPr>
      <w:r>
        <w:t>T</w:t>
      </w:r>
      <w:r w:rsidR="00A808B1" w:rsidRPr="00087F12">
        <w:t xml:space="preserve">he incremental efficiency gains (or losses) are carried over from year to year in real dollars to ensure that these gains (or losses) are not eroded by inflation. The price indices used in this calculation are to be consistent with those used </w:t>
      </w:r>
      <w:r w:rsidR="00A808B1">
        <w:t xml:space="preserve">to forecast </w:t>
      </w:r>
      <w:r w:rsidR="00A808B1" w:rsidRPr="00DE225D">
        <w:t>opex for the Sixth Access Arrangement Period</w:t>
      </w:r>
      <w:r w:rsidR="00A808B1" w:rsidRPr="00087F12">
        <w:t>.</w:t>
      </w:r>
    </w:p>
    <w:p w:rsidR="00A808B1" w:rsidRPr="00087F12" w:rsidRDefault="00A808B1" w:rsidP="00A808B1">
      <w:pPr>
        <w:pStyle w:val="AERnumberedlistsecondstyle"/>
      </w:pPr>
      <w:r>
        <w:t xml:space="preserve">Increments or decrements from the summation of incremental efficiency gains or losses calculated in accordance with the approved incentive mechanism in the Access Arrangement Period </w:t>
      </w:r>
      <w:r w:rsidRPr="00087F12">
        <w:t xml:space="preserve">will give rise to an additional ‘building block’ in the calculation of the Total Revenue amounts for each </w:t>
      </w:r>
      <w:r w:rsidR="001C3548">
        <w:t>y</w:t>
      </w:r>
      <w:r w:rsidRPr="00087F12">
        <w:t>ear of the subsequent access arrangement period.</w:t>
      </w:r>
    </w:p>
    <w:p w:rsidR="00A808B1" w:rsidRPr="00087F12" w:rsidRDefault="00A808B1" w:rsidP="00A808B1">
      <w:pPr>
        <w:pStyle w:val="AERnumberedlistsecondstyle"/>
      </w:pPr>
      <w:r>
        <w:t>The following costs will be excluded from the operation of the efficiency carryover mechanism:</w:t>
      </w:r>
    </w:p>
    <w:p w:rsidR="00A808B1" w:rsidRPr="00BF6607" w:rsidRDefault="00A26BEA" w:rsidP="00966812">
      <w:pPr>
        <w:pStyle w:val="AERnumberedlistthirdstyle"/>
        <w:numPr>
          <w:ilvl w:val="1"/>
          <w:numId w:val="20"/>
        </w:numPr>
      </w:pPr>
      <w:r>
        <w:t xml:space="preserve"> </w:t>
      </w:r>
      <w:r>
        <w:tab/>
      </w:r>
      <w:r w:rsidR="00A808B1" w:rsidRPr="00BF6607">
        <w:t>movements in provisions</w:t>
      </w:r>
    </w:p>
    <w:p w:rsidR="00A808B1" w:rsidRDefault="00A808B1" w:rsidP="00966812">
      <w:pPr>
        <w:pStyle w:val="AERnumberedlistthirdstyle"/>
        <w:numPr>
          <w:ilvl w:val="1"/>
          <w:numId w:val="20"/>
        </w:numPr>
      </w:pPr>
      <w:proofErr w:type="gramStart"/>
      <w:r>
        <w:t>any</w:t>
      </w:r>
      <w:proofErr w:type="gramEnd"/>
      <w:r>
        <w:t xml:space="preserve"> cost category that is not forecast using a single year revealed cost approach in the access arrangement period following this Access Arrangement Period (intended to commence 1 January 2023). These costs may include, debt raising costs and unaccounted for gas expenses</w:t>
      </w:r>
    </w:p>
    <w:p w:rsidR="00A808B1" w:rsidRPr="00087F12" w:rsidRDefault="00A808B1" w:rsidP="00966812">
      <w:pPr>
        <w:pStyle w:val="AERnumberedlistthirdstyle"/>
        <w:numPr>
          <w:ilvl w:val="1"/>
          <w:numId w:val="20"/>
        </w:numPr>
      </w:pPr>
      <w:proofErr w:type="gramStart"/>
      <w:r w:rsidRPr="00C82D78">
        <w:t>any</w:t>
      </w:r>
      <w:proofErr w:type="gramEnd"/>
      <w:r w:rsidRPr="00C82D78">
        <w:t xml:space="preserve"> other activity that the Service Provider and the Regulator agree to exclude from the operation of the efficiency carryover mechanism</w:t>
      </w:r>
      <w:r>
        <w:t>.</w:t>
      </w:r>
      <w:r w:rsidRPr="00087F12">
        <w:t xml:space="preserve"> </w:t>
      </w:r>
    </w:p>
    <w:p w:rsidR="00A808B1" w:rsidRPr="00087F12" w:rsidRDefault="00A808B1" w:rsidP="00A808B1">
      <w:pPr>
        <w:pStyle w:val="AERnumberedlistsecondstyle"/>
      </w:pPr>
      <w:r w:rsidRPr="00792F71">
        <w:t xml:space="preserve">The </w:t>
      </w:r>
      <w:r w:rsidR="00AE0FDA" w:rsidRPr="00AE0FDA">
        <w:t xml:space="preserve">approved </w:t>
      </w:r>
      <w:r w:rsidRPr="00087F12">
        <w:t xml:space="preserve">forecast </w:t>
      </w:r>
      <w:r w:rsidR="00AE0FDA">
        <w:t>opex</w:t>
      </w:r>
      <w:r w:rsidRPr="00087F12">
        <w:t xml:space="preserve"> amount for each year of the Applicable Access Arrangement Period will be adjusted to include any Determined Pass Through Amounts or other AER approved expenditure arising from Cost Pass Through Events which apply in respect of that year</w:t>
      </w:r>
    </w:p>
    <w:p w:rsidR="00A808B1" w:rsidRPr="001C38A6" w:rsidRDefault="00A808B1" w:rsidP="00A808B1">
      <w:pPr>
        <w:pStyle w:val="AERnumberedlistsecondstyle"/>
      </w:pPr>
      <w:r w:rsidRPr="001C38A6">
        <w:t xml:space="preserve">For the avoidance of doubt, the forecast expenditure amounts that are used as the basis for measuring efficiencies are equal to the </w:t>
      </w:r>
      <w:r w:rsidR="00AE0FDA" w:rsidRPr="00AE0FDA">
        <w:t xml:space="preserve">approved </w:t>
      </w:r>
      <w:r w:rsidRPr="001C38A6">
        <w:t xml:space="preserve">forecast </w:t>
      </w:r>
      <w:r w:rsidR="00AE0FDA">
        <w:t>opex</w:t>
      </w:r>
      <w:r w:rsidRPr="001C38A6">
        <w:t xml:space="preserve"> for that year as shown in the table below, which exclude the costs listed in clause </w:t>
      </w:r>
      <w:r w:rsidR="008A6554">
        <w:t>5</w:t>
      </w:r>
      <w:r w:rsidRPr="001C38A6">
        <w:t>.</w:t>
      </w:r>
      <w:r w:rsidR="008A6554">
        <w:t>1</w:t>
      </w:r>
      <w:r w:rsidRPr="001C38A6">
        <w:t>(</w:t>
      </w:r>
      <w:r w:rsidR="008D1E84">
        <w:t>h</w:t>
      </w:r>
      <w:r w:rsidRPr="001C38A6">
        <w:t>)(</w:t>
      </w:r>
      <w:proofErr w:type="spellStart"/>
      <w:r w:rsidR="008A6554">
        <w:t>i</w:t>
      </w:r>
      <w:proofErr w:type="spellEnd"/>
      <w:r w:rsidR="008D1E84" w:rsidRPr="001C38A6">
        <w:t>)</w:t>
      </w:r>
      <w:r w:rsidR="008D1E84">
        <w:t>–</w:t>
      </w:r>
      <w:r w:rsidR="008D1E84" w:rsidRPr="001C38A6">
        <w:t>(</w:t>
      </w:r>
      <w:r w:rsidR="008A6554">
        <w:t>iii</w:t>
      </w:r>
      <w:r w:rsidRPr="001C38A6">
        <w:t>).</w:t>
      </w:r>
    </w:p>
    <w:p w:rsidR="00A808B1" w:rsidRPr="00A808B1" w:rsidRDefault="00505BBC" w:rsidP="00747459">
      <w:pPr>
        <w:pStyle w:val="Charttitle"/>
      </w:pPr>
      <w:r w:rsidRPr="00505BBC">
        <w:t xml:space="preserve">Approved forecast opex for the efficiency carryover mechanism </w:t>
      </w:r>
      <w:r>
        <w:br/>
      </w:r>
      <w:r w:rsidRPr="00505BBC">
        <w:t>($ million, 2017)</w:t>
      </w:r>
    </w:p>
    <w:tbl>
      <w:tblPr>
        <w:tblStyle w:val="AERtable-numbers"/>
        <w:tblW w:w="5000" w:type="pct"/>
        <w:tblLook w:val="04A0" w:firstRow="1" w:lastRow="0" w:firstColumn="1" w:lastColumn="0" w:noHBand="0" w:noVBand="1"/>
      </w:tblPr>
      <w:tblGrid>
        <w:gridCol w:w="2520"/>
        <w:gridCol w:w="882"/>
        <w:gridCol w:w="882"/>
        <w:gridCol w:w="882"/>
        <w:gridCol w:w="882"/>
        <w:gridCol w:w="881"/>
        <w:gridCol w:w="881"/>
        <w:gridCol w:w="883"/>
      </w:tblGrid>
      <w:tr w:rsidR="008D1E84" w:rsidTr="00505B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9" w:type="pct"/>
          </w:tcPr>
          <w:p w:rsidR="008D1E84" w:rsidRPr="00A808B1" w:rsidRDefault="008D1E84" w:rsidP="00A808B1"/>
        </w:tc>
        <w:tc>
          <w:tcPr>
            <w:tcW w:w="507" w:type="pct"/>
          </w:tcPr>
          <w:p w:rsidR="008D1E84" w:rsidRDefault="008D1E84" w:rsidP="00A808B1">
            <w:pPr>
              <w:cnfStyle w:val="100000000000" w:firstRow="1" w:lastRow="0" w:firstColumn="0" w:lastColumn="0" w:oddVBand="0" w:evenVBand="0" w:oddHBand="0" w:evenHBand="0" w:firstRowFirstColumn="0" w:firstRowLastColumn="0" w:lastRowFirstColumn="0" w:lastRowLastColumn="0"/>
            </w:pPr>
            <w:r>
              <w:t>2016</w:t>
            </w:r>
          </w:p>
        </w:tc>
        <w:tc>
          <w:tcPr>
            <w:tcW w:w="507" w:type="pct"/>
          </w:tcPr>
          <w:p w:rsidR="008D1E84" w:rsidRDefault="008D1E84" w:rsidP="00A808B1">
            <w:pPr>
              <w:cnfStyle w:val="100000000000" w:firstRow="1" w:lastRow="0" w:firstColumn="0" w:lastColumn="0" w:oddVBand="0" w:evenVBand="0" w:oddHBand="0" w:evenHBand="0" w:firstRowFirstColumn="0" w:firstRowLastColumn="0" w:lastRowFirstColumn="0" w:lastRowLastColumn="0"/>
            </w:pPr>
            <w:r>
              <w:t>2017</w:t>
            </w:r>
          </w:p>
        </w:tc>
        <w:tc>
          <w:tcPr>
            <w:tcW w:w="507" w:type="pct"/>
          </w:tcPr>
          <w:p w:rsidR="008D1E84" w:rsidRPr="00A808B1" w:rsidRDefault="008D1E84" w:rsidP="00A808B1">
            <w:pPr>
              <w:cnfStyle w:val="100000000000" w:firstRow="1" w:lastRow="0" w:firstColumn="0" w:lastColumn="0" w:oddVBand="0" w:evenVBand="0" w:oddHBand="0" w:evenHBand="0" w:firstRowFirstColumn="0" w:firstRowLastColumn="0" w:lastRowFirstColumn="0" w:lastRowLastColumn="0"/>
            </w:pPr>
            <w:r>
              <w:t>2018</w:t>
            </w:r>
          </w:p>
        </w:tc>
        <w:tc>
          <w:tcPr>
            <w:tcW w:w="507" w:type="pct"/>
          </w:tcPr>
          <w:p w:rsidR="008D1E84" w:rsidRPr="00A808B1" w:rsidRDefault="008D1E84" w:rsidP="00A808B1">
            <w:pPr>
              <w:cnfStyle w:val="100000000000" w:firstRow="1" w:lastRow="0" w:firstColumn="0" w:lastColumn="0" w:oddVBand="0" w:evenVBand="0" w:oddHBand="0" w:evenHBand="0" w:firstRowFirstColumn="0" w:firstRowLastColumn="0" w:lastRowFirstColumn="0" w:lastRowLastColumn="0"/>
            </w:pPr>
            <w:r>
              <w:t>2019</w:t>
            </w:r>
          </w:p>
        </w:tc>
        <w:tc>
          <w:tcPr>
            <w:tcW w:w="507" w:type="pct"/>
          </w:tcPr>
          <w:p w:rsidR="008D1E84" w:rsidRPr="00A808B1" w:rsidRDefault="008D1E84" w:rsidP="00A808B1">
            <w:pPr>
              <w:cnfStyle w:val="100000000000" w:firstRow="1" w:lastRow="0" w:firstColumn="0" w:lastColumn="0" w:oddVBand="0" w:evenVBand="0" w:oddHBand="0" w:evenHBand="0" w:firstRowFirstColumn="0" w:firstRowLastColumn="0" w:lastRowFirstColumn="0" w:lastRowLastColumn="0"/>
            </w:pPr>
            <w:r>
              <w:t>2020</w:t>
            </w:r>
          </w:p>
        </w:tc>
        <w:tc>
          <w:tcPr>
            <w:tcW w:w="507" w:type="pct"/>
          </w:tcPr>
          <w:p w:rsidR="008D1E84" w:rsidRPr="00A808B1" w:rsidRDefault="008D1E84" w:rsidP="00A808B1">
            <w:pPr>
              <w:cnfStyle w:val="100000000000" w:firstRow="1" w:lastRow="0" w:firstColumn="0" w:lastColumn="0" w:oddVBand="0" w:evenVBand="0" w:oddHBand="0" w:evenHBand="0" w:firstRowFirstColumn="0" w:firstRowLastColumn="0" w:lastRowFirstColumn="0" w:lastRowLastColumn="0"/>
            </w:pPr>
            <w:r>
              <w:t>2021</w:t>
            </w:r>
          </w:p>
        </w:tc>
        <w:tc>
          <w:tcPr>
            <w:tcW w:w="508" w:type="pct"/>
          </w:tcPr>
          <w:p w:rsidR="008D1E84" w:rsidRDefault="008D1E84" w:rsidP="00A808B1">
            <w:pPr>
              <w:cnfStyle w:val="100000000000" w:firstRow="1" w:lastRow="0" w:firstColumn="0" w:lastColumn="0" w:oddVBand="0" w:evenVBand="0" w:oddHBand="0" w:evenHBand="0" w:firstRowFirstColumn="0" w:firstRowLastColumn="0" w:lastRowFirstColumn="0" w:lastRowLastColumn="0"/>
            </w:pPr>
            <w:r>
              <w:t>2022</w:t>
            </w:r>
          </w:p>
        </w:tc>
      </w:tr>
      <w:tr w:rsidR="0075482C" w:rsidTr="00505BBC">
        <w:tc>
          <w:tcPr>
            <w:cnfStyle w:val="001000000000" w:firstRow="0" w:lastRow="0" w:firstColumn="1" w:lastColumn="0" w:oddVBand="0" w:evenVBand="0" w:oddHBand="0" w:evenHBand="0" w:firstRowFirstColumn="0" w:firstRowLastColumn="0" w:lastRowFirstColumn="0" w:lastRowLastColumn="0"/>
            <w:tcW w:w="1449" w:type="pct"/>
          </w:tcPr>
          <w:p w:rsidR="0075482C" w:rsidRPr="0075482C" w:rsidRDefault="0075482C" w:rsidP="0075482C">
            <w:r>
              <w:t xml:space="preserve">Approved </w:t>
            </w:r>
            <w:r w:rsidRPr="0075482C">
              <w:t xml:space="preserve">forecast opex </w:t>
            </w:r>
          </w:p>
        </w:tc>
        <w:tc>
          <w:tcPr>
            <w:tcW w:w="507" w:type="pct"/>
            <w:vAlign w:val="top"/>
          </w:tcPr>
          <w:p w:rsidR="0075482C" w:rsidRPr="0075482C" w:rsidRDefault="0075482C" w:rsidP="0075482C">
            <w:pPr>
              <w:cnfStyle w:val="000000000000" w:firstRow="0" w:lastRow="0" w:firstColumn="0" w:lastColumn="0" w:oddVBand="0" w:evenVBand="0" w:oddHBand="0" w:evenHBand="0" w:firstRowFirstColumn="0" w:firstRowLastColumn="0" w:lastRowFirstColumn="0" w:lastRowLastColumn="0"/>
            </w:pPr>
            <w:r w:rsidRPr="00505BBC">
              <w:rPr>
                <w:rStyle w:val="Strong"/>
              </w:rPr>
              <w:t xml:space="preserve">64.4 </w:t>
            </w:r>
          </w:p>
        </w:tc>
        <w:tc>
          <w:tcPr>
            <w:tcW w:w="507" w:type="pct"/>
            <w:vAlign w:val="top"/>
          </w:tcPr>
          <w:p w:rsidR="0075482C" w:rsidRPr="0075482C" w:rsidRDefault="0075482C" w:rsidP="0075482C">
            <w:pPr>
              <w:cnfStyle w:val="000000000000" w:firstRow="0" w:lastRow="0" w:firstColumn="0" w:lastColumn="0" w:oddVBand="0" w:evenVBand="0" w:oddHBand="0" w:evenHBand="0" w:firstRowFirstColumn="0" w:firstRowLastColumn="0" w:lastRowFirstColumn="0" w:lastRowLastColumn="0"/>
            </w:pPr>
            <w:r w:rsidRPr="00505BBC">
              <w:rPr>
                <w:rStyle w:val="Strong"/>
              </w:rPr>
              <w:t xml:space="preserve">64.7 </w:t>
            </w:r>
          </w:p>
        </w:tc>
        <w:tc>
          <w:tcPr>
            <w:tcW w:w="507" w:type="pct"/>
          </w:tcPr>
          <w:p w:rsidR="0075482C" w:rsidRPr="0075482C" w:rsidRDefault="0075482C" w:rsidP="0075482C">
            <w:pPr>
              <w:cnfStyle w:val="000000000000" w:firstRow="0" w:lastRow="0" w:firstColumn="0" w:lastColumn="0" w:oddVBand="0" w:evenVBand="0" w:oddHBand="0" w:evenHBand="0" w:firstRowFirstColumn="0" w:firstRowLastColumn="0" w:lastRowFirstColumn="0" w:lastRowLastColumn="0"/>
            </w:pPr>
            <w:r w:rsidRPr="00EC1E71">
              <w:rPr>
                <w:rStyle w:val="Strong"/>
              </w:rPr>
              <w:t>66.3</w:t>
            </w:r>
          </w:p>
        </w:tc>
        <w:tc>
          <w:tcPr>
            <w:tcW w:w="507" w:type="pct"/>
          </w:tcPr>
          <w:p w:rsidR="0075482C" w:rsidRPr="0075482C" w:rsidRDefault="0075482C" w:rsidP="0075482C">
            <w:pPr>
              <w:cnfStyle w:val="000000000000" w:firstRow="0" w:lastRow="0" w:firstColumn="0" w:lastColumn="0" w:oddVBand="0" w:evenVBand="0" w:oddHBand="0" w:evenHBand="0" w:firstRowFirstColumn="0" w:firstRowLastColumn="0" w:lastRowFirstColumn="0" w:lastRowLastColumn="0"/>
            </w:pPr>
            <w:r w:rsidRPr="00EC1E71">
              <w:t>67.0</w:t>
            </w:r>
          </w:p>
        </w:tc>
        <w:tc>
          <w:tcPr>
            <w:tcW w:w="507" w:type="pct"/>
          </w:tcPr>
          <w:p w:rsidR="0075482C" w:rsidRPr="0075482C" w:rsidRDefault="0075482C" w:rsidP="0075482C">
            <w:pPr>
              <w:cnfStyle w:val="000000000000" w:firstRow="0" w:lastRow="0" w:firstColumn="0" w:lastColumn="0" w:oddVBand="0" w:evenVBand="0" w:oddHBand="0" w:evenHBand="0" w:firstRowFirstColumn="0" w:firstRowLastColumn="0" w:lastRowFirstColumn="0" w:lastRowLastColumn="0"/>
            </w:pPr>
            <w:r w:rsidRPr="00EC1E71">
              <w:rPr>
                <w:rStyle w:val="Strong"/>
              </w:rPr>
              <w:t>67.7</w:t>
            </w:r>
          </w:p>
        </w:tc>
        <w:tc>
          <w:tcPr>
            <w:tcW w:w="507" w:type="pct"/>
          </w:tcPr>
          <w:p w:rsidR="0075482C" w:rsidRPr="0075482C" w:rsidRDefault="0075482C" w:rsidP="0075482C">
            <w:pPr>
              <w:cnfStyle w:val="000000000000" w:firstRow="0" w:lastRow="0" w:firstColumn="0" w:lastColumn="0" w:oddVBand="0" w:evenVBand="0" w:oddHBand="0" w:evenHBand="0" w:firstRowFirstColumn="0" w:firstRowLastColumn="0" w:lastRowFirstColumn="0" w:lastRowLastColumn="0"/>
            </w:pPr>
            <w:r w:rsidRPr="00EC1E71">
              <w:rPr>
                <w:rStyle w:val="Strong"/>
              </w:rPr>
              <w:t>68.6</w:t>
            </w:r>
          </w:p>
        </w:tc>
        <w:tc>
          <w:tcPr>
            <w:tcW w:w="508" w:type="pct"/>
          </w:tcPr>
          <w:p w:rsidR="0075482C" w:rsidRPr="0075482C" w:rsidRDefault="0075482C" w:rsidP="0075482C">
            <w:pPr>
              <w:cnfStyle w:val="000000000000" w:firstRow="0" w:lastRow="0" w:firstColumn="0" w:lastColumn="0" w:oddVBand="0" w:evenVBand="0" w:oddHBand="0" w:evenHBand="0" w:firstRowFirstColumn="0" w:firstRowLastColumn="0" w:lastRowFirstColumn="0" w:lastRowLastColumn="0"/>
            </w:pPr>
            <w:r w:rsidRPr="00EC1E71">
              <w:rPr>
                <w:rStyle w:val="Strong"/>
              </w:rPr>
              <w:t>69.6</w:t>
            </w:r>
          </w:p>
        </w:tc>
      </w:tr>
    </w:tbl>
    <w:p w:rsidR="00A808B1" w:rsidRDefault="00747459" w:rsidP="00747459">
      <w:pPr>
        <w:pStyle w:val="Source"/>
      </w:pPr>
      <w:r>
        <w:t xml:space="preserve">Note: </w:t>
      </w:r>
      <w:r w:rsidR="008D1E84">
        <w:tab/>
      </w:r>
      <w:r>
        <w:t>Excludes debt raising costs.</w:t>
      </w:r>
    </w:p>
    <w:p w:rsidR="003B23FA" w:rsidRPr="003B23FA" w:rsidRDefault="003B23FA" w:rsidP="003B23FA">
      <w:r>
        <w:rPr>
          <w:rStyle w:val="Strong"/>
        </w:rPr>
        <w:t>Revision 9.2</w:t>
      </w:r>
      <w:r w:rsidRPr="00B36376">
        <w:rPr>
          <w:rStyle w:val="Strong"/>
        </w:rPr>
        <w:t>:</w:t>
      </w:r>
      <w:r w:rsidRPr="003B23FA">
        <w:t xml:space="preserve"> Remove </w:t>
      </w:r>
      <w:r w:rsidR="00723FBB">
        <w:t xml:space="preserve">clause </w:t>
      </w:r>
      <w:r w:rsidR="00440D68">
        <w:t>4.7.3</w:t>
      </w:r>
      <w:r w:rsidR="00723FBB">
        <w:t>, which sets out</w:t>
      </w:r>
      <w:r w:rsidR="00440D68">
        <w:t xml:space="preserve"> </w:t>
      </w:r>
      <w:r>
        <w:t>Fixed Principle C.</w:t>
      </w:r>
    </w:p>
    <w:sectPr w:rsidR="003B23FA" w:rsidRPr="003B23FA" w:rsidSect="00CF42AA">
      <w:headerReference w:type="default" r:id="rId16"/>
      <w:footerReference w:type="even" r:id="rId17"/>
      <w:footerReference w:type="default" r:id="rId18"/>
      <w:footerReference w:type="first" r:id="rId19"/>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9E5" w:rsidRPr="00290C63" w:rsidRDefault="009809E5" w:rsidP="00290C63">
      <w:r>
        <w:separator/>
      </w:r>
    </w:p>
    <w:p w:rsidR="009809E5" w:rsidRDefault="009809E5"/>
  </w:endnote>
  <w:endnote w:type="continuationSeparator" w:id="0">
    <w:p w:rsidR="009809E5" w:rsidRPr="00290C63" w:rsidRDefault="009809E5" w:rsidP="00290C63">
      <w:r>
        <w:continuationSeparator/>
      </w:r>
    </w:p>
    <w:p w:rsidR="009809E5" w:rsidRDefault="00980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E5" w:rsidRPr="00290C63" w:rsidRDefault="009809E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809E5" w:rsidRDefault="009809E5"/>
  <w:p w:rsidR="009809E5" w:rsidRDefault="009809E5"/>
  <w:p w:rsidR="009809E5" w:rsidRDefault="009809E5"/>
  <w:p w:rsidR="009809E5" w:rsidRDefault="009809E5"/>
  <w:p w:rsidR="009809E5" w:rsidRDefault="009809E5"/>
  <w:p w:rsidR="009809E5" w:rsidRDefault="009809E5"/>
  <w:p w:rsidR="009809E5" w:rsidRDefault="009809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9809E5" w:rsidRPr="009B6F84" w:rsidRDefault="009809E5">
        <w:pPr>
          <w:pStyle w:val="Footer"/>
          <w:rPr>
            <w:sz w:val="20"/>
          </w:rPr>
        </w:pPr>
        <w:r>
          <w:fldChar w:fldCharType="begin"/>
        </w:r>
        <w:r>
          <w:instrText xml:space="preserve"> PAGE   \* MERGEFORMAT </w:instrText>
        </w:r>
        <w:r>
          <w:fldChar w:fldCharType="separate"/>
        </w:r>
        <w:r w:rsidR="0071749E">
          <w:rPr>
            <w:noProof/>
          </w:rPr>
          <w:t>9-0</w:t>
        </w:r>
        <w:r>
          <w:rPr>
            <w:noProof/>
          </w:rPr>
          <w:fldChar w:fldCharType="end"/>
        </w:r>
        <w:r>
          <w:rPr>
            <w:noProof/>
          </w:rPr>
          <w:t xml:space="preserve">          </w:t>
        </w:r>
        <w:r>
          <w:t xml:space="preserve">Attachment 9 </w:t>
        </w:r>
        <w:r w:rsidRPr="000474DF">
          <w:t>−</w:t>
        </w:r>
        <w:r>
          <w:t xml:space="preserve"> Efficiency carryover mechanism</w:t>
        </w:r>
        <w:r w:rsidRPr="009B6F84">
          <w:rPr>
            <w:rFonts w:cs="Gautami"/>
            <w:noProof/>
            <w:szCs w:val="16"/>
          </w:rPr>
          <w:t xml:space="preserve"> | </w:t>
        </w:r>
        <w:r>
          <w:t>Draft decision - AGN Victoria and Albury gas access arrangement</w:t>
        </w:r>
        <w:r w:rsidRPr="00D5015C">
          <w:t xml:space="preserve"> 201</w:t>
        </w:r>
        <w:r>
          <w:t>8</w:t>
        </w:r>
        <w:r w:rsidRPr="00D5015C">
          <w:t>–</w:t>
        </w:r>
        <w:r>
          <w:t>22</w:t>
        </w:r>
      </w:p>
    </w:sdtContent>
  </w:sdt>
  <w:p w:rsidR="009809E5" w:rsidRDefault="009809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E5" w:rsidRPr="00290C63" w:rsidRDefault="009809E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809E5" w:rsidRDefault="009809E5">
    <w:pPr>
      <w:pStyle w:val="Footer"/>
    </w:pPr>
  </w:p>
  <w:p w:rsidR="009809E5" w:rsidRDefault="009809E5"/>
  <w:p w:rsidR="009809E5" w:rsidRDefault="009809E5"/>
  <w:p w:rsidR="009809E5" w:rsidRDefault="009809E5"/>
  <w:p w:rsidR="009809E5" w:rsidRDefault="009809E5"/>
  <w:p w:rsidR="009809E5" w:rsidRDefault="009809E5"/>
  <w:p w:rsidR="009809E5" w:rsidRDefault="009809E5"/>
  <w:p w:rsidR="009809E5" w:rsidRDefault="009809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E5" w:rsidRPr="00290C63" w:rsidRDefault="009809E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809E5" w:rsidRDefault="009809E5"/>
  <w:p w:rsidR="009809E5" w:rsidRDefault="009809E5"/>
  <w:p w:rsidR="009809E5" w:rsidRDefault="009809E5"/>
  <w:p w:rsidR="009809E5" w:rsidRDefault="009809E5"/>
  <w:p w:rsidR="009809E5" w:rsidRDefault="009809E5"/>
  <w:p w:rsidR="009809E5" w:rsidRDefault="009809E5"/>
  <w:p w:rsidR="009809E5" w:rsidRDefault="009809E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9809E5" w:rsidRPr="009B6F84" w:rsidRDefault="009809E5">
        <w:pPr>
          <w:pStyle w:val="Footer"/>
          <w:rPr>
            <w:sz w:val="20"/>
          </w:rPr>
        </w:pPr>
        <w:r>
          <w:fldChar w:fldCharType="begin"/>
        </w:r>
        <w:r>
          <w:instrText xml:space="preserve"> PAGE   \* MERGEFORMAT </w:instrText>
        </w:r>
        <w:r>
          <w:fldChar w:fldCharType="separate"/>
        </w:r>
        <w:r w:rsidR="0071749E">
          <w:rPr>
            <w:noProof/>
          </w:rPr>
          <w:t>9-6</w:t>
        </w:r>
        <w:r>
          <w:rPr>
            <w:noProof/>
          </w:rPr>
          <w:fldChar w:fldCharType="end"/>
        </w:r>
        <w:r>
          <w:rPr>
            <w:noProof/>
          </w:rPr>
          <w:t xml:space="preserve">          </w:t>
        </w:r>
        <w:r>
          <w:t xml:space="preserve">Attachment 9 </w:t>
        </w:r>
        <w:r w:rsidRPr="000474DF">
          <w:t>−</w:t>
        </w:r>
        <w:r>
          <w:t xml:space="preserve"> Efficiency carryover mechanism</w:t>
        </w:r>
        <w:r w:rsidRPr="00D5015C">
          <w:t xml:space="preserve"> | </w:t>
        </w:r>
        <w:r>
          <w:t>Draft decision - AGN Victoria and Albury gas access arrangement</w:t>
        </w:r>
        <w:r w:rsidRPr="00D5015C">
          <w:t xml:space="preserve"> 201</w:t>
        </w:r>
        <w:r>
          <w:t>8</w:t>
        </w:r>
        <w:r w:rsidRPr="00D5015C">
          <w:t>–</w:t>
        </w:r>
        <w:r>
          <w:t>22</w:t>
        </w:r>
      </w:p>
    </w:sdtContent>
  </w:sdt>
  <w:p w:rsidR="009809E5" w:rsidRDefault="009809E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E5" w:rsidRPr="00290C63" w:rsidRDefault="009809E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809E5" w:rsidRDefault="009809E5">
    <w:pPr>
      <w:pStyle w:val="Footer"/>
    </w:pPr>
  </w:p>
  <w:p w:rsidR="009809E5" w:rsidRDefault="009809E5"/>
  <w:p w:rsidR="009809E5" w:rsidRDefault="009809E5"/>
  <w:p w:rsidR="009809E5" w:rsidRDefault="009809E5"/>
  <w:p w:rsidR="009809E5" w:rsidRDefault="009809E5"/>
  <w:p w:rsidR="009809E5" w:rsidRDefault="009809E5"/>
  <w:p w:rsidR="009809E5" w:rsidRDefault="009809E5"/>
  <w:p w:rsidR="009809E5" w:rsidRDefault="009809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9E5" w:rsidRPr="00290C63" w:rsidRDefault="009809E5" w:rsidP="00290C63">
      <w:r>
        <w:separator/>
      </w:r>
    </w:p>
    <w:p w:rsidR="009809E5" w:rsidRDefault="009809E5"/>
  </w:footnote>
  <w:footnote w:type="continuationSeparator" w:id="0">
    <w:p w:rsidR="009809E5" w:rsidRPr="00290C63" w:rsidRDefault="009809E5" w:rsidP="00290C63">
      <w:r>
        <w:continuationSeparator/>
      </w:r>
    </w:p>
    <w:p w:rsidR="009809E5" w:rsidRDefault="009809E5"/>
  </w:footnote>
  <w:footnote w:id="1">
    <w:p w:rsidR="009809E5" w:rsidRDefault="009809E5" w:rsidP="00163AB4">
      <w:pPr>
        <w:pStyle w:val="FootnoteText"/>
      </w:pPr>
      <w:r>
        <w:rPr>
          <w:rStyle w:val="FootnoteReference"/>
        </w:rPr>
        <w:footnoteRef/>
      </w:r>
      <w:r>
        <w:t xml:space="preserve"> </w:t>
      </w:r>
      <w:r>
        <w:tab/>
      </w:r>
      <w:proofErr w:type="gramStart"/>
      <w:r>
        <w:t>AER,</w:t>
      </w:r>
      <w:r w:rsidRPr="000501E8">
        <w:t xml:space="preserve"> </w:t>
      </w:r>
      <w:r w:rsidRPr="002776CB">
        <w:rPr>
          <w:rStyle w:val="AERtextitalic"/>
        </w:rPr>
        <w:t>Efficiency Benefit Sharing Scheme for Electricity Network Service Providers</w:t>
      </w:r>
      <w:r>
        <w:t>, November 2013, pp. 7–9.</w:t>
      </w:r>
      <w:proofErr w:type="gramEnd"/>
    </w:p>
  </w:footnote>
  <w:footnote w:id="2">
    <w:p w:rsidR="009809E5" w:rsidRDefault="009809E5" w:rsidP="00E5084C">
      <w:pPr>
        <w:pStyle w:val="FootnoteText"/>
      </w:pPr>
      <w:r>
        <w:rPr>
          <w:rStyle w:val="FootnoteReference"/>
        </w:rPr>
        <w:footnoteRef/>
      </w:r>
      <w:r>
        <w:t xml:space="preserve"> </w:t>
      </w:r>
      <w:r>
        <w:tab/>
      </w:r>
      <w:r w:rsidRPr="00B96152">
        <w:t xml:space="preserve">AGN, </w:t>
      </w:r>
      <w:r w:rsidRPr="00AD4D1C">
        <w:rPr>
          <w:rStyle w:val="AERtextitalic"/>
        </w:rPr>
        <w:t xml:space="preserve">Access arrangement proposal 2018–22, Attachment 1.5 Victoria RIN – 23.4 Opex incentive </w:t>
      </w:r>
      <w:proofErr w:type="gramStart"/>
      <w:r w:rsidRPr="00AD4D1C">
        <w:rPr>
          <w:rStyle w:val="AERtextitalic"/>
        </w:rPr>
        <w:t>mechanism</w:t>
      </w:r>
      <w:proofErr w:type="gramEnd"/>
      <w:r>
        <w:t>, December 2016</w:t>
      </w:r>
      <w:r w:rsidRPr="00B96152">
        <w:t>.</w:t>
      </w:r>
    </w:p>
  </w:footnote>
  <w:footnote w:id="3">
    <w:p w:rsidR="009809E5" w:rsidRDefault="009809E5" w:rsidP="00C26681">
      <w:pPr>
        <w:pStyle w:val="FootnoteText"/>
      </w:pPr>
      <w:r>
        <w:rPr>
          <w:rStyle w:val="FootnoteReference"/>
        </w:rPr>
        <w:footnoteRef/>
      </w:r>
      <w:r>
        <w:t xml:space="preserve"> </w:t>
      </w:r>
      <w:r>
        <w:tab/>
      </w:r>
      <w:r w:rsidRPr="00B96152">
        <w:t xml:space="preserve">AGN, </w:t>
      </w:r>
      <w:r w:rsidRPr="00AD4D1C">
        <w:rPr>
          <w:rStyle w:val="AERtextitalic"/>
        </w:rPr>
        <w:t>Access arrangement proposal 2018–22, Attachment 1.</w:t>
      </w:r>
      <w:r>
        <w:rPr>
          <w:rStyle w:val="AERtextitalic"/>
        </w:rPr>
        <w:t>6 Albury</w:t>
      </w:r>
      <w:r w:rsidRPr="00AD4D1C">
        <w:rPr>
          <w:rStyle w:val="AERtextitalic"/>
        </w:rPr>
        <w:t xml:space="preserve"> RIN – 23.4 Opex incentive </w:t>
      </w:r>
      <w:proofErr w:type="gramStart"/>
      <w:r w:rsidRPr="00AD4D1C">
        <w:rPr>
          <w:rStyle w:val="AERtextitalic"/>
        </w:rPr>
        <w:t>mechanism</w:t>
      </w:r>
      <w:proofErr w:type="gramEnd"/>
      <w:r>
        <w:t>, December 2016</w:t>
      </w:r>
      <w:r w:rsidRPr="00B96152">
        <w:t>.</w:t>
      </w:r>
    </w:p>
  </w:footnote>
  <w:footnote w:id="4">
    <w:p w:rsidR="009809E5" w:rsidRDefault="009809E5" w:rsidP="00506175">
      <w:pPr>
        <w:pStyle w:val="FootnoteText"/>
      </w:pPr>
      <w:r>
        <w:rPr>
          <w:rStyle w:val="FootnoteReference"/>
        </w:rPr>
        <w:footnoteRef/>
      </w:r>
      <w:r>
        <w:t xml:space="preserve"> </w:t>
      </w:r>
      <w:r>
        <w:tab/>
      </w:r>
      <w:r w:rsidRPr="00B96152">
        <w:t xml:space="preserve">AGN, </w:t>
      </w:r>
      <w:r w:rsidRPr="00AD4D1C">
        <w:rPr>
          <w:rStyle w:val="AERtextitalic"/>
        </w:rPr>
        <w:t xml:space="preserve">Access arrangement proposal 2018–22, Attachment 1.5 Victoria RIN – 23.4 Opex incentive </w:t>
      </w:r>
      <w:proofErr w:type="gramStart"/>
      <w:r w:rsidRPr="00AD4D1C">
        <w:rPr>
          <w:rStyle w:val="AERtextitalic"/>
        </w:rPr>
        <w:t>mechanism</w:t>
      </w:r>
      <w:proofErr w:type="gramEnd"/>
      <w:r>
        <w:t>, December 2016</w:t>
      </w:r>
      <w:r w:rsidRPr="00B96152">
        <w:t>.</w:t>
      </w:r>
    </w:p>
  </w:footnote>
  <w:footnote w:id="5">
    <w:p w:rsidR="009809E5" w:rsidRDefault="009809E5" w:rsidP="00E5084C">
      <w:pPr>
        <w:pStyle w:val="FootnoteText"/>
      </w:pPr>
      <w:r>
        <w:rPr>
          <w:rStyle w:val="FootnoteReference"/>
        </w:rPr>
        <w:footnoteRef/>
      </w:r>
      <w:r>
        <w:t xml:space="preserve"> </w:t>
      </w:r>
      <w:r>
        <w:tab/>
        <w:t xml:space="preserve">AGN, </w:t>
      </w:r>
      <w:r>
        <w:rPr>
          <w:rStyle w:val="AERtextitalic"/>
        </w:rPr>
        <w:t>Access arrangement</w:t>
      </w:r>
      <w:r w:rsidRPr="00FE6880">
        <w:rPr>
          <w:rStyle w:val="AERtextitalic"/>
        </w:rPr>
        <w:t xml:space="preserve"> </w:t>
      </w:r>
      <w:r>
        <w:rPr>
          <w:rStyle w:val="AERtextitalic"/>
        </w:rPr>
        <w:t xml:space="preserve">for our Victorian and Albury natural gas distribution networks 1 January 2018 to 31 December 2022 </w:t>
      </w:r>
      <w:r w:rsidRPr="00D91E8F">
        <w:rPr>
          <w:rStyle w:val="AERtextsize8"/>
        </w:rPr>
        <w:t>(proposed access arrangement)</w:t>
      </w:r>
      <w:r>
        <w:t>, December 2016, p. 23.</w:t>
      </w:r>
    </w:p>
  </w:footnote>
  <w:footnote w:id="6">
    <w:p w:rsidR="009809E5" w:rsidRDefault="009809E5" w:rsidP="00E5084C">
      <w:pPr>
        <w:pStyle w:val="FootnoteText"/>
      </w:pPr>
      <w:r>
        <w:rPr>
          <w:rStyle w:val="FootnoteReference"/>
        </w:rPr>
        <w:footnoteRef/>
      </w:r>
      <w:r>
        <w:t xml:space="preserve"> </w:t>
      </w:r>
      <w:r>
        <w:tab/>
      </w:r>
      <w:proofErr w:type="gramStart"/>
      <w:r>
        <w:t>NGR, r. 98(1).</w:t>
      </w:r>
      <w:proofErr w:type="gramEnd"/>
    </w:p>
  </w:footnote>
  <w:footnote w:id="7">
    <w:p w:rsidR="009809E5" w:rsidRDefault="009809E5" w:rsidP="00E5084C">
      <w:pPr>
        <w:pStyle w:val="FootnoteText"/>
      </w:pPr>
      <w:r>
        <w:rPr>
          <w:rStyle w:val="FootnoteReference"/>
        </w:rPr>
        <w:footnoteRef/>
      </w:r>
      <w:r>
        <w:t xml:space="preserve"> </w:t>
      </w:r>
      <w:r>
        <w:tab/>
      </w:r>
      <w:proofErr w:type="gramStart"/>
      <w:r>
        <w:t>NGR, r. 98(3).</w:t>
      </w:r>
      <w:proofErr w:type="gramEnd"/>
    </w:p>
  </w:footnote>
  <w:footnote w:id="8">
    <w:p w:rsidR="009809E5" w:rsidRDefault="009809E5" w:rsidP="00E5084C">
      <w:pPr>
        <w:pStyle w:val="FootnoteText"/>
      </w:pPr>
      <w:r>
        <w:rPr>
          <w:rStyle w:val="FootnoteReference"/>
        </w:rPr>
        <w:footnoteRef/>
      </w:r>
      <w:r>
        <w:t xml:space="preserve"> </w:t>
      </w:r>
      <w:r>
        <w:tab/>
      </w:r>
      <w:proofErr w:type="gramStart"/>
      <w:r>
        <w:t>NGL, s. 24(3).</w:t>
      </w:r>
      <w:proofErr w:type="gramEnd"/>
    </w:p>
  </w:footnote>
  <w:footnote w:id="9">
    <w:p w:rsidR="009809E5" w:rsidRDefault="009809E5" w:rsidP="00E5084C">
      <w:pPr>
        <w:pStyle w:val="FootnoteText"/>
      </w:pPr>
      <w:r>
        <w:rPr>
          <w:rStyle w:val="FootnoteReference"/>
        </w:rPr>
        <w:footnoteRef/>
      </w:r>
      <w:r>
        <w:t xml:space="preserve"> </w:t>
      </w:r>
      <w:r>
        <w:tab/>
      </w:r>
      <w:proofErr w:type="gramStart"/>
      <w:r>
        <w:t>NGR, r. 40(3).</w:t>
      </w:r>
      <w:proofErr w:type="gramEnd"/>
    </w:p>
  </w:footnote>
  <w:footnote w:id="10">
    <w:p w:rsidR="009809E5" w:rsidRDefault="009809E5">
      <w:pPr>
        <w:pStyle w:val="FootnoteText"/>
      </w:pPr>
      <w:r>
        <w:rPr>
          <w:rStyle w:val="FootnoteReference"/>
        </w:rPr>
        <w:footnoteRef/>
      </w:r>
      <w:r>
        <w:t xml:space="preserve"> </w:t>
      </w:r>
      <w:r>
        <w:tab/>
      </w:r>
      <w:r w:rsidRPr="00FE2D83">
        <w:t xml:space="preserve">AER, </w:t>
      </w:r>
      <w:r w:rsidRPr="0064687C">
        <w:rPr>
          <w:rStyle w:val="AERtextitalic"/>
        </w:rPr>
        <w:t xml:space="preserve">Access arrangement for </w:t>
      </w:r>
      <w:proofErr w:type="spellStart"/>
      <w:r w:rsidRPr="0064687C">
        <w:rPr>
          <w:rStyle w:val="AERtextitalic"/>
        </w:rPr>
        <w:t>Envestra’s</w:t>
      </w:r>
      <w:proofErr w:type="spellEnd"/>
      <w:r w:rsidRPr="0064687C">
        <w:rPr>
          <w:rStyle w:val="AERtextitalic"/>
        </w:rPr>
        <w:t xml:space="preserve"> Victorian gas distribution system 2013 – 2017,</w:t>
      </w:r>
      <w:r w:rsidRPr="00FE2D83">
        <w:t xml:space="preserve"> April 2013, p. 17, clause 4.13(11</w:t>
      </w:r>
      <w:proofErr w:type="gramStart"/>
      <w:r w:rsidRPr="00FE2D83">
        <w:t>)(</w:t>
      </w:r>
      <w:proofErr w:type="gramEnd"/>
      <w:r w:rsidRPr="00FE2D83">
        <w:t>b).</w:t>
      </w:r>
    </w:p>
  </w:footnote>
  <w:footnote w:id="11">
    <w:p w:rsidR="009809E5" w:rsidRDefault="009809E5" w:rsidP="003F1B4B">
      <w:pPr>
        <w:pStyle w:val="FootnoteText"/>
      </w:pPr>
      <w:r>
        <w:rPr>
          <w:rStyle w:val="FootnoteReference"/>
        </w:rPr>
        <w:footnoteRef/>
      </w:r>
      <w:r>
        <w:t xml:space="preserve"> </w:t>
      </w:r>
      <w:r>
        <w:tab/>
      </w:r>
      <w:proofErr w:type="gramStart"/>
      <w:r>
        <w:t xml:space="preserve">AER, </w:t>
      </w:r>
      <w:r w:rsidRPr="00893881">
        <w:rPr>
          <w:rStyle w:val="AERtextitalic"/>
        </w:rPr>
        <w:t xml:space="preserve">Access arrangement for </w:t>
      </w:r>
      <w:proofErr w:type="spellStart"/>
      <w:r w:rsidRPr="00893881">
        <w:rPr>
          <w:rStyle w:val="AERtextitalic"/>
        </w:rPr>
        <w:t>Envestra’s</w:t>
      </w:r>
      <w:proofErr w:type="spellEnd"/>
      <w:r w:rsidRPr="00893881">
        <w:rPr>
          <w:rStyle w:val="AERtextitalic"/>
        </w:rPr>
        <w:t xml:space="preserve"> Victorian gas distribution system 2013 – 2017</w:t>
      </w:r>
      <w:r>
        <w:t xml:space="preserve">, </w:t>
      </w:r>
      <w:r w:rsidRPr="003F1B4B">
        <w:t>April 2013</w:t>
      </w:r>
      <w:r>
        <w:t>, p. 17.</w:t>
      </w:r>
      <w:proofErr w:type="gramEnd"/>
    </w:p>
  </w:footnote>
  <w:footnote w:id="12">
    <w:p w:rsidR="009809E5" w:rsidRDefault="009809E5" w:rsidP="009F6389">
      <w:pPr>
        <w:pStyle w:val="FootnoteText"/>
      </w:pPr>
      <w:r>
        <w:rPr>
          <w:rStyle w:val="FootnoteReference"/>
        </w:rPr>
        <w:footnoteRef/>
      </w:r>
      <w:r>
        <w:t xml:space="preserve"> </w:t>
      </w:r>
      <w:r>
        <w:tab/>
        <w:t>AER,</w:t>
      </w:r>
      <w:r w:rsidRPr="000501E8">
        <w:t xml:space="preserve"> </w:t>
      </w:r>
      <w:r w:rsidRPr="002776CB">
        <w:rPr>
          <w:rStyle w:val="AERtextitalic"/>
        </w:rPr>
        <w:t>Efficiency Benefit Sharing Scheme for Electricity Network Service Providers</w:t>
      </w:r>
      <w:r>
        <w:t>, November 2013.</w:t>
      </w:r>
    </w:p>
  </w:footnote>
  <w:footnote w:id="13">
    <w:p w:rsidR="009809E5" w:rsidRDefault="009809E5">
      <w:pPr>
        <w:pStyle w:val="FootnoteText"/>
      </w:pPr>
      <w:r>
        <w:rPr>
          <w:rStyle w:val="FootnoteReference"/>
        </w:rPr>
        <w:footnoteRef/>
      </w:r>
      <w:r>
        <w:t xml:space="preserve"> </w:t>
      </w:r>
      <w:r>
        <w:tab/>
        <w:t>AER,</w:t>
      </w:r>
      <w:r w:rsidRPr="000501E8">
        <w:t xml:space="preserve"> </w:t>
      </w:r>
      <w:r w:rsidRPr="002776CB">
        <w:rPr>
          <w:rStyle w:val="AERtextitalic"/>
        </w:rPr>
        <w:t>Efficiency Benefit Sharing Scheme for Electricity Network Service Providers</w:t>
      </w:r>
      <w:r>
        <w:t>, November 2013.</w:t>
      </w:r>
    </w:p>
  </w:footnote>
  <w:footnote w:id="14">
    <w:p w:rsidR="009809E5" w:rsidRDefault="009809E5" w:rsidP="00D24B9C">
      <w:pPr>
        <w:pStyle w:val="FootnoteText"/>
      </w:pPr>
      <w:r>
        <w:rPr>
          <w:rStyle w:val="FootnoteReference"/>
        </w:rPr>
        <w:footnoteRef/>
      </w:r>
      <w:r>
        <w:t xml:space="preserve"> </w:t>
      </w:r>
      <w:r>
        <w:tab/>
        <w:t xml:space="preserve">AGN, </w:t>
      </w:r>
      <w:r>
        <w:rPr>
          <w:rStyle w:val="AERtextitalic"/>
        </w:rPr>
        <w:t>Access arrangement</w:t>
      </w:r>
      <w:r w:rsidRPr="00FE6880">
        <w:rPr>
          <w:rStyle w:val="AERtextitalic"/>
        </w:rPr>
        <w:t xml:space="preserve"> </w:t>
      </w:r>
      <w:r>
        <w:rPr>
          <w:rStyle w:val="AERtextitalic"/>
        </w:rPr>
        <w:t xml:space="preserve">for our Victorian and Albury natural gas distribution networks 1 January 2018 to 31 December 2022 </w:t>
      </w:r>
      <w:r w:rsidRPr="00D91E8F">
        <w:rPr>
          <w:rStyle w:val="AERtextsize8"/>
        </w:rPr>
        <w:t>(proposed access arrangement)</w:t>
      </w:r>
      <w:r>
        <w:t>, December 2016, p. 21, clause 5.1(c).</w:t>
      </w:r>
    </w:p>
  </w:footnote>
  <w:footnote w:id="15">
    <w:p w:rsidR="009809E5" w:rsidRDefault="009809E5" w:rsidP="00D24B9C">
      <w:pPr>
        <w:pStyle w:val="FootnoteText"/>
      </w:pPr>
      <w:r>
        <w:rPr>
          <w:rStyle w:val="FootnoteReference"/>
        </w:rPr>
        <w:footnoteRef/>
      </w:r>
      <w:r>
        <w:t xml:space="preserve"> </w:t>
      </w:r>
      <w:r>
        <w:tab/>
        <w:t xml:space="preserve">AER, </w:t>
      </w:r>
      <w:r>
        <w:rPr>
          <w:rStyle w:val="AERtextitalic"/>
        </w:rPr>
        <w:t>Efficiency</w:t>
      </w:r>
      <w:r w:rsidRPr="00A049C4">
        <w:rPr>
          <w:rStyle w:val="AERtextitalic"/>
        </w:rPr>
        <w:t xml:space="preserve"> Benefit Sharing Scheme for Electricity Network Service Providers</w:t>
      </w:r>
      <w:r>
        <w:t>, November 2013.</w:t>
      </w:r>
    </w:p>
  </w:footnote>
  <w:footnote w:id="16">
    <w:p w:rsidR="009809E5" w:rsidRDefault="009809E5" w:rsidP="0011580A">
      <w:pPr>
        <w:pStyle w:val="FootnoteText"/>
      </w:pPr>
      <w:r>
        <w:rPr>
          <w:rStyle w:val="FootnoteReference"/>
        </w:rPr>
        <w:footnoteRef/>
      </w:r>
      <w:r>
        <w:t xml:space="preserve"> </w:t>
      </w:r>
      <w:r>
        <w:tab/>
      </w:r>
      <w:proofErr w:type="gramStart"/>
      <w:r>
        <w:t xml:space="preserve">AER, </w:t>
      </w:r>
      <w:r w:rsidRPr="00893881">
        <w:rPr>
          <w:rStyle w:val="AERtextitalic"/>
        </w:rPr>
        <w:t xml:space="preserve">Access arrangement for </w:t>
      </w:r>
      <w:proofErr w:type="spellStart"/>
      <w:r w:rsidRPr="00893881">
        <w:rPr>
          <w:rStyle w:val="AERtextitalic"/>
        </w:rPr>
        <w:t>Envestra’s</w:t>
      </w:r>
      <w:proofErr w:type="spellEnd"/>
      <w:r w:rsidRPr="00893881">
        <w:rPr>
          <w:rStyle w:val="AERtextitalic"/>
        </w:rPr>
        <w:t xml:space="preserve"> Victorian gas distribution system 2013 – 2017</w:t>
      </w:r>
      <w:r>
        <w:t xml:space="preserve">, </w:t>
      </w:r>
      <w:r w:rsidRPr="003F1B4B">
        <w:t>April 2013</w:t>
      </w:r>
      <w:r>
        <w:t>, pp.37–38.</w:t>
      </w:r>
      <w:proofErr w:type="gramEnd"/>
    </w:p>
  </w:footnote>
  <w:footnote w:id="17">
    <w:p w:rsidR="009809E5" w:rsidRDefault="009809E5" w:rsidP="0011580A">
      <w:pPr>
        <w:pStyle w:val="FootnoteText"/>
      </w:pPr>
      <w:r>
        <w:rPr>
          <w:rStyle w:val="FootnoteReference"/>
        </w:rPr>
        <w:footnoteRef/>
      </w:r>
      <w:r>
        <w:t xml:space="preserve"> </w:t>
      </w:r>
      <w:r>
        <w:tab/>
        <w:t xml:space="preserve">AGN, </w:t>
      </w:r>
      <w:r w:rsidRPr="002D7E15">
        <w:rPr>
          <w:rStyle w:val="AERtextitalic"/>
        </w:rPr>
        <w:t>Final Plan Access Arrangement Information for our Victorian and Albury natural gas distribution networks: 2018 to 2022</w:t>
      </w:r>
      <w:r>
        <w:t>, December 2016, p.172.</w:t>
      </w:r>
    </w:p>
  </w:footnote>
  <w:footnote w:id="18">
    <w:p w:rsidR="009809E5" w:rsidRDefault="009809E5">
      <w:pPr>
        <w:pStyle w:val="FootnoteText"/>
      </w:pPr>
      <w:r>
        <w:rPr>
          <w:rStyle w:val="FootnoteReference"/>
        </w:rPr>
        <w:footnoteRef/>
      </w:r>
      <w:r>
        <w:t xml:space="preserve"> </w:t>
      </w:r>
      <w:r>
        <w:tab/>
        <w:t>We discuss applying a capital expenditure incentive scheme in attachment 14 of this draft decision.</w:t>
      </w:r>
    </w:p>
  </w:footnote>
  <w:footnote w:id="19">
    <w:p w:rsidR="009809E5" w:rsidRDefault="009809E5" w:rsidP="0011580A">
      <w:pPr>
        <w:pStyle w:val="FootnoteText"/>
      </w:pPr>
      <w:r>
        <w:rPr>
          <w:rStyle w:val="FootnoteReference"/>
        </w:rPr>
        <w:footnoteRef/>
      </w:r>
      <w:r>
        <w:t xml:space="preserve"> </w:t>
      </w:r>
      <w:r>
        <w:tab/>
      </w:r>
      <w:proofErr w:type="gramStart"/>
      <w:r>
        <w:t>NGL, s. 24(3).</w:t>
      </w:r>
      <w:proofErr w:type="gramEnd"/>
    </w:p>
  </w:footnote>
  <w:footnote w:id="20">
    <w:p w:rsidR="009809E5" w:rsidRDefault="009809E5" w:rsidP="0011580A">
      <w:pPr>
        <w:pStyle w:val="FootnoteText"/>
      </w:pPr>
      <w:r>
        <w:rPr>
          <w:rStyle w:val="FootnoteReference"/>
        </w:rPr>
        <w:footnoteRef/>
      </w:r>
      <w:r>
        <w:t xml:space="preserve"> </w:t>
      </w:r>
      <w:r>
        <w:tab/>
      </w:r>
      <w:proofErr w:type="gramStart"/>
      <w:r>
        <w:t>NGR, r. 98(3).</w:t>
      </w:r>
      <w:proofErr w:type="gramEnd"/>
    </w:p>
  </w:footnote>
  <w:footnote w:id="21">
    <w:p w:rsidR="009809E5" w:rsidRDefault="009809E5">
      <w:pPr>
        <w:pStyle w:val="FootnoteText"/>
      </w:pPr>
      <w:r>
        <w:rPr>
          <w:rStyle w:val="FootnoteReference"/>
        </w:rPr>
        <w:footnoteRef/>
      </w:r>
      <w:r>
        <w:t xml:space="preserve"> </w:t>
      </w:r>
      <w:r>
        <w:tab/>
      </w:r>
      <w:r w:rsidRPr="00440D68">
        <w:t xml:space="preserve">AGN, Access arrangement for our Victorian and Albury natural gas distribution networks 1 January 2018 to 31 December 2022 (proposed access arrangement), December 2016, p. </w:t>
      </w:r>
      <w:r>
        <w:t>18</w:t>
      </w:r>
      <w:r w:rsidRPr="00440D68">
        <w:t>, clause</w:t>
      </w:r>
      <w:r>
        <w:t xml:space="preserve"> 4.7.3</w:t>
      </w:r>
      <w:r w:rsidRPr="00860F3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E5" w:rsidRDefault="00980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E12AA250"/>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1E620726"/>
    <w:lvl w:ilvl="0" w:tplc="C846CA5C">
      <w:start w:val="1"/>
      <w:numFmt w:val="lowerRoman"/>
      <w:pStyle w:val="AERnumberedlistthirdstyle"/>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num>
  <w:num w:numId="38">
    <w:abstractNumId w:val="28"/>
    <w:lvlOverride w:ilvl="0">
      <w:startOverride w:val="1"/>
    </w:lvlOverride>
  </w:num>
  <w:num w:numId="39">
    <w:abstractNumId w:val="2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dn8tM22K0Yi+KiimJu48DEN51tCngZ0Lsb6BSgCf1iQ=" w:saltValue="Qot4SugORsMOfFKXpOUVtg==" w:algorithmName="SHA-256"/>
  <w:defaultTabStop w:val="340"/>
  <w:characterSpacingControl w:val="doNotCompress"/>
  <w:hdrShapeDefaults>
    <o:shapedefaults v:ext="edit" spidmax="2539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592\D16 9526  AER - Draft decision ElectraNet transmission determination - Attachment 1 - Maximum allowed revenue.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2C50"/>
    <w:rsid w:val="00055A67"/>
    <w:rsid w:val="00062757"/>
    <w:rsid w:val="00063247"/>
    <w:rsid w:val="0006624E"/>
    <w:rsid w:val="00070F9F"/>
    <w:rsid w:val="0007137B"/>
    <w:rsid w:val="00073B74"/>
    <w:rsid w:val="00076416"/>
    <w:rsid w:val="000805A8"/>
    <w:rsid w:val="0008190B"/>
    <w:rsid w:val="000827E2"/>
    <w:rsid w:val="000836D9"/>
    <w:rsid w:val="00085663"/>
    <w:rsid w:val="00085EBF"/>
    <w:rsid w:val="00091B15"/>
    <w:rsid w:val="00095186"/>
    <w:rsid w:val="0009634B"/>
    <w:rsid w:val="000A0E71"/>
    <w:rsid w:val="000A1C0C"/>
    <w:rsid w:val="000A3020"/>
    <w:rsid w:val="000A4840"/>
    <w:rsid w:val="000A62C1"/>
    <w:rsid w:val="000A6A79"/>
    <w:rsid w:val="000A6C7B"/>
    <w:rsid w:val="000B0A7B"/>
    <w:rsid w:val="000B1173"/>
    <w:rsid w:val="000B5827"/>
    <w:rsid w:val="000B62DC"/>
    <w:rsid w:val="000B7037"/>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2684"/>
    <w:rsid w:val="00112E3E"/>
    <w:rsid w:val="00115743"/>
    <w:rsid w:val="0011580A"/>
    <w:rsid w:val="00116EB2"/>
    <w:rsid w:val="0012132C"/>
    <w:rsid w:val="0012167F"/>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3AB4"/>
    <w:rsid w:val="00166760"/>
    <w:rsid w:val="0017232E"/>
    <w:rsid w:val="00174102"/>
    <w:rsid w:val="001754EE"/>
    <w:rsid w:val="00176B6D"/>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8E2"/>
    <w:rsid w:val="00194E00"/>
    <w:rsid w:val="0019745E"/>
    <w:rsid w:val="00197B16"/>
    <w:rsid w:val="001A27FB"/>
    <w:rsid w:val="001A530D"/>
    <w:rsid w:val="001A5FB3"/>
    <w:rsid w:val="001A7155"/>
    <w:rsid w:val="001B45A0"/>
    <w:rsid w:val="001B680E"/>
    <w:rsid w:val="001C3548"/>
    <w:rsid w:val="001D055E"/>
    <w:rsid w:val="001D7C82"/>
    <w:rsid w:val="001E1B3F"/>
    <w:rsid w:val="001E7161"/>
    <w:rsid w:val="001F05A4"/>
    <w:rsid w:val="001F3D4A"/>
    <w:rsid w:val="001F492E"/>
    <w:rsid w:val="001F64EF"/>
    <w:rsid w:val="001F6DA3"/>
    <w:rsid w:val="002010BC"/>
    <w:rsid w:val="002016E7"/>
    <w:rsid w:val="00202E03"/>
    <w:rsid w:val="002033B9"/>
    <w:rsid w:val="002043D0"/>
    <w:rsid w:val="0020492C"/>
    <w:rsid w:val="00204D38"/>
    <w:rsid w:val="00204EC9"/>
    <w:rsid w:val="00206505"/>
    <w:rsid w:val="0020743F"/>
    <w:rsid w:val="00216C93"/>
    <w:rsid w:val="00220D9E"/>
    <w:rsid w:val="00223051"/>
    <w:rsid w:val="00224DB9"/>
    <w:rsid w:val="0022569A"/>
    <w:rsid w:val="0023005C"/>
    <w:rsid w:val="00231012"/>
    <w:rsid w:val="00231C0B"/>
    <w:rsid w:val="00233775"/>
    <w:rsid w:val="0023414B"/>
    <w:rsid w:val="002435ED"/>
    <w:rsid w:val="00243635"/>
    <w:rsid w:val="00247079"/>
    <w:rsid w:val="00251745"/>
    <w:rsid w:val="0025187B"/>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B3128"/>
    <w:rsid w:val="002C0222"/>
    <w:rsid w:val="002C1499"/>
    <w:rsid w:val="002C233C"/>
    <w:rsid w:val="002C517B"/>
    <w:rsid w:val="002D3509"/>
    <w:rsid w:val="002D5457"/>
    <w:rsid w:val="002D72E8"/>
    <w:rsid w:val="002D79AD"/>
    <w:rsid w:val="002E268F"/>
    <w:rsid w:val="002E5690"/>
    <w:rsid w:val="002E78DD"/>
    <w:rsid w:val="002E7B22"/>
    <w:rsid w:val="002F01DE"/>
    <w:rsid w:val="002F042C"/>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3B4E"/>
    <w:rsid w:val="00334C8D"/>
    <w:rsid w:val="003378BD"/>
    <w:rsid w:val="003424EA"/>
    <w:rsid w:val="00342C2F"/>
    <w:rsid w:val="003436EB"/>
    <w:rsid w:val="00343A18"/>
    <w:rsid w:val="00345744"/>
    <w:rsid w:val="0035104F"/>
    <w:rsid w:val="003518B3"/>
    <w:rsid w:val="00353E79"/>
    <w:rsid w:val="00364EA0"/>
    <w:rsid w:val="00366981"/>
    <w:rsid w:val="00370678"/>
    <w:rsid w:val="0037214E"/>
    <w:rsid w:val="00372C85"/>
    <w:rsid w:val="00373845"/>
    <w:rsid w:val="003744B7"/>
    <w:rsid w:val="003744E3"/>
    <w:rsid w:val="00375F71"/>
    <w:rsid w:val="00376219"/>
    <w:rsid w:val="0037663E"/>
    <w:rsid w:val="0037699E"/>
    <w:rsid w:val="00377A29"/>
    <w:rsid w:val="00377C69"/>
    <w:rsid w:val="00381A82"/>
    <w:rsid w:val="0038415D"/>
    <w:rsid w:val="0038461C"/>
    <w:rsid w:val="003846F1"/>
    <w:rsid w:val="00386FEB"/>
    <w:rsid w:val="00390E6A"/>
    <w:rsid w:val="00393ABE"/>
    <w:rsid w:val="00395DB6"/>
    <w:rsid w:val="00397398"/>
    <w:rsid w:val="00397714"/>
    <w:rsid w:val="003A371A"/>
    <w:rsid w:val="003A59CD"/>
    <w:rsid w:val="003A6B00"/>
    <w:rsid w:val="003B23FA"/>
    <w:rsid w:val="003B2D42"/>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5973"/>
    <w:rsid w:val="003E7FE9"/>
    <w:rsid w:val="003F07D4"/>
    <w:rsid w:val="003F174D"/>
    <w:rsid w:val="003F1B4B"/>
    <w:rsid w:val="003F2329"/>
    <w:rsid w:val="003F3CE4"/>
    <w:rsid w:val="00400FD2"/>
    <w:rsid w:val="00402FAB"/>
    <w:rsid w:val="00403711"/>
    <w:rsid w:val="00404C52"/>
    <w:rsid w:val="004077C6"/>
    <w:rsid w:val="004156D5"/>
    <w:rsid w:val="00415BA9"/>
    <w:rsid w:val="00415F31"/>
    <w:rsid w:val="0041691D"/>
    <w:rsid w:val="0042000C"/>
    <w:rsid w:val="0042090E"/>
    <w:rsid w:val="00421F27"/>
    <w:rsid w:val="004238D8"/>
    <w:rsid w:val="00423A77"/>
    <w:rsid w:val="00424EAE"/>
    <w:rsid w:val="004324F4"/>
    <w:rsid w:val="00433936"/>
    <w:rsid w:val="00434544"/>
    <w:rsid w:val="00440D68"/>
    <w:rsid w:val="00445D43"/>
    <w:rsid w:val="00446CD2"/>
    <w:rsid w:val="0045777E"/>
    <w:rsid w:val="00465258"/>
    <w:rsid w:val="00471BC6"/>
    <w:rsid w:val="00476221"/>
    <w:rsid w:val="004766F5"/>
    <w:rsid w:val="00480B4B"/>
    <w:rsid w:val="004838D8"/>
    <w:rsid w:val="00485DC4"/>
    <w:rsid w:val="00494D04"/>
    <w:rsid w:val="004A40BA"/>
    <w:rsid w:val="004A43D1"/>
    <w:rsid w:val="004A492B"/>
    <w:rsid w:val="004B4412"/>
    <w:rsid w:val="004C17FA"/>
    <w:rsid w:val="004C348C"/>
    <w:rsid w:val="004C462E"/>
    <w:rsid w:val="004C6CA3"/>
    <w:rsid w:val="004C7F5E"/>
    <w:rsid w:val="004D343C"/>
    <w:rsid w:val="004D372A"/>
    <w:rsid w:val="004D55BA"/>
    <w:rsid w:val="004D720C"/>
    <w:rsid w:val="004E0FA7"/>
    <w:rsid w:val="004E22EC"/>
    <w:rsid w:val="004F0BFA"/>
    <w:rsid w:val="004F13DA"/>
    <w:rsid w:val="004F3779"/>
    <w:rsid w:val="004F4D69"/>
    <w:rsid w:val="004F6883"/>
    <w:rsid w:val="004F6A0E"/>
    <w:rsid w:val="004F6BB3"/>
    <w:rsid w:val="005009CD"/>
    <w:rsid w:val="00504E5F"/>
    <w:rsid w:val="00505BBC"/>
    <w:rsid w:val="00506175"/>
    <w:rsid w:val="0051337E"/>
    <w:rsid w:val="00513FA7"/>
    <w:rsid w:val="0051768F"/>
    <w:rsid w:val="00522DC2"/>
    <w:rsid w:val="005276C5"/>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5C36"/>
    <w:rsid w:val="00577716"/>
    <w:rsid w:val="00577A09"/>
    <w:rsid w:val="005829C2"/>
    <w:rsid w:val="00584D8F"/>
    <w:rsid w:val="00586F6E"/>
    <w:rsid w:val="00587A18"/>
    <w:rsid w:val="00587ADE"/>
    <w:rsid w:val="0059251F"/>
    <w:rsid w:val="005A0BEC"/>
    <w:rsid w:val="005A404D"/>
    <w:rsid w:val="005B0EE5"/>
    <w:rsid w:val="005B1E3C"/>
    <w:rsid w:val="005B36AF"/>
    <w:rsid w:val="005B6518"/>
    <w:rsid w:val="005B69D6"/>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387E"/>
    <w:rsid w:val="005F5ED6"/>
    <w:rsid w:val="00601E0B"/>
    <w:rsid w:val="0060258B"/>
    <w:rsid w:val="00610EF9"/>
    <w:rsid w:val="00612F4F"/>
    <w:rsid w:val="00614EA0"/>
    <w:rsid w:val="00615C6B"/>
    <w:rsid w:val="00617D4C"/>
    <w:rsid w:val="00621DCE"/>
    <w:rsid w:val="00621FC5"/>
    <w:rsid w:val="00624F2C"/>
    <w:rsid w:val="00632D6D"/>
    <w:rsid w:val="00633CE6"/>
    <w:rsid w:val="00636569"/>
    <w:rsid w:val="00636EF9"/>
    <w:rsid w:val="00642C3E"/>
    <w:rsid w:val="00644A01"/>
    <w:rsid w:val="0064687C"/>
    <w:rsid w:val="00647E22"/>
    <w:rsid w:val="00651E2D"/>
    <w:rsid w:val="00652324"/>
    <w:rsid w:val="006577FB"/>
    <w:rsid w:val="0066104A"/>
    <w:rsid w:val="00663066"/>
    <w:rsid w:val="00663DAD"/>
    <w:rsid w:val="00664206"/>
    <w:rsid w:val="006649E7"/>
    <w:rsid w:val="00666634"/>
    <w:rsid w:val="00671692"/>
    <w:rsid w:val="00675E20"/>
    <w:rsid w:val="00676679"/>
    <w:rsid w:val="006779F1"/>
    <w:rsid w:val="00683C89"/>
    <w:rsid w:val="00691B53"/>
    <w:rsid w:val="00697B81"/>
    <w:rsid w:val="00697D0B"/>
    <w:rsid w:val="006A12BA"/>
    <w:rsid w:val="006A4739"/>
    <w:rsid w:val="006A63C9"/>
    <w:rsid w:val="006A66A1"/>
    <w:rsid w:val="006B032D"/>
    <w:rsid w:val="006B1B3B"/>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1749E"/>
    <w:rsid w:val="00722132"/>
    <w:rsid w:val="007228F7"/>
    <w:rsid w:val="0072348C"/>
    <w:rsid w:val="00723FBB"/>
    <w:rsid w:val="00724A37"/>
    <w:rsid w:val="007303C3"/>
    <w:rsid w:val="00731188"/>
    <w:rsid w:val="007356CC"/>
    <w:rsid w:val="007368E6"/>
    <w:rsid w:val="007375DF"/>
    <w:rsid w:val="007429BE"/>
    <w:rsid w:val="00743223"/>
    <w:rsid w:val="00743349"/>
    <w:rsid w:val="0074403A"/>
    <w:rsid w:val="00746E01"/>
    <w:rsid w:val="00747459"/>
    <w:rsid w:val="00751DCD"/>
    <w:rsid w:val="0075482C"/>
    <w:rsid w:val="00755084"/>
    <w:rsid w:val="00757364"/>
    <w:rsid w:val="00757BDF"/>
    <w:rsid w:val="007609D0"/>
    <w:rsid w:val="00761454"/>
    <w:rsid w:val="0076193D"/>
    <w:rsid w:val="00763E5D"/>
    <w:rsid w:val="00767740"/>
    <w:rsid w:val="00767B5E"/>
    <w:rsid w:val="00775460"/>
    <w:rsid w:val="00777EE6"/>
    <w:rsid w:val="00782EEA"/>
    <w:rsid w:val="007909B4"/>
    <w:rsid w:val="00790E86"/>
    <w:rsid w:val="007949D7"/>
    <w:rsid w:val="007A0143"/>
    <w:rsid w:val="007A31B8"/>
    <w:rsid w:val="007A34C2"/>
    <w:rsid w:val="007A396C"/>
    <w:rsid w:val="007A4B02"/>
    <w:rsid w:val="007B0BE3"/>
    <w:rsid w:val="007B1816"/>
    <w:rsid w:val="007B186E"/>
    <w:rsid w:val="007B25DC"/>
    <w:rsid w:val="007B2C72"/>
    <w:rsid w:val="007B3789"/>
    <w:rsid w:val="007B3AD2"/>
    <w:rsid w:val="007B651F"/>
    <w:rsid w:val="007B7BB5"/>
    <w:rsid w:val="007C1C53"/>
    <w:rsid w:val="007C26EB"/>
    <w:rsid w:val="007C284C"/>
    <w:rsid w:val="007C4B82"/>
    <w:rsid w:val="007C67FA"/>
    <w:rsid w:val="007C74BB"/>
    <w:rsid w:val="007C7F64"/>
    <w:rsid w:val="007D0A95"/>
    <w:rsid w:val="007D0EB5"/>
    <w:rsid w:val="007D456E"/>
    <w:rsid w:val="007D5837"/>
    <w:rsid w:val="007D75A8"/>
    <w:rsid w:val="007E1AB5"/>
    <w:rsid w:val="007E4904"/>
    <w:rsid w:val="007E4CB5"/>
    <w:rsid w:val="007E4DAE"/>
    <w:rsid w:val="007F066B"/>
    <w:rsid w:val="007F4EAB"/>
    <w:rsid w:val="007F5B16"/>
    <w:rsid w:val="007F7C9D"/>
    <w:rsid w:val="008033C4"/>
    <w:rsid w:val="00806731"/>
    <w:rsid w:val="00806C88"/>
    <w:rsid w:val="0081034E"/>
    <w:rsid w:val="00810806"/>
    <w:rsid w:val="00815882"/>
    <w:rsid w:val="0081627F"/>
    <w:rsid w:val="00820417"/>
    <w:rsid w:val="00820454"/>
    <w:rsid w:val="00822AC7"/>
    <w:rsid w:val="00822E86"/>
    <w:rsid w:val="008344F6"/>
    <w:rsid w:val="0083510F"/>
    <w:rsid w:val="00837BF3"/>
    <w:rsid w:val="008415DE"/>
    <w:rsid w:val="008420DE"/>
    <w:rsid w:val="00845865"/>
    <w:rsid w:val="0084799B"/>
    <w:rsid w:val="00850C90"/>
    <w:rsid w:val="00851209"/>
    <w:rsid w:val="0085171F"/>
    <w:rsid w:val="00851E17"/>
    <w:rsid w:val="00860F35"/>
    <w:rsid w:val="008658A1"/>
    <w:rsid w:val="00866830"/>
    <w:rsid w:val="0086716A"/>
    <w:rsid w:val="008673C5"/>
    <w:rsid w:val="00870613"/>
    <w:rsid w:val="0087227F"/>
    <w:rsid w:val="0087380F"/>
    <w:rsid w:val="0087648F"/>
    <w:rsid w:val="00876612"/>
    <w:rsid w:val="00882BB1"/>
    <w:rsid w:val="008837AC"/>
    <w:rsid w:val="008909DC"/>
    <w:rsid w:val="00893881"/>
    <w:rsid w:val="00894255"/>
    <w:rsid w:val="008945AD"/>
    <w:rsid w:val="008A0645"/>
    <w:rsid w:val="008A1C02"/>
    <w:rsid w:val="008A370D"/>
    <w:rsid w:val="008A587D"/>
    <w:rsid w:val="008A6554"/>
    <w:rsid w:val="008A72E8"/>
    <w:rsid w:val="008B16B0"/>
    <w:rsid w:val="008B1BD5"/>
    <w:rsid w:val="008B35CD"/>
    <w:rsid w:val="008B4093"/>
    <w:rsid w:val="008B5FCC"/>
    <w:rsid w:val="008B7F36"/>
    <w:rsid w:val="008C357F"/>
    <w:rsid w:val="008C5486"/>
    <w:rsid w:val="008C6F06"/>
    <w:rsid w:val="008D1661"/>
    <w:rsid w:val="008D1E84"/>
    <w:rsid w:val="008D27E0"/>
    <w:rsid w:val="008D5F90"/>
    <w:rsid w:val="008D6800"/>
    <w:rsid w:val="008D72F1"/>
    <w:rsid w:val="008E4089"/>
    <w:rsid w:val="008E5340"/>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66812"/>
    <w:rsid w:val="00972C7C"/>
    <w:rsid w:val="009776F4"/>
    <w:rsid w:val="009809E5"/>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6B46"/>
    <w:rsid w:val="009D6F1B"/>
    <w:rsid w:val="009E35B6"/>
    <w:rsid w:val="009E5ABC"/>
    <w:rsid w:val="009F3BBA"/>
    <w:rsid w:val="009F43B4"/>
    <w:rsid w:val="009F4940"/>
    <w:rsid w:val="009F5BA1"/>
    <w:rsid w:val="009F6389"/>
    <w:rsid w:val="009F672B"/>
    <w:rsid w:val="009F7E1D"/>
    <w:rsid w:val="00A02A88"/>
    <w:rsid w:val="00A04012"/>
    <w:rsid w:val="00A046FA"/>
    <w:rsid w:val="00A0562E"/>
    <w:rsid w:val="00A0726D"/>
    <w:rsid w:val="00A073AE"/>
    <w:rsid w:val="00A12204"/>
    <w:rsid w:val="00A12750"/>
    <w:rsid w:val="00A13CB0"/>
    <w:rsid w:val="00A1561F"/>
    <w:rsid w:val="00A16544"/>
    <w:rsid w:val="00A22A6A"/>
    <w:rsid w:val="00A26BEA"/>
    <w:rsid w:val="00A30BF5"/>
    <w:rsid w:val="00A31BE6"/>
    <w:rsid w:val="00A32FBB"/>
    <w:rsid w:val="00A40068"/>
    <w:rsid w:val="00A40BE9"/>
    <w:rsid w:val="00A428EE"/>
    <w:rsid w:val="00A443C2"/>
    <w:rsid w:val="00A4478A"/>
    <w:rsid w:val="00A44852"/>
    <w:rsid w:val="00A44DD0"/>
    <w:rsid w:val="00A50502"/>
    <w:rsid w:val="00A51A08"/>
    <w:rsid w:val="00A53409"/>
    <w:rsid w:val="00A53796"/>
    <w:rsid w:val="00A53848"/>
    <w:rsid w:val="00A56945"/>
    <w:rsid w:val="00A56A6E"/>
    <w:rsid w:val="00A57D04"/>
    <w:rsid w:val="00A60A26"/>
    <w:rsid w:val="00A61598"/>
    <w:rsid w:val="00A61777"/>
    <w:rsid w:val="00A63646"/>
    <w:rsid w:val="00A63914"/>
    <w:rsid w:val="00A808B1"/>
    <w:rsid w:val="00A84A99"/>
    <w:rsid w:val="00A84F46"/>
    <w:rsid w:val="00A85E87"/>
    <w:rsid w:val="00A86AEA"/>
    <w:rsid w:val="00A871F4"/>
    <w:rsid w:val="00A9431A"/>
    <w:rsid w:val="00A95988"/>
    <w:rsid w:val="00A959DF"/>
    <w:rsid w:val="00A97A1B"/>
    <w:rsid w:val="00AA0D14"/>
    <w:rsid w:val="00AA2927"/>
    <w:rsid w:val="00AB2CB8"/>
    <w:rsid w:val="00AB4617"/>
    <w:rsid w:val="00AC1B2C"/>
    <w:rsid w:val="00AC3264"/>
    <w:rsid w:val="00AC34C6"/>
    <w:rsid w:val="00AC46AD"/>
    <w:rsid w:val="00AC4D2D"/>
    <w:rsid w:val="00AC58EC"/>
    <w:rsid w:val="00AC7282"/>
    <w:rsid w:val="00AC7961"/>
    <w:rsid w:val="00AD314E"/>
    <w:rsid w:val="00AD4D1C"/>
    <w:rsid w:val="00AD5FCD"/>
    <w:rsid w:val="00AD6B48"/>
    <w:rsid w:val="00AD7A3A"/>
    <w:rsid w:val="00AE0FDA"/>
    <w:rsid w:val="00AE1BF1"/>
    <w:rsid w:val="00AE23AB"/>
    <w:rsid w:val="00AE3D51"/>
    <w:rsid w:val="00AE58FB"/>
    <w:rsid w:val="00AE5AF0"/>
    <w:rsid w:val="00AE663D"/>
    <w:rsid w:val="00AE73B3"/>
    <w:rsid w:val="00AF07E7"/>
    <w:rsid w:val="00AF0DD2"/>
    <w:rsid w:val="00AF2E3D"/>
    <w:rsid w:val="00AF31E1"/>
    <w:rsid w:val="00AF3BBA"/>
    <w:rsid w:val="00AF4231"/>
    <w:rsid w:val="00B00B0E"/>
    <w:rsid w:val="00B00B26"/>
    <w:rsid w:val="00B02385"/>
    <w:rsid w:val="00B02F9D"/>
    <w:rsid w:val="00B05766"/>
    <w:rsid w:val="00B07182"/>
    <w:rsid w:val="00B13048"/>
    <w:rsid w:val="00B13883"/>
    <w:rsid w:val="00B1716D"/>
    <w:rsid w:val="00B17A1D"/>
    <w:rsid w:val="00B207A0"/>
    <w:rsid w:val="00B21C21"/>
    <w:rsid w:val="00B21E18"/>
    <w:rsid w:val="00B22E34"/>
    <w:rsid w:val="00B22F54"/>
    <w:rsid w:val="00B24A7E"/>
    <w:rsid w:val="00B25C0C"/>
    <w:rsid w:val="00B26F83"/>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6B16"/>
    <w:rsid w:val="00B87BA5"/>
    <w:rsid w:val="00B87C39"/>
    <w:rsid w:val="00B93891"/>
    <w:rsid w:val="00B9562D"/>
    <w:rsid w:val="00B96152"/>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29AD"/>
    <w:rsid w:val="00BE3F89"/>
    <w:rsid w:val="00BE47B5"/>
    <w:rsid w:val="00BE5FCE"/>
    <w:rsid w:val="00BF6607"/>
    <w:rsid w:val="00C0079E"/>
    <w:rsid w:val="00C0389C"/>
    <w:rsid w:val="00C0572A"/>
    <w:rsid w:val="00C13EBD"/>
    <w:rsid w:val="00C1631B"/>
    <w:rsid w:val="00C163AB"/>
    <w:rsid w:val="00C170F0"/>
    <w:rsid w:val="00C17E89"/>
    <w:rsid w:val="00C25962"/>
    <w:rsid w:val="00C25FA6"/>
    <w:rsid w:val="00C26681"/>
    <w:rsid w:val="00C3099D"/>
    <w:rsid w:val="00C33011"/>
    <w:rsid w:val="00C34D20"/>
    <w:rsid w:val="00C362C1"/>
    <w:rsid w:val="00C40D3C"/>
    <w:rsid w:val="00C41501"/>
    <w:rsid w:val="00C41950"/>
    <w:rsid w:val="00C42C3B"/>
    <w:rsid w:val="00C51396"/>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0D77"/>
    <w:rsid w:val="00C71280"/>
    <w:rsid w:val="00C717BF"/>
    <w:rsid w:val="00C76178"/>
    <w:rsid w:val="00C84560"/>
    <w:rsid w:val="00C86679"/>
    <w:rsid w:val="00C8792F"/>
    <w:rsid w:val="00C90472"/>
    <w:rsid w:val="00C915AA"/>
    <w:rsid w:val="00C91D6E"/>
    <w:rsid w:val="00CA08D3"/>
    <w:rsid w:val="00CA489E"/>
    <w:rsid w:val="00CB0279"/>
    <w:rsid w:val="00CB666B"/>
    <w:rsid w:val="00CB734B"/>
    <w:rsid w:val="00CC41B6"/>
    <w:rsid w:val="00CC7ADA"/>
    <w:rsid w:val="00CC7F1D"/>
    <w:rsid w:val="00CD0A88"/>
    <w:rsid w:val="00CD125D"/>
    <w:rsid w:val="00CD283C"/>
    <w:rsid w:val="00CD3641"/>
    <w:rsid w:val="00CD66EA"/>
    <w:rsid w:val="00CD728B"/>
    <w:rsid w:val="00CD7432"/>
    <w:rsid w:val="00CE0FA5"/>
    <w:rsid w:val="00CE2A23"/>
    <w:rsid w:val="00CE31C8"/>
    <w:rsid w:val="00CE484B"/>
    <w:rsid w:val="00CE7CBA"/>
    <w:rsid w:val="00CF0DEE"/>
    <w:rsid w:val="00CF42AA"/>
    <w:rsid w:val="00CF5EAA"/>
    <w:rsid w:val="00CF6AE3"/>
    <w:rsid w:val="00CF6B07"/>
    <w:rsid w:val="00CF77BB"/>
    <w:rsid w:val="00D006AE"/>
    <w:rsid w:val="00D00905"/>
    <w:rsid w:val="00D010C1"/>
    <w:rsid w:val="00D01CF0"/>
    <w:rsid w:val="00D0442A"/>
    <w:rsid w:val="00D12A7B"/>
    <w:rsid w:val="00D12ADB"/>
    <w:rsid w:val="00D15E63"/>
    <w:rsid w:val="00D24B9C"/>
    <w:rsid w:val="00D25A39"/>
    <w:rsid w:val="00D27CFA"/>
    <w:rsid w:val="00D27EE0"/>
    <w:rsid w:val="00D310FA"/>
    <w:rsid w:val="00D325C6"/>
    <w:rsid w:val="00D37213"/>
    <w:rsid w:val="00D4360D"/>
    <w:rsid w:val="00D5015C"/>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1E8F"/>
    <w:rsid w:val="00D924AE"/>
    <w:rsid w:val="00D92CF1"/>
    <w:rsid w:val="00D92D38"/>
    <w:rsid w:val="00D950F5"/>
    <w:rsid w:val="00D97379"/>
    <w:rsid w:val="00DA2220"/>
    <w:rsid w:val="00DA4752"/>
    <w:rsid w:val="00DA4C09"/>
    <w:rsid w:val="00DA61F3"/>
    <w:rsid w:val="00DA7CB3"/>
    <w:rsid w:val="00DB0D00"/>
    <w:rsid w:val="00DB0F93"/>
    <w:rsid w:val="00DB1A67"/>
    <w:rsid w:val="00DB3721"/>
    <w:rsid w:val="00DB5074"/>
    <w:rsid w:val="00DB7F71"/>
    <w:rsid w:val="00DC0281"/>
    <w:rsid w:val="00DC1930"/>
    <w:rsid w:val="00DC1C76"/>
    <w:rsid w:val="00DC4DBF"/>
    <w:rsid w:val="00DC4E19"/>
    <w:rsid w:val="00DC65FE"/>
    <w:rsid w:val="00DC7981"/>
    <w:rsid w:val="00DD3546"/>
    <w:rsid w:val="00DD4C07"/>
    <w:rsid w:val="00DD577D"/>
    <w:rsid w:val="00DD5ADC"/>
    <w:rsid w:val="00DE1093"/>
    <w:rsid w:val="00DE4EFA"/>
    <w:rsid w:val="00DE5520"/>
    <w:rsid w:val="00DE563D"/>
    <w:rsid w:val="00DE7AB5"/>
    <w:rsid w:val="00DF0152"/>
    <w:rsid w:val="00DF1958"/>
    <w:rsid w:val="00DF3F39"/>
    <w:rsid w:val="00E03C88"/>
    <w:rsid w:val="00E04818"/>
    <w:rsid w:val="00E06442"/>
    <w:rsid w:val="00E06952"/>
    <w:rsid w:val="00E11E61"/>
    <w:rsid w:val="00E14A2D"/>
    <w:rsid w:val="00E157B2"/>
    <w:rsid w:val="00E16055"/>
    <w:rsid w:val="00E2332D"/>
    <w:rsid w:val="00E23993"/>
    <w:rsid w:val="00E2574F"/>
    <w:rsid w:val="00E25951"/>
    <w:rsid w:val="00E25B8C"/>
    <w:rsid w:val="00E31CF6"/>
    <w:rsid w:val="00E34A4A"/>
    <w:rsid w:val="00E35AFC"/>
    <w:rsid w:val="00E41D39"/>
    <w:rsid w:val="00E5084C"/>
    <w:rsid w:val="00E50A02"/>
    <w:rsid w:val="00E54106"/>
    <w:rsid w:val="00E54697"/>
    <w:rsid w:val="00E5494D"/>
    <w:rsid w:val="00E57A08"/>
    <w:rsid w:val="00E60FDC"/>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97246"/>
    <w:rsid w:val="00EA0C04"/>
    <w:rsid w:val="00EA3D42"/>
    <w:rsid w:val="00EA6B1B"/>
    <w:rsid w:val="00EB1CBD"/>
    <w:rsid w:val="00EB3A34"/>
    <w:rsid w:val="00EB3C3F"/>
    <w:rsid w:val="00EB4FD4"/>
    <w:rsid w:val="00EC04F1"/>
    <w:rsid w:val="00EC1E7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3B20"/>
    <w:rsid w:val="00F0700F"/>
    <w:rsid w:val="00F07F1F"/>
    <w:rsid w:val="00F10411"/>
    <w:rsid w:val="00F10A9A"/>
    <w:rsid w:val="00F11B2D"/>
    <w:rsid w:val="00F121C2"/>
    <w:rsid w:val="00F1485B"/>
    <w:rsid w:val="00F15882"/>
    <w:rsid w:val="00F15EA4"/>
    <w:rsid w:val="00F170C7"/>
    <w:rsid w:val="00F171E0"/>
    <w:rsid w:val="00F20BD3"/>
    <w:rsid w:val="00F22A8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96CA3"/>
    <w:rsid w:val="00FA31B1"/>
    <w:rsid w:val="00FA3320"/>
    <w:rsid w:val="00FA3C7F"/>
    <w:rsid w:val="00FA6246"/>
    <w:rsid w:val="00FB24ED"/>
    <w:rsid w:val="00FB3304"/>
    <w:rsid w:val="00FB5005"/>
    <w:rsid w:val="00FB60FE"/>
    <w:rsid w:val="00FB74E2"/>
    <w:rsid w:val="00FB778B"/>
    <w:rsid w:val="00FD14BC"/>
    <w:rsid w:val="00FD5614"/>
    <w:rsid w:val="00FD5E78"/>
    <w:rsid w:val="00FE0BE1"/>
    <w:rsid w:val="00FE11BB"/>
    <w:rsid w:val="00FE1DE9"/>
    <w:rsid w:val="00FE2D83"/>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39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Ind w:w="0" w:type="dxa"/>
      <w:tblBorders>
        <w:top w:val="single" w:sz="8" w:space="0" w:color="2F002F" w:themeColor="accent1"/>
        <w:bottom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Ind w:w="0" w:type="dxa"/>
      <w:tblBorders>
        <w:top w:val="single" w:sz="8" w:space="0" w:color="002060" w:themeColor="accent3"/>
        <w:bottom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Ind w:w="0" w:type="dxa"/>
      <w:tblBorders>
        <w:top w:val="single" w:sz="8" w:space="0" w:color="000000" w:themeColor="accent5"/>
        <w:bottom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2060" w:themeColor="accent3"/>
        <w:left w:val="single" w:sz="8" w:space="0" w:color="002060" w:themeColor="accent3"/>
        <w:bottom w:val="single" w:sz="8" w:space="0" w:color="002060" w:themeColor="accent3"/>
        <w:right w:val="single" w:sz="8" w:space="0" w:color="002060"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Ind w:w="0" w:type="dxa"/>
      <w:tblBorders>
        <w:top w:val="single" w:sz="8" w:space="0" w:color="C00000" w:themeColor="accent4"/>
        <w:bottom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Ind w:w="0" w:type="dxa"/>
      <w:tblBorders>
        <w:top w:val="single" w:sz="8" w:space="0" w:color="70303C" w:themeColor="accent6"/>
        <w:bottom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Ind w:w="0" w:type="dxa"/>
      <w:tblBorders>
        <w:top w:val="single" w:sz="4" w:space="0" w:color="FFFFFF" w:themeColor="background2"/>
        <w:bottom w:val="single" w:sz="4" w:space="0" w:color="FFFFFF" w:themeColor="background2"/>
        <w:insideH w:val="single" w:sz="4" w:space="0" w:color="FFFFFF"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70303C" w:themeColor="accent6"/>
        <w:left w:val="single" w:sz="8" w:space="0" w:color="70303C" w:themeColor="accent6"/>
        <w:bottom w:val="single" w:sz="8" w:space="0" w:color="70303C" w:themeColor="accent6"/>
        <w:right w:val="single" w:sz="8" w:space="0" w:color="70303C"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FFFFFF"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9660B4-1D04-48C4-A874-B0AA05D4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3CA10170</Template>
  <TotalTime>0</TotalTime>
  <Pages>19</Pages>
  <Words>4849</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2017-07-02T22:45:00Z</dcterms:created>
  <dcterms:modified xsi:type="dcterms:W3CDTF">2017-07-02T22:45:00Z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