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98305456"/>
        <w:docPartObj>
          <w:docPartGallery w:val="Cover Pages"/>
          <w:docPartUnique/>
        </w:docPartObj>
      </w:sdtPr>
      <w:sdtEndPr/>
      <w:sdtContent>
        <w:bookmarkStart w:id="0" w:name="_GoBack" w:displacedByCustomXml="prev"/>
        <w:p w:rsidR="00A33469" w:rsidRPr="00A33469" w:rsidRDefault="00A33469" w:rsidP="00951978">
          <w:r w:rsidRPr="00A33469">
            <w:rPr>
              <w:noProof/>
              <w:lang w:eastAsia="en-AU"/>
            </w:rPr>
            <w:drawing>
              <wp:anchor distT="0" distB="0" distL="114300" distR="114300" simplePos="0" relativeHeight="251659264" behindDoc="1" locked="0" layoutInCell="1" allowOverlap="1" wp14:anchorId="0BD7F498" wp14:editId="76CF28E2">
                <wp:simplePos x="0" y="0"/>
                <wp:positionH relativeFrom="column">
                  <wp:posOffset>-1107584</wp:posOffset>
                </wp:positionH>
                <wp:positionV relativeFrom="paragraph">
                  <wp:posOffset>-927279</wp:posOffset>
                </wp:positionV>
                <wp:extent cx="7856113" cy="10720807"/>
                <wp:effectExtent l="0" t="0" r="0" b="4445"/>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2088" cy="1072896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A33469" w:rsidRPr="00A33469" w:rsidRDefault="00A33469" w:rsidP="00F171E0"/>
        <w:p w:rsidR="00A33469" w:rsidRPr="00A33469" w:rsidRDefault="00A33469" w:rsidP="00F171E0"/>
        <w:p w:rsidR="00A33469" w:rsidRPr="00A33469" w:rsidRDefault="00A33469" w:rsidP="00F171E0"/>
        <w:p w:rsidR="00A33469" w:rsidRPr="00A33469" w:rsidRDefault="00A33469" w:rsidP="00F171E0"/>
        <w:p w:rsidR="00A33469" w:rsidRPr="00A33469" w:rsidRDefault="00A33469" w:rsidP="00F171E0"/>
        <w:p w:rsidR="00A33469" w:rsidRPr="00A33469" w:rsidRDefault="00A33469" w:rsidP="00F171E0"/>
        <w:p w:rsidR="00A33469" w:rsidRPr="00A33469" w:rsidRDefault="00A33469" w:rsidP="00F171E0"/>
        <w:p w:rsidR="00A33469" w:rsidRPr="00A33469" w:rsidRDefault="00A33469" w:rsidP="00F171E0"/>
        <w:p w:rsidR="00A33469" w:rsidRPr="00A33469" w:rsidRDefault="00916CF6" w:rsidP="00327A1E">
          <w:pPr>
            <w:pStyle w:val="ReportTitle"/>
          </w:pPr>
          <w:r>
            <w:t>Decision to r</w:t>
          </w:r>
          <w:r w:rsidR="00A33469">
            <w:t>eplace the framework and approach</w:t>
          </w:r>
          <w:r>
            <w:t xml:space="preserve"> paper</w:t>
          </w:r>
          <w:r w:rsidR="00A33469">
            <w:t xml:space="preserve"> for TransGrid</w:t>
          </w:r>
        </w:p>
        <w:p w:rsidR="00A33469" w:rsidRPr="00A33469" w:rsidRDefault="00A33469" w:rsidP="00327A1E">
          <w:pPr>
            <w:pStyle w:val="ReportSubtitle"/>
          </w:pPr>
          <w:r>
            <w:t>Regulatory control period commencing 1 July 2018</w:t>
          </w:r>
        </w:p>
        <w:p w:rsidR="00FF6F8D" w:rsidRDefault="00FF6F8D" w:rsidP="00327A1E">
          <w:pPr>
            <w:pStyle w:val="ReportDate"/>
          </w:pPr>
        </w:p>
        <w:p w:rsidR="00FF6F8D" w:rsidRDefault="00FF6F8D" w:rsidP="00327A1E">
          <w:pPr>
            <w:pStyle w:val="ReportDate"/>
          </w:pPr>
        </w:p>
        <w:p w:rsidR="00A33469" w:rsidRPr="00A33469" w:rsidRDefault="00A33469" w:rsidP="00327A1E">
          <w:pPr>
            <w:pStyle w:val="ReportDate"/>
          </w:pPr>
          <w:r>
            <w:t>December</w:t>
          </w:r>
          <w:r w:rsidRPr="00A33469">
            <w:t xml:space="preserve"> 2015</w:t>
          </w:r>
        </w:p>
        <w:p w:rsidR="00A33469" w:rsidRPr="00A33469" w:rsidRDefault="00A33469" w:rsidP="00A33469">
          <w:r w:rsidRPr="00A33469">
            <w:br w:type="page"/>
          </w:r>
        </w:p>
        <w:p w:rsidR="00A33469" w:rsidRDefault="00F13241" w:rsidP="00A33469">
          <w:pPr>
            <w:spacing w:line="240" w:lineRule="auto"/>
          </w:pPr>
        </w:p>
      </w:sdtContent>
    </w:sdt>
    <w:p w:rsidR="000A6C7B" w:rsidRDefault="000A6C7B" w:rsidP="00327A1E">
      <w:pPr>
        <w:pStyle w:val="Copyright"/>
      </w:pPr>
      <w:r>
        <w:t>© Commonwealth of Australia 201</w:t>
      </w:r>
      <w:r w:rsidR="00D81EF4">
        <w:t>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Default="000A6C7B" w:rsidP="00185CB9">
      <w:pPr>
        <w:pStyle w:val="StyleCopyrightBefore0pt"/>
        <w:numPr>
          <w:ilvl w:val="0"/>
          <w:numId w:val="27"/>
        </w:numPr>
      </w:pPr>
      <w:r>
        <w:t>the Commonwealth Coat of Arms</w:t>
      </w:r>
    </w:p>
    <w:p w:rsidR="000A6C7B" w:rsidRDefault="000A6C7B" w:rsidP="00185CB9">
      <w:pPr>
        <w:pStyle w:val="StyleCopyrightBefore0pt"/>
        <w:numPr>
          <w:ilvl w:val="0"/>
          <w:numId w:val="27"/>
        </w:numPr>
      </w:pPr>
      <w:r>
        <w:t>the ACCC and AER logos</w:t>
      </w:r>
    </w:p>
    <w:p w:rsidR="000A6C7B" w:rsidRPr="00B927D8" w:rsidRDefault="000A6C7B" w:rsidP="00B927D8">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 xml:space="preserve">Requests and inquiries concerning reproduction and rights should be addressed to the </w:t>
      </w:r>
      <w:r w:rsidR="007A4D1F">
        <w:br/>
      </w:r>
      <w:r>
        <w:t xml:space="preserve">Director, Corporate Communications, </w:t>
      </w:r>
      <w:r w:rsidR="007A4D1F">
        <w:br/>
      </w:r>
      <w:r>
        <w:t xml:space="preserve">Australian Competition and Consumer Commission, </w:t>
      </w:r>
      <w:r w:rsidR="007A4D1F">
        <w:br/>
      </w:r>
      <w:r>
        <w:t xml:space="preserve">GPO Box 4141, </w:t>
      </w:r>
      <w:r w:rsidR="007A4D1F">
        <w:br/>
      </w:r>
      <w:r>
        <w:t xml:space="preserve">Canberra ACT 2601 </w:t>
      </w:r>
      <w:r w:rsidR="007A4D1F">
        <w:br/>
      </w:r>
      <w:r>
        <w:t>or publishing.unit@accc.gov.au.</w:t>
      </w:r>
    </w:p>
    <w:p w:rsidR="00951978" w:rsidRDefault="000A6C7B" w:rsidP="00A02A88">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0A6C7B">
      <w:pPr>
        <w:pStyle w:val="Copyright"/>
      </w:pPr>
      <w:r>
        <w:t>Tel: (03) 9290 1444</w:t>
      </w:r>
      <w:r w:rsidR="00951978">
        <w:br/>
      </w:r>
      <w:r>
        <w:t>Fax: (03) 9290 1457</w:t>
      </w:r>
    </w:p>
    <w:p w:rsidR="000A6C7B" w:rsidRPr="00951978" w:rsidRDefault="000A6C7B" w:rsidP="000A6C7B">
      <w:pPr>
        <w:pStyle w:val="Copyright"/>
        <w:rPr>
          <w:color w:val="0000FF"/>
          <w:sz w:val="22"/>
          <w:u w:val="single"/>
        </w:rPr>
      </w:pPr>
      <w:r>
        <w:t xml:space="preserve">Email: </w:t>
      </w:r>
      <w:hyperlink r:id="rId11" w:history="1">
        <w:r w:rsidRPr="00D64888">
          <w:rPr>
            <w:rStyle w:val="Hyperlink"/>
          </w:rPr>
          <w:t>AERInquiry@aer.gov.au</w:t>
        </w:r>
      </w:hyperlink>
      <w:r w:rsidR="00951978">
        <w:rPr>
          <w:rStyle w:val="Hyperlink"/>
        </w:rPr>
        <w:br/>
      </w:r>
    </w:p>
    <w:p w:rsidR="00A33469" w:rsidRDefault="00A33469">
      <w:pPr>
        <w:spacing w:line="240" w:lineRule="auto"/>
      </w:pPr>
      <w:r>
        <w:br w:type="page"/>
      </w:r>
    </w:p>
    <w:p w:rsidR="002010BC" w:rsidRPr="00A33469" w:rsidRDefault="00A75077" w:rsidP="00A33469">
      <w:pPr>
        <w:pStyle w:val="Heading1notnumber"/>
      </w:pPr>
      <w:bookmarkStart w:id="1" w:name="_Toc437874118"/>
      <w:r w:rsidRPr="00A33469">
        <w:lastRenderedPageBreak/>
        <w:t>Contents</w:t>
      </w:r>
      <w:bookmarkEnd w:id="1"/>
    </w:p>
    <w:p w:rsidR="0077360A" w:rsidRDefault="00A75077">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37874118" w:history="1">
        <w:r w:rsidR="0077360A" w:rsidRPr="00E44980">
          <w:rPr>
            <w:rStyle w:val="Hyperlink"/>
          </w:rPr>
          <w:t>Contents</w:t>
        </w:r>
        <w:r w:rsidR="0077360A">
          <w:rPr>
            <w:webHidden/>
          </w:rPr>
          <w:tab/>
        </w:r>
        <w:r w:rsidR="0077360A">
          <w:rPr>
            <w:webHidden/>
          </w:rPr>
          <w:fldChar w:fldCharType="begin"/>
        </w:r>
        <w:r w:rsidR="0077360A">
          <w:rPr>
            <w:webHidden/>
          </w:rPr>
          <w:instrText xml:space="preserve"> PAGEREF _Toc437874118 \h </w:instrText>
        </w:r>
        <w:r w:rsidR="0077360A">
          <w:rPr>
            <w:webHidden/>
          </w:rPr>
        </w:r>
        <w:r w:rsidR="0077360A">
          <w:rPr>
            <w:webHidden/>
          </w:rPr>
          <w:fldChar w:fldCharType="separate"/>
        </w:r>
        <w:r w:rsidR="0077360A">
          <w:rPr>
            <w:webHidden/>
          </w:rPr>
          <w:t>3</w:t>
        </w:r>
        <w:r w:rsidR="0077360A">
          <w:rPr>
            <w:webHidden/>
          </w:rPr>
          <w:fldChar w:fldCharType="end"/>
        </w:r>
      </w:hyperlink>
    </w:p>
    <w:p w:rsidR="0077360A" w:rsidRDefault="0077360A">
      <w:pPr>
        <w:pStyle w:val="TOC1"/>
        <w:rPr>
          <w:rFonts w:asciiTheme="minorHAnsi" w:eastAsiaTheme="minorEastAsia" w:hAnsiTheme="minorHAnsi"/>
          <w:b w:val="0"/>
          <w:color w:val="auto"/>
          <w:sz w:val="22"/>
          <w:lang w:val="en-AU" w:eastAsia="en-AU"/>
        </w:rPr>
      </w:pPr>
      <w:hyperlink w:anchor="_Toc437874119" w:history="1">
        <w:r w:rsidRPr="00E44980">
          <w:rPr>
            <w:rStyle w:val="Hyperlink"/>
          </w:rPr>
          <w:t>1</w:t>
        </w:r>
        <w:r>
          <w:rPr>
            <w:rFonts w:asciiTheme="minorHAnsi" w:eastAsiaTheme="minorEastAsia" w:hAnsiTheme="minorHAnsi"/>
            <w:b w:val="0"/>
            <w:color w:val="auto"/>
            <w:sz w:val="22"/>
            <w:lang w:val="en-AU" w:eastAsia="en-AU"/>
          </w:rPr>
          <w:tab/>
        </w:r>
        <w:r w:rsidRPr="00E44980">
          <w:rPr>
            <w:rStyle w:val="Hyperlink"/>
          </w:rPr>
          <w:t>Introduction</w:t>
        </w:r>
        <w:r>
          <w:rPr>
            <w:webHidden/>
          </w:rPr>
          <w:tab/>
        </w:r>
        <w:r>
          <w:rPr>
            <w:webHidden/>
          </w:rPr>
          <w:fldChar w:fldCharType="begin"/>
        </w:r>
        <w:r>
          <w:rPr>
            <w:webHidden/>
          </w:rPr>
          <w:instrText xml:space="preserve"> PAGEREF _Toc437874119 \h </w:instrText>
        </w:r>
        <w:r>
          <w:rPr>
            <w:webHidden/>
          </w:rPr>
        </w:r>
        <w:r>
          <w:rPr>
            <w:webHidden/>
          </w:rPr>
          <w:fldChar w:fldCharType="separate"/>
        </w:r>
        <w:r>
          <w:rPr>
            <w:webHidden/>
          </w:rPr>
          <w:t>4</w:t>
        </w:r>
        <w:r>
          <w:rPr>
            <w:webHidden/>
          </w:rPr>
          <w:fldChar w:fldCharType="end"/>
        </w:r>
      </w:hyperlink>
    </w:p>
    <w:p w:rsidR="0077360A" w:rsidRDefault="0077360A">
      <w:pPr>
        <w:pStyle w:val="TOC2"/>
        <w:rPr>
          <w:rFonts w:asciiTheme="minorHAnsi" w:eastAsiaTheme="minorEastAsia" w:hAnsiTheme="minorHAnsi"/>
          <w:b w:val="0"/>
          <w:color w:val="auto"/>
          <w:sz w:val="22"/>
          <w:lang w:eastAsia="en-AU"/>
        </w:rPr>
      </w:pPr>
      <w:hyperlink w:anchor="_Toc437874120" w:history="1">
        <w:r w:rsidRPr="00E44980">
          <w:rPr>
            <w:rStyle w:val="Hyperlink"/>
          </w:rPr>
          <w:t>1.1</w:t>
        </w:r>
        <w:r>
          <w:rPr>
            <w:rFonts w:asciiTheme="minorHAnsi" w:eastAsiaTheme="minorEastAsia" w:hAnsiTheme="minorHAnsi"/>
            <w:b w:val="0"/>
            <w:color w:val="auto"/>
            <w:sz w:val="22"/>
            <w:lang w:eastAsia="en-AU"/>
          </w:rPr>
          <w:tab/>
        </w:r>
        <w:r w:rsidRPr="00E44980">
          <w:rPr>
            <w:rStyle w:val="Hyperlink"/>
          </w:rPr>
          <w:t>AER requirements to amend or replace the F&amp;A</w:t>
        </w:r>
        <w:r>
          <w:rPr>
            <w:webHidden/>
          </w:rPr>
          <w:tab/>
        </w:r>
        <w:r>
          <w:rPr>
            <w:webHidden/>
          </w:rPr>
          <w:fldChar w:fldCharType="begin"/>
        </w:r>
        <w:r>
          <w:rPr>
            <w:webHidden/>
          </w:rPr>
          <w:instrText xml:space="preserve"> PAGEREF _Toc437874120 \h </w:instrText>
        </w:r>
        <w:r>
          <w:rPr>
            <w:webHidden/>
          </w:rPr>
        </w:r>
        <w:r>
          <w:rPr>
            <w:webHidden/>
          </w:rPr>
          <w:fldChar w:fldCharType="separate"/>
        </w:r>
        <w:r>
          <w:rPr>
            <w:webHidden/>
          </w:rPr>
          <w:t>4</w:t>
        </w:r>
        <w:r>
          <w:rPr>
            <w:webHidden/>
          </w:rPr>
          <w:fldChar w:fldCharType="end"/>
        </w:r>
      </w:hyperlink>
    </w:p>
    <w:p w:rsidR="0077360A" w:rsidRDefault="0077360A">
      <w:pPr>
        <w:pStyle w:val="TOC2"/>
        <w:rPr>
          <w:rFonts w:asciiTheme="minorHAnsi" w:eastAsiaTheme="minorEastAsia" w:hAnsiTheme="minorHAnsi"/>
          <w:b w:val="0"/>
          <w:color w:val="auto"/>
          <w:sz w:val="22"/>
          <w:lang w:eastAsia="en-AU"/>
        </w:rPr>
      </w:pPr>
      <w:hyperlink w:anchor="_Toc437874121" w:history="1">
        <w:r w:rsidRPr="00E44980">
          <w:rPr>
            <w:rStyle w:val="Hyperlink"/>
          </w:rPr>
          <w:t>1.2</w:t>
        </w:r>
        <w:r>
          <w:rPr>
            <w:rFonts w:asciiTheme="minorHAnsi" w:eastAsiaTheme="minorEastAsia" w:hAnsiTheme="minorHAnsi"/>
            <w:b w:val="0"/>
            <w:color w:val="auto"/>
            <w:sz w:val="22"/>
            <w:lang w:eastAsia="en-AU"/>
          </w:rPr>
          <w:tab/>
        </w:r>
        <w:r w:rsidRPr="00E44980">
          <w:rPr>
            <w:rStyle w:val="Hyperlink"/>
          </w:rPr>
          <w:t>Our decision to replace the F&amp;A</w:t>
        </w:r>
        <w:r>
          <w:rPr>
            <w:webHidden/>
          </w:rPr>
          <w:tab/>
        </w:r>
        <w:r>
          <w:rPr>
            <w:webHidden/>
          </w:rPr>
          <w:fldChar w:fldCharType="begin"/>
        </w:r>
        <w:r>
          <w:rPr>
            <w:webHidden/>
          </w:rPr>
          <w:instrText xml:space="preserve"> PAGEREF _Toc437874121 \h </w:instrText>
        </w:r>
        <w:r>
          <w:rPr>
            <w:webHidden/>
          </w:rPr>
        </w:r>
        <w:r>
          <w:rPr>
            <w:webHidden/>
          </w:rPr>
          <w:fldChar w:fldCharType="separate"/>
        </w:r>
        <w:r>
          <w:rPr>
            <w:webHidden/>
          </w:rPr>
          <w:t>5</w:t>
        </w:r>
        <w:r>
          <w:rPr>
            <w:webHidden/>
          </w:rPr>
          <w:fldChar w:fldCharType="end"/>
        </w:r>
      </w:hyperlink>
    </w:p>
    <w:p w:rsidR="0077360A" w:rsidRDefault="0077360A">
      <w:pPr>
        <w:pStyle w:val="TOC1"/>
        <w:rPr>
          <w:rFonts w:asciiTheme="minorHAnsi" w:eastAsiaTheme="minorEastAsia" w:hAnsiTheme="minorHAnsi"/>
          <w:b w:val="0"/>
          <w:color w:val="auto"/>
          <w:sz w:val="22"/>
          <w:lang w:val="en-AU" w:eastAsia="en-AU"/>
        </w:rPr>
      </w:pPr>
      <w:hyperlink w:anchor="_Toc437874122" w:history="1">
        <w:r w:rsidRPr="00E44980">
          <w:rPr>
            <w:rStyle w:val="Hyperlink"/>
          </w:rPr>
          <w:t xml:space="preserve">Appendix A </w:t>
        </w:r>
        <w:r w:rsidRPr="00E44980">
          <w:rPr>
            <w:rStyle w:val="Hyperlink"/>
            <w:rFonts w:cs="Arial"/>
          </w:rPr>
          <w:t>−</w:t>
        </w:r>
        <w:r w:rsidRPr="00E44980">
          <w:rPr>
            <w:rStyle w:val="Hyperlink"/>
          </w:rPr>
          <w:t xml:space="preserve"> Request from TransGrid</w:t>
        </w:r>
        <w:r>
          <w:rPr>
            <w:webHidden/>
          </w:rPr>
          <w:tab/>
        </w:r>
        <w:r>
          <w:rPr>
            <w:webHidden/>
          </w:rPr>
          <w:fldChar w:fldCharType="begin"/>
        </w:r>
        <w:r>
          <w:rPr>
            <w:webHidden/>
          </w:rPr>
          <w:instrText xml:space="preserve"> PAGEREF _Toc437874122 \h </w:instrText>
        </w:r>
        <w:r>
          <w:rPr>
            <w:webHidden/>
          </w:rPr>
        </w:r>
        <w:r>
          <w:rPr>
            <w:webHidden/>
          </w:rPr>
          <w:fldChar w:fldCharType="separate"/>
        </w:r>
        <w:r>
          <w:rPr>
            <w:webHidden/>
          </w:rPr>
          <w:t>7</w:t>
        </w:r>
        <w:r>
          <w:rPr>
            <w:webHidden/>
          </w:rPr>
          <w:fldChar w:fldCharType="end"/>
        </w:r>
      </w:hyperlink>
    </w:p>
    <w:p w:rsidR="0020492C" w:rsidRDefault="00A75077" w:rsidP="009F5BA1">
      <w:r>
        <w:fldChar w:fldCharType="end"/>
      </w:r>
      <w:r w:rsidR="0020492C">
        <w:tab/>
      </w:r>
    </w:p>
    <w:p w:rsidR="00A33469" w:rsidRDefault="00A33469" w:rsidP="009F5BA1"/>
    <w:p w:rsidR="00185CB9" w:rsidRDefault="00A33469" w:rsidP="00A33469">
      <w:pPr>
        <w:pStyle w:val="Heading1"/>
      </w:pPr>
      <w:bookmarkStart w:id="2" w:name="_Toc437874119"/>
      <w:r>
        <w:lastRenderedPageBreak/>
        <w:t>Introduction</w:t>
      </w:r>
      <w:bookmarkEnd w:id="2"/>
    </w:p>
    <w:p w:rsidR="00A33469" w:rsidRDefault="00A33469" w:rsidP="00A33469">
      <w:pPr>
        <w:pStyle w:val="BodyText"/>
      </w:pPr>
      <w:r w:rsidRPr="00A33469">
        <w:t>The framework</w:t>
      </w:r>
      <w:r>
        <w:t xml:space="preserve"> and approach (F&amp;A) is the first step in a process to determine efficient prices for electricity services. </w:t>
      </w:r>
      <w:r w:rsidR="001829A3">
        <w:t>We use the F&amp;A to indicate</w:t>
      </w:r>
      <w:r>
        <w:t xml:space="preserve">, amongst other things, </w:t>
      </w:r>
      <w:r w:rsidR="001829A3">
        <w:t>which incentive schemes we will apply</w:t>
      </w:r>
      <w:r>
        <w:t xml:space="preserve"> </w:t>
      </w:r>
      <w:r w:rsidR="00F91040">
        <w:t>under the National Electricity Rules (rules)</w:t>
      </w:r>
      <w:r>
        <w:t>. It also facilitates early public consultation and assists TransGri</w:t>
      </w:r>
      <w:r w:rsidR="00F91040">
        <w:t xml:space="preserve">d </w:t>
      </w:r>
      <w:r w:rsidR="0074193E">
        <w:t xml:space="preserve">to </w:t>
      </w:r>
      <w:r w:rsidR="00F91040">
        <w:t xml:space="preserve">prepare its revenue proposal. </w:t>
      </w:r>
    </w:p>
    <w:p w:rsidR="00F91040" w:rsidRDefault="00F91040" w:rsidP="00A33469">
      <w:pPr>
        <w:pStyle w:val="BodyText"/>
      </w:pPr>
      <w:r>
        <w:t>TransGrid is a licensed, regulated operator of the monopoly high voltage electricity transmission network in NSW. The network comprises the poles, wires and transformers used for transporting high voltage electricity from remote generators to population centres. TransGrid designs, constructs, operates and maintains the transmission network for NSW electricity consumers. T</w:t>
      </w:r>
      <w:r w:rsidR="0074193E">
        <w:t xml:space="preserve">ransGrid's </w:t>
      </w:r>
      <w:r>
        <w:t>current f</w:t>
      </w:r>
      <w:r w:rsidR="0074193E">
        <w:t>our</w:t>
      </w:r>
      <w:r>
        <w:t xml:space="preserve"> year regulatory control period concludes on 30 June 2018. </w:t>
      </w:r>
    </w:p>
    <w:p w:rsidR="00F91040" w:rsidRDefault="00F91040" w:rsidP="00A33469">
      <w:pPr>
        <w:pStyle w:val="BodyText"/>
      </w:pPr>
      <w:r>
        <w:t>Diagram 1 provides an overview of the reset process for TransGrid for the regulatory control period commencing on 1 July 2018. Stakeholder consultation occurs throughout the process.</w:t>
      </w:r>
    </w:p>
    <w:p w:rsidR="00F91040" w:rsidRDefault="00F91040" w:rsidP="00F91040">
      <w:pPr>
        <w:pStyle w:val="Caption"/>
      </w:pPr>
      <w:r>
        <w:t>Diagram 1: TransGrid reset process</w:t>
      </w:r>
    </w:p>
    <w:p w:rsidR="006266CB" w:rsidRDefault="006266CB" w:rsidP="006266CB">
      <w:r w:rsidRPr="00CC5F70">
        <w:rPr>
          <w:noProof/>
          <w:lang w:eastAsia="en-AU"/>
        </w:rPr>
        <w:drawing>
          <wp:inline distT="0" distB="0" distL="0" distR="0" wp14:anchorId="42E0ABEB" wp14:editId="403033BB">
            <wp:extent cx="5731510" cy="931545"/>
            <wp:effectExtent l="0" t="0" r="21590" b="190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2426B" w:rsidRDefault="00172A4B" w:rsidP="00B30EAB">
      <w:pPr>
        <w:pStyle w:val="Heading2"/>
      </w:pPr>
      <w:bookmarkStart w:id="3" w:name="_Toc437874120"/>
      <w:r>
        <w:t xml:space="preserve">AER requirements to amend or replace the </w:t>
      </w:r>
      <w:r w:rsidR="00F2426B">
        <w:t>F&amp;A</w:t>
      </w:r>
      <w:bookmarkEnd w:id="3"/>
    </w:p>
    <w:p w:rsidR="00814B06" w:rsidRDefault="00F2426B" w:rsidP="00F2426B">
      <w:r>
        <w:t>We are at the first st</w:t>
      </w:r>
      <w:r w:rsidR="00814B06">
        <w:t>age</w:t>
      </w:r>
      <w:r>
        <w:t xml:space="preserve"> in the TransGrid reset process.</w:t>
      </w:r>
      <w:r w:rsidR="00814B06">
        <w:t xml:space="preserve"> As part of this stage, </w:t>
      </w:r>
      <w:r w:rsidR="00814B06" w:rsidRPr="00814B06">
        <w:t xml:space="preserve">the AER is required to consult on whether the current F&amp;A paper for TransGrid (published in January 2014) should be amended or replaced. </w:t>
      </w:r>
      <w:r w:rsidR="00814B06">
        <w:t>This is a three step process set out in clause 6A.10.1A(c) of the National Electricity Rules (NER)</w:t>
      </w:r>
      <w:r w:rsidR="00FF6F8D">
        <w:t>. That clause</w:t>
      </w:r>
      <w:r w:rsidR="00814B06">
        <w:t xml:space="preserve"> provides that:</w:t>
      </w:r>
    </w:p>
    <w:p w:rsidR="00814B06" w:rsidRDefault="00814B06" w:rsidP="00814B06">
      <w:pPr>
        <w:pStyle w:val="Bulletpoint"/>
      </w:pPr>
      <w:r>
        <w:t>no later than 32 months before the end of the current regulatory period the service provider may request the AER in writing to make an amended or replacement F&amp;A</w:t>
      </w:r>
    </w:p>
    <w:p w:rsidR="00814B06" w:rsidRDefault="00814B06" w:rsidP="00814B06">
      <w:pPr>
        <w:pStyle w:val="Bulletpoint"/>
      </w:pPr>
      <w:r>
        <w:t xml:space="preserve">no later than 31 months before the end of the current regulatory period the AER must publish </w:t>
      </w:r>
      <w:r w:rsidRPr="00814B06">
        <w:t xml:space="preserve">a notice inviting submissions on whether it is necessary or desirable to amend or replace an F&amp;A paper </w:t>
      </w:r>
      <w:r>
        <w:t>(the</w:t>
      </w:r>
      <w:r w:rsidRPr="00814B06">
        <w:t xml:space="preserve"> ‘first F&amp;A notice’)</w:t>
      </w:r>
    </w:p>
    <w:p w:rsidR="00814B06" w:rsidRPr="00814B06" w:rsidRDefault="00814B06" w:rsidP="00814B06">
      <w:pPr>
        <w:pStyle w:val="Bulletpoint"/>
      </w:pPr>
      <w:r>
        <w:t xml:space="preserve">no later than 30 months before the end of the current regulatory period the AER must publish a notice </w:t>
      </w:r>
      <w:r w:rsidRPr="00814B06">
        <w:t>(</w:t>
      </w:r>
      <w:r>
        <w:t xml:space="preserve">the </w:t>
      </w:r>
      <w:r w:rsidRPr="00814B06">
        <w:t>‘second F&amp;A notice’)  that:</w:t>
      </w:r>
    </w:p>
    <w:p w:rsidR="00814B06" w:rsidRDefault="001B4604" w:rsidP="00172A4B">
      <w:pPr>
        <w:pStyle w:val="Bulletpoint2"/>
      </w:pPr>
      <w:r>
        <w:t xml:space="preserve">states </w:t>
      </w:r>
      <w:r w:rsidR="00814B06" w:rsidRPr="00814B06">
        <w:t>that the AER will make an amended or replacement F&amp;A in respect of matters specified in a</w:t>
      </w:r>
      <w:r w:rsidR="00814B06">
        <w:t xml:space="preserve"> request from a service provider</w:t>
      </w:r>
    </w:p>
    <w:p w:rsidR="001B4604" w:rsidRDefault="00EC21CC" w:rsidP="00172A4B">
      <w:pPr>
        <w:pStyle w:val="Bulletpoint2"/>
      </w:pPr>
      <w:r>
        <w:t>includes a copy of TransGrid's request to make an amended or replacement F&amp;A</w:t>
      </w:r>
    </w:p>
    <w:p w:rsidR="00814B06" w:rsidRDefault="001B4604" w:rsidP="00172A4B">
      <w:pPr>
        <w:pStyle w:val="Bulletpoint2"/>
      </w:pPr>
      <w:r>
        <w:t xml:space="preserve">states </w:t>
      </w:r>
      <w:r w:rsidR="00814B06" w:rsidRPr="00814B06">
        <w:t>whether the AER will make an amended or replacement F&amp;A in respect of any matter other than those raised by the service provider, and if so, the reasons why we consider it necessary or desirable to make an amended or replacement F&amp;A.</w:t>
      </w:r>
      <w:r w:rsidR="00814B06">
        <w:t xml:space="preserve"> </w:t>
      </w:r>
    </w:p>
    <w:p w:rsidR="00814B06" w:rsidRPr="00814B06" w:rsidRDefault="00814B06" w:rsidP="00FF6F8D">
      <w:r w:rsidRPr="00814B06">
        <w:lastRenderedPageBreak/>
        <w:t>TransGrid wrote to us on 26 October 2015 requesting updates to the F&amp;A to reflect current versions of incentive schemes. A copy of TransGrid's request is at appendix A.</w:t>
      </w:r>
      <w:r w:rsidRPr="00814B06">
        <w:rPr>
          <w:rStyle w:val="FootnoteReference"/>
        </w:rPr>
        <w:footnoteReference w:id="2"/>
      </w:r>
    </w:p>
    <w:p w:rsidR="00613791" w:rsidRDefault="00FF6F8D" w:rsidP="00FF6F8D">
      <w:r>
        <w:t>On 13 November 2015 we</w:t>
      </w:r>
      <w:r w:rsidR="00814B06" w:rsidRPr="00814B06">
        <w:t xml:space="preserve"> issued </w:t>
      </w:r>
      <w:r>
        <w:t xml:space="preserve">the </w:t>
      </w:r>
      <w:r w:rsidR="00814B06" w:rsidRPr="00814B06">
        <w:t>first F&amp;A notice under the rules</w:t>
      </w:r>
      <w:r w:rsidR="00814B06" w:rsidRPr="00814B06">
        <w:rPr>
          <w:rStyle w:val="FootnoteReference"/>
        </w:rPr>
        <w:footnoteReference w:id="3"/>
      </w:r>
      <w:r w:rsidR="00814B06" w:rsidRPr="00814B06">
        <w:t xml:space="preserve"> inviting submissions from stakeholders on whether it is necessary or desirable to amend or replace the current F&amp;A for TransGrid. Submissions closed on 4 December 2015. We did not receive any submissions in response to our invitation.</w:t>
      </w:r>
    </w:p>
    <w:p w:rsidR="00FF6F8D" w:rsidRDefault="003C7EA6" w:rsidP="00FF6F8D">
      <w:r>
        <w:t>We are</w:t>
      </w:r>
      <w:r w:rsidR="00FF6F8D">
        <w:t xml:space="preserve"> required to issue a second F&amp;A notice</w:t>
      </w:r>
      <w:r w:rsidR="00172A4B">
        <w:t xml:space="preserve"> for TransGrid</w:t>
      </w:r>
      <w:r w:rsidR="00FF6F8D">
        <w:t xml:space="preserve"> no later than 30 months before the end of the current regulatory period</w:t>
      </w:r>
      <w:r w:rsidR="00172A4B">
        <w:t>, being 31 December 2015</w:t>
      </w:r>
      <w:r w:rsidR="00FF6F8D">
        <w:t>.</w:t>
      </w:r>
    </w:p>
    <w:p w:rsidR="006266CB" w:rsidRDefault="00B30EAB" w:rsidP="00B30EAB">
      <w:pPr>
        <w:pStyle w:val="Heading2"/>
      </w:pPr>
      <w:bookmarkStart w:id="4" w:name="_Toc437874121"/>
      <w:r>
        <w:t>Our decision to replace the F&amp;A</w:t>
      </w:r>
      <w:bookmarkEnd w:id="4"/>
    </w:p>
    <w:p w:rsidR="006266CB" w:rsidRDefault="00F266E4" w:rsidP="006266CB">
      <w:r>
        <w:t>We have decided to</w:t>
      </w:r>
      <w:r w:rsidR="00F77AF1">
        <w:t xml:space="preserve"> </w:t>
      </w:r>
      <w:r>
        <w:t>replace the F&amp;A</w:t>
      </w:r>
      <w:r w:rsidR="0034265C">
        <w:t xml:space="preserve"> we published for TransGrid in January 2014.</w:t>
      </w:r>
      <w:r w:rsidR="00B26D0D">
        <w:rPr>
          <w:rStyle w:val="FootnoteReference"/>
        </w:rPr>
        <w:footnoteReference w:id="4"/>
      </w:r>
      <w:r w:rsidR="0034265C">
        <w:t xml:space="preserve"> </w:t>
      </w:r>
      <w:r w:rsidR="00623B19">
        <w:t>In accordance with the rules, we intend to publish a replacement F&amp;A by 31 July 2016.</w:t>
      </w:r>
      <w:r w:rsidR="00623B19">
        <w:rPr>
          <w:rStyle w:val="FootnoteReference"/>
        </w:rPr>
        <w:footnoteReference w:id="5"/>
      </w:r>
      <w:r w:rsidR="00623B19">
        <w:t xml:space="preserve"> We will </w:t>
      </w:r>
      <w:r w:rsidR="0074193E">
        <w:t>consult on a replacement F&amp;A in early</w:t>
      </w:r>
      <w:r w:rsidR="00623B19">
        <w:t xml:space="preserve"> 2016. </w:t>
      </w:r>
    </w:p>
    <w:p w:rsidR="002765D8" w:rsidRDefault="00FF6F8D" w:rsidP="006266CB">
      <w:r>
        <w:t>T</w:t>
      </w:r>
      <w:r w:rsidR="00014CDF">
        <w:t>he</w:t>
      </w:r>
      <w:r w:rsidR="002765D8">
        <w:t xml:space="preserve"> replacement F&amp;A will address</w:t>
      </w:r>
      <w:r w:rsidR="00F77AF1">
        <w:t xml:space="preserve"> the matters </w:t>
      </w:r>
      <w:r w:rsidR="005E0737">
        <w:t>requested</w:t>
      </w:r>
      <w:r w:rsidR="00F77AF1">
        <w:t xml:space="preserve"> in</w:t>
      </w:r>
      <w:r w:rsidR="002765D8">
        <w:t xml:space="preserve"> TransGrid's </w:t>
      </w:r>
      <w:r w:rsidR="005E0737">
        <w:t>letter</w:t>
      </w:r>
      <w:r w:rsidR="00F77AF1">
        <w:t>. TransGrid requested</w:t>
      </w:r>
      <w:r w:rsidR="002765D8">
        <w:t xml:space="preserve"> that we update references to the service target performance incentive scheme (STPIS) to the version applicable</w:t>
      </w:r>
      <w:r w:rsidR="003768E9">
        <w:t xml:space="preserve"> at the commencement of the next regulatory control period</w:t>
      </w:r>
      <w:r w:rsidR="002765D8">
        <w:t>.</w:t>
      </w:r>
      <w:r w:rsidR="003768E9">
        <w:rPr>
          <w:rStyle w:val="FootnoteReference"/>
        </w:rPr>
        <w:footnoteReference w:id="6"/>
      </w:r>
      <w:r w:rsidR="002765D8">
        <w:t xml:space="preserve"> </w:t>
      </w:r>
    </w:p>
    <w:p w:rsidR="003768E9" w:rsidRDefault="00014CDF" w:rsidP="006266CB">
      <w:r>
        <w:t>The replacement F&amp;A will also set out our proposed approach</w:t>
      </w:r>
      <w:r w:rsidR="00E14333">
        <w:t xml:space="preserve">, including some general updates, </w:t>
      </w:r>
      <w:r>
        <w:t>on the application of the following:</w:t>
      </w:r>
      <w:r w:rsidR="009B67FC">
        <w:rPr>
          <w:rStyle w:val="FootnoteReference"/>
        </w:rPr>
        <w:footnoteReference w:id="7"/>
      </w:r>
    </w:p>
    <w:p w:rsidR="00014CDF" w:rsidRDefault="00014CDF" w:rsidP="00014CDF">
      <w:pPr>
        <w:pStyle w:val="Bulletpoint"/>
      </w:pPr>
      <w:r>
        <w:t>STPIS</w:t>
      </w:r>
    </w:p>
    <w:p w:rsidR="00014CDF" w:rsidRDefault="00014CDF" w:rsidP="00014CDF">
      <w:pPr>
        <w:pStyle w:val="Bulletpoint"/>
      </w:pPr>
      <w:r>
        <w:t>expenditure efficiency benefit sharing scheme (EBSS)</w:t>
      </w:r>
    </w:p>
    <w:p w:rsidR="00014CDF" w:rsidRDefault="00014CDF" w:rsidP="00014CDF">
      <w:pPr>
        <w:pStyle w:val="Bulletpoint"/>
      </w:pPr>
      <w:r>
        <w:t>capital expenditure sharing scheme (CESS)</w:t>
      </w:r>
    </w:p>
    <w:p w:rsidR="00014CDF" w:rsidRDefault="00014CDF" w:rsidP="00014CDF">
      <w:pPr>
        <w:pStyle w:val="Bulletpoint"/>
      </w:pPr>
      <w:r>
        <w:t>expenditure forecast assessment guideline, and</w:t>
      </w:r>
    </w:p>
    <w:p w:rsidR="003768E9" w:rsidRDefault="00014CDF" w:rsidP="006266CB">
      <w:pPr>
        <w:pStyle w:val="Bulletpoint"/>
      </w:pPr>
      <w:r>
        <w:t>whether depreciation will be based on forecast or actual capital expenditure in updating the</w:t>
      </w:r>
      <w:r w:rsidR="009B67FC">
        <w:t xml:space="preserve"> regulatory asset base.</w:t>
      </w:r>
    </w:p>
    <w:p w:rsidR="00F77AF1" w:rsidRDefault="00F77AF1" w:rsidP="009B67FC">
      <w:r>
        <w:t xml:space="preserve">This second F&amp;A notice must also state whether </w:t>
      </w:r>
      <w:r w:rsidR="003C7EA6">
        <w:t>we</w:t>
      </w:r>
      <w:r>
        <w:t xml:space="preserve"> will make an amended or replacement F&amp;A paper in respect of any matter other than any matters referred to in a request from a service provider.</w:t>
      </w:r>
      <w:r>
        <w:rPr>
          <w:rStyle w:val="FootnoteReference"/>
        </w:rPr>
        <w:footnoteReference w:id="8"/>
      </w:r>
      <w:r>
        <w:t xml:space="preserve"> </w:t>
      </w:r>
      <w:r w:rsidR="0005486F">
        <w:t>W</w:t>
      </w:r>
      <w:r>
        <w:t>e did not receive any submissions in response to our first F&amp;A notice</w:t>
      </w:r>
      <w:r w:rsidR="00450225">
        <w:t>.</w:t>
      </w:r>
    </w:p>
    <w:p w:rsidR="009B67FC" w:rsidRPr="009B67FC" w:rsidRDefault="004F157F" w:rsidP="009B67FC">
      <w:r>
        <w:t>TransGrid's letter noted</w:t>
      </w:r>
      <w:r w:rsidR="009B67FC">
        <w:t xml:space="preserve"> that there is a substantial period of time between our decision to amend or replace the F&amp;A and the start of the next regulatory control period</w:t>
      </w:r>
      <w:r w:rsidR="00416768">
        <w:t xml:space="preserve"> in 2018.</w:t>
      </w:r>
      <w:r w:rsidR="00416768">
        <w:rPr>
          <w:rStyle w:val="FootnoteReference"/>
        </w:rPr>
        <w:footnoteReference w:id="9"/>
      </w:r>
      <w:r w:rsidR="009B67FC">
        <w:t xml:space="preserve"> For </w:t>
      </w:r>
      <w:r w:rsidR="009B67FC">
        <w:lastRenderedPageBreak/>
        <w:t xml:space="preserve">this reason, </w:t>
      </w:r>
      <w:r w:rsidR="00376643">
        <w:t xml:space="preserve">our F&amp;A will refer to the version of the scheme applicable to TransGrid at the commencement of the relevant regulatory control period. We will consult with TransGrid and interested stakeholders on the feasibility of implementing </w:t>
      </w:r>
      <w:r>
        <w:t>any further updates to schemes that might occur</w:t>
      </w:r>
      <w:r w:rsidR="00416768">
        <w:t xml:space="preserve">. </w:t>
      </w:r>
      <w:r w:rsidR="00376643">
        <w:t xml:space="preserve"> </w:t>
      </w:r>
    </w:p>
    <w:p w:rsidR="003768E9" w:rsidRDefault="00416768" w:rsidP="006266CB">
      <w:r>
        <w:t>W</w:t>
      </w:r>
      <w:r w:rsidR="00376643">
        <w:t>e may raise other matters in the F&amp;A in addition to those listed above</w:t>
      </w:r>
      <w:r w:rsidR="0074193E">
        <w:t>,</w:t>
      </w:r>
      <w:r>
        <w:t xml:space="preserve"> where we consider early stakeholder input might be useful</w:t>
      </w:r>
      <w:r w:rsidR="00376643">
        <w:t>.</w:t>
      </w:r>
      <w:r w:rsidR="00376643">
        <w:rPr>
          <w:rStyle w:val="FootnoteReference"/>
        </w:rPr>
        <w:footnoteReference w:id="10"/>
      </w:r>
      <w:r w:rsidR="00376643">
        <w:t xml:space="preserve"> </w:t>
      </w:r>
    </w:p>
    <w:p w:rsidR="00376643" w:rsidRDefault="00FF6F8D" w:rsidP="00376643">
      <w:r>
        <w:t>T</w:t>
      </w:r>
      <w:r w:rsidR="00376643">
        <w:t>he positions we set out in our F&amp;A are not binding on us or TransGrid.</w:t>
      </w:r>
      <w:r w:rsidR="00376643">
        <w:rPr>
          <w:rStyle w:val="FootnoteReference"/>
        </w:rPr>
        <w:footnoteReference w:id="11"/>
      </w:r>
      <w:r w:rsidR="00376643">
        <w:t xml:space="preserve"> This means that it is open to TransGrid to propose a different position, on matters set out in the F&amp;A</w:t>
      </w:r>
      <w:r>
        <w:t>,</w:t>
      </w:r>
      <w:r w:rsidR="00376643">
        <w:t xml:space="preserve"> during the determination process. </w:t>
      </w:r>
      <w:r w:rsidR="00F77AF1">
        <w:t xml:space="preserve">If </w:t>
      </w:r>
      <w:r w:rsidR="00376643">
        <w:t xml:space="preserve">our position changes from that set out in the F&amp;A, we will provide clear reasons. </w:t>
      </w:r>
    </w:p>
    <w:p w:rsidR="00376643" w:rsidRDefault="00376643" w:rsidP="006266CB"/>
    <w:p w:rsidR="009B67FC" w:rsidRDefault="009B67FC" w:rsidP="006266CB"/>
    <w:p w:rsidR="009B67FC" w:rsidRDefault="009B67FC" w:rsidP="006266CB"/>
    <w:p w:rsidR="006266CB" w:rsidRDefault="006266CB" w:rsidP="006266CB"/>
    <w:p w:rsidR="006266CB" w:rsidRPr="006266CB" w:rsidRDefault="00C97719" w:rsidP="00C97719">
      <w:pPr>
        <w:pStyle w:val="Heading1notnumber"/>
      </w:pPr>
      <w:bookmarkStart w:id="5" w:name="_Toc437874122"/>
      <w:r>
        <w:lastRenderedPageBreak/>
        <w:t xml:space="preserve">Appendix A </w:t>
      </w:r>
      <w:r>
        <w:rPr>
          <w:rFonts w:cs="Arial"/>
        </w:rPr>
        <w:t>−</w:t>
      </w:r>
      <w:r>
        <w:t xml:space="preserve"> Request from TransGrid</w:t>
      </w:r>
      <w:bookmarkEnd w:id="5"/>
      <w:r>
        <w:t xml:space="preserve"> </w:t>
      </w:r>
    </w:p>
    <w:p w:rsidR="00F91040" w:rsidRDefault="00C97719" w:rsidP="00A33469">
      <w:pPr>
        <w:pStyle w:val="BodyText"/>
      </w:pPr>
      <w:r w:rsidRPr="00C97719">
        <w:rPr>
          <w:noProof/>
          <w:lang w:eastAsia="en-AU"/>
        </w:rPr>
        <w:drawing>
          <wp:inline distT="0" distB="0" distL="0" distR="0" wp14:anchorId="60190B5A" wp14:editId="3BD55BAE">
            <wp:extent cx="5731510" cy="81017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C97719" w:rsidRDefault="00C97719" w:rsidP="00A33469">
      <w:pPr>
        <w:pStyle w:val="BodyText"/>
      </w:pPr>
      <w:r w:rsidRPr="00C97719">
        <w:rPr>
          <w:noProof/>
          <w:lang w:eastAsia="en-AU"/>
        </w:rPr>
        <w:lastRenderedPageBreak/>
        <w:drawing>
          <wp:inline distT="0" distB="0" distL="0" distR="0" wp14:anchorId="206B3BBA" wp14:editId="4CDF0A96">
            <wp:extent cx="5731510" cy="81017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C97719" w:rsidRDefault="00C97719" w:rsidP="00A33469">
      <w:pPr>
        <w:pStyle w:val="BodyText"/>
      </w:pPr>
    </w:p>
    <w:p w:rsidR="00C97719" w:rsidRDefault="00C97719" w:rsidP="00A33469">
      <w:pPr>
        <w:pStyle w:val="BodyText"/>
      </w:pPr>
    </w:p>
    <w:p w:rsidR="00C97719" w:rsidRPr="00A33469" w:rsidRDefault="00C97719" w:rsidP="00A33469">
      <w:pPr>
        <w:pStyle w:val="BodyText"/>
      </w:pPr>
      <w:r w:rsidRPr="00C97719">
        <w:rPr>
          <w:noProof/>
          <w:lang w:eastAsia="en-AU"/>
        </w:rPr>
        <w:lastRenderedPageBreak/>
        <w:drawing>
          <wp:inline distT="0" distB="0" distL="0" distR="0" wp14:anchorId="7B037572" wp14:editId="4EBD8D06">
            <wp:extent cx="5731510" cy="8101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sectPr w:rsidR="00C97719" w:rsidRPr="00A33469" w:rsidSect="00E137FB">
      <w:footerReference w:type="even" r:id="rId20"/>
      <w:footerReference w:type="default" r:id="rId21"/>
      <w:footerReference w:type="first" r:id="rId22"/>
      <w:pgSz w:w="11906" w:h="16838"/>
      <w:pgMar w:top="1440" w:right="1440" w:bottom="1440" w:left="1440" w:header="708" w:footer="8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469" w:rsidRDefault="00A33469" w:rsidP="004B4412">
      <w:pPr>
        <w:spacing w:before="0"/>
      </w:pPr>
      <w:r>
        <w:separator/>
      </w:r>
    </w:p>
    <w:p w:rsidR="00A33469" w:rsidRDefault="00A33469"/>
    <w:p w:rsidR="00A33469" w:rsidRDefault="00A33469"/>
  </w:endnote>
  <w:endnote w:type="continuationSeparator" w:id="0">
    <w:p w:rsidR="00A33469" w:rsidRDefault="00A33469" w:rsidP="004B4412">
      <w:pPr>
        <w:spacing w:before="0"/>
      </w:pPr>
      <w:r>
        <w:continuationSeparator/>
      </w:r>
    </w:p>
    <w:p w:rsidR="00A33469" w:rsidRDefault="00A33469"/>
    <w:p w:rsidR="00A33469" w:rsidRDefault="00A33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92C" w:rsidRPr="00A91A9E" w:rsidRDefault="0020492C" w:rsidP="00D34063">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DB1A67" w:rsidRDefault="00DB1A67"/>
  <w:p w:rsidR="0056080A" w:rsidRDefault="005608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F1D" w:rsidRDefault="00F13241" w:rsidP="00CC7F1D">
    <w:pPr>
      <w:pStyle w:val="Footer"/>
      <w:tabs>
        <w:tab w:val="clear" w:pos="9026"/>
        <w:tab w:val="right" w:pos="8505"/>
      </w:tabs>
    </w:pPr>
    <w:r>
      <w:fldChar w:fldCharType="begin"/>
    </w:r>
    <w:r>
      <w:instrText xml:space="preserve"> STYLEREF  "Report Title"  \* MERGEFORMAT </w:instrText>
    </w:r>
    <w:r>
      <w:fldChar w:fldCharType="separate"/>
    </w:r>
    <w:r w:rsidR="00E503C4">
      <w:rPr>
        <w:noProof/>
      </w:rPr>
      <w:t>Decision to replace the framework and approach paper for TransGrid</w:t>
    </w:r>
    <w:r>
      <w:rPr>
        <w:noProof/>
      </w:rPr>
      <w:fldChar w:fldCharType="end"/>
    </w:r>
    <w:r w:rsidR="00CC7F1D">
      <w:tab/>
    </w:r>
    <w:r w:rsidR="00CC7F1D">
      <w:tab/>
    </w:r>
    <w:r w:rsidR="00CC7F1D">
      <w:fldChar w:fldCharType="begin"/>
    </w:r>
    <w:r w:rsidR="00CC7F1D">
      <w:instrText xml:space="preserve"> PAGE   \* MERGEFORMAT </w:instrText>
    </w:r>
    <w:r w:rsidR="00CC7F1D">
      <w:fldChar w:fldCharType="separate"/>
    </w:r>
    <w:r w:rsidR="00E503C4">
      <w:rPr>
        <w:noProof/>
      </w:rPr>
      <w:t>9</w:t>
    </w:r>
    <w:r w:rsidR="00CC7F1D">
      <w:rPr>
        <w:noProof/>
      </w:rPr>
      <w:fldChar w:fldCharType="end"/>
    </w:r>
  </w:p>
  <w:p w:rsidR="00DB1A67" w:rsidRDefault="00DB1A67"/>
  <w:p w:rsidR="0056080A" w:rsidRDefault="005608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F1D" w:rsidRDefault="00F13241" w:rsidP="00CC7F1D">
    <w:pPr>
      <w:pStyle w:val="Footer"/>
      <w:tabs>
        <w:tab w:val="clear" w:pos="9026"/>
        <w:tab w:val="right" w:pos="8505"/>
      </w:tabs>
    </w:pPr>
    <w:r>
      <w:fldChar w:fldCharType="begin"/>
    </w:r>
    <w:r>
      <w:instrText xml:space="preserve"> STYLEREF  "Report Title"  \* MERGEFORMAT </w:instrText>
    </w:r>
    <w:r>
      <w:fldChar w:fldCharType="separate"/>
    </w:r>
    <w:r w:rsidR="00E503C4">
      <w:rPr>
        <w:noProof/>
      </w:rPr>
      <w:t>Decision to replace the framework and approach paper for TransGrid</w:t>
    </w:r>
    <w:r>
      <w:rPr>
        <w:noProof/>
      </w:rPr>
      <w:fldChar w:fldCharType="end"/>
    </w:r>
    <w:r w:rsidR="00CC7F1D">
      <w:tab/>
    </w:r>
    <w:r w:rsidR="00CC7F1D">
      <w:tab/>
    </w:r>
    <w:r w:rsidR="00CC7F1D">
      <w:fldChar w:fldCharType="begin"/>
    </w:r>
    <w:r w:rsidR="00CC7F1D">
      <w:instrText xml:space="preserve"> PAGE   \* MERGEFORMAT </w:instrText>
    </w:r>
    <w:r w:rsidR="00CC7F1D">
      <w:fldChar w:fldCharType="separate"/>
    </w:r>
    <w:r w:rsidR="00E503C4">
      <w:rPr>
        <w:noProof/>
      </w:rPr>
      <w:t>1</w:t>
    </w:r>
    <w:r w:rsidR="00CC7F1D">
      <w:fldChar w:fldCharType="end"/>
    </w:r>
  </w:p>
  <w:p w:rsidR="00CC7F1D" w:rsidRDefault="00CC7F1D">
    <w:pPr>
      <w:pStyle w:val="Footer"/>
    </w:pPr>
  </w:p>
  <w:p w:rsidR="00DB1A67" w:rsidRDefault="00DB1A67"/>
  <w:p w:rsidR="0056080A" w:rsidRDefault="005608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469" w:rsidRDefault="00A33469" w:rsidP="00182906">
      <w:pPr>
        <w:spacing w:before="0"/>
      </w:pPr>
      <w:r>
        <w:separator/>
      </w:r>
    </w:p>
  </w:footnote>
  <w:footnote w:type="continuationSeparator" w:id="0">
    <w:p w:rsidR="00A33469" w:rsidRDefault="00A33469" w:rsidP="00182906">
      <w:pPr>
        <w:spacing w:before="0"/>
      </w:pPr>
      <w:r>
        <w:continuationSeparator/>
      </w:r>
    </w:p>
  </w:footnote>
  <w:footnote w:type="continuationNotice" w:id="1">
    <w:p w:rsidR="00A33469" w:rsidRDefault="00A33469">
      <w:pPr>
        <w:spacing w:before="0" w:line="240" w:lineRule="auto"/>
      </w:pPr>
    </w:p>
  </w:footnote>
  <w:footnote w:id="2">
    <w:p w:rsidR="00814B06" w:rsidRDefault="00814B06" w:rsidP="00814B06">
      <w:pPr>
        <w:pStyle w:val="FootnoteText"/>
      </w:pPr>
      <w:r>
        <w:rPr>
          <w:rStyle w:val="FootnoteReference"/>
        </w:rPr>
        <w:footnoteRef/>
      </w:r>
      <w:r>
        <w:t xml:space="preserve"> </w:t>
      </w:r>
      <w:r>
        <w:tab/>
        <w:t>As required under NER, cl. 6A.10.1A(c)(3)(ii).</w:t>
      </w:r>
    </w:p>
  </w:footnote>
  <w:footnote w:id="3">
    <w:p w:rsidR="00814B06" w:rsidRDefault="00814B06" w:rsidP="00814B06">
      <w:pPr>
        <w:pStyle w:val="FootnoteText"/>
      </w:pPr>
      <w:r>
        <w:rPr>
          <w:rStyle w:val="FootnoteReference"/>
        </w:rPr>
        <w:footnoteRef/>
      </w:r>
      <w:r>
        <w:t xml:space="preserve"> </w:t>
      </w:r>
      <w:r>
        <w:tab/>
        <w:t xml:space="preserve">NER, cl. 6A.10.1A(c)(2). The notice was published on 13 November 2015. A copy is available at </w:t>
      </w:r>
      <w:r w:rsidRPr="00F06A4A">
        <w:t>https://www.aer.gov.au/networks-pipelines/determinations-access-arrangements/transgrid-determination-2018-22/initiation</w:t>
      </w:r>
    </w:p>
  </w:footnote>
  <w:footnote w:id="4">
    <w:p w:rsidR="00B26D0D" w:rsidRDefault="00B26D0D">
      <w:pPr>
        <w:pStyle w:val="FootnoteText"/>
      </w:pPr>
      <w:r>
        <w:rPr>
          <w:rStyle w:val="FootnoteReference"/>
        </w:rPr>
        <w:footnoteRef/>
      </w:r>
      <w:r>
        <w:t xml:space="preserve"> </w:t>
      </w:r>
      <w:r>
        <w:tab/>
        <w:t>NER, cl. 6A.10.1A</w:t>
      </w:r>
      <w:r w:rsidR="00597250">
        <w:t>(c)</w:t>
      </w:r>
      <w:r>
        <w:t>(3).</w:t>
      </w:r>
    </w:p>
  </w:footnote>
  <w:footnote w:id="5">
    <w:p w:rsidR="00623B19" w:rsidRDefault="00623B19">
      <w:pPr>
        <w:pStyle w:val="FootnoteText"/>
      </w:pPr>
      <w:r>
        <w:rPr>
          <w:rStyle w:val="FootnoteReference"/>
        </w:rPr>
        <w:footnoteRef/>
      </w:r>
      <w:r>
        <w:t xml:space="preserve"> </w:t>
      </w:r>
      <w:r>
        <w:tab/>
      </w:r>
      <w:r w:rsidR="00597250">
        <w:t>NER, cl. 6A.10.1A</w:t>
      </w:r>
      <w:r>
        <w:t>(e).</w:t>
      </w:r>
    </w:p>
  </w:footnote>
  <w:footnote w:id="6">
    <w:p w:rsidR="003768E9" w:rsidRDefault="003768E9">
      <w:pPr>
        <w:pStyle w:val="FootnoteText"/>
      </w:pPr>
      <w:r>
        <w:rPr>
          <w:rStyle w:val="FootnoteReference"/>
        </w:rPr>
        <w:footnoteRef/>
      </w:r>
      <w:r>
        <w:t xml:space="preserve"> </w:t>
      </w:r>
      <w:r>
        <w:tab/>
        <w:t xml:space="preserve">TransGrid, </w:t>
      </w:r>
      <w:r w:rsidRPr="003768E9">
        <w:rPr>
          <w:rStyle w:val="Emphasis"/>
        </w:rPr>
        <w:t>Letter to the AER re: Update to framework and approach paper for next regulatory control period</w:t>
      </w:r>
      <w:r>
        <w:t>, 26 October 2015.</w:t>
      </w:r>
    </w:p>
  </w:footnote>
  <w:footnote w:id="7">
    <w:p w:rsidR="009B67FC" w:rsidRDefault="009B67FC">
      <w:pPr>
        <w:pStyle w:val="FootnoteText"/>
      </w:pPr>
      <w:r>
        <w:rPr>
          <w:rStyle w:val="FootnoteReference"/>
        </w:rPr>
        <w:footnoteRef/>
      </w:r>
      <w:r>
        <w:t xml:space="preserve"> </w:t>
      </w:r>
      <w:r>
        <w:tab/>
        <w:t>NER, cl. 6A.10.1A(6).</w:t>
      </w:r>
    </w:p>
  </w:footnote>
  <w:footnote w:id="8">
    <w:p w:rsidR="00F77AF1" w:rsidRDefault="00F77AF1">
      <w:pPr>
        <w:pStyle w:val="FootnoteText"/>
      </w:pPr>
      <w:r>
        <w:rPr>
          <w:rStyle w:val="FootnoteReference"/>
        </w:rPr>
        <w:footnoteRef/>
      </w:r>
      <w:r>
        <w:t xml:space="preserve"> </w:t>
      </w:r>
      <w:r>
        <w:tab/>
        <w:t>NER, cl. 6A.10.1A(c)(3)(iii)</w:t>
      </w:r>
      <w:r w:rsidR="00E14333">
        <w:t>.</w:t>
      </w:r>
    </w:p>
  </w:footnote>
  <w:footnote w:id="9">
    <w:p w:rsidR="00416768" w:rsidRDefault="00416768">
      <w:pPr>
        <w:pStyle w:val="FootnoteText"/>
      </w:pPr>
      <w:r>
        <w:rPr>
          <w:rStyle w:val="FootnoteReference"/>
        </w:rPr>
        <w:footnoteRef/>
      </w:r>
      <w:r>
        <w:t xml:space="preserve"> </w:t>
      </w:r>
      <w:r>
        <w:tab/>
        <w:t xml:space="preserve">TransGrid, </w:t>
      </w:r>
      <w:r w:rsidRPr="003768E9">
        <w:rPr>
          <w:rStyle w:val="Emphasis"/>
        </w:rPr>
        <w:t>Letter to the AER re: Update to framework and approach paper for next regulatory control period</w:t>
      </w:r>
      <w:r>
        <w:t xml:space="preserve">, 26 October 2015, p. 2. </w:t>
      </w:r>
    </w:p>
  </w:footnote>
  <w:footnote w:id="10">
    <w:p w:rsidR="00376643" w:rsidRDefault="00376643">
      <w:pPr>
        <w:pStyle w:val="FootnoteText"/>
      </w:pPr>
      <w:r>
        <w:rPr>
          <w:rStyle w:val="FootnoteReference"/>
        </w:rPr>
        <w:footnoteRef/>
      </w:r>
      <w:r>
        <w:t xml:space="preserve"> </w:t>
      </w:r>
      <w:r>
        <w:tab/>
        <w:t>NER, cl. 6A.10.</w:t>
      </w:r>
      <w:r w:rsidR="003C7EA6">
        <w:t>1</w:t>
      </w:r>
      <w:r>
        <w:t>A(g).</w:t>
      </w:r>
    </w:p>
  </w:footnote>
  <w:footnote w:id="11">
    <w:p w:rsidR="00376643" w:rsidRDefault="00376643" w:rsidP="00376643">
      <w:pPr>
        <w:pStyle w:val="FootnoteText"/>
      </w:pPr>
      <w:r>
        <w:rPr>
          <w:rStyle w:val="FootnoteReference"/>
        </w:rPr>
        <w:footnoteRef/>
      </w:r>
      <w:r>
        <w:t xml:space="preserve"> </w:t>
      </w:r>
      <w:r>
        <w:tab/>
        <w:t>NER, cl. 6A.10.1A(f).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5">
    <w:nsid w:val="6726588A"/>
    <w:multiLevelType w:val="hybridMultilevel"/>
    <w:tmpl w:val="8F28618C"/>
    <w:lvl w:ilvl="0" w:tplc="BC0492BE">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6">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9"/>
  </w:num>
  <w:num w:numId="14">
    <w:abstractNumId w:val="13"/>
  </w:num>
  <w:num w:numId="15">
    <w:abstractNumId w:val="16"/>
  </w:num>
  <w:num w:numId="16">
    <w:abstractNumId w:val="21"/>
  </w:num>
  <w:num w:numId="17">
    <w:abstractNumId w:val="12"/>
  </w:num>
  <w:num w:numId="18">
    <w:abstractNumId w:val="18"/>
  </w:num>
  <w:num w:numId="19">
    <w:abstractNumId w:val="11"/>
  </w:num>
  <w:num w:numId="20">
    <w:abstractNumId w:val="22"/>
  </w:num>
  <w:num w:numId="21">
    <w:abstractNumId w:val="26"/>
  </w:num>
  <w:num w:numId="22">
    <w:abstractNumId w:val="17"/>
  </w:num>
  <w:num w:numId="23">
    <w:abstractNumId w:val="2"/>
    <w:lvlOverride w:ilvl="0">
      <w:startOverride w:val="1"/>
    </w:lvlOverride>
  </w:num>
  <w:num w:numId="24">
    <w:abstractNumId w:val="18"/>
    <w:lvlOverride w:ilvl="0">
      <w:startOverride w:val="1"/>
    </w:lvlOverride>
  </w:num>
  <w:num w:numId="25">
    <w:abstractNumId w:val="24"/>
  </w:num>
  <w:num w:numId="26">
    <w:abstractNumId w:val="20"/>
  </w:num>
  <w:num w:numId="27">
    <w:abstractNumId w:val="9"/>
  </w:num>
  <w:num w:numId="28">
    <w:abstractNumId w:val="15"/>
  </w:num>
  <w:num w:numId="29">
    <w:abstractNumId w:val="10"/>
  </w:num>
  <w:num w:numId="30">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1" w:spinCount="100000" w:hashValue="V8DQQcTcxLoJvfwNpwbiosaGc5ldkUUup2kDvxELNck=" w:saltValue="9bk2AvJj52KBBALdPUzBFw==" w:algorithmName="SHA-256"/>
  <w:styleLockTheme/>
  <w:defaultTabStop w:val="34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Document2"/>
  </w:docVars>
  <w:rsids>
    <w:rsidRoot w:val="00A33469"/>
    <w:rsid w:val="00014CDF"/>
    <w:rsid w:val="00021202"/>
    <w:rsid w:val="0002517F"/>
    <w:rsid w:val="0003578C"/>
    <w:rsid w:val="0005486F"/>
    <w:rsid w:val="00063247"/>
    <w:rsid w:val="00070F9F"/>
    <w:rsid w:val="0007137B"/>
    <w:rsid w:val="00074341"/>
    <w:rsid w:val="00085663"/>
    <w:rsid w:val="00085EBF"/>
    <w:rsid w:val="00095DB6"/>
    <w:rsid w:val="000A6C7B"/>
    <w:rsid w:val="000D122C"/>
    <w:rsid w:val="000D79C7"/>
    <w:rsid w:val="000E1819"/>
    <w:rsid w:val="000E1A17"/>
    <w:rsid w:val="000E6C72"/>
    <w:rsid w:val="00107CC7"/>
    <w:rsid w:val="00116EB2"/>
    <w:rsid w:val="00124609"/>
    <w:rsid w:val="00130C3C"/>
    <w:rsid w:val="0014573B"/>
    <w:rsid w:val="001573E4"/>
    <w:rsid w:val="00160756"/>
    <w:rsid w:val="00170114"/>
    <w:rsid w:val="0017232E"/>
    <w:rsid w:val="00172A4B"/>
    <w:rsid w:val="00174102"/>
    <w:rsid w:val="00180157"/>
    <w:rsid w:val="00182906"/>
    <w:rsid w:val="001829A3"/>
    <w:rsid w:val="00185CB9"/>
    <w:rsid w:val="00186F77"/>
    <w:rsid w:val="001926A4"/>
    <w:rsid w:val="00192AD5"/>
    <w:rsid w:val="001B45A0"/>
    <w:rsid w:val="001B4604"/>
    <w:rsid w:val="001D055E"/>
    <w:rsid w:val="001F492E"/>
    <w:rsid w:val="001F6DA3"/>
    <w:rsid w:val="00200421"/>
    <w:rsid w:val="002010BC"/>
    <w:rsid w:val="00202E03"/>
    <w:rsid w:val="0020492C"/>
    <w:rsid w:val="00207FDC"/>
    <w:rsid w:val="00224DB9"/>
    <w:rsid w:val="00233775"/>
    <w:rsid w:val="00251745"/>
    <w:rsid w:val="00263AC0"/>
    <w:rsid w:val="0026772D"/>
    <w:rsid w:val="002765D8"/>
    <w:rsid w:val="00286874"/>
    <w:rsid w:val="00296B65"/>
    <w:rsid w:val="002A7DEF"/>
    <w:rsid w:val="002E1BE5"/>
    <w:rsid w:val="002E2BFC"/>
    <w:rsid w:val="002F7986"/>
    <w:rsid w:val="00301B40"/>
    <w:rsid w:val="00305CC8"/>
    <w:rsid w:val="00307F6D"/>
    <w:rsid w:val="003177A2"/>
    <w:rsid w:val="003271B5"/>
    <w:rsid w:val="00327A1E"/>
    <w:rsid w:val="00331264"/>
    <w:rsid w:val="00334C8D"/>
    <w:rsid w:val="0034265C"/>
    <w:rsid w:val="003518B3"/>
    <w:rsid w:val="0035213C"/>
    <w:rsid w:val="00376643"/>
    <w:rsid w:val="003768E9"/>
    <w:rsid w:val="003846F1"/>
    <w:rsid w:val="003C5176"/>
    <w:rsid w:val="003C7EA6"/>
    <w:rsid w:val="004151F3"/>
    <w:rsid w:val="00416768"/>
    <w:rsid w:val="004475F7"/>
    <w:rsid w:val="00450225"/>
    <w:rsid w:val="0047078F"/>
    <w:rsid w:val="00480B4B"/>
    <w:rsid w:val="00485DC4"/>
    <w:rsid w:val="004A43D1"/>
    <w:rsid w:val="004B4412"/>
    <w:rsid w:val="004C348C"/>
    <w:rsid w:val="004D55BA"/>
    <w:rsid w:val="004E22EC"/>
    <w:rsid w:val="004F157F"/>
    <w:rsid w:val="00530128"/>
    <w:rsid w:val="00532467"/>
    <w:rsid w:val="0056080A"/>
    <w:rsid w:val="00562632"/>
    <w:rsid w:val="00564A4D"/>
    <w:rsid w:val="00567BA5"/>
    <w:rsid w:val="00571B35"/>
    <w:rsid w:val="00571D57"/>
    <w:rsid w:val="00577A09"/>
    <w:rsid w:val="005829C2"/>
    <w:rsid w:val="00584D8F"/>
    <w:rsid w:val="00597250"/>
    <w:rsid w:val="005A404D"/>
    <w:rsid w:val="005B1E3C"/>
    <w:rsid w:val="005C26CC"/>
    <w:rsid w:val="005C4261"/>
    <w:rsid w:val="005E0737"/>
    <w:rsid w:val="00613791"/>
    <w:rsid w:val="00615C6B"/>
    <w:rsid w:val="00623B19"/>
    <w:rsid w:val="006266CB"/>
    <w:rsid w:val="00632D6D"/>
    <w:rsid w:val="00642C3E"/>
    <w:rsid w:val="00663DAD"/>
    <w:rsid w:val="00670957"/>
    <w:rsid w:val="006714B2"/>
    <w:rsid w:val="00676679"/>
    <w:rsid w:val="006B4CF9"/>
    <w:rsid w:val="006B7AC8"/>
    <w:rsid w:val="006C1FEB"/>
    <w:rsid w:val="006C6BF8"/>
    <w:rsid w:val="006D550F"/>
    <w:rsid w:val="00701CAB"/>
    <w:rsid w:val="00707563"/>
    <w:rsid w:val="0072348C"/>
    <w:rsid w:val="00724A37"/>
    <w:rsid w:val="007303C3"/>
    <w:rsid w:val="0074193E"/>
    <w:rsid w:val="00743223"/>
    <w:rsid w:val="00746E01"/>
    <w:rsid w:val="00757BDF"/>
    <w:rsid w:val="00763E5D"/>
    <w:rsid w:val="00767740"/>
    <w:rsid w:val="0077360A"/>
    <w:rsid w:val="00777EE6"/>
    <w:rsid w:val="00782EEA"/>
    <w:rsid w:val="007A4D1F"/>
    <w:rsid w:val="007B2C72"/>
    <w:rsid w:val="007C1C53"/>
    <w:rsid w:val="007C74BB"/>
    <w:rsid w:val="007E4904"/>
    <w:rsid w:val="007E4CB5"/>
    <w:rsid w:val="007F066B"/>
    <w:rsid w:val="008033C4"/>
    <w:rsid w:val="00806C88"/>
    <w:rsid w:val="0081034E"/>
    <w:rsid w:val="00814B06"/>
    <w:rsid w:val="008344F6"/>
    <w:rsid w:val="0083510F"/>
    <w:rsid w:val="008367DA"/>
    <w:rsid w:val="00843704"/>
    <w:rsid w:val="00851209"/>
    <w:rsid w:val="00860953"/>
    <w:rsid w:val="008837AC"/>
    <w:rsid w:val="008A3E3C"/>
    <w:rsid w:val="008A587D"/>
    <w:rsid w:val="008C5486"/>
    <w:rsid w:val="008D1661"/>
    <w:rsid w:val="008E7031"/>
    <w:rsid w:val="008F2354"/>
    <w:rsid w:val="00916CF6"/>
    <w:rsid w:val="009233EE"/>
    <w:rsid w:val="009460AA"/>
    <w:rsid w:val="00951978"/>
    <w:rsid w:val="00961DF0"/>
    <w:rsid w:val="009661DE"/>
    <w:rsid w:val="00973BB8"/>
    <w:rsid w:val="009856B7"/>
    <w:rsid w:val="009A5FC3"/>
    <w:rsid w:val="009B67FC"/>
    <w:rsid w:val="009B74B0"/>
    <w:rsid w:val="009D6B46"/>
    <w:rsid w:val="009F4940"/>
    <w:rsid w:val="009F5BA1"/>
    <w:rsid w:val="00A02A88"/>
    <w:rsid w:val="00A0562E"/>
    <w:rsid w:val="00A0726D"/>
    <w:rsid w:val="00A22495"/>
    <w:rsid w:val="00A32FBB"/>
    <w:rsid w:val="00A33469"/>
    <w:rsid w:val="00A4478A"/>
    <w:rsid w:val="00A44852"/>
    <w:rsid w:val="00A57D04"/>
    <w:rsid w:val="00A60023"/>
    <w:rsid w:val="00A60A26"/>
    <w:rsid w:val="00A61598"/>
    <w:rsid w:val="00A75077"/>
    <w:rsid w:val="00A84F46"/>
    <w:rsid w:val="00A871F4"/>
    <w:rsid w:val="00AC1B2C"/>
    <w:rsid w:val="00AC3264"/>
    <w:rsid w:val="00AE1BF1"/>
    <w:rsid w:val="00AF0857"/>
    <w:rsid w:val="00AF0DD2"/>
    <w:rsid w:val="00AF1ED6"/>
    <w:rsid w:val="00B13048"/>
    <w:rsid w:val="00B1716D"/>
    <w:rsid w:val="00B17A1D"/>
    <w:rsid w:val="00B207A0"/>
    <w:rsid w:val="00B26D0D"/>
    <w:rsid w:val="00B30EAB"/>
    <w:rsid w:val="00B37E38"/>
    <w:rsid w:val="00B514DD"/>
    <w:rsid w:val="00B52AF0"/>
    <w:rsid w:val="00B56E03"/>
    <w:rsid w:val="00B8080B"/>
    <w:rsid w:val="00B87C39"/>
    <w:rsid w:val="00B927D8"/>
    <w:rsid w:val="00BA3C98"/>
    <w:rsid w:val="00BA4665"/>
    <w:rsid w:val="00BB0148"/>
    <w:rsid w:val="00BB2FB2"/>
    <w:rsid w:val="00BB3304"/>
    <w:rsid w:val="00BD3446"/>
    <w:rsid w:val="00BE1F1B"/>
    <w:rsid w:val="00BE47B5"/>
    <w:rsid w:val="00C25FA6"/>
    <w:rsid w:val="00C538A9"/>
    <w:rsid w:val="00C53B5A"/>
    <w:rsid w:val="00C54F5A"/>
    <w:rsid w:val="00C569B4"/>
    <w:rsid w:val="00C67A92"/>
    <w:rsid w:val="00C86679"/>
    <w:rsid w:val="00C97719"/>
    <w:rsid w:val="00CA489E"/>
    <w:rsid w:val="00CB666B"/>
    <w:rsid w:val="00CC213C"/>
    <w:rsid w:val="00CC5F70"/>
    <w:rsid w:val="00CC7F1D"/>
    <w:rsid w:val="00D01CF0"/>
    <w:rsid w:val="00D0442A"/>
    <w:rsid w:val="00D61388"/>
    <w:rsid w:val="00D61A54"/>
    <w:rsid w:val="00D64DEA"/>
    <w:rsid w:val="00D7168E"/>
    <w:rsid w:val="00D71E57"/>
    <w:rsid w:val="00D80893"/>
    <w:rsid w:val="00D81EF4"/>
    <w:rsid w:val="00D84ED7"/>
    <w:rsid w:val="00D92CF1"/>
    <w:rsid w:val="00D92D38"/>
    <w:rsid w:val="00D950F5"/>
    <w:rsid w:val="00DB0F93"/>
    <w:rsid w:val="00DB1A67"/>
    <w:rsid w:val="00DB1C30"/>
    <w:rsid w:val="00DB5074"/>
    <w:rsid w:val="00DB723B"/>
    <w:rsid w:val="00DC7981"/>
    <w:rsid w:val="00DE4EFA"/>
    <w:rsid w:val="00DE5520"/>
    <w:rsid w:val="00E04818"/>
    <w:rsid w:val="00E06442"/>
    <w:rsid w:val="00E137FB"/>
    <w:rsid w:val="00E14333"/>
    <w:rsid w:val="00E16751"/>
    <w:rsid w:val="00E22820"/>
    <w:rsid w:val="00E23993"/>
    <w:rsid w:val="00E25B8C"/>
    <w:rsid w:val="00E45655"/>
    <w:rsid w:val="00E503C4"/>
    <w:rsid w:val="00E65C85"/>
    <w:rsid w:val="00E66199"/>
    <w:rsid w:val="00E70E82"/>
    <w:rsid w:val="00E755EC"/>
    <w:rsid w:val="00E7624D"/>
    <w:rsid w:val="00EA3D42"/>
    <w:rsid w:val="00EA6B1B"/>
    <w:rsid w:val="00EB505D"/>
    <w:rsid w:val="00EC21CC"/>
    <w:rsid w:val="00EE28F3"/>
    <w:rsid w:val="00EF5110"/>
    <w:rsid w:val="00F06A4A"/>
    <w:rsid w:val="00F13241"/>
    <w:rsid w:val="00F15882"/>
    <w:rsid w:val="00F171E0"/>
    <w:rsid w:val="00F20BD3"/>
    <w:rsid w:val="00F2426B"/>
    <w:rsid w:val="00F266E4"/>
    <w:rsid w:val="00F373A5"/>
    <w:rsid w:val="00F47559"/>
    <w:rsid w:val="00F64C7B"/>
    <w:rsid w:val="00F676DD"/>
    <w:rsid w:val="00F71778"/>
    <w:rsid w:val="00F75A26"/>
    <w:rsid w:val="00F77AF1"/>
    <w:rsid w:val="00F835C9"/>
    <w:rsid w:val="00F83FAD"/>
    <w:rsid w:val="00F91040"/>
    <w:rsid w:val="00F952A0"/>
    <w:rsid w:val="00F960D4"/>
    <w:rsid w:val="00FA3C7F"/>
    <w:rsid w:val="00FB74E2"/>
    <w:rsid w:val="00FD5614"/>
    <w:rsid w:val="00FE0BE1"/>
    <w:rsid w:val="00FE1DE9"/>
    <w:rsid w:val="00FE39C2"/>
    <w:rsid w:val="00FE3C32"/>
    <w:rsid w:val="00FE64AE"/>
    <w:rsid w:val="00FF6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9"/>
      </w:numPr>
      <w:tabs>
        <w:tab w:val="left" w:pos="680"/>
      </w:tabs>
      <w:spacing w:line="240" w:lineRule="atLeast"/>
      <w:ind w:left="680" w:hanging="680"/>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A33469"/>
    <w:pPr>
      <w:spacing w:line="240" w:lineRule="auto"/>
    </w:pPr>
    <w:rPr>
      <w:sz w:val="20"/>
      <w:szCs w:val="20"/>
    </w:rPr>
  </w:style>
  <w:style w:type="character" w:customStyle="1" w:styleId="CommentTextChar">
    <w:name w:val="Comment Text Char"/>
    <w:basedOn w:val="DefaultParagraphFont"/>
    <w:link w:val="CommentText"/>
    <w:uiPriority w:val="99"/>
    <w:semiHidden/>
    <w:rsid w:val="00A3346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3469"/>
    <w:rPr>
      <w:b/>
      <w:bCs/>
    </w:rPr>
  </w:style>
  <w:style w:type="character" w:customStyle="1" w:styleId="CommentSubjectChar">
    <w:name w:val="Comment Subject Char"/>
    <w:basedOn w:val="CommentTextChar"/>
    <w:link w:val="CommentSubject"/>
    <w:uiPriority w:val="99"/>
    <w:semiHidden/>
    <w:rsid w:val="00A33469"/>
    <w:rPr>
      <w:rFonts w:ascii="Arial" w:hAnsi="Arial"/>
      <w:b/>
      <w:bCs/>
      <w:sz w:val="20"/>
      <w:szCs w:val="20"/>
    </w:rPr>
  </w:style>
  <w:style w:type="paragraph" w:styleId="BodyText">
    <w:name w:val="Body Text"/>
    <w:basedOn w:val="Normal"/>
    <w:link w:val="BodyTextChar"/>
    <w:uiPriority w:val="99"/>
    <w:unhideWhenUsed/>
    <w:rsid w:val="00A33469"/>
    <w:pPr>
      <w:spacing w:after="120"/>
    </w:pPr>
  </w:style>
  <w:style w:type="character" w:customStyle="1" w:styleId="BodyTextChar">
    <w:name w:val="Body Text Char"/>
    <w:basedOn w:val="DefaultParagraphFont"/>
    <w:link w:val="BodyText"/>
    <w:uiPriority w:val="99"/>
    <w:rsid w:val="00A3346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BA3C98"/>
    <w:pPr>
      <w:spacing w:line="276" w:lineRule="auto"/>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ind w:left="680" w:hanging="68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9"/>
      </w:numPr>
      <w:tabs>
        <w:tab w:val="left" w:pos="680"/>
      </w:tabs>
      <w:spacing w:line="240" w:lineRule="atLeast"/>
      <w:ind w:left="680" w:hanging="680"/>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ind w:left="1021" w:hanging="1021"/>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130C3C"/>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D7168E"/>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2E1BE5"/>
    <w:pPr>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22495"/>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character" w:customStyle="1" w:styleId="Subscript">
    <w:name w:val="Subscript"/>
    <w:basedOn w:val="DefaultParagraphFont"/>
    <w:uiPriority w:val="1"/>
    <w:qFormat/>
    <w:rsid w:val="00AF1ED6"/>
    <w:rPr>
      <w:vertAlign w:val="subscript"/>
    </w:rPr>
  </w:style>
  <w:style w:type="character" w:customStyle="1" w:styleId="Superscript">
    <w:name w:val="Superscript"/>
    <w:basedOn w:val="Subscript"/>
    <w:uiPriority w:val="1"/>
    <w:qFormat/>
    <w:rsid w:val="00AF1ED6"/>
    <w:rPr>
      <w:vertAlign w:val="superscript"/>
    </w:rPr>
  </w:style>
  <w:style w:type="paragraph" w:styleId="CommentText">
    <w:name w:val="annotation text"/>
    <w:basedOn w:val="Normal"/>
    <w:link w:val="CommentTextChar"/>
    <w:uiPriority w:val="99"/>
    <w:semiHidden/>
    <w:unhideWhenUsed/>
    <w:rsid w:val="00A33469"/>
    <w:pPr>
      <w:spacing w:line="240" w:lineRule="auto"/>
    </w:pPr>
    <w:rPr>
      <w:sz w:val="20"/>
      <w:szCs w:val="20"/>
    </w:rPr>
  </w:style>
  <w:style w:type="character" w:customStyle="1" w:styleId="CommentTextChar">
    <w:name w:val="Comment Text Char"/>
    <w:basedOn w:val="DefaultParagraphFont"/>
    <w:link w:val="CommentText"/>
    <w:uiPriority w:val="99"/>
    <w:semiHidden/>
    <w:rsid w:val="00A3346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3469"/>
    <w:rPr>
      <w:b/>
      <w:bCs/>
    </w:rPr>
  </w:style>
  <w:style w:type="character" w:customStyle="1" w:styleId="CommentSubjectChar">
    <w:name w:val="Comment Subject Char"/>
    <w:basedOn w:val="CommentTextChar"/>
    <w:link w:val="CommentSubject"/>
    <w:uiPriority w:val="99"/>
    <w:semiHidden/>
    <w:rsid w:val="00A33469"/>
    <w:rPr>
      <w:rFonts w:ascii="Arial" w:hAnsi="Arial"/>
      <w:b/>
      <w:bCs/>
      <w:sz w:val="20"/>
      <w:szCs w:val="20"/>
    </w:rPr>
  </w:style>
  <w:style w:type="paragraph" w:styleId="BodyText">
    <w:name w:val="Body Text"/>
    <w:basedOn w:val="Normal"/>
    <w:link w:val="BodyTextChar"/>
    <w:uiPriority w:val="99"/>
    <w:unhideWhenUsed/>
    <w:rsid w:val="00A33469"/>
    <w:pPr>
      <w:spacing w:after="120"/>
    </w:pPr>
  </w:style>
  <w:style w:type="character" w:customStyle="1" w:styleId="BodyTextChar">
    <w:name w:val="Body Text Char"/>
    <w:basedOn w:val="DefaultParagraphFont"/>
    <w:link w:val="BodyText"/>
    <w:uiPriority w:val="99"/>
    <w:rsid w:val="00A3346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2.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9C552E-BBC6-4E4A-9463-1DC71C4E825F}" type="doc">
      <dgm:prSet loTypeId="urn:microsoft.com/office/officeart/2005/8/layout/process1" loCatId="process" qsTypeId="urn:microsoft.com/office/officeart/2005/8/quickstyle/simple1" qsCatId="simple" csTypeId="urn:microsoft.com/office/officeart/2005/8/colors/accent3_2" csCatId="accent3" phldr="1"/>
      <dgm:spPr/>
    </dgm:pt>
    <dgm:pt modelId="{9C4D24EE-833F-4AC2-A7F0-714A86855E11}">
      <dgm:prSet phldrT="[Text]"/>
      <dgm:spPr/>
      <dgm:t>
        <a:bodyPr/>
        <a:lstStyle/>
        <a:p>
          <a:r>
            <a:rPr lang="en-AU"/>
            <a:t>Decision to replace F&amp;A</a:t>
          </a:r>
        </a:p>
        <a:p>
          <a:r>
            <a:rPr lang="en-AU"/>
            <a:t>December 2015</a:t>
          </a:r>
        </a:p>
      </dgm:t>
    </dgm:pt>
    <dgm:pt modelId="{7D81FD87-FD6A-4D46-8D95-DCD5D8D5AFF0}" type="parTrans" cxnId="{EB37AFD1-7AF0-4D80-94EF-9E3A77CB2A36}">
      <dgm:prSet/>
      <dgm:spPr/>
      <dgm:t>
        <a:bodyPr/>
        <a:lstStyle/>
        <a:p>
          <a:endParaRPr lang="en-AU"/>
        </a:p>
      </dgm:t>
    </dgm:pt>
    <dgm:pt modelId="{8D9E78B9-D047-4E46-B379-021C7BA2516E}" type="sibTrans" cxnId="{EB37AFD1-7AF0-4D80-94EF-9E3A77CB2A36}">
      <dgm:prSet/>
      <dgm:spPr/>
      <dgm:t>
        <a:bodyPr/>
        <a:lstStyle/>
        <a:p>
          <a:endParaRPr lang="en-AU"/>
        </a:p>
      </dgm:t>
    </dgm:pt>
    <dgm:pt modelId="{6EF4CEF8-8B5C-40EE-B1C8-1C80779DF1CA}">
      <dgm:prSet phldrT="[Text]"/>
      <dgm:spPr/>
      <dgm:t>
        <a:bodyPr/>
        <a:lstStyle/>
        <a:p>
          <a:r>
            <a:rPr lang="en-AU"/>
            <a:t>Preliminary positions F&amp;A</a:t>
          </a:r>
        </a:p>
        <a:p>
          <a:r>
            <a:rPr lang="en-AU"/>
            <a:t>Early 2016</a:t>
          </a:r>
        </a:p>
      </dgm:t>
    </dgm:pt>
    <dgm:pt modelId="{C7168772-1E2E-41DD-B279-1F528A6066E5}" type="parTrans" cxnId="{C44B0174-803F-476A-A7D6-04191781BCCC}">
      <dgm:prSet/>
      <dgm:spPr/>
      <dgm:t>
        <a:bodyPr/>
        <a:lstStyle/>
        <a:p>
          <a:endParaRPr lang="en-AU"/>
        </a:p>
      </dgm:t>
    </dgm:pt>
    <dgm:pt modelId="{D4AE801F-FD08-47D5-B4CB-31DBE7481397}" type="sibTrans" cxnId="{C44B0174-803F-476A-A7D6-04191781BCCC}">
      <dgm:prSet/>
      <dgm:spPr/>
      <dgm:t>
        <a:bodyPr/>
        <a:lstStyle/>
        <a:p>
          <a:endParaRPr lang="en-AU"/>
        </a:p>
      </dgm:t>
    </dgm:pt>
    <dgm:pt modelId="{CA4D0DA2-9934-492C-8A57-E35E4352E04D}">
      <dgm:prSet phldrT="[Text]"/>
      <dgm:spPr/>
      <dgm:t>
        <a:bodyPr/>
        <a:lstStyle/>
        <a:p>
          <a:r>
            <a:rPr lang="en-AU"/>
            <a:t>F&amp;A published</a:t>
          </a:r>
        </a:p>
        <a:p>
          <a:r>
            <a:rPr lang="en-AU"/>
            <a:t>July 2016</a:t>
          </a:r>
        </a:p>
      </dgm:t>
    </dgm:pt>
    <dgm:pt modelId="{92307DC4-3B85-4A50-8913-6A8A29B3FD7A}" type="parTrans" cxnId="{6EDB7694-FCE9-4118-9ABE-F18710030530}">
      <dgm:prSet/>
      <dgm:spPr/>
      <dgm:t>
        <a:bodyPr/>
        <a:lstStyle/>
        <a:p>
          <a:endParaRPr lang="en-AU"/>
        </a:p>
      </dgm:t>
    </dgm:pt>
    <dgm:pt modelId="{3F287283-88AE-4C20-B19B-F2C60D65C9DE}" type="sibTrans" cxnId="{6EDB7694-FCE9-4118-9ABE-F18710030530}">
      <dgm:prSet/>
      <dgm:spPr/>
      <dgm:t>
        <a:bodyPr/>
        <a:lstStyle/>
        <a:p>
          <a:endParaRPr lang="en-AU"/>
        </a:p>
      </dgm:t>
    </dgm:pt>
    <dgm:pt modelId="{246562A4-771D-4A3D-AE88-A5768686A428}">
      <dgm:prSet/>
      <dgm:spPr/>
      <dgm:t>
        <a:bodyPr/>
        <a:lstStyle/>
        <a:p>
          <a:r>
            <a:rPr lang="en-AU"/>
            <a:t>TransGrid submits revenue proposal</a:t>
          </a:r>
        </a:p>
        <a:p>
          <a:r>
            <a:rPr lang="en-AU"/>
            <a:t>January 2017</a:t>
          </a:r>
        </a:p>
      </dgm:t>
    </dgm:pt>
    <dgm:pt modelId="{889656C1-5E8F-41A6-88E7-833526C053B4}" type="parTrans" cxnId="{11D56FB8-3AAB-4C24-B472-961B05B77506}">
      <dgm:prSet/>
      <dgm:spPr/>
      <dgm:t>
        <a:bodyPr/>
        <a:lstStyle/>
        <a:p>
          <a:endParaRPr lang="en-AU"/>
        </a:p>
      </dgm:t>
    </dgm:pt>
    <dgm:pt modelId="{EC060156-C9BC-48A6-A72E-4EE4E760E8AD}" type="sibTrans" cxnId="{11D56FB8-3AAB-4C24-B472-961B05B77506}">
      <dgm:prSet/>
      <dgm:spPr/>
      <dgm:t>
        <a:bodyPr/>
        <a:lstStyle/>
        <a:p>
          <a:endParaRPr lang="en-AU"/>
        </a:p>
      </dgm:t>
    </dgm:pt>
    <dgm:pt modelId="{BBE6A144-C122-4F5E-BEFF-7BD09B3159E9}">
      <dgm:prSet/>
      <dgm:spPr/>
      <dgm:t>
        <a:bodyPr/>
        <a:lstStyle/>
        <a:p>
          <a:r>
            <a:rPr lang="en-AU"/>
            <a:t>AER review process  continues</a:t>
          </a:r>
        </a:p>
        <a:p>
          <a:r>
            <a:rPr lang="en-AU"/>
            <a:t>through 2017</a:t>
          </a:r>
        </a:p>
      </dgm:t>
    </dgm:pt>
    <dgm:pt modelId="{FD6E8E88-CE3A-4B66-8170-359F67AFC83B}" type="parTrans" cxnId="{A1FE99FD-CB72-4076-AC44-D0CCC67003E0}">
      <dgm:prSet/>
      <dgm:spPr/>
      <dgm:t>
        <a:bodyPr/>
        <a:lstStyle/>
        <a:p>
          <a:endParaRPr lang="en-AU"/>
        </a:p>
      </dgm:t>
    </dgm:pt>
    <dgm:pt modelId="{DDE0F575-D4F4-49B6-8003-F2207F89C41D}" type="sibTrans" cxnId="{A1FE99FD-CB72-4076-AC44-D0CCC67003E0}">
      <dgm:prSet/>
      <dgm:spPr/>
      <dgm:t>
        <a:bodyPr/>
        <a:lstStyle/>
        <a:p>
          <a:endParaRPr lang="en-AU"/>
        </a:p>
      </dgm:t>
    </dgm:pt>
    <dgm:pt modelId="{F991F726-47F1-4899-9123-B9B856358CC9}">
      <dgm:prSet/>
      <dgm:spPr/>
      <dgm:t>
        <a:bodyPr/>
        <a:lstStyle/>
        <a:p>
          <a:r>
            <a:rPr lang="en-AU"/>
            <a:t>New prices apply </a:t>
          </a:r>
        </a:p>
        <a:p>
          <a:r>
            <a:rPr lang="en-AU"/>
            <a:t>1 July 2018</a:t>
          </a:r>
        </a:p>
      </dgm:t>
    </dgm:pt>
    <dgm:pt modelId="{4B139DC6-532B-44A6-9256-ACA813B10EBE}" type="parTrans" cxnId="{A26A8369-237F-4A3B-A16D-57A48A60AF37}">
      <dgm:prSet/>
      <dgm:spPr/>
      <dgm:t>
        <a:bodyPr/>
        <a:lstStyle/>
        <a:p>
          <a:endParaRPr lang="en-AU"/>
        </a:p>
      </dgm:t>
    </dgm:pt>
    <dgm:pt modelId="{9BC9FBF1-2836-4F65-86DC-340D720A3CFD}" type="sibTrans" cxnId="{A26A8369-237F-4A3B-A16D-57A48A60AF37}">
      <dgm:prSet/>
      <dgm:spPr/>
      <dgm:t>
        <a:bodyPr/>
        <a:lstStyle/>
        <a:p>
          <a:endParaRPr lang="en-AU"/>
        </a:p>
      </dgm:t>
    </dgm:pt>
    <dgm:pt modelId="{CBD416F2-278C-4DBE-956E-E089DABBE38B}" type="pres">
      <dgm:prSet presAssocID="{589C552E-BBC6-4E4A-9463-1DC71C4E825F}" presName="Name0" presStyleCnt="0">
        <dgm:presLayoutVars>
          <dgm:dir/>
          <dgm:resizeHandles val="exact"/>
        </dgm:presLayoutVars>
      </dgm:prSet>
      <dgm:spPr/>
    </dgm:pt>
    <dgm:pt modelId="{56DBBAEC-E5DE-4BD1-9FB6-2C58CF3EC9A2}" type="pres">
      <dgm:prSet presAssocID="{9C4D24EE-833F-4AC2-A7F0-714A86855E11}" presName="node" presStyleLbl="node1" presStyleIdx="0" presStyleCnt="6">
        <dgm:presLayoutVars>
          <dgm:bulletEnabled val="1"/>
        </dgm:presLayoutVars>
      </dgm:prSet>
      <dgm:spPr/>
      <dgm:t>
        <a:bodyPr/>
        <a:lstStyle/>
        <a:p>
          <a:endParaRPr lang="en-AU"/>
        </a:p>
      </dgm:t>
    </dgm:pt>
    <dgm:pt modelId="{E11F1310-A00D-4243-ABAD-C5B36843122C}" type="pres">
      <dgm:prSet presAssocID="{8D9E78B9-D047-4E46-B379-021C7BA2516E}" presName="sibTrans" presStyleLbl="sibTrans2D1" presStyleIdx="0" presStyleCnt="5"/>
      <dgm:spPr/>
      <dgm:t>
        <a:bodyPr/>
        <a:lstStyle/>
        <a:p>
          <a:endParaRPr lang="en-AU"/>
        </a:p>
      </dgm:t>
    </dgm:pt>
    <dgm:pt modelId="{86971F5E-B9DF-43D2-91C7-76860B6E36E3}" type="pres">
      <dgm:prSet presAssocID="{8D9E78B9-D047-4E46-B379-021C7BA2516E}" presName="connectorText" presStyleLbl="sibTrans2D1" presStyleIdx="0" presStyleCnt="5"/>
      <dgm:spPr/>
      <dgm:t>
        <a:bodyPr/>
        <a:lstStyle/>
        <a:p>
          <a:endParaRPr lang="en-AU"/>
        </a:p>
      </dgm:t>
    </dgm:pt>
    <dgm:pt modelId="{94B0A6B7-68C6-4865-BF2D-6FC9D0AD83A5}" type="pres">
      <dgm:prSet presAssocID="{6EF4CEF8-8B5C-40EE-B1C8-1C80779DF1CA}" presName="node" presStyleLbl="node1" presStyleIdx="1" presStyleCnt="6">
        <dgm:presLayoutVars>
          <dgm:bulletEnabled val="1"/>
        </dgm:presLayoutVars>
      </dgm:prSet>
      <dgm:spPr/>
      <dgm:t>
        <a:bodyPr/>
        <a:lstStyle/>
        <a:p>
          <a:endParaRPr lang="en-AU"/>
        </a:p>
      </dgm:t>
    </dgm:pt>
    <dgm:pt modelId="{2354249F-FEF2-44FA-ABB9-696C92010595}" type="pres">
      <dgm:prSet presAssocID="{D4AE801F-FD08-47D5-B4CB-31DBE7481397}" presName="sibTrans" presStyleLbl="sibTrans2D1" presStyleIdx="1" presStyleCnt="5"/>
      <dgm:spPr/>
      <dgm:t>
        <a:bodyPr/>
        <a:lstStyle/>
        <a:p>
          <a:endParaRPr lang="en-AU"/>
        </a:p>
      </dgm:t>
    </dgm:pt>
    <dgm:pt modelId="{3DA1E25C-1964-4EEB-B039-73A5F9C520F2}" type="pres">
      <dgm:prSet presAssocID="{D4AE801F-FD08-47D5-B4CB-31DBE7481397}" presName="connectorText" presStyleLbl="sibTrans2D1" presStyleIdx="1" presStyleCnt="5"/>
      <dgm:spPr/>
      <dgm:t>
        <a:bodyPr/>
        <a:lstStyle/>
        <a:p>
          <a:endParaRPr lang="en-AU"/>
        </a:p>
      </dgm:t>
    </dgm:pt>
    <dgm:pt modelId="{A56A1FBB-831E-4113-8D3F-36FBCE0F58EC}" type="pres">
      <dgm:prSet presAssocID="{CA4D0DA2-9934-492C-8A57-E35E4352E04D}" presName="node" presStyleLbl="node1" presStyleIdx="2" presStyleCnt="6">
        <dgm:presLayoutVars>
          <dgm:bulletEnabled val="1"/>
        </dgm:presLayoutVars>
      </dgm:prSet>
      <dgm:spPr/>
      <dgm:t>
        <a:bodyPr/>
        <a:lstStyle/>
        <a:p>
          <a:endParaRPr lang="en-AU"/>
        </a:p>
      </dgm:t>
    </dgm:pt>
    <dgm:pt modelId="{D0B016B8-2C7C-43B7-9E86-2D8352C1B53C}" type="pres">
      <dgm:prSet presAssocID="{3F287283-88AE-4C20-B19B-F2C60D65C9DE}" presName="sibTrans" presStyleLbl="sibTrans2D1" presStyleIdx="2" presStyleCnt="5"/>
      <dgm:spPr/>
      <dgm:t>
        <a:bodyPr/>
        <a:lstStyle/>
        <a:p>
          <a:endParaRPr lang="en-AU"/>
        </a:p>
      </dgm:t>
    </dgm:pt>
    <dgm:pt modelId="{7E5291B0-2A35-415D-A6EC-E7A18BA50075}" type="pres">
      <dgm:prSet presAssocID="{3F287283-88AE-4C20-B19B-F2C60D65C9DE}" presName="connectorText" presStyleLbl="sibTrans2D1" presStyleIdx="2" presStyleCnt="5"/>
      <dgm:spPr/>
      <dgm:t>
        <a:bodyPr/>
        <a:lstStyle/>
        <a:p>
          <a:endParaRPr lang="en-AU"/>
        </a:p>
      </dgm:t>
    </dgm:pt>
    <dgm:pt modelId="{2BA99A85-8184-432C-B56A-B36AE9CEEF0E}" type="pres">
      <dgm:prSet presAssocID="{246562A4-771D-4A3D-AE88-A5768686A428}" presName="node" presStyleLbl="node1" presStyleIdx="3" presStyleCnt="6">
        <dgm:presLayoutVars>
          <dgm:bulletEnabled val="1"/>
        </dgm:presLayoutVars>
      </dgm:prSet>
      <dgm:spPr/>
      <dgm:t>
        <a:bodyPr/>
        <a:lstStyle/>
        <a:p>
          <a:endParaRPr lang="en-AU"/>
        </a:p>
      </dgm:t>
    </dgm:pt>
    <dgm:pt modelId="{C29E94B8-1BA5-4AFD-882F-496E1B151678}" type="pres">
      <dgm:prSet presAssocID="{EC060156-C9BC-48A6-A72E-4EE4E760E8AD}" presName="sibTrans" presStyleLbl="sibTrans2D1" presStyleIdx="3" presStyleCnt="5"/>
      <dgm:spPr/>
      <dgm:t>
        <a:bodyPr/>
        <a:lstStyle/>
        <a:p>
          <a:endParaRPr lang="en-AU"/>
        </a:p>
      </dgm:t>
    </dgm:pt>
    <dgm:pt modelId="{2F5AE374-6F46-4D88-8D46-32971D931E15}" type="pres">
      <dgm:prSet presAssocID="{EC060156-C9BC-48A6-A72E-4EE4E760E8AD}" presName="connectorText" presStyleLbl="sibTrans2D1" presStyleIdx="3" presStyleCnt="5"/>
      <dgm:spPr/>
      <dgm:t>
        <a:bodyPr/>
        <a:lstStyle/>
        <a:p>
          <a:endParaRPr lang="en-AU"/>
        </a:p>
      </dgm:t>
    </dgm:pt>
    <dgm:pt modelId="{22B67C8F-0775-4628-BF03-724693E8BC4F}" type="pres">
      <dgm:prSet presAssocID="{BBE6A144-C122-4F5E-BEFF-7BD09B3159E9}" presName="node" presStyleLbl="node1" presStyleIdx="4" presStyleCnt="6">
        <dgm:presLayoutVars>
          <dgm:bulletEnabled val="1"/>
        </dgm:presLayoutVars>
      </dgm:prSet>
      <dgm:spPr/>
      <dgm:t>
        <a:bodyPr/>
        <a:lstStyle/>
        <a:p>
          <a:endParaRPr lang="en-AU"/>
        </a:p>
      </dgm:t>
    </dgm:pt>
    <dgm:pt modelId="{119ABD66-3638-4306-9F60-9A1A61B4EFF0}" type="pres">
      <dgm:prSet presAssocID="{DDE0F575-D4F4-49B6-8003-F2207F89C41D}" presName="sibTrans" presStyleLbl="sibTrans2D1" presStyleIdx="4" presStyleCnt="5"/>
      <dgm:spPr/>
      <dgm:t>
        <a:bodyPr/>
        <a:lstStyle/>
        <a:p>
          <a:endParaRPr lang="en-AU"/>
        </a:p>
      </dgm:t>
    </dgm:pt>
    <dgm:pt modelId="{792C6D78-DFDC-4D14-80FB-F3E3A7E96BAF}" type="pres">
      <dgm:prSet presAssocID="{DDE0F575-D4F4-49B6-8003-F2207F89C41D}" presName="connectorText" presStyleLbl="sibTrans2D1" presStyleIdx="4" presStyleCnt="5"/>
      <dgm:spPr/>
      <dgm:t>
        <a:bodyPr/>
        <a:lstStyle/>
        <a:p>
          <a:endParaRPr lang="en-AU"/>
        </a:p>
      </dgm:t>
    </dgm:pt>
    <dgm:pt modelId="{426DEF53-F8A6-43CA-9D0C-F8584B82BF0E}" type="pres">
      <dgm:prSet presAssocID="{F991F726-47F1-4899-9123-B9B856358CC9}" presName="node" presStyleLbl="node1" presStyleIdx="5" presStyleCnt="6">
        <dgm:presLayoutVars>
          <dgm:bulletEnabled val="1"/>
        </dgm:presLayoutVars>
      </dgm:prSet>
      <dgm:spPr/>
      <dgm:t>
        <a:bodyPr/>
        <a:lstStyle/>
        <a:p>
          <a:endParaRPr lang="en-AU"/>
        </a:p>
      </dgm:t>
    </dgm:pt>
  </dgm:ptLst>
  <dgm:cxnLst>
    <dgm:cxn modelId="{D743ACF8-0471-4F6A-A69D-220970A28796}" type="presOf" srcId="{8D9E78B9-D047-4E46-B379-021C7BA2516E}" destId="{E11F1310-A00D-4243-ABAD-C5B36843122C}" srcOrd="0" destOrd="0" presId="urn:microsoft.com/office/officeart/2005/8/layout/process1"/>
    <dgm:cxn modelId="{5566F3F3-43C8-4A77-8D90-C20184F101EF}" type="presOf" srcId="{BBE6A144-C122-4F5E-BEFF-7BD09B3159E9}" destId="{22B67C8F-0775-4628-BF03-724693E8BC4F}" srcOrd="0" destOrd="0" presId="urn:microsoft.com/office/officeart/2005/8/layout/process1"/>
    <dgm:cxn modelId="{0DDE92F1-473D-4AEE-B9D1-79AF1AFC433E}" type="presOf" srcId="{589C552E-BBC6-4E4A-9463-1DC71C4E825F}" destId="{CBD416F2-278C-4DBE-956E-E089DABBE38B}" srcOrd="0" destOrd="0" presId="urn:microsoft.com/office/officeart/2005/8/layout/process1"/>
    <dgm:cxn modelId="{A26A8369-237F-4A3B-A16D-57A48A60AF37}" srcId="{589C552E-BBC6-4E4A-9463-1DC71C4E825F}" destId="{F991F726-47F1-4899-9123-B9B856358CC9}" srcOrd="5" destOrd="0" parTransId="{4B139DC6-532B-44A6-9256-ACA813B10EBE}" sibTransId="{9BC9FBF1-2836-4F65-86DC-340D720A3CFD}"/>
    <dgm:cxn modelId="{42E20518-BE22-4E0B-B6D1-145DFF09F72B}" type="presOf" srcId="{3F287283-88AE-4C20-B19B-F2C60D65C9DE}" destId="{7E5291B0-2A35-415D-A6EC-E7A18BA50075}" srcOrd="1" destOrd="0" presId="urn:microsoft.com/office/officeart/2005/8/layout/process1"/>
    <dgm:cxn modelId="{EB37AFD1-7AF0-4D80-94EF-9E3A77CB2A36}" srcId="{589C552E-BBC6-4E4A-9463-1DC71C4E825F}" destId="{9C4D24EE-833F-4AC2-A7F0-714A86855E11}" srcOrd="0" destOrd="0" parTransId="{7D81FD87-FD6A-4D46-8D95-DCD5D8D5AFF0}" sibTransId="{8D9E78B9-D047-4E46-B379-021C7BA2516E}"/>
    <dgm:cxn modelId="{42287965-AA63-4885-B0FB-9A1FC6F5706E}" type="presOf" srcId="{8D9E78B9-D047-4E46-B379-021C7BA2516E}" destId="{86971F5E-B9DF-43D2-91C7-76860B6E36E3}" srcOrd="1" destOrd="0" presId="urn:microsoft.com/office/officeart/2005/8/layout/process1"/>
    <dgm:cxn modelId="{C44B0174-803F-476A-A7D6-04191781BCCC}" srcId="{589C552E-BBC6-4E4A-9463-1DC71C4E825F}" destId="{6EF4CEF8-8B5C-40EE-B1C8-1C80779DF1CA}" srcOrd="1" destOrd="0" parTransId="{C7168772-1E2E-41DD-B279-1F528A6066E5}" sibTransId="{D4AE801F-FD08-47D5-B4CB-31DBE7481397}"/>
    <dgm:cxn modelId="{E9C564FD-D8CD-4AC5-A5E9-2726832B7142}" type="presOf" srcId="{D4AE801F-FD08-47D5-B4CB-31DBE7481397}" destId="{2354249F-FEF2-44FA-ABB9-696C92010595}" srcOrd="0" destOrd="0" presId="urn:microsoft.com/office/officeart/2005/8/layout/process1"/>
    <dgm:cxn modelId="{21BB2AD6-EE87-4485-94CC-5F7996EBBC74}" type="presOf" srcId="{F991F726-47F1-4899-9123-B9B856358CC9}" destId="{426DEF53-F8A6-43CA-9D0C-F8584B82BF0E}" srcOrd="0" destOrd="0" presId="urn:microsoft.com/office/officeart/2005/8/layout/process1"/>
    <dgm:cxn modelId="{421AB1E9-540F-4ECB-9845-EF8736CB88D3}" type="presOf" srcId="{9C4D24EE-833F-4AC2-A7F0-714A86855E11}" destId="{56DBBAEC-E5DE-4BD1-9FB6-2C58CF3EC9A2}" srcOrd="0" destOrd="0" presId="urn:microsoft.com/office/officeart/2005/8/layout/process1"/>
    <dgm:cxn modelId="{3C4CF4F9-832E-4457-A1BB-F6F6345CAAD1}" type="presOf" srcId="{3F287283-88AE-4C20-B19B-F2C60D65C9DE}" destId="{D0B016B8-2C7C-43B7-9E86-2D8352C1B53C}" srcOrd="0" destOrd="0" presId="urn:microsoft.com/office/officeart/2005/8/layout/process1"/>
    <dgm:cxn modelId="{36C3227A-7E8B-4124-9751-AA9A1BB4D739}" type="presOf" srcId="{EC060156-C9BC-48A6-A72E-4EE4E760E8AD}" destId="{2F5AE374-6F46-4D88-8D46-32971D931E15}" srcOrd="1" destOrd="0" presId="urn:microsoft.com/office/officeart/2005/8/layout/process1"/>
    <dgm:cxn modelId="{6F86B989-BA56-48FE-957F-A06F9FDC4782}" type="presOf" srcId="{D4AE801F-FD08-47D5-B4CB-31DBE7481397}" destId="{3DA1E25C-1964-4EEB-B039-73A5F9C520F2}" srcOrd="1" destOrd="0" presId="urn:microsoft.com/office/officeart/2005/8/layout/process1"/>
    <dgm:cxn modelId="{DAEB6146-50B6-490B-9421-143BA182DDC1}" type="presOf" srcId="{DDE0F575-D4F4-49B6-8003-F2207F89C41D}" destId="{792C6D78-DFDC-4D14-80FB-F3E3A7E96BAF}" srcOrd="1" destOrd="0" presId="urn:microsoft.com/office/officeart/2005/8/layout/process1"/>
    <dgm:cxn modelId="{A1FE99FD-CB72-4076-AC44-D0CCC67003E0}" srcId="{589C552E-BBC6-4E4A-9463-1DC71C4E825F}" destId="{BBE6A144-C122-4F5E-BEFF-7BD09B3159E9}" srcOrd="4" destOrd="0" parTransId="{FD6E8E88-CE3A-4B66-8170-359F67AFC83B}" sibTransId="{DDE0F575-D4F4-49B6-8003-F2207F89C41D}"/>
    <dgm:cxn modelId="{7936CA12-26AF-4135-9B94-F5D7B18AAEF6}" type="presOf" srcId="{CA4D0DA2-9934-492C-8A57-E35E4352E04D}" destId="{A56A1FBB-831E-4113-8D3F-36FBCE0F58EC}" srcOrd="0" destOrd="0" presId="urn:microsoft.com/office/officeart/2005/8/layout/process1"/>
    <dgm:cxn modelId="{3772ED63-1F5D-4CE7-9A22-D20F16B7302E}" type="presOf" srcId="{246562A4-771D-4A3D-AE88-A5768686A428}" destId="{2BA99A85-8184-432C-B56A-B36AE9CEEF0E}" srcOrd="0" destOrd="0" presId="urn:microsoft.com/office/officeart/2005/8/layout/process1"/>
    <dgm:cxn modelId="{11D56FB8-3AAB-4C24-B472-961B05B77506}" srcId="{589C552E-BBC6-4E4A-9463-1DC71C4E825F}" destId="{246562A4-771D-4A3D-AE88-A5768686A428}" srcOrd="3" destOrd="0" parTransId="{889656C1-5E8F-41A6-88E7-833526C053B4}" sibTransId="{EC060156-C9BC-48A6-A72E-4EE4E760E8AD}"/>
    <dgm:cxn modelId="{090553D1-475C-44AD-B2ED-058AF2C9EAEF}" type="presOf" srcId="{6EF4CEF8-8B5C-40EE-B1C8-1C80779DF1CA}" destId="{94B0A6B7-68C6-4865-BF2D-6FC9D0AD83A5}" srcOrd="0" destOrd="0" presId="urn:microsoft.com/office/officeart/2005/8/layout/process1"/>
    <dgm:cxn modelId="{B062A9E3-2610-45A9-BA93-979D59C775C5}" type="presOf" srcId="{EC060156-C9BC-48A6-A72E-4EE4E760E8AD}" destId="{C29E94B8-1BA5-4AFD-882F-496E1B151678}" srcOrd="0" destOrd="0" presId="urn:microsoft.com/office/officeart/2005/8/layout/process1"/>
    <dgm:cxn modelId="{FB132A4A-BDB2-486F-96BB-2A5AB8085968}" type="presOf" srcId="{DDE0F575-D4F4-49B6-8003-F2207F89C41D}" destId="{119ABD66-3638-4306-9F60-9A1A61B4EFF0}" srcOrd="0" destOrd="0" presId="urn:microsoft.com/office/officeart/2005/8/layout/process1"/>
    <dgm:cxn modelId="{6EDB7694-FCE9-4118-9ABE-F18710030530}" srcId="{589C552E-BBC6-4E4A-9463-1DC71C4E825F}" destId="{CA4D0DA2-9934-492C-8A57-E35E4352E04D}" srcOrd="2" destOrd="0" parTransId="{92307DC4-3B85-4A50-8913-6A8A29B3FD7A}" sibTransId="{3F287283-88AE-4C20-B19B-F2C60D65C9DE}"/>
    <dgm:cxn modelId="{A3DB4AEB-3C28-4C1A-96BF-042F92953A42}" type="presParOf" srcId="{CBD416F2-278C-4DBE-956E-E089DABBE38B}" destId="{56DBBAEC-E5DE-4BD1-9FB6-2C58CF3EC9A2}" srcOrd="0" destOrd="0" presId="urn:microsoft.com/office/officeart/2005/8/layout/process1"/>
    <dgm:cxn modelId="{3777BBA8-7C78-4E8C-A3CB-8A590614CA3F}" type="presParOf" srcId="{CBD416F2-278C-4DBE-956E-E089DABBE38B}" destId="{E11F1310-A00D-4243-ABAD-C5B36843122C}" srcOrd="1" destOrd="0" presId="urn:microsoft.com/office/officeart/2005/8/layout/process1"/>
    <dgm:cxn modelId="{90FEFAAE-7B9A-4852-B64C-8BECA45F3AAF}" type="presParOf" srcId="{E11F1310-A00D-4243-ABAD-C5B36843122C}" destId="{86971F5E-B9DF-43D2-91C7-76860B6E36E3}" srcOrd="0" destOrd="0" presId="urn:microsoft.com/office/officeart/2005/8/layout/process1"/>
    <dgm:cxn modelId="{532AC054-905C-4DE3-9F67-226DFD312B7A}" type="presParOf" srcId="{CBD416F2-278C-4DBE-956E-E089DABBE38B}" destId="{94B0A6B7-68C6-4865-BF2D-6FC9D0AD83A5}" srcOrd="2" destOrd="0" presId="urn:microsoft.com/office/officeart/2005/8/layout/process1"/>
    <dgm:cxn modelId="{ABEBBFEE-7225-4A26-BBA1-D57FFA6AEB1F}" type="presParOf" srcId="{CBD416F2-278C-4DBE-956E-E089DABBE38B}" destId="{2354249F-FEF2-44FA-ABB9-696C92010595}" srcOrd="3" destOrd="0" presId="urn:microsoft.com/office/officeart/2005/8/layout/process1"/>
    <dgm:cxn modelId="{58A357B4-5D4C-4995-A80F-102DF6D76D2B}" type="presParOf" srcId="{2354249F-FEF2-44FA-ABB9-696C92010595}" destId="{3DA1E25C-1964-4EEB-B039-73A5F9C520F2}" srcOrd="0" destOrd="0" presId="urn:microsoft.com/office/officeart/2005/8/layout/process1"/>
    <dgm:cxn modelId="{4B22B7E9-EA40-48E2-87A3-A1F2F7D60E05}" type="presParOf" srcId="{CBD416F2-278C-4DBE-956E-E089DABBE38B}" destId="{A56A1FBB-831E-4113-8D3F-36FBCE0F58EC}" srcOrd="4" destOrd="0" presId="urn:microsoft.com/office/officeart/2005/8/layout/process1"/>
    <dgm:cxn modelId="{7FCB5E2E-A29A-41DD-8293-994D41DFB88E}" type="presParOf" srcId="{CBD416F2-278C-4DBE-956E-E089DABBE38B}" destId="{D0B016B8-2C7C-43B7-9E86-2D8352C1B53C}" srcOrd="5" destOrd="0" presId="urn:microsoft.com/office/officeart/2005/8/layout/process1"/>
    <dgm:cxn modelId="{0167018F-A071-480F-B0C2-0258BD06AC4C}" type="presParOf" srcId="{D0B016B8-2C7C-43B7-9E86-2D8352C1B53C}" destId="{7E5291B0-2A35-415D-A6EC-E7A18BA50075}" srcOrd="0" destOrd="0" presId="urn:microsoft.com/office/officeart/2005/8/layout/process1"/>
    <dgm:cxn modelId="{849A8AB5-40B7-4ECE-A209-A7B4AF2AD397}" type="presParOf" srcId="{CBD416F2-278C-4DBE-956E-E089DABBE38B}" destId="{2BA99A85-8184-432C-B56A-B36AE9CEEF0E}" srcOrd="6" destOrd="0" presId="urn:microsoft.com/office/officeart/2005/8/layout/process1"/>
    <dgm:cxn modelId="{736DA12B-E89D-4F60-966F-7A672E06855C}" type="presParOf" srcId="{CBD416F2-278C-4DBE-956E-E089DABBE38B}" destId="{C29E94B8-1BA5-4AFD-882F-496E1B151678}" srcOrd="7" destOrd="0" presId="urn:microsoft.com/office/officeart/2005/8/layout/process1"/>
    <dgm:cxn modelId="{4ED17899-E5F7-4D53-A2DD-A3BCC0F3CEA8}" type="presParOf" srcId="{C29E94B8-1BA5-4AFD-882F-496E1B151678}" destId="{2F5AE374-6F46-4D88-8D46-32971D931E15}" srcOrd="0" destOrd="0" presId="urn:microsoft.com/office/officeart/2005/8/layout/process1"/>
    <dgm:cxn modelId="{82156E21-5D22-47F9-9E73-0415605528D5}" type="presParOf" srcId="{CBD416F2-278C-4DBE-956E-E089DABBE38B}" destId="{22B67C8F-0775-4628-BF03-724693E8BC4F}" srcOrd="8" destOrd="0" presId="urn:microsoft.com/office/officeart/2005/8/layout/process1"/>
    <dgm:cxn modelId="{63B91340-EFC8-4FC4-BF82-99C58BBA5E7B}" type="presParOf" srcId="{CBD416F2-278C-4DBE-956E-E089DABBE38B}" destId="{119ABD66-3638-4306-9F60-9A1A61B4EFF0}" srcOrd="9" destOrd="0" presId="urn:microsoft.com/office/officeart/2005/8/layout/process1"/>
    <dgm:cxn modelId="{F8C3998C-CE0C-42EF-844C-AE33F7060602}" type="presParOf" srcId="{119ABD66-3638-4306-9F60-9A1A61B4EFF0}" destId="{792C6D78-DFDC-4D14-80FB-F3E3A7E96BAF}" srcOrd="0" destOrd="0" presId="urn:microsoft.com/office/officeart/2005/8/layout/process1"/>
    <dgm:cxn modelId="{6CAAD831-2863-41C3-BD41-3406D98B3219}" type="presParOf" srcId="{CBD416F2-278C-4DBE-956E-E089DABBE38B}" destId="{426DEF53-F8A6-43CA-9D0C-F8584B82BF0E}" srcOrd="10"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BBAEC-E5DE-4BD1-9FB6-2C58CF3EC9A2}">
      <dsp:nvSpPr>
        <dsp:cNvPr id="0" name=""/>
        <dsp:cNvSpPr/>
      </dsp:nvSpPr>
      <dsp:spPr>
        <a:xfrm>
          <a:off x="0" y="29192"/>
          <a:ext cx="716438" cy="8731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Decision to replace F&amp;A</a:t>
          </a:r>
        </a:p>
        <a:p>
          <a:pPr lvl="0" algn="ctr" defTabSz="400050">
            <a:lnSpc>
              <a:spcPct val="90000"/>
            </a:lnSpc>
            <a:spcBef>
              <a:spcPct val="0"/>
            </a:spcBef>
            <a:spcAft>
              <a:spcPct val="35000"/>
            </a:spcAft>
          </a:pPr>
          <a:r>
            <a:rPr lang="en-AU" sz="900" kern="1200"/>
            <a:t>December 2015</a:t>
          </a:r>
        </a:p>
      </dsp:txBody>
      <dsp:txXfrm>
        <a:off x="20984" y="50176"/>
        <a:ext cx="674470" cy="831191"/>
      </dsp:txXfrm>
    </dsp:sp>
    <dsp:sp modelId="{E11F1310-A00D-4243-ABAD-C5B36843122C}">
      <dsp:nvSpPr>
        <dsp:cNvPr id="0" name=""/>
        <dsp:cNvSpPr/>
      </dsp:nvSpPr>
      <dsp:spPr>
        <a:xfrm>
          <a:off x="788082" y="376934"/>
          <a:ext cx="151885" cy="17767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788082" y="412469"/>
        <a:ext cx="106320" cy="106606"/>
      </dsp:txXfrm>
    </dsp:sp>
    <dsp:sp modelId="{94B0A6B7-68C6-4865-BF2D-6FC9D0AD83A5}">
      <dsp:nvSpPr>
        <dsp:cNvPr id="0" name=""/>
        <dsp:cNvSpPr/>
      </dsp:nvSpPr>
      <dsp:spPr>
        <a:xfrm>
          <a:off x="1003014" y="29192"/>
          <a:ext cx="716438" cy="8731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Preliminary positions F&amp;A</a:t>
          </a:r>
        </a:p>
        <a:p>
          <a:pPr lvl="0" algn="ctr" defTabSz="400050">
            <a:lnSpc>
              <a:spcPct val="90000"/>
            </a:lnSpc>
            <a:spcBef>
              <a:spcPct val="0"/>
            </a:spcBef>
            <a:spcAft>
              <a:spcPct val="35000"/>
            </a:spcAft>
          </a:pPr>
          <a:r>
            <a:rPr lang="en-AU" sz="900" kern="1200"/>
            <a:t>Early 2016</a:t>
          </a:r>
        </a:p>
      </dsp:txBody>
      <dsp:txXfrm>
        <a:off x="1023998" y="50176"/>
        <a:ext cx="674470" cy="831191"/>
      </dsp:txXfrm>
    </dsp:sp>
    <dsp:sp modelId="{2354249F-FEF2-44FA-ABB9-696C92010595}">
      <dsp:nvSpPr>
        <dsp:cNvPr id="0" name=""/>
        <dsp:cNvSpPr/>
      </dsp:nvSpPr>
      <dsp:spPr>
        <a:xfrm>
          <a:off x="1791096" y="376934"/>
          <a:ext cx="151885" cy="17767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791096" y="412469"/>
        <a:ext cx="106320" cy="106606"/>
      </dsp:txXfrm>
    </dsp:sp>
    <dsp:sp modelId="{A56A1FBB-831E-4113-8D3F-36FBCE0F58EC}">
      <dsp:nvSpPr>
        <dsp:cNvPr id="0" name=""/>
        <dsp:cNvSpPr/>
      </dsp:nvSpPr>
      <dsp:spPr>
        <a:xfrm>
          <a:off x="2006028" y="29192"/>
          <a:ext cx="716438" cy="8731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F&amp;A published</a:t>
          </a:r>
        </a:p>
        <a:p>
          <a:pPr lvl="0" algn="ctr" defTabSz="400050">
            <a:lnSpc>
              <a:spcPct val="90000"/>
            </a:lnSpc>
            <a:spcBef>
              <a:spcPct val="0"/>
            </a:spcBef>
            <a:spcAft>
              <a:spcPct val="35000"/>
            </a:spcAft>
          </a:pPr>
          <a:r>
            <a:rPr lang="en-AU" sz="900" kern="1200"/>
            <a:t>July 2016</a:t>
          </a:r>
        </a:p>
      </dsp:txBody>
      <dsp:txXfrm>
        <a:off x="2027012" y="50176"/>
        <a:ext cx="674470" cy="831191"/>
      </dsp:txXfrm>
    </dsp:sp>
    <dsp:sp modelId="{D0B016B8-2C7C-43B7-9E86-2D8352C1B53C}">
      <dsp:nvSpPr>
        <dsp:cNvPr id="0" name=""/>
        <dsp:cNvSpPr/>
      </dsp:nvSpPr>
      <dsp:spPr>
        <a:xfrm>
          <a:off x="2794111" y="376934"/>
          <a:ext cx="151885" cy="17767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2794111" y="412469"/>
        <a:ext cx="106320" cy="106606"/>
      </dsp:txXfrm>
    </dsp:sp>
    <dsp:sp modelId="{2BA99A85-8184-432C-B56A-B36AE9CEEF0E}">
      <dsp:nvSpPr>
        <dsp:cNvPr id="0" name=""/>
        <dsp:cNvSpPr/>
      </dsp:nvSpPr>
      <dsp:spPr>
        <a:xfrm>
          <a:off x="3009042" y="29192"/>
          <a:ext cx="716438" cy="8731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TransGrid submits revenue proposal</a:t>
          </a:r>
        </a:p>
        <a:p>
          <a:pPr lvl="0" algn="ctr" defTabSz="400050">
            <a:lnSpc>
              <a:spcPct val="90000"/>
            </a:lnSpc>
            <a:spcBef>
              <a:spcPct val="0"/>
            </a:spcBef>
            <a:spcAft>
              <a:spcPct val="35000"/>
            </a:spcAft>
          </a:pPr>
          <a:r>
            <a:rPr lang="en-AU" sz="900" kern="1200"/>
            <a:t>January 2017</a:t>
          </a:r>
        </a:p>
      </dsp:txBody>
      <dsp:txXfrm>
        <a:off x="3030026" y="50176"/>
        <a:ext cx="674470" cy="831191"/>
      </dsp:txXfrm>
    </dsp:sp>
    <dsp:sp modelId="{C29E94B8-1BA5-4AFD-882F-496E1B151678}">
      <dsp:nvSpPr>
        <dsp:cNvPr id="0" name=""/>
        <dsp:cNvSpPr/>
      </dsp:nvSpPr>
      <dsp:spPr>
        <a:xfrm>
          <a:off x="3797125" y="376934"/>
          <a:ext cx="151885" cy="17767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3797125" y="412469"/>
        <a:ext cx="106320" cy="106606"/>
      </dsp:txXfrm>
    </dsp:sp>
    <dsp:sp modelId="{22B67C8F-0775-4628-BF03-724693E8BC4F}">
      <dsp:nvSpPr>
        <dsp:cNvPr id="0" name=""/>
        <dsp:cNvSpPr/>
      </dsp:nvSpPr>
      <dsp:spPr>
        <a:xfrm>
          <a:off x="4012057" y="29192"/>
          <a:ext cx="716438" cy="8731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AER review process  continues</a:t>
          </a:r>
        </a:p>
        <a:p>
          <a:pPr lvl="0" algn="ctr" defTabSz="400050">
            <a:lnSpc>
              <a:spcPct val="90000"/>
            </a:lnSpc>
            <a:spcBef>
              <a:spcPct val="0"/>
            </a:spcBef>
            <a:spcAft>
              <a:spcPct val="35000"/>
            </a:spcAft>
          </a:pPr>
          <a:r>
            <a:rPr lang="en-AU" sz="900" kern="1200"/>
            <a:t>through 2017</a:t>
          </a:r>
        </a:p>
      </dsp:txBody>
      <dsp:txXfrm>
        <a:off x="4033041" y="50176"/>
        <a:ext cx="674470" cy="831191"/>
      </dsp:txXfrm>
    </dsp:sp>
    <dsp:sp modelId="{119ABD66-3638-4306-9F60-9A1A61B4EFF0}">
      <dsp:nvSpPr>
        <dsp:cNvPr id="0" name=""/>
        <dsp:cNvSpPr/>
      </dsp:nvSpPr>
      <dsp:spPr>
        <a:xfrm>
          <a:off x="4800139" y="376934"/>
          <a:ext cx="151885" cy="17767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4800139" y="412469"/>
        <a:ext cx="106320" cy="106606"/>
      </dsp:txXfrm>
    </dsp:sp>
    <dsp:sp modelId="{426DEF53-F8A6-43CA-9D0C-F8584B82BF0E}">
      <dsp:nvSpPr>
        <dsp:cNvPr id="0" name=""/>
        <dsp:cNvSpPr/>
      </dsp:nvSpPr>
      <dsp:spPr>
        <a:xfrm>
          <a:off x="5015071" y="29192"/>
          <a:ext cx="716438" cy="8731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New prices apply </a:t>
          </a:r>
        </a:p>
        <a:p>
          <a:pPr lvl="0" algn="ctr" defTabSz="400050">
            <a:lnSpc>
              <a:spcPct val="90000"/>
            </a:lnSpc>
            <a:spcBef>
              <a:spcPct val="0"/>
            </a:spcBef>
            <a:spcAft>
              <a:spcPct val="35000"/>
            </a:spcAft>
          </a:pPr>
          <a:r>
            <a:rPr lang="en-AU" sz="900" kern="1200"/>
            <a:t>1 July 2018</a:t>
          </a:r>
        </a:p>
      </dsp:txBody>
      <dsp:txXfrm>
        <a:off x="5036055" y="50176"/>
        <a:ext cx="674470" cy="8311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F867EF-8958-400A-BCB5-0BC3ED4EB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9F26B104</Template>
  <TotalTime>0</TotalTime>
  <Pages>9</Pages>
  <Words>1045</Words>
  <Characters>5917</Characters>
  <Application>Microsoft Office Word</Application>
  <DocSecurity>0</DocSecurity>
  <Lines>394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2015-12-14T06:33:00Z</dcterms:created>
  <dcterms:modified xsi:type="dcterms:W3CDTF">2015-12-14T06:33:00Z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8585130</vt:lpwstr>
  </property>
  <property fmtid="{D5CDD505-2E9C-101B-9397-08002B2CF9AE}" pid="3" name="_MarkAsFinal">
    <vt:bool>true</vt:bool>
  </property>
</Properties>
</file>