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cstheme="majorBidi"/>
          <w:noProof/>
          <w:sz w:val="36"/>
          <w:szCs w:val="36"/>
          <w:lang w:eastAsia="en-AU"/>
        </w:rPr>
        <w:id w:val="1021519724"/>
        <w:docPartObj>
          <w:docPartGallery w:val="Cover Pages"/>
          <w:docPartUnique/>
        </w:docPartObj>
      </w:sdtPr>
      <w:sdtEndPr/>
      <w:sdtContent>
        <w:sdt>
          <w:sdtPr>
            <w:id w:val="-225538598"/>
            <w:docPartObj>
              <w:docPartGallery w:val="Cover Pages"/>
              <w:docPartUnique/>
            </w:docPartObj>
          </w:sdtPr>
          <w:sdtEndPr>
            <w:rPr>
              <w:noProof/>
              <w:lang w:eastAsia="en-AU"/>
            </w:rPr>
          </w:sdtEndPr>
          <w:sdtContent>
            <w:p w14:paraId="042073C7" w14:textId="77777777" w:rsidR="00207B7F" w:rsidRPr="00FA042E" w:rsidRDefault="00207B7F" w:rsidP="000B38DF">
              <w:r w:rsidRPr="00797ED4">
                <w:rPr>
                  <w:noProof/>
                  <w:lang w:eastAsia="en-AU"/>
                </w:rPr>
                <w:drawing>
                  <wp:anchor distT="0" distB="0" distL="114300" distR="114300" simplePos="0" relativeHeight="251659264" behindDoc="0" locked="0" layoutInCell="1" allowOverlap="1" wp14:anchorId="103DAEC5" wp14:editId="48D078B6">
                    <wp:simplePos x="0" y="0"/>
                    <wp:positionH relativeFrom="page">
                      <wp:align>left</wp:align>
                    </wp:positionH>
                    <wp:positionV relativeFrom="page">
                      <wp:posOffset>-96520</wp:posOffset>
                    </wp:positionV>
                    <wp:extent cx="7652649" cy="8707299"/>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ver-image-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52649" cy="8707299"/>
                            </a:xfrm>
                            <a:prstGeom prst="rect">
                              <a:avLst/>
                            </a:prstGeom>
                          </pic:spPr>
                        </pic:pic>
                      </a:graphicData>
                    </a:graphic>
                    <wp14:sizeRelH relativeFrom="page">
                      <wp14:pctWidth>0</wp14:pctWidth>
                    </wp14:sizeRelH>
                    <wp14:sizeRelV relativeFrom="page">
                      <wp14:pctHeight>0</wp14:pctHeight>
                    </wp14:sizeRelV>
                  </wp:anchor>
                </w:drawing>
              </w:r>
            </w:p>
            <w:p w14:paraId="6C064520" w14:textId="77777777" w:rsidR="00207B7F" w:rsidRPr="00FA042E" w:rsidRDefault="00207B7F" w:rsidP="000B38DF"/>
            <w:p w14:paraId="4796C06E" w14:textId="2D2E2C29" w:rsidR="00207B7F" w:rsidRDefault="00207B7F" w:rsidP="000B38DF">
              <w:pPr>
                <w:rPr>
                  <w:noProof/>
                  <w:lang w:eastAsia="en-AU"/>
                </w:rPr>
              </w:pPr>
              <w:r w:rsidRPr="00797ED4">
                <w:rPr>
                  <w:noProof/>
                  <w:lang w:eastAsia="en-AU"/>
                </w:rPr>
                <mc:AlternateContent>
                  <mc:Choice Requires="wps">
                    <w:drawing>
                      <wp:anchor distT="0" distB="0" distL="114300" distR="114300" simplePos="0" relativeHeight="251662336" behindDoc="0" locked="1" layoutInCell="1" allowOverlap="1" wp14:anchorId="35FEFED1" wp14:editId="7EA73E49">
                        <wp:simplePos x="0" y="0"/>
                        <wp:positionH relativeFrom="page">
                          <wp:align>left</wp:align>
                        </wp:positionH>
                        <wp:positionV relativeFrom="page">
                          <wp:posOffset>8647430</wp:posOffset>
                        </wp:positionV>
                        <wp:extent cx="7653655" cy="1941830"/>
                        <wp:effectExtent l="0" t="0" r="4445" b="1270"/>
                        <wp:wrapNone/>
                        <wp:docPr id="5" name="Rectangle 5"/>
                        <wp:cNvGraphicFramePr/>
                        <a:graphic xmlns:a="http://schemas.openxmlformats.org/drawingml/2006/main">
                          <a:graphicData uri="http://schemas.microsoft.com/office/word/2010/wordprocessingShape">
                            <wps:wsp>
                              <wps:cNvSpPr/>
                              <wps:spPr>
                                <a:xfrm>
                                  <a:off x="0" y="0"/>
                                  <a:ext cx="7653655" cy="19418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C3083" id="Rectangle 5" o:spid="_x0000_s1026" style="position:absolute;margin-left:0;margin-top:680.9pt;width:602.65pt;height:152.9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" fillcolor="white [3212]" stroked="f" strokeweight="2pt">
                        <w10:wrap anchorx="page" anchory="page"/>
                        <w10:anchorlock/>
                      </v:rect>
                    </w:pict>
                  </mc:Fallback>
                </mc:AlternateContent>
              </w:r>
              <w:r w:rsidRPr="00797ED4">
                <w:rPr>
                  <w:noProof/>
                  <w:lang w:eastAsia="en-AU"/>
                </w:rPr>
                <w:drawing>
                  <wp:anchor distT="0" distB="0" distL="114300" distR="114300" simplePos="0" relativeHeight="251663360" behindDoc="0" locked="1" layoutInCell="1" allowOverlap="1" wp14:anchorId="2F36D631" wp14:editId="65C3D051">
                    <wp:simplePos x="0" y="0"/>
                    <wp:positionH relativeFrom="column">
                      <wp:posOffset>0</wp:posOffset>
                    </wp:positionH>
                    <wp:positionV relativeFrom="page">
                      <wp:posOffset>9249410</wp:posOffset>
                    </wp:positionV>
                    <wp:extent cx="2489200" cy="1104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ER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9200" cy="1104900"/>
                            </a:xfrm>
                            <a:prstGeom prst="rect">
                              <a:avLst/>
                            </a:prstGeom>
                          </pic:spPr>
                        </pic:pic>
                      </a:graphicData>
                    </a:graphic>
                    <wp14:sizeRelH relativeFrom="page">
                      <wp14:pctWidth>0</wp14:pctWidth>
                    </wp14:sizeRelH>
                    <wp14:sizeRelV relativeFrom="page">
                      <wp14:pctHeight>0</wp14:pctHeight>
                    </wp14:sizeRelV>
                  </wp:anchor>
                </w:drawing>
              </w:r>
            </w:p>
          </w:sdtContent>
        </w:sdt>
        <w:p w14:paraId="2930E38E" w14:textId="7D6113B3" w:rsidR="00207B7F" w:rsidRDefault="00207B7F" w:rsidP="00207B7F">
          <w:pPr>
            <w:rPr>
              <w:rFonts w:eastAsiaTheme="majorEastAsia" w:cstheme="majorBidi"/>
              <w:noProof/>
              <w:sz w:val="36"/>
              <w:szCs w:val="36"/>
              <w:lang w:eastAsia="en-AU"/>
            </w:rPr>
          </w:pPr>
        </w:p>
        <w:p w14:paraId="5E660353" w14:textId="3C3FD4C9" w:rsidR="000A6C7B" w:rsidRPr="002408D6" w:rsidRDefault="00207B7F" w:rsidP="002408D6">
          <w:pPr>
            <w:pStyle w:val="ReportDate"/>
          </w:pPr>
          <w:r>
            <mc:AlternateContent>
              <mc:Choice Requires="wps">
                <w:drawing>
                  <wp:anchor distT="0" distB="0" distL="114300" distR="114300" simplePos="0" relativeHeight="251660288" behindDoc="0" locked="0" layoutInCell="1" allowOverlap="1" wp14:anchorId="59BECAAB" wp14:editId="6A2D1BDF">
                    <wp:simplePos x="0" y="0"/>
                    <wp:positionH relativeFrom="margin">
                      <wp:align>center</wp:align>
                    </wp:positionH>
                    <wp:positionV relativeFrom="page">
                      <wp:posOffset>2437130</wp:posOffset>
                    </wp:positionV>
                    <wp:extent cx="6697980" cy="4476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697980" cy="4476750"/>
                            </a:xfrm>
                            <a:prstGeom prst="rect">
                              <a:avLst/>
                            </a:prstGeom>
                            <a:noFill/>
                            <a:ln w="6350">
                              <a:noFill/>
                            </a:ln>
                          </wps:spPr>
                          <wps:txbx>
                            <w:txbxContent>
                              <w:p w14:paraId="7F2E1567" w14:textId="6A1931BF" w:rsidR="00207B7F" w:rsidRPr="0048485E" w:rsidRDefault="00E9575D" w:rsidP="00207B7F">
                                <w:pPr>
                                  <w:pStyle w:val="ReportTitle"/>
                                  <w:jc w:val="left"/>
                                  <w:rPr>
                                    <w:color w:val="FFFFFF" w:themeColor="background1"/>
                                  </w:rPr>
                                </w:pPr>
                                <w:r>
                                  <w:rPr>
                                    <w:color w:val="FFFFFF" w:themeColor="background1"/>
                                  </w:rPr>
                                  <w:t>Consulation paper s</w:t>
                                </w:r>
                                <w:r w:rsidR="001D2063">
                                  <w:rPr>
                                    <w:color w:val="FFFFFF" w:themeColor="background1"/>
                                  </w:rPr>
                                  <w:t>ummary</w:t>
                                </w:r>
                                <w:r w:rsidR="000259DF">
                                  <w:rPr>
                                    <w:color w:val="FFFFFF" w:themeColor="background1"/>
                                  </w:rPr>
                                  <w:t xml:space="preserve"> </w:t>
                                </w:r>
                              </w:p>
                              <w:p w14:paraId="2CB609CC" w14:textId="4B7C8424" w:rsidR="00207B7F" w:rsidRDefault="001D2063" w:rsidP="00207B7F">
                                <w:pPr>
                                  <w:pStyle w:val="ReportSubtitle"/>
                                  <w:jc w:val="left"/>
                                  <w:rPr>
                                    <w:color w:val="FFFFFF" w:themeColor="background1"/>
                                  </w:rPr>
                                </w:pPr>
                                <w:r>
                                  <w:rPr>
                                    <w:color w:val="FFFFFF" w:themeColor="background1"/>
                                  </w:rPr>
                                  <w:t xml:space="preserve">Pricing </w:t>
                                </w:r>
                                <w:r w:rsidR="00E9575D">
                                  <w:rPr>
                                    <w:color w:val="FFFFFF" w:themeColor="background1"/>
                                  </w:rPr>
                                  <w:t>m</w:t>
                                </w:r>
                                <w:r>
                                  <w:rPr>
                                    <w:color w:val="FFFFFF" w:themeColor="background1"/>
                                  </w:rPr>
                                  <w:t xml:space="preserve">ethodology </w:t>
                                </w:r>
                                <w:r w:rsidR="00E9575D">
                                  <w:rPr>
                                    <w:color w:val="FFFFFF" w:themeColor="background1"/>
                                  </w:rPr>
                                  <w:t>g</w:t>
                                </w:r>
                                <w:r>
                                  <w:rPr>
                                    <w:color w:val="FFFFFF" w:themeColor="background1"/>
                                  </w:rPr>
                                  <w:t xml:space="preserve">uidelines: System </w:t>
                                </w:r>
                                <w:r w:rsidR="00E9575D">
                                  <w:rPr>
                                    <w:color w:val="FFFFFF" w:themeColor="background1"/>
                                  </w:rPr>
                                  <w:t>s</w:t>
                                </w:r>
                                <w:r>
                                  <w:rPr>
                                    <w:color w:val="FFFFFF" w:themeColor="background1"/>
                                  </w:rPr>
                                  <w:t>trength pricing</w:t>
                                </w:r>
                              </w:p>
                              <w:p w14:paraId="21E13229" w14:textId="01922E32" w:rsidR="00207B7F" w:rsidRPr="0048485E" w:rsidRDefault="00207B7F" w:rsidP="00207B7F">
                                <w:pPr>
                                  <w:pStyle w:val="ReportSubtitle"/>
                                  <w:jc w:val="left"/>
                                  <w:rPr>
                                    <w:color w:val="FFFFFF" w:themeColor="background1"/>
                                  </w:rPr>
                                </w:pPr>
                              </w:p>
                              <w:p w14:paraId="00F6E359" w14:textId="3B6DD26B" w:rsidR="00207B7F" w:rsidRPr="0048485E" w:rsidRDefault="00207B7F" w:rsidP="00207B7F">
                                <w:pPr>
                                  <w:pStyle w:val="ReportSubtitle"/>
                                  <w:jc w:val="left"/>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ECAAB" id="_x0000_t202" coordsize="21600,21600" o:spt="202" path="m,l,21600r21600,l21600,xe">
                    <v:stroke joinstyle="miter"/>
                    <v:path gradientshapeok="t" o:connecttype="rect"/>
                  </v:shapetype>
                  <v:shape id="Text Box 11" o:spid="_x0000_s1026" type="#_x0000_t202" style="position:absolute;left:0;text-align:left;margin-left:0;margin-top:191.9pt;width:527.4pt;height:35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" filled="f" stroked="f" strokeweight=".5pt">
                    <v:textbox>
                      <w:txbxContent>
                        <w:p w14:paraId="7F2E1567" w14:textId="6A1931BF" w:rsidR="00207B7F" w:rsidRPr="0048485E" w:rsidRDefault="00E9575D" w:rsidP="00207B7F">
                          <w:pPr>
                            <w:pStyle w:val="ReportTitle"/>
                            <w:jc w:val="left"/>
                            <w:rPr>
                              <w:color w:val="FFFFFF" w:themeColor="background1"/>
                            </w:rPr>
                          </w:pPr>
                          <w:r>
                            <w:rPr>
                              <w:color w:val="FFFFFF" w:themeColor="background1"/>
                            </w:rPr>
                            <w:t>Consulation paper s</w:t>
                          </w:r>
                          <w:r w:rsidR="001D2063">
                            <w:rPr>
                              <w:color w:val="FFFFFF" w:themeColor="background1"/>
                            </w:rPr>
                            <w:t>ummary</w:t>
                          </w:r>
                          <w:r w:rsidR="000259DF">
                            <w:rPr>
                              <w:color w:val="FFFFFF" w:themeColor="background1"/>
                            </w:rPr>
                            <w:t xml:space="preserve"> </w:t>
                          </w:r>
                        </w:p>
                        <w:p w14:paraId="2CB609CC" w14:textId="4B7C8424" w:rsidR="00207B7F" w:rsidRDefault="001D2063" w:rsidP="00207B7F">
                          <w:pPr>
                            <w:pStyle w:val="ReportSubtitle"/>
                            <w:jc w:val="left"/>
                            <w:rPr>
                              <w:color w:val="FFFFFF" w:themeColor="background1"/>
                            </w:rPr>
                          </w:pPr>
                          <w:r>
                            <w:rPr>
                              <w:color w:val="FFFFFF" w:themeColor="background1"/>
                            </w:rPr>
                            <w:t xml:space="preserve">Pricing </w:t>
                          </w:r>
                          <w:r w:rsidR="00E9575D">
                            <w:rPr>
                              <w:color w:val="FFFFFF" w:themeColor="background1"/>
                            </w:rPr>
                            <w:t>m</w:t>
                          </w:r>
                          <w:r>
                            <w:rPr>
                              <w:color w:val="FFFFFF" w:themeColor="background1"/>
                            </w:rPr>
                            <w:t xml:space="preserve">ethodology </w:t>
                          </w:r>
                          <w:r w:rsidR="00E9575D">
                            <w:rPr>
                              <w:color w:val="FFFFFF" w:themeColor="background1"/>
                            </w:rPr>
                            <w:t>g</w:t>
                          </w:r>
                          <w:r>
                            <w:rPr>
                              <w:color w:val="FFFFFF" w:themeColor="background1"/>
                            </w:rPr>
                            <w:t xml:space="preserve">uidelines: System </w:t>
                          </w:r>
                          <w:r w:rsidR="00E9575D">
                            <w:rPr>
                              <w:color w:val="FFFFFF" w:themeColor="background1"/>
                            </w:rPr>
                            <w:t>s</w:t>
                          </w:r>
                          <w:r>
                            <w:rPr>
                              <w:color w:val="FFFFFF" w:themeColor="background1"/>
                            </w:rPr>
                            <w:t>trength pricing</w:t>
                          </w:r>
                        </w:p>
                        <w:p w14:paraId="21E13229" w14:textId="01922E32" w:rsidR="00207B7F" w:rsidRPr="0048485E" w:rsidRDefault="00207B7F" w:rsidP="00207B7F">
                          <w:pPr>
                            <w:pStyle w:val="ReportSubtitle"/>
                            <w:jc w:val="left"/>
                            <w:rPr>
                              <w:color w:val="FFFFFF" w:themeColor="background1"/>
                            </w:rPr>
                          </w:pPr>
                        </w:p>
                        <w:p w14:paraId="00F6E359" w14:textId="3B6DD26B" w:rsidR="00207B7F" w:rsidRPr="0048485E" w:rsidRDefault="00207B7F" w:rsidP="00207B7F">
                          <w:pPr>
                            <w:pStyle w:val="ReportSubtitle"/>
                            <w:jc w:val="left"/>
                            <w:rPr>
                              <w:color w:val="FFFFFF" w:themeColor="background1"/>
                            </w:rPr>
                          </w:pPr>
                        </w:p>
                      </w:txbxContent>
                    </v:textbox>
                    <w10:wrap anchorx="margin" anchory="page"/>
                  </v:shape>
                </w:pict>
              </mc:Fallback>
            </mc:AlternateContent>
          </w:r>
        </w:p>
      </w:sdtContent>
    </w:sdt>
    <w:p w14:paraId="0A9A5E13" w14:textId="5F60ED78" w:rsidR="00327A1E" w:rsidRPr="00290C63" w:rsidRDefault="00207B7F" w:rsidP="00290C63">
      <w:r w:rsidRPr="00797ED4">
        <w:rPr>
          <w:noProof/>
          <w:lang w:eastAsia="en-AU"/>
        </w:rPr>
        <mc:AlternateContent>
          <mc:Choice Requires="wps">
            <w:drawing>
              <wp:anchor distT="0" distB="0" distL="114300" distR="114300" simplePos="0" relativeHeight="251661312" behindDoc="0" locked="0" layoutInCell="1" allowOverlap="1" wp14:anchorId="241BAE4F" wp14:editId="11CBD6AC">
                <wp:simplePos x="0" y="0"/>
                <wp:positionH relativeFrom="column">
                  <wp:posOffset>-571500</wp:posOffset>
                </wp:positionH>
                <wp:positionV relativeFrom="page">
                  <wp:posOffset>7771130</wp:posOffset>
                </wp:positionV>
                <wp:extent cx="2413591" cy="552893"/>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13591" cy="552893"/>
                        </a:xfrm>
                        <a:prstGeom prst="rect">
                          <a:avLst/>
                        </a:prstGeom>
                        <a:noFill/>
                        <a:ln w="6350">
                          <a:noFill/>
                        </a:ln>
                      </wps:spPr>
                      <wps:txbx>
                        <w:txbxContent>
                          <w:p w14:paraId="36496CA8" w14:textId="026CAC53" w:rsidR="00207B7F" w:rsidRPr="0048485E" w:rsidRDefault="00302E62" w:rsidP="00670902">
                            <w:pPr>
                              <w:rPr>
                                <w:b/>
                                <w:bCs/>
                                <w:color w:val="303F51"/>
                                <w:sz w:val="32"/>
                                <w:szCs w:val="32"/>
                              </w:rPr>
                            </w:pPr>
                            <w:r>
                              <w:rPr>
                                <w:b/>
                                <w:bCs/>
                                <w:color w:val="303F51"/>
                                <w:sz w:val="32"/>
                                <w:szCs w:val="32"/>
                              </w:rPr>
                              <w:t>22</w:t>
                            </w:r>
                            <w:r w:rsidR="00E9575D">
                              <w:rPr>
                                <w:b/>
                                <w:bCs/>
                                <w:color w:val="303F51"/>
                                <w:sz w:val="32"/>
                                <w:szCs w:val="32"/>
                              </w:rPr>
                              <w:t xml:space="preserve"> </w:t>
                            </w:r>
                            <w:r w:rsidR="00F010AF">
                              <w:rPr>
                                <w:b/>
                                <w:bCs/>
                                <w:color w:val="303F51"/>
                                <w:sz w:val="32"/>
                                <w:szCs w:val="32"/>
                              </w:rPr>
                              <w:t xml:space="preserve">March </w:t>
                            </w:r>
                            <w:r w:rsidR="00207B7F">
                              <w:rPr>
                                <w:b/>
                                <w:bCs/>
                                <w:color w:val="303F51"/>
                                <w:sz w:val="32"/>
                                <w:szCs w:val="32"/>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BAE4F" id="Text Box 12" o:spid="_x0000_s1027" type="#_x0000_t202" style="position:absolute;margin-left:-45pt;margin-top:611.9pt;width:190.05pt;height:4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" filled="f" stroked="f" strokeweight=".5pt">
                <v:textbox>
                  <w:txbxContent>
                    <w:p w14:paraId="36496CA8" w14:textId="026CAC53" w:rsidR="00207B7F" w:rsidRPr="0048485E" w:rsidRDefault="00302E62" w:rsidP="00670902">
                      <w:pPr>
                        <w:rPr>
                          <w:b/>
                          <w:bCs/>
                          <w:color w:val="303F51"/>
                          <w:sz w:val="32"/>
                          <w:szCs w:val="32"/>
                        </w:rPr>
                      </w:pPr>
                      <w:r>
                        <w:rPr>
                          <w:b/>
                          <w:bCs/>
                          <w:color w:val="303F51"/>
                          <w:sz w:val="32"/>
                          <w:szCs w:val="32"/>
                        </w:rPr>
                        <w:t>22</w:t>
                      </w:r>
                      <w:r w:rsidR="00E9575D">
                        <w:rPr>
                          <w:b/>
                          <w:bCs/>
                          <w:color w:val="303F51"/>
                          <w:sz w:val="32"/>
                          <w:szCs w:val="32"/>
                        </w:rPr>
                        <w:t xml:space="preserve"> </w:t>
                      </w:r>
                      <w:r w:rsidR="00F010AF">
                        <w:rPr>
                          <w:b/>
                          <w:bCs/>
                          <w:color w:val="303F51"/>
                          <w:sz w:val="32"/>
                          <w:szCs w:val="32"/>
                        </w:rPr>
                        <w:t xml:space="preserve">March </w:t>
                      </w:r>
                      <w:r w:rsidR="00207B7F">
                        <w:rPr>
                          <w:b/>
                          <w:bCs/>
                          <w:color w:val="303F51"/>
                          <w:sz w:val="32"/>
                          <w:szCs w:val="32"/>
                        </w:rPr>
                        <w:t>2022</w:t>
                      </w:r>
                    </w:p>
                  </w:txbxContent>
                </v:textbox>
                <w10:wrap anchory="page"/>
              </v:shape>
            </w:pict>
          </mc:Fallback>
        </mc:AlternateContent>
      </w:r>
      <w:r w:rsidR="00327A1E">
        <w:br w:type="page"/>
      </w:r>
    </w:p>
    <w:p w14:paraId="5F17A6FD" w14:textId="69FE089A" w:rsidR="00CE2A23" w:rsidRDefault="00CE2A23" w:rsidP="008B10AC">
      <w:bookmarkStart w:id="0" w:name="_Toc411428008"/>
      <w:r>
        <w:lastRenderedPageBreak/>
        <w:t xml:space="preserve">© Commonwealth of Australia </w:t>
      </w:r>
      <w:r w:rsidR="004A7299">
        <w:t>20</w:t>
      </w:r>
      <w:r w:rsidR="00DE3C9C">
        <w:t>2</w:t>
      </w:r>
      <w:r w:rsidR="00837475">
        <w:t>2</w:t>
      </w:r>
    </w:p>
    <w:p w14:paraId="296E1892" w14:textId="77777777"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14:paraId="7FB158A6" w14:textId="77777777" w:rsidR="00CE2A23" w:rsidRPr="00CE2A23" w:rsidRDefault="00CE2A23" w:rsidP="00CE2A23">
      <w:pPr>
        <w:pStyle w:val="AERbulletlistfirststyle"/>
      </w:pPr>
      <w:r w:rsidRPr="00CE2A23">
        <w:t>the Commonwealth Coat of Arms</w:t>
      </w:r>
    </w:p>
    <w:p w14:paraId="51A2E0AC" w14:textId="77777777" w:rsidR="00CE2A23" w:rsidRPr="00CB734B" w:rsidRDefault="00CE2A23" w:rsidP="00CE2A23">
      <w:pPr>
        <w:pStyle w:val="AERbulletlistfirststyle"/>
      </w:pPr>
      <w:r w:rsidRPr="00CE2A23">
        <w:t>the ACCC and AER logos</w:t>
      </w:r>
    </w:p>
    <w:p w14:paraId="709216CD" w14:textId="77777777"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14:paraId="2F819B07" w14:textId="77777777" w:rsidR="00CE2A23" w:rsidRDefault="00CE2A23" w:rsidP="00761454">
      <w:r>
        <w:t>Requests and inquiries concerning reproduction and rights should be addressed to the:</w:t>
      </w:r>
    </w:p>
    <w:p w14:paraId="1A252C65" w14:textId="059D949E" w:rsidR="00CE2A23" w:rsidRDefault="00CE2A23" w:rsidP="00761454">
      <w:r>
        <w:t>Director, Corporate Communications</w:t>
      </w:r>
      <w:r>
        <w:br/>
        <w:t xml:space="preserve">Australian Competition and Consumer Commission </w:t>
      </w:r>
      <w:r>
        <w:br/>
        <w:t xml:space="preserve">GPO Box </w:t>
      </w:r>
      <w:r w:rsidR="00C336C0">
        <w:t>3</w:t>
      </w:r>
      <w:r>
        <w:t>1</w:t>
      </w:r>
      <w:r w:rsidR="00C336C0">
        <w:t>3</w:t>
      </w:r>
      <w:r>
        <w:t>1, Canberra ACT 2601</w:t>
      </w:r>
    </w:p>
    <w:p w14:paraId="1F24D1CB" w14:textId="77777777" w:rsidR="00CE2A23" w:rsidRDefault="00CE2A23" w:rsidP="00761454">
      <w:r>
        <w:t>or publishing.unit@accc.gov.au.</w:t>
      </w:r>
    </w:p>
    <w:p w14:paraId="62912DF0" w14:textId="77777777" w:rsidR="00CE2A23" w:rsidRDefault="00CE2A23" w:rsidP="00761454">
      <w:r>
        <w:t>Inquiries about this publication should be addressed to:</w:t>
      </w:r>
    </w:p>
    <w:p w14:paraId="769C3E2E" w14:textId="7B8A735F" w:rsidR="00CE2A23" w:rsidRDefault="00CE2A23" w:rsidP="00761454">
      <w:r>
        <w:t xml:space="preserve">Australian Energy </w:t>
      </w:r>
      <w:r w:rsidRPr="00F171E0">
        <w:t>Regulator</w:t>
      </w:r>
      <w:r>
        <w:br/>
      </w:r>
      <w:r w:rsidR="00837475" w:rsidRPr="00C336C0">
        <w:t>GPO Box 3131</w:t>
      </w:r>
      <w:r w:rsidR="00837475" w:rsidRPr="00C336C0">
        <w:br/>
        <w:t>Canberra ACT 2601</w:t>
      </w:r>
    </w:p>
    <w:p w14:paraId="07E622FF" w14:textId="1E1BAEC4" w:rsidR="006131D2" w:rsidRPr="00837475" w:rsidRDefault="005C288D" w:rsidP="005C288D">
      <w:pPr>
        <w:pStyle w:val="Copyright"/>
        <w:rPr>
          <w:rStyle w:val="Hyperlink"/>
          <w:sz w:val="24"/>
          <w:szCs w:val="22"/>
        </w:rPr>
      </w:pPr>
      <w:r w:rsidRPr="00837475">
        <w:rPr>
          <w:sz w:val="22"/>
          <w:szCs w:val="22"/>
        </w:rPr>
        <w:t>Tel: 1300 585 165</w:t>
      </w:r>
      <w:r w:rsidRPr="00837475">
        <w:rPr>
          <w:sz w:val="22"/>
          <w:szCs w:val="22"/>
        </w:rPr>
        <w:br/>
        <w:t xml:space="preserve">Email: </w:t>
      </w:r>
      <w:hyperlink r:id="rId11" w:history="1">
        <w:r w:rsidR="00F010AF" w:rsidRPr="00995791">
          <w:rPr>
            <w:rStyle w:val="Hyperlink"/>
            <w:szCs w:val="22"/>
          </w:rPr>
          <w:t>AERPricing@aer.gov.au</w:t>
        </w:r>
      </w:hyperlink>
      <w:r w:rsidR="00F010AF">
        <w:rPr>
          <w:sz w:val="22"/>
          <w:szCs w:val="22"/>
        </w:rPr>
        <w:t xml:space="preserve"> </w:t>
      </w:r>
    </w:p>
    <w:p w14:paraId="630A5D6D" w14:textId="313894E7" w:rsidR="005C288D" w:rsidRPr="00837475" w:rsidRDefault="006131D2" w:rsidP="005C288D">
      <w:pPr>
        <w:pStyle w:val="Copyright"/>
        <w:rPr>
          <w:sz w:val="22"/>
          <w:szCs w:val="22"/>
        </w:rPr>
      </w:pPr>
      <w:r w:rsidRPr="00837475">
        <w:rPr>
          <w:sz w:val="22"/>
          <w:szCs w:val="22"/>
        </w:rPr>
        <w:t xml:space="preserve">AER reference: </w:t>
      </w:r>
      <w:r w:rsidR="003D5C94">
        <w:rPr>
          <w:sz w:val="22"/>
          <w:szCs w:val="22"/>
        </w:rPr>
        <w:t>AER212713</w:t>
      </w:r>
      <w:r w:rsidR="005C288D" w:rsidRPr="00837475">
        <w:rPr>
          <w:rStyle w:val="Hyperlink"/>
          <w:sz w:val="24"/>
          <w:szCs w:val="22"/>
        </w:rPr>
        <w:br/>
      </w:r>
    </w:p>
    <w:p w14:paraId="1FAEFC09" w14:textId="77777777" w:rsidR="00291A99" w:rsidRDefault="00291A99" w:rsidP="00761454"/>
    <w:p w14:paraId="1707AC28" w14:textId="77777777" w:rsidR="00761454" w:rsidRDefault="00761454">
      <w:pPr>
        <w:spacing w:line="240" w:lineRule="auto"/>
      </w:pPr>
      <w:r>
        <w:br w:type="page"/>
      </w:r>
    </w:p>
    <w:p w14:paraId="5A8B320C" w14:textId="77777777" w:rsidR="00CE2A23" w:rsidRPr="008F07A3" w:rsidRDefault="00CE2A23" w:rsidP="00CE2A23">
      <w:pPr>
        <w:numPr>
          <w:ilvl w:val="0"/>
          <w:numId w:val="24"/>
        </w:numPr>
        <w:sectPr w:rsidR="00CE2A23" w:rsidRPr="008F07A3" w:rsidSect="00A06B24">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14:paraId="290BD3F2" w14:textId="77777777" w:rsidR="00CE2A23" w:rsidRPr="00A72B34" w:rsidRDefault="00CE2A23" w:rsidP="00CE2A23">
      <w:pPr>
        <w:pStyle w:val="UnnumberedHeading"/>
        <w:numPr>
          <w:ilvl w:val="0"/>
          <w:numId w:val="23"/>
        </w:numPr>
      </w:pPr>
      <w:bookmarkStart w:id="1" w:name="_Toc403144133"/>
      <w:bookmarkStart w:id="2" w:name="_Toc98831360"/>
      <w:r>
        <w:lastRenderedPageBreak/>
        <w:t>Contents</w:t>
      </w:r>
      <w:bookmarkEnd w:id="1"/>
      <w:bookmarkEnd w:id="2"/>
    </w:p>
    <w:p w14:paraId="45CEBFBC" w14:textId="77777777" w:rsidR="00CE2A23" w:rsidRDefault="00CE2A23" w:rsidP="00CE2A23"/>
    <w:sdt>
      <w:sdtPr>
        <w:rPr>
          <w:b w:val="0"/>
          <w:noProof w:val="0"/>
          <w:color w:val="auto"/>
          <w:sz w:val="22"/>
          <w:lang w:val="en-AU" w:eastAsia="en-US"/>
        </w:rPr>
        <w:id w:val="1855455005"/>
        <w:docPartObj>
          <w:docPartGallery w:val="Table of Contents"/>
          <w:docPartUnique/>
        </w:docPartObj>
      </w:sdtPr>
      <w:sdtEndPr/>
      <w:sdtContent>
        <w:p w14:paraId="62B70224" w14:textId="7EE16F5F" w:rsidR="00302E62" w:rsidRDefault="00CC78E1">
          <w:pPr>
            <w:pStyle w:val="TOC1"/>
            <w:rPr>
              <w:rFonts w:asciiTheme="minorHAnsi" w:eastAsiaTheme="minorEastAsia" w:hAnsiTheme="minorHAnsi"/>
              <w:b w:val="0"/>
              <w:color w:val="auto"/>
              <w:sz w:val="22"/>
              <w:lang w:val="en-AU" w:eastAsia="en-AU"/>
            </w:rPr>
          </w:pPr>
          <w:r>
            <w:rPr>
              <w:sz w:val="22"/>
            </w:rPr>
            <w:fldChar w:fldCharType="begin"/>
          </w:r>
          <w:r>
            <w:instrText xml:space="preserve"> TOC \o \h \z \u </w:instrText>
          </w:r>
          <w:r>
            <w:rPr>
              <w:sz w:val="22"/>
            </w:rPr>
            <w:fldChar w:fldCharType="separate"/>
          </w:r>
          <w:hyperlink w:anchor="_Toc98831360" w:history="1">
            <w:r w:rsidR="00302E62" w:rsidRPr="00167BCA">
              <w:rPr>
                <w:rStyle w:val="Hyperlink"/>
              </w:rPr>
              <w:t>Contents</w:t>
            </w:r>
            <w:r w:rsidR="00302E62">
              <w:rPr>
                <w:webHidden/>
              </w:rPr>
              <w:tab/>
            </w:r>
            <w:r w:rsidR="00302E62">
              <w:rPr>
                <w:webHidden/>
              </w:rPr>
              <w:fldChar w:fldCharType="begin"/>
            </w:r>
            <w:r w:rsidR="00302E62">
              <w:rPr>
                <w:webHidden/>
              </w:rPr>
              <w:instrText xml:space="preserve"> PAGEREF _Toc98831360 \h </w:instrText>
            </w:r>
            <w:r w:rsidR="00302E62">
              <w:rPr>
                <w:webHidden/>
              </w:rPr>
            </w:r>
            <w:r w:rsidR="00302E62">
              <w:rPr>
                <w:webHidden/>
              </w:rPr>
              <w:fldChar w:fldCharType="separate"/>
            </w:r>
            <w:r w:rsidR="00302E62">
              <w:rPr>
                <w:webHidden/>
              </w:rPr>
              <w:t>2</w:t>
            </w:r>
            <w:r w:rsidR="00302E62">
              <w:rPr>
                <w:webHidden/>
              </w:rPr>
              <w:fldChar w:fldCharType="end"/>
            </w:r>
          </w:hyperlink>
        </w:p>
        <w:p w14:paraId="21DA1B50" w14:textId="257A6276" w:rsidR="00302E62" w:rsidRDefault="00302E62">
          <w:pPr>
            <w:pStyle w:val="TOC1"/>
            <w:rPr>
              <w:rFonts w:asciiTheme="minorHAnsi" w:eastAsiaTheme="minorEastAsia" w:hAnsiTheme="minorHAnsi"/>
              <w:b w:val="0"/>
              <w:color w:val="auto"/>
              <w:sz w:val="22"/>
              <w:lang w:val="en-AU" w:eastAsia="en-AU"/>
            </w:rPr>
          </w:pPr>
          <w:hyperlink w:anchor="_Toc98831361" w:history="1">
            <w:r w:rsidRPr="00167BCA">
              <w:rPr>
                <w:rStyle w:val="Hyperlink"/>
              </w:rPr>
              <w:t>Consultation summary: Updating pricing methodology guidelines for system strength pricing</w:t>
            </w:r>
            <w:r>
              <w:rPr>
                <w:webHidden/>
              </w:rPr>
              <w:tab/>
            </w:r>
            <w:r>
              <w:rPr>
                <w:webHidden/>
              </w:rPr>
              <w:fldChar w:fldCharType="begin"/>
            </w:r>
            <w:r>
              <w:rPr>
                <w:webHidden/>
              </w:rPr>
              <w:instrText xml:space="preserve"> PAGEREF _Toc98831361 \h </w:instrText>
            </w:r>
            <w:r>
              <w:rPr>
                <w:webHidden/>
              </w:rPr>
            </w:r>
            <w:r>
              <w:rPr>
                <w:webHidden/>
              </w:rPr>
              <w:fldChar w:fldCharType="separate"/>
            </w:r>
            <w:r>
              <w:rPr>
                <w:webHidden/>
              </w:rPr>
              <w:t>3</w:t>
            </w:r>
            <w:r>
              <w:rPr>
                <w:webHidden/>
              </w:rPr>
              <w:fldChar w:fldCharType="end"/>
            </w:r>
          </w:hyperlink>
        </w:p>
        <w:p w14:paraId="475685AF" w14:textId="58CC9B9D" w:rsidR="00302E62" w:rsidRDefault="00302E62">
          <w:pPr>
            <w:pStyle w:val="TOC3"/>
            <w:rPr>
              <w:rFonts w:asciiTheme="minorHAnsi" w:eastAsiaTheme="minorEastAsia" w:hAnsiTheme="minorHAnsi"/>
              <w:lang w:eastAsia="en-AU"/>
            </w:rPr>
          </w:pPr>
          <w:hyperlink w:anchor="_Toc98831362" w:history="1">
            <w:r w:rsidRPr="00167BCA">
              <w:rPr>
                <w:rStyle w:val="Hyperlink"/>
              </w:rPr>
              <w:t>Background</w:t>
            </w:r>
            <w:r>
              <w:rPr>
                <w:webHidden/>
              </w:rPr>
              <w:tab/>
            </w:r>
            <w:r>
              <w:rPr>
                <w:webHidden/>
              </w:rPr>
              <w:fldChar w:fldCharType="begin"/>
            </w:r>
            <w:r>
              <w:rPr>
                <w:webHidden/>
              </w:rPr>
              <w:instrText xml:space="preserve"> PAGEREF _Toc98831362 \h </w:instrText>
            </w:r>
            <w:r>
              <w:rPr>
                <w:webHidden/>
              </w:rPr>
            </w:r>
            <w:r>
              <w:rPr>
                <w:webHidden/>
              </w:rPr>
              <w:fldChar w:fldCharType="separate"/>
            </w:r>
            <w:r>
              <w:rPr>
                <w:webHidden/>
              </w:rPr>
              <w:t>3</w:t>
            </w:r>
            <w:r>
              <w:rPr>
                <w:webHidden/>
              </w:rPr>
              <w:fldChar w:fldCharType="end"/>
            </w:r>
          </w:hyperlink>
        </w:p>
        <w:p w14:paraId="5D535833" w14:textId="5B377BB6" w:rsidR="00302E62" w:rsidRDefault="00302E62">
          <w:pPr>
            <w:pStyle w:val="TOC3"/>
            <w:rPr>
              <w:rFonts w:asciiTheme="minorHAnsi" w:eastAsiaTheme="minorEastAsia" w:hAnsiTheme="minorHAnsi"/>
              <w:lang w:eastAsia="en-AU"/>
            </w:rPr>
          </w:pPr>
          <w:hyperlink w:anchor="_Toc98831363" w:history="1">
            <w:r w:rsidRPr="00167BCA">
              <w:rPr>
                <w:rStyle w:val="Hyperlink"/>
              </w:rPr>
              <w:t>Prescribed structure of the system strength charge</w:t>
            </w:r>
            <w:r>
              <w:rPr>
                <w:webHidden/>
              </w:rPr>
              <w:tab/>
            </w:r>
            <w:r>
              <w:rPr>
                <w:webHidden/>
              </w:rPr>
              <w:fldChar w:fldCharType="begin"/>
            </w:r>
            <w:r>
              <w:rPr>
                <w:webHidden/>
              </w:rPr>
              <w:instrText xml:space="preserve"> PAGEREF _Toc98831363 \h </w:instrText>
            </w:r>
            <w:r>
              <w:rPr>
                <w:webHidden/>
              </w:rPr>
            </w:r>
            <w:r>
              <w:rPr>
                <w:webHidden/>
              </w:rPr>
              <w:fldChar w:fldCharType="separate"/>
            </w:r>
            <w:r>
              <w:rPr>
                <w:webHidden/>
              </w:rPr>
              <w:t>4</w:t>
            </w:r>
            <w:r>
              <w:rPr>
                <w:webHidden/>
              </w:rPr>
              <w:fldChar w:fldCharType="end"/>
            </w:r>
          </w:hyperlink>
        </w:p>
        <w:p w14:paraId="616B7D42" w14:textId="42449669" w:rsidR="00302E62" w:rsidRDefault="00302E62">
          <w:pPr>
            <w:pStyle w:val="TOC3"/>
            <w:rPr>
              <w:rFonts w:asciiTheme="minorHAnsi" w:eastAsiaTheme="minorEastAsia" w:hAnsiTheme="minorHAnsi"/>
              <w:lang w:eastAsia="en-AU"/>
            </w:rPr>
          </w:pPr>
          <w:hyperlink w:anchor="_Toc98831364" w:history="1">
            <w:r w:rsidRPr="00167BCA">
              <w:rPr>
                <w:rStyle w:val="Hyperlink"/>
              </w:rPr>
              <w:t>Role of the AER</w:t>
            </w:r>
            <w:r>
              <w:rPr>
                <w:webHidden/>
              </w:rPr>
              <w:tab/>
            </w:r>
            <w:r>
              <w:rPr>
                <w:webHidden/>
              </w:rPr>
              <w:fldChar w:fldCharType="begin"/>
            </w:r>
            <w:r>
              <w:rPr>
                <w:webHidden/>
              </w:rPr>
              <w:instrText xml:space="preserve"> PAGEREF _Toc98831364 \h </w:instrText>
            </w:r>
            <w:r>
              <w:rPr>
                <w:webHidden/>
              </w:rPr>
            </w:r>
            <w:r>
              <w:rPr>
                <w:webHidden/>
              </w:rPr>
              <w:fldChar w:fldCharType="separate"/>
            </w:r>
            <w:r>
              <w:rPr>
                <w:webHidden/>
              </w:rPr>
              <w:t>5</w:t>
            </w:r>
            <w:r>
              <w:rPr>
                <w:webHidden/>
              </w:rPr>
              <w:fldChar w:fldCharType="end"/>
            </w:r>
          </w:hyperlink>
        </w:p>
        <w:p w14:paraId="73B139EB" w14:textId="65EFBF33" w:rsidR="00302E62" w:rsidRDefault="00302E62">
          <w:pPr>
            <w:pStyle w:val="TOC3"/>
            <w:rPr>
              <w:rFonts w:asciiTheme="minorHAnsi" w:eastAsiaTheme="minorEastAsia" w:hAnsiTheme="minorHAnsi"/>
              <w:lang w:eastAsia="en-AU"/>
            </w:rPr>
          </w:pPr>
          <w:hyperlink w:anchor="_Toc98831365" w:history="1">
            <w:r w:rsidRPr="00167BCA">
              <w:rPr>
                <w:rStyle w:val="Hyperlink"/>
              </w:rPr>
              <w:t>Consultation process and stakeholder feedback</w:t>
            </w:r>
            <w:r>
              <w:rPr>
                <w:webHidden/>
              </w:rPr>
              <w:tab/>
            </w:r>
            <w:r>
              <w:rPr>
                <w:webHidden/>
              </w:rPr>
              <w:fldChar w:fldCharType="begin"/>
            </w:r>
            <w:r>
              <w:rPr>
                <w:webHidden/>
              </w:rPr>
              <w:instrText xml:space="preserve"> PAGEREF _Toc98831365 \h </w:instrText>
            </w:r>
            <w:r>
              <w:rPr>
                <w:webHidden/>
              </w:rPr>
            </w:r>
            <w:r>
              <w:rPr>
                <w:webHidden/>
              </w:rPr>
              <w:fldChar w:fldCharType="separate"/>
            </w:r>
            <w:r>
              <w:rPr>
                <w:webHidden/>
              </w:rPr>
              <w:t>5</w:t>
            </w:r>
            <w:r>
              <w:rPr>
                <w:webHidden/>
              </w:rPr>
              <w:fldChar w:fldCharType="end"/>
            </w:r>
          </w:hyperlink>
        </w:p>
        <w:p w14:paraId="7107F09E" w14:textId="28035349" w:rsidR="00302E62" w:rsidRDefault="00302E62">
          <w:pPr>
            <w:pStyle w:val="TOC3"/>
            <w:rPr>
              <w:rFonts w:asciiTheme="minorHAnsi" w:eastAsiaTheme="minorEastAsia" w:hAnsiTheme="minorHAnsi"/>
              <w:lang w:eastAsia="en-AU"/>
            </w:rPr>
          </w:pPr>
          <w:hyperlink w:anchor="_Toc98831366" w:history="1">
            <w:r w:rsidRPr="00167BCA">
              <w:rPr>
                <w:rStyle w:val="Hyperlink"/>
              </w:rPr>
              <w:t>Questions in consultation paper</w:t>
            </w:r>
            <w:r>
              <w:rPr>
                <w:webHidden/>
              </w:rPr>
              <w:tab/>
            </w:r>
            <w:r>
              <w:rPr>
                <w:webHidden/>
              </w:rPr>
              <w:fldChar w:fldCharType="begin"/>
            </w:r>
            <w:r>
              <w:rPr>
                <w:webHidden/>
              </w:rPr>
              <w:instrText xml:space="preserve"> PAGEREF _Toc98831366 \h </w:instrText>
            </w:r>
            <w:r>
              <w:rPr>
                <w:webHidden/>
              </w:rPr>
            </w:r>
            <w:r>
              <w:rPr>
                <w:webHidden/>
              </w:rPr>
              <w:fldChar w:fldCharType="separate"/>
            </w:r>
            <w:r>
              <w:rPr>
                <w:webHidden/>
              </w:rPr>
              <w:t>7</w:t>
            </w:r>
            <w:r>
              <w:rPr>
                <w:webHidden/>
              </w:rPr>
              <w:fldChar w:fldCharType="end"/>
            </w:r>
          </w:hyperlink>
        </w:p>
        <w:p w14:paraId="58A6CE2A" w14:textId="319F2DF4" w:rsidR="00302E62" w:rsidRDefault="00302E62">
          <w:pPr>
            <w:pStyle w:val="TOC1"/>
            <w:rPr>
              <w:rFonts w:asciiTheme="minorHAnsi" w:eastAsiaTheme="minorEastAsia" w:hAnsiTheme="minorHAnsi"/>
              <w:b w:val="0"/>
              <w:color w:val="auto"/>
              <w:sz w:val="22"/>
              <w:lang w:val="en-AU" w:eastAsia="en-AU"/>
            </w:rPr>
          </w:pPr>
          <w:hyperlink w:anchor="_Toc98831367" w:history="1">
            <w:r w:rsidRPr="00167BCA">
              <w:rPr>
                <w:rStyle w:val="Hyperlink"/>
              </w:rPr>
              <w:t>Shortened forms</w:t>
            </w:r>
            <w:r>
              <w:rPr>
                <w:webHidden/>
              </w:rPr>
              <w:tab/>
            </w:r>
            <w:r>
              <w:rPr>
                <w:webHidden/>
              </w:rPr>
              <w:fldChar w:fldCharType="begin"/>
            </w:r>
            <w:r>
              <w:rPr>
                <w:webHidden/>
              </w:rPr>
              <w:instrText xml:space="preserve"> PAGEREF _Toc98831367 \h </w:instrText>
            </w:r>
            <w:r>
              <w:rPr>
                <w:webHidden/>
              </w:rPr>
            </w:r>
            <w:r>
              <w:rPr>
                <w:webHidden/>
              </w:rPr>
              <w:fldChar w:fldCharType="separate"/>
            </w:r>
            <w:r>
              <w:rPr>
                <w:webHidden/>
              </w:rPr>
              <w:t>10</w:t>
            </w:r>
            <w:r>
              <w:rPr>
                <w:webHidden/>
              </w:rPr>
              <w:fldChar w:fldCharType="end"/>
            </w:r>
          </w:hyperlink>
        </w:p>
        <w:p w14:paraId="315ADE45" w14:textId="12400956" w:rsidR="00CC78E1" w:rsidRDefault="00CC78E1" w:rsidP="00CE2A23">
          <w:r>
            <w:fldChar w:fldCharType="end"/>
          </w:r>
        </w:p>
      </w:sdtContent>
    </w:sdt>
    <w:p w14:paraId="3ACB31A6" w14:textId="69D87DB1" w:rsidR="00BF7CD0" w:rsidRDefault="00CE2A23" w:rsidP="00CE2A23">
      <w:r>
        <w:t xml:space="preserve"> </w:t>
      </w:r>
    </w:p>
    <w:p w14:paraId="1592B231" w14:textId="77777777" w:rsidR="00BF7CD0" w:rsidRDefault="00BF7CD0">
      <w:pPr>
        <w:spacing w:line="240" w:lineRule="auto"/>
      </w:pPr>
      <w:r>
        <w:br w:type="page"/>
      </w:r>
    </w:p>
    <w:p w14:paraId="1B429A33" w14:textId="72825069" w:rsidR="00CD3D6B" w:rsidRDefault="00CD3D6B" w:rsidP="00CD3D6B">
      <w:pPr>
        <w:pStyle w:val="Heading1notnumber"/>
        <w:rPr>
          <w:rStyle w:val="AERtexthighlight"/>
          <w:shd w:val="clear" w:color="auto" w:fill="auto"/>
        </w:rPr>
      </w:pPr>
      <w:bookmarkStart w:id="3" w:name="_Toc416278154"/>
      <w:bookmarkStart w:id="4" w:name="_Toc416346517"/>
      <w:bookmarkStart w:id="5" w:name="_Toc416278157"/>
      <w:bookmarkStart w:id="6" w:name="_Toc416346520"/>
      <w:bookmarkStart w:id="7" w:name="_Toc416278160"/>
      <w:bookmarkStart w:id="8" w:name="_Toc416346523"/>
      <w:bookmarkStart w:id="9" w:name="_Toc416278163"/>
      <w:bookmarkStart w:id="10" w:name="_Toc416346526"/>
      <w:bookmarkStart w:id="11" w:name="_Toc416278166"/>
      <w:bookmarkStart w:id="12" w:name="_Toc416346529"/>
      <w:bookmarkStart w:id="13" w:name="_Toc416278169"/>
      <w:bookmarkStart w:id="14" w:name="_Toc416346532"/>
      <w:bookmarkStart w:id="15" w:name="_Toc416278172"/>
      <w:bookmarkStart w:id="16" w:name="_Toc416346535"/>
      <w:bookmarkStart w:id="17" w:name="_Toc416278175"/>
      <w:bookmarkStart w:id="18" w:name="_Toc416346538"/>
      <w:bookmarkStart w:id="19" w:name="_Toc416278178"/>
      <w:bookmarkStart w:id="20" w:name="_Toc416346541"/>
      <w:bookmarkStart w:id="21" w:name="_Toc416278181"/>
      <w:bookmarkStart w:id="22" w:name="_Toc416346544"/>
      <w:bookmarkStart w:id="23" w:name="_Toc416278184"/>
      <w:bookmarkStart w:id="24" w:name="_Toc416346547"/>
      <w:bookmarkStart w:id="25" w:name="_Toc416278187"/>
      <w:bookmarkStart w:id="26" w:name="_Toc416346550"/>
      <w:bookmarkStart w:id="27" w:name="_Toc416278190"/>
      <w:bookmarkStart w:id="28" w:name="_Toc416346553"/>
      <w:bookmarkStart w:id="29" w:name="_Toc416278193"/>
      <w:bookmarkStart w:id="30" w:name="_Toc416346556"/>
      <w:bookmarkStart w:id="31" w:name="_Toc416278196"/>
      <w:bookmarkStart w:id="32" w:name="_Toc416346559"/>
      <w:bookmarkStart w:id="33" w:name="_Toc416278199"/>
      <w:bookmarkStart w:id="34" w:name="_Toc416346562"/>
      <w:bookmarkStart w:id="35" w:name="_Toc416278202"/>
      <w:bookmarkStart w:id="36" w:name="_Toc416346565"/>
      <w:bookmarkStart w:id="37" w:name="_Toc416278205"/>
      <w:bookmarkStart w:id="38" w:name="_Toc416346568"/>
      <w:bookmarkStart w:id="39" w:name="_Toc416278208"/>
      <w:bookmarkStart w:id="40" w:name="_Toc416346571"/>
      <w:bookmarkStart w:id="41" w:name="_Toc416278211"/>
      <w:bookmarkStart w:id="42" w:name="_Toc416346574"/>
      <w:bookmarkStart w:id="43" w:name="_Toc416278214"/>
      <w:bookmarkStart w:id="44" w:name="_Toc416346577"/>
      <w:bookmarkStart w:id="45" w:name="_Toc416278217"/>
      <w:bookmarkStart w:id="46" w:name="_Toc416346580"/>
      <w:bookmarkStart w:id="47" w:name="_Toc416278220"/>
      <w:bookmarkStart w:id="48" w:name="_Toc416346583"/>
      <w:bookmarkStart w:id="49" w:name="_Toc416278223"/>
      <w:bookmarkStart w:id="50" w:name="_Toc416346586"/>
      <w:bookmarkStart w:id="51" w:name="_Toc416278226"/>
      <w:bookmarkStart w:id="52" w:name="_Toc416346589"/>
      <w:bookmarkStart w:id="53" w:name="_Toc416278229"/>
      <w:bookmarkStart w:id="54" w:name="_Toc416346592"/>
      <w:bookmarkStart w:id="55" w:name="_Toc416278232"/>
      <w:bookmarkStart w:id="56" w:name="_Toc416346595"/>
      <w:bookmarkStart w:id="57" w:name="_Toc416278235"/>
      <w:bookmarkStart w:id="58" w:name="_Toc416346598"/>
      <w:bookmarkStart w:id="59" w:name="_Toc416278238"/>
      <w:bookmarkStart w:id="60" w:name="_Toc416346601"/>
      <w:bookmarkStart w:id="61" w:name="_Toc98831361"/>
      <w:bookmarkEnd w:id="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CD3D6B">
        <w:rPr>
          <w:rStyle w:val="AERtexthighlight"/>
          <w:shd w:val="clear" w:color="auto" w:fill="auto"/>
        </w:rPr>
        <w:lastRenderedPageBreak/>
        <w:t>Consultation</w:t>
      </w:r>
      <w:r w:rsidR="007C1119">
        <w:rPr>
          <w:rStyle w:val="AERtexthighlight"/>
          <w:shd w:val="clear" w:color="auto" w:fill="auto"/>
        </w:rPr>
        <w:t xml:space="preserve"> summary</w:t>
      </w:r>
      <w:r w:rsidRPr="00CD3D6B">
        <w:rPr>
          <w:rStyle w:val="AERtexthighlight"/>
          <w:shd w:val="clear" w:color="auto" w:fill="auto"/>
        </w:rPr>
        <w:t>: Updating</w:t>
      </w:r>
      <w:r>
        <w:rPr>
          <w:rStyle w:val="AERtexthighlight"/>
          <w:shd w:val="clear" w:color="auto" w:fill="auto"/>
        </w:rPr>
        <w:t xml:space="preserve"> </w:t>
      </w:r>
      <w:r w:rsidRPr="00CD3D6B">
        <w:rPr>
          <w:rStyle w:val="AERtexthighlight"/>
          <w:shd w:val="clear" w:color="auto" w:fill="auto"/>
        </w:rPr>
        <w:t>pricing methodology guidelines for system strength pricing</w:t>
      </w:r>
      <w:bookmarkEnd w:id="61"/>
    </w:p>
    <w:p w14:paraId="023DF5AE" w14:textId="7E36425D" w:rsidR="00FA09B4" w:rsidRPr="00C336C0" w:rsidRDefault="00BF7CD0" w:rsidP="00164E12">
      <w:pPr>
        <w:pStyle w:val="HeadingBoldBlue"/>
        <w:rPr>
          <w:rStyle w:val="AERtexthighlight"/>
          <w:rFonts w:eastAsiaTheme="minorHAnsi" w:cstheme="minorBidi"/>
          <w:b w:val="0"/>
          <w:bCs w:val="0"/>
          <w:color w:val="auto"/>
          <w:sz w:val="22"/>
          <w:shd w:val="clear" w:color="auto" w:fill="auto"/>
        </w:rPr>
      </w:pPr>
      <w:bookmarkStart w:id="62" w:name="_Toc98831362"/>
      <w:r>
        <w:rPr>
          <w:rStyle w:val="AERtexthighlight"/>
          <w:shd w:val="clear" w:color="auto" w:fill="auto"/>
        </w:rPr>
        <w:t>Background</w:t>
      </w:r>
      <w:bookmarkEnd w:id="62"/>
    </w:p>
    <w:p w14:paraId="06CB5292" w14:textId="5AFA9027" w:rsidR="00E87F89" w:rsidRDefault="00E87F89" w:rsidP="00816ECE">
      <w:r>
        <w:t>On 21 October 2021, the</w:t>
      </w:r>
      <w:r w:rsidR="005E2FB7">
        <w:t xml:space="preserve"> </w:t>
      </w:r>
      <w:r w:rsidR="005E2FB7" w:rsidRPr="005E2FB7">
        <w:t>Australian Energy Market Commission</w:t>
      </w:r>
      <w:r>
        <w:t xml:space="preserve"> completed the “Efficient management of system</w:t>
      </w:r>
      <w:r w:rsidR="00816ECE">
        <w:t xml:space="preserve"> </w:t>
      </w:r>
      <w:r>
        <w:t>strength on the power system” rule change.</w:t>
      </w:r>
      <w:r w:rsidR="008C6A19">
        <w:rPr>
          <w:rStyle w:val="FootnoteReference"/>
        </w:rPr>
        <w:footnoteReference w:id="1"/>
      </w:r>
      <w:r>
        <w:t xml:space="preserve"> The rule change seeks a</w:t>
      </w:r>
      <w:r w:rsidR="00816ECE">
        <w:t xml:space="preserve"> </w:t>
      </w:r>
      <w:r>
        <w:t>more forward</w:t>
      </w:r>
      <w:r w:rsidR="00A9353B">
        <w:noBreakHyphen/>
      </w:r>
      <w:r>
        <w:t>looking, coordinated solution for the supply and demand of system</w:t>
      </w:r>
      <w:r w:rsidR="00816ECE">
        <w:t xml:space="preserve"> </w:t>
      </w:r>
      <w:r>
        <w:t xml:space="preserve">strength in the </w:t>
      </w:r>
      <w:r w:rsidR="00991FF2">
        <w:t>National Electricity Market (</w:t>
      </w:r>
      <w:r>
        <w:t>NEM</w:t>
      </w:r>
      <w:r w:rsidR="00991FF2">
        <w:t>)</w:t>
      </w:r>
      <w:r>
        <w:t>. This would enable the rapid integration of inverter</w:t>
      </w:r>
      <w:r w:rsidR="005E2FB7">
        <w:noBreakHyphen/>
      </w:r>
      <w:r>
        <w:t>based</w:t>
      </w:r>
      <w:r w:rsidR="00816ECE">
        <w:t xml:space="preserve"> </w:t>
      </w:r>
      <w:r>
        <w:t>renewables and batteries into the NEM.</w:t>
      </w:r>
    </w:p>
    <w:p w14:paraId="304EDB6E" w14:textId="5797343B" w:rsidR="00FE4996" w:rsidRDefault="00FE4996" w:rsidP="00816ECE">
      <w:r w:rsidRPr="00FE4996">
        <w:t xml:space="preserve">System strength is a quality of the power system that is related to the overall stability of the voltage waveform. </w:t>
      </w:r>
      <w:r w:rsidR="00FB30F5">
        <w:t>S</w:t>
      </w:r>
      <w:r w:rsidRPr="00FE4996">
        <w:t>ystem strength also includes fault level provision which is required for the operation of plant and network protection systems.</w:t>
      </w:r>
      <w:r w:rsidR="00DE2F53">
        <w:rPr>
          <w:rStyle w:val="FootnoteReference"/>
        </w:rPr>
        <w:footnoteReference w:id="2"/>
      </w:r>
      <w:r w:rsidR="002C5BBE">
        <w:t xml:space="preserve"> </w:t>
      </w:r>
    </w:p>
    <w:p w14:paraId="036FA142" w14:textId="2C308067" w:rsidR="00991FF2" w:rsidRPr="00991FF2" w:rsidRDefault="00991FF2" w:rsidP="00991FF2">
      <w:r w:rsidRPr="00991FF2">
        <w:t>AEMO currently defines system strength as:</w:t>
      </w:r>
      <w:r w:rsidRPr="00991FF2">
        <w:rPr>
          <w:vertAlign w:val="superscript"/>
        </w:rPr>
        <w:footnoteReference w:id="3"/>
      </w:r>
    </w:p>
    <w:p w14:paraId="6C8A11C1" w14:textId="77777777" w:rsidR="00991FF2" w:rsidRPr="00991FF2" w:rsidRDefault="00991FF2" w:rsidP="00991FF2">
      <w:pPr>
        <w:ind w:left="340"/>
        <w:rPr>
          <w:i/>
          <w:iCs/>
        </w:rPr>
      </w:pPr>
      <w:r w:rsidRPr="00991FF2">
        <w:rPr>
          <w:i/>
          <w:iCs/>
        </w:rPr>
        <w:t>“the ability of the power system to maintain and control the voltage waveform at any given location in the power system, both during steady state operation and following a disturbance.”</w:t>
      </w:r>
    </w:p>
    <w:p w14:paraId="07D7FC79" w14:textId="402154B6" w:rsidR="00991FF2" w:rsidRPr="00991FF2" w:rsidRDefault="00991FF2" w:rsidP="00991FF2">
      <w:r w:rsidRPr="00991FF2">
        <w:t>These aspects of system strength are provided as a by-product of energy generation by synchronous generators.</w:t>
      </w:r>
      <w:r w:rsidRPr="00991FF2">
        <w:rPr>
          <w:vertAlign w:val="superscript"/>
        </w:rPr>
        <w:footnoteReference w:id="4"/>
      </w:r>
      <w:r w:rsidRPr="00991FF2">
        <w:t xml:space="preserve"> Conversely, grid-following inverter-based generation provides limited contribution to fault levels and can tend to exacerbate any voltage waveform instabilities.</w:t>
      </w:r>
      <w:r w:rsidRPr="00991FF2">
        <w:rPr>
          <w:vertAlign w:val="superscript"/>
        </w:rPr>
        <w:footnoteReference w:id="5"/>
      </w:r>
      <w:r w:rsidRPr="00991FF2">
        <w:t xml:space="preserve"> </w:t>
      </w:r>
    </w:p>
    <w:p w14:paraId="01126DAB" w14:textId="01B908F3" w:rsidR="00991FF2" w:rsidRDefault="00991FF2" w:rsidP="00991FF2">
      <w:r w:rsidRPr="00991FF2">
        <w:t>A decline in system strength in the NEM has been noticed over the last several years as inverter-based generation replaces synchronous generation output.</w:t>
      </w:r>
      <w:r w:rsidR="008B29C0">
        <w:t xml:space="preserve"> </w:t>
      </w:r>
      <w:r w:rsidR="008B29C0" w:rsidRPr="008B29C0">
        <w:t xml:space="preserve">As a result, the AEMC published the </w:t>
      </w:r>
      <w:r w:rsidR="008B29C0" w:rsidRPr="00FB30F5">
        <w:rPr>
          <w:i/>
          <w:iCs/>
        </w:rPr>
        <w:t>Managing power system fault levels</w:t>
      </w:r>
      <w:r w:rsidR="008B29C0" w:rsidRPr="008B29C0">
        <w:t xml:space="preserve"> final rule on 19 September 2017. This rule change introduced a minimum system strength framework which required AEMO to declare system strength gaps when they occur, and TNSPs to procure services to meet the gap. This rule change also introduced the ‘do no harm’ rule, requiring connecting generators to mitigate any negative impact of their connection on the local system strength.</w:t>
      </w:r>
    </w:p>
    <w:p w14:paraId="75B05AAF" w14:textId="02FA1B4C" w:rsidR="002C495D" w:rsidRDefault="002C495D" w:rsidP="002C495D">
      <w:r>
        <w:lastRenderedPageBreak/>
        <w:t>On 27 April 2020, TransGrid submitted a rule change proposal aiming to abolish the ‘do no harm’ requirement and amend the minimum system strength requirement.</w:t>
      </w:r>
      <w:r>
        <w:rPr>
          <w:rStyle w:val="FootnoteReference"/>
        </w:rPr>
        <w:footnoteReference w:id="6"/>
      </w:r>
      <w:r>
        <w:t xml:space="preserve"> The proposal considered the existing framework was overly reactive and was resulting in significant delays to connection of new generation.</w:t>
      </w:r>
    </w:p>
    <w:p w14:paraId="0993E530" w14:textId="5BBAC403" w:rsidR="002C495D" w:rsidRDefault="002C495D" w:rsidP="002C495D">
      <w:r>
        <w:t>On 21 October 2021, the AEMC made a more preferable final rule which replaced the minimum system strength framework and ‘do no harm’ obligation in order to facilitate the proactive provision of system strength where it is needed in the network.</w:t>
      </w:r>
      <w:r>
        <w:rPr>
          <w:rStyle w:val="FootnoteReference"/>
        </w:rPr>
        <w:footnoteReference w:id="7"/>
      </w:r>
      <w:r>
        <w:t xml:space="preserve"> A key finding was that TNSPs—designated as </w:t>
      </w:r>
      <w:r w:rsidR="002C5BBE">
        <w:t>system strength service providers (</w:t>
      </w:r>
      <w:r>
        <w:t>SSSPs</w:t>
      </w:r>
      <w:r w:rsidR="002C5BBE">
        <w:t>)</w:t>
      </w:r>
      <w:r>
        <w:t xml:space="preserve">—were best placed to identify options for system strength provision and to leverage economies of scale for efficient delivery of those options. </w:t>
      </w:r>
    </w:p>
    <w:p w14:paraId="09CC0E6D" w14:textId="77777777" w:rsidR="002C495D" w:rsidRDefault="002C495D" w:rsidP="002C495D">
      <w:r>
        <w:t xml:space="preserve">However, the process also identified the potential for inappropriate allocation of risk noting it is the connecting parties, not consumers, who are best placed to manage those risks. </w:t>
      </w:r>
    </w:p>
    <w:p w14:paraId="7452109C" w14:textId="77777777" w:rsidR="002C495D" w:rsidRDefault="002C495D" w:rsidP="002C495D">
      <w:r>
        <w:t>As such, the final rule requires connecting plants to pay for the costs of ‘consuming’ the system strength service that SSSPs provide. Connecting plants would do this by paying a price based on the long-run costs of providing system strength services. This price is termed the system strength unit price (SSUP) and is intended to better coordinate the supply and demand of system strength by efficiently charging the parties for their use of centrally supplied system strength.</w:t>
      </w:r>
    </w:p>
    <w:p w14:paraId="57D7A053" w14:textId="02587BB7" w:rsidR="00991FF2" w:rsidRDefault="002C495D" w:rsidP="002C495D">
      <w:r>
        <w:t xml:space="preserve">The final rule requires us to </w:t>
      </w:r>
      <w:r w:rsidRPr="00D61886">
        <w:t>updat</w:t>
      </w:r>
      <w:r>
        <w:t>e</w:t>
      </w:r>
      <w:r w:rsidRPr="00D61886">
        <w:t xml:space="preserve"> </w:t>
      </w:r>
      <w:r>
        <w:t>our</w:t>
      </w:r>
      <w:r w:rsidRPr="00D61886">
        <w:t xml:space="preserve"> pricing methodology guidelines</w:t>
      </w:r>
      <w:r>
        <w:t xml:space="preserve"> and set out the permitted methodologies for determining the SSUP. The appropriate TNSPs will then set the SSUP in accordance with their pricing methodology, which in turn must comply with our pricing methodology guidelines.</w:t>
      </w:r>
    </w:p>
    <w:p w14:paraId="178ED88D" w14:textId="637839ED" w:rsidR="002C495D" w:rsidRPr="002C495D" w:rsidRDefault="002C495D" w:rsidP="002C495D">
      <w:pPr>
        <w:pStyle w:val="HeadingBoldBlue"/>
        <w:rPr>
          <w:rStyle w:val="AERtexthighlight"/>
          <w:shd w:val="clear" w:color="auto" w:fill="auto"/>
        </w:rPr>
      </w:pPr>
      <w:bookmarkStart w:id="63" w:name="_Toc98831363"/>
      <w:r w:rsidRPr="002C495D">
        <w:rPr>
          <w:rStyle w:val="AERtexthighlight"/>
          <w:shd w:val="clear" w:color="auto" w:fill="auto"/>
        </w:rPr>
        <w:t>Prescribed structure of the system strength charge</w:t>
      </w:r>
      <w:bookmarkEnd w:id="63"/>
    </w:p>
    <w:p w14:paraId="0CA990F1" w14:textId="77A5FE95" w:rsidR="007D2EEA" w:rsidRDefault="00E87F89" w:rsidP="00816ECE">
      <w:r>
        <w:t>The</w:t>
      </w:r>
      <w:r w:rsidR="00816ECE">
        <w:t xml:space="preserve"> </w:t>
      </w:r>
      <w:r>
        <w:t>system strength charge gives generators and certain large loads the choice of</w:t>
      </w:r>
      <w:r w:rsidR="00B20CBA">
        <w:t xml:space="preserve"> either</w:t>
      </w:r>
      <w:r w:rsidR="007D2EEA">
        <w:t>:</w:t>
      </w:r>
    </w:p>
    <w:p w14:paraId="23BA45CC" w14:textId="5696CA48" w:rsidR="00E87F89" w:rsidRDefault="00B20CBA" w:rsidP="00CD3D6B">
      <w:pPr>
        <w:pStyle w:val="AERbulletlistfirststyle"/>
      </w:pPr>
      <w:r>
        <w:t>P</w:t>
      </w:r>
      <w:r w:rsidR="00E87F89">
        <w:t>aying</w:t>
      </w:r>
      <w:r w:rsidR="00816ECE">
        <w:t xml:space="preserve"> </w:t>
      </w:r>
      <w:r w:rsidR="00E87F89">
        <w:t xml:space="preserve">for system strength services that are centrally-procured by the </w:t>
      </w:r>
      <w:r w:rsidR="00816ECE">
        <w:t>SSSP</w:t>
      </w:r>
      <w:r w:rsidR="00CC7D80">
        <w:t>.</w:t>
      </w:r>
      <w:r w:rsidR="00E87F89">
        <w:t xml:space="preserve"> The costs </w:t>
      </w:r>
      <w:r>
        <w:t xml:space="preserve">involved </w:t>
      </w:r>
      <w:r w:rsidR="00E87F89">
        <w:t>will form</w:t>
      </w:r>
      <w:r w:rsidR="00816ECE">
        <w:t xml:space="preserve"> </w:t>
      </w:r>
      <w:r w:rsidR="00E87F89">
        <w:t>part of the SSSP’s revenues for prescribed transmission services.</w:t>
      </w:r>
    </w:p>
    <w:p w14:paraId="1AF38319" w14:textId="6F452B60" w:rsidR="00E87F89" w:rsidRDefault="00B20CBA" w:rsidP="00CD3D6B">
      <w:pPr>
        <w:pStyle w:val="AERbulletlistfirststyle"/>
      </w:pPr>
      <w:r>
        <w:t>P</w:t>
      </w:r>
      <w:r w:rsidR="00E87F89">
        <w:t>rovide its own system strength</w:t>
      </w:r>
      <w:r>
        <w:t xml:space="preserve">, which was previously </w:t>
      </w:r>
      <w:r w:rsidR="00E87F89">
        <w:t>the only</w:t>
      </w:r>
      <w:r w:rsidR="00816ECE">
        <w:t xml:space="preserve"> </w:t>
      </w:r>
      <w:r w:rsidR="00E87F89">
        <w:t>option available to connecting parties.</w:t>
      </w:r>
    </w:p>
    <w:p w14:paraId="0FDC3A05" w14:textId="081BA715" w:rsidR="00E87F89" w:rsidRDefault="00E87F89" w:rsidP="00816ECE">
      <w:r>
        <w:t>The system strength charge is designed to reflect the system strength costs that a</w:t>
      </w:r>
      <w:r w:rsidR="00816ECE">
        <w:t xml:space="preserve"> </w:t>
      </w:r>
      <w:r>
        <w:t xml:space="preserve">connecting party would impose and </w:t>
      </w:r>
      <w:r w:rsidR="003B5763">
        <w:t>has</w:t>
      </w:r>
      <w:r>
        <w:t xml:space="preserve"> three components:</w:t>
      </w:r>
    </w:p>
    <w:p w14:paraId="67E240B8" w14:textId="3609EF90" w:rsidR="00E87F89" w:rsidRDefault="00E87F89" w:rsidP="0072774E">
      <w:pPr>
        <w:pStyle w:val="ListParagraph"/>
        <w:numPr>
          <w:ilvl w:val="1"/>
          <w:numId w:val="24"/>
        </w:numPr>
      </w:pPr>
      <w:r>
        <w:t xml:space="preserve">The system strength unit price (SSUP): </w:t>
      </w:r>
      <w:r w:rsidR="00895B76">
        <w:t>reflect</w:t>
      </w:r>
      <w:r w:rsidR="005B647A">
        <w:t>s</w:t>
      </w:r>
      <w:r w:rsidR="00895B76">
        <w:t xml:space="preserve"> </w:t>
      </w:r>
      <w:r>
        <w:t>the change in</w:t>
      </w:r>
      <w:r w:rsidR="00816ECE">
        <w:t xml:space="preserve"> </w:t>
      </w:r>
      <w:r>
        <w:t>the forward-looking cost of supplying system strength at each system strength</w:t>
      </w:r>
      <w:r w:rsidR="00816ECE">
        <w:t xml:space="preserve"> </w:t>
      </w:r>
      <w:r>
        <w:t xml:space="preserve">node due to a change in </w:t>
      </w:r>
      <w:r>
        <w:lastRenderedPageBreak/>
        <w:t xml:space="preserve">demand for the service. </w:t>
      </w:r>
      <w:r w:rsidR="005B647A">
        <w:t>The SSUP is fixed for a 5-year period</w:t>
      </w:r>
      <w:r w:rsidR="008D6C89">
        <w:t xml:space="preserve"> for each system strength node</w:t>
      </w:r>
      <w:r w:rsidR="005B647A">
        <w:t>, except for indexation if appropriate.</w:t>
      </w:r>
    </w:p>
    <w:p w14:paraId="2257D2E7" w14:textId="2B29700F" w:rsidR="00E87F89" w:rsidRDefault="00E87F89" w:rsidP="0072774E">
      <w:pPr>
        <w:pStyle w:val="ListParagraph"/>
        <w:numPr>
          <w:ilvl w:val="1"/>
          <w:numId w:val="24"/>
        </w:numPr>
      </w:pPr>
      <w:r>
        <w:t>The system strength locational factor (SSL): reflect</w:t>
      </w:r>
      <w:r w:rsidR="00B413FA">
        <w:t>ing</w:t>
      </w:r>
      <w:r>
        <w:t xml:space="preserve"> the</w:t>
      </w:r>
      <w:r w:rsidR="00816ECE">
        <w:t xml:space="preserve"> </w:t>
      </w:r>
      <w:r>
        <w:t>localised nature of system strength. It changes the magnitude of the charge a</w:t>
      </w:r>
      <w:r w:rsidR="00816ECE">
        <w:t xml:space="preserve"> </w:t>
      </w:r>
      <w:r>
        <w:t>connection would face based on its electrical distance from the closest system</w:t>
      </w:r>
      <w:r w:rsidR="00816ECE">
        <w:t xml:space="preserve"> </w:t>
      </w:r>
      <w:r>
        <w:t>strength node.</w:t>
      </w:r>
    </w:p>
    <w:p w14:paraId="5D2C8D45" w14:textId="36384340" w:rsidR="0098147A" w:rsidRDefault="00E87F89" w:rsidP="0072774E">
      <w:pPr>
        <w:pStyle w:val="ListParagraph"/>
        <w:numPr>
          <w:ilvl w:val="1"/>
          <w:numId w:val="24"/>
        </w:numPr>
      </w:pPr>
      <w:r>
        <w:t>The system strength quantity (SSQ): this component is important for</w:t>
      </w:r>
      <w:r w:rsidR="00816ECE">
        <w:t xml:space="preserve"> </w:t>
      </w:r>
      <w:r>
        <w:t>determining the efficient allocation of the cost of the system strength provided due</w:t>
      </w:r>
      <w:r w:rsidR="00816ECE">
        <w:t xml:space="preserve"> </w:t>
      </w:r>
      <w:r>
        <w:t>to the amount of the service used by the connection.</w:t>
      </w:r>
    </w:p>
    <w:p w14:paraId="2E3D7367" w14:textId="13ECA424" w:rsidR="002C495D" w:rsidRPr="002C495D" w:rsidRDefault="001E6E88" w:rsidP="001E6E88">
      <w:pPr>
        <w:pStyle w:val="Caption"/>
      </w:pPr>
      <w:r>
        <w:t xml:space="preserve">Table </w:t>
      </w:r>
      <w:fldSimple w:instr=" SEQ Table \* ARABIC ">
        <w:r w:rsidR="00302E62">
          <w:rPr>
            <w:noProof/>
          </w:rPr>
          <w:t>1</w:t>
        </w:r>
      </w:fldSimple>
      <w:r>
        <w:tab/>
        <w:t>Prescribed components of the system strength charge</w:t>
      </w:r>
    </w:p>
    <w:p w14:paraId="2B623628" w14:textId="2B3CD3FF" w:rsidR="002C495D" w:rsidRDefault="002C495D" w:rsidP="002C495D">
      <w:r>
        <w:rPr>
          <w:noProof/>
        </w:rPr>
        <w:drawing>
          <wp:inline distT="0" distB="0" distL="0" distR="0" wp14:anchorId="76279837" wp14:editId="594A9145">
            <wp:extent cx="5382895" cy="1338174"/>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1338174"/>
                    </a:xfrm>
                    <a:prstGeom prst="rect">
                      <a:avLst/>
                    </a:prstGeom>
                    <a:noFill/>
                  </pic:spPr>
                </pic:pic>
              </a:graphicData>
            </a:graphic>
          </wp:inline>
        </w:drawing>
      </w:r>
    </w:p>
    <w:p w14:paraId="64913976" w14:textId="77777777" w:rsidR="002C495D" w:rsidRDefault="002C495D" w:rsidP="002C495D">
      <w:pPr>
        <w:pStyle w:val="AERtablesource"/>
      </w:pPr>
      <w:r>
        <w:t xml:space="preserve">Source: AEMC, </w:t>
      </w:r>
      <w:r w:rsidRPr="002E288E">
        <w:rPr>
          <w:rStyle w:val="AERtextitalic"/>
        </w:rPr>
        <w:t>Rule determination</w:t>
      </w:r>
      <w:r>
        <w:rPr>
          <w:rStyle w:val="AERtextitalic"/>
        </w:rPr>
        <w:t>:</w:t>
      </w:r>
      <w:r w:rsidRPr="002E288E">
        <w:rPr>
          <w:rStyle w:val="AERtextitalic"/>
        </w:rPr>
        <w:t xml:space="preserve"> Efficient management of system strength</w:t>
      </w:r>
      <w:r>
        <w:t xml:space="preserve">, 21 October 2021, </w:t>
      </w:r>
      <w:r w:rsidRPr="00A70C77">
        <w:t>p.</w:t>
      </w:r>
      <w:r>
        <w:t>25.</w:t>
      </w:r>
    </w:p>
    <w:p w14:paraId="4A0A2D12" w14:textId="36160E11" w:rsidR="002D327C" w:rsidRPr="00815E67" w:rsidRDefault="00127212" w:rsidP="002F7D68">
      <w:pPr>
        <w:pStyle w:val="HeadingBoldBlue"/>
        <w:rPr>
          <w:rStyle w:val="AERtexthighlight"/>
          <w:shd w:val="clear" w:color="auto" w:fill="auto"/>
        </w:rPr>
      </w:pPr>
      <w:bookmarkStart w:id="64" w:name="_Ref398727972"/>
      <w:bookmarkStart w:id="65" w:name="_Toc403571580"/>
      <w:bookmarkStart w:id="66" w:name="_Toc404611387"/>
      <w:bookmarkStart w:id="67" w:name="_Toc98831364"/>
      <w:r>
        <w:rPr>
          <w:rStyle w:val="AERtexthighlight"/>
          <w:shd w:val="clear" w:color="auto" w:fill="auto"/>
        </w:rPr>
        <w:t>Role of the AER</w:t>
      </w:r>
      <w:bookmarkEnd w:id="67"/>
    </w:p>
    <w:p w14:paraId="020204A8" w14:textId="52B14096" w:rsidR="00895B76" w:rsidRPr="00895B76" w:rsidRDefault="00895B76" w:rsidP="008D6C89">
      <w:pPr>
        <w:rPr>
          <w:iCs/>
        </w:rPr>
      </w:pPr>
      <w:r w:rsidRPr="00895B76">
        <w:rPr>
          <w:iCs/>
        </w:rPr>
        <w:t>The rule change requires</w:t>
      </w:r>
      <w:r w:rsidR="00702BEB">
        <w:rPr>
          <w:iCs/>
        </w:rPr>
        <w:t xml:space="preserve"> us,</w:t>
      </w:r>
      <w:r w:rsidRPr="00895B76">
        <w:rPr>
          <w:iCs/>
        </w:rPr>
        <w:t xml:space="preserve"> the </w:t>
      </w:r>
      <w:r w:rsidR="00702BEB">
        <w:rPr>
          <w:iCs/>
        </w:rPr>
        <w:t>Australian Energy Regulator (</w:t>
      </w:r>
      <w:r w:rsidRPr="00895B76">
        <w:rPr>
          <w:iCs/>
        </w:rPr>
        <w:t>AER</w:t>
      </w:r>
      <w:r w:rsidR="00702BEB">
        <w:rPr>
          <w:iCs/>
        </w:rPr>
        <w:t>)</w:t>
      </w:r>
      <w:r w:rsidRPr="00895B76">
        <w:rPr>
          <w:iCs/>
        </w:rPr>
        <w:t xml:space="preserve"> to modify the</w:t>
      </w:r>
      <w:r w:rsidR="00CD3D6B">
        <w:rPr>
          <w:iCs/>
        </w:rPr>
        <w:t xml:space="preserve"> electricity transmission</w:t>
      </w:r>
      <w:r w:rsidRPr="00895B76">
        <w:rPr>
          <w:iCs/>
        </w:rPr>
        <w:t xml:space="preserve"> pricing methodology guidelines for two new requirements. Specifically, the </w:t>
      </w:r>
      <w:r w:rsidR="00702BEB">
        <w:rPr>
          <w:iCs/>
        </w:rPr>
        <w:t>National Electricity Rules (</w:t>
      </w:r>
      <w:r w:rsidRPr="00895B76">
        <w:rPr>
          <w:iCs/>
        </w:rPr>
        <w:t>NER</w:t>
      </w:r>
      <w:r w:rsidR="00702BEB">
        <w:rPr>
          <w:iCs/>
        </w:rPr>
        <w:t>)</w:t>
      </w:r>
      <w:r w:rsidRPr="00895B76">
        <w:rPr>
          <w:iCs/>
        </w:rPr>
        <w:t xml:space="preserve"> </w:t>
      </w:r>
      <w:r w:rsidR="00592926" w:rsidRPr="00895B76">
        <w:rPr>
          <w:iCs/>
        </w:rPr>
        <w:t xml:space="preserve">require </w:t>
      </w:r>
      <w:r w:rsidR="00702BEB">
        <w:rPr>
          <w:iCs/>
        </w:rPr>
        <w:t>us</w:t>
      </w:r>
      <w:r w:rsidR="00592926" w:rsidRPr="00895B76">
        <w:rPr>
          <w:iCs/>
        </w:rPr>
        <w:t xml:space="preserve"> to </w:t>
      </w:r>
      <w:r w:rsidR="00592926">
        <w:rPr>
          <w:iCs/>
        </w:rPr>
        <w:t>update</w:t>
      </w:r>
      <w:r w:rsidR="00702BEB">
        <w:rPr>
          <w:iCs/>
        </w:rPr>
        <w:t xml:space="preserve"> the</w:t>
      </w:r>
      <w:r w:rsidR="00592926" w:rsidRPr="00895B76">
        <w:rPr>
          <w:iCs/>
        </w:rPr>
        <w:t xml:space="preserve"> </w:t>
      </w:r>
      <w:r w:rsidRPr="00895B76">
        <w:rPr>
          <w:iCs/>
        </w:rPr>
        <w:t xml:space="preserve">pricing methodology guidelines </w:t>
      </w:r>
      <w:r w:rsidR="008D6C89">
        <w:rPr>
          <w:iCs/>
        </w:rPr>
        <w:t xml:space="preserve">by 31 August 2022 </w:t>
      </w:r>
      <w:r w:rsidR="00592926">
        <w:rPr>
          <w:iCs/>
        </w:rPr>
        <w:t xml:space="preserve">to </w:t>
      </w:r>
      <w:r w:rsidRPr="00895B76">
        <w:rPr>
          <w:iCs/>
        </w:rPr>
        <w:t xml:space="preserve">specify: </w:t>
      </w:r>
    </w:p>
    <w:p w14:paraId="227961EC" w14:textId="46387033" w:rsidR="00895B76" w:rsidRPr="003B5763" w:rsidRDefault="003B5763" w:rsidP="009E5778">
      <w:pPr>
        <w:pStyle w:val="AERbulletlistfirststyle"/>
      </w:pPr>
      <w:r>
        <w:t>P</w:t>
      </w:r>
      <w:r w:rsidR="00895B76" w:rsidRPr="003B5763">
        <w:t xml:space="preserve">ermitted methodologies for determining the system strength unit price component of the system strength charge, having regard to the following: </w:t>
      </w:r>
    </w:p>
    <w:p w14:paraId="25AE59C1" w14:textId="4C046027" w:rsidR="00895B76" w:rsidRPr="009E5778" w:rsidRDefault="00895B76" w:rsidP="009E5778">
      <w:pPr>
        <w:pStyle w:val="AERbulletlistfirststyle"/>
        <w:numPr>
          <w:ilvl w:val="1"/>
          <w:numId w:val="2"/>
        </w:numPr>
      </w:pPr>
      <w:r w:rsidRPr="009E5778">
        <w:t>the system strength charge structure in</w:t>
      </w:r>
      <w:r w:rsidR="005E2FB7">
        <w:t xml:space="preserve"> NER</w:t>
      </w:r>
      <w:r w:rsidRPr="009E5778">
        <w:t xml:space="preserve"> clause 6A.23.5; </w:t>
      </w:r>
    </w:p>
    <w:p w14:paraId="2CB60261" w14:textId="2C848BBE" w:rsidR="00895B76" w:rsidRPr="009E5778" w:rsidRDefault="00895B76" w:rsidP="009E5778">
      <w:pPr>
        <w:pStyle w:val="AERbulletlistfirststyle"/>
        <w:numPr>
          <w:ilvl w:val="1"/>
          <w:numId w:val="2"/>
        </w:numPr>
      </w:pPr>
      <w:r w:rsidRPr="009E5778">
        <w:t xml:space="preserve">the desirability of providing efficient investment and system strength transmission service utilisation signals to actual and potential System Strength Transmission Service Users based on the long run cost of providing system strength transmission services at the relevant location; </w:t>
      </w:r>
    </w:p>
    <w:p w14:paraId="5D85FEBB" w14:textId="1C525C63" w:rsidR="00895B76" w:rsidRPr="009E5778" w:rsidRDefault="00895B76" w:rsidP="009E5778">
      <w:pPr>
        <w:pStyle w:val="AERbulletlistfirststyle"/>
        <w:numPr>
          <w:ilvl w:val="1"/>
          <w:numId w:val="2"/>
        </w:numPr>
      </w:pPr>
      <w:r w:rsidRPr="009E5778">
        <w:t xml:space="preserve">the desirability of consistent pricing structures across the NEM; and </w:t>
      </w:r>
    </w:p>
    <w:p w14:paraId="788A2E50" w14:textId="3994BB84" w:rsidR="00895B76" w:rsidRPr="009E5778" w:rsidRDefault="00895B76" w:rsidP="009E5778">
      <w:pPr>
        <w:pStyle w:val="AERbulletlistfirststyle"/>
        <w:numPr>
          <w:ilvl w:val="1"/>
          <w:numId w:val="2"/>
        </w:numPr>
      </w:pPr>
      <w:r w:rsidRPr="009E5778">
        <w:t xml:space="preserve">the costs and benefits associated with calculating, implementing and applying the methodology; and </w:t>
      </w:r>
    </w:p>
    <w:p w14:paraId="60DD1579" w14:textId="34CC9B23" w:rsidR="0098147A" w:rsidRPr="003B5763" w:rsidRDefault="003B5763" w:rsidP="009E5778">
      <w:pPr>
        <w:pStyle w:val="AERbulletlistfirststyle"/>
      </w:pPr>
      <w:r w:rsidRPr="003B5763">
        <w:t>Principles</w:t>
      </w:r>
      <w:r w:rsidR="00895B76" w:rsidRPr="003B5763">
        <w:t xml:space="preserve"> for determining forecast annual system strength revenue and estimated actual annual system strength revenue.</w:t>
      </w:r>
    </w:p>
    <w:p w14:paraId="30E5EDE7" w14:textId="2DE927BF" w:rsidR="00815E67" w:rsidRPr="00815E67" w:rsidRDefault="001E6E88" w:rsidP="00815E67">
      <w:pPr>
        <w:pStyle w:val="HeadingBoldBlue"/>
        <w:rPr>
          <w:rStyle w:val="AERtexthighlight"/>
          <w:shd w:val="clear" w:color="auto" w:fill="auto"/>
        </w:rPr>
      </w:pPr>
      <w:bookmarkStart w:id="68" w:name="_Hlk98194877"/>
      <w:bookmarkStart w:id="69" w:name="_Toc98831365"/>
      <w:r>
        <w:rPr>
          <w:rStyle w:val="AERtexthighlight"/>
          <w:shd w:val="clear" w:color="auto" w:fill="auto"/>
        </w:rPr>
        <w:t xml:space="preserve">Consultation process and </w:t>
      </w:r>
      <w:r w:rsidR="00815E67" w:rsidRPr="00815E67">
        <w:rPr>
          <w:rStyle w:val="AERtexthighlight"/>
          <w:shd w:val="clear" w:color="auto" w:fill="auto"/>
        </w:rPr>
        <w:t>stakeholder feedback</w:t>
      </w:r>
      <w:bookmarkEnd w:id="69"/>
    </w:p>
    <w:bookmarkEnd w:id="68"/>
    <w:p w14:paraId="671400F5" w14:textId="710EACFC" w:rsidR="001E6E88" w:rsidRDefault="001E6E88" w:rsidP="00A70D13">
      <w:pPr>
        <w:rPr>
          <w:iCs/>
        </w:rPr>
      </w:pPr>
      <w:r w:rsidRPr="001E6E88">
        <w:rPr>
          <w:iCs/>
        </w:rPr>
        <w:t xml:space="preserve">To meet the 31 August 2022 due date for amending the pricing methodology guidelines, we </w:t>
      </w:r>
      <w:r>
        <w:rPr>
          <w:iCs/>
        </w:rPr>
        <w:t>have set up the following</w:t>
      </w:r>
      <w:r w:rsidRPr="001E6E88">
        <w:rPr>
          <w:iCs/>
        </w:rPr>
        <w:t xml:space="preserve"> milestones for this project.</w:t>
      </w:r>
    </w:p>
    <w:p w14:paraId="6D0E22AC" w14:textId="43AE40E6" w:rsidR="001E6E88" w:rsidRDefault="001E6E88" w:rsidP="001E6E88">
      <w:pPr>
        <w:pStyle w:val="Caption"/>
      </w:pPr>
      <w:r>
        <w:lastRenderedPageBreak/>
        <w:t xml:space="preserve">Table </w:t>
      </w:r>
      <w:fldSimple w:instr=" SEQ Table \* ARABIC ">
        <w:r w:rsidR="00302E62">
          <w:rPr>
            <w:noProof/>
          </w:rPr>
          <w:t>2</w:t>
        </w:r>
      </w:fldSimple>
      <w:r>
        <w:t xml:space="preserve"> Indicative milestones</w:t>
      </w:r>
    </w:p>
    <w:tbl>
      <w:tblPr>
        <w:tblStyle w:val="AERtable-text0"/>
        <w:tblW w:w="8217" w:type="dxa"/>
        <w:tblLayout w:type="fixed"/>
        <w:tblLook w:val="04A0" w:firstRow="1" w:lastRow="0" w:firstColumn="1" w:lastColumn="0" w:noHBand="0" w:noVBand="1"/>
      </w:tblPr>
      <w:tblGrid>
        <w:gridCol w:w="2122"/>
        <w:gridCol w:w="6095"/>
      </w:tblGrid>
      <w:tr w:rsidR="001E6E88" w14:paraId="03ACDAB8" w14:textId="77777777" w:rsidTr="00BF1DDB">
        <w:trPr>
          <w:cnfStyle w:val="100000000000" w:firstRow="1" w:lastRow="0" w:firstColumn="0" w:lastColumn="0" w:oddVBand="0" w:evenVBand="0" w:oddHBand="0" w:evenHBand="0" w:firstRowFirstColumn="0" w:firstRowLastColumn="0" w:lastRowFirstColumn="0" w:lastRowLastColumn="0"/>
        </w:trPr>
        <w:tc>
          <w:tcPr>
            <w:tcW w:w="2122" w:type="dxa"/>
          </w:tcPr>
          <w:p w14:paraId="525520D6" w14:textId="77777777" w:rsidR="001E6E88" w:rsidRDefault="001E6E88" w:rsidP="00BF1DDB">
            <w:pPr>
              <w:keepNext/>
            </w:pPr>
            <w:r>
              <w:t>Date</w:t>
            </w:r>
          </w:p>
        </w:tc>
        <w:tc>
          <w:tcPr>
            <w:tcW w:w="6095" w:type="dxa"/>
          </w:tcPr>
          <w:p w14:paraId="26D9916D" w14:textId="77777777" w:rsidR="001E6E88" w:rsidRDefault="001E6E88" w:rsidP="00BF1DDB">
            <w:pPr>
              <w:keepNext/>
            </w:pPr>
            <w:r>
              <w:t>Milestone</w:t>
            </w:r>
          </w:p>
        </w:tc>
      </w:tr>
      <w:tr w:rsidR="001E6E88" w14:paraId="1939D520" w14:textId="77777777" w:rsidTr="00BF1DDB">
        <w:tc>
          <w:tcPr>
            <w:tcW w:w="2122" w:type="dxa"/>
          </w:tcPr>
          <w:p w14:paraId="194F6956" w14:textId="5FD9D002" w:rsidR="001E6E88" w:rsidRDefault="00D71B84" w:rsidP="00BF1DDB">
            <w:r>
              <w:t>22</w:t>
            </w:r>
            <w:r w:rsidR="001E6E88">
              <w:t xml:space="preserve"> March 2022</w:t>
            </w:r>
          </w:p>
        </w:tc>
        <w:tc>
          <w:tcPr>
            <w:tcW w:w="6095" w:type="dxa"/>
          </w:tcPr>
          <w:p w14:paraId="1688CD54" w14:textId="77777777" w:rsidR="001E6E88" w:rsidRDefault="001E6E88" w:rsidP="00BF1DDB">
            <w:r>
              <w:t>AER publishes Consultation Paper</w:t>
            </w:r>
          </w:p>
        </w:tc>
      </w:tr>
      <w:tr w:rsidR="001E6E88" w14:paraId="32224BA2" w14:textId="77777777" w:rsidTr="00BF1DDB">
        <w:trPr>
          <w:cnfStyle w:val="000000010000" w:firstRow="0" w:lastRow="0" w:firstColumn="0" w:lastColumn="0" w:oddVBand="0" w:evenVBand="0" w:oddHBand="0" w:evenHBand="1" w:firstRowFirstColumn="0" w:firstRowLastColumn="0" w:lastRowFirstColumn="0" w:lastRowLastColumn="0"/>
        </w:trPr>
        <w:tc>
          <w:tcPr>
            <w:tcW w:w="2122" w:type="dxa"/>
          </w:tcPr>
          <w:p w14:paraId="5AB1FCA6" w14:textId="7F2CE58D" w:rsidR="001E6E88" w:rsidRDefault="008E5BDE" w:rsidP="00BF1DDB">
            <w:r>
              <w:t>8</w:t>
            </w:r>
            <w:r w:rsidR="001E6E88">
              <w:t xml:space="preserve"> April 2022</w:t>
            </w:r>
          </w:p>
        </w:tc>
        <w:tc>
          <w:tcPr>
            <w:tcW w:w="6095" w:type="dxa"/>
          </w:tcPr>
          <w:p w14:paraId="793645D7" w14:textId="77777777" w:rsidR="001E6E88" w:rsidRDefault="001E6E88" w:rsidP="00BF1DDB">
            <w:r>
              <w:t>AER stakeholder forum</w:t>
            </w:r>
          </w:p>
        </w:tc>
      </w:tr>
      <w:tr w:rsidR="001E6E88" w14:paraId="7D05EC35" w14:textId="77777777" w:rsidTr="00BF1DDB">
        <w:tc>
          <w:tcPr>
            <w:tcW w:w="2122" w:type="dxa"/>
          </w:tcPr>
          <w:p w14:paraId="68BC4982" w14:textId="5ABB6387" w:rsidR="001E6E88" w:rsidRDefault="001E6E88" w:rsidP="00BF1DDB">
            <w:r>
              <w:t>2</w:t>
            </w:r>
            <w:r w:rsidR="008E5BDE">
              <w:t>6</w:t>
            </w:r>
            <w:r>
              <w:t xml:space="preserve"> April 2022</w:t>
            </w:r>
          </w:p>
        </w:tc>
        <w:tc>
          <w:tcPr>
            <w:tcW w:w="6095" w:type="dxa"/>
          </w:tcPr>
          <w:p w14:paraId="1A5D0141" w14:textId="77777777" w:rsidR="001E6E88" w:rsidRDefault="001E6E88" w:rsidP="00BF1DDB">
            <w:r>
              <w:t>Submissions to Consultation Paper due</w:t>
            </w:r>
          </w:p>
        </w:tc>
      </w:tr>
      <w:tr w:rsidR="001E6E88" w14:paraId="6F172B8F" w14:textId="77777777" w:rsidTr="00BF1DDB">
        <w:trPr>
          <w:cnfStyle w:val="000000010000" w:firstRow="0" w:lastRow="0" w:firstColumn="0" w:lastColumn="0" w:oddVBand="0" w:evenVBand="0" w:oddHBand="0" w:evenHBand="1" w:firstRowFirstColumn="0" w:firstRowLastColumn="0" w:lastRowFirstColumn="0" w:lastRowLastColumn="0"/>
        </w:trPr>
        <w:tc>
          <w:tcPr>
            <w:tcW w:w="2122" w:type="dxa"/>
          </w:tcPr>
          <w:p w14:paraId="6743A609" w14:textId="25942BCB" w:rsidR="001E6E88" w:rsidRDefault="001E6E88" w:rsidP="00BF1DDB">
            <w:r>
              <w:t>6 June 2022</w:t>
            </w:r>
            <w:r w:rsidR="007F3D83">
              <w:t>*</w:t>
            </w:r>
          </w:p>
        </w:tc>
        <w:tc>
          <w:tcPr>
            <w:tcW w:w="6095" w:type="dxa"/>
          </w:tcPr>
          <w:p w14:paraId="29459FFB" w14:textId="77777777" w:rsidR="001E6E88" w:rsidRDefault="001E6E88" w:rsidP="00BF1DDB">
            <w:r>
              <w:t>AER publishes proposed Pricing Methodology Guidelines</w:t>
            </w:r>
          </w:p>
        </w:tc>
      </w:tr>
      <w:tr w:rsidR="001E6E88" w14:paraId="45627674" w14:textId="77777777" w:rsidTr="00BF1DDB">
        <w:tc>
          <w:tcPr>
            <w:tcW w:w="2122" w:type="dxa"/>
          </w:tcPr>
          <w:p w14:paraId="66EF02CF" w14:textId="4060E15D" w:rsidR="001E6E88" w:rsidRDefault="001E6E88" w:rsidP="00BF1DDB">
            <w:r>
              <w:t>1</w:t>
            </w:r>
            <w:r w:rsidR="007F3D83">
              <w:t>9</w:t>
            </w:r>
            <w:r>
              <w:t xml:space="preserve"> July 2022</w:t>
            </w:r>
            <w:r w:rsidR="007F3D83">
              <w:t>*</w:t>
            </w:r>
          </w:p>
        </w:tc>
        <w:tc>
          <w:tcPr>
            <w:tcW w:w="6095" w:type="dxa"/>
          </w:tcPr>
          <w:p w14:paraId="7A4BB4C2" w14:textId="013E4973" w:rsidR="001E6E88" w:rsidRDefault="001E6E88" w:rsidP="00BF1DDB">
            <w:r>
              <w:t>Submissions to proposed Pricing Methodology Guidelines</w:t>
            </w:r>
          </w:p>
        </w:tc>
      </w:tr>
      <w:tr w:rsidR="001E6E88" w14:paraId="0D568C8B" w14:textId="77777777" w:rsidTr="00BF1DDB">
        <w:trPr>
          <w:cnfStyle w:val="000000010000" w:firstRow="0" w:lastRow="0" w:firstColumn="0" w:lastColumn="0" w:oddVBand="0" w:evenVBand="0" w:oddHBand="0" w:evenHBand="1" w:firstRowFirstColumn="0" w:firstRowLastColumn="0" w:lastRowFirstColumn="0" w:lastRowLastColumn="0"/>
        </w:trPr>
        <w:tc>
          <w:tcPr>
            <w:tcW w:w="2122" w:type="dxa"/>
          </w:tcPr>
          <w:p w14:paraId="6D672345" w14:textId="77777777" w:rsidR="001E6E88" w:rsidRPr="007F3B67" w:rsidRDefault="001E6E88" w:rsidP="00BF1DDB">
            <w:pPr>
              <w:rPr>
                <w:b/>
                <w:bCs/>
              </w:rPr>
            </w:pPr>
            <w:r>
              <w:rPr>
                <w:b/>
                <w:bCs/>
              </w:rPr>
              <w:t xml:space="preserve">By </w:t>
            </w:r>
            <w:r w:rsidRPr="007F3B67">
              <w:rPr>
                <w:b/>
                <w:bCs/>
              </w:rPr>
              <w:t>31 August 2022</w:t>
            </w:r>
          </w:p>
        </w:tc>
        <w:tc>
          <w:tcPr>
            <w:tcW w:w="6095" w:type="dxa"/>
          </w:tcPr>
          <w:p w14:paraId="28C0F3D2" w14:textId="77777777" w:rsidR="001E6E88" w:rsidRPr="007F3B67" w:rsidRDefault="001E6E88" w:rsidP="00BF1DDB">
            <w:pPr>
              <w:rPr>
                <w:b/>
                <w:bCs/>
              </w:rPr>
            </w:pPr>
            <w:r w:rsidRPr="007F3B67">
              <w:rPr>
                <w:b/>
                <w:bCs/>
              </w:rPr>
              <w:t>AER publishes final Pricing Methodology Guidelines</w:t>
            </w:r>
          </w:p>
        </w:tc>
      </w:tr>
      <w:tr w:rsidR="001E6E88" w14:paraId="589E5F2E" w14:textId="77777777" w:rsidTr="00BF1DDB">
        <w:tc>
          <w:tcPr>
            <w:tcW w:w="2122" w:type="dxa"/>
          </w:tcPr>
          <w:p w14:paraId="4C5A6E63" w14:textId="77777777" w:rsidR="001E6E88" w:rsidRPr="00D42AF3" w:rsidRDefault="001E6E88" w:rsidP="00BF1DDB">
            <w:pPr>
              <w:rPr>
                <w:i/>
                <w:iCs/>
              </w:rPr>
            </w:pPr>
            <w:r>
              <w:rPr>
                <w:i/>
                <w:iCs/>
              </w:rPr>
              <w:t xml:space="preserve">By </w:t>
            </w:r>
            <w:r w:rsidRPr="00D42AF3">
              <w:rPr>
                <w:i/>
                <w:iCs/>
              </w:rPr>
              <w:t>30 November 2022</w:t>
            </w:r>
          </w:p>
        </w:tc>
        <w:tc>
          <w:tcPr>
            <w:tcW w:w="6095" w:type="dxa"/>
          </w:tcPr>
          <w:p w14:paraId="4449A727" w14:textId="77777777" w:rsidR="001E6E88" w:rsidRDefault="001E6E88" w:rsidP="00BF1DDB">
            <w:r w:rsidRPr="00D42AF3">
              <w:rPr>
                <w:i/>
                <w:iCs/>
              </w:rPr>
              <w:t>Applicable TNSPs and AEMO submit amended proposed pricing methodologies</w:t>
            </w:r>
            <w:r>
              <w:rPr>
                <w:rStyle w:val="FootnoteReference"/>
              </w:rPr>
              <w:footnoteReference w:id="8"/>
            </w:r>
          </w:p>
        </w:tc>
      </w:tr>
      <w:tr w:rsidR="001E6E88" w14:paraId="6A39B284" w14:textId="77777777" w:rsidTr="00BF1DDB">
        <w:trPr>
          <w:cnfStyle w:val="000000010000" w:firstRow="0" w:lastRow="0" w:firstColumn="0" w:lastColumn="0" w:oddVBand="0" w:evenVBand="0" w:oddHBand="0" w:evenHBand="1" w:firstRowFirstColumn="0" w:firstRowLastColumn="0" w:lastRowFirstColumn="0" w:lastRowLastColumn="0"/>
        </w:trPr>
        <w:tc>
          <w:tcPr>
            <w:tcW w:w="2122" w:type="dxa"/>
          </w:tcPr>
          <w:p w14:paraId="4EB643A6" w14:textId="77777777" w:rsidR="001E6E88" w:rsidRPr="00D42AF3" w:rsidRDefault="001E6E88" w:rsidP="00BF1DDB">
            <w:pPr>
              <w:rPr>
                <w:i/>
                <w:iCs/>
              </w:rPr>
            </w:pPr>
            <w:r>
              <w:rPr>
                <w:i/>
                <w:iCs/>
              </w:rPr>
              <w:t xml:space="preserve">By </w:t>
            </w:r>
            <w:r w:rsidRPr="00D42AF3">
              <w:rPr>
                <w:i/>
                <w:iCs/>
              </w:rPr>
              <w:t>31 January 2023</w:t>
            </w:r>
          </w:p>
        </w:tc>
        <w:tc>
          <w:tcPr>
            <w:tcW w:w="6095" w:type="dxa"/>
          </w:tcPr>
          <w:p w14:paraId="414E0C46" w14:textId="77777777" w:rsidR="001E6E88" w:rsidRPr="00D42AF3" w:rsidRDefault="001E6E88" w:rsidP="00BF1DDB">
            <w:pPr>
              <w:rPr>
                <w:i/>
                <w:iCs/>
              </w:rPr>
            </w:pPr>
            <w:r w:rsidRPr="00D42AF3">
              <w:rPr>
                <w:i/>
                <w:iCs/>
              </w:rPr>
              <w:t>AER publishes final decision on proposed pricing methodologies</w:t>
            </w:r>
          </w:p>
        </w:tc>
      </w:tr>
    </w:tbl>
    <w:p w14:paraId="1743D6AD" w14:textId="43E88DD4" w:rsidR="00D45315" w:rsidRDefault="00D45315" w:rsidP="00D45315">
      <w:pPr>
        <w:pStyle w:val="AERtablesource"/>
      </w:pPr>
      <w:bookmarkStart w:id="70" w:name="_Hlk98831275"/>
      <w:r>
        <w:t>Note: *Dates are subject to change.</w:t>
      </w:r>
      <w:bookmarkEnd w:id="70"/>
    </w:p>
    <w:p w14:paraId="4274B73A" w14:textId="19891EFC" w:rsidR="00A70D13" w:rsidRDefault="001E6E88" w:rsidP="00A70D13">
      <w:pPr>
        <w:rPr>
          <w:iCs/>
        </w:rPr>
      </w:pPr>
      <w:r>
        <w:rPr>
          <w:iCs/>
        </w:rPr>
        <w:t>A</w:t>
      </w:r>
      <w:r w:rsidR="00A70D13">
        <w:rPr>
          <w:iCs/>
        </w:rPr>
        <w:t>s a first step, we published a consultation paper seeking stakeholder feedback on:</w:t>
      </w:r>
    </w:p>
    <w:p w14:paraId="12A5F8E0" w14:textId="77777777" w:rsidR="00A70D13" w:rsidRPr="00F262FD" w:rsidRDefault="00A70D13" w:rsidP="00A70D13">
      <w:pPr>
        <w:pStyle w:val="AERbulletlistfirststyle"/>
      </w:pPr>
      <w:r w:rsidRPr="00F262FD">
        <w:t>How we should approach this task.</w:t>
      </w:r>
    </w:p>
    <w:p w14:paraId="044963D3" w14:textId="77777777" w:rsidR="00A70D13" w:rsidRPr="00F262FD" w:rsidRDefault="00A70D13" w:rsidP="00A70D13">
      <w:pPr>
        <w:pStyle w:val="AERbulletlistfirststyle"/>
      </w:pPr>
      <w:r w:rsidRPr="00F262FD">
        <w:t>Issues and considerations for permitted system strength pricing methodologies.</w:t>
      </w:r>
    </w:p>
    <w:p w14:paraId="0E873CD8" w14:textId="77777777" w:rsidR="00A70D13" w:rsidRPr="00A74E72" w:rsidRDefault="00A70D13" w:rsidP="00A70D13">
      <w:pPr>
        <w:pStyle w:val="AERbulletlistfirststyle"/>
      </w:pPr>
      <w:r w:rsidRPr="00A74E72">
        <w:t>Issues and considerations for guidance on forecasting system strength revenues.</w:t>
      </w:r>
    </w:p>
    <w:p w14:paraId="4E95EF96" w14:textId="6554BC78" w:rsidR="00815E67" w:rsidRPr="00815E67" w:rsidRDefault="00815E67" w:rsidP="00815E67">
      <w:pPr>
        <w:rPr>
          <w:iCs/>
        </w:rPr>
      </w:pPr>
      <w:r w:rsidRPr="00815E67">
        <w:rPr>
          <w:iCs/>
        </w:rPr>
        <w:t xml:space="preserve">Stakeholder engagement is not only something we must have regard to when performing our regulatory obligations. It is a valuable input, which we encourage. </w:t>
      </w:r>
    </w:p>
    <w:p w14:paraId="4C67F23A" w14:textId="51DDEB33" w:rsidR="00815E67" w:rsidRDefault="00815E67" w:rsidP="00815E67">
      <w:pPr>
        <w:rPr>
          <w:iCs/>
        </w:rPr>
      </w:pPr>
      <w:r w:rsidRPr="00815E67">
        <w:rPr>
          <w:iCs/>
        </w:rPr>
        <w:t>When we receive submissions that articulate stakeholder preferences, address relevant issues, and provide evidence and analysis, our decision-making process is strengthened. It also provides greater transparency, predictability and builds trust and confidence in the regulatory framework.</w:t>
      </w:r>
    </w:p>
    <w:p w14:paraId="7C06413D" w14:textId="77777777" w:rsidR="00702BEB" w:rsidRDefault="00702BEB" w:rsidP="00702BEB">
      <w:pPr>
        <w:rPr>
          <w:iCs/>
        </w:rPr>
      </w:pPr>
      <w:r>
        <w:rPr>
          <w:iCs/>
        </w:rPr>
        <w:t>The consultation paper discusses the key issues we seek stakeholder feedback on. The consultation paper poses a number of questions to guide stakeholders and assist with their feedback.</w:t>
      </w:r>
    </w:p>
    <w:p w14:paraId="0548C03E" w14:textId="09E88C7E" w:rsidR="007C1119" w:rsidRDefault="007C1119" w:rsidP="007C1119">
      <w:pPr>
        <w:rPr>
          <w:iCs/>
        </w:rPr>
      </w:pPr>
      <w:r w:rsidRPr="00A70D13">
        <w:rPr>
          <w:iCs/>
        </w:rPr>
        <w:t xml:space="preserve">A summary list of consultation questions is set out </w:t>
      </w:r>
      <w:r>
        <w:rPr>
          <w:iCs/>
        </w:rPr>
        <w:t xml:space="preserve">below. This document is published in </w:t>
      </w:r>
      <w:r w:rsidRPr="00A70D13">
        <w:rPr>
          <w:iCs/>
        </w:rPr>
        <w:t>a word version</w:t>
      </w:r>
      <w:r>
        <w:rPr>
          <w:iCs/>
        </w:rPr>
        <w:t xml:space="preserve"> to allow stakeholders to draft their responses directly into </w:t>
      </w:r>
      <w:r w:rsidR="00CC78E1">
        <w:rPr>
          <w:iCs/>
        </w:rPr>
        <w:t>it.</w:t>
      </w:r>
    </w:p>
    <w:p w14:paraId="396286D4" w14:textId="19F587F1" w:rsidR="00CC78E1" w:rsidRPr="00A70D13" w:rsidRDefault="00CC78E1" w:rsidP="007C1119">
      <w:pPr>
        <w:rPr>
          <w:iCs/>
        </w:rPr>
      </w:pPr>
      <w:r>
        <w:rPr>
          <w:iCs/>
        </w:rPr>
        <w:t>We request all s</w:t>
      </w:r>
      <w:r w:rsidRPr="00A70D13">
        <w:rPr>
          <w:iCs/>
        </w:rPr>
        <w:t>ubmissions be in Microsoft Word or another machine-readable document format.</w:t>
      </w:r>
    </w:p>
    <w:p w14:paraId="1B1ABD87" w14:textId="5E55D866" w:rsidR="00A70D13" w:rsidRPr="00A70D13" w:rsidRDefault="00A70D13" w:rsidP="00A70D13">
      <w:pPr>
        <w:rPr>
          <w:iCs/>
        </w:rPr>
      </w:pPr>
      <w:r w:rsidRPr="00A70D13">
        <w:rPr>
          <w:iCs/>
        </w:rPr>
        <w:t xml:space="preserve">We invite stakeholder submissions on this consultation paper by </w:t>
      </w:r>
      <w:r w:rsidR="007D0345" w:rsidRPr="00684D2A">
        <w:rPr>
          <w:b/>
          <w:bCs/>
          <w:iCs/>
        </w:rPr>
        <w:t>2</w:t>
      </w:r>
      <w:r w:rsidR="008E5BDE">
        <w:rPr>
          <w:b/>
          <w:bCs/>
          <w:iCs/>
        </w:rPr>
        <w:t>6</w:t>
      </w:r>
      <w:r w:rsidRPr="00684D2A">
        <w:rPr>
          <w:b/>
          <w:bCs/>
          <w:iCs/>
        </w:rPr>
        <w:t xml:space="preserve"> </w:t>
      </w:r>
      <w:r w:rsidRPr="00A70D13">
        <w:rPr>
          <w:b/>
          <w:bCs/>
          <w:iCs/>
        </w:rPr>
        <w:t>April 2022</w:t>
      </w:r>
      <w:r w:rsidRPr="00A70D13">
        <w:rPr>
          <w:iCs/>
        </w:rPr>
        <w:t xml:space="preserve">. We will consider all submissions received by that date. </w:t>
      </w:r>
    </w:p>
    <w:p w14:paraId="62573676" w14:textId="7312AA21" w:rsidR="00A70D13" w:rsidRPr="00A70D13" w:rsidRDefault="00A70D13" w:rsidP="00A70D13">
      <w:pPr>
        <w:rPr>
          <w:iCs/>
        </w:rPr>
      </w:pPr>
      <w:r w:rsidRPr="00A70D13">
        <w:rPr>
          <w:iCs/>
        </w:rPr>
        <w:lastRenderedPageBreak/>
        <w:t>Please address submissions to:</w:t>
      </w:r>
    </w:p>
    <w:p w14:paraId="46D12F8C" w14:textId="0EFC9166" w:rsidR="00A70D13" w:rsidRPr="00A70D13" w:rsidRDefault="00A70D13" w:rsidP="00A70D13">
      <w:pPr>
        <w:rPr>
          <w:iCs/>
        </w:rPr>
      </w:pPr>
      <w:r w:rsidRPr="00A70D13">
        <w:rPr>
          <w:iCs/>
        </w:rPr>
        <w:tab/>
      </w:r>
      <w:hyperlink r:id="rId16" w:history="1">
        <w:r w:rsidRPr="00A70D13">
          <w:rPr>
            <w:rStyle w:val="Hyperlink"/>
            <w:iCs/>
          </w:rPr>
          <w:t>AERPricing@aer.gov.au</w:t>
        </w:r>
      </w:hyperlink>
    </w:p>
    <w:p w14:paraId="6219F02A" w14:textId="77777777" w:rsidR="00A70D13" w:rsidRPr="00A70D13" w:rsidRDefault="00A70D13" w:rsidP="00A70D13">
      <w:pPr>
        <w:rPr>
          <w:iCs/>
        </w:rPr>
      </w:pPr>
      <w:r w:rsidRPr="00A70D13">
        <w:rPr>
          <w:iCs/>
        </w:rPr>
        <w:t>Warwick Anderson</w:t>
      </w:r>
      <w:r w:rsidRPr="00A70D13">
        <w:rPr>
          <w:iCs/>
        </w:rPr>
        <w:br/>
        <w:t>General Manager – Network Pricing</w:t>
      </w:r>
      <w:r w:rsidRPr="00A70D13">
        <w:rPr>
          <w:iCs/>
        </w:rPr>
        <w:br/>
        <w:t>Australian Energy Regulator</w:t>
      </w:r>
    </w:p>
    <w:p w14:paraId="181F6117" w14:textId="77777777" w:rsidR="00A70D13" w:rsidRPr="00A70D13" w:rsidRDefault="00A70D13" w:rsidP="00A70D13">
      <w:pPr>
        <w:rPr>
          <w:iCs/>
        </w:rPr>
      </w:pPr>
      <w:r w:rsidRPr="00A70D13">
        <w:rPr>
          <w:iCs/>
        </w:rPr>
        <w:t>We prefer that all submissions are publicly available to facilitate an informed and transparent consultative process. Submissions will be treated as public documents unless otherwise requested. All non-confidential submissions will be placed on our website. Parties wishing to submit confidential information should:</w:t>
      </w:r>
    </w:p>
    <w:p w14:paraId="06DC5D11" w14:textId="77777777" w:rsidR="00A70D13" w:rsidRPr="00A70D13" w:rsidRDefault="00A70D13" w:rsidP="00A70D13">
      <w:pPr>
        <w:numPr>
          <w:ilvl w:val="0"/>
          <w:numId w:val="45"/>
        </w:numPr>
        <w:rPr>
          <w:iCs/>
        </w:rPr>
      </w:pPr>
      <w:r w:rsidRPr="00A70D13">
        <w:rPr>
          <w:iCs/>
        </w:rPr>
        <w:t>clearly identify the information that is the subject of the confidentiality claim</w:t>
      </w:r>
    </w:p>
    <w:p w14:paraId="4EEB0102" w14:textId="77777777" w:rsidR="00A70D13" w:rsidRPr="00A70D13" w:rsidRDefault="00A70D13" w:rsidP="00A70D13">
      <w:pPr>
        <w:numPr>
          <w:ilvl w:val="0"/>
          <w:numId w:val="45"/>
        </w:numPr>
        <w:rPr>
          <w:iCs/>
        </w:rPr>
      </w:pPr>
      <w:r w:rsidRPr="00A70D13">
        <w:rPr>
          <w:iCs/>
        </w:rPr>
        <w:t>provide a non-confidential version of the submission in a form suitable for publication.</w:t>
      </w:r>
    </w:p>
    <w:p w14:paraId="787FB400" w14:textId="365DE264" w:rsidR="00CC78E1" w:rsidRPr="00815E67" w:rsidRDefault="00CC78E1" w:rsidP="00CC78E1">
      <w:pPr>
        <w:pStyle w:val="HeadingBoldBlue"/>
        <w:rPr>
          <w:rStyle w:val="AERtexthighlight"/>
          <w:shd w:val="clear" w:color="auto" w:fill="auto"/>
        </w:rPr>
      </w:pPr>
      <w:bookmarkStart w:id="71" w:name="_Toc98831366"/>
      <w:r>
        <w:rPr>
          <w:rStyle w:val="AERtexthighlight"/>
          <w:shd w:val="clear" w:color="auto" w:fill="auto"/>
        </w:rPr>
        <w:t>Questions in consultation paper</w:t>
      </w:r>
      <w:bookmarkEnd w:id="71"/>
    </w:p>
    <w:p w14:paraId="09E3A14C" w14:textId="00EA4D2D" w:rsidR="00815E67" w:rsidRDefault="00794599" w:rsidP="00815E67">
      <w:pPr>
        <w:rPr>
          <w:iCs/>
        </w:rPr>
      </w:pPr>
      <w:r w:rsidRPr="00794599">
        <w:rPr>
          <w:iCs/>
        </w:rPr>
        <w:t>For convenience,</w:t>
      </w:r>
      <w:r w:rsidR="00815E67">
        <w:rPr>
          <w:iCs/>
        </w:rPr>
        <w:t xml:space="preserve"> </w:t>
      </w:r>
      <w:r w:rsidRPr="00794599">
        <w:rPr>
          <w:iCs/>
        </w:rPr>
        <w:t>this lists the questions we raise for stakeholders throughout th</w:t>
      </w:r>
      <w:r w:rsidR="00815E67">
        <w:rPr>
          <w:iCs/>
        </w:rPr>
        <w:t>e</w:t>
      </w:r>
      <w:r w:rsidRPr="00794599">
        <w:rPr>
          <w:iCs/>
        </w:rPr>
        <w:t xml:space="preserve"> consultation paper, and</w:t>
      </w:r>
      <w:r w:rsidR="00815E67">
        <w:rPr>
          <w:iCs/>
        </w:rPr>
        <w:t xml:space="preserve"> reference</w:t>
      </w:r>
      <w:r w:rsidR="00CC78E1">
        <w:rPr>
          <w:iCs/>
        </w:rPr>
        <w:t>s</w:t>
      </w:r>
      <w:r w:rsidR="00815E67">
        <w:rPr>
          <w:iCs/>
        </w:rPr>
        <w:t xml:space="preserve"> to </w:t>
      </w:r>
      <w:r w:rsidRPr="00794599">
        <w:rPr>
          <w:iCs/>
        </w:rPr>
        <w:t xml:space="preserve">the associated section of the </w:t>
      </w:r>
      <w:bookmarkStart w:id="72" w:name="_Ref98193339"/>
      <w:r w:rsidR="00815E67" w:rsidRPr="00815E67">
        <w:rPr>
          <w:iCs/>
        </w:rPr>
        <w:t xml:space="preserve">paper. </w:t>
      </w:r>
    </w:p>
    <w:p w14:paraId="379F747D" w14:textId="423D4506" w:rsidR="0012724F" w:rsidRPr="0012724F" w:rsidRDefault="0012724F" w:rsidP="00815E67">
      <w:pPr>
        <w:rPr>
          <w:b/>
          <w:bCs/>
          <w:iCs/>
        </w:rPr>
      </w:pPr>
      <w:r w:rsidRPr="0012724F">
        <w:rPr>
          <w:b/>
          <w:bCs/>
          <w:iCs/>
        </w:rPr>
        <w:t>Section 2.2.2.2 – AEMO’s system strength requirement implementation</w:t>
      </w:r>
    </w:p>
    <w:bookmarkEnd w:id="72"/>
    <w:p w14:paraId="5AB6BB54" w14:textId="691365ED" w:rsidR="00A70D13" w:rsidRDefault="00A70D13" w:rsidP="007413C0">
      <w:pPr>
        <w:pStyle w:val="ListParagraph"/>
        <w:numPr>
          <w:ilvl w:val="0"/>
          <w:numId w:val="12"/>
        </w:numPr>
        <w:tabs>
          <w:tab w:val="clear" w:pos="340"/>
          <w:tab w:val="left" w:pos="426"/>
        </w:tabs>
        <w:ind w:left="426"/>
      </w:pPr>
      <w:r w:rsidRPr="00A70D13">
        <w:t>Are there any implications of the TNSP and AEMO interdependencies that could affect the form of our system strength pricing methodology guidance?</w:t>
      </w:r>
      <w:r w:rsidR="007413C0">
        <w:t xml:space="preserve"> </w:t>
      </w:r>
    </w:p>
    <w:p w14:paraId="30C3F392" w14:textId="7BF85DBC" w:rsidR="0012724F" w:rsidRPr="0012724F" w:rsidRDefault="0012724F" w:rsidP="0012724F">
      <w:pPr>
        <w:tabs>
          <w:tab w:val="left" w:pos="426"/>
        </w:tabs>
        <w:ind w:left="66"/>
        <w:rPr>
          <w:b/>
          <w:bCs/>
        </w:rPr>
      </w:pPr>
      <w:r w:rsidRPr="0012724F">
        <w:rPr>
          <w:b/>
          <w:bCs/>
        </w:rPr>
        <w:t>Section 2.3 – Context for this system strength pricing guidance</w:t>
      </w:r>
    </w:p>
    <w:p w14:paraId="69AC994A" w14:textId="204FB96B" w:rsidR="007413C0" w:rsidRDefault="007413C0" w:rsidP="007413C0">
      <w:pPr>
        <w:pStyle w:val="ListParagraph"/>
        <w:numPr>
          <w:ilvl w:val="0"/>
          <w:numId w:val="12"/>
        </w:numPr>
        <w:tabs>
          <w:tab w:val="clear" w:pos="340"/>
          <w:tab w:val="left" w:pos="426"/>
        </w:tabs>
        <w:ind w:left="426"/>
      </w:pPr>
      <w:r w:rsidRPr="007413C0">
        <w:t>Do you have any feedback on these or other relevant contextual factors and their consequences for the AER’s guidance development?</w:t>
      </w:r>
      <w:r>
        <w:t xml:space="preserve"> </w:t>
      </w:r>
    </w:p>
    <w:p w14:paraId="3DD826C9" w14:textId="13D4EE15" w:rsidR="0012724F" w:rsidRPr="0012724F" w:rsidRDefault="0012724F" w:rsidP="0012724F">
      <w:pPr>
        <w:tabs>
          <w:tab w:val="left" w:pos="426"/>
        </w:tabs>
        <w:ind w:left="66"/>
        <w:rPr>
          <w:b/>
          <w:bCs/>
        </w:rPr>
      </w:pPr>
      <w:r>
        <w:rPr>
          <w:b/>
          <w:bCs/>
        </w:rPr>
        <w:t xml:space="preserve">Section </w:t>
      </w:r>
      <w:r w:rsidRPr="0012724F">
        <w:rPr>
          <w:b/>
          <w:bCs/>
        </w:rPr>
        <w:t>3.3 – Materiality considerations</w:t>
      </w:r>
    </w:p>
    <w:p w14:paraId="6E9AF126" w14:textId="0BF06497" w:rsidR="007413C0" w:rsidRDefault="007413C0" w:rsidP="00A70A02">
      <w:pPr>
        <w:pStyle w:val="ListParagraph"/>
        <w:numPr>
          <w:ilvl w:val="0"/>
          <w:numId w:val="12"/>
        </w:numPr>
        <w:tabs>
          <w:tab w:val="clear" w:pos="340"/>
          <w:tab w:val="left" w:pos="426"/>
        </w:tabs>
        <w:ind w:left="426"/>
      </w:pPr>
      <w:r w:rsidRPr="007413C0">
        <w:t>What materiality considerations should inform our assessment of potential pricing methodologies?</w:t>
      </w:r>
      <w:r>
        <w:t xml:space="preserve"> </w:t>
      </w:r>
      <w:r w:rsidRPr="007413C0">
        <w:t>Please provide any relevant evidence that you think should inform our materiality assessment.</w:t>
      </w:r>
      <w:r>
        <w:t xml:space="preserve"> </w:t>
      </w:r>
    </w:p>
    <w:p w14:paraId="12486209" w14:textId="7D2F7F20" w:rsidR="0012724F" w:rsidRPr="0012724F" w:rsidRDefault="0012724F" w:rsidP="0012724F">
      <w:pPr>
        <w:tabs>
          <w:tab w:val="left" w:pos="426"/>
        </w:tabs>
        <w:ind w:left="66"/>
        <w:rPr>
          <w:b/>
          <w:bCs/>
        </w:rPr>
      </w:pPr>
      <w:r w:rsidRPr="0012724F">
        <w:rPr>
          <w:b/>
          <w:bCs/>
        </w:rPr>
        <w:t>Section 4.1.1 – Issues in using forecasts beyond the 5-year regulatory determination</w:t>
      </w:r>
    </w:p>
    <w:p w14:paraId="1406EAAA" w14:textId="7AC7C7AE" w:rsidR="007413C0" w:rsidRDefault="007413C0" w:rsidP="007413C0">
      <w:pPr>
        <w:pStyle w:val="ListParagraph"/>
        <w:numPr>
          <w:ilvl w:val="0"/>
          <w:numId w:val="12"/>
        </w:numPr>
        <w:tabs>
          <w:tab w:val="clear" w:pos="340"/>
          <w:tab w:val="left" w:pos="426"/>
        </w:tabs>
        <w:ind w:left="426"/>
      </w:pPr>
      <w:r w:rsidRPr="007413C0">
        <w:t>Should our guidance specify a minimum period for “long-run”, and if so, is 10 years reasonable?</w:t>
      </w:r>
      <w:r>
        <w:t xml:space="preserve"> </w:t>
      </w:r>
    </w:p>
    <w:p w14:paraId="5D445B7D" w14:textId="542DD33B" w:rsidR="0012724F" w:rsidRPr="001874DD" w:rsidRDefault="0012724F" w:rsidP="0012724F">
      <w:pPr>
        <w:tabs>
          <w:tab w:val="left" w:pos="426"/>
        </w:tabs>
        <w:ind w:left="66"/>
        <w:rPr>
          <w:b/>
          <w:bCs/>
        </w:rPr>
      </w:pPr>
      <w:r w:rsidRPr="001874DD">
        <w:rPr>
          <w:b/>
          <w:bCs/>
        </w:rPr>
        <w:t>Section 4.2.3.1 – Incentive implications of relative costs</w:t>
      </w:r>
    </w:p>
    <w:p w14:paraId="5CB3E7A3" w14:textId="3260C956" w:rsidR="007413C0" w:rsidRDefault="007413C0" w:rsidP="007413C0">
      <w:pPr>
        <w:pStyle w:val="ListParagraph"/>
        <w:numPr>
          <w:ilvl w:val="0"/>
          <w:numId w:val="12"/>
        </w:numPr>
        <w:tabs>
          <w:tab w:val="clear" w:pos="340"/>
          <w:tab w:val="left" w:pos="426"/>
        </w:tabs>
        <w:ind w:left="426"/>
      </w:pPr>
      <w:r w:rsidRPr="007413C0">
        <w:t>What scenario(s) (either illustrated in Figure 4.1 or others), do you think should inform our guidance development? Do you have a view on or evidence of the likelihood of these scenarios?</w:t>
      </w:r>
    </w:p>
    <w:p w14:paraId="4618C77A" w14:textId="0F708C92" w:rsidR="001874DD" w:rsidRPr="001874DD" w:rsidRDefault="001874DD" w:rsidP="001874DD">
      <w:pPr>
        <w:tabs>
          <w:tab w:val="left" w:pos="426"/>
        </w:tabs>
        <w:ind w:left="66"/>
        <w:rPr>
          <w:b/>
          <w:bCs/>
        </w:rPr>
      </w:pPr>
      <w:r w:rsidRPr="001874DD">
        <w:rPr>
          <w:b/>
          <w:bCs/>
        </w:rPr>
        <w:t>Section 4.2.3.2 – Incentive implications of pricing stability</w:t>
      </w:r>
    </w:p>
    <w:p w14:paraId="386D831D" w14:textId="6B03AA5C" w:rsidR="007413C0" w:rsidRDefault="00850A78" w:rsidP="007413C0">
      <w:pPr>
        <w:pStyle w:val="ListParagraph"/>
        <w:numPr>
          <w:ilvl w:val="0"/>
          <w:numId w:val="12"/>
        </w:numPr>
        <w:tabs>
          <w:tab w:val="clear" w:pos="340"/>
          <w:tab w:val="left" w:pos="426"/>
        </w:tabs>
        <w:ind w:left="426"/>
      </w:pPr>
      <w:r w:rsidRPr="00850A78">
        <w:lastRenderedPageBreak/>
        <w:t>To what extent is volatility in the SSUP between 5-year periods likely to have an adverse impact on efficient generator and IBR load investment decisions?</w:t>
      </w:r>
      <w:r>
        <w:t xml:space="preserve"> </w:t>
      </w:r>
    </w:p>
    <w:p w14:paraId="155065DC" w14:textId="7E910570" w:rsidR="00850A78" w:rsidRDefault="00850A78" w:rsidP="007413C0">
      <w:pPr>
        <w:pStyle w:val="ListParagraph"/>
        <w:numPr>
          <w:ilvl w:val="0"/>
          <w:numId w:val="12"/>
        </w:numPr>
        <w:tabs>
          <w:tab w:val="clear" w:pos="340"/>
          <w:tab w:val="left" w:pos="426"/>
        </w:tabs>
        <w:ind w:left="426"/>
      </w:pPr>
      <w:r w:rsidRPr="00850A78">
        <w:t>Is pricing stability desirable over successive SSUP pricing periods?</w:t>
      </w:r>
    </w:p>
    <w:p w14:paraId="4CA2D02D" w14:textId="0A478823" w:rsidR="00850A78" w:rsidRDefault="00850A78" w:rsidP="007413C0">
      <w:pPr>
        <w:pStyle w:val="ListParagraph"/>
        <w:numPr>
          <w:ilvl w:val="0"/>
          <w:numId w:val="12"/>
        </w:numPr>
        <w:tabs>
          <w:tab w:val="clear" w:pos="340"/>
          <w:tab w:val="left" w:pos="426"/>
        </w:tabs>
        <w:ind w:left="426"/>
      </w:pPr>
      <w:r w:rsidRPr="00850A78">
        <w:t>Do you consider the permitted pricing methodologies will affect SSUP pricing stability?</w:t>
      </w:r>
    </w:p>
    <w:p w14:paraId="753E5205" w14:textId="6ECEBC64" w:rsidR="001874DD" w:rsidRPr="001874DD" w:rsidRDefault="001874DD" w:rsidP="001874DD">
      <w:pPr>
        <w:tabs>
          <w:tab w:val="left" w:pos="426"/>
        </w:tabs>
        <w:ind w:left="66"/>
        <w:rPr>
          <w:b/>
          <w:bCs/>
        </w:rPr>
      </w:pPr>
      <w:r w:rsidRPr="001874DD">
        <w:rPr>
          <w:b/>
          <w:bCs/>
        </w:rPr>
        <w:t>Section 4.2.3.3 – Incentive implications of residual cost recovery</w:t>
      </w:r>
    </w:p>
    <w:p w14:paraId="7053B6A9" w14:textId="5A9176A4" w:rsidR="00850A78" w:rsidRDefault="00850A78" w:rsidP="007413C0">
      <w:pPr>
        <w:pStyle w:val="ListParagraph"/>
        <w:numPr>
          <w:ilvl w:val="0"/>
          <w:numId w:val="12"/>
        </w:numPr>
        <w:tabs>
          <w:tab w:val="clear" w:pos="340"/>
          <w:tab w:val="left" w:pos="426"/>
        </w:tabs>
        <w:ind w:left="426"/>
      </w:pPr>
      <w:r w:rsidRPr="00850A78">
        <w:t>Should the permitted pricing method(s) place risk with the party best placed to manage it, and should any residual unmanageable risk be allocated to the party best able to absorb the risk?</w:t>
      </w:r>
    </w:p>
    <w:p w14:paraId="12A1F8FA" w14:textId="127E9F4B" w:rsidR="00850A78" w:rsidRDefault="00850A78" w:rsidP="007413C0">
      <w:pPr>
        <w:pStyle w:val="ListParagraph"/>
        <w:numPr>
          <w:ilvl w:val="0"/>
          <w:numId w:val="12"/>
        </w:numPr>
        <w:tabs>
          <w:tab w:val="clear" w:pos="340"/>
          <w:tab w:val="left" w:pos="426"/>
        </w:tabs>
        <w:ind w:left="426"/>
      </w:pPr>
      <w:r w:rsidRPr="00850A78">
        <w:t>Do you consider that a LRAC permitted pricing methodology would support this?</w:t>
      </w:r>
      <w:r>
        <w:t xml:space="preserve"> </w:t>
      </w:r>
    </w:p>
    <w:p w14:paraId="1EB1BAB1" w14:textId="10830B02" w:rsidR="001874DD" w:rsidRPr="001874DD" w:rsidRDefault="001874DD" w:rsidP="001874DD">
      <w:pPr>
        <w:tabs>
          <w:tab w:val="left" w:pos="426"/>
        </w:tabs>
        <w:ind w:left="66"/>
        <w:rPr>
          <w:b/>
          <w:bCs/>
        </w:rPr>
      </w:pPr>
      <w:r w:rsidRPr="001874DD">
        <w:rPr>
          <w:b/>
          <w:bCs/>
        </w:rPr>
        <w:t>Section 4.3 – Costs of administering long-run pricing methodologies</w:t>
      </w:r>
    </w:p>
    <w:p w14:paraId="52485413" w14:textId="7837505E" w:rsidR="00850A78" w:rsidRDefault="00850A78" w:rsidP="007413C0">
      <w:pPr>
        <w:pStyle w:val="ListParagraph"/>
        <w:numPr>
          <w:ilvl w:val="0"/>
          <w:numId w:val="12"/>
        </w:numPr>
        <w:tabs>
          <w:tab w:val="clear" w:pos="340"/>
          <w:tab w:val="left" w:pos="426"/>
        </w:tabs>
        <w:ind w:left="426"/>
      </w:pPr>
      <w:r w:rsidRPr="00850A78">
        <w:t>What issues should the pricing methodology guidelines consider in relation to minimising administrative complexity and implementation costs? What data or evidence would be useful to inform the response to this question?</w:t>
      </w:r>
    </w:p>
    <w:p w14:paraId="7D1321A0" w14:textId="027DB090" w:rsidR="001874DD" w:rsidRPr="004779AD" w:rsidRDefault="001874DD" w:rsidP="001874DD">
      <w:pPr>
        <w:tabs>
          <w:tab w:val="left" w:pos="426"/>
        </w:tabs>
        <w:ind w:left="66"/>
        <w:rPr>
          <w:b/>
          <w:bCs/>
        </w:rPr>
      </w:pPr>
      <w:r w:rsidRPr="004779AD">
        <w:rPr>
          <w:b/>
          <w:bCs/>
        </w:rPr>
        <w:t>Section 5.1.1</w:t>
      </w:r>
      <w:r w:rsidR="004779AD">
        <w:rPr>
          <w:b/>
          <w:bCs/>
        </w:rPr>
        <w:t xml:space="preserve"> –</w:t>
      </w:r>
      <w:r w:rsidRPr="004779AD">
        <w:rPr>
          <w:b/>
          <w:bCs/>
        </w:rPr>
        <w:t xml:space="preserve"> Is consistency with other transmission service pricing desirable?</w:t>
      </w:r>
    </w:p>
    <w:p w14:paraId="2F9B3CA6" w14:textId="63247E2C" w:rsidR="00850A78" w:rsidRDefault="00850A78" w:rsidP="007413C0">
      <w:pPr>
        <w:pStyle w:val="ListParagraph"/>
        <w:numPr>
          <w:ilvl w:val="0"/>
          <w:numId w:val="12"/>
        </w:numPr>
        <w:tabs>
          <w:tab w:val="clear" w:pos="340"/>
          <w:tab w:val="left" w:pos="426"/>
        </w:tabs>
        <w:ind w:left="426"/>
      </w:pPr>
      <w:r w:rsidRPr="00850A78">
        <w:t>Is consistency with the pricing of other transmission services desirable?</w:t>
      </w:r>
      <w:r>
        <w:t xml:space="preserve"> </w:t>
      </w:r>
    </w:p>
    <w:p w14:paraId="0A094A56" w14:textId="385BE735" w:rsidR="004779AD" w:rsidRPr="004779AD" w:rsidRDefault="004779AD" w:rsidP="004779AD">
      <w:pPr>
        <w:tabs>
          <w:tab w:val="left" w:pos="426"/>
        </w:tabs>
        <w:ind w:left="66"/>
        <w:rPr>
          <w:b/>
          <w:bCs/>
        </w:rPr>
      </w:pPr>
      <w:r w:rsidRPr="004779AD">
        <w:rPr>
          <w:b/>
          <w:bCs/>
        </w:rPr>
        <w:t>5.1.2 Can consistency impact innovation?</w:t>
      </w:r>
    </w:p>
    <w:p w14:paraId="2C35D781" w14:textId="384DFCA9" w:rsidR="00850A78" w:rsidRDefault="00AD4101" w:rsidP="007413C0">
      <w:pPr>
        <w:pStyle w:val="ListParagraph"/>
        <w:numPr>
          <w:ilvl w:val="0"/>
          <w:numId w:val="12"/>
        </w:numPr>
        <w:tabs>
          <w:tab w:val="clear" w:pos="340"/>
          <w:tab w:val="left" w:pos="426"/>
        </w:tabs>
        <w:ind w:left="426"/>
      </w:pPr>
      <w:r w:rsidRPr="00AD4101">
        <w:t>Could allowing different system strength pricing methodologies support innovation? Do you expect this to be material and over what timeframe might it be material?</w:t>
      </w:r>
    </w:p>
    <w:p w14:paraId="22E2B424" w14:textId="1D2CAD88" w:rsidR="004779AD" w:rsidRPr="004779AD" w:rsidRDefault="004779AD" w:rsidP="004779AD">
      <w:pPr>
        <w:tabs>
          <w:tab w:val="left" w:pos="426"/>
        </w:tabs>
        <w:ind w:left="66"/>
        <w:rPr>
          <w:b/>
          <w:bCs/>
        </w:rPr>
      </w:pPr>
      <w:r w:rsidRPr="004779AD">
        <w:rPr>
          <w:b/>
          <w:bCs/>
        </w:rPr>
        <w:t>Section 5.1.3</w:t>
      </w:r>
      <w:r>
        <w:rPr>
          <w:b/>
          <w:bCs/>
        </w:rPr>
        <w:t xml:space="preserve"> –</w:t>
      </w:r>
      <w:r w:rsidRPr="004779AD">
        <w:rPr>
          <w:b/>
          <w:bCs/>
        </w:rPr>
        <w:t xml:space="preserve"> Should there be consistency in the permitted long-run pricing methodology?</w:t>
      </w:r>
    </w:p>
    <w:p w14:paraId="6B61421E" w14:textId="1329653B" w:rsidR="00AD4101" w:rsidRDefault="009E5778" w:rsidP="007413C0">
      <w:pPr>
        <w:pStyle w:val="ListParagraph"/>
        <w:numPr>
          <w:ilvl w:val="0"/>
          <w:numId w:val="12"/>
        </w:numPr>
        <w:tabs>
          <w:tab w:val="clear" w:pos="340"/>
          <w:tab w:val="left" w:pos="426"/>
        </w:tabs>
        <w:ind w:left="426"/>
      </w:pPr>
      <w:r w:rsidRPr="009E5778">
        <w:t>Should the AER permit SSSPs to choose between different long-run pricing methodologies?</w:t>
      </w:r>
    </w:p>
    <w:p w14:paraId="66D4970D" w14:textId="1CE6106B" w:rsidR="009E5778" w:rsidRDefault="009E5778" w:rsidP="007413C0">
      <w:pPr>
        <w:pStyle w:val="ListParagraph"/>
        <w:numPr>
          <w:ilvl w:val="0"/>
          <w:numId w:val="12"/>
        </w:numPr>
        <w:tabs>
          <w:tab w:val="clear" w:pos="340"/>
          <w:tab w:val="left" w:pos="426"/>
        </w:tabs>
        <w:ind w:left="426"/>
      </w:pPr>
      <w:r w:rsidRPr="009E5778">
        <w:t>Could differing system strength pricing methodologies between SSSPs affect competition in the wholesale market?</w:t>
      </w:r>
    </w:p>
    <w:p w14:paraId="4110A513" w14:textId="560A0DA7" w:rsidR="004779AD" w:rsidRPr="004779AD" w:rsidRDefault="004779AD" w:rsidP="004779AD">
      <w:pPr>
        <w:tabs>
          <w:tab w:val="left" w:pos="426"/>
        </w:tabs>
        <w:ind w:left="66"/>
        <w:rPr>
          <w:b/>
          <w:bCs/>
        </w:rPr>
      </w:pPr>
      <w:r w:rsidRPr="004779AD">
        <w:rPr>
          <w:b/>
          <w:bCs/>
        </w:rPr>
        <w:t>Section 5.2 – Annual indexation</w:t>
      </w:r>
    </w:p>
    <w:p w14:paraId="6E0EA769" w14:textId="0C067D77" w:rsidR="009E5778" w:rsidRDefault="009E5778" w:rsidP="007413C0">
      <w:pPr>
        <w:pStyle w:val="ListParagraph"/>
        <w:numPr>
          <w:ilvl w:val="0"/>
          <w:numId w:val="12"/>
        </w:numPr>
        <w:tabs>
          <w:tab w:val="clear" w:pos="340"/>
          <w:tab w:val="left" w:pos="426"/>
        </w:tabs>
        <w:ind w:left="426"/>
      </w:pPr>
      <w:r w:rsidRPr="009E5778">
        <w:t>Should the system strength unit price be indexed? If so, what method should be used for indexation?</w:t>
      </w:r>
    </w:p>
    <w:p w14:paraId="56176127" w14:textId="0F8277BE" w:rsidR="004779AD" w:rsidRPr="004779AD" w:rsidRDefault="004779AD" w:rsidP="004779AD">
      <w:pPr>
        <w:tabs>
          <w:tab w:val="left" w:pos="426"/>
        </w:tabs>
        <w:ind w:left="66"/>
        <w:rPr>
          <w:b/>
          <w:bCs/>
        </w:rPr>
      </w:pPr>
      <w:r w:rsidRPr="004779AD">
        <w:rPr>
          <w:b/>
          <w:bCs/>
        </w:rPr>
        <w:t>Section 6.2.1 – The basis of revenue inputs</w:t>
      </w:r>
    </w:p>
    <w:p w14:paraId="4CA03D15" w14:textId="64DF07FB" w:rsidR="009E5778" w:rsidRDefault="009E5778" w:rsidP="007413C0">
      <w:pPr>
        <w:pStyle w:val="ListParagraph"/>
        <w:numPr>
          <w:ilvl w:val="0"/>
          <w:numId w:val="12"/>
        </w:numPr>
        <w:tabs>
          <w:tab w:val="clear" w:pos="340"/>
          <w:tab w:val="left" w:pos="426"/>
        </w:tabs>
        <w:ind w:left="426"/>
      </w:pPr>
      <w:r w:rsidRPr="009E5778">
        <w:t>What level of detail should be contained in the forecasting principles for system strength revenue inputs?</w:t>
      </w:r>
    </w:p>
    <w:p w14:paraId="43C02462" w14:textId="10E3D45E" w:rsidR="009E5778" w:rsidRDefault="009E5778" w:rsidP="007413C0">
      <w:pPr>
        <w:pStyle w:val="ListParagraph"/>
        <w:numPr>
          <w:ilvl w:val="0"/>
          <w:numId w:val="12"/>
        </w:numPr>
        <w:tabs>
          <w:tab w:val="clear" w:pos="340"/>
          <w:tab w:val="left" w:pos="426"/>
        </w:tabs>
        <w:ind w:left="426"/>
      </w:pPr>
      <w:r w:rsidRPr="009E5778">
        <w:t>What revenue forecasting principles should be included in the pricing methodology guidelines?</w:t>
      </w:r>
      <w:r>
        <w:t xml:space="preserve"> </w:t>
      </w:r>
    </w:p>
    <w:p w14:paraId="0F56E0A9" w14:textId="56BDADE5" w:rsidR="004779AD" w:rsidRPr="004779AD" w:rsidRDefault="004779AD" w:rsidP="004779AD">
      <w:pPr>
        <w:tabs>
          <w:tab w:val="left" w:pos="426"/>
        </w:tabs>
        <w:ind w:left="66"/>
        <w:rPr>
          <w:b/>
          <w:bCs/>
        </w:rPr>
      </w:pPr>
      <w:r w:rsidRPr="004779AD">
        <w:rPr>
          <w:b/>
          <w:bCs/>
        </w:rPr>
        <w:t>Section 6.2.2 – Treatment of confidential information</w:t>
      </w:r>
    </w:p>
    <w:p w14:paraId="397E0355" w14:textId="59980630" w:rsidR="009E5778" w:rsidRDefault="009E5778" w:rsidP="007413C0">
      <w:pPr>
        <w:pStyle w:val="ListParagraph"/>
        <w:numPr>
          <w:ilvl w:val="0"/>
          <w:numId w:val="12"/>
        </w:numPr>
        <w:tabs>
          <w:tab w:val="clear" w:pos="340"/>
          <w:tab w:val="left" w:pos="426"/>
        </w:tabs>
        <w:ind w:left="426"/>
      </w:pPr>
      <w:r w:rsidRPr="009E5778">
        <w:lastRenderedPageBreak/>
        <w:t>Are the arrangements for treatment of confidential and commercially sensitive information in the existing pricing methodology guidelines sufficient for system strength services?</w:t>
      </w:r>
    </w:p>
    <w:p w14:paraId="3832493D" w14:textId="294A1907" w:rsidR="00C86FF0" w:rsidRPr="00C86FF0" w:rsidRDefault="00C86FF0" w:rsidP="00C86FF0">
      <w:pPr>
        <w:tabs>
          <w:tab w:val="left" w:pos="426"/>
        </w:tabs>
        <w:ind w:left="66"/>
        <w:rPr>
          <w:b/>
          <w:bCs/>
        </w:rPr>
      </w:pPr>
      <w:r w:rsidRPr="00C86FF0">
        <w:rPr>
          <w:b/>
          <w:bCs/>
        </w:rPr>
        <w:t>Section 7.2 – Relevant differences between AEMO and other SSSPs</w:t>
      </w:r>
    </w:p>
    <w:p w14:paraId="13BD8E76" w14:textId="326962A2" w:rsidR="009E5778" w:rsidRDefault="009E5778" w:rsidP="007413C0">
      <w:pPr>
        <w:pStyle w:val="ListParagraph"/>
        <w:numPr>
          <w:ilvl w:val="0"/>
          <w:numId w:val="12"/>
        </w:numPr>
        <w:tabs>
          <w:tab w:val="clear" w:pos="340"/>
          <w:tab w:val="left" w:pos="426"/>
        </w:tabs>
        <w:ind w:left="426"/>
      </w:pPr>
      <w:r w:rsidRPr="009E5778">
        <w:t>What are the differences between AEMO as SSSP for Victoria and other SSSPs that may be relevant to our pricing methodology guideline?</w:t>
      </w:r>
    </w:p>
    <w:p w14:paraId="2866C7D7" w14:textId="7800A68D" w:rsidR="009E5778" w:rsidRDefault="009E5778" w:rsidP="007413C0">
      <w:pPr>
        <w:pStyle w:val="ListParagraph"/>
        <w:numPr>
          <w:ilvl w:val="0"/>
          <w:numId w:val="12"/>
        </w:numPr>
        <w:tabs>
          <w:tab w:val="clear" w:pos="340"/>
          <w:tab w:val="left" w:pos="426"/>
        </w:tabs>
        <w:ind w:left="426"/>
      </w:pPr>
      <w:r w:rsidRPr="009E5778">
        <w:t>Are the issues discussed in sections 4 to 6 above equally applicable to AEMO as SSSP for Victoria?</w:t>
      </w:r>
    </w:p>
    <w:p w14:paraId="23E189F7" w14:textId="12E9EC40" w:rsidR="00A70D13" w:rsidRPr="00A70D13" w:rsidRDefault="009E5778" w:rsidP="000020D2">
      <w:pPr>
        <w:pStyle w:val="ListParagraph"/>
        <w:numPr>
          <w:ilvl w:val="0"/>
          <w:numId w:val="12"/>
        </w:numPr>
        <w:tabs>
          <w:tab w:val="clear" w:pos="340"/>
          <w:tab w:val="left" w:pos="426"/>
        </w:tabs>
        <w:ind w:left="426"/>
      </w:pPr>
      <w:r w:rsidRPr="009E5778">
        <w:t>Are there any areas where our guideline should treat AEMO differently to other SSSPs because of any of differences between how AEMO is regulated and how other SSSPs are regulated?</w:t>
      </w:r>
    </w:p>
    <w:p w14:paraId="7A025C31" w14:textId="77777777" w:rsidR="00127212" w:rsidRDefault="00127212" w:rsidP="00C5193C">
      <w:pPr>
        <w:rPr>
          <w:iCs/>
        </w:rPr>
      </w:pPr>
    </w:p>
    <w:p w14:paraId="34B7AD33" w14:textId="33A9AFD1" w:rsidR="00421560" w:rsidRDefault="00421560" w:rsidP="003F6F68"/>
    <w:p w14:paraId="1317657E" w14:textId="78F28CB0" w:rsidR="00F6220E" w:rsidRPr="00271F7C" w:rsidRDefault="00F6220E" w:rsidP="00F6220E">
      <w:pPr>
        <w:pStyle w:val="UnnumberedHeading"/>
        <w:numPr>
          <w:ilvl w:val="0"/>
          <w:numId w:val="23"/>
        </w:numPr>
      </w:pPr>
      <w:bookmarkStart w:id="73" w:name="_Toc404700925"/>
      <w:bookmarkStart w:id="74" w:name="_Toc98831367"/>
      <w:bookmarkEnd w:id="64"/>
      <w:bookmarkEnd w:id="65"/>
      <w:bookmarkEnd w:id="66"/>
      <w:r>
        <w:lastRenderedPageBreak/>
        <w:t>Shortened forms</w:t>
      </w:r>
      <w:bookmarkEnd w:id="73"/>
      <w:bookmarkEnd w:id="74"/>
    </w:p>
    <w:tbl>
      <w:tblPr>
        <w:tblStyle w:val="AERtable-text0"/>
        <w:tblW w:w="0" w:type="auto"/>
        <w:tblLook w:val="04A0" w:firstRow="1" w:lastRow="0" w:firstColumn="1" w:lastColumn="0" w:noHBand="0" w:noVBand="1"/>
      </w:tblPr>
      <w:tblGrid>
        <w:gridCol w:w="4233"/>
        <w:gridCol w:w="4244"/>
      </w:tblGrid>
      <w:tr w:rsidR="00F6220E" w:rsidRPr="0087648F" w14:paraId="743947A6" w14:textId="77777777" w:rsidTr="0060449B">
        <w:trPr>
          <w:cnfStyle w:val="100000000000" w:firstRow="1" w:lastRow="0" w:firstColumn="0" w:lastColumn="0" w:oddVBand="0" w:evenVBand="0" w:oddHBand="0" w:evenHBand="0" w:firstRowFirstColumn="0" w:firstRowLastColumn="0" w:lastRowFirstColumn="0" w:lastRowLastColumn="0"/>
          <w:tblHeader/>
        </w:trPr>
        <w:tc>
          <w:tcPr>
            <w:tcW w:w="4233" w:type="dxa"/>
          </w:tcPr>
          <w:p w14:paraId="039D614D" w14:textId="77777777" w:rsidR="00F6220E" w:rsidRPr="0087648F" w:rsidRDefault="00F6220E" w:rsidP="008922D2">
            <w:r>
              <w:t>Shortened form</w:t>
            </w:r>
          </w:p>
        </w:tc>
        <w:tc>
          <w:tcPr>
            <w:tcW w:w="4244" w:type="dxa"/>
          </w:tcPr>
          <w:p w14:paraId="47AA883C" w14:textId="77777777" w:rsidR="00F6220E" w:rsidRPr="0087648F" w:rsidRDefault="00F6220E" w:rsidP="008922D2">
            <w:r>
              <w:t>Extended form</w:t>
            </w:r>
          </w:p>
        </w:tc>
      </w:tr>
      <w:tr w:rsidR="002F6BD0" w14:paraId="751AD70E" w14:textId="77777777" w:rsidTr="0060449B">
        <w:tc>
          <w:tcPr>
            <w:tcW w:w="4233" w:type="dxa"/>
          </w:tcPr>
          <w:p w14:paraId="4D0C4625" w14:textId="4875BBD2" w:rsidR="002F6BD0" w:rsidRPr="00DE43AE" w:rsidRDefault="002F6BD0" w:rsidP="002F6BD0">
            <w:pPr>
              <w:numPr>
                <w:ilvl w:val="0"/>
                <w:numId w:val="24"/>
              </w:numPr>
            </w:pPr>
            <w:r w:rsidRPr="007544D3">
              <w:t>AEMC</w:t>
            </w:r>
          </w:p>
        </w:tc>
        <w:tc>
          <w:tcPr>
            <w:tcW w:w="4244" w:type="dxa"/>
          </w:tcPr>
          <w:p w14:paraId="6AEBDA19" w14:textId="646BAE6C" w:rsidR="002F6BD0" w:rsidRPr="00DE43AE" w:rsidRDefault="002F6BD0" w:rsidP="002F6BD0">
            <w:pPr>
              <w:numPr>
                <w:ilvl w:val="0"/>
                <w:numId w:val="24"/>
              </w:numPr>
            </w:pPr>
            <w:r w:rsidRPr="007544D3">
              <w:t>Australian Energy Market Commission</w:t>
            </w:r>
          </w:p>
        </w:tc>
      </w:tr>
      <w:tr w:rsidR="002F6BD0" w14:paraId="63539CD1" w14:textId="77777777" w:rsidTr="0060449B">
        <w:trPr>
          <w:cnfStyle w:val="000000010000" w:firstRow="0" w:lastRow="0" w:firstColumn="0" w:lastColumn="0" w:oddVBand="0" w:evenVBand="0" w:oddHBand="0" w:evenHBand="1" w:firstRowFirstColumn="0" w:firstRowLastColumn="0" w:lastRowFirstColumn="0" w:lastRowLastColumn="0"/>
        </w:trPr>
        <w:tc>
          <w:tcPr>
            <w:tcW w:w="4233" w:type="dxa"/>
          </w:tcPr>
          <w:p w14:paraId="21B93C88" w14:textId="72CA75D5" w:rsidR="002F6BD0" w:rsidRPr="00DE43AE" w:rsidRDefault="002F6BD0" w:rsidP="002F6BD0">
            <w:pPr>
              <w:numPr>
                <w:ilvl w:val="0"/>
                <w:numId w:val="24"/>
              </w:numPr>
            </w:pPr>
            <w:r w:rsidRPr="007544D3">
              <w:t>AEMO</w:t>
            </w:r>
          </w:p>
        </w:tc>
        <w:tc>
          <w:tcPr>
            <w:tcW w:w="4244" w:type="dxa"/>
          </w:tcPr>
          <w:p w14:paraId="5A53FE67" w14:textId="07E4565E" w:rsidR="002F6BD0" w:rsidRPr="00DE43AE" w:rsidRDefault="002F6BD0" w:rsidP="002F6BD0">
            <w:pPr>
              <w:numPr>
                <w:ilvl w:val="0"/>
                <w:numId w:val="24"/>
              </w:numPr>
            </w:pPr>
            <w:r w:rsidRPr="007544D3">
              <w:t>Australian Energy Market Operator</w:t>
            </w:r>
          </w:p>
        </w:tc>
      </w:tr>
      <w:tr w:rsidR="002F6BD0" w14:paraId="0F154C98" w14:textId="77777777" w:rsidTr="0060449B">
        <w:tc>
          <w:tcPr>
            <w:tcW w:w="4233" w:type="dxa"/>
          </w:tcPr>
          <w:p w14:paraId="19B3F13E" w14:textId="5DDFF245" w:rsidR="002F6BD0" w:rsidRPr="00DE43AE" w:rsidRDefault="002F6BD0" w:rsidP="002F6BD0">
            <w:pPr>
              <w:numPr>
                <w:ilvl w:val="0"/>
                <w:numId w:val="24"/>
              </w:numPr>
            </w:pPr>
            <w:r w:rsidRPr="007544D3">
              <w:t>AER</w:t>
            </w:r>
          </w:p>
        </w:tc>
        <w:tc>
          <w:tcPr>
            <w:tcW w:w="4244" w:type="dxa"/>
          </w:tcPr>
          <w:p w14:paraId="273A9FE8" w14:textId="7D8B58D2" w:rsidR="002F6BD0" w:rsidRPr="00DE43AE" w:rsidRDefault="002F6BD0" w:rsidP="002F6BD0">
            <w:pPr>
              <w:numPr>
                <w:ilvl w:val="0"/>
                <w:numId w:val="24"/>
              </w:numPr>
            </w:pPr>
            <w:r w:rsidRPr="007544D3">
              <w:t>Australian Energy Regulator</w:t>
            </w:r>
          </w:p>
        </w:tc>
      </w:tr>
      <w:tr w:rsidR="007C1119" w14:paraId="7A806D84" w14:textId="77777777" w:rsidTr="0060449B">
        <w:trPr>
          <w:cnfStyle w:val="000000010000" w:firstRow="0" w:lastRow="0" w:firstColumn="0" w:lastColumn="0" w:oddVBand="0" w:evenVBand="0" w:oddHBand="0" w:evenHBand="1" w:firstRowFirstColumn="0" w:firstRowLastColumn="0" w:lastRowFirstColumn="0" w:lastRowLastColumn="0"/>
        </w:trPr>
        <w:tc>
          <w:tcPr>
            <w:tcW w:w="4233" w:type="dxa"/>
          </w:tcPr>
          <w:p w14:paraId="376CA872" w14:textId="14EA498B" w:rsidR="007C1119" w:rsidRPr="007544D3" w:rsidRDefault="007C1119" w:rsidP="002F6BD0">
            <w:pPr>
              <w:numPr>
                <w:ilvl w:val="0"/>
                <w:numId w:val="24"/>
              </w:numPr>
            </w:pPr>
            <w:r>
              <w:t>NER</w:t>
            </w:r>
          </w:p>
        </w:tc>
        <w:tc>
          <w:tcPr>
            <w:tcW w:w="4244" w:type="dxa"/>
          </w:tcPr>
          <w:p w14:paraId="5E86F561" w14:textId="73CC85F5" w:rsidR="007C1119" w:rsidRPr="007544D3" w:rsidRDefault="007C1119" w:rsidP="002F6BD0">
            <w:pPr>
              <w:numPr>
                <w:ilvl w:val="0"/>
                <w:numId w:val="24"/>
              </w:numPr>
            </w:pPr>
            <w:r>
              <w:t>National Electricity Rules</w:t>
            </w:r>
          </w:p>
        </w:tc>
      </w:tr>
      <w:tr w:rsidR="0060449B" w14:paraId="6CDF75DE" w14:textId="77777777" w:rsidTr="0060449B">
        <w:trPr>
          <w:trHeight w:val="454"/>
        </w:trPr>
        <w:tc>
          <w:tcPr>
            <w:tcW w:w="4233" w:type="dxa"/>
          </w:tcPr>
          <w:p w14:paraId="624AE34E" w14:textId="77777777" w:rsidR="0060449B" w:rsidRDefault="0060449B" w:rsidP="0060449B">
            <w:pPr>
              <w:numPr>
                <w:ilvl w:val="0"/>
                <w:numId w:val="24"/>
              </w:numPr>
            </w:pPr>
            <w:r>
              <w:t>NEM</w:t>
            </w:r>
          </w:p>
        </w:tc>
        <w:tc>
          <w:tcPr>
            <w:tcW w:w="4244" w:type="dxa"/>
          </w:tcPr>
          <w:p w14:paraId="6DFF0E96" w14:textId="77777777" w:rsidR="0060449B" w:rsidRDefault="0060449B" w:rsidP="0060449B">
            <w:pPr>
              <w:numPr>
                <w:ilvl w:val="0"/>
                <w:numId w:val="24"/>
              </w:numPr>
            </w:pPr>
            <w:r>
              <w:t>National Electricity Market</w:t>
            </w:r>
          </w:p>
        </w:tc>
      </w:tr>
      <w:tr w:rsidR="00684D2A" w14:paraId="3F0102F0" w14:textId="77777777" w:rsidTr="0060449B">
        <w:trPr>
          <w:cnfStyle w:val="000000010000" w:firstRow="0" w:lastRow="0" w:firstColumn="0" w:lastColumn="0" w:oddVBand="0" w:evenVBand="0" w:oddHBand="0" w:evenHBand="1" w:firstRowFirstColumn="0" w:firstRowLastColumn="0" w:lastRowFirstColumn="0" w:lastRowLastColumn="0"/>
          <w:trHeight w:val="454"/>
        </w:trPr>
        <w:tc>
          <w:tcPr>
            <w:tcW w:w="4233" w:type="dxa"/>
          </w:tcPr>
          <w:p w14:paraId="71B2B306" w14:textId="20E16AA7" w:rsidR="00684D2A" w:rsidRDefault="00684D2A" w:rsidP="0060449B">
            <w:pPr>
              <w:numPr>
                <w:ilvl w:val="0"/>
                <w:numId w:val="24"/>
              </w:numPr>
            </w:pPr>
            <w:r>
              <w:t>SS</w:t>
            </w:r>
            <w:r w:rsidR="007F3D83">
              <w:t>SPs</w:t>
            </w:r>
          </w:p>
        </w:tc>
        <w:tc>
          <w:tcPr>
            <w:tcW w:w="4244" w:type="dxa"/>
          </w:tcPr>
          <w:p w14:paraId="6F8AE85C" w14:textId="77777777" w:rsidR="00684D2A" w:rsidRDefault="00684D2A" w:rsidP="0060449B">
            <w:pPr>
              <w:numPr>
                <w:ilvl w:val="0"/>
                <w:numId w:val="24"/>
              </w:numPr>
            </w:pPr>
          </w:p>
        </w:tc>
      </w:tr>
      <w:tr w:rsidR="00E2543E" w14:paraId="7F487F2C" w14:textId="77777777" w:rsidTr="006D189A">
        <w:tc>
          <w:tcPr>
            <w:tcW w:w="4233" w:type="dxa"/>
            <w:vAlign w:val="top"/>
          </w:tcPr>
          <w:p w14:paraId="3BD39593" w14:textId="048A6FF8" w:rsidR="00E2543E" w:rsidRDefault="00E2543E" w:rsidP="00E2543E">
            <w:pPr>
              <w:numPr>
                <w:ilvl w:val="0"/>
                <w:numId w:val="24"/>
              </w:numPr>
            </w:pPr>
            <w:r w:rsidRPr="00323FE7">
              <w:t>TNSP</w:t>
            </w:r>
          </w:p>
        </w:tc>
        <w:tc>
          <w:tcPr>
            <w:tcW w:w="4244" w:type="dxa"/>
            <w:vAlign w:val="top"/>
          </w:tcPr>
          <w:p w14:paraId="3F1E0F94" w14:textId="4DF627CD" w:rsidR="00E2543E" w:rsidRDefault="00E2543E" w:rsidP="00E2543E">
            <w:pPr>
              <w:numPr>
                <w:ilvl w:val="0"/>
                <w:numId w:val="24"/>
              </w:numPr>
            </w:pPr>
            <w:r w:rsidRPr="00323FE7">
              <w:t>Transmission network service provider</w:t>
            </w:r>
          </w:p>
        </w:tc>
      </w:tr>
    </w:tbl>
    <w:p w14:paraId="5FC0167F" w14:textId="77777777" w:rsidR="006E10A3" w:rsidRDefault="006E10A3" w:rsidP="007E57C0"/>
    <w:sectPr w:rsidR="006E10A3" w:rsidSect="00A06B24">
      <w:headerReference w:type="even" r:id="rId17"/>
      <w:headerReference w:type="default" r:id="rId18"/>
      <w:footerReference w:type="even" r:id="rId19"/>
      <w:headerReference w:type="first" r:id="rId20"/>
      <w:footerReference w:type="first" r:id="rId21"/>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1BA4" w14:textId="77777777" w:rsidR="00F2621C" w:rsidRPr="00290C63" w:rsidRDefault="00F2621C" w:rsidP="00290C63">
      <w:r>
        <w:separator/>
      </w:r>
    </w:p>
    <w:p w14:paraId="145225DE" w14:textId="77777777" w:rsidR="00F2621C" w:rsidRDefault="00F2621C"/>
  </w:endnote>
  <w:endnote w:type="continuationSeparator" w:id="0">
    <w:p w14:paraId="030B7ACD" w14:textId="77777777" w:rsidR="00F2621C" w:rsidRPr="00290C63" w:rsidRDefault="00F2621C" w:rsidP="00290C63">
      <w:r>
        <w:continuationSeparator/>
      </w:r>
    </w:p>
    <w:p w14:paraId="6A72B4A8" w14:textId="77777777" w:rsidR="00F2621C" w:rsidRDefault="00F26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B6A4" w14:textId="77777777" w:rsidR="002B58E8" w:rsidRPr="00290C63" w:rsidRDefault="002B58E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14:paraId="79C486EB" w14:textId="77777777" w:rsidR="002B58E8" w:rsidRDefault="002B58E8"/>
  <w:p w14:paraId="0378E14E" w14:textId="77777777" w:rsidR="002B58E8" w:rsidRDefault="002B58E8"/>
  <w:p w14:paraId="4F683198" w14:textId="77777777" w:rsidR="002B58E8" w:rsidRDefault="002B58E8"/>
  <w:p w14:paraId="6B438043" w14:textId="77777777" w:rsidR="002B58E8" w:rsidRDefault="002B58E8"/>
  <w:p w14:paraId="179C87B3" w14:textId="77777777" w:rsidR="002B58E8" w:rsidRDefault="002B58E8"/>
  <w:p w14:paraId="6B0E8D28" w14:textId="77777777" w:rsidR="002B58E8" w:rsidRDefault="002B58E8"/>
  <w:p w14:paraId="284A1B0A" w14:textId="77777777" w:rsidR="002B58E8" w:rsidRDefault="002B58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333254"/>
      <w:docPartObj>
        <w:docPartGallery w:val="Page Numbers (Bottom of Page)"/>
        <w:docPartUnique/>
      </w:docPartObj>
    </w:sdtPr>
    <w:sdtEndPr/>
    <w:sdtContent>
      <w:p w14:paraId="2FBB77DC" w14:textId="12FF9BBC" w:rsidR="001513A9" w:rsidRDefault="002B58E8" w:rsidP="001513A9">
        <w:pPr>
          <w:pStyle w:val="Footer"/>
        </w:pPr>
        <w:r w:rsidRPr="002408D6">
          <w:fldChar w:fldCharType="begin"/>
        </w:r>
        <w:r w:rsidRPr="002408D6">
          <w:instrText xml:space="preserve"> PAGE   \* MERGEFORMAT </w:instrText>
        </w:r>
        <w:r w:rsidRPr="002408D6">
          <w:fldChar w:fldCharType="separate"/>
        </w:r>
        <w:r w:rsidR="00E84A10">
          <w:rPr>
            <w:noProof/>
          </w:rPr>
          <w:t>6</w:t>
        </w:r>
        <w:r w:rsidRPr="002408D6">
          <w:fldChar w:fldCharType="end"/>
        </w:r>
        <w:r w:rsidRPr="002408D6">
          <w:t xml:space="preserve">         </w:t>
        </w:r>
        <w:r w:rsidR="007D0345">
          <w:t>Consultation s</w:t>
        </w:r>
        <w:r w:rsidR="001513A9">
          <w:t>ummary</w:t>
        </w:r>
        <w:r w:rsidR="007D0345">
          <w:t>: Updating p</w:t>
        </w:r>
        <w:r w:rsidR="001513A9" w:rsidRPr="001513A9">
          <w:t xml:space="preserve">ricing </w:t>
        </w:r>
        <w:r w:rsidR="007D0345">
          <w:t>m</w:t>
        </w:r>
        <w:r w:rsidR="001513A9" w:rsidRPr="001513A9">
          <w:t xml:space="preserve">ethodology </w:t>
        </w:r>
        <w:r w:rsidR="007D0345">
          <w:t>g</w:t>
        </w:r>
        <w:r w:rsidR="001513A9" w:rsidRPr="001513A9">
          <w:t xml:space="preserve">uidelines: System </w:t>
        </w:r>
        <w:r w:rsidR="007D0345">
          <w:t>s</w:t>
        </w:r>
        <w:r w:rsidR="001513A9" w:rsidRPr="001513A9">
          <w:t>trength pricing</w:t>
        </w:r>
      </w:p>
      <w:p w14:paraId="092BAF5D" w14:textId="555FC2E9" w:rsidR="002B58E8" w:rsidRPr="002408D6" w:rsidRDefault="00AE68CA" w:rsidP="001513A9">
        <w:pPr>
          <w:pStyle w:val="Footer"/>
        </w:pPr>
      </w:p>
    </w:sdtContent>
  </w:sdt>
  <w:p w14:paraId="6BF3349C" w14:textId="77777777" w:rsidR="002B58E8" w:rsidRDefault="002B58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EE3A" w14:textId="77777777" w:rsidR="002B58E8" w:rsidRPr="00290C63" w:rsidRDefault="002B58E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14:paraId="0367EEDB" w14:textId="77777777" w:rsidR="002B58E8" w:rsidRDefault="002B58E8">
    <w:pPr>
      <w:pStyle w:val="Footer"/>
    </w:pPr>
  </w:p>
  <w:p w14:paraId="4542FB7C" w14:textId="77777777" w:rsidR="002B58E8" w:rsidRDefault="002B58E8"/>
  <w:p w14:paraId="35B6992B" w14:textId="77777777" w:rsidR="002B58E8" w:rsidRDefault="002B58E8"/>
  <w:p w14:paraId="391EC749" w14:textId="77777777" w:rsidR="002B58E8" w:rsidRDefault="002B58E8"/>
  <w:p w14:paraId="6CD00BFD" w14:textId="77777777" w:rsidR="002B58E8" w:rsidRDefault="002B58E8"/>
  <w:p w14:paraId="0468EC43" w14:textId="77777777" w:rsidR="002B58E8" w:rsidRDefault="002B58E8"/>
  <w:p w14:paraId="483C89DA" w14:textId="77777777" w:rsidR="002B58E8" w:rsidRDefault="002B58E8"/>
  <w:p w14:paraId="55813CEC" w14:textId="77777777" w:rsidR="002B58E8" w:rsidRDefault="002B58E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A1FB" w14:textId="77777777" w:rsidR="002B58E8" w:rsidRPr="00290C63" w:rsidRDefault="002B58E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14:paraId="6C7921CD" w14:textId="77777777" w:rsidR="002B58E8" w:rsidRDefault="002B58E8"/>
  <w:p w14:paraId="7E12ACFB" w14:textId="77777777" w:rsidR="002B58E8" w:rsidRDefault="002B58E8"/>
  <w:p w14:paraId="2D830E99" w14:textId="77777777" w:rsidR="002B58E8" w:rsidRDefault="002B58E8"/>
  <w:p w14:paraId="17D3CF56" w14:textId="77777777" w:rsidR="002B58E8" w:rsidRDefault="002B58E8"/>
  <w:p w14:paraId="33C5E238" w14:textId="77777777" w:rsidR="002B58E8" w:rsidRDefault="002B58E8"/>
  <w:p w14:paraId="49845F3A" w14:textId="77777777" w:rsidR="002B58E8" w:rsidRDefault="002B58E8"/>
  <w:p w14:paraId="76460896" w14:textId="77777777" w:rsidR="002B58E8" w:rsidRDefault="002B58E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F77D" w14:textId="77777777" w:rsidR="002B58E8" w:rsidRPr="00290C63" w:rsidRDefault="002B58E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14:paraId="49021D73" w14:textId="77777777" w:rsidR="002B58E8" w:rsidRDefault="002B58E8">
    <w:pPr>
      <w:pStyle w:val="Footer"/>
    </w:pPr>
  </w:p>
  <w:p w14:paraId="7130909A" w14:textId="77777777" w:rsidR="002B58E8" w:rsidRDefault="002B58E8"/>
  <w:p w14:paraId="6F2868B7" w14:textId="77777777" w:rsidR="002B58E8" w:rsidRDefault="002B58E8"/>
  <w:p w14:paraId="7C462F96" w14:textId="77777777" w:rsidR="002B58E8" w:rsidRDefault="002B58E8"/>
  <w:p w14:paraId="2B9C781E" w14:textId="77777777" w:rsidR="002B58E8" w:rsidRDefault="002B58E8"/>
  <w:p w14:paraId="2CB8DCA8" w14:textId="77777777" w:rsidR="002B58E8" w:rsidRDefault="002B58E8"/>
  <w:p w14:paraId="4AF5F6FE" w14:textId="77777777" w:rsidR="002B58E8" w:rsidRDefault="002B58E8"/>
  <w:p w14:paraId="59113F92" w14:textId="77777777" w:rsidR="002B58E8" w:rsidRDefault="002B58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C0B55" w14:textId="77777777" w:rsidR="00F2621C" w:rsidRPr="00290C63" w:rsidRDefault="00F2621C" w:rsidP="00290C63">
      <w:r>
        <w:separator/>
      </w:r>
    </w:p>
    <w:p w14:paraId="65AB6E27" w14:textId="77777777" w:rsidR="00F2621C" w:rsidRDefault="00F2621C"/>
  </w:footnote>
  <w:footnote w:type="continuationSeparator" w:id="0">
    <w:p w14:paraId="32238C13" w14:textId="77777777" w:rsidR="00F2621C" w:rsidRPr="00290C63" w:rsidRDefault="00F2621C" w:rsidP="00290C63">
      <w:r>
        <w:continuationSeparator/>
      </w:r>
    </w:p>
    <w:p w14:paraId="18C17D36" w14:textId="77777777" w:rsidR="00F2621C" w:rsidRDefault="00F2621C"/>
  </w:footnote>
  <w:footnote w:id="1">
    <w:p w14:paraId="6CA546DF" w14:textId="0ABF5CE0" w:rsidR="008C6A19" w:rsidRDefault="008C6A19">
      <w:pPr>
        <w:pStyle w:val="FootnoteText"/>
      </w:pPr>
      <w:r>
        <w:rPr>
          <w:rStyle w:val="FootnoteReference"/>
        </w:rPr>
        <w:footnoteRef/>
      </w:r>
      <w:r>
        <w:t xml:space="preserve"> </w:t>
      </w:r>
      <w:r>
        <w:tab/>
        <w:t xml:space="preserve">AEMC, </w:t>
      </w:r>
      <w:r w:rsidRPr="000E0098">
        <w:rPr>
          <w:rStyle w:val="AERtextitalic"/>
        </w:rPr>
        <w:t>Rule determination</w:t>
      </w:r>
      <w:r>
        <w:rPr>
          <w:rStyle w:val="AERtextitalic"/>
        </w:rPr>
        <w:t>:</w:t>
      </w:r>
      <w:r w:rsidRPr="000E0098">
        <w:rPr>
          <w:rStyle w:val="AERtextitalic"/>
        </w:rPr>
        <w:t xml:space="preserve"> Efficient management of system strength</w:t>
      </w:r>
      <w:r>
        <w:t>, 21 October 2021.</w:t>
      </w:r>
    </w:p>
  </w:footnote>
  <w:footnote w:id="2">
    <w:p w14:paraId="5EBBABAD" w14:textId="6DF14394" w:rsidR="00DE2F53" w:rsidRDefault="00DE2F53">
      <w:pPr>
        <w:pStyle w:val="FootnoteText"/>
      </w:pPr>
      <w:r>
        <w:rPr>
          <w:rStyle w:val="FootnoteReference"/>
        </w:rPr>
        <w:footnoteRef/>
      </w:r>
      <w:r>
        <w:t xml:space="preserve"> </w:t>
      </w:r>
      <w:r>
        <w:tab/>
      </w:r>
      <w:r w:rsidRPr="00DE2F53">
        <w:t>Historically, fault level (measured in MVA) has been used as the proxy unit of measurement for system strength.</w:t>
      </w:r>
    </w:p>
  </w:footnote>
  <w:footnote w:id="3">
    <w:p w14:paraId="29C0BA4F" w14:textId="77777777" w:rsidR="00991FF2" w:rsidRDefault="00991FF2" w:rsidP="00991FF2">
      <w:pPr>
        <w:pStyle w:val="FootnoteText"/>
      </w:pPr>
      <w:r>
        <w:rPr>
          <w:rStyle w:val="FootnoteReference"/>
        </w:rPr>
        <w:footnoteRef/>
      </w:r>
      <w:r>
        <w:t xml:space="preserve"> </w:t>
      </w:r>
      <w:r>
        <w:tab/>
      </w:r>
      <w:r w:rsidRPr="005156B8">
        <w:t xml:space="preserve">AEMO, </w:t>
      </w:r>
      <w:r w:rsidRPr="00737619">
        <w:rPr>
          <w:i/>
          <w:iCs/>
        </w:rPr>
        <w:t>Renewable integration study — stage 1 report</w:t>
      </w:r>
      <w:r w:rsidRPr="005156B8">
        <w:t>, April 2020, p.</w:t>
      </w:r>
      <w:r>
        <w:t> </w:t>
      </w:r>
      <w:r w:rsidRPr="005156B8">
        <w:t>50</w:t>
      </w:r>
      <w:r>
        <w:t>.</w:t>
      </w:r>
    </w:p>
  </w:footnote>
  <w:footnote w:id="4">
    <w:p w14:paraId="61B837E6" w14:textId="77777777" w:rsidR="00991FF2" w:rsidRDefault="00991FF2" w:rsidP="00991FF2">
      <w:pPr>
        <w:pStyle w:val="FootnoteText"/>
      </w:pPr>
      <w:r>
        <w:rPr>
          <w:rStyle w:val="FootnoteReference"/>
        </w:rPr>
        <w:footnoteRef/>
      </w:r>
      <w:r>
        <w:t xml:space="preserve"> </w:t>
      </w:r>
      <w:r>
        <w:tab/>
      </w:r>
      <w:r w:rsidRPr="009C45F1">
        <w:t xml:space="preserve">Synchronous generators like coal, gas and hydroelectric generators </w:t>
      </w:r>
      <w:r>
        <w:t xml:space="preserve">are electro-mechanically coupled to the power system which provide system services like inertia, reactive power, system strength and </w:t>
      </w:r>
      <w:r w:rsidRPr="009C45F1">
        <w:t>voltage wave form as a by</w:t>
      </w:r>
      <w:r>
        <w:noBreakHyphen/>
      </w:r>
      <w:r w:rsidRPr="009C45F1">
        <w:t>product of their power production.</w:t>
      </w:r>
    </w:p>
  </w:footnote>
  <w:footnote w:id="5">
    <w:p w14:paraId="73454C2B" w14:textId="77777777" w:rsidR="00991FF2" w:rsidRDefault="00991FF2" w:rsidP="00991FF2">
      <w:pPr>
        <w:pStyle w:val="FootnoteText"/>
      </w:pPr>
      <w:r>
        <w:rPr>
          <w:rStyle w:val="FootnoteReference"/>
        </w:rPr>
        <w:footnoteRef/>
      </w:r>
      <w:r>
        <w:t xml:space="preserve"> </w:t>
      </w:r>
      <w:r>
        <w:tab/>
        <w:t>Inverter-based generators like many wind generators and solar PV are connected to the power system through power electronics.</w:t>
      </w:r>
      <w:r w:rsidRPr="003D32FE">
        <w:t xml:space="preserve"> </w:t>
      </w:r>
      <w:r>
        <w:t>These non-synchronous generators can provide some system services like synchronous generators, however not automatically as a by-product of their energy generation.</w:t>
      </w:r>
    </w:p>
  </w:footnote>
  <w:footnote w:id="6">
    <w:p w14:paraId="365724F8" w14:textId="12903407" w:rsidR="002C495D" w:rsidRDefault="002C495D" w:rsidP="002C495D">
      <w:pPr>
        <w:pStyle w:val="FootnoteText"/>
      </w:pPr>
      <w:r>
        <w:rPr>
          <w:rStyle w:val="FootnoteReference"/>
        </w:rPr>
        <w:footnoteRef/>
      </w:r>
      <w:r>
        <w:t xml:space="preserve"> </w:t>
      </w:r>
      <w:r>
        <w:tab/>
        <w:t>Tra</w:t>
      </w:r>
      <w:r w:rsidR="00D71B84">
        <w:t>n</w:t>
      </w:r>
      <w:r>
        <w:t xml:space="preserve">sGrid, </w:t>
      </w:r>
      <w:r w:rsidRPr="003F77C0">
        <w:rPr>
          <w:i/>
          <w:iCs/>
        </w:rPr>
        <w:t>National Electricity Rules change proposal: Efficient management of system strength of the power system</w:t>
      </w:r>
      <w:r>
        <w:t>, 27 April 2020.</w:t>
      </w:r>
    </w:p>
  </w:footnote>
  <w:footnote w:id="7">
    <w:p w14:paraId="483217B5" w14:textId="77777777" w:rsidR="002C495D" w:rsidRDefault="002C495D" w:rsidP="002C495D">
      <w:pPr>
        <w:pStyle w:val="FootnoteText"/>
      </w:pPr>
      <w:r>
        <w:rPr>
          <w:rStyle w:val="FootnoteReference"/>
        </w:rPr>
        <w:footnoteRef/>
      </w:r>
      <w:r>
        <w:t xml:space="preserve"> </w:t>
      </w:r>
      <w:r>
        <w:tab/>
        <w:t xml:space="preserve">AEMC, </w:t>
      </w:r>
      <w:r w:rsidRPr="000E0098">
        <w:rPr>
          <w:rStyle w:val="AERtextitalic"/>
        </w:rPr>
        <w:t>Rule determination</w:t>
      </w:r>
      <w:r>
        <w:rPr>
          <w:rStyle w:val="AERtextitalic"/>
        </w:rPr>
        <w:t>:</w:t>
      </w:r>
      <w:r w:rsidRPr="000E0098">
        <w:rPr>
          <w:rStyle w:val="AERtextitalic"/>
        </w:rPr>
        <w:t xml:space="preserve"> Efficient management of system strength</w:t>
      </w:r>
      <w:r>
        <w:t>, 21 October 2021.</w:t>
      </w:r>
    </w:p>
  </w:footnote>
  <w:footnote w:id="8">
    <w:p w14:paraId="25F2C0D8" w14:textId="52F4B9C6" w:rsidR="001E6E88" w:rsidRDefault="001E6E88" w:rsidP="001E6E88">
      <w:pPr>
        <w:pStyle w:val="FootnoteText"/>
      </w:pPr>
      <w:r>
        <w:rPr>
          <w:rStyle w:val="FootnoteReference"/>
        </w:rPr>
        <w:footnoteRef/>
      </w:r>
      <w:r>
        <w:t xml:space="preserve"> </w:t>
      </w:r>
      <w:r>
        <w:tab/>
        <w:t>Note, NER cl. 11.143.5 requires each ‘applicable TNSP’ and AEMO to submit a proposed amended pricing methodology by this date. The applicable TNSPs are defined as Aus</w:t>
      </w:r>
      <w:r w:rsidR="00D71B84">
        <w:t>g</w:t>
      </w:r>
      <w:r>
        <w:t xml:space="preserve">rid, AusNet Services, ElectraNet, Powerlink, TasNetworks and TransGrid.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F012" w14:textId="77777777" w:rsidR="002B58E8" w:rsidRDefault="002B58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258D" w14:textId="77777777" w:rsidR="002B58E8" w:rsidRDefault="002B58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1FA7" w14:textId="77777777" w:rsidR="002B58E8" w:rsidRDefault="002B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15:restartNumberingAfterBreak="0">
    <w:nsid w:val="FFFFFF7F"/>
    <w:multiLevelType w:val="singleLevel"/>
    <w:tmpl w:val="C9043968"/>
    <w:lvl w:ilvl="0">
      <w:start w:val="1"/>
      <w:numFmt w:val="decimal"/>
      <w:pStyle w:val="ListNumber2"/>
      <w:lvlText w:val="%1."/>
      <w:lvlJc w:val="left"/>
      <w:pPr>
        <w:ind w:left="700" w:hanging="360"/>
      </w:p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15:restartNumberingAfterBreak="0">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15:restartNumberingAfterBreak="0">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15:restartNumberingAfterBreak="0">
    <w:nsid w:val="0BCC3E56"/>
    <w:multiLevelType w:val="hybridMultilevel"/>
    <w:tmpl w:val="921CE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15:restartNumberingAfterBreak="0">
    <w:nsid w:val="0D0A5C56"/>
    <w:multiLevelType w:val="hybridMultilevel"/>
    <w:tmpl w:val="1ABC0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15:restartNumberingAfterBreak="0">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15:restartNumberingAfterBreak="0">
    <w:nsid w:val="1EA01406"/>
    <w:multiLevelType w:val="hybridMultilevel"/>
    <w:tmpl w:val="B3B48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15:restartNumberingAfterBreak="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642B61"/>
    <w:multiLevelType w:val="hybridMultilevel"/>
    <w:tmpl w:val="D4ECD8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A34E79"/>
    <w:multiLevelType w:val="hybridMultilevel"/>
    <w:tmpl w:val="76AE5B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486E27"/>
    <w:multiLevelType w:val="hybridMultilevel"/>
    <w:tmpl w:val="191CA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91629E"/>
    <w:multiLevelType w:val="hybridMultilevel"/>
    <w:tmpl w:val="439877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15:restartNumberingAfterBreak="0">
    <w:nsid w:val="4CA93269"/>
    <w:multiLevelType w:val="hybridMultilevel"/>
    <w:tmpl w:val="6900A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AA23BD"/>
    <w:multiLevelType w:val="multilevel"/>
    <w:tmpl w:val="7542C8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15:restartNumberingAfterBreak="0">
    <w:nsid w:val="5B1508E0"/>
    <w:multiLevelType w:val="hybridMultilevel"/>
    <w:tmpl w:val="6A187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CE4384"/>
    <w:multiLevelType w:val="multilevel"/>
    <w:tmpl w:val="FB628E2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429"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23968C5"/>
    <w:multiLevelType w:val="hybridMultilevel"/>
    <w:tmpl w:val="1AFEE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726588A"/>
    <w:multiLevelType w:val="hybridMultilevel"/>
    <w:tmpl w:val="5ECE9728"/>
    <w:lvl w:ilvl="0" w:tplc="0C09000F">
      <w:start w:val="1"/>
      <w:numFmt w:val="decimal"/>
      <w:lvlText w:val="%1."/>
      <w:lvlJc w:val="left"/>
      <w:pPr>
        <w:ind w:left="1081" w:hanging="360"/>
      </w:pPr>
      <w:rPr>
        <w:rFonts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6" w15:restartNumberingAfterBreak="0">
    <w:nsid w:val="6E21343F"/>
    <w:multiLevelType w:val="hybridMultilevel"/>
    <w:tmpl w:val="056C5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EE21A4"/>
    <w:multiLevelType w:val="hybridMultilevel"/>
    <w:tmpl w:val="946A1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775041"/>
    <w:multiLevelType w:val="hybridMultilevel"/>
    <w:tmpl w:val="3E34B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AA54C4"/>
    <w:multiLevelType w:val="hybridMultilevel"/>
    <w:tmpl w:val="3B5E06D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2819EC"/>
    <w:multiLevelType w:val="multilevel"/>
    <w:tmpl w:val="77208F1C"/>
    <w:lvl w:ilvl="0">
      <w:start w:val="1"/>
      <w:numFmt w:val="bullet"/>
      <w:pStyle w:val="AERbulletlistfirststyle"/>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5"/>
  </w:num>
  <w:num w:numId="13">
    <w:abstractNumId w:val="20"/>
  </w:num>
  <w:num w:numId="14">
    <w:abstractNumId w:val="12"/>
  </w:num>
  <w:num w:numId="15">
    <w:abstractNumId w:val="14"/>
  </w:num>
  <w:num w:numId="16">
    <w:abstractNumId w:val="23"/>
  </w:num>
  <w:num w:numId="17">
    <w:abstractNumId w:val="10"/>
  </w:num>
  <w:num w:numId="18">
    <w:abstractNumId w:val="17"/>
  </w:num>
  <w:num w:numId="19">
    <w:abstractNumId w:val="24"/>
  </w:num>
  <w:num w:numId="20">
    <w:abstractNumId w:val="38"/>
  </w:num>
  <w:num w:numId="21">
    <w:abstractNumId w:val="31"/>
  </w:num>
  <w:num w:numId="22">
    <w:abstractNumId w:val="27"/>
  </w:num>
  <w:num w:numId="23">
    <w:abstractNumId w:val="18"/>
  </w:num>
  <w:num w:numId="24">
    <w:abstractNumId w:val="30"/>
  </w:num>
  <w:num w:numId="25">
    <w:abstractNumId w:val="33"/>
  </w:num>
  <w:num w:numId="26">
    <w:abstractNumId w:val="19"/>
  </w:num>
  <w:num w:numId="27">
    <w:abstractNumId w:val="16"/>
  </w:num>
  <w:num w:numId="28">
    <w:abstractNumId w:val="22"/>
  </w:num>
  <w:num w:numId="29">
    <w:abstractNumId w:val="29"/>
  </w:num>
  <w:num w:numId="30">
    <w:abstractNumId w:val="36"/>
  </w:num>
  <w:num w:numId="31">
    <w:abstractNumId w:val="28"/>
  </w:num>
  <w:num w:numId="32">
    <w:abstractNumId w:val="34"/>
  </w:num>
  <w:num w:numId="33">
    <w:abstractNumId w:val="26"/>
  </w:num>
  <w:num w:numId="34">
    <w:abstractNumId w:val="21"/>
  </w:num>
  <w:num w:numId="35">
    <w:abstractNumId w:val="32"/>
  </w:num>
  <w:num w:numId="36">
    <w:abstractNumId w:val="9"/>
  </w:num>
  <w:num w:numId="37">
    <w:abstractNumId w:val="40"/>
  </w:num>
  <w:num w:numId="38">
    <w:abstractNumId w:val="37"/>
  </w:num>
  <w:num w:numId="39">
    <w:abstractNumId w:val="11"/>
  </w:num>
  <w:num w:numId="40">
    <w:abstractNumId w:val="15"/>
  </w:num>
  <w:num w:numId="41">
    <w:abstractNumId w:val="39"/>
  </w:num>
  <w:num w:numId="42">
    <w:abstractNumId w:val="12"/>
  </w:num>
  <w:num w:numId="43">
    <w:abstractNumId w:val="12"/>
  </w:num>
  <w:num w:numId="44">
    <w:abstractNumId w:val="12"/>
  </w:num>
  <w:num w:numId="45">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name" w:val="H:\trimdata\TRIM\TEMP\HPTRIM.10024\D16 9531  AER - Draft decision ElectraNet transmission determination - Overview.DOCX"/>
  </w:docVars>
  <w:rsids>
    <w:rsidRoot w:val="00961A4A"/>
    <w:rsid w:val="000022FA"/>
    <w:rsid w:val="00004734"/>
    <w:rsid w:val="000051DC"/>
    <w:rsid w:val="0000641A"/>
    <w:rsid w:val="0000658F"/>
    <w:rsid w:val="000076E2"/>
    <w:rsid w:val="00007F59"/>
    <w:rsid w:val="0001432B"/>
    <w:rsid w:val="00014B93"/>
    <w:rsid w:val="00014C21"/>
    <w:rsid w:val="0001507B"/>
    <w:rsid w:val="00015342"/>
    <w:rsid w:val="00016C1D"/>
    <w:rsid w:val="000177DF"/>
    <w:rsid w:val="00020016"/>
    <w:rsid w:val="00021202"/>
    <w:rsid w:val="00021640"/>
    <w:rsid w:val="00021C2B"/>
    <w:rsid w:val="0002269B"/>
    <w:rsid w:val="00023855"/>
    <w:rsid w:val="0002498B"/>
    <w:rsid w:val="00024D67"/>
    <w:rsid w:val="0002517F"/>
    <w:rsid w:val="000259DF"/>
    <w:rsid w:val="00026187"/>
    <w:rsid w:val="000266FC"/>
    <w:rsid w:val="000273B3"/>
    <w:rsid w:val="00027E2D"/>
    <w:rsid w:val="0003012C"/>
    <w:rsid w:val="00030EA3"/>
    <w:rsid w:val="00033472"/>
    <w:rsid w:val="000352F6"/>
    <w:rsid w:val="0003578C"/>
    <w:rsid w:val="000362E2"/>
    <w:rsid w:val="0003635D"/>
    <w:rsid w:val="00036DC6"/>
    <w:rsid w:val="00037470"/>
    <w:rsid w:val="00042201"/>
    <w:rsid w:val="00042C91"/>
    <w:rsid w:val="00043F8C"/>
    <w:rsid w:val="000448FA"/>
    <w:rsid w:val="00044DA3"/>
    <w:rsid w:val="0004528C"/>
    <w:rsid w:val="00046450"/>
    <w:rsid w:val="000468D1"/>
    <w:rsid w:val="000474DF"/>
    <w:rsid w:val="000507DF"/>
    <w:rsid w:val="000516F1"/>
    <w:rsid w:val="00053C33"/>
    <w:rsid w:val="00054FD9"/>
    <w:rsid w:val="00055A67"/>
    <w:rsid w:val="0005627E"/>
    <w:rsid w:val="000564A7"/>
    <w:rsid w:val="00057B9D"/>
    <w:rsid w:val="000626D3"/>
    <w:rsid w:val="00063247"/>
    <w:rsid w:val="00063EB0"/>
    <w:rsid w:val="00064C57"/>
    <w:rsid w:val="0006624E"/>
    <w:rsid w:val="00066737"/>
    <w:rsid w:val="00067F25"/>
    <w:rsid w:val="00067FBF"/>
    <w:rsid w:val="00070F9F"/>
    <w:rsid w:val="0007137B"/>
    <w:rsid w:val="000733F3"/>
    <w:rsid w:val="00073B74"/>
    <w:rsid w:val="00073CBC"/>
    <w:rsid w:val="00073E5D"/>
    <w:rsid w:val="00075ED3"/>
    <w:rsid w:val="00076416"/>
    <w:rsid w:val="00076DFC"/>
    <w:rsid w:val="000805A8"/>
    <w:rsid w:val="0008190B"/>
    <w:rsid w:val="00081C38"/>
    <w:rsid w:val="00081D42"/>
    <w:rsid w:val="0008218D"/>
    <w:rsid w:val="00083011"/>
    <w:rsid w:val="000836D9"/>
    <w:rsid w:val="00084649"/>
    <w:rsid w:val="000853BC"/>
    <w:rsid w:val="00085663"/>
    <w:rsid w:val="00085EBF"/>
    <w:rsid w:val="0008606A"/>
    <w:rsid w:val="00091B15"/>
    <w:rsid w:val="000920D8"/>
    <w:rsid w:val="0009483D"/>
    <w:rsid w:val="00095186"/>
    <w:rsid w:val="000A0252"/>
    <w:rsid w:val="000A0E71"/>
    <w:rsid w:val="000A16EC"/>
    <w:rsid w:val="000A1C0C"/>
    <w:rsid w:val="000A2416"/>
    <w:rsid w:val="000A269B"/>
    <w:rsid w:val="000A3020"/>
    <w:rsid w:val="000A3D9B"/>
    <w:rsid w:val="000A4840"/>
    <w:rsid w:val="000A5372"/>
    <w:rsid w:val="000A58E4"/>
    <w:rsid w:val="000A5C73"/>
    <w:rsid w:val="000A5DAB"/>
    <w:rsid w:val="000A62C1"/>
    <w:rsid w:val="000A6A79"/>
    <w:rsid w:val="000A6C7B"/>
    <w:rsid w:val="000A7F5D"/>
    <w:rsid w:val="000B0A7B"/>
    <w:rsid w:val="000B10C3"/>
    <w:rsid w:val="000B1173"/>
    <w:rsid w:val="000B146C"/>
    <w:rsid w:val="000B23C3"/>
    <w:rsid w:val="000B4F06"/>
    <w:rsid w:val="000B5827"/>
    <w:rsid w:val="000B5FEA"/>
    <w:rsid w:val="000B7037"/>
    <w:rsid w:val="000C02D1"/>
    <w:rsid w:val="000C0A3A"/>
    <w:rsid w:val="000C0C63"/>
    <w:rsid w:val="000C2248"/>
    <w:rsid w:val="000C2B40"/>
    <w:rsid w:val="000C2DCB"/>
    <w:rsid w:val="000C5255"/>
    <w:rsid w:val="000D07A7"/>
    <w:rsid w:val="000D122C"/>
    <w:rsid w:val="000D187C"/>
    <w:rsid w:val="000D3DEE"/>
    <w:rsid w:val="000D5574"/>
    <w:rsid w:val="000D5AA1"/>
    <w:rsid w:val="000D75B0"/>
    <w:rsid w:val="000E050B"/>
    <w:rsid w:val="000E1819"/>
    <w:rsid w:val="000E46F5"/>
    <w:rsid w:val="000E4821"/>
    <w:rsid w:val="000E4AA9"/>
    <w:rsid w:val="000E513E"/>
    <w:rsid w:val="000E559A"/>
    <w:rsid w:val="000E55C3"/>
    <w:rsid w:val="000E5698"/>
    <w:rsid w:val="000E65B3"/>
    <w:rsid w:val="000E6C72"/>
    <w:rsid w:val="000E707F"/>
    <w:rsid w:val="000E7F39"/>
    <w:rsid w:val="000F0F30"/>
    <w:rsid w:val="000F1EB2"/>
    <w:rsid w:val="000F3D7B"/>
    <w:rsid w:val="000F6B75"/>
    <w:rsid w:val="000F7F80"/>
    <w:rsid w:val="001008DD"/>
    <w:rsid w:val="00100EA2"/>
    <w:rsid w:val="00101AA1"/>
    <w:rsid w:val="00101D0E"/>
    <w:rsid w:val="00101DF5"/>
    <w:rsid w:val="00102338"/>
    <w:rsid w:val="00102A86"/>
    <w:rsid w:val="00102D38"/>
    <w:rsid w:val="00103486"/>
    <w:rsid w:val="00104566"/>
    <w:rsid w:val="00104FF6"/>
    <w:rsid w:val="001073EA"/>
    <w:rsid w:val="001107B0"/>
    <w:rsid w:val="001114AA"/>
    <w:rsid w:val="001134A3"/>
    <w:rsid w:val="001142D6"/>
    <w:rsid w:val="00115743"/>
    <w:rsid w:val="00116EB2"/>
    <w:rsid w:val="00117505"/>
    <w:rsid w:val="0011764C"/>
    <w:rsid w:val="00120225"/>
    <w:rsid w:val="0012132C"/>
    <w:rsid w:val="001217FF"/>
    <w:rsid w:val="00123706"/>
    <w:rsid w:val="00124609"/>
    <w:rsid w:val="00125AC4"/>
    <w:rsid w:val="00126A4C"/>
    <w:rsid w:val="00126EF1"/>
    <w:rsid w:val="001270E3"/>
    <w:rsid w:val="00127212"/>
    <w:rsid w:val="0012724F"/>
    <w:rsid w:val="0012775C"/>
    <w:rsid w:val="00131067"/>
    <w:rsid w:val="001315B0"/>
    <w:rsid w:val="00131B3A"/>
    <w:rsid w:val="00132428"/>
    <w:rsid w:val="00132D43"/>
    <w:rsid w:val="0013330B"/>
    <w:rsid w:val="00133366"/>
    <w:rsid w:val="00133F47"/>
    <w:rsid w:val="00134029"/>
    <w:rsid w:val="00135030"/>
    <w:rsid w:val="0013535B"/>
    <w:rsid w:val="001375DA"/>
    <w:rsid w:val="00140D37"/>
    <w:rsid w:val="00141481"/>
    <w:rsid w:val="00142165"/>
    <w:rsid w:val="001423E4"/>
    <w:rsid w:val="00142C2D"/>
    <w:rsid w:val="00144B86"/>
    <w:rsid w:val="00144C7B"/>
    <w:rsid w:val="00144C96"/>
    <w:rsid w:val="00144F84"/>
    <w:rsid w:val="0014541F"/>
    <w:rsid w:val="0014573B"/>
    <w:rsid w:val="001459D2"/>
    <w:rsid w:val="001463A3"/>
    <w:rsid w:val="00147F9D"/>
    <w:rsid w:val="0015073A"/>
    <w:rsid w:val="001513A9"/>
    <w:rsid w:val="00151564"/>
    <w:rsid w:val="00156850"/>
    <w:rsid w:val="00156CF0"/>
    <w:rsid w:val="0015705C"/>
    <w:rsid w:val="001573E4"/>
    <w:rsid w:val="001602C9"/>
    <w:rsid w:val="00160756"/>
    <w:rsid w:val="00160BA0"/>
    <w:rsid w:val="00161DC8"/>
    <w:rsid w:val="0016289D"/>
    <w:rsid w:val="00162CFE"/>
    <w:rsid w:val="00163545"/>
    <w:rsid w:val="0016485E"/>
    <w:rsid w:val="00164E12"/>
    <w:rsid w:val="00164F11"/>
    <w:rsid w:val="00166475"/>
    <w:rsid w:val="00166760"/>
    <w:rsid w:val="00166C84"/>
    <w:rsid w:val="0017232E"/>
    <w:rsid w:val="00174102"/>
    <w:rsid w:val="001754EE"/>
    <w:rsid w:val="001767F9"/>
    <w:rsid w:val="00176846"/>
    <w:rsid w:val="00177881"/>
    <w:rsid w:val="0017792D"/>
    <w:rsid w:val="00180157"/>
    <w:rsid w:val="001809BC"/>
    <w:rsid w:val="00180E97"/>
    <w:rsid w:val="001820B4"/>
    <w:rsid w:val="00184351"/>
    <w:rsid w:val="0018439E"/>
    <w:rsid w:val="00184AC8"/>
    <w:rsid w:val="00184F6D"/>
    <w:rsid w:val="00185BA5"/>
    <w:rsid w:val="00185CB9"/>
    <w:rsid w:val="00185D59"/>
    <w:rsid w:val="00185DBE"/>
    <w:rsid w:val="00186ADC"/>
    <w:rsid w:val="00186F77"/>
    <w:rsid w:val="001874DD"/>
    <w:rsid w:val="001877A4"/>
    <w:rsid w:val="00187925"/>
    <w:rsid w:val="00190991"/>
    <w:rsid w:val="001912A1"/>
    <w:rsid w:val="001926A4"/>
    <w:rsid w:val="00192AD5"/>
    <w:rsid w:val="0019369F"/>
    <w:rsid w:val="00194597"/>
    <w:rsid w:val="00194E00"/>
    <w:rsid w:val="00196ABE"/>
    <w:rsid w:val="0019745E"/>
    <w:rsid w:val="00197B16"/>
    <w:rsid w:val="001A3FCB"/>
    <w:rsid w:val="001A4648"/>
    <w:rsid w:val="001A530D"/>
    <w:rsid w:val="001A5FB3"/>
    <w:rsid w:val="001A7155"/>
    <w:rsid w:val="001B2FA6"/>
    <w:rsid w:val="001B45A0"/>
    <w:rsid w:val="001B4A8B"/>
    <w:rsid w:val="001B5BA1"/>
    <w:rsid w:val="001B67C9"/>
    <w:rsid w:val="001B680E"/>
    <w:rsid w:val="001B72AC"/>
    <w:rsid w:val="001C05F1"/>
    <w:rsid w:val="001C28CC"/>
    <w:rsid w:val="001C3616"/>
    <w:rsid w:val="001C6D0B"/>
    <w:rsid w:val="001D0309"/>
    <w:rsid w:val="001D055E"/>
    <w:rsid w:val="001D2063"/>
    <w:rsid w:val="001D3468"/>
    <w:rsid w:val="001D4D71"/>
    <w:rsid w:val="001D54CF"/>
    <w:rsid w:val="001D585D"/>
    <w:rsid w:val="001D666A"/>
    <w:rsid w:val="001D7F89"/>
    <w:rsid w:val="001E07DC"/>
    <w:rsid w:val="001E0F0E"/>
    <w:rsid w:val="001E133C"/>
    <w:rsid w:val="001E192A"/>
    <w:rsid w:val="001E1B3F"/>
    <w:rsid w:val="001E1B60"/>
    <w:rsid w:val="001E2366"/>
    <w:rsid w:val="001E51DC"/>
    <w:rsid w:val="001E5FC1"/>
    <w:rsid w:val="001E6146"/>
    <w:rsid w:val="001E6E88"/>
    <w:rsid w:val="001E7161"/>
    <w:rsid w:val="001E784C"/>
    <w:rsid w:val="001F04C9"/>
    <w:rsid w:val="001F05A4"/>
    <w:rsid w:val="001F0DD2"/>
    <w:rsid w:val="001F0E59"/>
    <w:rsid w:val="001F3D4A"/>
    <w:rsid w:val="001F492E"/>
    <w:rsid w:val="001F4C4D"/>
    <w:rsid w:val="001F4E4D"/>
    <w:rsid w:val="001F5863"/>
    <w:rsid w:val="001F64EF"/>
    <w:rsid w:val="001F6DA3"/>
    <w:rsid w:val="002010BC"/>
    <w:rsid w:val="002014B9"/>
    <w:rsid w:val="002016E7"/>
    <w:rsid w:val="00202E03"/>
    <w:rsid w:val="002033B9"/>
    <w:rsid w:val="002043D0"/>
    <w:rsid w:val="0020492C"/>
    <w:rsid w:val="002049B0"/>
    <w:rsid w:val="00204EC9"/>
    <w:rsid w:val="00205341"/>
    <w:rsid w:val="00206505"/>
    <w:rsid w:val="00206F88"/>
    <w:rsid w:val="0020743F"/>
    <w:rsid w:val="00207B7F"/>
    <w:rsid w:val="00210300"/>
    <w:rsid w:val="00214BE8"/>
    <w:rsid w:val="00214C10"/>
    <w:rsid w:val="00216ACC"/>
    <w:rsid w:val="00216C93"/>
    <w:rsid w:val="00220437"/>
    <w:rsid w:val="00221647"/>
    <w:rsid w:val="002226E6"/>
    <w:rsid w:val="002228C8"/>
    <w:rsid w:val="00223051"/>
    <w:rsid w:val="002247C1"/>
    <w:rsid w:val="00224DB9"/>
    <w:rsid w:val="002250A5"/>
    <w:rsid w:val="0022569A"/>
    <w:rsid w:val="00226F4E"/>
    <w:rsid w:val="0023005C"/>
    <w:rsid w:val="0023098C"/>
    <w:rsid w:val="00231012"/>
    <w:rsid w:val="00233775"/>
    <w:rsid w:val="0023414B"/>
    <w:rsid w:val="002345C1"/>
    <w:rsid w:val="00234AF2"/>
    <w:rsid w:val="002354E1"/>
    <w:rsid w:val="0023658E"/>
    <w:rsid w:val="002370B2"/>
    <w:rsid w:val="00240601"/>
    <w:rsid w:val="002408D6"/>
    <w:rsid w:val="00240919"/>
    <w:rsid w:val="00243635"/>
    <w:rsid w:val="002440FB"/>
    <w:rsid w:val="0024676D"/>
    <w:rsid w:val="002469C3"/>
    <w:rsid w:val="00246FFE"/>
    <w:rsid w:val="00247079"/>
    <w:rsid w:val="00247B68"/>
    <w:rsid w:val="00247C51"/>
    <w:rsid w:val="00250002"/>
    <w:rsid w:val="00250D7F"/>
    <w:rsid w:val="00251745"/>
    <w:rsid w:val="00251F59"/>
    <w:rsid w:val="00254043"/>
    <w:rsid w:val="0025473B"/>
    <w:rsid w:val="00254763"/>
    <w:rsid w:val="002552BA"/>
    <w:rsid w:val="002560FE"/>
    <w:rsid w:val="00260016"/>
    <w:rsid w:val="0026231C"/>
    <w:rsid w:val="00263AC0"/>
    <w:rsid w:val="00264264"/>
    <w:rsid w:val="0026532C"/>
    <w:rsid w:val="00265625"/>
    <w:rsid w:val="00265D16"/>
    <w:rsid w:val="00265FFA"/>
    <w:rsid w:val="0026689B"/>
    <w:rsid w:val="0026772D"/>
    <w:rsid w:val="002728F1"/>
    <w:rsid w:val="002730B2"/>
    <w:rsid w:val="00273DDB"/>
    <w:rsid w:val="00274AB8"/>
    <w:rsid w:val="00274C7E"/>
    <w:rsid w:val="0027537A"/>
    <w:rsid w:val="002762B2"/>
    <w:rsid w:val="00276548"/>
    <w:rsid w:val="00276FEE"/>
    <w:rsid w:val="002770F3"/>
    <w:rsid w:val="002777CF"/>
    <w:rsid w:val="002802BF"/>
    <w:rsid w:val="002810F2"/>
    <w:rsid w:val="002815EC"/>
    <w:rsid w:val="00282D9F"/>
    <w:rsid w:val="00283456"/>
    <w:rsid w:val="00283C42"/>
    <w:rsid w:val="002863A0"/>
    <w:rsid w:val="00286874"/>
    <w:rsid w:val="002879CC"/>
    <w:rsid w:val="00290533"/>
    <w:rsid w:val="00290C63"/>
    <w:rsid w:val="00291752"/>
    <w:rsid w:val="00291A99"/>
    <w:rsid w:val="00292422"/>
    <w:rsid w:val="002931A8"/>
    <w:rsid w:val="00293B26"/>
    <w:rsid w:val="00293B6D"/>
    <w:rsid w:val="00294B08"/>
    <w:rsid w:val="0029518C"/>
    <w:rsid w:val="0029549F"/>
    <w:rsid w:val="00295CF5"/>
    <w:rsid w:val="002963DD"/>
    <w:rsid w:val="002967ED"/>
    <w:rsid w:val="00296B65"/>
    <w:rsid w:val="00297B5A"/>
    <w:rsid w:val="002A081D"/>
    <w:rsid w:val="002A20BA"/>
    <w:rsid w:val="002A3580"/>
    <w:rsid w:val="002A56AC"/>
    <w:rsid w:val="002A7DEF"/>
    <w:rsid w:val="002B0696"/>
    <w:rsid w:val="002B43CE"/>
    <w:rsid w:val="002B58E8"/>
    <w:rsid w:val="002B5946"/>
    <w:rsid w:val="002B61B5"/>
    <w:rsid w:val="002B672A"/>
    <w:rsid w:val="002B6A1F"/>
    <w:rsid w:val="002C0222"/>
    <w:rsid w:val="002C0D05"/>
    <w:rsid w:val="002C1499"/>
    <w:rsid w:val="002C21DC"/>
    <w:rsid w:val="002C233C"/>
    <w:rsid w:val="002C256E"/>
    <w:rsid w:val="002C2CCD"/>
    <w:rsid w:val="002C3120"/>
    <w:rsid w:val="002C377A"/>
    <w:rsid w:val="002C3B83"/>
    <w:rsid w:val="002C3D05"/>
    <w:rsid w:val="002C3DE9"/>
    <w:rsid w:val="002C495D"/>
    <w:rsid w:val="002C517B"/>
    <w:rsid w:val="002C5BBE"/>
    <w:rsid w:val="002C76F4"/>
    <w:rsid w:val="002C7DEC"/>
    <w:rsid w:val="002C7E3D"/>
    <w:rsid w:val="002D01EC"/>
    <w:rsid w:val="002D0C0A"/>
    <w:rsid w:val="002D327C"/>
    <w:rsid w:val="002D3509"/>
    <w:rsid w:val="002D5195"/>
    <w:rsid w:val="002D5457"/>
    <w:rsid w:val="002D72E8"/>
    <w:rsid w:val="002D79AD"/>
    <w:rsid w:val="002E08D5"/>
    <w:rsid w:val="002E0DA7"/>
    <w:rsid w:val="002E1821"/>
    <w:rsid w:val="002E1B24"/>
    <w:rsid w:val="002E268F"/>
    <w:rsid w:val="002E387A"/>
    <w:rsid w:val="002E436A"/>
    <w:rsid w:val="002E6065"/>
    <w:rsid w:val="002E6506"/>
    <w:rsid w:val="002E662F"/>
    <w:rsid w:val="002E78DD"/>
    <w:rsid w:val="002E7B22"/>
    <w:rsid w:val="002F11BF"/>
    <w:rsid w:val="002F12EC"/>
    <w:rsid w:val="002F1638"/>
    <w:rsid w:val="002F1CAA"/>
    <w:rsid w:val="002F48F7"/>
    <w:rsid w:val="002F57A2"/>
    <w:rsid w:val="002F6662"/>
    <w:rsid w:val="002F69CF"/>
    <w:rsid w:val="002F6BD0"/>
    <w:rsid w:val="002F7986"/>
    <w:rsid w:val="002F7B35"/>
    <w:rsid w:val="002F7D68"/>
    <w:rsid w:val="003000A5"/>
    <w:rsid w:val="003007F2"/>
    <w:rsid w:val="00301B40"/>
    <w:rsid w:val="00301C82"/>
    <w:rsid w:val="0030227F"/>
    <w:rsid w:val="003029EE"/>
    <w:rsid w:val="00302E62"/>
    <w:rsid w:val="00303EFB"/>
    <w:rsid w:val="00304D38"/>
    <w:rsid w:val="00304D79"/>
    <w:rsid w:val="00305A82"/>
    <w:rsid w:val="00305CC8"/>
    <w:rsid w:val="003077F0"/>
    <w:rsid w:val="00307814"/>
    <w:rsid w:val="00307F6D"/>
    <w:rsid w:val="00314A3E"/>
    <w:rsid w:val="00314D83"/>
    <w:rsid w:val="0031571F"/>
    <w:rsid w:val="00315FDE"/>
    <w:rsid w:val="003169E9"/>
    <w:rsid w:val="00316AC6"/>
    <w:rsid w:val="003177A2"/>
    <w:rsid w:val="003178F9"/>
    <w:rsid w:val="00317DDB"/>
    <w:rsid w:val="00317E02"/>
    <w:rsid w:val="00323286"/>
    <w:rsid w:val="00323F52"/>
    <w:rsid w:val="003271B5"/>
    <w:rsid w:val="00327A1E"/>
    <w:rsid w:val="00327A1F"/>
    <w:rsid w:val="00327E28"/>
    <w:rsid w:val="003311AF"/>
    <w:rsid w:val="00331264"/>
    <w:rsid w:val="00331CAF"/>
    <w:rsid w:val="0033247F"/>
    <w:rsid w:val="003346BD"/>
    <w:rsid w:val="00334A86"/>
    <w:rsid w:val="00334C8D"/>
    <w:rsid w:val="00335610"/>
    <w:rsid w:val="00335BAE"/>
    <w:rsid w:val="003368B1"/>
    <w:rsid w:val="00337421"/>
    <w:rsid w:val="003378BD"/>
    <w:rsid w:val="00337D4A"/>
    <w:rsid w:val="003401E1"/>
    <w:rsid w:val="003422B7"/>
    <w:rsid w:val="003424EA"/>
    <w:rsid w:val="00342C2F"/>
    <w:rsid w:val="003436EB"/>
    <w:rsid w:val="00343A18"/>
    <w:rsid w:val="00343F47"/>
    <w:rsid w:val="0034490B"/>
    <w:rsid w:val="00344E93"/>
    <w:rsid w:val="00345482"/>
    <w:rsid w:val="00345744"/>
    <w:rsid w:val="00345DAC"/>
    <w:rsid w:val="003518B3"/>
    <w:rsid w:val="00352DBB"/>
    <w:rsid w:val="00353E79"/>
    <w:rsid w:val="00360911"/>
    <w:rsid w:val="00360E13"/>
    <w:rsid w:val="00361247"/>
    <w:rsid w:val="00361A1B"/>
    <w:rsid w:val="00362BE5"/>
    <w:rsid w:val="00364EA0"/>
    <w:rsid w:val="00365071"/>
    <w:rsid w:val="00366981"/>
    <w:rsid w:val="00366F17"/>
    <w:rsid w:val="00367AF3"/>
    <w:rsid w:val="0037002C"/>
    <w:rsid w:val="00370678"/>
    <w:rsid w:val="0037214E"/>
    <w:rsid w:val="00372C85"/>
    <w:rsid w:val="00373845"/>
    <w:rsid w:val="0037413A"/>
    <w:rsid w:val="003744E3"/>
    <w:rsid w:val="00374537"/>
    <w:rsid w:val="003758FF"/>
    <w:rsid w:val="00375F71"/>
    <w:rsid w:val="00376219"/>
    <w:rsid w:val="0037663E"/>
    <w:rsid w:val="0037699E"/>
    <w:rsid w:val="00377A29"/>
    <w:rsid w:val="00377C69"/>
    <w:rsid w:val="003828F8"/>
    <w:rsid w:val="0038415D"/>
    <w:rsid w:val="0038461C"/>
    <w:rsid w:val="003846F1"/>
    <w:rsid w:val="003872D7"/>
    <w:rsid w:val="00390317"/>
    <w:rsid w:val="003905A1"/>
    <w:rsid w:val="0039061F"/>
    <w:rsid w:val="00390E6A"/>
    <w:rsid w:val="003919A9"/>
    <w:rsid w:val="0039231F"/>
    <w:rsid w:val="003923D3"/>
    <w:rsid w:val="00393343"/>
    <w:rsid w:val="00393ABE"/>
    <w:rsid w:val="0039590F"/>
    <w:rsid w:val="00395DB6"/>
    <w:rsid w:val="00397398"/>
    <w:rsid w:val="003A0C76"/>
    <w:rsid w:val="003A0D58"/>
    <w:rsid w:val="003A1BE2"/>
    <w:rsid w:val="003A2394"/>
    <w:rsid w:val="003A371A"/>
    <w:rsid w:val="003A3817"/>
    <w:rsid w:val="003A39DD"/>
    <w:rsid w:val="003A493F"/>
    <w:rsid w:val="003A4B86"/>
    <w:rsid w:val="003A4BCA"/>
    <w:rsid w:val="003A5889"/>
    <w:rsid w:val="003A58C2"/>
    <w:rsid w:val="003A59CD"/>
    <w:rsid w:val="003A5CBD"/>
    <w:rsid w:val="003A60DD"/>
    <w:rsid w:val="003A6B00"/>
    <w:rsid w:val="003A6E98"/>
    <w:rsid w:val="003A7B6E"/>
    <w:rsid w:val="003B0ACA"/>
    <w:rsid w:val="003B1C9A"/>
    <w:rsid w:val="003B1CC3"/>
    <w:rsid w:val="003B1D5A"/>
    <w:rsid w:val="003B30B2"/>
    <w:rsid w:val="003B375F"/>
    <w:rsid w:val="003B484F"/>
    <w:rsid w:val="003B504B"/>
    <w:rsid w:val="003B5179"/>
    <w:rsid w:val="003B5299"/>
    <w:rsid w:val="003B5763"/>
    <w:rsid w:val="003B685C"/>
    <w:rsid w:val="003B6F5B"/>
    <w:rsid w:val="003B7BD2"/>
    <w:rsid w:val="003B7FBA"/>
    <w:rsid w:val="003C09FC"/>
    <w:rsid w:val="003C0EF3"/>
    <w:rsid w:val="003C1597"/>
    <w:rsid w:val="003C26FF"/>
    <w:rsid w:val="003C2FAA"/>
    <w:rsid w:val="003C313F"/>
    <w:rsid w:val="003C35C4"/>
    <w:rsid w:val="003C4575"/>
    <w:rsid w:val="003C54E5"/>
    <w:rsid w:val="003C5AAE"/>
    <w:rsid w:val="003C6537"/>
    <w:rsid w:val="003C6A13"/>
    <w:rsid w:val="003C764A"/>
    <w:rsid w:val="003C78BA"/>
    <w:rsid w:val="003D29F0"/>
    <w:rsid w:val="003D2E35"/>
    <w:rsid w:val="003D3D1E"/>
    <w:rsid w:val="003D41F1"/>
    <w:rsid w:val="003D42AB"/>
    <w:rsid w:val="003D45E3"/>
    <w:rsid w:val="003D4E63"/>
    <w:rsid w:val="003D5B94"/>
    <w:rsid w:val="003D5C94"/>
    <w:rsid w:val="003D5D4B"/>
    <w:rsid w:val="003D62FE"/>
    <w:rsid w:val="003D7CA4"/>
    <w:rsid w:val="003E00DB"/>
    <w:rsid w:val="003E0736"/>
    <w:rsid w:val="003E0D3A"/>
    <w:rsid w:val="003E0F31"/>
    <w:rsid w:val="003E199B"/>
    <w:rsid w:val="003E2648"/>
    <w:rsid w:val="003E373A"/>
    <w:rsid w:val="003E382F"/>
    <w:rsid w:val="003E3AAB"/>
    <w:rsid w:val="003E3F13"/>
    <w:rsid w:val="003E6922"/>
    <w:rsid w:val="003E6DFD"/>
    <w:rsid w:val="003E7FE9"/>
    <w:rsid w:val="003F06CF"/>
    <w:rsid w:val="003F07D4"/>
    <w:rsid w:val="003F0867"/>
    <w:rsid w:val="003F174D"/>
    <w:rsid w:val="003F2329"/>
    <w:rsid w:val="003F2850"/>
    <w:rsid w:val="003F4B38"/>
    <w:rsid w:val="003F5509"/>
    <w:rsid w:val="003F6622"/>
    <w:rsid w:val="003F6F68"/>
    <w:rsid w:val="00400FD2"/>
    <w:rsid w:val="0040218C"/>
    <w:rsid w:val="00403711"/>
    <w:rsid w:val="0040424C"/>
    <w:rsid w:val="00404C52"/>
    <w:rsid w:val="004067B7"/>
    <w:rsid w:val="00410484"/>
    <w:rsid w:val="0041057D"/>
    <w:rsid w:val="00410630"/>
    <w:rsid w:val="00412DF5"/>
    <w:rsid w:val="004133DF"/>
    <w:rsid w:val="004138F0"/>
    <w:rsid w:val="004156D5"/>
    <w:rsid w:val="00415BA9"/>
    <w:rsid w:val="00415F31"/>
    <w:rsid w:val="0041691D"/>
    <w:rsid w:val="004179E8"/>
    <w:rsid w:val="0042000C"/>
    <w:rsid w:val="00420694"/>
    <w:rsid w:val="0042090E"/>
    <w:rsid w:val="00421560"/>
    <w:rsid w:val="004219F5"/>
    <w:rsid w:val="00421F27"/>
    <w:rsid w:val="004238D8"/>
    <w:rsid w:val="00423A77"/>
    <w:rsid w:val="004248DF"/>
    <w:rsid w:val="004269F1"/>
    <w:rsid w:val="00431ABF"/>
    <w:rsid w:val="004324F4"/>
    <w:rsid w:val="00432C79"/>
    <w:rsid w:val="00434544"/>
    <w:rsid w:val="004351E8"/>
    <w:rsid w:val="004423B5"/>
    <w:rsid w:val="00442E30"/>
    <w:rsid w:val="00442FF0"/>
    <w:rsid w:val="004439C9"/>
    <w:rsid w:val="00444E26"/>
    <w:rsid w:val="00445243"/>
    <w:rsid w:val="00445D43"/>
    <w:rsid w:val="00446301"/>
    <w:rsid w:val="004463AA"/>
    <w:rsid w:val="00446CD2"/>
    <w:rsid w:val="00453037"/>
    <w:rsid w:val="00453188"/>
    <w:rsid w:val="004534F2"/>
    <w:rsid w:val="00453D96"/>
    <w:rsid w:val="004558AC"/>
    <w:rsid w:val="00455BED"/>
    <w:rsid w:val="00455D18"/>
    <w:rsid w:val="00455E07"/>
    <w:rsid w:val="0045777E"/>
    <w:rsid w:val="00460303"/>
    <w:rsid w:val="004605C7"/>
    <w:rsid w:val="004611A6"/>
    <w:rsid w:val="00462467"/>
    <w:rsid w:val="00463337"/>
    <w:rsid w:val="0046412C"/>
    <w:rsid w:val="00464ABE"/>
    <w:rsid w:val="00465258"/>
    <w:rsid w:val="00466127"/>
    <w:rsid w:val="00467921"/>
    <w:rsid w:val="004710D0"/>
    <w:rsid w:val="00471BC6"/>
    <w:rsid w:val="00472A36"/>
    <w:rsid w:val="00475228"/>
    <w:rsid w:val="00476221"/>
    <w:rsid w:val="004766F5"/>
    <w:rsid w:val="00477619"/>
    <w:rsid w:val="0047767D"/>
    <w:rsid w:val="004779AD"/>
    <w:rsid w:val="00480872"/>
    <w:rsid w:val="00480B4B"/>
    <w:rsid w:val="0048109C"/>
    <w:rsid w:val="004824AF"/>
    <w:rsid w:val="0048370C"/>
    <w:rsid w:val="004838D8"/>
    <w:rsid w:val="0048418D"/>
    <w:rsid w:val="00485B79"/>
    <w:rsid w:val="00485DC4"/>
    <w:rsid w:val="004863AE"/>
    <w:rsid w:val="00486C29"/>
    <w:rsid w:val="00487E22"/>
    <w:rsid w:val="00490C26"/>
    <w:rsid w:val="00491E85"/>
    <w:rsid w:val="0049273A"/>
    <w:rsid w:val="0049276E"/>
    <w:rsid w:val="00493B1D"/>
    <w:rsid w:val="00493D78"/>
    <w:rsid w:val="00494D04"/>
    <w:rsid w:val="00496007"/>
    <w:rsid w:val="004A0DC3"/>
    <w:rsid w:val="004A38FD"/>
    <w:rsid w:val="004A40BA"/>
    <w:rsid w:val="004A43D1"/>
    <w:rsid w:val="004A492B"/>
    <w:rsid w:val="004A6C8F"/>
    <w:rsid w:val="004A6FFC"/>
    <w:rsid w:val="004A713A"/>
    <w:rsid w:val="004A7299"/>
    <w:rsid w:val="004B13B2"/>
    <w:rsid w:val="004B4412"/>
    <w:rsid w:val="004C01D3"/>
    <w:rsid w:val="004C05A1"/>
    <w:rsid w:val="004C0B3D"/>
    <w:rsid w:val="004C1AAC"/>
    <w:rsid w:val="004C1D8A"/>
    <w:rsid w:val="004C1EEB"/>
    <w:rsid w:val="004C2294"/>
    <w:rsid w:val="004C242A"/>
    <w:rsid w:val="004C28D0"/>
    <w:rsid w:val="004C30FF"/>
    <w:rsid w:val="004C348C"/>
    <w:rsid w:val="004C462E"/>
    <w:rsid w:val="004C6A08"/>
    <w:rsid w:val="004C6CA3"/>
    <w:rsid w:val="004C7660"/>
    <w:rsid w:val="004C7F5E"/>
    <w:rsid w:val="004D09F1"/>
    <w:rsid w:val="004D0BB4"/>
    <w:rsid w:val="004D1197"/>
    <w:rsid w:val="004D11A6"/>
    <w:rsid w:val="004D27B8"/>
    <w:rsid w:val="004D2AA6"/>
    <w:rsid w:val="004D3171"/>
    <w:rsid w:val="004D343C"/>
    <w:rsid w:val="004D372A"/>
    <w:rsid w:val="004D3829"/>
    <w:rsid w:val="004D3F38"/>
    <w:rsid w:val="004D4764"/>
    <w:rsid w:val="004D5340"/>
    <w:rsid w:val="004D55BA"/>
    <w:rsid w:val="004D66B0"/>
    <w:rsid w:val="004D720C"/>
    <w:rsid w:val="004D7838"/>
    <w:rsid w:val="004E067D"/>
    <w:rsid w:val="004E0FA7"/>
    <w:rsid w:val="004E22EC"/>
    <w:rsid w:val="004E36D2"/>
    <w:rsid w:val="004E3962"/>
    <w:rsid w:val="004E5ECA"/>
    <w:rsid w:val="004E779A"/>
    <w:rsid w:val="004F0BFA"/>
    <w:rsid w:val="004F1264"/>
    <w:rsid w:val="004F13DA"/>
    <w:rsid w:val="004F1B4F"/>
    <w:rsid w:val="004F4D69"/>
    <w:rsid w:val="004F6883"/>
    <w:rsid w:val="004F6A0E"/>
    <w:rsid w:val="004F6BB3"/>
    <w:rsid w:val="004F75D5"/>
    <w:rsid w:val="004F7640"/>
    <w:rsid w:val="004F77C3"/>
    <w:rsid w:val="005000F1"/>
    <w:rsid w:val="005009CD"/>
    <w:rsid w:val="00504E5F"/>
    <w:rsid w:val="005056D7"/>
    <w:rsid w:val="00505F40"/>
    <w:rsid w:val="00507875"/>
    <w:rsid w:val="0051213F"/>
    <w:rsid w:val="00512FEC"/>
    <w:rsid w:val="005130EF"/>
    <w:rsid w:val="0051337E"/>
    <w:rsid w:val="00513FA7"/>
    <w:rsid w:val="00515E56"/>
    <w:rsid w:val="0051768F"/>
    <w:rsid w:val="00517A46"/>
    <w:rsid w:val="00520229"/>
    <w:rsid w:val="005212D6"/>
    <w:rsid w:val="00522DA9"/>
    <w:rsid w:val="00522DC2"/>
    <w:rsid w:val="005232FF"/>
    <w:rsid w:val="00523501"/>
    <w:rsid w:val="00524081"/>
    <w:rsid w:val="0052414C"/>
    <w:rsid w:val="00525465"/>
    <w:rsid w:val="0052757A"/>
    <w:rsid w:val="00530128"/>
    <w:rsid w:val="00530CBD"/>
    <w:rsid w:val="00532467"/>
    <w:rsid w:val="005332A9"/>
    <w:rsid w:val="0053505C"/>
    <w:rsid w:val="00536037"/>
    <w:rsid w:val="0053603C"/>
    <w:rsid w:val="00537871"/>
    <w:rsid w:val="005427C5"/>
    <w:rsid w:val="00542E61"/>
    <w:rsid w:val="00542FE9"/>
    <w:rsid w:val="00544598"/>
    <w:rsid w:val="00544C8D"/>
    <w:rsid w:val="00544DFD"/>
    <w:rsid w:val="00544FE3"/>
    <w:rsid w:val="005460C1"/>
    <w:rsid w:val="00547F90"/>
    <w:rsid w:val="00556B1E"/>
    <w:rsid w:val="00561504"/>
    <w:rsid w:val="0056167D"/>
    <w:rsid w:val="0056314B"/>
    <w:rsid w:val="00563AF0"/>
    <w:rsid w:val="00564A4D"/>
    <w:rsid w:val="00565243"/>
    <w:rsid w:val="0056598C"/>
    <w:rsid w:val="005659E4"/>
    <w:rsid w:val="0056665B"/>
    <w:rsid w:val="00566902"/>
    <w:rsid w:val="00566E0B"/>
    <w:rsid w:val="00567BA5"/>
    <w:rsid w:val="00570005"/>
    <w:rsid w:val="00571B35"/>
    <w:rsid w:val="00571B43"/>
    <w:rsid w:val="00571D57"/>
    <w:rsid w:val="00572B4E"/>
    <w:rsid w:val="00572F0C"/>
    <w:rsid w:val="00573603"/>
    <w:rsid w:val="005736A9"/>
    <w:rsid w:val="00573A3B"/>
    <w:rsid w:val="00573C41"/>
    <w:rsid w:val="00574FF1"/>
    <w:rsid w:val="005757E0"/>
    <w:rsid w:val="00577716"/>
    <w:rsid w:val="00577A09"/>
    <w:rsid w:val="00577F1E"/>
    <w:rsid w:val="0058122C"/>
    <w:rsid w:val="005829C2"/>
    <w:rsid w:val="00584401"/>
    <w:rsid w:val="00584D8F"/>
    <w:rsid w:val="00587A18"/>
    <w:rsid w:val="00587ADE"/>
    <w:rsid w:val="00590005"/>
    <w:rsid w:val="00590C07"/>
    <w:rsid w:val="00591BF0"/>
    <w:rsid w:val="00591FD3"/>
    <w:rsid w:val="00592926"/>
    <w:rsid w:val="00594661"/>
    <w:rsid w:val="00594A20"/>
    <w:rsid w:val="00597EE9"/>
    <w:rsid w:val="005A0BEC"/>
    <w:rsid w:val="005A31CD"/>
    <w:rsid w:val="005A404D"/>
    <w:rsid w:val="005A52E8"/>
    <w:rsid w:val="005A5A28"/>
    <w:rsid w:val="005A62E2"/>
    <w:rsid w:val="005A68DF"/>
    <w:rsid w:val="005B0383"/>
    <w:rsid w:val="005B1CA6"/>
    <w:rsid w:val="005B1E3C"/>
    <w:rsid w:val="005B2B2C"/>
    <w:rsid w:val="005B4C03"/>
    <w:rsid w:val="005B4F3B"/>
    <w:rsid w:val="005B585D"/>
    <w:rsid w:val="005B647A"/>
    <w:rsid w:val="005B6518"/>
    <w:rsid w:val="005B6614"/>
    <w:rsid w:val="005B7042"/>
    <w:rsid w:val="005B704A"/>
    <w:rsid w:val="005B72D7"/>
    <w:rsid w:val="005B73DD"/>
    <w:rsid w:val="005C045F"/>
    <w:rsid w:val="005C11F9"/>
    <w:rsid w:val="005C16FE"/>
    <w:rsid w:val="005C1FAB"/>
    <w:rsid w:val="005C21A4"/>
    <w:rsid w:val="005C26CC"/>
    <w:rsid w:val="005C288D"/>
    <w:rsid w:val="005C4463"/>
    <w:rsid w:val="005C48E5"/>
    <w:rsid w:val="005C4E55"/>
    <w:rsid w:val="005C5764"/>
    <w:rsid w:val="005C75F2"/>
    <w:rsid w:val="005D3667"/>
    <w:rsid w:val="005D3D88"/>
    <w:rsid w:val="005D48C4"/>
    <w:rsid w:val="005D51D2"/>
    <w:rsid w:val="005D6208"/>
    <w:rsid w:val="005D6366"/>
    <w:rsid w:val="005D7BA2"/>
    <w:rsid w:val="005E051A"/>
    <w:rsid w:val="005E0E9C"/>
    <w:rsid w:val="005E1002"/>
    <w:rsid w:val="005E1565"/>
    <w:rsid w:val="005E177A"/>
    <w:rsid w:val="005E2FB7"/>
    <w:rsid w:val="005E36C2"/>
    <w:rsid w:val="005E4AF4"/>
    <w:rsid w:val="005E4EEE"/>
    <w:rsid w:val="005E5315"/>
    <w:rsid w:val="005E5E04"/>
    <w:rsid w:val="005E623C"/>
    <w:rsid w:val="005E79F0"/>
    <w:rsid w:val="005F15A2"/>
    <w:rsid w:val="005F1E07"/>
    <w:rsid w:val="005F23BC"/>
    <w:rsid w:val="005F387E"/>
    <w:rsid w:val="005F5ECE"/>
    <w:rsid w:val="005F79DD"/>
    <w:rsid w:val="00601B1C"/>
    <w:rsid w:val="00601BE9"/>
    <w:rsid w:val="00601E0B"/>
    <w:rsid w:val="0060258B"/>
    <w:rsid w:val="00603301"/>
    <w:rsid w:val="0060449B"/>
    <w:rsid w:val="006047E9"/>
    <w:rsid w:val="00604D72"/>
    <w:rsid w:val="00606187"/>
    <w:rsid w:val="00610D97"/>
    <w:rsid w:val="00610EF9"/>
    <w:rsid w:val="006122E1"/>
    <w:rsid w:val="00612F4F"/>
    <w:rsid w:val="006131D2"/>
    <w:rsid w:val="00613AC4"/>
    <w:rsid w:val="00614367"/>
    <w:rsid w:val="00614EA0"/>
    <w:rsid w:val="00615C6B"/>
    <w:rsid w:val="00615DC4"/>
    <w:rsid w:val="00616B62"/>
    <w:rsid w:val="00617442"/>
    <w:rsid w:val="00617D25"/>
    <w:rsid w:val="00617D4C"/>
    <w:rsid w:val="00620F86"/>
    <w:rsid w:val="00621DCE"/>
    <w:rsid w:val="00621E99"/>
    <w:rsid w:val="00621FC5"/>
    <w:rsid w:val="006235CA"/>
    <w:rsid w:val="0062402D"/>
    <w:rsid w:val="00624F2C"/>
    <w:rsid w:val="0062796A"/>
    <w:rsid w:val="00627AF0"/>
    <w:rsid w:val="00630174"/>
    <w:rsid w:val="00632D6D"/>
    <w:rsid w:val="0063304E"/>
    <w:rsid w:val="00636417"/>
    <w:rsid w:val="00636569"/>
    <w:rsid w:val="0063681F"/>
    <w:rsid w:val="00636EF9"/>
    <w:rsid w:val="00641447"/>
    <w:rsid w:val="00642C3E"/>
    <w:rsid w:val="0064345F"/>
    <w:rsid w:val="0064479B"/>
    <w:rsid w:val="00644A01"/>
    <w:rsid w:val="006455B4"/>
    <w:rsid w:val="006468B8"/>
    <w:rsid w:val="00646CF8"/>
    <w:rsid w:val="00647F75"/>
    <w:rsid w:val="006503AF"/>
    <w:rsid w:val="00650BF0"/>
    <w:rsid w:val="00651CA1"/>
    <w:rsid w:val="00651E2D"/>
    <w:rsid w:val="00652324"/>
    <w:rsid w:val="00652E74"/>
    <w:rsid w:val="006543F7"/>
    <w:rsid w:val="006550D0"/>
    <w:rsid w:val="006571F5"/>
    <w:rsid w:val="006577FB"/>
    <w:rsid w:val="00660154"/>
    <w:rsid w:val="00660A04"/>
    <w:rsid w:val="00660A74"/>
    <w:rsid w:val="0066104A"/>
    <w:rsid w:val="00661441"/>
    <w:rsid w:val="00663066"/>
    <w:rsid w:val="0066368B"/>
    <w:rsid w:val="00663DAD"/>
    <w:rsid w:val="00664206"/>
    <w:rsid w:val="006649E7"/>
    <w:rsid w:val="006652D8"/>
    <w:rsid w:val="00666634"/>
    <w:rsid w:val="00666668"/>
    <w:rsid w:val="00671692"/>
    <w:rsid w:val="00671B53"/>
    <w:rsid w:val="00671CD8"/>
    <w:rsid w:val="00675E20"/>
    <w:rsid w:val="00675E6D"/>
    <w:rsid w:val="00676679"/>
    <w:rsid w:val="00677D9A"/>
    <w:rsid w:val="0068033B"/>
    <w:rsid w:val="00683C89"/>
    <w:rsid w:val="00684D2A"/>
    <w:rsid w:val="00686501"/>
    <w:rsid w:val="00691792"/>
    <w:rsid w:val="00691B53"/>
    <w:rsid w:val="006920CF"/>
    <w:rsid w:val="00695BEB"/>
    <w:rsid w:val="00696DA9"/>
    <w:rsid w:val="00697B41"/>
    <w:rsid w:val="00697D0B"/>
    <w:rsid w:val="006A102A"/>
    <w:rsid w:val="006A12BA"/>
    <w:rsid w:val="006A2411"/>
    <w:rsid w:val="006A4739"/>
    <w:rsid w:val="006A505E"/>
    <w:rsid w:val="006A66A1"/>
    <w:rsid w:val="006B00E6"/>
    <w:rsid w:val="006B032D"/>
    <w:rsid w:val="006B1105"/>
    <w:rsid w:val="006B2395"/>
    <w:rsid w:val="006B2A6C"/>
    <w:rsid w:val="006B40AC"/>
    <w:rsid w:val="006B4CF9"/>
    <w:rsid w:val="006B510F"/>
    <w:rsid w:val="006B55A5"/>
    <w:rsid w:val="006B5DAA"/>
    <w:rsid w:val="006B7105"/>
    <w:rsid w:val="006B797C"/>
    <w:rsid w:val="006B7AC8"/>
    <w:rsid w:val="006C094C"/>
    <w:rsid w:val="006C1736"/>
    <w:rsid w:val="006C28C8"/>
    <w:rsid w:val="006C3286"/>
    <w:rsid w:val="006C329B"/>
    <w:rsid w:val="006C3FFB"/>
    <w:rsid w:val="006C42C2"/>
    <w:rsid w:val="006C59AF"/>
    <w:rsid w:val="006C6036"/>
    <w:rsid w:val="006C6303"/>
    <w:rsid w:val="006D3C25"/>
    <w:rsid w:val="006D4D2F"/>
    <w:rsid w:val="006D4F93"/>
    <w:rsid w:val="006D5059"/>
    <w:rsid w:val="006D550F"/>
    <w:rsid w:val="006D6146"/>
    <w:rsid w:val="006D7F7E"/>
    <w:rsid w:val="006E04BC"/>
    <w:rsid w:val="006E0CFF"/>
    <w:rsid w:val="006E10A3"/>
    <w:rsid w:val="006E1234"/>
    <w:rsid w:val="006E356E"/>
    <w:rsid w:val="006E37CC"/>
    <w:rsid w:val="006E3A67"/>
    <w:rsid w:val="006E3A8A"/>
    <w:rsid w:val="006E5055"/>
    <w:rsid w:val="006E52F8"/>
    <w:rsid w:val="006E5892"/>
    <w:rsid w:val="006F0CFE"/>
    <w:rsid w:val="006F0D92"/>
    <w:rsid w:val="006F267D"/>
    <w:rsid w:val="006F44AA"/>
    <w:rsid w:val="0070011E"/>
    <w:rsid w:val="00701850"/>
    <w:rsid w:val="00701CAB"/>
    <w:rsid w:val="00702016"/>
    <w:rsid w:val="00702018"/>
    <w:rsid w:val="007023BB"/>
    <w:rsid w:val="00702BEB"/>
    <w:rsid w:val="00704DD7"/>
    <w:rsid w:val="00705AB0"/>
    <w:rsid w:val="00706684"/>
    <w:rsid w:val="00706DE7"/>
    <w:rsid w:val="00707309"/>
    <w:rsid w:val="007073C7"/>
    <w:rsid w:val="00707563"/>
    <w:rsid w:val="00707F0B"/>
    <w:rsid w:val="00710616"/>
    <w:rsid w:val="0071255D"/>
    <w:rsid w:val="007126B8"/>
    <w:rsid w:val="007127DF"/>
    <w:rsid w:val="00715F61"/>
    <w:rsid w:val="00717E12"/>
    <w:rsid w:val="00722132"/>
    <w:rsid w:val="007228F7"/>
    <w:rsid w:val="0072348C"/>
    <w:rsid w:val="00724A37"/>
    <w:rsid w:val="0072547F"/>
    <w:rsid w:val="0072774E"/>
    <w:rsid w:val="007302B7"/>
    <w:rsid w:val="007303C3"/>
    <w:rsid w:val="00731188"/>
    <w:rsid w:val="007317B2"/>
    <w:rsid w:val="007323B2"/>
    <w:rsid w:val="00734328"/>
    <w:rsid w:val="007356CC"/>
    <w:rsid w:val="007368E6"/>
    <w:rsid w:val="007375DF"/>
    <w:rsid w:val="007413C0"/>
    <w:rsid w:val="0074155C"/>
    <w:rsid w:val="00742416"/>
    <w:rsid w:val="007429BE"/>
    <w:rsid w:val="00743223"/>
    <w:rsid w:val="00743349"/>
    <w:rsid w:val="00743354"/>
    <w:rsid w:val="0074403A"/>
    <w:rsid w:val="00745422"/>
    <w:rsid w:val="00745ADA"/>
    <w:rsid w:val="007463E4"/>
    <w:rsid w:val="00746E01"/>
    <w:rsid w:val="007471CD"/>
    <w:rsid w:val="00751DCD"/>
    <w:rsid w:val="00753D9A"/>
    <w:rsid w:val="00755084"/>
    <w:rsid w:val="007559BF"/>
    <w:rsid w:val="00757364"/>
    <w:rsid w:val="007576F0"/>
    <w:rsid w:val="00757BDF"/>
    <w:rsid w:val="007609D0"/>
    <w:rsid w:val="00760E22"/>
    <w:rsid w:val="00761454"/>
    <w:rsid w:val="0076193D"/>
    <w:rsid w:val="00762976"/>
    <w:rsid w:val="00762F4E"/>
    <w:rsid w:val="0076324F"/>
    <w:rsid w:val="007633C6"/>
    <w:rsid w:val="007635DD"/>
    <w:rsid w:val="007639B9"/>
    <w:rsid w:val="00763B84"/>
    <w:rsid w:val="00763E5D"/>
    <w:rsid w:val="00766018"/>
    <w:rsid w:val="0076667D"/>
    <w:rsid w:val="00767740"/>
    <w:rsid w:val="00767B5E"/>
    <w:rsid w:val="007735D3"/>
    <w:rsid w:val="00773A65"/>
    <w:rsid w:val="00773F31"/>
    <w:rsid w:val="00775460"/>
    <w:rsid w:val="00777EE6"/>
    <w:rsid w:val="00780F45"/>
    <w:rsid w:val="00782EEA"/>
    <w:rsid w:val="00783BA1"/>
    <w:rsid w:val="007860E1"/>
    <w:rsid w:val="00786E55"/>
    <w:rsid w:val="007870D7"/>
    <w:rsid w:val="00790740"/>
    <w:rsid w:val="007909B4"/>
    <w:rsid w:val="00790E86"/>
    <w:rsid w:val="007926C5"/>
    <w:rsid w:val="0079317C"/>
    <w:rsid w:val="00793265"/>
    <w:rsid w:val="00793B79"/>
    <w:rsid w:val="00794599"/>
    <w:rsid w:val="007949D7"/>
    <w:rsid w:val="00795CB9"/>
    <w:rsid w:val="00796109"/>
    <w:rsid w:val="007A0143"/>
    <w:rsid w:val="007A294A"/>
    <w:rsid w:val="007A34C2"/>
    <w:rsid w:val="007A396C"/>
    <w:rsid w:val="007A4B02"/>
    <w:rsid w:val="007A7D35"/>
    <w:rsid w:val="007A7E3F"/>
    <w:rsid w:val="007A7EBF"/>
    <w:rsid w:val="007B0417"/>
    <w:rsid w:val="007B0BE3"/>
    <w:rsid w:val="007B0BF9"/>
    <w:rsid w:val="007B0F7D"/>
    <w:rsid w:val="007B14F7"/>
    <w:rsid w:val="007B1816"/>
    <w:rsid w:val="007B186E"/>
    <w:rsid w:val="007B1E81"/>
    <w:rsid w:val="007B25DC"/>
    <w:rsid w:val="007B2C72"/>
    <w:rsid w:val="007B3192"/>
    <w:rsid w:val="007B3789"/>
    <w:rsid w:val="007B4484"/>
    <w:rsid w:val="007B492B"/>
    <w:rsid w:val="007B51C0"/>
    <w:rsid w:val="007B59C3"/>
    <w:rsid w:val="007B651F"/>
    <w:rsid w:val="007B711F"/>
    <w:rsid w:val="007B7BB5"/>
    <w:rsid w:val="007C0838"/>
    <w:rsid w:val="007C1119"/>
    <w:rsid w:val="007C18D2"/>
    <w:rsid w:val="007C1B45"/>
    <w:rsid w:val="007C1C53"/>
    <w:rsid w:val="007C1DEE"/>
    <w:rsid w:val="007C284C"/>
    <w:rsid w:val="007C2EBF"/>
    <w:rsid w:val="007C2FB2"/>
    <w:rsid w:val="007C30FE"/>
    <w:rsid w:val="007C349E"/>
    <w:rsid w:val="007C368A"/>
    <w:rsid w:val="007C4B82"/>
    <w:rsid w:val="007C50BD"/>
    <w:rsid w:val="007C52A2"/>
    <w:rsid w:val="007C54F6"/>
    <w:rsid w:val="007C6CEE"/>
    <w:rsid w:val="007C74BB"/>
    <w:rsid w:val="007C75DA"/>
    <w:rsid w:val="007C7F64"/>
    <w:rsid w:val="007D0345"/>
    <w:rsid w:val="007D0A95"/>
    <w:rsid w:val="007D0EB5"/>
    <w:rsid w:val="007D121F"/>
    <w:rsid w:val="007D1BA0"/>
    <w:rsid w:val="007D2EEA"/>
    <w:rsid w:val="007D3E35"/>
    <w:rsid w:val="007D456E"/>
    <w:rsid w:val="007D5389"/>
    <w:rsid w:val="007D5837"/>
    <w:rsid w:val="007D6CD6"/>
    <w:rsid w:val="007E134C"/>
    <w:rsid w:val="007E4904"/>
    <w:rsid w:val="007E4CB5"/>
    <w:rsid w:val="007E4DAE"/>
    <w:rsid w:val="007E553B"/>
    <w:rsid w:val="007E57C0"/>
    <w:rsid w:val="007E5F28"/>
    <w:rsid w:val="007E72C5"/>
    <w:rsid w:val="007F0422"/>
    <w:rsid w:val="007F066B"/>
    <w:rsid w:val="007F3D83"/>
    <w:rsid w:val="007F4056"/>
    <w:rsid w:val="007F4EAB"/>
    <w:rsid w:val="007F58D6"/>
    <w:rsid w:val="007F5B16"/>
    <w:rsid w:val="007F7C9D"/>
    <w:rsid w:val="00800128"/>
    <w:rsid w:val="00801457"/>
    <w:rsid w:val="00802AE9"/>
    <w:rsid w:val="008033C4"/>
    <w:rsid w:val="0080499A"/>
    <w:rsid w:val="00804BBC"/>
    <w:rsid w:val="008052F1"/>
    <w:rsid w:val="0080652E"/>
    <w:rsid w:val="00806731"/>
    <w:rsid w:val="00806C88"/>
    <w:rsid w:val="0081033D"/>
    <w:rsid w:val="0081034E"/>
    <w:rsid w:val="00810691"/>
    <w:rsid w:val="00810806"/>
    <w:rsid w:val="0081459B"/>
    <w:rsid w:val="0081478F"/>
    <w:rsid w:val="00814D07"/>
    <w:rsid w:val="00815595"/>
    <w:rsid w:val="00815882"/>
    <w:rsid w:val="00815CF9"/>
    <w:rsid w:val="00815E67"/>
    <w:rsid w:val="00815FCA"/>
    <w:rsid w:val="00816ECE"/>
    <w:rsid w:val="00816FF0"/>
    <w:rsid w:val="00820454"/>
    <w:rsid w:val="00820ABE"/>
    <w:rsid w:val="00822AC7"/>
    <w:rsid w:val="00822E86"/>
    <w:rsid w:val="00826383"/>
    <w:rsid w:val="0082788A"/>
    <w:rsid w:val="00827D79"/>
    <w:rsid w:val="008311C6"/>
    <w:rsid w:val="00831326"/>
    <w:rsid w:val="00831789"/>
    <w:rsid w:val="00831CD9"/>
    <w:rsid w:val="00833E35"/>
    <w:rsid w:val="008344F6"/>
    <w:rsid w:val="008349A2"/>
    <w:rsid w:val="0083510F"/>
    <w:rsid w:val="008362EB"/>
    <w:rsid w:val="008363D9"/>
    <w:rsid w:val="00836F41"/>
    <w:rsid w:val="008371ED"/>
    <w:rsid w:val="00837475"/>
    <w:rsid w:val="00837BF3"/>
    <w:rsid w:val="0084003B"/>
    <w:rsid w:val="0084046F"/>
    <w:rsid w:val="008415DE"/>
    <w:rsid w:val="008420DE"/>
    <w:rsid w:val="008422BF"/>
    <w:rsid w:val="008433CC"/>
    <w:rsid w:val="00844917"/>
    <w:rsid w:val="00845401"/>
    <w:rsid w:val="00845865"/>
    <w:rsid w:val="008459A6"/>
    <w:rsid w:val="0084799B"/>
    <w:rsid w:val="00850A10"/>
    <w:rsid w:val="00850A78"/>
    <w:rsid w:val="00850C90"/>
    <w:rsid w:val="00851209"/>
    <w:rsid w:val="00851307"/>
    <w:rsid w:val="0085171F"/>
    <w:rsid w:val="008537FD"/>
    <w:rsid w:val="0085538D"/>
    <w:rsid w:val="00856E69"/>
    <w:rsid w:val="0086108C"/>
    <w:rsid w:val="008658A1"/>
    <w:rsid w:val="00866553"/>
    <w:rsid w:val="0086716A"/>
    <w:rsid w:val="00870613"/>
    <w:rsid w:val="0087226E"/>
    <w:rsid w:val="00872A27"/>
    <w:rsid w:val="0087380F"/>
    <w:rsid w:val="008741ED"/>
    <w:rsid w:val="0087445C"/>
    <w:rsid w:val="008763F7"/>
    <w:rsid w:val="0087648F"/>
    <w:rsid w:val="00876612"/>
    <w:rsid w:val="00876B8B"/>
    <w:rsid w:val="00877DDC"/>
    <w:rsid w:val="00880615"/>
    <w:rsid w:val="00881785"/>
    <w:rsid w:val="00882BB1"/>
    <w:rsid w:val="008837AC"/>
    <w:rsid w:val="00886A20"/>
    <w:rsid w:val="008878BC"/>
    <w:rsid w:val="008909DC"/>
    <w:rsid w:val="00890C66"/>
    <w:rsid w:val="008922D2"/>
    <w:rsid w:val="00894255"/>
    <w:rsid w:val="008945AD"/>
    <w:rsid w:val="00895B76"/>
    <w:rsid w:val="008963D9"/>
    <w:rsid w:val="008970C7"/>
    <w:rsid w:val="008A0645"/>
    <w:rsid w:val="008A1A1A"/>
    <w:rsid w:val="008A1C02"/>
    <w:rsid w:val="008A2D6A"/>
    <w:rsid w:val="008A370D"/>
    <w:rsid w:val="008A3879"/>
    <w:rsid w:val="008A3E7E"/>
    <w:rsid w:val="008A40EA"/>
    <w:rsid w:val="008A41D8"/>
    <w:rsid w:val="008A567E"/>
    <w:rsid w:val="008A587D"/>
    <w:rsid w:val="008A7685"/>
    <w:rsid w:val="008B10AC"/>
    <w:rsid w:val="008B16B0"/>
    <w:rsid w:val="008B1BD5"/>
    <w:rsid w:val="008B29C0"/>
    <w:rsid w:val="008B3595"/>
    <w:rsid w:val="008B35CD"/>
    <w:rsid w:val="008B4093"/>
    <w:rsid w:val="008B5A4A"/>
    <w:rsid w:val="008B5AFD"/>
    <w:rsid w:val="008B5B68"/>
    <w:rsid w:val="008B5FCC"/>
    <w:rsid w:val="008B67B2"/>
    <w:rsid w:val="008B6883"/>
    <w:rsid w:val="008B6D10"/>
    <w:rsid w:val="008B7A36"/>
    <w:rsid w:val="008B7F10"/>
    <w:rsid w:val="008B7F36"/>
    <w:rsid w:val="008C115E"/>
    <w:rsid w:val="008C2268"/>
    <w:rsid w:val="008C2BCE"/>
    <w:rsid w:val="008C357F"/>
    <w:rsid w:val="008C47E0"/>
    <w:rsid w:val="008C5486"/>
    <w:rsid w:val="008C59F4"/>
    <w:rsid w:val="008C6A19"/>
    <w:rsid w:val="008D033D"/>
    <w:rsid w:val="008D0E0C"/>
    <w:rsid w:val="008D1661"/>
    <w:rsid w:val="008D1F4A"/>
    <w:rsid w:val="008D2107"/>
    <w:rsid w:val="008D27E0"/>
    <w:rsid w:val="008D2953"/>
    <w:rsid w:val="008D3535"/>
    <w:rsid w:val="008D37BD"/>
    <w:rsid w:val="008D3E08"/>
    <w:rsid w:val="008D5884"/>
    <w:rsid w:val="008D58FA"/>
    <w:rsid w:val="008D5F90"/>
    <w:rsid w:val="008D6623"/>
    <w:rsid w:val="008D6800"/>
    <w:rsid w:val="008D6848"/>
    <w:rsid w:val="008D6C89"/>
    <w:rsid w:val="008D72F1"/>
    <w:rsid w:val="008D7770"/>
    <w:rsid w:val="008D7E6A"/>
    <w:rsid w:val="008E016B"/>
    <w:rsid w:val="008E0CE9"/>
    <w:rsid w:val="008E35BA"/>
    <w:rsid w:val="008E4089"/>
    <w:rsid w:val="008E4B4A"/>
    <w:rsid w:val="008E5AFF"/>
    <w:rsid w:val="008E5BDE"/>
    <w:rsid w:val="008E62F2"/>
    <w:rsid w:val="008E638F"/>
    <w:rsid w:val="008E6EAF"/>
    <w:rsid w:val="008E7031"/>
    <w:rsid w:val="008E77DE"/>
    <w:rsid w:val="008E7AF2"/>
    <w:rsid w:val="008F040C"/>
    <w:rsid w:val="008F07A3"/>
    <w:rsid w:val="008F3322"/>
    <w:rsid w:val="008F3519"/>
    <w:rsid w:val="008F3A0D"/>
    <w:rsid w:val="008F4BAC"/>
    <w:rsid w:val="008F5A47"/>
    <w:rsid w:val="009001B6"/>
    <w:rsid w:val="00900E1B"/>
    <w:rsid w:val="0090131F"/>
    <w:rsid w:val="00901D0B"/>
    <w:rsid w:val="00905E11"/>
    <w:rsid w:val="00906946"/>
    <w:rsid w:val="009069CD"/>
    <w:rsid w:val="00907683"/>
    <w:rsid w:val="00910A4C"/>
    <w:rsid w:val="0091220E"/>
    <w:rsid w:val="00912264"/>
    <w:rsid w:val="00912B5E"/>
    <w:rsid w:val="00912EC8"/>
    <w:rsid w:val="009132B7"/>
    <w:rsid w:val="009147A3"/>
    <w:rsid w:val="00914D89"/>
    <w:rsid w:val="0091537B"/>
    <w:rsid w:val="00915641"/>
    <w:rsid w:val="0091660D"/>
    <w:rsid w:val="009167F5"/>
    <w:rsid w:val="00916A2C"/>
    <w:rsid w:val="00916C9B"/>
    <w:rsid w:val="00916EC7"/>
    <w:rsid w:val="009223C4"/>
    <w:rsid w:val="009233EE"/>
    <w:rsid w:val="0092495F"/>
    <w:rsid w:val="00926504"/>
    <w:rsid w:val="009266EE"/>
    <w:rsid w:val="00926DD7"/>
    <w:rsid w:val="00930B1A"/>
    <w:rsid w:val="009312C1"/>
    <w:rsid w:val="00931A11"/>
    <w:rsid w:val="00932612"/>
    <w:rsid w:val="009327DC"/>
    <w:rsid w:val="00932AB7"/>
    <w:rsid w:val="009338D9"/>
    <w:rsid w:val="009339BD"/>
    <w:rsid w:val="00933A6C"/>
    <w:rsid w:val="009346A4"/>
    <w:rsid w:val="00934B78"/>
    <w:rsid w:val="009356CF"/>
    <w:rsid w:val="00935C50"/>
    <w:rsid w:val="00937B13"/>
    <w:rsid w:val="00942C04"/>
    <w:rsid w:val="00943069"/>
    <w:rsid w:val="00943A2C"/>
    <w:rsid w:val="00945E53"/>
    <w:rsid w:val="00945E5A"/>
    <w:rsid w:val="009460AA"/>
    <w:rsid w:val="0094623F"/>
    <w:rsid w:val="00947506"/>
    <w:rsid w:val="009500DD"/>
    <w:rsid w:val="00950AB6"/>
    <w:rsid w:val="00951978"/>
    <w:rsid w:val="00951D92"/>
    <w:rsid w:val="00952C8B"/>
    <w:rsid w:val="00953A8F"/>
    <w:rsid w:val="00961A4A"/>
    <w:rsid w:val="009659B7"/>
    <w:rsid w:val="009661DE"/>
    <w:rsid w:val="0096637F"/>
    <w:rsid w:val="009707D1"/>
    <w:rsid w:val="009707FE"/>
    <w:rsid w:val="00971D42"/>
    <w:rsid w:val="0097285D"/>
    <w:rsid w:val="00972C7C"/>
    <w:rsid w:val="00974EA8"/>
    <w:rsid w:val="009776F4"/>
    <w:rsid w:val="00977959"/>
    <w:rsid w:val="00980450"/>
    <w:rsid w:val="0098147A"/>
    <w:rsid w:val="009819C4"/>
    <w:rsid w:val="00982A7B"/>
    <w:rsid w:val="00982DA2"/>
    <w:rsid w:val="00983C25"/>
    <w:rsid w:val="0098466D"/>
    <w:rsid w:val="009856B7"/>
    <w:rsid w:val="009859D6"/>
    <w:rsid w:val="00985C86"/>
    <w:rsid w:val="00991FF2"/>
    <w:rsid w:val="009941E6"/>
    <w:rsid w:val="00995366"/>
    <w:rsid w:val="009957B2"/>
    <w:rsid w:val="0099596C"/>
    <w:rsid w:val="00995F6D"/>
    <w:rsid w:val="0099668D"/>
    <w:rsid w:val="0099683E"/>
    <w:rsid w:val="00996C8A"/>
    <w:rsid w:val="00997006"/>
    <w:rsid w:val="009A0077"/>
    <w:rsid w:val="009A042D"/>
    <w:rsid w:val="009A4603"/>
    <w:rsid w:val="009A5FC3"/>
    <w:rsid w:val="009A70F1"/>
    <w:rsid w:val="009A72B0"/>
    <w:rsid w:val="009B053E"/>
    <w:rsid w:val="009B1617"/>
    <w:rsid w:val="009B190A"/>
    <w:rsid w:val="009B2274"/>
    <w:rsid w:val="009B2590"/>
    <w:rsid w:val="009B30EC"/>
    <w:rsid w:val="009B3B34"/>
    <w:rsid w:val="009B5BC8"/>
    <w:rsid w:val="009B6F84"/>
    <w:rsid w:val="009B74B0"/>
    <w:rsid w:val="009C0152"/>
    <w:rsid w:val="009C1A74"/>
    <w:rsid w:val="009C1BEA"/>
    <w:rsid w:val="009C2A3F"/>
    <w:rsid w:val="009C3D42"/>
    <w:rsid w:val="009C491E"/>
    <w:rsid w:val="009C73CF"/>
    <w:rsid w:val="009C76A2"/>
    <w:rsid w:val="009D0DF1"/>
    <w:rsid w:val="009D0E63"/>
    <w:rsid w:val="009D22D6"/>
    <w:rsid w:val="009D2C84"/>
    <w:rsid w:val="009D3906"/>
    <w:rsid w:val="009D5FDD"/>
    <w:rsid w:val="009D6B46"/>
    <w:rsid w:val="009D76EF"/>
    <w:rsid w:val="009D7F29"/>
    <w:rsid w:val="009E34EA"/>
    <w:rsid w:val="009E35B6"/>
    <w:rsid w:val="009E5094"/>
    <w:rsid w:val="009E5778"/>
    <w:rsid w:val="009E5ABC"/>
    <w:rsid w:val="009F19AC"/>
    <w:rsid w:val="009F3BBA"/>
    <w:rsid w:val="009F43B4"/>
    <w:rsid w:val="009F4940"/>
    <w:rsid w:val="009F5482"/>
    <w:rsid w:val="009F5BA1"/>
    <w:rsid w:val="009F5BFC"/>
    <w:rsid w:val="009F5FF7"/>
    <w:rsid w:val="009F6C5A"/>
    <w:rsid w:val="009F75C0"/>
    <w:rsid w:val="00A00497"/>
    <w:rsid w:val="00A01139"/>
    <w:rsid w:val="00A01212"/>
    <w:rsid w:val="00A023A4"/>
    <w:rsid w:val="00A02A88"/>
    <w:rsid w:val="00A04012"/>
    <w:rsid w:val="00A046FA"/>
    <w:rsid w:val="00A0562E"/>
    <w:rsid w:val="00A0665F"/>
    <w:rsid w:val="00A068A1"/>
    <w:rsid w:val="00A06B24"/>
    <w:rsid w:val="00A0726D"/>
    <w:rsid w:val="00A073AE"/>
    <w:rsid w:val="00A12204"/>
    <w:rsid w:val="00A12750"/>
    <w:rsid w:val="00A12A60"/>
    <w:rsid w:val="00A13CB0"/>
    <w:rsid w:val="00A14DEC"/>
    <w:rsid w:val="00A1561F"/>
    <w:rsid w:val="00A15F11"/>
    <w:rsid w:val="00A16544"/>
    <w:rsid w:val="00A17CD0"/>
    <w:rsid w:val="00A2015B"/>
    <w:rsid w:val="00A219C4"/>
    <w:rsid w:val="00A21E77"/>
    <w:rsid w:val="00A21E8E"/>
    <w:rsid w:val="00A2596D"/>
    <w:rsid w:val="00A26111"/>
    <w:rsid w:val="00A26BBA"/>
    <w:rsid w:val="00A30BF5"/>
    <w:rsid w:val="00A30EA9"/>
    <w:rsid w:val="00A31BE6"/>
    <w:rsid w:val="00A32636"/>
    <w:rsid w:val="00A32FBB"/>
    <w:rsid w:val="00A340F6"/>
    <w:rsid w:val="00A343D7"/>
    <w:rsid w:val="00A34A9B"/>
    <w:rsid w:val="00A34C07"/>
    <w:rsid w:val="00A352B4"/>
    <w:rsid w:val="00A3685C"/>
    <w:rsid w:val="00A37242"/>
    <w:rsid w:val="00A373DA"/>
    <w:rsid w:val="00A40068"/>
    <w:rsid w:val="00A40286"/>
    <w:rsid w:val="00A40BE9"/>
    <w:rsid w:val="00A418FC"/>
    <w:rsid w:val="00A424CC"/>
    <w:rsid w:val="00A428EE"/>
    <w:rsid w:val="00A443C2"/>
    <w:rsid w:val="00A4478A"/>
    <w:rsid w:val="00A44852"/>
    <w:rsid w:val="00A47ED2"/>
    <w:rsid w:val="00A50502"/>
    <w:rsid w:val="00A5073B"/>
    <w:rsid w:val="00A5081D"/>
    <w:rsid w:val="00A51022"/>
    <w:rsid w:val="00A510E1"/>
    <w:rsid w:val="00A51182"/>
    <w:rsid w:val="00A53409"/>
    <w:rsid w:val="00A53796"/>
    <w:rsid w:val="00A53848"/>
    <w:rsid w:val="00A54019"/>
    <w:rsid w:val="00A54171"/>
    <w:rsid w:val="00A5508F"/>
    <w:rsid w:val="00A55234"/>
    <w:rsid w:val="00A56945"/>
    <w:rsid w:val="00A56A6E"/>
    <w:rsid w:val="00A57D04"/>
    <w:rsid w:val="00A60A26"/>
    <w:rsid w:val="00A61598"/>
    <w:rsid w:val="00A61777"/>
    <w:rsid w:val="00A61E3B"/>
    <w:rsid w:val="00A630E9"/>
    <w:rsid w:val="00A63646"/>
    <w:rsid w:val="00A63914"/>
    <w:rsid w:val="00A63FAB"/>
    <w:rsid w:val="00A65B51"/>
    <w:rsid w:val="00A65F95"/>
    <w:rsid w:val="00A66FF0"/>
    <w:rsid w:val="00A67604"/>
    <w:rsid w:val="00A70D13"/>
    <w:rsid w:val="00A710EE"/>
    <w:rsid w:val="00A74745"/>
    <w:rsid w:val="00A74822"/>
    <w:rsid w:val="00A74E72"/>
    <w:rsid w:val="00A77171"/>
    <w:rsid w:val="00A80F3B"/>
    <w:rsid w:val="00A81B6E"/>
    <w:rsid w:val="00A8391A"/>
    <w:rsid w:val="00A8469F"/>
    <w:rsid w:val="00A84A99"/>
    <w:rsid w:val="00A84F46"/>
    <w:rsid w:val="00A857F9"/>
    <w:rsid w:val="00A85E87"/>
    <w:rsid w:val="00A86214"/>
    <w:rsid w:val="00A86257"/>
    <w:rsid w:val="00A86AEA"/>
    <w:rsid w:val="00A86CB8"/>
    <w:rsid w:val="00A870CB"/>
    <w:rsid w:val="00A87100"/>
    <w:rsid w:val="00A871F4"/>
    <w:rsid w:val="00A900BF"/>
    <w:rsid w:val="00A9353B"/>
    <w:rsid w:val="00A93712"/>
    <w:rsid w:val="00A939B8"/>
    <w:rsid w:val="00A9431A"/>
    <w:rsid w:val="00A94AA4"/>
    <w:rsid w:val="00A94CCD"/>
    <w:rsid w:val="00A95988"/>
    <w:rsid w:val="00A959DF"/>
    <w:rsid w:val="00A95D30"/>
    <w:rsid w:val="00A95EF2"/>
    <w:rsid w:val="00A97A1B"/>
    <w:rsid w:val="00AA0DF5"/>
    <w:rsid w:val="00AA2763"/>
    <w:rsid w:val="00AA2927"/>
    <w:rsid w:val="00AA5E74"/>
    <w:rsid w:val="00AA7416"/>
    <w:rsid w:val="00AB22BA"/>
    <w:rsid w:val="00AB2CB8"/>
    <w:rsid w:val="00AB376C"/>
    <w:rsid w:val="00AB4617"/>
    <w:rsid w:val="00AB4670"/>
    <w:rsid w:val="00AB5B44"/>
    <w:rsid w:val="00AB6343"/>
    <w:rsid w:val="00AC04DC"/>
    <w:rsid w:val="00AC10BC"/>
    <w:rsid w:val="00AC1B2C"/>
    <w:rsid w:val="00AC2A48"/>
    <w:rsid w:val="00AC3264"/>
    <w:rsid w:val="00AC46AD"/>
    <w:rsid w:val="00AC4D2D"/>
    <w:rsid w:val="00AC58EC"/>
    <w:rsid w:val="00AC7226"/>
    <w:rsid w:val="00AC7282"/>
    <w:rsid w:val="00AC7371"/>
    <w:rsid w:val="00AC737A"/>
    <w:rsid w:val="00AC7961"/>
    <w:rsid w:val="00AD0505"/>
    <w:rsid w:val="00AD1CFA"/>
    <w:rsid w:val="00AD1D36"/>
    <w:rsid w:val="00AD22D6"/>
    <w:rsid w:val="00AD314E"/>
    <w:rsid w:val="00AD4101"/>
    <w:rsid w:val="00AD5725"/>
    <w:rsid w:val="00AD5A3A"/>
    <w:rsid w:val="00AD5FCD"/>
    <w:rsid w:val="00AD60B1"/>
    <w:rsid w:val="00AD6B48"/>
    <w:rsid w:val="00AD7A3A"/>
    <w:rsid w:val="00AD7F74"/>
    <w:rsid w:val="00AE1098"/>
    <w:rsid w:val="00AE146D"/>
    <w:rsid w:val="00AE1BF1"/>
    <w:rsid w:val="00AE2111"/>
    <w:rsid w:val="00AE23AB"/>
    <w:rsid w:val="00AE248F"/>
    <w:rsid w:val="00AE24BC"/>
    <w:rsid w:val="00AE2F35"/>
    <w:rsid w:val="00AE3489"/>
    <w:rsid w:val="00AE586A"/>
    <w:rsid w:val="00AE58FB"/>
    <w:rsid w:val="00AE5AF0"/>
    <w:rsid w:val="00AE5FDA"/>
    <w:rsid w:val="00AE663D"/>
    <w:rsid w:val="00AE68CA"/>
    <w:rsid w:val="00AE6A58"/>
    <w:rsid w:val="00AE73B3"/>
    <w:rsid w:val="00AF07E7"/>
    <w:rsid w:val="00AF0B4B"/>
    <w:rsid w:val="00AF0DD2"/>
    <w:rsid w:val="00AF31E1"/>
    <w:rsid w:val="00AF356C"/>
    <w:rsid w:val="00AF3BBA"/>
    <w:rsid w:val="00AF4022"/>
    <w:rsid w:val="00AF4231"/>
    <w:rsid w:val="00AF580F"/>
    <w:rsid w:val="00B00B0E"/>
    <w:rsid w:val="00B00B26"/>
    <w:rsid w:val="00B02385"/>
    <w:rsid w:val="00B02C86"/>
    <w:rsid w:val="00B02F9D"/>
    <w:rsid w:val="00B033D3"/>
    <w:rsid w:val="00B03811"/>
    <w:rsid w:val="00B05257"/>
    <w:rsid w:val="00B053A8"/>
    <w:rsid w:val="00B05766"/>
    <w:rsid w:val="00B05B7B"/>
    <w:rsid w:val="00B10279"/>
    <w:rsid w:val="00B10AAD"/>
    <w:rsid w:val="00B12060"/>
    <w:rsid w:val="00B13048"/>
    <w:rsid w:val="00B130E1"/>
    <w:rsid w:val="00B13883"/>
    <w:rsid w:val="00B153C8"/>
    <w:rsid w:val="00B17028"/>
    <w:rsid w:val="00B1716D"/>
    <w:rsid w:val="00B17A1D"/>
    <w:rsid w:val="00B207A0"/>
    <w:rsid w:val="00B20CBA"/>
    <w:rsid w:val="00B20F26"/>
    <w:rsid w:val="00B218B7"/>
    <w:rsid w:val="00B21C21"/>
    <w:rsid w:val="00B221FE"/>
    <w:rsid w:val="00B22C71"/>
    <w:rsid w:val="00B22F54"/>
    <w:rsid w:val="00B231CD"/>
    <w:rsid w:val="00B237D5"/>
    <w:rsid w:val="00B23D6E"/>
    <w:rsid w:val="00B24A7E"/>
    <w:rsid w:val="00B25C0C"/>
    <w:rsid w:val="00B26239"/>
    <w:rsid w:val="00B304B5"/>
    <w:rsid w:val="00B308A9"/>
    <w:rsid w:val="00B31047"/>
    <w:rsid w:val="00B32075"/>
    <w:rsid w:val="00B33148"/>
    <w:rsid w:val="00B33AD1"/>
    <w:rsid w:val="00B34DC5"/>
    <w:rsid w:val="00B34E62"/>
    <w:rsid w:val="00B35CDF"/>
    <w:rsid w:val="00B403C2"/>
    <w:rsid w:val="00B405A1"/>
    <w:rsid w:val="00B413FA"/>
    <w:rsid w:val="00B435E0"/>
    <w:rsid w:val="00B4438A"/>
    <w:rsid w:val="00B45AA2"/>
    <w:rsid w:val="00B479CA"/>
    <w:rsid w:val="00B5084F"/>
    <w:rsid w:val="00B51169"/>
    <w:rsid w:val="00B511F9"/>
    <w:rsid w:val="00B514DD"/>
    <w:rsid w:val="00B514F7"/>
    <w:rsid w:val="00B516A5"/>
    <w:rsid w:val="00B52003"/>
    <w:rsid w:val="00B5282E"/>
    <w:rsid w:val="00B52AF0"/>
    <w:rsid w:val="00B52E6C"/>
    <w:rsid w:val="00B53D5F"/>
    <w:rsid w:val="00B54051"/>
    <w:rsid w:val="00B54DB2"/>
    <w:rsid w:val="00B561BD"/>
    <w:rsid w:val="00B56E03"/>
    <w:rsid w:val="00B6115F"/>
    <w:rsid w:val="00B62765"/>
    <w:rsid w:val="00B62979"/>
    <w:rsid w:val="00B62BD0"/>
    <w:rsid w:val="00B65DF5"/>
    <w:rsid w:val="00B666D3"/>
    <w:rsid w:val="00B67F11"/>
    <w:rsid w:val="00B71038"/>
    <w:rsid w:val="00B74157"/>
    <w:rsid w:val="00B757D5"/>
    <w:rsid w:val="00B7679F"/>
    <w:rsid w:val="00B76E5C"/>
    <w:rsid w:val="00B77159"/>
    <w:rsid w:val="00B77AD8"/>
    <w:rsid w:val="00B77C05"/>
    <w:rsid w:val="00B8080B"/>
    <w:rsid w:val="00B8145B"/>
    <w:rsid w:val="00B81787"/>
    <w:rsid w:val="00B82223"/>
    <w:rsid w:val="00B82B4E"/>
    <w:rsid w:val="00B84918"/>
    <w:rsid w:val="00B864B0"/>
    <w:rsid w:val="00B877F3"/>
    <w:rsid w:val="00B87BA5"/>
    <w:rsid w:val="00B87C39"/>
    <w:rsid w:val="00B90D00"/>
    <w:rsid w:val="00B918EE"/>
    <w:rsid w:val="00B91DBA"/>
    <w:rsid w:val="00B93299"/>
    <w:rsid w:val="00B93891"/>
    <w:rsid w:val="00B94F60"/>
    <w:rsid w:val="00B953C0"/>
    <w:rsid w:val="00B9562D"/>
    <w:rsid w:val="00B972DA"/>
    <w:rsid w:val="00BA0BAD"/>
    <w:rsid w:val="00BA21DA"/>
    <w:rsid w:val="00BA26D4"/>
    <w:rsid w:val="00BA2B60"/>
    <w:rsid w:val="00BA3C93"/>
    <w:rsid w:val="00BA4665"/>
    <w:rsid w:val="00BA67DA"/>
    <w:rsid w:val="00BA7FD7"/>
    <w:rsid w:val="00BB1681"/>
    <w:rsid w:val="00BB1BEC"/>
    <w:rsid w:val="00BB1F15"/>
    <w:rsid w:val="00BB2FB2"/>
    <w:rsid w:val="00BB3304"/>
    <w:rsid w:val="00BB3CC8"/>
    <w:rsid w:val="00BB60E5"/>
    <w:rsid w:val="00BB6551"/>
    <w:rsid w:val="00BB6ADE"/>
    <w:rsid w:val="00BB7661"/>
    <w:rsid w:val="00BB77E5"/>
    <w:rsid w:val="00BC1C6C"/>
    <w:rsid w:val="00BC38E0"/>
    <w:rsid w:val="00BC4A10"/>
    <w:rsid w:val="00BC7BF0"/>
    <w:rsid w:val="00BD0202"/>
    <w:rsid w:val="00BD141D"/>
    <w:rsid w:val="00BD1737"/>
    <w:rsid w:val="00BD30F4"/>
    <w:rsid w:val="00BD3446"/>
    <w:rsid w:val="00BD59CF"/>
    <w:rsid w:val="00BE1312"/>
    <w:rsid w:val="00BE1F1B"/>
    <w:rsid w:val="00BE2406"/>
    <w:rsid w:val="00BE3F89"/>
    <w:rsid w:val="00BE47B5"/>
    <w:rsid w:val="00BE5FCE"/>
    <w:rsid w:val="00BF03D9"/>
    <w:rsid w:val="00BF0A1E"/>
    <w:rsid w:val="00BF2EAA"/>
    <w:rsid w:val="00BF33DD"/>
    <w:rsid w:val="00BF69B3"/>
    <w:rsid w:val="00BF77BB"/>
    <w:rsid w:val="00BF7CD0"/>
    <w:rsid w:val="00BF7CEA"/>
    <w:rsid w:val="00C00314"/>
    <w:rsid w:val="00C0079E"/>
    <w:rsid w:val="00C0370F"/>
    <w:rsid w:val="00C03B8D"/>
    <w:rsid w:val="00C04B3B"/>
    <w:rsid w:val="00C0572A"/>
    <w:rsid w:val="00C05F0A"/>
    <w:rsid w:val="00C07C98"/>
    <w:rsid w:val="00C137D3"/>
    <w:rsid w:val="00C13EBD"/>
    <w:rsid w:val="00C14BA4"/>
    <w:rsid w:val="00C14EB7"/>
    <w:rsid w:val="00C1631B"/>
    <w:rsid w:val="00C16385"/>
    <w:rsid w:val="00C163AB"/>
    <w:rsid w:val="00C16DA2"/>
    <w:rsid w:val="00C170F0"/>
    <w:rsid w:val="00C1725A"/>
    <w:rsid w:val="00C17D93"/>
    <w:rsid w:val="00C20735"/>
    <w:rsid w:val="00C214D8"/>
    <w:rsid w:val="00C218E6"/>
    <w:rsid w:val="00C23662"/>
    <w:rsid w:val="00C25962"/>
    <w:rsid w:val="00C259F2"/>
    <w:rsid w:val="00C25FA6"/>
    <w:rsid w:val="00C266AC"/>
    <w:rsid w:val="00C270EA"/>
    <w:rsid w:val="00C3099D"/>
    <w:rsid w:val="00C30D46"/>
    <w:rsid w:val="00C30FEC"/>
    <w:rsid w:val="00C33011"/>
    <w:rsid w:val="00C336C0"/>
    <w:rsid w:val="00C33B34"/>
    <w:rsid w:val="00C362C1"/>
    <w:rsid w:val="00C364B5"/>
    <w:rsid w:val="00C404D7"/>
    <w:rsid w:val="00C4175C"/>
    <w:rsid w:val="00C41950"/>
    <w:rsid w:val="00C41DB4"/>
    <w:rsid w:val="00C426A6"/>
    <w:rsid w:val="00C42C3B"/>
    <w:rsid w:val="00C430CB"/>
    <w:rsid w:val="00C44342"/>
    <w:rsid w:val="00C45F63"/>
    <w:rsid w:val="00C47BAE"/>
    <w:rsid w:val="00C50245"/>
    <w:rsid w:val="00C505F2"/>
    <w:rsid w:val="00C508A4"/>
    <w:rsid w:val="00C51672"/>
    <w:rsid w:val="00C5193C"/>
    <w:rsid w:val="00C538A9"/>
    <w:rsid w:val="00C539D4"/>
    <w:rsid w:val="00C53AA8"/>
    <w:rsid w:val="00C53B5A"/>
    <w:rsid w:val="00C53E41"/>
    <w:rsid w:val="00C54909"/>
    <w:rsid w:val="00C54AF3"/>
    <w:rsid w:val="00C54B93"/>
    <w:rsid w:val="00C54F5A"/>
    <w:rsid w:val="00C5608D"/>
    <w:rsid w:val="00C569B4"/>
    <w:rsid w:val="00C57CDE"/>
    <w:rsid w:val="00C57CEE"/>
    <w:rsid w:val="00C57DDE"/>
    <w:rsid w:val="00C61468"/>
    <w:rsid w:val="00C618B0"/>
    <w:rsid w:val="00C61A97"/>
    <w:rsid w:val="00C61AA9"/>
    <w:rsid w:val="00C61BFA"/>
    <w:rsid w:val="00C61E44"/>
    <w:rsid w:val="00C62744"/>
    <w:rsid w:val="00C637EC"/>
    <w:rsid w:val="00C63D45"/>
    <w:rsid w:val="00C64FF3"/>
    <w:rsid w:val="00C662AD"/>
    <w:rsid w:val="00C67A92"/>
    <w:rsid w:val="00C67D78"/>
    <w:rsid w:val="00C70849"/>
    <w:rsid w:val="00C71280"/>
    <w:rsid w:val="00C717BF"/>
    <w:rsid w:val="00C72E6C"/>
    <w:rsid w:val="00C74455"/>
    <w:rsid w:val="00C76178"/>
    <w:rsid w:val="00C82098"/>
    <w:rsid w:val="00C823C0"/>
    <w:rsid w:val="00C84560"/>
    <w:rsid w:val="00C84B28"/>
    <w:rsid w:val="00C85740"/>
    <w:rsid w:val="00C86679"/>
    <w:rsid w:val="00C86FF0"/>
    <w:rsid w:val="00C8792F"/>
    <w:rsid w:val="00C90472"/>
    <w:rsid w:val="00C91D6E"/>
    <w:rsid w:val="00C933FF"/>
    <w:rsid w:val="00C944FE"/>
    <w:rsid w:val="00C94AE5"/>
    <w:rsid w:val="00CA0817"/>
    <w:rsid w:val="00CA489E"/>
    <w:rsid w:val="00CA7A6C"/>
    <w:rsid w:val="00CB0279"/>
    <w:rsid w:val="00CB2D42"/>
    <w:rsid w:val="00CB3195"/>
    <w:rsid w:val="00CB3F40"/>
    <w:rsid w:val="00CB4298"/>
    <w:rsid w:val="00CB445E"/>
    <w:rsid w:val="00CB5CBA"/>
    <w:rsid w:val="00CB666B"/>
    <w:rsid w:val="00CB6784"/>
    <w:rsid w:val="00CB6D0A"/>
    <w:rsid w:val="00CB6EF2"/>
    <w:rsid w:val="00CB734B"/>
    <w:rsid w:val="00CC0BBA"/>
    <w:rsid w:val="00CC1017"/>
    <w:rsid w:val="00CC1AFB"/>
    <w:rsid w:val="00CC1C48"/>
    <w:rsid w:val="00CC1DEF"/>
    <w:rsid w:val="00CC360F"/>
    <w:rsid w:val="00CC41B6"/>
    <w:rsid w:val="00CC44A4"/>
    <w:rsid w:val="00CC65D9"/>
    <w:rsid w:val="00CC7071"/>
    <w:rsid w:val="00CC78E1"/>
    <w:rsid w:val="00CC7ADA"/>
    <w:rsid w:val="00CC7D80"/>
    <w:rsid w:val="00CC7F1D"/>
    <w:rsid w:val="00CD075F"/>
    <w:rsid w:val="00CD0A88"/>
    <w:rsid w:val="00CD0F67"/>
    <w:rsid w:val="00CD125D"/>
    <w:rsid w:val="00CD19D4"/>
    <w:rsid w:val="00CD1D87"/>
    <w:rsid w:val="00CD283C"/>
    <w:rsid w:val="00CD3641"/>
    <w:rsid w:val="00CD3D6B"/>
    <w:rsid w:val="00CD3FAC"/>
    <w:rsid w:val="00CD44F0"/>
    <w:rsid w:val="00CD4CC3"/>
    <w:rsid w:val="00CD53F0"/>
    <w:rsid w:val="00CD66EA"/>
    <w:rsid w:val="00CD6E56"/>
    <w:rsid w:val="00CD7230"/>
    <w:rsid w:val="00CD7432"/>
    <w:rsid w:val="00CD797D"/>
    <w:rsid w:val="00CD7A5C"/>
    <w:rsid w:val="00CE0FA5"/>
    <w:rsid w:val="00CE1EE1"/>
    <w:rsid w:val="00CE2A23"/>
    <w:rsid w:val="00CE31C8"/>
    <w:rsid w:val="00CE484B"/>
    <w:rsid w:val="00CE5B9D"/>
    <w:rsid w:val="00CE6EA2"/>
    <w:rsid w:val="00CE6FC9"/>
    <w:rsid w:val="00CE7CBA"/>
    <w:rsid w:val="00CE7DAA"/>
    <w:rsid w:val="00CF0DEE"/>
    <w:rsid w:val="00CF24AE"/>
    <w:rsid w:val="00CF2894"/>
    <w:rsid w:val="00CF357A"/>
    <w:rsid w:val="00CF42AA"/>
    <w:rsid w:val="00CF5EAA"/>
    <w:rsid w:val="00CF6AE3"/>
    <w:rsid w:val="00CF77BB"/>
    <w:rsid w:val="00CF7AF8"/>
    <w:rsid w:val="00CF7DE6"/>
    <w:rsid w:val="00D006AE"/>
    <w:rsid w:val="00D00905"/>
    <w:rsid w:val="00D010C1"/>
    <w:rsid w:val="00D01CF0"/>
    <w:rsid w:val="00D033E5"/>
    <w:rsid w:val="00D0442A"/>
    <w:rsid w:val="00D0525E"/>
    <w:rsid w:val="00D054EE"/>
    <w:rsid w:val="00D06BE8"/>
    <w:rsid w:val="00D07130"/>
    <w:rsid w:val="00D12A7B"/>
    <w:rsid w:val="00D12ADB"/>
    <w:rsid w:val="00D12BAE"/>
    <w:rsid w:val="00D14A40"/>
    <w:rsid w:val="00D15CE2"/>
    <w:rsid w:val="00D15E63"/>
    <w:rsid w:val="00D15FCC"/>
    <w:rsid w:val="00D207AB"/>
    <w:rsid w:val="00D21400"/>
    <w:rsid w:val="00D216C8"/>
    <w:rsid w:val="00D21E8C"/>
    <w:rsid w:val="00D235CF"/>
    <w:rsid w:val="00D24206"/>
    <w:rsid w:val="00D25124"/>
    <w:rsid w:val="00D25A39"/>
    <w:rsid w:val="00D26085"/>
    <w:rsid w:val="00D273A5"/>
    <w:rsid w:val="00D27468"/>
    <w:rsid w:val="00D27CFA"/>
    <w:rsid w:val="00D30004"/>
    <w:rsid w:val="00D3078C"/>
    <w:rsid w:val="00D30B9C"/>
    <w:rsid w:val="00D30FEB"/>
    <w:rsid w:val="00D310FA"/>
    <w:rsid w:val="00D3163D"/>
    <w:rsid w:val="00D325C6"/>
    <w:rsid w:val="00D33310"/>
    <w:rsid w:val="00D3454B"/>
    <w:rsid w:val="00D347A6"/>
    <w:rsid w:val="00D34B20"/>
    <w:rsid w:val="00D37053"/>
    <w:rsid w:val="00D37213"/>
    <w:rsid w:val="00D37727"/>
    <w:rsid w:val="00D40C09"/>
    <w:rsid w:val="00D423D7"/>
    <w:rsid w:val="00D4360D"/>
    <w:rsid w:val="00D45315"/>
    <w:rsid w:val="00D47007"/>
    <w:rsid w:val="00D47926"/>
    <w:rsid w:val="00D533F3"/>
    <w:rsid w:val="00D55D41"/>
    <w:rsid w:val="00D5607F"/>
    <w:rsid w:val="00D568F8"/>
    <w:rsid w:val="00D56C4F"/>
    <w:rsid w:val="00D56E8A"/>
    <w:rsid w:val="00D57729"/>
    <w:rsid w:val="00D602E5"/>
    <w:rsid w:val="00D60F46"/>
    <w:rsid w:val="00D61388"/>
    <w:rsid w:val="00D61A54"/>
    <w:rsid w:val="00D62108"/>
    <w:rsid w:val="00D630F9"/>
    <w:rsid w:val="00D64257"/>
    <w:rsid w:val="00D64AA4"/>
    <w:rsid w:val="00D64DEA"/>
    <w:rsid w:val="00D64F84"/>
    <w:rsid w:val="00D663CD"/>
    <w:rsid w:val="00D66EB9"/>
    <w:rsid w:val="00D6726A"/>
    <w:rsid w:val="00D7001B"/>
    <w:rsid w:val="00D71169"/>
    <w:rsid w:val="00D715B4"/>
    <w:rsid w:val="00D7160D"/>
    <w:rsid w:val="00D7168E"/>
    <w:rsid w:val="00D71B84"/>
    <w:rsid w:val="00D71E57"/>
    <w:rsid w:val="00D7221E"/>
    <w:rsid w:val="00D72C56"/>
    <w:rsid w:val="00D72D27"/>
    <w:rsid w:val="00D73766"/>
    <w:rsid w:val="00D758A6"/>
    <w:rsid w:val="00D7786B"/>
    <w:rsid w:val="00D80893"/>
    <w:rsid w:val="00D82519"/>
    <w:rsid w:val="00D8253D"/>
    <w:rsid w:val="00D8272F"/>
    <w:rsid w:val="00D83FF8"/>
    <w:rsid w:val="00D8471F"/>
    <w:rsid w:val="00D84854"/>
    <w:rsid w:val="00D85611"/>
    <w:rsid w:val="00D85E00"/>
    <w:rsid w:val="00D878B1"/>
    <w:rsid w:val="00D907A3"/>
    <w:rsid w:val="00D9227D"/>
    <w:rsid w:val="00D924AE"/>
    <w:rsid w:val="00D92655"/>
    <w:rsid w:val="00D92CF1"/>
    <w:rsid w:val="00D92D38"/>
    <w:rsid w:val="00D930D1"/>
    <w:rsid w:val="00D93182"/>
    <w:rsid w:val="00D932CB"/>
    <w:rsid w:val="00D9365C"/>
    <w:rsid w:val="00D9401F"/>
    <w:rsid w:val="00D950F5"/>
    <w:rsid w:val="00D955B4"/>
    <w:rsid w:val="00D971E1"/>
    <w:rsid w:val="00D97379"/>
    <w:rsid w:val="00D977A1"/>
    <w:rsid w:val="00D97A00"/>
    <w:rsid w:val="00DA014F"/>
    <w:rsid w:val="00DA01D9"/>
    <w:rsid w:val="00DA11B2"/>
    <w:rsid w:val="00DA142F"/>
    <w:rsid w:val="00DA15F4"/>
    <w:rsid w:val="00DA2D51"/>
    <w:rsid w:val="00DA4752"/>
    <w:rsid w:val="00DA4C09"/>
    <w:rsid w:val="00DA53F2"/>
    <w:rsid w:val="00DA614B"/>
    <w:rsid w:val="00DA61F3"/>
    <w:rsid w:val="00DA6C1D"/>
    <w:rsid w:val="00DA7CB3"/>
    <w:rsid w:val="00DA7EEB"/>
    <w:rsid w:val="00DB0D00"/>
    <w:rsid w:val="00DB0E6B"/>
    <w:rsid w:val="00DB0F93"/>
    <w:rsid w:val="00DB1A67"/>
    <w:rsid w:val="00DB2001"/>
    <w:rsid w:val="00DB2B39"/>
    <w:rsid w:val="00DB3721"/>
    <w:rsid w:val="00DB468E"/>
    <w:rsid w:val="00DB47DC"/>
    <w:rsid w:val="00DB5074"/>
    <w:rsid w:val="00DB72A7"/>
    <w:rsid w:val="00DB7688"/>
    <w:rsid w:val="00DC0281"/>
    <w:rsid w:val="00DC0333"/>
    <w:rsid w:val="00DC1930"/>
    <w:rsid w:val="00DC1C76"/>
    <w:rsid w:val="00DC367C"/>
    <w:rsid w:val="00DC4795"/>
    <w:rsid w:val="00DC4DBF"/>
    <w:rsid w:val="00DC4E19"/>
    <w:rsid w:val="00DC65FE"/>
    <w:rsid w:val="00DC670F"/>
    <w:rsid w:val="00DC7981"/>
    <w:rsid w:val="00DD0561"/>
    <w:rsid w:val="00DD05A2"/>
    <w:rsid w:val="00DD2A7A"/>
    <w:rsid w:val="00DD3135"/>
    <w:rsid w:val="00DD32AF"/>
    <w:rsid w:val="00DD33E9"/>
    <w:rsid w:val="00DD4C07"/>
    <w:rsid w:val="00DD577D"/>
    <w:rsid w:val="00DD5ADC"/>
    <w:rsid w:val="00DD67D9"/>
    <w:rsid w:val="00DD6DE6"/>
    <w:rsid w:val="00DE1093"/>
    <w:rsid w:val="00DE2A24"/>
    <w:rsid w:val="00DE2F53"/>
    <w:rsid w:val="00DE3C9C"/>
    <w:rsid w:val="00DE3F9D"/>
    <w:rsid w:val="00DE43AE"/>
    <w:rsid w:val="00DE43BC"/>
    <w:rsid w:val="00DE4EFA"/>
    <w:rsid w:val="00DE513E"/>
    <w:rsid w:val="00DE5520"/>
    <w:rsid w:val="00DE563D"/>
    <w:rsid w:val="00DE6089"/>
    <w:rsid w:val="00DE7AB5"/>
    <w:rsid w:val="00DF0043"/>
    <w:rsid w:val="00DF0152"/>
    <w:rsid w:val="00DF1958"/>
    <w:rsid w:val="00DF2CC3"/>
    <w:rsid w:val="00DF38B2"/>
    <w:rsid w:val="00DF46BA"/>
    <w:rsid w:val="00DF530E"/>
    <w:rsid w:val="00DF60E5"/>
    <w:rsid w:val="00DF6147"/>
    <w:rsid w:val="00E00318"/>
    <w:rsid w:val="00E01384"/>
    <w:rsid w:val="00E01BA8"/>
    <w:rsid w:val="00E02BD0"/>
    <w:rsid w:val="00E04818"/>
    <w:rsid w:val="00E04B85"/>
    <w:rsid w:val="00E059D9"/>
    <w:rsid w:val="00E06442"/>
    <w:rsid w:val="00E06952"/>
    <w:rsid w:val="00E100B5"/>
    <w:rsid w:val="00E1029F"/>
    <w:rsid w:val="00E11E61"/>
    <w:rsid w:val="00E120DB"/>
    <w:rsid w:val="00E131D7"/>
    <w:rsid w:val="00E13FB6"/>
    <w:rsid w:val="00E156D4"/>
    <w:rsid w:val="00E157B2"/>
    <w:rsid w:val="00E158D7"/>
    <w:rsid w:val="00E15C6B"/>
    <w:rsid w:val="00E16055"/>
    <w:rsid w:val="00E16123"/>
    <w:rsid w:val="00E16CB1"/>
    <w:rsid w:val="00E16D70"/>
    <w:rsid w:val="00E2332D"/>
    <w:rsid w:val="00E2392C"/>
    <w:rsid w:val="00E23993"/>
    <w:rsid w:val="00E24579"/>
    <w:rsid w:val="00E253CA"/>
    <w:rsid w:val="00E2543E"/>
    <w:rsid w:val="00E256A6"/>
    <w:rsid w:val="00E2574F"/>
    <w:rsid w:val="00E25951"/>
    <w:rsid w:val="00E25B8C"/>
    <w:rsid w:val="00E30A51"/>
    <w:rsid w:val="00E30AA6"/>
    <w:rsid w:val="00E31CF6"/>
    <w:rsid w:val="00E344D5"/>
    <w:rsid w:val="00E34A4A"/>
    <w:rsid w:val="00E35AFC"/>
    <w:rsid w:val="00E40431"/>
    <w:rsid w:val="00E41CDD"/>
    <w:rsid w:val="00E41D39"/>
    <w:rsid w:val="00E42960"/>
    <w:rsid w:val="00E43395"/>
    <w:rsid w:val="00E46F38"/>
    <w:rsid w:val="00E46F99"/>
    <w:rsid w:val="00E50A02"/>
    <w:rsid w:val="00E5163A"/>
    <w:rsid w:val="00E54106"/>
    <w:rsid w:val="00E541CB"/>
    <w:rsid w:val="00E54697"/>
    <w:rsid w:val="00E54984"/>
    <w:rsid w:val="00E56B12"/>
    <w:rsid w:val="00E57A08"/>
    <w:rsid w:val="00E60C4A"/>
    <w:rsid w:val="00E61EB4"/>
    <w:rsid w:val="00E6227C"/>
    <w:rsid w:val="00E62426"/>
    <w:rsid w:val="00E62820"/>
    <w:rsid w:val="00E63631"/>
    <w:rsid w:val="00E646BD"/>
    <w:rsid w:val="00E64BEE"/>
    <w:rsid w:val="00E64C2A"/>
    <w:rsid w:val="00E65C18"/>
    <w:rsid w:val="00E65C85"/>
    <w:rsid w:val="00E66199"/>
    <w:rsid w:val="00E66E25"/>
    <w:rsid w:val="00E70526"/>
    <w:rsid w:val="00E715DF"/>
    <w:rsid w:val="00E73174"/>
    <w:rsid w:val="00E753F4"/>
    <w:rsid w:val="00E754B4"/>
    <w:rsid w:val="00E755EC"/>
    <w:rsid w:val="00E7624D"/>
    <w:rsid w:val="00E76572"/>
    <w:rsid w:val="00E7762E"/>
    <w:rsid w:val="00E81724"/>
    <w:rsid w:val="00E819A4"/>
    <w:rsid w:val="00E8255B"/>
    <w:rsid w:val="00E833FA"/>
    <w:rsid w:val="00E8490E"/>
    <w:rsid w:val="00E84A10"/>
    <w:rsid w:val="00E84B74"/>
    <w:rsid w:val="00E854E7"/>
    <w:rsid w:val="00E855E0"/>
    <w:rsid w:val="00E85D06"/>
    <w:rsid w:val="00E85F23"/>
    <w:rsid w:val="00E860CF"/>
    <w:rsid w:val="00E861A6"/>
    <w:rsid w:val="00E87066"/>
    <w:rsid w:val="00E878F9"/>
    <w:rsid w:val="00E87F89"/>
    <w:rsid w:val="00E912A2"/>
    <w:rsid w:val="00E954BA"/>
    <w:rsid w:val="00E9575D"/>
    <w:rsid w:val="00E9583D"/>
    <w:rsid w:val="00E95B81"/>
    <w:rsid w:val="00E965C9"/>
    <w:rsid w:val="00E966BF"/>
    <w:rsid w:val="00E96A54"/>
    <w:rsid w:val="00E97FA4"/>
    <w:rsid w:val="00EA0726"/>
    <w:rsid w:val="00EA0C04"/>
    <w:rsid w:val="00EA0D5A"/>
    <w:rsid w:val="00EA3740"/>
    <w:rsid w:val="00EA3D42"/>
    <w:rsid w:val="00EA6B1B"/>
    <w:rsid w:val="00EA6D9E"/>
    <w:rsid w:val="00EA7CFD"/>
    <w:rsid w:val="00EB1CBD"/>
    <w:rsid w:val="00EB360A"/>
    <w:rsid w:val="00EB3A34"/>
    <w:rsid w:val="00EB3B1B"/>
    <w:rsid w:val="00EB3C3F"/>
    <w:rsid w:val="00EB4265"/>
    <w:rsid w:val="00EB492B"/>
    <w:rsid w:val="00EB52F0"/>
    <w:rsid w:val="00EB7233"/>
    <w:rsid w:val="00EB7AE3"/>
    <w:rsid w:val="00EC04F1"/>
    <w:rsid w:val="00EC0ADA"/>
    <w:rsid w:val="00EC21AF"/>
    <w:rsid w:val="00EC2331"/>
    <w:rsid w:val="00EC237F"/>
    <w:rsid w:val="00EC4313"/>
    <w:rsid w:val="00EC573A"/>
    <w:rsid w:val="00EC5943"/>
    <w:rsid w:val="00EC5DF2"/>
    <w:rsid w:val="00EC5EAD"/>
    <w:rsid w:val="00EC68B5"/>
    <w:rsid w:val="00EC6B7C"/>
    <w:rsid w:val="00EC764B"/>
    <w:rsid w:val="00EC7D51"/>
    <w:rsid w:val="00ED0035"/>
    <w:rsid w:val="00ED1A1D"/>
    <w:rsid w:val="00ED2C67"/>
    <w:rsid w:val="00ED2DAC"/>
    <w:rsid w:val="00ED35C8"/>
    <w:rsid w:val="00ED3968"/>
    <w:rsid w:val="00ED5937"/>
    <w:rsid w:val="00ED5DD4"/>
    <w:rsid w:val="00ED7323"/>
    <w:rsid w:val="00EE0730"/>
    <w:rsid w:val="00EE1B9F"/>
    <w:rsid w:val="00EE28F3"/>
    <w:rsid w:val="00EE3FA1"/>
    <w:rsid w:val="00EE50D1"/>
    <w:rsid w:val="00EE7614"/>
    <w:rsid w:val="00EF0A8E"/>
    <w:rsid w:val="00EF1BD2"/>
    <w:rsid w:val="00EF2686"/>
    <w:rsid w:val="00EF3DDF"/>
    <w:rsid w:val="00EF5110"/>
    <w:rsid w:val="00EF52BC"/>
    <w:rsid w:val="00EF5890"/>
    <w:rsid w:val="00EF62A8"/>
    <w:rsid w:val="00EF76BA"/>
    <w:rsid w:val="00F00C52"/>
    <w:rsid w:val="00F00DF3"/>
    <w:rsid w:val="00F00F1B"/>
    <w:rsid w:val="00F010AF"/>
    <w:rsid w:val="00F0231A"/>
    <w:rsid w:val="00F03463"/>
    <w:rsid w:val="00F036B7"/>
    <w:rsid w:val="00F03FD7"/>
    <w:rsid w:val="00F04A84"/>
    <w:rsid w:val="00F0700F"/>
    <w:rsid w:val="00F07F1F"/>
    <w:rsid w:val="00F10411"/>
    <w:rsid w:val="00F108B5"/>
    <w:rsid w:val="00F10A9A"/>
    <w:rsid w:val="00F11B2D"/>
    <w:rsid w:val="00F121C2"/>
    <w:rsid w:val="00F1485B"/>
    <w:rsid w:val="00F15882"/>
    <w:rsid w:val="00F16ADB"/>
    <w:rsid w:val="00F16F10"/>
    <w:rsid w:val="00F170C7"/>
    <w:rsid w:val="00F171E0"/>
    <w:rsid w:val="00F172A9"/>
    <w:rsid w:val="00F17ABA"/>
    <w:rsid w:val="00F17B87"/>
    <w:rsid w:val="00F20BD3"/>
    <w:rsid w:val="00F246C5"/>
    <w:rsid w:val="00F259E3"/>
    <w:rsid w:val="00F25B1B"/>
    <w:rsid w:val="00F2621C"/>
    <w:rsid w:val="00F262FD"/>
    <w:rsid w:val="00F27D11"/>
    <w:rsid w:val="00F30104"/>
    <w:rsid w:val="00F30CAE"/>
    <w:rsid w:val="00F322E9"/>
    <w:rsid w:val="00F3231B"/>
    <w:rsid w:val="00F33808"/>
    <w:rsid w:val="00F33E2A"/>
    <w:rsid w:val="00F34750"/>
    <w:rsid w:val="00F350EF"/>
    <w:rsid w:val="00F35BEB"/>
    <w:rsid w:val="00F36060"/>
    <w:rsid w:val="00F369AC"/>
    <w:rsid w:val="00F371F3"/>
    <w:rsid w:val="00F373A5"/>
    <w:rsid w:val="00F37864"/>
    <w:rsid w:val="00F4029F"/>
    <w:rsid w:val="00F404F9"/>
    <w:rsid w:val="00F40C55"/>
    <w:rsid w:val="00F41737"/>
    <w:rsid w:val="00F41D14"/>
    <w:rsid w:val="00F42259"/>
    <w:rsid w:val="00F426C6"/>
    <w:rsid w:val="00F427C9"/>
    <w:rsid w:val="00F44B0A"/>
    <w:rsid w:val="00F45CC1"/>
    <w:rsid w:val="00F45D14"/>
    <w:rsid w:val="00F47559"/>
    <w:rsid w:val="00F50105"/>
    <w:rsid w:val="00F50B30"/>
    <w:rsid w:val="00F51F5F"/>
    <w:rsid w:val="00F52D75"/>
    <w:rsid w:val="00F53739"/>
    <w:rsid w:val="00F537A0"/>
    <w:rsid w:val="00F53D51"/>
    <w:rsid w:val="00F5530C"/>
    <w:rsid w:val="00F55582"/>
    <w:rsid w:val="00F57647"/>
    <w:rsid w:val="00F57D27"/>
    <w:rsid w:val="00F60F2D"/>
    <w:rsid w:val="00F6168E"/>
    <w:rsid w:val="00F6220E"/>
    <w:rsid w:val="00F62A14"/>
    <w:rsid w:val="00F6418A"/>
    <w:rsid w:val="00F643C2"/>
    <w:rsid w:val="00F644AB"/>
    <w:rsid w:val="00F6489A"/>
    <w:rsid w:val="00F64C7B"/>
    <w:rsid w:val="00F66400"/>
    <w:rsid w:val="00F676DD"/>
    <w:rsid w:val="00F67AB6"/>
    <w:rsid w:val="00F70028"/>
    <w:rsid w:val="00F70434"/>
    <w:rsid w:val="00F71498"/>
    <w:rsid w:val="00F71FD2"/>
    <w:rsid w:val="00F7203C"/>
    <w:rsid w:val="00F72691"/>
    <w:rsid w:val="00F7403A"/>
    <w:rsid w:val="00F74F44"/>
    <w:rsid w:val="00F7591C"/>
    <w:rsid w:val="00F75A26"/>
    <w:rsid w:val="00F75B95"/>
    <w:rsid w:val="00F76026"/>
    <w:rsid w:val="00F76706"/>
    <w:rsid w:val="00F77D6D"/>
    <w:rsid w:val="00F80206"/>
    <w:rsid w:val="00F83034"/>
    <w:rsid w:val="00F83425"/>
    <w:rsid w:val="00F83FAD"/>
    <w:rsid w:val="00F844C6"/>
    <w:rsid w:val="00F8787B"/>
    <w:rsid w:val="00F92CE9"/>
    <w:rsid w:val="00F92FA6"/>
    <w:rsid w:val="00F9353B"/>
    <w:rsid w:val="00F937F1"/>
    <w:rsid w:val="00F9409F"/>
    <w:rsid w:val="00F952A0"/>
    <w:rsid w:val="00FA09B4"/>
    <w:rsid w:val="00FA31B1"/>
    <w:rsid w:val="00FA3320"/>
    <w:rsid w:val="00FA3C7F"/>
    <w:rsid w:val="00FA55A7"/>
    <w:rsid w:val="00FA6246"/>
    <w:rsid w:val="00FB096D"/>
    <w:rsid w:val="00FB24ED"/>
    <w:rsid w:val="00FB2D49"/>
    <w:rsid w:val="00FB30F5"/>
    <w:rsid w:val="00FB3304"/>
    <w:rsid w:val="00FB3FD8"/>
    <w:rsid w:val="00FB40AB"/>
    <w:rsid w:val="00FB415F"/>
    <w:rsid w:val="00FB4548"/>
    <w:rsid w:val="00FB5005"/>
    <w:rsid w:val="00FB5F42"/>
    <w:rsid w:val="00FB60FE"/>
    <w:rsid w:val="00FB689E"/>
    <w:rsid w:val="00FB74E2"/>
    <w:rsid w:val="00FB778A"/>
    <w:rsid w:val="00FB778B"/>
    <w:rsid w:val="00FC4262"/>
    <w:rsid w:val="00FC4BAD"/>
    <w:rsid w:val="00FC5D37"/>
    <w:rsid w:val="00FC5DF4"/>
    <w:rsid w:val="00FC7A76"/>
    <w:rsid w:val="00FC7D27"/>
    <w:rsid w:val="00FD1033"/>
    <w:rsid w:val="00FD111E"/>
    <w:rsid w:val="00FD191E"/>
    <w:rsid w:val="00FD1F90"/>
    <w:rsid w:val="00FD20B0"/>
    <w:rsid w:val="00FD307A"/>
    <w:rsid w:val="00FD388A"/>
    <w:rsid w:val="00FD3FFB"/>
    <w:rsid w:val="00FD40B3"/>
    <w:rsid w:val="00FD47AA"/>
    <w:rsid w:val="00FD5614"/>
    <w:rsid w:val="00FD5E78"/>
    <w:rsid w:val="00FE016D"/>
    <w:rsid w:val="00FE02FE"/>
    <w:rsid w:val="00FE0BE1"/>
    <w:rsid w:val="00FE11BB"/>
    <w:rsid w:val="00FE1C7C"/>
    <w:rsid w:val="00FE1DE9"/>
    <w:rsid w:val="00FE2B8F"/>
    <w:rsid w:val="00FE2D26"/>
    <w:rsid w:val="00FE36AF"/>
    <w:rsid w:val="00FE39C2"/>
    <w:rsid w:val="00FE3C32"/>
    <w:rsid w:val="00FE4996"/>
    <w:rsid w:val="00FE64AE"/>
    <w:rsid w:val="00FE725E"/>
    <w:rsid w:val="00FF0376"/>
    <w:rsid w:val="00FF4E7F"/>
    <w:rsid w:val="00FF6159"/>
    <w:rsid w:val="00FF61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FE9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ind w:left="1004"/>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aliases w:val="Numbered Table"/>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0"/>
      </w:numPr>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aliases w:val="Numbered Table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D141D"/>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character" w:customStyle="1" w:styleId="UnresolvedMention1">
    <w:name w:val="Unresolved Mention1"/>
    <w:basedOn w:val="DefaultParagraphFont"/>
    <w:uiPriority w:val="99"/>
    <w:semiHidden/>
    <w:unhideWhenUsed/>
    <w:rsid w:val="00F010AF"/>
    <w:rPr>
      <w:color w:val="605E5C"/>
      <w:shd w:val="clear" w:color="auto" w:fill="E1DFDD"/>
    </w:rPr>
  </w:style>
  <w:style w:type="paragraph" w:customStyle="1" w:styleId="Heading1notnumber">
    <w:name w:val="Heading 1 not number"/>
    <w:basedOn w:val="Heading1"/>
    <w:qFormat/>
    <w:rsid w:val="00DA53F2"/>
    <w:pPr>
      <w:numPr>
        <w:numId w:val="0"/>
      </w:numPr>
    </w:pPr>
  </w:style>
  <w:style w:type="character" w:customStyle="1" w:styleId="UnresolvedMention2">
    <w:name w:val="Unresolved Mention2"/>
    <w:basedOn w:val="DefaultParagraphFont"/>
    <w:uiPriority w:val="99"/>
    <w:semiHidden/>
    <w:unhideWhenUsed/>
    <w:rsid w:val="00505F40"/>
    <w:rPr>
      <w:color w:val="605E5C"/>
      <w:shd w:val="clear" w:color="auto" w:fill="E1DFDD"/>
    </w:rPr>
  </w:style>
  <w:style w:type="character" w:styleId="UnresolvedMention">
    <w:name w:val="Unresolved Mention"/>
    <w:basedOn w:val="DefaultParagraphFont"/>
    <w:uiPriority w:val="99"/>
    <w:semiHidden/>
    <w:unhideWhenUsed/>
    <w:rsid w:val="00A70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9401">
      <w:bodyDiv w:val="1"/>
      <w:marLeft w:val="0"/>
      <w:marRight w:val="0"/>
      <w:marTop w:val="0"/>
      <w:marBottom w:val="0"/>
      <w:divBdr>
        <w:top w:val="none" w:sz="0" w:space="0" w:color="auto"/>
        <w:left w:val="none" w:sz="0" w:space="0" w:color="auto"/>
        <w:bottom w:val="none" w:sz="0" w:space="0" w:color="auto"/>
        <w:right w:val="none" w:sz="0" w:space="0" w:color="auto"/>
      </w:divBdr>
    </w:div>
    <w:div w:id="111100025">
      <w:bodyDiv w:val="1"/>
      <w:marLeft w:val="0"/>
      <w:marRight w:val="0"/>
      <w:marTop w:val="0"/>
      <w:marBottom w:val="0"/>
      <w:divBdr>
        <w:top w:val="none" w:sz="0" w:space="0" w:color="auto"/>
        <w:left w:val="none" w:sz="0" w:space="0" w:color="auto"/>
        <w:bottom w:val="none" w:sz="0" w:space="0" w:color="auto"/>
        <w:right w:val="none" w:sz="0" w:space="0" w:color="auto"/>
      </w:divBdr>
    </w:div>
    <w:div w:id="203249004">
      <w:bodyDiv w:val="1"/>
      <w:marLeft w:val="0"/>
      <w:marRight w:val="0"/>
      <w:marTop w:val="0"/>
      <w:marBottom w:val="0"/>
      <w:divBdr>
        <w:top w:val="none" w:sz="0" w:space="0" w:color="auto"/>
        <w:left w:val="none" w:sz="0" w:space="0" w:color="auto"/>
        <w:bottom w:val="none" w:sz="0" w:space="0" w:color="auto"/>
        <w:right w:val="none" w:sz="0" w:space="0" w:color="auto"/>
      </w:divBdr>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14330218">
      <w:bodyDiv w:val="1"/>
      <w:marLeft w:val="0"/>
      <w:marRight w:val="0"/>
      <w:marTop w:val="0"/>
      <w:marBottom w:val="0"/>
      <w:divBdr>
        <w:top w:val="none" w:sz="0" w:space="0" w:color="auto"/>
        <w:left w:val="none" w:sz="0" w:space="0" w:color="auto"/>
        <w:bottom w:val="none" w:sz="0" w:space="0" w:color="auto"/>
        <w:right w:val="none" w:sz="0" w:space="0" w:color="auto"/>
      </w:divBdr>
    </w:div>
    <w:div w:id="442269125">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07214283">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40615298">
      <w:bodyDiv w:val="1"/>
      <w:marLeft w:val="0"/>
      <w:marRight w:val="0"/>
      <w:marTop w:val="0"/>
      <w:marBottom w:val="0"/>
      <w:divBdr>
        <w:top w:val="none" w:sz="0" w:space="0" w:color="auto"/>
        <w:left w:val="none" w:sz="0" w:space="0" w:color="auto"/>
        <w:bottom w:val="none" w:sz="0" w:space="0" w:color="auto"/>
        <w:right w:val="none" w:sz="0" w:space="0" w:color="auto"/>
      </w:divBdr>
    </w:div>
    <w:div w:id="705299734">
      <w:bodyDiv w:val="1"/>
      <w:marLeft w:val="0"/>
      <w:marRight w:val="0"/>
      <w:marTop w:val="0"/>
      <w:marBottom w:val="0"/>
      <w:divBdr>
        <w:top w:val="none" w:sz="0" w:space="0" w:color="auto"/>
        <w:left w:val="none" w:sz="0" w:space="0" w:color="auto"/>
        <w:bottom w:val="none" w:sz="0" w:space="0" w:color="auto"/>
        <w:right w:val="none" w:sz="0" w:space="0" w:color="auto"/>
      </w:divBdr>
    </w:div>
    <w:div w:id="716203575">
      <w:bodyDiv w:val="1"/>
      <w:marLeft w:val="0"/>
      <w:marRight w:val="0"/>
      <w:marTop w:val="0"/>
      <w:marBottom w:val="0"/>
      <w:divBdr>
        <w:top w:val="none" w:sz="0" w:space="0" w:color="auto"/>
        <w:left w:val="none" w:sz="0" w:space="0" w:color="auto"/>
        <w:bottom w:val="none" w:sz="0" w:space="0" w:color="auto"/>
        <w:right w:val="none" w:sz="0" w:space="0" w:color="auto"/>
      </w:divBdr>
    </w:div>
    <w:div w:id="832140392">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835653327">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3281777">
      <w:bodyDiv w:val="1"/>
      <w:marLeft w:val="0"/>
      <w:marRight w:val="0"/>
      <w:marTop w:val="0"/>
      <w:marBottom w:val="0"/>
      <w:divBdr>
        <w:top w:val="none" w:sz="0" w:space="0" w:color="auto"/>
        <w:left w:val="none" w:sz="0" w:space="0" w:color="auto"/>
        <w:bottom w:val="none" w:sz="0" w:space="0" w:color="auto"/>
        <w:right w:val="none" w:sz="0" w:space="0" w:color="auto"/>
      </w:divBdr>
    </w:div>
    <w:div w:id="1115713683">
      <w:bodyDiv w:val="1"/>
      <w:marLeft w:val="0"/>
      <w:marRight w:val="0"/>
      <w:marTop w:val="0"/>
      <w:marBottom w:val="0"/>
      <w:divBdr>
        <w:top w:val="none" w:sz="0" w:space="0" w:color="auto"/>
        <w:left w:val="none" w:sz="0" w:space="0" w:color="auto"/>
        <w:bottom w:val="none" w:sz="0" w:space="0" w:color="auto"/>
        <w:right w:val="none" w:sz="0" w:space="0" w:color="auto"/>
      </w:divBdr>
    </w:div>
    <w:div w:id="1418481605">
      <w:bodyDiv w:val="1"/>
      <w:marLeft w:val="0"/>
      <w:marRight w:val="0"/>
      <w:marTop w:val="0"/>
      <w:marBottom w:val="0"/>
      <w:divBdr>
        <w:top w:val="none" w:sz="0" w:space="0" w:color="auto"/>
        <w:left w:val="none" w:sz="0" w:space="0" w:color="auto"/>
        <w:bottom w:val="none" w:sz="0" w:space="0" w:color="auto"/>
        <w:right w:val="none" w:sz="0" w:space="0" w:color="auto"/>
      </w:divBdr>
    </w:div>
    <w:div w:id="1443301048">
      <w:bodyDiv w:val="1"/>
      <w:marLeft w:val="0"/>
      <w:marRight w:val="0"/>
      <w:marTop w:val="0"/>
      <w:marBottom w:val="0"/>
      <w:divBdr>
        <w:top w:val="none" w:sz="0" w:space="0" w:color="auto"/>
        <w:left w:val="none" w:sz="0" w:space="0" w:color="auto"/>
        <w:bottom w:val="none" w:sz="0" w:space="0" w:color="auto"/>
        <w:right w:val="none" w:sz="0" w:space="0" w:color="auto"/>
      </w:divBdr>
    </w:div>
    <w:div w:id="1503200260">
      <w:bodyDiv w:val="1"/>
      <w:marLeft w:val="0"/>
      <w:marRight w:val="0"/>
      <w:marTop w:val="0"/>
      <w:marBottom w:val="0"/>
      <w:divBdr>
        <w:top w:val="none" w:sz="0" w:space="0" w:color="auto"/>
        <w:left w:val="none" w:sz="0" w:space="0" w:color="auto"/>
        <w:bottom w:val="none" w:sz="0" w:space="0" w:color="auto"/>
        <w:right w:val="none" w:sz="0" w:space="0" w:color="auto"/>
      </w:divBdr>
    </w:div>
    <w:div w:id="1546453840">
      <w:bodyDiv w:val="1"/>
      <w:marLeft w:val="0"/>
      <w:marRight w:val="0"/>
      <w:marTop w:val="0"/>
      <w:marBottom w:val="0"/>
      <w:divBdr>
        <w:top w:val="none" w:sz="0" w:space="0" w:color="auto"/>
        <w:left w:val="none" w:sz="0" w:space="0" w:color="auto"/>
        <w:bottom w:val="none" w:sz="0" w:space="0" w:color="auto"/>
        <w:right w:val="none" w:sz="0" w:space="0" w:color="auto"/>
      </w:divBdr>
    </w:div>
    <w:div w:id="1677922928">
      <w:bodyDiv w:val="1"/>
      <w:marLeft w:val="0"/>
      <w:marRight w:val="0"/>
      <w:marTop w:val="0"/>
      <w:marBottom w:val="0"/>
      <w:divBdr>
        <w:top w:val="none" w:sz="0" w:space="0" w:color="auto"/>
        <w:left w:val="none" w:sz="0" w:space="0" w:color="auto"/>
        <w:bottom w:val="none" w:sz="0" w:space="0" w:color="auto"/>
        <w:right w:val="none" w:sz="0" w:space="0" w:color="auto"/>
      </w:divBdr>
    </w:div>
    <w:div w:id="1880169526">
      <w:bodyDiv w:val="1"/>
      <w:marLeft w:val="0"/>
      <w:marRight w:val="0"/>
      <w:marTop w:val="0"/>
      <w:marBottom w:val="0"/>
      <w:divBdr>
        <w:top w:val="none" w:sz="0" w:space="0" w:color="auto"/>
        <w:left w:val="none" w:sz="0" w:space="0" w:color="auto"/>
        <w:bottom w:val="none" w:sz="0" w:space="0" w:color="auto"/>
        <w:right w:val="none" w:sz="0" w:space="0" w:color="auto"/>
      </w:divBdr>
    </w:div>
    <w:div w:id="1884488053">
      <w:bodyDiv w:val="1"/>
      <w:marLeft w:val="0"/>
      <w:marRight w:val="0"/>
      <w:marTop w:val="0"/>
      <w:marBottom w:val="0"/>
      <w:divBdr>
        <w:top w:val="none" w:sz="0" w:space="0" w:color="auto"/>
        <w:left w:val="none" w:sz="0" w:space="0" w:color="auto"/>
        <w:bottom w:val="none" w:sz="0" w:space="0" w:color="auto"/>
        <w:right w:val="none" w:sz="0" w:space="0" w:color="auto"/>
      </w:divBdr>
    </w:div>
    <w:div w:id="1924870883">
      <w:bodyDiv w:val="1"/>
      <w:marLeft w:val="0"/>
      <w:marRight w:val="0"/>
      <w:marTop w:val="0"/>
      <w:marBottom w:val="0"/>
      <w:divBdr>
        <w:top w:val="none" w:sz="0" w:space="0" w:color="auto"/>
        <w:left w:val="none" w:sz="0" w:space="0" w:color="auto"/>
        <w:bottom w:val="none" w:sz="0" w:space="0" w:color="auto"/>
        <w:right w:val="none" w:sz="0" w:space="0" w:color="auto"/>
      </w:divBdr>
    </w:div>
    <w:div w:id="1925918832">
      <w:bodyDiv w:val="1"/>
      <w:marLeft w:val="0"/>
      <w:marRight w:val="0"/>
      <w:marTop w:val="0"/>
      <w:marBottom w:val="0"/>
      <w:divBdr>
        <w:top w:val="none" w:sz="0" w:space="0" w:color="auto"/>
        <w:left w:val="none" w:sz="0" w:space="0" w:color="auto"/>
        <w:bottom w:val="none" w:sz="0" w:space="0" w:color="auto"/>
        <w:right w:val="none" w:sz="0" w:space="0" w:color="auto"/>
      </w:divBdr>
    </w:div>
    <w:div w:id="1938830760">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1995378656">
      <w:bodyDiv w:val="1"/>
      <w:marLeft w:val="0"/>
      <w:marRight w:val="0"/>
      <w:marTop w:val="0"/>
      <w:marBottom w:val="0"/>
      <w:divBdr>
        <w:top w:val="none" w:sz="0" w:space="0" w:color="auto"/>
        <w:left w:val="none" w:sz="0" w:space="0" w:color="auto"/>
        <w:bottom w:val="none" w:sz="0" w:space="0" w:color="auto"/>
        <w:right w:val="none" w:sz="0" w:space="0" w:color="auto"/>
      </w:divBdr>
    </w:div>
    <w:div w:id="2015650218">
      <w:bodyDiv w:val="1"/>
      <w:marLeft w:val="0"/>
      <w:marRight w:val="0"/>
      <w:marTop w:val="0"/>
      <w:marBottom w:val="0"/>
      <w:divBdr>
        <w:top w:val="none" w:sz="0" w:space="0" w:color="auto"/>
        <w:left w:val="none" w:sz="0" w:space="0" w:color="auto"/>
        <w:bottom w:val="none" w:sz="0" w:space="0" w:color="auto"/>
        <w:right w:val="none" w:sz="0" w:space="0" w:color="auto"/>
      </w:divBdr>
    </w:div>
    <w:div w:id="206255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eader" Target="header2.xml" Id="rId18" /><Relationship Type="http://schemas.openxmlformats.org/officeDocument/2006/relationships/numbering" Target="numbering.xml" Id="rId3" /><Relationship Type="http://schemas.openxmlformats.org/officeDocument/2006/relationships/footer" Target="footer5.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AERPricing@aer.gov.au" TargetMode="Externa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AERPricing@aer.gov.au" TargetMode="External" Id="rId11" /><Relationship Type="http://schemas.openxmlformats.org/officeDocument/2006/relationships/settings" Target="settings.xml" Id="rId5" /><Relationship Type="http://schemas.openxmlformats.org/officeDocument/2006/relationships/image" Target="media/image3.png" Id="rId15" /><Relationship Type="http://schemas.openxmlformats.org/officeDocument/2006/relationships/theme" Target="theme/theme1.xml" Id="rId23" /><Relationship Type="http://schemas.openxmlformats.org/officeDocument/2006/relationships/image" Target="media/image2.png" Id="rId10" /><Relationship Type="http://schemas.openxmlformats.org/officeDocument/2006/relationships/footer" Target="footer4.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3.xml" Id="rId14" /><Relationship Type="http://schemas.openxmlformats.org/officeDocument/2006/relationships/fontTable" Target="fontTable.xml" Id="rId22" /><Relationship Type="http://schemas.openxmlformats.org/officeDocument/2006/relationships/customXml" Target="/customXML/item3.xml" Id="imanage.xml" /></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 A C C C a n d A E R ! 1 3 7 0 4 8 5 4 . 1 < / d o c u m e n t i d >  
     < s e n d e r i d > I D E L M < / s e n d e r i d >  
     < s e n d e r e m a i l > I S R A E L . D E L M U N D O @ A E R . G O V . A U < / s e n d e r e m a i l >  
     < l a s t m o d i f i e d > 2 0 2 2 - 0 3 - 2 2 T 0 9 : 0 0 : 0 0 . 0 0 0 0 0 0 0 + 1 1 : 0 0 < / l a s t m o d i f i e d >  
     < d a t a b a s e > A C C C a n d A E R < / 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5F5F7F-414E-45D3-B4B5-CA2FA85E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2142</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2022-03-21T21:27:00Z</dcterms:created>
  <dcterms:modified xsi:type="dcterms:W3CDTF">2022-03-21T22:00:00Z</dcterms:modified>
  <cp:contentStatus/>
</cp:coreProperties>
</file>