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BEE" w:rsidRDefault="009B0BEE" w:rsidP="009B0BEE">
      <w:pPr>
        <w:tabs>
          <w:tab w:val="left" w:pos="340"/>
        </w:tabs>
        <w:spacing w:line="276" w:lineRule="auto"/>
        <w:rPr>
          <w:noProof/>
          <w:lang w:eastAsia="en-AU"/>
        </w:rPr>
      </w:pPr>
      <w:r w:rsidRPr="00290C63">
        <w:rPr>
          <w:noProof/>
          <w:lang w:eastAsia="en-AU"/>
        </w:rPr>
        <w:drawing>
          <wp:anchor distT="0" distB="0" distL="114300" distR="114300" simplePos="0" relativeHeight="251659264" behindDoc="1" locked="0" layoutInCell="1" allowOverlap="1" wp14:anchorId="3F6BB8C6" wp14:editId="229C4771">
            <wp:simplePos x="0" y="0"/>
            <wp:positionH relativeFrom="column">
              <wp:posOffset>-1012874</wp:posOffset>
            </wp:positionH>
            <wp:positionV relativeFrom="paragraph">
              <wp:posOffset>-907366</wp:posOffset>
            </wp:positionV>
            <wp:extent cx="7835705" cy="10859906"/>
            <wp:effectExtent l="0" t="0" r="0"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37672" cy="10862632"/>
                    </a:xfrm>
                    <a:prstGeom prst="rect">
                      <a:avLst/>
                    </a:prstGeom>
                    <a:noFill/>
                  </pic:spPr>
                </pic:pic>
              </a:graphicData>
            </a:graphic>
            <wp14:sizeRelH relativeFrom="page">
              <wp14:pctWidth>0</wp14:pctWidth>
            </wp14:sizeRelH>
            <wp14:sizeRelV relativeFrom="page">
              <wp14:pctHeight>0</wp14:pctHeight>
            </wp14:sizeRelV>
          </wp:anchor>
        </w:drawing>
      </w:r>
    </w:p>
    <w:p w:rsidR="009B0BEE" w:rsidRDefault="009B0BEE" w:rsidP="009B0BEE">
      <w:pPr>
        <w:tabs>
          <w:tab w:val="left" w:pos="340"/>
        </w:tabs>
        <w:spacing w:line="276" w:lineRule="auto"/>
        <w:rPr>
          <w:noProof/>
          <w:lang w:eastAsia="en-AU"/>
        </w:rPr>
      </w:pPr>
    </w:p>
    <w:p w:rsidR="009B0BEE" w:rsidRDefault="009B0BEE" w:rsidP="009B0BEE">
      <w:pPr>
        <w:tabs>
          <w:tab w:val="left" w:pos="340"/>
        </w:tabs>
        <w:spacing w:line="276" w:lineRule="auto"/>
        <w:rPr>
          <w:noProof/>
          <w:lang w:eastAsia="en-AU"/>
        </w:rPr>
      </w:pPr>
    </w:p>
    <w:p w:rsidR="009B0BEE" w:rsidRDefault="009B0BEE" w:rsidP="009B0BEE">
      <w:pPr>
        <w:tabs>
          <w:tab w:val="left" w:pos="340"/>
        </w:tabs>
        <w:spacing w:line="276" w:lineRule="auto"/>
        <w:rPr>
          <w:noProof/>
          <w:lang w:eastAsia="en-AU"/>
        </w:rPr>
      </w:pPr>
    </w:p>
    <w:p w:rsidR="009B0BEE" w:rsidRDefault="009B0BEE" w:rsidP="009B0BEE">
      <w:pPr>
        <w:tabs>
          <w:tab w:val="left" w:pos="340"/>
        </w:tabs>
        <w:spacing w:line="276" w:lineRule="auto"/>
        <w:rPr>
          <w:noProof/>
          <w:lang w:eastAsia="en-AU"/>
        </w:rPr>
      </w:pPr>
    </w:p>
    <w:p w:rsidR="009B0BEE" w:rsidRDefault="009B0BEE" w:rsidP="009B0BEE">
      <w:pPr>
        <w:tabs>
          <w:tab w:val="left" w:pos="340"/>
        </w:tabs>
        <w:spacing w:line="276" w:lineRule="auto"/>
        <w:rPr>
          <w:noProof/>
          <w:lang w:eastAsia="en-AU"/>
        </w:rPr>
      </w:pPr>
    </w:p>
    <w:p w:rsidR="009B0BEE" w:rsidRDefault="009B0BEE" w:rsidP="009B0BEE">
      <w:pPr>
        <w:tabs>
          <w:tab w:val="left" w:pos="340"/>
        </w:tabs>
        <w:spacing w:line="276" w:lineRule="auto"/>
        <w:rPr>
          <w:noProof/>
          <w:lang w:eastAsia="en-AU"/>
        </w:rPr>
      </w:pPr>
    </w:p>
    <w:p w:rsidR="009B0BEE" w:rsidRDefault="009B0BEE" w:rsidP="009B0BEE">
      <w:pPr>
        <w:tabs>
          <w:tab w:val="left" w:pos="340"/>
        </w:tabs>
        <w:spacing w:line="276" w:lineRule="auto"/>
        <w:rPr>
          <w:noProof/>
          <w:lang w:eastAsia="en-AU"/>
        </w:rPr>
      </w:pPr>
    </w:p>
    <w:p w:rsidR="009B0BEE" w:rsidRPr="009B0BEE" w:rsidRDefault="009B0BEE" w:rsidP="009B0BEE">
      <w:pPr>
        <w:tabs>
          <w:tab w:val="left" w:pos="340"/>
        </w:tabs>
        <w:spacing w:line="276" w:lineRule="auto"/>
        <w:jc w:val="center"/>
        <w:rPr>
          <w:rFonts w:eastAsia="Arial" w:cs="Times New Roman"/>
          <w:b/>
          <w:sz w:val="36"/>
          <w:szCs w:val="36"/>
        </w:rPr>
      </w:pPr>
      <w:r w:rsidRPr="009B0BEE">
        <w:rPr>
          <w:b/>
          <w:noProof/>
          <w:sz w:val="36"/>
          <w:szCs w:val="36"/>
          <w:lang w:eastAsia="en-AU"/>
        </w:rPr>
        <w:t>Consul</w:t>
      </w:r>
      <w:r w:rsidR="00F61322">
        <w:rPr>
          <w:b/>
          <w:noProof/>
          <w:sz w:val="36"/>
          <w:szCs w:val="36"/>
          <w:lang w:eastAsia="en-AU"/>
        </w:rPr>
        <w:t>t</w:t>
      </w:r>
      <w:r w:rsidRPr="009B0BEE">
        <w:rPr>
          <w:b/>
          <w:noProof/>
          <w:sz w:val="36"/>
          <w:szCs w:val="36"/>
          <w:lang w:eastAsia="en-AU"/>
        </w:rPr>
        <w:t>ation paper</w:t>
      </w:r>
    </w:p>
    <w:p w:rsidR="009B0BEE" w:rsidRDefault="009B0BEE" w:rsidP="009B0BEE">
      <w:pPr>
        <w:tabs>
          <w:tab w:val="left" w:pos="340"/>
        </w:tabs>
        <w:spacing w:line="276" w:lineRule="auto"/>
        <w:rPr>
          <w:rFonts w:eastAsia="Arial" w:cs="Times New Roman"/>
          <w:b/>
        </w:rPr>
      </w:pPr>
    </w:p>
    <w:p w:rsidR="009B0BEE" w:rsidRPr="009B0BEE" w:rsidRDefault="009B0BEE" w:rsidP="009B0BEE">
      <w:pPr>
        <w:tabs>
          <w:tab w:val="left" w:pos="340"/>
        </w:tabs>
        <w:spacing w:line="276" w:lineRule="auto"/>
        <w:jc w:val="center"/>
        <w:rPr>
          <w:rFonts w:eastAsia="Arial" w:cs="Times New Roman"/>
          <w:b/>
          <w:sz w:val="36"/>
          <w:szCs w:val="36"/>
        </w:rPr>
      </w:pPr>
      <w:r w:rsidRPr="009B0BEE">
        <w:rPr>
          <w:rFonts w:eastAsia="Arial" w:cs="Times New Roman"/>
          <w:b/>
          <w:sz w:val="36"/>
          <w:szCs w:val="36"/>
        </w:rPr>
        <w:t>Alternative approach to the recovery of the residual metering capital costs through an alternative control services annual charge</w:t>
      </w:r>
    </w:p>
    <w:p w:rsidR="009B0BEE" w:rsidRDefault="009B0BEE" w:rsidP="00705A8A">
      <w:pPr>
        <w:tabs>
          <w:tab w:val="left" w:pos="340"/>
        </w:tabs>
        <w:spacing w:line="276" w:lineRule="auto"/>
        <w:rPr>
          <w:rFonts w:eastAsia="Arial" w:cs="Times New Roman"/>
          <w:b/>
        </w:rPr>
      </w:pPr>
    </w:p>
    <w:p w:rsidR="009B0BEE" w:rsidRDefault="009B0BEE" w:rsidP="00705A8A">
      <w:pPr>
        <w:tabs>
          <w:tab w:val="left" w:pos="340"/>
        </w:tabs>
        <w:spacing w:line="276" w:lineRule="auto"/>
        <w:rPr>
          <w:rFonts w:eastAsia="Arial" w:cs="Times New Roman"/>
          <w:b/>
        </w:rPr>
      </w:pPr>
    </w:p>
    <w:p w:rsidR="009B0BEE" w:rsidRDefault="009B0BEE" w:rsidP="00705A8A">
      <w:pPr>
        <w:tabs>
          <w:tab w:val="left" w:pos="340"/>
        </w:tabs>
        <w:spacing w:line="276" w:lineRule="auto"/>
        <w:rPr>
          <w:rFonts w:eastAsia="Arial" w:cs="Times New Roman"/>
          <w:b/>
        </w:rPr>
      </w:pPr>
    </w:p>
    <w:p w:rsidR="009B0BEE" w:rsidRDefault="009B0BEE" w:rsidP="009B0BEE">
      <w:pPr>
        <w:tabs>
          <w:tab w:val="left" w:pos="340"/>
        </w:tabs>
        <w:spacing w:line="276" w:lineRule="auto"/>
        <w:jc w:val="center"/>
        <w:rPr>
          <w:rFonts w:eastAsia="Arial" w:cs="Times New Roman"/>
          <w:b/>
        </w:rPr>
      </w:pPr>
      <w:r>
        <w:rPr>
          <w:rFonts w:eastAsia="Arial" w:cs="Times New Roman"/>
          <w:b/>
        </w:rPr>
        <w:t>March 2015</w:t>
      </w:r>
    </w:p>
    <w:p w:rsidR="009B0BEE" w:rsidRDefault="009B0BEE" w:rsidP="00705A8A">
      <w:pPr>
        <w:tabs>
          <w:tab w:val="left" w:pos="340"/>
        </w:tabs>
        <w:spacing w:line="276" w:lineRule="auto"/>
        <w:rPr>
          <w:rFonts w:eastAsia="Arial" w:cs="Times New Roman"/>
          <w:b/>
        </w:rPr>
      </w:pPr>
    </w:p>
    <w:p w:rsidR="009B0BEE" w:rsidRDefault="009B0BEE" w:rsidP="00705A8A">
      <w:pPr>
        <w:tabs>
          <w:tab w:val="left" w:pos="340"/>
        </w:tabs>
        <w:spacing w:line="276" w:lineRule="auto"/>
        <w:rPr>
          <w:rFonts w:eastAsia="Arial" w:cs="Times New Roman"/>
          <w:b/>
        </w:rPr>
      </w:pPr>
    </w:p>
    <w:p w:rsidR="009B0BEE" w:rsidRDefault="009B0BEE" w:rsidP="00705A8A">
      <w:pPr>
        <w:tabs>
          <w:tab w:val="left" w:pos="340"/>
        </w:tabs>
        <w:spacing w:line="276" w:lineRule="auto"/>
        <w:rPr>
          <w:rFonts w:eastAsia="Arial" w:cs="Times New Roman"/>
          <w:b/>
        </w:rPr>
      </w:pPr>
    </w:p>
    <w:p w:rsidR="009B0BEE" w:rsidRDefault="009B0BEE" w:rsidP="00705A8A">
      <w:pPr>
        <w:tabs>
          <w:tab w:val="left" w:pos="340"/>
        </w:tabs>
        <w:spacing w:line="276" w:lineRule="auto"/>
        <w:rPr>
          <w:rFonts w:eastAsia="Arial" w:cs="Times New Roman"/>
          <w:b/>
        </w:rPr>
      </w:pPr>
    </w:p>
    <w:p w:rsidR="009B0BEE" w:rsidRDefault="009B0BEE" w:rsidP="00705A8A">
      <w:pPr>
        <w:tabs>
          <w:tab w:val="left" w:pos="340"/>
        </w:tabs>
        <w:spacing w:line="276" w:lineRule="auto"/>
        <w:rPr>
          <w:rFonts w:eastAsia="Arial" w:cs="Times New Roman"/>
          <w:b/>
        </w:rPr>
      </w:pPr>
    </w:p>
    <w:p w:rsidR="009B0BEE" w:rsidRDefault="009B0BEE" w:rsidP="00705A8A">
      <w:pPr>
        <w:tabs>
          <w:tab w:val="left" w:pos="340"/>
        </w:tabs>
        <w:spacing w:line="276" w:lineRule="auto"/>
        <w:rPr>
          <w:rFonts w:eastAsia="Arial" w:cs="Times New Roman"/>
          <w:b/>
        </w:rPr>
      </w:pPr>
    </w:p>
    <w:p w:rsidR="009B0BEE" w:rsidRDefault="009B0BEE" w:rsidP="00705A8A">
      <w:pPr>
        <w:tabs>
          <w:tab w:val="left" w:pos="340"/>
        </w:tabs>
        <w:spacing w:line="276" w:lineRule="auto"/>
        <w:rPr>
          <w:rFonts w:eastAsia="Arial" w:cs="Times New Roman"/>
          <w:b/>
        </w:rPr>
      </w:pPr>
    </w:p>
    <w:p w:rsidR="009B0BEE" w:rsidRDefault="009B0BEE" w:rsidP="00705A8A">
      <w:pPr>
        <w:tabs>
          <w:tab w:val="left" w:pos="340"/>
        </w:tabs>
        <w:spacing w:line="276" w:lineRule="auto"/>
        <w:rPr>
          <w:rFonts w:eastAsia="Arial" w:cs="Times New Roman"/>
          <w:b/>
        </w:rPr>
      </w:pPr>
    </w:p>
    <w:p w:rsidR="009B0BEE" w:rsidRDefault="009B0BEE" w:rsidP="00705A8A">
      <w:pPr>
        <w:tabs>
          <w:tab w:val="left" w:pos="340"/>
        </w:tabs>
        <w:spacing w:line="276" w:lineRule="auto"/>
        <w:rPr>
          <w:rFonts w:eastAsia="Arial" w:cs="Times New Roman"/>
          <w:b/>
        </w:rPr>
      </w:pPr>
    </w:p>
    <w:p w:rsidR="009B0BEE" w:rsidRDefault="009B0BEE" w:rsidP="00705A8A">
      <w:pPr>
        <w:tabs>
          <w:tab w:val="left" w:pos="340"/>
        </w:tabs>
        <w:spacing w:line="276" w:lineRule="auto"/>
        <w:rPr>
          <w:rFonts w:eastAsia="Arial" w:cs="Times New Roman"/>
          <w:b/>
        </w:rPr>
      </w:pPr>
    </w:p>
    <w:p w:rsidR="009B0BEE" w:rsidRDefault="009B0BEE" w:rsidP="009B0BEE">
      <w:pPr>
        <w:pStyle w:val="Copyright"/>
      </w:pPr>
      <w:r>
        <w:lastRenderedPageBreak/>
        <w:t>© Commonwealth of Australia 2015</w:t>
      </w:r>
    </w:p>
    <w:p w:rsidR="009B0BEE" w:rsidRDefault="009B0BEE" w:rsidP="009B0BEE">
      <w:pPr>
        <w:pStyle w:val="Copyright"/>
      </w:pPr>
      <w:r>
        <w:t>This work is copyright. In addition to any use permitted under the Copyright Act 1968, all material contained within this work is provided under a Creative Commons Attributions 3.0 Australia licence, with the exception of:</w:t>
      </w:r>
    </w:p>
    <w:p w:rsidR="009B0BEE" w:rsidRPr="00983C25" w:rsidRDefault="009B0BEE" w:rsidP="009B0BEE">
      <w:pPr>
        <w:pStyle w:val="AERbulletlistfirststyle"/>
        <w:numPr>
          <w:ilvl w:val="0"/>
          <w:numId w:val="2"/>
        </w:numPr>
        <w:ind w:left="357" w:hanging="357"/>
        <w:rPr>
          <w:sz w:val="20"/>
          <w:szCs w:val="20"/>
        </w:rPr>
      </w:pPr>
      <w:r>
        <w:t xml:space="preserve">the </w:t>
      </w:r>
      <w:r w:rsidRPr="00983C25">
        <w:rPr>
          <w:sz w:val="20"/>
          <w:szCs w:val="20"/>
        </w:rPr>
        <w:t>Commonwealth Coat of Arms</w:t>
      </w:r>
    </w:p>
    <w:p w:rsidR="009B0BEE" w:rsidRPr="00983C25" w:rsidRDefault="009B0BEE" w:rsidP="009B0BEE">
      <w:pPr>
        <w:pStyle w:val="AERbulletlistfirststyle"/>
        <w:numPr>
          <w:ilvl w:val="0"/>
          <w:numId w:val="2"/>
        </w:numPr>
        <w:ind w:left="357" w:hanging="357"/>
        <w:rPr>
          <w:sz w:val="20"/>
          <w:szCs w:val="20"/>
        </w:rPr>
      </w:pPr>
      <w:r w:rsidRPr="00983C25">
        <w:rPr>
          <w:sz w:val="20"/>
          <w:szCs w:val="20"/>
        </w:rPr>
        <w:t>the ACCC and AER logos</w:t>
      </w:r>
    </w:p>
    <w:p w:rsidR="009B0BEE" w:rsidRPr="00983C25" w:rsidRDefault="009B0BEE" w:rsidP="009B0BEE">
      <w:pPr>
        <w:pStyle w:val="AERbulletlistfirststyle"/>
        <w:numPr>
          <w:ilvl w:val="0"/>
          <w:numId w:val="2"/>
        </w:numPr>
        <w:ind w:left="357" w:hanging="357"/>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B0BEE" w:rsidRDefault="009B0BEE" w:rsidP="009B0BEE">
      <w:pPr>
        <w:pStyle w:val="Copyright"/>
      </w:pPr>
      <w:r>
        <w:t>Requests and inquiries concerning reproduction and rights should be addressed to the Director, Corporate Communications,</w:t>
      </w:r>
      <w:r>
        <w:br/>
        <w:t xml:space="preserve">Australian Competition and Consumer Commission, </w:t>
      </w:r>
      <w:r>
        <w:br/>
        <w:t>GPO Box 4141, Canberra ACT 2601</w:t>
      </w:r>
      <w:r>
        <w:br/>
        <w:t>or publishing.unit@accc.gov.au.</w:t>
      </w:r>
    </w:p>
    <w:p w:rsidR="009B0BEE" w:rsidRDefault="009B0BEE" w:rsidP="009B0BEE">
      <w:pPr>
        <w:pStyle w:val="Copyright"/>
      </w:pPr>
      <w:r>
        <w:t>Inquiries about this publication should be addressed to:</w:t>
      </w:r>
    </w:p>
    <w:p w:rsidR="009B0BEE" w:rsidRDefault="009B0BEE" w:rsidP="009B0BEE">
      <w:pPr>
        <w:pStyle w:val="Copyright"/>
      </w:pPr>
      <w:r>
        <w:t xml:space="preserve">Australian Energy </w:t>
      </w:r>
      <w:r w:rsidRPr="00F171E0">
        <w:t>Regulator</w:t>
      </w:r>
      <w:r>
        <w:br/>
        <w:t>GPO Box 520</w:t>
      </w:r>
      <w:r>
        <w:br/>
        <w:t>Melbourne  Vic  3001</w:t>
      </w:r>
    </w:p>
    <w:p w:rsidR="009B0BEE" w:rsidRDefault="009B0BEE" w:rsidP="009B0BEE">
      <w:pPr>
        <w:pStyle w:val="Copyright"/>
      </w:pPr>
      <w:r>
        <w:t>Tel: (03) 9290 1444</w:t>
      </w:r>
      <w:r>
        <w:br/>
        <w:t>Fax: (03) 9290 1457</w:t>
      </w:r>
    </w:p>
    <w:p w:rsidR="009B0BEE" w:rsidRDefault="009B0BEE" w:rsidP="009B0BEE">
      <w:pPr>
        <w:pStyle w:val="Copyright"/>
      </w:pPr>
      <w:r>
        <w:t xml:space="preserve">Email: </w:t>
      </w:r>
      <w:hyperlink r:id="rId11" w:history="1">
        <w:r w:rsidRPr="00D64888">
          <w:rPr>
            <w:rStyle w:val="Hyperlink"/>
          </w:rPr>
          <w:t>AERInquiry@aer.gov.au</w:t>
        </w:r>
      </w:hyperlink>
      <w:r>
        <w:rPr>
          <w:rStyle w:val="Hyperlink"/>
        </w:rPr>
        <w:br/>
      </w:r>
    </w:p>
    <w:p w:rsidR="009B0BEE" w:rsidRDefault="009B0BEE" w:rsidP="009B0BEE">
      <w:r>
        <w:br w:type="page"/>
      </w:r>
    </w:p>
    <w:p w:rsidR="009B0BEE" w:rsidRPr="00F61322" w:rsidRDefault="009B0BEE" w:rsidP="009B0BEE">
      <w:pPr>
        <w:pStyle w:val="UnnumberedHeading"/>
        <w:numPr>
          <w:ilvl w:val="0"/>
          <w:numId w:val="26"/>
        </w:numPr>
        <w:rPr>
          <w:rFonts w:ascii="Arial" w:hAnsi="Arial" w:cs="Arial"/>
          <w:color w:val="70635A"/>
        </w:rPr>
      </w:pPr>
      <w:bookmarkStart w:id="0" w:name="_Toc341968859"/>
      <w:bookmarkStart w:id="1" w:name="_Toc383780211"/>
      <w:bookmarkStart w:id="2" w:name="_Toc392586698"/>
      <w:bookmarkStart w:id="3" w:name="_Toc404058053"/>
      <w:bookmarkStart w:id="4" w:name="_Toc404058154"/>
      <w:bookmarkStart w:id="5" w:name="_Toc404058255"/>
      <w:bookmarkStart w:id="6" w:name="_Toc404058354"/>
      <w:bookmarkStart w:id="7" w:name="_Toc404236740"/>
      <w:bookmarkStart w:id="8" w:name="_Toc404671993"/>
      <w:bookmarkStart w:id="9" w:name="_Toc405196775"/>
      <w:bookmarkStart w:id="10" w:name="_Toc405287613"/>
      <w:r w:rsidRPr="00F61322">
        <w:rPr>
          <w:rFonts w:ascii="Arial" w:hAnsi="Arial" w:cs="Arial"/>
          <w:color w:val="70635A"/>
        </w:rPr>
        <w:lastRenderedPageBreak/>
        <w:t>Request for submissions</w:t>
      </w:r>
      <w:bookmarkEnd w:id="0"/>
      <w:bookmarkEnd w:id="1"/>
      <w:bookmarkEnd w:id="2"/>
      <w:bookmarkEnd w:id="3"/>
      <w:bookmarkEnd w:id="4"/>
      <w:bookmarkEnd w:id="5"/>
      <w:bookmarkEnd w:id="6"/>
      <w:bookmarkEnd w:id="7"/>
      <w:bookmarkEnd w:id="8"/>
      <w:bookmarkEnd w:id="9"/>
      <w:bookmarkEnd w:id="10"/>
    </w:p>
    <w:p w:rsidR="009B0BEE" w:rsidRPr="009B0BEE" w:rsidRDefault="009B0BEE" w:rsidP="009B0BEE">
      <w:pPr>
        <w:rPr>
          <w:rFonts w:cs="Arial"/>
          <w:sz w:val="20"/>
          <w:szCs w:val="20"/>
        </w:rPr>
      </w:pPr>
      <w:r w:rsidRPr="009B0BEE">
        <w:rPr>
          <w:rFonts w:cs="Arial"/>
          <w:sz w:val="20"/>
          <w:szCs w:val="20"/>
        </w:rPr>
        <w:t xml:space="preserve">Interested parties are invited to make written submissions regarding the distributors' regulatory proposals to us, the Australian Energy Regulator (AER), by the close of business, </w:t>
      </w:r>
      <w:r w:rsidR="00F61322">
        <w:rPr>
          <w:rStyle w:val="AERtextbold"/>
          <w:rFonts w:cs="Arial"/>
          <w:sz w:val="20"/>
          <w:szCs w:val="20"/>
        </w:rPr>
        <w:t>Friday 27 March 2015</w:t>
      </w:r>
      <w:r w:rsidRPr="009B0BEE">
        <w:rPr>
          <w:rFonts w:cs="Arial"/>
          <w:sz w:val="20"/>
          <w:szCs w:val="20"/>
        </w:rPr>
        <w:t>.</w:t>
      </w:r>
    </w:p>
    <w:p w:rsidR="00F61322" w:rsidRDefault="009B0BEE" w:rsidP="009B0BEE">
      <w:pPr>
        <w:rPr>
          <w:rFonts w:cs="Arial"/>
          <w:sz w:val="20"/>
          <w:szCs w:val="20"/>
        </w:rPr>
      </w:pPr>
      <w:r w:rsidRPr="009B0BEE">
        <w:rPr>
          <w:rFonts w:cs="Arial"/>
          <w:sz w:val="20"/>
          <w:szCs w:val="20"/>
        </w:rPr>
        <w:t>We prefer that all submissions sent in an electronic format are in Microsoft Word or other text readable document form. Submissions should be sent electronically to:</w:t>
      </w:r>
    </w:p>
    <w:p w:rsidR="009B0BEE" w:rsidRPr="009B0BEE" w:rsidRDefault="009B0BEE" w:rsidP="009B0BEE">
      <w:pPr>
        <w:rPr>
          <w:rFonts w:cs="Arial"/>
          <w:sz w:val="20"/>
          <w:szCs w:val="20"/>
        </w:rPr>
      </w:pPr>
      <w:r w:rsidRPr="009B0BEE">
        <w:rPr>
          <w:rFonts w:cs="Arial"/>
          <w:sz w:val="20"/>
          <w:szCs w:val="20"/>
        </w:rPr>
        <w:t xml:space="preserve"> </w:t>
      </w:r>
    </w:p>
    <w:p w:rsidR="009B0BEE" w:rsidRPr="009B0BEE" w:rsidRDefault="009B0BEE" w:rsidP="009B0BEE">
      <w:pPr>
        <w:pStyle w:val="AERbulletlistfirststyle"/>
        <w:numPr>
          <w:ilvl w:val="0"/>
          <w:numId w:val="24"/>
        </w:numPr>
        <w:spacing w:before="0" w:after="200" w:line="288" w:lineRule="auto"/>
        <w:ind w:left="357" w:hanging="357"/>
        <w:jc w:val="both"/>
        <w:rPr>
          <w:rFonts w:cs="Arial"/>
          <w:sz w:val="20"/>
          <w:szCs w:val="20"/>
        </w:rPr>
      </w:pPr>
      <w:r w:rsidRPr="009B0BEE">
        <w:rPr>
          <w:rFonts w:cs="Arial"/>
          <w:sz w:val="20"/>
          <w:szCs w:val="20"/>
        </w:rPr>
        <w:t xml:space="preserve">  </w:t>
      </w:r>
      <w:hyperlink r:id="rId12" w:history="1">
        <w:r w:rsidR="00F61322" w:rsidRPr="00137AF1">
          <w:rPr>
            <w:rStyle w:val="Hyperlink"/>
            <w:sz w:val="20"/>
            <w:szCs w:val="20"/>
          </w:rPr>
          <w:t>NSWACTelectricity@aer.gov.au</w:t>
        </w:r>
      </w:hyperlink>
      <w:r w:rsidR="00F61322">
        <w:rPr>
          <w:sz w:val="20"/>
          <w:szCs w:val="20"/>
        </w:rPr>
        <w:t xml:space="preserve"> (regardless of whether submission pertains to decisions in NSW, ACT, South Australia or Queensland)</w:t>
      </w:r>
      <w:r w:rsidRPr="009B0BEE">
        <w:rPr>
          <w:rFonts w:cs="Arial"/>
          <w:sz w:val="20"/>
          <w:szCs w:val="20"/>
        </w:rPr>
        <w:t>.</w:t>
      </w:r>
    </w:p>
    <w:p w:rsidR="009B0BEE" w:rsidRDefault="009B0BEE" w:rsidP="009B0BEE">
      <w:pPr>
        <w:rPr>
          <w:rFonts w:cs="Arial"/>
          <w:sz w:val="20"/>
          <w:szCs w:val="20"/>
        </w:rPr>
      </w:pPr>
      <w:r w:rsidRPr="009B0BEE">
        <w:rPr>
          <w:rFonts w:cs="Arial"/>
          <w:sz w:val="20"/>
          <w:szCs w:val="20"/>
        </w:rPr>
        <w:t>Alternatively, submissions can be sent to:</w:t>
      </w:r>
    </w:p>
    <w:p w:rsidR="00F61322" w:rsidRPr="009B0BEE" w:rsidRDefault="00F61322" w:rsidP="009B0BEE">
      <w:pPr>
        <w:rPr>
          <w:rFonts w:cs="Arial"/>
          <w:sz w:val="20"/>
          <w:szCs w:val="20"/>
        </w:rPr>
      </w:pPr>
    </w:p>
    <w:p w:rsidR="009B0BEE" w:rsidRPr="009B0BEE" w:rsidRDefault="009B0BEE" w:rsidP="009B0BEE">
      <w:pPr>
        <w:pStyle w:val="AERbodytextnospace"/>
        <w:rPr>
          <w:rStyle w:val="AERbody"/>
          <w:rFonts w:ascii="Arial" w:hAnsi="Arial" w:cs="Arial"/>
          <w:szCs w:val="20"/>
        </w:rPr>
      </w:pPr>
      <w:r w:rsidRPr="009B0BEE">
        <w:rPr>
          <w:rStyle w:val="AERbody"/>
          <w:rFonts w:ascii="Arial" w:hAnsi="Arial" w:cs="Arial"/>
          <w:szCs w:val="20"/>
        </w:rPr>
        <w:t xml:space="preserve">Mr </w:t>
      </w:r>
      <w:r w:rsidR="00F61322">
        <w:rPr>
          <w:rStyle w:val="AERbody"/>
          <w:rFonts w:ascii="Arial" w:hAnsi="Arial" w:cs="Arial"/>
          <w:szCs w:val="20"/>
        </w:rPr>
        <w:t>Chris Pattas</w:t>
      </w:r>
    </w:p>
    <w:p w:rsidR="009B0BEE" w:rsidRPr="009B0BEE" w:rsidRDefault="009B0BEE" w:rsidP="009B0BEE">
      <w:pPr>
        <w:pStyle w:val="AERbodytextnospace"/>
        <w:rPr>
          <w:rStyle w:val="AERbody"/>
          <w:rFonts w:ascii="Arial" w:hAnsi="Arial" w:cs="Arial"/>
          <w:szCs w:val="20"/>
        </w:rPr>
      </w:pPr>
      <w:r w:rsidRPr="009B0BEE">
        <w:rPr>
          <w:rStyle w:val="AERbody"/>
          <w:rFonts w:ascii="Arial" w:hAnsi="Arial" w:cs="Arial"/>
          <w:szCs w:val="20"/>
        </w:rPr>
        <w:t>General Manager</w:t>
      </w:r>
    </w:p>
    <w:p w:rsidR="009B0BEE" w:rsidRPr="009B0BEE" w:rsidRDefault="009B0BEE" w:rsidP="009B0BEE">
      <w:pPr>
        <w:pStyle w:val="AERbodytextnospace"/>
        <w:rPr>
          <w:rStyle w:val="AERbody"/>
          <w:rFonts w:ascii="Arial" w:hAnsi="Arial" w:cs="Arial"/>
          <w:szCs w:val="20"/>
        </w:rPr>
      </w:pPr>
      <w:r w:rsidRPr="009B0BEE">
        <w:rPr>
          <w:rStyle w:val="AERbody"/>
          <w:rFonts w:ascii="Arial" w:hAnsi="Arial" w:cs="Arial"/>
          <w:szCs w:val="20"/>
        </w:rPr>
        <w:t>Australian Energy Regulator</w:t>
      </w:r>
    </w:p>
    <w:p w:rsidR="009B0BEE" w:rsidRPr="009B0BEE" w:rsidRDefault="009B0BEE" w:rsidP="009B0BEE">
      <w:pPr>
        <w:pStyle w:val="AERbodytextnospace"/>
        <w:rPr>
          <w:rStyle w:val="AERbody"/>
          <w:rFonts w:ascii="Arial" w:hAnsi="Arial" w:cs="Arial"/>
          <w:szCs w:val="20"/>
        </w:rPr>
      </w:pPr>
      <w:r w:rsidRPr="009B0BEE">
        <w:rPr>
          <w:rStyle w:val="AERbody"/>
          <w:rFonts w:ascii="Arial" w:hAnsi="Arial" w:cs="Arial"/>
          <w:szCs w:val="20"/>
        </w:rPr>
        <w:t>GPO Box 520</w:t>
      </w:r>
    </w:p>
    <w:p w:rsidR="009B0BEE" w:rsidRPr="009B0BEE" w:rsidRDefault="009B0BEE" w:rsidP="009B0BEE">
      <w:pPr>
        <w:pStyle w:val="AERbodytextnospace"/>
        <w:rPr>
          <w:rStyle w:val="AERbody"/>
          <w:rFonts w:ascii="Arial" w:hAnsi="Arial" w:cs="Arial"/>
          <w:szCs w:val="20"/>
        </w:rPr>
      </w:pPr>
      <w:r w:rsidRPr="009B0BEE">
        <w:rPr>
          <w:rStyle w:val="AERbody"/>
          <w:rFonts w:ascii="Arial" w:hAnsi="Arial" w:cs="Arial"/>
          <w:szCs w:val="20"/>
        </w:rPr>
        <w:t>Melbourne Vic 3001</w:t>
      </w:r>
    </w:p>
    <w:p w:rsidR="009B0BEE" w:rsidRPr="009B0BEE" w:rsidRDefault="009B0BEE" w:rsidP="009B0BEE">
      <w:pPr>
        <w:pStyle w:val="AERbodytextnospace"/>
        <w:rPr>
          <w:rStyle w:val="AERbody"/>
          <w:rFonts w:ascii="Arial" w:hAnsi="Arial" w:cs="Arial"/>
          <w:szCs w:val="20"/>
        </w:rPr>
      </w:pPr>
      <w:r w:rsidRPr="009B0BEE">
        <w:rPr>
          <w:rStyle w:val="AERbody"/>
          <w:rFonts w:ascii="Arial" w:hAnsi="Arial" w:cs="Arial"/>
          <w:szCs w:val="20"/>
        </w:rPr>
        <w:t xml:space="preserve">Email: </w:t>
      </w:r>
      <w:hyperlink r:id="rId13" w:history="1">
        <w:r w:rsidRPr="009B0BEE">
          <w:rPr>
            <w:rStyle w:val="AERbody"/>
            <w:rFonts w:ascii="Arial" w:hAnsi="Arial" w:cs="Arial"/>
            <w:szCs w:val="20"/>
          </w:rPr>
          <w:t>AERInquiry@aer.gov.au</w:t>
        </w:r>
      </w:hyperlink>
    </w:p>
    <w:p w:rsidR="009B0BEE" w:rsidRPr="009B0BEE" w:rsidRDefault="009B0BEE" w:rsidP="009B0BEE">
      <w:pPr>
        <w:pStyle w:val="AERbodytext"/>
        <w:rPr>
          <w:rFonts w:ascii="Arial" w:hAnsi="Arial" w:cs="Arial"/>
          <w:szCs w:val="20"/>
        </w:rPr>
      </w:pPr>
    </w:p>
    <w:p w:rsidR="009B0BEE" w:rsidRDefault="009B0BEE" w:rsidP="00F61322">
      <w:pPr>
        <w:spacing w:before="0"/>
        <w:rPr>
          <w:rFonts w:cs="Arial"/>
          <w:sz w:val="20"/>
          <w:szCs w:val="20"/>
        </w:rPr>
      </w:pPr>
      <w:r w:rsidRPr="009B0BEE">
        <w:rPr>
          <w:rFonts w:cs="Arial"/>
          <w:sz w:val="20"/>
          <w:szCs w:val="20"/>
        </w:rPr>
        <w:t>We prefer that all submissions be publicly available to facilitate an informed and transparent consultative process. Submissions will be treated as public documents unless otherwise requested. Parties wishing to submit confidential information are requested to:</w:t>
      </w:r>
    </w:p>
    <w:p w:rsidR="00F61322" w:rsidRDefault="00F61322" w:rsidP="00F61322">
      <w:pPr>
        <w:spacing w:before="0"/>
        <w:rPr>
          <w:rFonts w:cs="Arial"/>
          <w:sz w:val="20"/>
          <w:szCs w:val="20"/>
        </w:rPr>
      </w:pPr>
    </w:p>
    <w:p w:rsidR="009B0BEE" w:rsidRPr="009B0BEE" w:rsidRDefault="009B0BEE" w:rsidP="009B0BEE">
      <w:pPr>
        <w:pStyle w:val="AERbulletlistfirststyle"/>
        <w:numPr>
          <w:ilvl w:val="0"/>
          <w:numId w:val="24"/>
        </w:numPr>
        <w:spacing w:before="0" w:after="200" w:line="288" w:lineRule="auto"/>
        <w:ind w:left="357" w:hanging="357"/>
        <w:jc w:val="both"/>
        <w:rPr>
          <w:rFonts w:cs="Arial"/>
          <w:sz w:val="20"/>
          <w:szCs w:val="20"/>
        </w:rPr>
      </w:pPr>
      <w:r w:rsidRPr="009B0BEE">
        <w:rPr>
          <w:rFonts w:cs="Arial"/>
          <w:sz w:val="20"/>
          <w:szCs w:val="20"/>
        </w:rPr>
        <w:t>clearly identify the information that is the subject of the confidentiality claim</w:t>
      </w:r>
    </w:p>
    <w:p w:rsidR="009B0BEE" w:rsidRPr="009B0BEE" w:rsidRDefault="009B0BEE" w:rsidP="009B0BEE">
      <w:pPr>
        <w:pStyle w:val="AERbulletlistfirststyle"/>
        <w:numPr>
          <w:ilvl w:val="0"/>
          <w:numId w:val="24"/>
        </w:numPr>
        <w:spacing w:before="0" w:after="200" w:line="288" w:lineRule="auto"/>
        <w:ind w:left="357" w:hanging="357"/>
        <w:jc w:val="both"/>
        <w:rPr>
          <w:rFonts w:cs="Arial"/>
          <w:sz w:val="20"/>
          <w:szCs w:val="20"/>
        </w:rPr>
      </w:pPr>
      <w:r w:rsidRPr="009B0BEE">
        <w:rPr>
          <w:rFonts w:cs="Arial"/>
          <w:sz w:val="20"/>
          <w:szCs w:val="20"/>
        </w:rPr>
        <w:t>provide a non-confidential version of the submission in a form suitable for publication.</w:t>
      </w:r>
    </w:p>
    <w:p w:rsidR="009B0BEE" w:rsidRPr="009B0BEE" w:rsidRDefault="009B0BEE" w:rsidP="009B0BEE">
      <w:pPr>
        <w:rPr>
          <w:rFonts w:cs="Arial"/>
          <w:sz w:val="20"/>
          <w:szCs w:val="20"/>
        </w:rPr>
      </w:pPr>
      <w:r w:rsidRPr="009B0BEE">
        <w:rPr>
          <w:rFonts w:cs="Arial"/>
          <w:sz w:val="20"/>
          <w:szCs w:val="20"/>
        </w:rPr>
        <w:t xml:space="preserve">All non-confidential submissions will be placed on our website at </w:t>
      </w:r>
      <w:hyperlink r:id="rId14" w:history="1">
        <w:r w:rsidRPr="009B0BEE">
          <w:rPr>
            <w:rFonts w:cs="Arial"/>
            <w:sz w:val="20"/>
            <w:szCs w:val="20"/>
          </w:rPr>
          <w:t>www.aer.gov.au</w:t>
        </w:r>
      </w:hyperlink>
      <w:r w:rsidRPr="009B0BEE">
        <w:rPr>
          <w:rFonts w:cs="Arial"/>
          <w:sz w:val="20"/>
          <w:szCs w:val="20"/>
        </w:rPr>
        <w:t>. For further information regarding our use and disclosure of information provided to us, see the ACCC/AER Information Policy, October 2008 available on our website.</w:t>
      </w:r>
    </w:p>
    <w:p w:rsidR="009B0BEE" w:rsidRPr="009B0BEE" w:rsidRDefault="009B0BEE" w:rsidP="009B0BEE">
      <w:pPr>
        <w:rPr>
          <w:rFonts w:cs="Arial"/>
          <w:sz w:val="20"/>
          <w:szCs w:val="20"/>
        </w:rPr>
      </w:pPr>
      <w:r w:rsidRPr="009B0BEE">
        <w:rPr>
          <w:rFonts w:cs="Arial"/>
          <w:sz w:val="20"/>
          <w:szCs w:val="20"/>
        </w:rPr>
        <w:t xml:space="preserve">Enquires about this paper, or about lodging submissions, should be directed to our Network </w:t>
      </w:r>
      <w:r w:rsidR="00F61322">
        <w:rPr>
          <w:rFonts w:cs="Arial"/>
          <w:sz w:val="20"/>
          <w:szCs w:val="20"/>
        </w:rPr>
        <w:t xml:space="preserve">Investment and Pricing </w:t>
      </w:r>
      <w:r w:rsidRPr="009B0BEE">
        <w:rPr>
          <w:rFonts w:cs="Arial"/>
          <w:sz w:val="20"/>
          <w:szCs w:val="20"/>
        </w:rPr>
        <w:t xml:space="preserve">branch on </w:t>
      </w:r>
      <w:r w:rsidR="00F61322">
        <w:rPr>
          <w:rFonts w:cs="Arial"/>
          <w:sz w:val="20"/>
          <w:szCs w:val="20"/>
        </w:rPr>
        <w:t>08 8213 3458</w:t>
      </w:r>
      <w:r w:rsidRPr="009B0BEE">
        <w:rPr>
          <w:rFonts w:cs="Arial"/>
          <w:sz w:val="20"/>
          <w:szCs w:val="20"/>
        </w:rPr>
        <w:t>.</w:t>
      </w:r>
    </w:p>
    <w:p w:rsidR="009B0BEE" w:rsidRPr="009B0BEE" w:rsidRDefault="009B0BEE" w:rsidP="00705A8A">
      <w:pPr>
        <w:tabs>
          <w:tab w:val="left" w:pos="340"/>
        </w:tabs>
        <w:spacing w:line="276" w:lineRule="auto"/>
        <w:rPr>
          <w:rFonts w:eastAsia="Arial" w:cs="Times New Roman"/>
          <w:b/>
          <w:sz w:val="20"/>
          <w:szCs w:val="20"/>
        </w:rPr>
      </w:pPr>
    </w:p>
    <w:p w:rsidR="009B0BEE" w:rsidRPr="009B0BEE" w:rsidRDefault="009B0BEE" w:rsidP="00705A8A">
      <w:pPr>
        <w:tabs>
          <w:tab w:val="left" w:pos="340"/>
        </w:tabs>
        <w:spacing w:line="276" w:lineRule="auto"/>
        <w:rPr>
          <w:rFonts w:eastAsia="Arial" w:cs="Times New Roman"/>
          <w:b/>
          <w:sz w:val="20"/>
          <w:szCs w:val="20"/>
        </w:rPr>
      </w:pPr>
    </w:p>
    <w:p w:rsidR="009B0BEE" w:rsidRPr="009B0BEE" w:rsidRDefault="009B0BEE" w:rsidP="009B0BEE">
      <w:pPr>
        <w:tabs>
          <w:tab w:val="left" w:pos="2913"/>
        </w:tabs>
        <w:spacing w:line="276" w:lineRule="auto"/>
        <w:rPr>
          <w:rFonts w:eastAsia="Arial" w:cs="Times New Roman"/>
          <w:b/>
          <w:sz w:val="20"/>
          <w:szCs w:val="20"/>
        </w:rPr>
      </w:pPr>
      <w:r w:rsidRPr="009B0BEE">
        <w:rPr>
          <w:rFonts w:eastAsia="Arial" w:cs="Times New Roman"/>
          <w:b/>
          <w:sz w:val="20"/>
          <w:szCs w:val="20"/>
        </w:rPr>
        <w:tab/>
      </w:r>
    </w:p>
    <w:p w:rsidR="009B0BEE" w:rsidRPr="009B0BEE" w:rsidRDefault="009B0BEE" w:rsidP="00705A8A">
      <w:pPr>
        <w:tabs>
          <w:tab w:val="left" w:pos="340"/>
        </w:tabs>
        <w:spacing w:line="276" w:lineRule="auto"/>
        <w:rPr>
          <w:rFonts w:eastAsia="Arial" w:cs="Times New Roman"/>
          <w:b/>
          <w:sz w:val="20"/>
          <w:szCs w:val="20"/>
        </w:rPr>
      </w:pPr>
    </w:p>
    <w:p w:rsidR="009B0BEE" w:rsidRDefault="009B0BEE" w:rsidP="00705A8A">
      <w:pPr>
        <w:tabs>
          <w:tab w:val="left" w:pos="340"/>
        </w:tabs>
        <w:spacing w:line="276" w:lineRule="auto"/>
        <w:rPr>
          <w:rFonts w:eastAsia="Arial" w:cs="Times New Roman"/>
          <w:b/>
        </w:rPr>
      </w:pPr>
    </w:p>
    <w:p w:rsidR="009B0BEE" w:rsidRDefault="009B0BEE" w:rsidP="00705A8A">
      <w:pPr>
        <w:tabs>
          <w:tab w:val="left" w:pos="340"/>
        </w:tabs>
        <w:spacing w:line="276" w:lineRule="auto"/>
        <w:rPr>
          <w:rFonts w:eastAsia="Arial" w:cs="Times New Roman"/>
          <w:b/>
        </w:rPr>
      </w:pPr>
    </w:p>
    <w:p w:rsidR="009B0BEE" w:rsidRDefault="009B0BEE" w:rsidP="00705A8A">
      <w:pPr>
        <w:tabs>
          <w:tab w:val="left" w:pos="340"/>
        </w:tabs>
        <w:spacing w:line="276" w:lineRule="auto"/>
        <w:rPr>
          <w:rFonts w:eastAsia="Arial" w:cs="Times New Roman"/>
          <w:b/>
        </w:rPr>
      </w:pPr>
    </w:p>
    <w:p w:rsidR="009B0BEE" w:rsidRDefault="009B0BEE" w:rsidP="00705A8A">
      <w:pPr>
        <w:tabs>
          <w:tab w:val="left" w:pos="340"/>
        </w:tabs>
        <w:spacing w:line="276" w:lineRule="auto"/>
        <w:rPr>
          <w:rFonts w:eastAsia="Arial" w:cs="Times New Roman"/>
          <w:b/>
        </w:rPr>
      </w:pPr>
    </w:p>
    <w:p w:rsidR="009B0BEE" w:rsidRDefault="009B0BEE" w:rsidP="00705A8A">
      <w:pPr>
        <w:tabs>
          <w:tab w:val="left" w:pos="340"/>
        </w:tabs>
        <w:spacing w:line="276" w:lineRule="auto"/>
        <w:rPr>
          <w:rFonts w:eastAsia="Arial" w:cs="Times New Roman"/>
          <w:b/>
        </w:rPr>
      </w:pPr>
    </w:p>
    <w:p w:rsidR="00705A8A" w:rsidRPr="00F61322" w:rsidRDefault="00705A8A" w:rsidP="00F61322">
      <w:pPr>
        <w:pStyle w:val="Numbered1"/>
        <w:rPr>
          <w:rFonts w:asciiTheme="minorHAnsi" w:eastAsia="Arial" w:hAnsiTheme="minorHAnsi" w:cstheme="minorHAnsi"/>
          <w:b/>
          <w:color w:val="70635A"/>
          <w:sz w:val="36"/>
          <w:szCs w:val="36"/>
        </w:rPr>
      </w:pPr>
      <w:r w:rsidRPr="00F61322">
        <w:rPr>
          <w:rFonts w:asciiTheme="minorHAnsi" w:eastAsia="Arial" w:hAnsiTheme="minorHAnsi" w:cstheme="minorHAnsi"/>
          <w:b/>
          <w:color w:val="70635A"/>
          <w:sz w:val="36"/>
          <w:szCs w:val="36"/>
        </w:rPr>
        <w:lastRenderedPageBreak/>
        <w:t>Purpose</w:t>
      </w:r>
    </w:p>
    <w:p w:rsidR="00705A8A" w:rsidRPr="00705A8A" w:rsidRDefault="00705A8A" w:rsidP="00705A8A">
      <w:pPr>
        <w:tabs>
          <w:tab w:val="left" w:pos="340"/>
        </w:tabs>
        <w:spacing w:line="276" w:lineRule="auto"/>
        <w:rPr>
          <w:rFonts w:eastAsia="Arial" w:cs="Times New Roman"/>
        </w:rPr>
      </w:pPr>
      <w:r w:rsidRPr="00705A8A">
        <w:rPr>
          <w:rFonts w:eastAsia="Arial" w:cs="Times New Roman"/>
        </w:rPr>
        <w:t>To seek stakeholder submissions on an alternative approach to recovering the residual metering capital costs through an alternative control services (ACS) annual charge that would occur when a customer moves to another service provider.</w:t>
      </w:r>
    </w:p>
    <w:p w:rsidR="00705A8A" w:rsidRPr="00705A8A" w:rsidRDefault="00705A8A" w:rsidP="00705A8A">
      <w:pPr>
        <w:tabs>
          <w:tab w:val="left" w:pos="340"/>
        </w:tabs>
        <w:spacing w:line="276" w:lineRule="auto"/>
        <w:rPr>
          <w:rFonts w:eastAsia="Arial" w:cs="Times New Roman"/>
        </w:rPr>
      </w:pPr>
      <w:r w:rsidRPr="00705A8A">
        <w:rPr>
          <w:rFonts w:eastAsia="Arial" w:cs="Times New Roman"/>
        </w:rPr>
        <w:t>Submis</w:t>
      </w:r>
      <w:r>
        <w:rPr>
          <w:rFonts w:eastAsia="Arial" w:cs="Times New Roman"/>
        </w:rPr>
        <w:t>s</w:t>
      </w:r>
      <w:r w:rsidRPr="00705A8A">
        <w:rPr>
          <w:rFonts w:eastAsia="Arial" w:cs="Times New Roman"/>
        </w:rPr>
        <w:t>ions on the alternative approach outlined in this paper will be considered in making the NSW/ACT final decisions and the preliminary decisions for Qld/SA.</w:t>
      </w:r>
    </w:p>
    <w:p w:rsidR="00705A8A" w:rsidRPr="00705A8A" w:rsidRDefault="00705A8A" w:rsidP="00705A8A">
      <w:pPr>
        <w:tabs>
          <w:tab w:val="left" w:pos="340"/>
        </w:tabs>
        <w:spacing w:line="276" w:lineRule="auto"/>
        <w:rPr>
          <w:rFonts w:eastAsia="Arial" w:cs="Times New Roman"/>
        </w:rPr>
      </w:pPr>
      <w:r w:rsidRPr="00705A8A">
        <w:rPr>
          <w:rFonts w:eastAsia="Arial" w:cs="Times New Roman"/>
        </w:rPr>
        <w:t xml:space="preserve">Given the </w:t>
      </w:r>
      <w:r w:rsidR="00784EB3">
        <w:rPr>
          <w:rFonts w:eastAsia="Arial" w:cs="Times New Roman"/>
        </w:rPr>
        <w:t xml:space="preserve">limited nature of the issue and the </w:t>
      </w:r>
      <w:r w:rsidRPr="00705A8A">
        <w:rPr>
          <w:rFonts w:eastAsia="Arial" w:cs="Times New Roman"/>
        </w:rPr>
        <w:t xml:space="preserve">time available to finalise the decisions, we are seeking submissions by </w:t>
      </w:r>
      <w:r w:rsidRPr="00705A8A">
        <w:rPr>
          <w:rFonts w:eastAsia="Arial" w:cs="Times New Roman"/>
          <w:b/>
        </w:rPr>
        <w:t>close of business, Friday, 27 March 2015</w:t>
      </w:r>
      <w:r w:rsidRPr="00705A8A">
        <w:rPr>
          <w:rFonts w:eastAsia="Arial" w:cs="Times New Roman"/>
        </w:rPr>
        <w:t>.</w:t>
      </w:r>
    </w:p>
    <w:p w:rsidR="00705A8A" w:rsidRPr="00F61322" w:rsidRDefault="00705A8A" w:rsidP="00F61322">
      <w:pPr>
        <w:pStyle w:val="Numbered11"/>
        <w:rPr>
          <w:rFonts w:eastAsia="Arial"/>
          <w:b/>
          <w:color w:val="70635A"/>
        </w:rPr>
      </w:pPr>
      <w:r w:rsidRPr="00F61322">
        <w:rPr>
          <w:rFonts w:eastAsia="Arial"/>
          <w:b/>
          <w:color w:val="70635A"/>
        </w:rPr>
        <w:t>Background</w:t>
      </w:r>
    </w:p>
    <w:p w:rsidR="00705A8A" w:rsidRPr="00F61322" w:rsidRDefault="00705A8A" w:rsidP="00F61322">
      <w:pPr>
        <w:pStyle w:val="Heading3"/>
        <w:rPr>
          <w:rFonts w:eastAsia="Arial"/>
          <w:color w:val="70635A"/>
        </w:rPr>
      </w:pPr>
      <w:r w:rsidRPr="00F61322">
        <w:rPr>
          <w:rFonts w:eastAsia="Arial"/>
          <w:color w:val="70635A"/>
        </w:rPr>
        <w:t>NSW/ACT Draft decision</w:t>
      </w:r>
    </w:p>
    <w:p w:rsidR="00705A8A" w:rsidRPr="00705A8A" w:rsidRDefault="00705A8A" w:rsidP="00705A8A">
      <w:pPr>
        <w:tabs>
          <w:tab w:val="left" w:pos="340"/>
        </w:tabs>
        <w:spacing w:line="276" w:lineRule="auto"/>
        <w:rPr>
          <w:rFonts w:eastAsia="Arial" w:cs="Times New Roman"/>
        </w:rPr>
      </w:pPr>
      <w:r w:rsidRPr="00705A8A">
        <w:rPr>
          <w:rFonts w:eastAsia="Arial" w:cs="Times New Roman"/>
        </w:rPr>
        <w:t xml:space="preserve">In our draft decision, we proposed an alternative approach to exit fees due to our primary concern that a large exit fee would create a barrier to entry into a contestable metering market following the AEMC's rule change. </w:t>
      </w:r>
    </w:p>
    <w:p w:rsidR="00705A8A" w:rsidRPr="00705A8A" w:rsidRDefault="00705A8A" w:rsidP="00705A8A">
      <w:pPr>
        <w:tabs>
          <w:tab w:val="left" w:pos="340"/>
        </w:tabs>
        <w:spacing w:line="276" w:lineRule="auto"/>
        <w:rPr>
          <w:rFonts w:eastAsia="Arial" w:cs="Times New Roman"/>
        </w:rPr>
      </w:pPr>
      <w:r w:rsidRPr="00705A8A">
        <w:rPr>
          <w:rFonts w:eastAsia="Arial" w:cs="Times New Roman"/>
        </w:rPr>
        <w:t>Our alternative was to define a standard control service</w:t>
      </w:r>
      <w:r w:rsidR="00784EB3">
        <w:rPr>
          <w:rFonts w:eastAsia="Arial" w:cs="Times New Roman"/>
        </w:rPr>
        <w:t xml:space="preserve"> (SCS)</w:t>
      </w:r>
      <w:r w:rsidRPr="00705A8A">
        <w:rPr>
          <w:rFonts w:eastAsia="Arial" w:cs="Times New Roman"/>
        </w:rPr>
        <w:t xml:space="preserve"> that would cover </w:t>
      </w:r>
      <w:r w:rsidR="00087502">
        <w:rPr>
          <w:rFonts w:eastAsia="Arial" w:cs="Times New Roman"/>
        </w:rPr>
        <w:t xml:space="preserve">the </w:t>
      </w:r>
      <w:r w:rsidRPr="00705A8A">
        <w:rPr>
          <w:rFonts w:eastAsia="Arial" w:cs="Times New Roman"/>
        </w:rPr>
        <w:t>residual capital costs</w:t>
      </w:r>
      <w:r w:rsidR="00087502">
        <w:rPr>
          <w:rFonts w:eastAsia="Arial" w:cs="Times New Roman"/>
        </w:rPr>
        <w:t xml:space="preserve"> of a meter when a customer transferred to another provider</w:t>
      </w:r>
      <w:r w:rsidRPr="00705A8A">
        <w:rPr>
          <w:rFonts w:eastAsia="Arial" w:cs="Times New Roman"/>
        </w:rPr>
        <w:t xml:space="preserve">. That is, when a customer leaves, the capital </w:t>
      </w:r>
      <w:r w:rsidR="00087502" w:rsidRPr="00705A8A">
        <w:rPr>
          <w:rFonts w:eastAsia="Arial" w:cs="Times New Roman"/>
        </w:rPr>
        <w:t>cost</w:t>
      </w:r>
      <w:r w:rsidR="00087502">
        <w:rPr>
          <w:rFonts w:eastAsia="Arial" w:cs="Times New Roman"/>
        </w:rPr>
        <w:t xml:space="preserve"> to the service provider (the residual cost of the meter) would be </w:t>
      </w:r>
      <w:r w:rsidRPr="00705A8A">
        <w:rPr>
          <w:rFonts w:eastAsia="Arial" w:cs="Times New Roman"/>
        </w:rPr>
        <w:t xml:space="preserve">added to the </w:t>
      </w:r>
      <w:r w:rsidR="00784EB3">
        <w:rPr>
          <w:rFonts w:eastAsia="Arial" w:cs="Times New Roman"/>
        </w:rPr>
        <w:t xml:space="preserve">SCS </w:t>
      </w:r>
      <w:r w:rsidRPr="00705A8A">
        <w:rPr>
          <w:rFonts w:eastAsia="Arial" w:cs="Times New Roman"/>
        </w:rPr>
        <w:t>regulatory asset base (RAB).</w:t>
      </w:r>
      <w:r w:rsidRPr="00705A8A">
        <w:rPr>
          <w:rFonts w:eastAsia="Arial" w:cs="Times New Roman"/>
          <w:vertAlign w:val="superscript"/>
        </w:rPr>
        <w:footnoteReference w:id="1"/>
      </w:r>
      <w:r w:rsidRPr="00705A8A">
        <w:rPr>
          <w:rFonts w:eastAsia="Arial" w:cs="Times New Roman"/>
        </w:rPr>
        <w:t xml:space="preserve"> We proposed to make adjustments to the SCS RAB to account for actual churn for each year, subject to a two year lag to allow time to obtain data on actuals. </w:t>
      </w:r>
    </w:p>
    <w:p w:rsidR="00705A8A" w:rsidRPr="00705A8A" w:rsidRDefault="00705A8A" w:rsidP="00705A8A">
      <w:pPr>
        <w:tabs>
          <w:tab w:val="left" w:pos="340"/>
        </w:tabs>
        <w:spacing w:line="276" w:lineRule="auto"/>
        <w:rPr>
          <w:rFonts w:eastAsia="Arial" w:cs="Times New Roman"/>
        </w:rPr>
      </w:pPr>
      <w:r w:rsidRPr="00705A8A">
        <w:rPr>
          <w:rFonts w:eastAsia="Arial" w:cs="Times New Roman"/>
        </w:rPr>
        <w:t>We included a b-factor in the SCS control mechanism formula</w:t>
      </w:r>
      <w:r w:rsidRPr="00705A8A">
        <w:rPr>
          <w:rFonts w:eastAsia="Arial" w:cs="Times New Roman"/>
          <w:vertAlign w:val="superscript"/>
        </w:rPr>
        <w:footnoteReference w:id="2"/>
      </w:r>
      <w:r w:rsidRPr="00705A8A">
        <w:rPr>
          <w:rFonts w:eastAsia="Arial" w:cs="Times New Roman"/>
        </w:rPr>
        <w:t xml:space="preserve">. This was intended to allow additional revenue, on top of the annual revenue requirement, to start recovering residual metering capital costs that have been added to the SCS RAB through network tariffs within the regulatory period. </w:t>
      </w:r>
    </w:p>
    <w:p w:rsidR="00705A8A" w:rsidRPr="00705A8A" w:rsidRDefault="00705A8A" w:rsidP="00705A8A">
      <w:pPr>
        <w:tabs>
          <w:tab w:val="left" w:pos="340"/>
        </w:tabs>
        <w:spacing w:line="276" w:lineRule="auto"/>
        <w:rPr>
          <w:rFonts w:eastAsia="Arial" w:cs="Times New Roman"/>
        </w:rPr>
      </w:pPr>
      <w:r w:rsidRPr="00705A8A">
        <w:rPr>
          <w:rFonts w:eastAsia="Arial" w:cs="Times New Roman"/>
        </w:rPr>
        <w:t>We recognised the risk that if many customers churn in the same year, the impact on network tariffs may be large. On this basis, we introduced a tolerance limit. If the residual metering capital cost recovery component of the b-factor for year t:</w:t>
      </w:r>
      <w:r w:rsidRPr="00705A8A">
        <w:rPr>
          <w:rFonts w:eastAsia="Arial" w:cs="Times New Roman"/>
          <w:vertAlign w:val="superscript"/>
        </w:rPr>
        <w:footnoteReference w:id="3"/>
      </w:r>
    </w:p>
    <w:p w:rsidR="00705A8A" w:rsidRPr="00705A8A" w:rsidRDefault="00705A8A" w:rsidP="005F52C8">
      <w:pPr>
        <w:numPr>
          <w:ilvl w:val="0"/>
          <w:numId w:val="16"/>
        </w:numPr>
        <w:tabs>
          <w:tab w:val="left" w:pos="340"/>
        </w:tabs>
        <w:spacing w:line="276" w:lineRule="auto"/>
        <w:rPr>
          <w:rFonts w:eastAsia="Arial" w:cs="Times New Roman"/>
        </w:rPr>
      </w:pPr>
      <w:r w:rsidRPr="00705A8A">
        <w:rPr>
          <w:rFonts w:eastAsia="Arial" w:cs="Times New Roman"/>
        </w:rPr>
        <w:t xml:space="preserve">is less than two per cent of the annual revenue requirement, then the whole amount would be cleared within one regulatory year. </w:t>
      </w:r>
    </w:p>
    <w:p w:rsidR="00705A8A" w:rsidRPr="00705A8A" w:rsidRDefault="00705A8A" w:rsidP="005F52C8">
      <w:pPr>
        <w:numPr>
          <w:ilvl w:val="0"/>
          <w:numId w:val="16"/>
        </w:numPr>
        <w:tabs>
          <w:tab w:val="left" w:pos="340"/>
        </w:tabs>
        <w:spacing w:line="276" w:lineRule="auto"/>
        <w:rPr>
          <w:rFonts w:eastAsia="Arial" w:cs="Times New Roman"/>
        </w:rPr>
      </w:pPr>
      <w:r w:rsidRPr="00705A8A">
        <w:rPr>
          <w:rFonts w:eastAsia="Arial" w:cs="Times New Roman"/>
        </w:rPr>
        <w:t>is greater than two per cent of the annual revenue requirement, then the under/over recovery will be recovered in the remainder of the regulatory control period.</w:t>
      </w:r>
      <w:r w:rsidRPr="00705A8A">
        <w:rPr>
          <w:rFonts w:eastAsia="Arial" w:cs="Times New Roman"/>
          <w:vertAlign w:val="superscript"/>
        </w:rPr>
        <w:t xml:space="preserve"> </w:t>
      </w:r>
      <w:r w:rsidRPr="00705A8A">
        <w:rPr>
          <w:rFonts w:eastAsia="Arial" w:cs="Times New Roman"/>
          <w:vertAlign w:val="superscript"/>
        </w:rPr>
        <w:footnoteReference w:id="4"/>
      </w:r>
    </w:p>
    <w:p w:rsidR="00F61322" w:rsidRDefault="00F61322" w:rsidP="00F61322">
      <w:pPr>
        <w:pStyle w:val="Heading3"/>
        <w:rPr>
          <w:rFonts w:eastAsia="Arial"/>
        </w:rPr>
      </w:pPr>
    </w:p>
    <w:p w:rsidR="002B741F" w:rsidRPr="002B741F" w:rsidRDefault="002B741F" w:rsidP="002B741F"/>
    <w:p w:rsidR="00705A8A" w:rsidRPr="00705A8A" w:rsidRDefault="00705A8A" w:rsidP="00F61322">
      <w:pPr>
        <w:pStyle w:val="Heading3"/>
        <w:rPr>
          <w:rFonts w:eastAsia="Arial"/>
        </w:rPr>
      </w:pPr>
      <w:r w:rsidRPr="00705A8A">
        <w:rPr>
          <w:rFonts w:eastAsia="Arial"/>
        </w:rPr>
        <w:lastRenderedPageBreak/>
        <w:t>NSW and ACT revised proposals</w:t>
      </w:r>
    </w:p>
    <w:p w:rsidR="00705A8A" w:rsidRPr="00705A8A" w:rsidRDefault="00705A8A" w:rsidP="00705A8A">
      <w:pPr>
        <w:tabs>
          <w:tab w:val="left" w:pos="340"/>
        </w:tabs>
        <w:spacing w:line="276" w:lineRule="auto"/>
        <w:rPr>
          <w:rFonts w:eastAsia="Arial" w:cs="Times New Roman"/>
        </w:rPr>
      </w:pPr>
      <w:r w:rsidRPr="00705A8A">
        <w:rPr>
          <w:rFonts w:eastAsia="Arial" w:cs="Times New Roman"/>
        </w:rPr>
        <w:t>ActewAGL disagreed with our draft decision to classify the recovery of residual type 5 and 6 metering capital costs as a standard control service</w:t>
      </w:r>
      <w:r w:rsidRPr="00705A8A">
        <w:rPr>
          <w:rFonts w:eastAsia="Arial" w:cs="Times New Roman"/>
          <w:vertAlign w:val="superscript"/>
        </w:rPr>
        <w:footnoteReference w:id="5"/>
      </w:r>
      <w:r w:rsidRPr="00705A8A">
        <w:rPr>
          <w:rFonts w:eastAsia="Arial" w:cs="Times New Roman"/>
        </w:rPr>
        <w:t xml:space="preserve">. There were numerous reasons stated, but on our understanding, </w:t>
      </w:r>
      <w:r w:rsidR="00087502">
        <w:rPr>
          <w:rFonts w:eastAsia="Arial" w:cs="Times New Roman"/>
        </w:rPr>
        <w:t>a</w:t>
      </w:r>
      <w:r w:rsidR="00087502" w:rsidRPr="00705A8A">
        <w:rPr>
          <w:rFonts w:eastAsia="Arial" w:cs="Times New Roman"/>
        </w:rPr>
        <w:t xml:space="preserve"> </w:t>
      </w:r>
      <w:r w:rsidRPr="00705A8A">
        <w:rPr>
          <w:rFonts w:eastAsia="Arial" w:cs="Times New Roman"/>
        </w:rPr>
        <w:t xml:space="preserve">primary objection is that our approach is legally impermissible because amongst other things, assets cannot be added to the SCS RAB during a regulatory control period. </w:t>
      </w:r>
    </w:p>
    <w:p w:rsidR="00705A8A" w:rsidRPr="00705A8A" w:rsidRDefault="00705A8A" w:rsidP="00705A8A">
      <w:pPr>
        <w:tabs>
          <w:tab w:val="left" w:pos="340"/>
        </w:tabs>
        <w:spacing w:line="276" w:lineRule="auto"/>
        <w:rPr>
          <w:rFonts w:eastAsia="Arial" w:cs="Times New Roman"/>
        </w:rPr>
      </w:pPr>
      <w:r w:rsidRPr="00705A8A">
        <w:rPr>
          <w:rFonts w:eastAsia="Arial" w:cs="Times New Roman"/>
        </w:rPr>
        <w:t>The NSW distributors accepted our position to recover the residual metering capital costs as a standard control service.</w:t>
      </w:r>
      <w:r w:rsidRPr="00705A8A">
        <w:rPr>
          <w:rFonts w:eastAsia="Arial" w:cs="Times New Roman"/>
          <w:vertAlign w:val="superscript"/>
        </w:rPr>
        <w:footnoteReference w:id="6"/>
      </w:r>
      <w:r w:rsidRPr="00705A8A">
        <w:rPr>
          <w:rFonts w:eastAsia="Arial" w:cs="Times New Roman"/>
        </w:rPr>
        <w:t xml:space="preserve"> However, the NSW and ACT distributors did not accept the tolerance limit for the b-factor adjustment. Ausgrid argued the tolerance limit should be applied only to the DUoS unders and overs account, not to the b-factor.</w:t>
      </w:r>
      <w:r w:rsidRPr="00705A8A">
        <w:rPr>
          <w:rFonts w:eastAsia="Arial" w:cs="Times New Roman"/>
          <w:vertAlign w:val="superscript"/>
        </w:rPr>
        <w:footnoteReference w:id="7"/>
      </w:r>
      <w:r w:rsidRPr="00705A8A">
        <w:rPr>
          <w:rFonts w:eastAsia="Arial" w:cs="Times New Roman"/>
        </w:rPr>
        <w:t xml:space="preserve"> Essential Energy, Endeavour Energy and ActewAGL were concerned it would not allow them to recover their costs if they exceeded the 2 per cent tolerance limit.</w:t>
      </w:r>
      <w:r w:rsidRPr="00705A8A">
        <w:rPr>
          <w:rFonts w:eastAsia="Arial" w:cs="Times New Roman"/>
          <w:vertAlign w:val="superscript"/>
        </w:rPr>
        <w:footnoteReference w:id="8"/>
      </w:r>
      <w:r w:rsidRPr="00705A8A">
        <w:rPr>
          <w:rFonts w:eastAsia="Arial" w:cs="Times New Roman"/>
        </w:rPr>
        <w:t xml:space="preserve"> </w:t>
      </w:r>
    </w:p>
    <w:p w:rsidR="00705A8A" w:rsidRPr="00F61322" w:rsidRDefault="00705A8A" w:rsidP="00F61322">
      <w:pPr>
        <w:pStyle w:val="Numbered11"/>
        <w:rPr>
          <w:rFonts w:eastAsia="Arial"/>
          <w:b/>
          <w:color w:val="70635A"/>
        </w:rPr>
      </w:pPr>
      <w:r w:rsidRPr="00F61322">
        <w:rPr>
          <w:rFonts w:eastAsia="Arial"/>
          <w:b/>
          <w:color w:val="70635A"/>
        </w:rPr>
        <w:t>Discussion</w:t>
      </w:r>
    </w:p>
    <w:p w:rsidR="00705A8A" w:rsidRPr="00705A8A" w:rsidRDefault="00705A8A" w:rsidP="00705A8A">
      <w:pPr>
        <w:tabs>
          <w:tab w:val="left" w:pos="340"/>
        </w:tabs>
        <w:spacing w:line="276" w:lineRule="auto"/>
        <w:rPr>
          <w:rFonts w:eastAsia="Arial" w:cs="Times New Roman"/>
        </w:rPr>
      </w:pPr>
      <w:r w:rsidRPr="00705A8A">
        <w:rPr>
          <w:rFonts w:eastAsia="Arial" w:cs="Times New Roman"/>
        </w:rPr>
        <w:t>We accept the concerns expressed by ActewAGL and the NSW distribution business, regarding the b-factor adjustment in the draft decision:</w:t>
      </w:r>
    </w:p>
    <w:p w:rsidR="00705A8A" w:rsidRPr="00705A8A" w:rsidRDefault="00705A8A" w:rsidP="005F52C8">
      <w:pPr>
        <w:numPr>
          <w:ilvl w:val="0"/>
          <w:numId w:val="17"/>
        </w:numPr>
        <w:tabs>
          <w:tab w:val="left" w:pos="340"/>
        </w:tabs>
        <w:spacing w:line="276" w:lineRule="auto"/>
        <w:rPr>
          <w:rFonts w:eastAsia="Arial" w:cs="Times New Roman"/>
        </w:rPr>
      </w:pPr>
      <w:r w:rsidRPr="00705A8A">
        <w:rPr>
          <w:rFonts w:eastAsia="Arial" w:cs="Times New Roman"/>
        </w:rPr>
        <w:t>the mechanism adopted to add the residual metering capital value on an annual basis to the SCS RAB is not appropriate under the National Electricity Rules (NER)</w:t>
      </w:r>
      <w:r w:rsidRPr="00705A8A">
        <w:rPr>
          <w:rFonts w:eastAsia="Arial" w:cs="Times New Roman"/>
          <w:vertAlign w:val="superscript"/>
        </w:rPr>
        <w:footnoteReference w:id="9"/>
      </w:r>
      <w:r w:rsidRPr="00705A8A">
        <w:rPr>
          <w:rFonts w:eastAsia="Arial" w:cs="Times New Roman"/>
        </w:rPr>
        <w:t xml:space="preserve">; and </w:t>
      </w:r>
    </w:p>
    <w:p w:rsidR="00705A8A" w:rsidRPr="00705A8A" w:rsidRDefault="00705A8A" w:rsidP="005F52C8">
      <w:pPr>
        <w:numPr>
          <w:ilvl w:val="0"/>
          <w:numId w:val="17"/>
        </w:numPr>
        <w:tabs>
          <w:tab w:val="left" w:pos="340"/>
        </w:tabs>
        <w:spacing w:line="276" w:lineRule="auto"/>
        <w:rPr>
          <w:rFonts w:eastAsia="Arial" w:cs="Times New Roman"/>
        </w:rPr>
      </w:pPr>
      <w:r w:rsidRPr="00705A8A">
        <w:rPr>
          <w:rFonts w:eastAsia="Arial" w:cs="Times New Roman"/>
        </w:rPr>
        <w:t xml:space="preserve">the concern that revenue recovery may not be allowed into the next regulatory period if the tolerance limits bind. Revenue recovery for the network businesses was a key consideration and it was not our intention that the proposed approach in the draft decision would undermine this. </w:t>
      </w:r>
    </w:p>
    <w:p w:rsidR="00705A8A" w:rsidRPr="00705A8A" w:rsidRDefault="00705A8A" w:rsidP="00705A8A">
      <w:pPr>
        <w:tabs>
          <w:tab w:val="left" w:pos="340"/>
        </w:tabs>
        <w:spacing w:line="276" w:lineRule="auto"/>
        <w:rPr>
          <w:rFonts w:eastAsia="Arial" w:cs="Times New Roman"/>
        </w:rPr>
      </w:pPr>
      <w:r w:rsidRPr="00705A8A">
        <w:rPr>
          <w:rFonts w:eastAsia="Arial" w:cs="Times New Roman"/>
        </w:rPr>
        <w:t xml:space="preserve">Therefore, our draft decision to make annual adjustments to the SCS RAB requires an alternative approach. </w:t>
      </w:r>
    </w:p>
    <w:p w:rsidR="00705A8A" w:rsidRPr="00F61322" w:rsidRDefault="00705A8A" w:rsidP="00F61322">
      <w:pPr>
        <w:pStyle w:val="Heading3"/>
        <w:rPr>
          <w:rFonts w:eastAsia="Arial"/>
          <w:color w:val="70635A"/>
        </w:rPr>
      </w:pPr>
      <w:r w:rsidRPr="00F61322">
        <w:rPr>
          <w:rFonts w:eastAsia="Arial"/>
          <w:color w:val="70635A"/>
        </w:rPr>
        <w:t>Proposed alternative</w:t>
      </w:r>
    </w:p>
    <w:p w:rsidR="00705A8A" w:rsidRPr="00705A8A" w:rsidRDefault="00705A8A" w:rsidP="00705A8A">
      <w:pPr>
        <w:tabs>
          <w:tab w:val="left" w:pos="340"/>
        </w:tabs>
        <w:spacing w:line="276" w:lineRule="auto"/>
        <w:rPr>
          <w:rFonts w:eastAsia="Arial" w:cs="Times New Roman"/>
        </w:rPr>
      </w:pPr>
      <w:r w:rsidRPr="00705A8A">
        <w:rPr>
          <w:rFonts w:eastAsia="Arial" w:cs="Times New Roman"/>
        </w:rPr>
        <w:t xml:space="preserve">We are proposing to recover the residual meter capital cost through an annual metering charge </w:t>
      </w:r>
      <w:r w:rsidR="00087502">
        <w:rPr>
          <w:rFonts w:eastAsia="Arial" w:cs="Times New Roman"/>
        </w:rPr>
        <w:t xml:space="preserve">that applies </w:t>
      </w:r>
      <w:r w:rsidRPr="00705A8A">
        <w:rPr>
          <w:rFonts w:eastAsia="Arial" w:cs="Times New Roman"/>
        </w:rPr>
        <w:t xml:space="preserve">to all customers </w:t>
      </w:r>
      <w:r w:rsidR="00C9242A">
        <w:rPr>
          <w:rFonts w:eastAsia="Arial" w:cs="Times New Roman"/>
        </w:rPr>
        <w:t xml:space="preserve">in respect of a service </w:t>
      </w:r>
      <w:r w:rsidR="00087502">
        <w:rPr>
          <w:rFonts w:eastAsia="Arial" w:cs="Times New Roman"/>
        </w:rPr>
        <w:t xml:space="preserve">classified </w:t>
      </w:r>
      <w:r w:rsidRPr="00705A8A">
        <w:rPr>
          <w:rFonts w:eastAsia="Arial" w:cs="Times New Roman"/>
        </w:rPr>
        <w:t>as ACS, rather than a SCS. It would be implemented through having two annual ACS charges</w:t>
      </w:r>
      <w:r w:rsidR="001073A1">
        <w:rPr>
          <w:rFonts w:eastAsia="Arial" w:cs="Times New Roman"/>
        </w:rPr>
        <w:t>, corresponding to two services under this category</w:t>
      </w:r>
      <w:r w:rsidRPr="00705A8A">
        <w:rPr>
          <w:rFonts w:eastAsia="Arial" w:cs="Times New Roman"/>
        </w:rPr>
        <w:t>.</w:t>
      </w:r>
    </w:p>
    <w:p w:rsidR="00705A8A" w:rsidRPr="00705A8A" w:rsidRDefault="00705A8A" w:rsidP="00705A8A">
      <w:pPr>
        <w:tabs>
          <w:tab w:val="left" w:pos="340"/>
        </w:tabs>
        <w:spacing w:line="276" w:lineRule="auto"/>
        <w:rPr>
          <w:rFonts w:eastAsia="Arial" w:cs="Times New Roman"/>
        </w:rPr>
      </w:pPr>
      <w:r w:rsidRPr="00705A8A">
        <w:rPr>
          <w:rFonts w:eastAsia="Arial" w:cs="Times New Roman"/>
        </w:rPr>
        <w:t xml:space="preserve">The first annual charge is an avoidable charge that applies </w:t>
      </w:r>
      <w:r w:rsidR="00C9242A">
        <w:rPr>
          <w:rFonts w:eastAsia="Arial" w:cs="Times New Roman"/>
        </w:rPr>
        <w:t>if the customer has a</w:t>
      </w:r>
      <w:r w:rsidR="00087502" w:rsidRPr="00705A8A">
        <w:rPr>
          <w:rFonts w:eastAsia="Arial" w:cs="Times New Roman"/>
        </w:rPr>
        <w:t xml:space="preserve"> </w:t>
      </w:r>
      <w:r w:rsidRPr="00705A8A">
        <w:rPr>
          <w:rFonts w:eastAsia="Arial" w:cs="Times New Roman"/>
        </w:rPr>
        <w:t xml:space="preserve">current regulated meter. This incorporates the ongoing costs associated with the regulated metering base. </w:t>
      </w:r>
      <w:r w:rsidR="001073A1">
        <w:rPr>
          <w:rFonts w:eastAsia="Arial" w:cs="Times New Roman"/>
        </w:rPr>
        <w:t>If</w:t>
      </w:r>
      <w:r w:rsidR="001073A1" w:rsidRPr="00705A8A">
        <w:rPr>
          <w:rFonts w:eastAsia="Arial" w:cs="Times New Roman"/>
        </w:rPr>
        <w:t xml:space="preserve"> </w:t>
      </w:r>
      <w:r w:rsidRPr="00705A8A">
        <w:rPr>
          <w:rFonts w:eastAsia="Arial" w:cs="Times New Roman"/>
        </w:rPr>
        <w:t xml:space="preserve">a customer churns to an unregulated metering provider, they will no longer pay this </w:t>
      </w:r>
      <w:r w:rsidRPr="00705A8A">
        <w:rPr>
          <w:rFonts w:eastAsia="Arial" w:cs="Times New Roman"/>
        </w:rPr>
        <w:lastRenderedPageBreak/>
        <w:t>charge as they no longer us</w:t>
      </w:r>
      <w:r w:rsidR="00784EB3">
        <w:rPr>
          <w:rFonts w:eastAsia="Arial" w:cs="Times New Roman"/>
        </w:rPr>
        <w:t>e</w:t>
      </w:r>
      <w:r w:rsidRPr="00705A8A">
        <w:rPr>
          <w:rFonts w:eastAsia="Arial" w:cs="Times New Roman"/>
        </w:rPr>
        <w:t xml:space="preserve"> these meters. The second annual charge is an unavoidable charge that applies to both current and churned metering customers. These costs would include the residual or undepreciated </w:t>
      </w:r>
      <w:r w:rsidR="00FD0A9F">
        <w:rPr>
          <w:rFonts w:eastAsia="Arial" w:cs="Times New Roman"/>
        </w:rPr>
        <w:t xml:space="preserve">capital </w:t>
      </w:r>
      <w:r w:rsidRPr="00705A8A">
        <w:rPr>
          <w:rFonts w:eastAsia="Arial" w:cs="Times New Roman"/>
        </w:rPr>
        <w:t>costs</w:t>
      </w:r>
      <w:r w:rsidR="00087502">
        <w:rPr>
          <w:rFonts w:eastAsia="Arial" w:cs="Times New Roman"/>
        </w:rPr>
        <w:t xml:space="preserve"> of type 5 and 6 meters</w:t>
      </w:r>
      <w:r w:rsidRPr="00705A8A">
        <w:rPr>
          <w:rFonts w:eastAsia="Arial" w:cs="Times New Roman"/>
        </w:rPr>
        <w:t xml:space="preserve">. The unavoidable residual component </w:t>
      </w:r>
      <w:r w:rsidR="00087502">
        <w:rPr>
          <w:rFonts w:eastAsia="Arial" w:cs="Times New Roman"/>
        </w:rPr>
        <w:t xml:space="preserve">of this charge </w:t>
      </w:r>
      <w:r w:rsidRPr="00705A8A">
        <w:rPr>
          <w:rFonts w:eastAsia="Arial" w:cs="Times New Roman"/>
        </w:rPr>
        <w:t xml:space="preserve">would </w:t>
      </w:r>
      <w:r w:rsidR="00087502">
        <w:rPr>
          <w:rFonts w:eastAsia="Arial" w:cs="Times New Roman"/>
        </w:rPr>
        <w:t xml:space="preserve">continue to apply </w:t>
      </w:r>
      <w:r w:rsidR="00C9242A">
        <w:rPr>
          <w:rFonts w:eastAsia="Arial" w:cs="Times New Roman"/>
        </w:rPr>
        <w:t xml:space="preserve">in respect of </w:t>
      </w:r>
      <w:r w:rsidR="001073A1">
        <w:rPr>
          <w:rFonts w:eastAsia="Arial" w:cs="Times New Roman"/>
        </w:rPr>
        <w:t xml:space="preserve">the relevant </w:t>
      </w:r>
      <w:r w:rsidRPr="00705A8A">
        <w:rPr>
          <w:rFonts w:eastAsia="Arial" w:cs="Times New Roman"/>
        </w:rPr>
        <w:t xml:space="preserve">alternative control </w:t>
      </w:r>
      <w:r w:rsidR="00087502">
        <w:rPr>
          <w:rFonts w:eastAsia="Arial" w:cs="Times New Roman"/>
        </w:rPr>
        <w:t xml:space="preserve">service </w:t>
      </w:r>
      <w:r w:rsidRPr="00705A8A">
        <w:rPr>
          <w:rFonts w:eastAsia="Arial" w:cs="Times New Roman"/>
        </w:rPr>
        <w:t>until fully depreciated.</w:t>
      </w:r>
    </w:p>
    <w:p w:rsidR="00705A8A" w:rsidRPr="00705A8A" w:rsidRDefault="00705A8A" w:rsidP="00705A8A">
      <w:pPr>
        <w:tabs>
          <w:tab w:val="left" w:pos="340"/>
        </w:tabs>
        <w:spacing w:line="276" w:lineRule="auto"/>
        <w:rPr>
          <w:rFonts w:eastAsia="Arial" w:cs="Times New Roman"/>
        </w:rPr>
      </w:pPr>
      <w:r w:rsidRPr="00705A8A">
        <w:rPr>
          <w:rFonts w:eastAsia="Arial" w:cs="Times New Roman"/>
        </w:rPr>
        <w:t xml:space="preserve">There are two </w:t>
      </w:r>
      <w:r w:rsidR="001073A1">
        <w:rPr>
          <w:rFonts w:eastAsia="Arial" w:cs="Times New Roman"/>
        </w:rPr>
        <w:t>ways</w:t>
      </w:r>
      <w:r w:rsidR="001073A1" w:rsidRPr="00705A8A">
        <w:rPr>
          <w:rFonts w:eastAsia="Arial" w:cs="Times New Roman"/>
        </w:rPr>
        <w:t xml:space="preserve"> </w:t>
      </w:r>
      <w:r w:rsidRPr="00705A8A">
        <w:rPr>
          <w:rFonts w:eastAsia="Arial" w:cs="Times New Roman"/>
        </w:rPr>
        <w:t xml:space="preserve">of how this approach could be implemented as shown in the diagrams below. Both versions remove the need for a lump sum exit fee, which was also a feature of our previous position in the NSW/ACT draft decision. </w:t>
      </w:r>
      <w:r>
        <w:rPr>
          <w:rFonts w:eastAsia="Arial" w:cs="Times New Roman"/>
        </w:rPr>
        <w:t>The total annual metering charge is the same in each option, however, w</w:t>
      </w:r>
      <w:r w:rsidRPr="00705A8A">
        <w:rPr>
          <w:rFonts w:eastAsia="Arial" w:cs="Times New Roman"/>
        </w:rPr>
        <w:t xml:space="preserve">here they differ relates to the metering asset base (MAB) recovery. </w:t>
      </w:r>
    </w:p>
    <w:p w:rsidR="00705A8A" w:rsidRPr="00705A8A" w:rsidRDefault="00705A8A" w:rsidP="00705A8A">
      <w:pPr>
        <w:tabs>
          <w:tab w:val="left" w:pos="340"/>
        </w:tabs>
        <w:spacing w:line="276" w:lineRule="auto"/>
        <w:rPr>
          <w:rFonts w:eastAsia="Arial" w:cs="Times New Roman"/>
        </w:rPr>
      </w:pPr>
      <w:r w:rsidRPr="00705A8A">
        <w:rPr>
          <w:rFonts w:eastAsia="Arial" w:cs="Times New Roman"/>
        </w:rPr>
        <w:t xml:space="preserve">Option 1, the whole MAB is recovered through the unavoidable annual charge. There is no MAB recovery in the avoidable charge. </w:t>
      </w:r>
    </w:p>
    <w:p w:rsidR="00705A8A" w:rsidRPr="00705A8A" w:rsidRDefault="00705A8A" w:rsidP="00705A8A">
      <w:pPr>
        <w:tabs>
          <w:tab w:val="left" w:pos="340"/>
        </w:tabs>
        <w:spacing w:line="276" w:lineRule="auto"/>
        <w:rPr>
          <w:rFonts w:eastAsia="Arial" w:cs="Times New Roman"/>
        </w:rPr>
      </w:pPr>
      <w:r w:rsidRPr="00705A8A">
        <w:rPr>
          <w:rFonts w:eastAsia="Arial" w:cs="Times New Roman"/>
        </w:rPr>
        <w:t>Option 2, MAB recovery is also a component of the avoidable charge, at least in part. Only the portion of the MAB that risks becoming stranded when a customer churns is recovered through the unavoidable charge.</w:t>
      </w:r>
    </w:p>
    <w:p w:rsidR="00705A8A" w:rsidRPr="00705A8A" w:rsidRDefault="00FD0A9F" w:rsidP="00705A8A">
      <w:pPr>
        <w:tabs>
          <w:tab w:val="left" w:pos="340"/>
        </w:tabs>
        <w:spacing w:line="276" w:lineRule="auto"/>
        <w:rPr>
          <w:rFonts w:eastAsia="Arial" w:cs="Times New Roman"/>
        </w:rPr>
      </w:pPr>
      <w:r>
        <w:rPr>
          <w:rFonts w:eastAsia="Arial" w:cs="Times New Roman"/>
        </w:rPr>
        <w:t xml:space="preserve">We </w:t>
      </w:r>
      <w:r w:rsidR="001073A1">
        <w:rPr>
          <w:rFonts w:eastAsia="Arial" w:cs="Times New Roman"/>
        </w:rPr>
        <w:t xml:space="preserve">also </w:t>
      </w:r>
      <w:r>
        <w:rPr>
          <w:rFonts w:eastAsia="Arial" w:cs="Times New Roman"/>
        </w:rPr>
        <w:t xml:space="preserve">intend to maintain our NSW/ACT draft decision that new/upgraded </w:t>
      </w:r>
      <w:r w:rsidR="00286810">
        <w:rPr>
          <w:rFonts w:eastAsia="Arial" w:cs="Times New Roman"/>
        </w:rPr>
        <w:t>meters</w:t>
      </w:r>
      <w:r>
        <w:rPr>
          <w:rFonts w:eastAsia="Arial" w:cs="Times New Roman"/>
        </w:rPr>
        <w:t xml:space="preserve"> will be charged upfront to the customer, rather than through annual charges. </w:t>
      </w:r>
      <w:r w:rsidR="00286810">
        <w:rPr>
          <w:rFonts w:eastAsia="Arial" w:cs="Times New Roman"/>
        </w:rPr>
        <w:t>N</w:t>
      </w:r>
      <w:r>
        <w:rPr>
          <w:rFonts w:eastAsia="Arial" w:cs="Times New Roman"/>
        </w:rPr>
        <w:t xml:space="preserve">ew/upgraded capital costs are not shown in the annual charge diagrams below. </w:t>
      </w:r>
    </w:p>
    <w:p w:rsidR="00705A8A" w:rsidRPr="00705A8A" w:rsidRDefault="00705A8A" w:rsidP="00705A8A">
      <w:pPr>
        <w:tabs>
          <w:tab w:val="left" w:pos="340"/>
        </w:tabs>
        <w:spacing w:line="276" w:lineRule="auto"/>
        <w:rPr>
          <w:rFonts w:eastAsia="Arial" w:cs="Times New Roman"/>
        </w:rPr>
      </w:pPr>
      <w:r w:rsidRPr="00705A8A">
        <w:rPr>
          <w:rFonts w:eastAsia="Arial" w:cs="Times New Roman"/>
          <w:noProof/>
          <w:lang w:eastAsia="en-AU"/>
        </w:rPr>
        <w:drawing>
          <wp:inline distT="0" distB="0" distL="0" distR="0">
            <wp:extent cx="5781675" cy="26447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81675" cy="2644775"/>
                    </a:xfrm>
                    <a:prstGeom prst="rect">
                      <a:avLst/>
                    </a:prstGeom>
                    <a:noFill/>
                    <a:ln>
                      <a:noFill/>
                    </a:ln>
                  </pic:spPr>
                </pic:pic>
              </a:graphicData>
            </a:graphic>
          </wp:inline>
        </w:drawing>
      </w:r>
    </w:p>
    <w:p w:rsidR="00705A8A" w:rsidRPr="00705A8A" w:rsidRDefault="00705A8A" w:rsidP="00705A8A">
      <w:pPr>
        <w:tabs>
          <w:tab w:val="left" w:pos="340"/>
        </w:tabs>
        <w:spacing w:line="276" w:lineRule="auto"/>
        <w:rPr>
          <w:rFonts w:eastAsia="Arial" w:cs="Times New Roman"/>
        </w:rPr>
      </w:pPr>
    </w:p>
    <w:p w:rsidR="00705A8A" w:rsidRPr="00705A8A" w:rsidRDefault="00705A8A" w:rsidP="00705A8A">
      <w:pPr>
        <w:tabs>
          <w:tab w:val="left" w:pos="340"/>
        </w:tabs>
        <w:spacing w:line="276" w:lineRule="auto"/>
        <w:rPr>
          <w:rFonts w:eastAsia="Arial" w:cs="Times New Roman"/>
        </w:rPr>
      </w:pPr>
      <w:r w:rsidRPr="00705A8A">
        <w:rPr>
          <w:rFonts w:eastAsia="Arial" w:cs="Times New Roman"/>
        </w:rPr>
        <w:t>These approaches are both largely similar to our approach in the NSW/ACT draft decision that we consider achieve our desired outcomes:</w:t>
      </w:r>
    </w:p>
    <w:p w:rsidR="00705A8A" w:rsidRPr="00705A8A" w:rsidRDefault="00705A8A" w:rsidP="005F52C8">
      <w:pPr>
        <w:numPr>
          <w:ilvl w:val="0"/>
          <w:numId w:val="18"/>
        </w:numPr>
        <w:tabs>
          <w:tab w:val="left" w:pos="340"/>
        </w:tabs>
        <w:spacing w:line="276" w:lineRule="auto"/>
        <w:rPr>
          <w:rFonts w:eastAsia="Arial" w:cs="Times New Roman"/>
        </w:rPr>
      </w:pPr>
      <w:r w:rsidRPr="00705A8A">
        <w:rPr>
          <w:rFonts w:eastAsia="Arial" w:cs="Times New Roman"/>
        </w:rPr>
        <w:t>It ensures that the businesses recover the cost of their sunk investments</w:t>
      </w:r>
    </w:p>
    <w:p w:rsidR="00705A8A" w:rsidRPr="00705A8A" w:rsidRDefault="00705A8A" w:rsidP="005F52C8">
      <w:pPr>
        <w:numPr>
          <w:ilvl w:val="0"/>
          <w:numId w:val="18"/>
        </w:numPr>
        <w:tabs>
          <w:tab w:val="left" w:pos="340"/>
        </w:tabs>
        <w:spacing w:line="276" w:lineRule="auto"/>
        <w:rPr>
          <w:rFonts w:eastAsia="Arial" w:cs="Times New Roman"/>
        </w:rPr>
      </w:pPr>
      <w:r w:rsidRPr="00705A8A">
        <w:rPr>
          <w:rFonts w:eastAsia="Arial" w:cs="Times New Roman"/>
        </w:rPr>
        <w:t>The exit fee is significantly reduced to promote competition. This is consistent with stakeholders support for the current approach</w:t>
      </w:r>
    </w:p>
    <w:p w:rsidR="00705A8A" w:rsidRPr="00705A8A" w:rsidRDefault="00705A8A" w:rsidP="005F52C8">
      <w:pPr>
        <w:numPr>
          <w:ilvl w:val="0"/>
          <w:numId w:val="18"/>
        </w:numPr>
        <w:tabs>
          <w:tab w:val="left" w:pos="340"/>
        </w:tabs>
        <w:spacing w:line="276" w:lineRule="auto"/>
        <w:rPr>
          <w:rFonts w:eastAsia="Arial" w:cs="Times New Roman"/>
        </w:rPr>
      </w:pPr>
      <w:r w:rsidRPr="00705A8A">
        <w:rPr>
          <w:rFonts w:eastAsia="Arial" w:cs="Times New Roman"/>
        </w:rPr>
        <w:lastRenderedPageBreak/>
        <w:t>The residual component will be recovered from all customers as is the case if it was recovered through DUoS charges.</w:t>
      </w:r>
    </w:p>
    <w:p w:rsidR="00705A8A" w:rsidRPr="00705A8A" w:rsidRDefault="00705A8A" w:rsidP="00705A8A">
      <w:pPr>
        <w:tabs>
          <w:tab w:val="left" w:pos="340"/>
        </w:tabs>
        <w:spacing w:line="276" w:lineRule="auto"/>
        <w:rPr>
          <w:rFonts w:eastAsia="Arial" w:cs="Times New Roman"/>
        </w:rPr>
      </w:pPr>
      <w:r w:rsidRPr="00705A8A">
        <w:rPr>
          <w:rFonts w:eastAsia="Arial" w:cs="Times New Roman"/>
        </w:rPr>
        <w:t>We consider that either approach reduces the downside reflected in comments received from distribution businesses</w:t>
      </w:r>
      <w:r w:rsidR="001073A1">
        <w:rPr>
          <w:rFonts w:eastAsia="Arial" w:cs="Times New Roman"/>
        </w:rPr>
        <w:t xml:space="preserve"> in relation to customers taking up new meters from competitive suppliers</w:t>
      </w:r>
      <w:r w:rsidRPr="00705A8A">
        <w:rPr>
          <w:rFonts w:eastAsia="Arial" w:cs="Times New Roman"/>
        </w:rPr>
        <w:t>. There is no longer the potential cash flow, revenue recovery and legal risks created by defining the service as a standard control service and having the residual component recovered at the end of the period.</w:t>
      </w:r>
    </w:p>
    <w:p w:rsidR="00705A8A" w:rsidRPr="00705A8A" w:rsidRDefault="00705A8A" w:rsidP="00705A8A">
      <w:pPr>
        <w:tabs>
          <w:tab w:val="left" w:pos="340"/>
        </w:tabs>
        <w:spacing w:line="276" w:lineRule="auto"/>
        <w:rPr>
          <w:rFonts w:eastAsia="Arial" w:cs="Times New Roman"/>
        </w:rPr>
      </w:pPr>
      <w:r w:rsidRPr="00705A8A">
        <w:rPr>
          <w:rFonts w:eastAsia="Arial" w:cs="Times New Roman"/>
        </w:rPr>
        <w:t>There are three key implications:</w:t>
      </w:r>
    </w:p>
    <w:p w:rsidR="00705A8A" w:rsidRPr="00705A8A" w:rsidRDefault="00705A8A" w:rsidP="005F52C8">
      <w:pPr>
        <w:numPr>
          <w:ilvl w:val="0"/>
          <w:numId w:val="19"/>
        </w:numPr>
        <w:tabs>
          <w:tab w:val="left" w:pos="340"/>
        </w:tabs>
        <w:spacing w:line="276" w:lineRule="auto"/>
        <w:rPr>
          <w:rFonts w:eastAsia="Arial" w:cs="Times New Roman"/>
        </w:rPr>
      </w:pPr>
      <w:r w:rsidRPr="00705A8A">
        <w:rPr>
          <w:rFonts w:eastAsia="Arial" w:cs="Times New Roman"/>
        </w:rPr>
        <w:t>administrative impact</w:t>
      </w:r>
    </w:p>
    <w:p w:rsidR="00705A8A" w:rsidRPr="00705A8A" w:rsidRDefault="00705A8A" w:rsidP="005F52C8">
      <w:pPr>
        <w:numPr>
          <w:ilvl w:val="1"/>
          <w:numId w:val="19"/>
        </w:numPr>
        <w:tabs>
          <w:tab w:val="left" w:pos="340"/>
        </w:tabs>
        <w:spacing w:line="276" w:lineRule="auto"/>
        <w:rPr>
          <w:rFonts w:eastAsia="Arial" w:cs="Times New Roman"/>
        </w:rPr>
      </w:pPr>
      <w:r w:rsidRPr="00705A8A">
        <w:rPr>
          <w:rFonts w:eastAsia="Arial" w:cs="Times New Roman"/>
        </w:rPr>
        <w:t xml:space="preserve">Option 1 is administratively simpler. The unavoidable charge can be set at the beginning of the regulatory period based on existing meters and forecast replacement capex, and does not require annual adjustment as this calculation is not contingent on actual churn. </w:t>
      </w:r>
    </w:p>
    <w:p w:rsidR="00705A8A" w:rsidRPr="00705A8A" w:rsidRDefault="00705A8A" w:rsidP="005F52C8">
      <w:pPr>
        <w:numPr>
          <w:ilvl w:val="1"/>
          <w:numId w:val="19"/>
        </w:numPr>
        <w:tabs>
          <w:tab w:val="left" w:pos="340"/>
        </w:tabs>
        <w:spacing w:line="276" w:lineRule="auto"/>
        <w:rPr>
          <w:rFonts w:eastAsia="Arial" w:cs="Times New Roman"/>
        </w:rPr>
      </w:pPr>
      <w:r w:rsidRPr="00705A8A">
        <w:rPr>
          <w:rFonts w:eastAsia="Arial" w:cs="Times New Roman"/>
        </w:rPr>
        <w:t>Option 2 is administratively more complex. Only residual metering capital costs are recovered through the unavoidable annual charge. Therefore, the unavoidable annual charge will have to be annually adjusted because residual metering capital costs can only be calculated once actual churn is known.</w:t>
      </w:r>
    </w:p>
    <w:p w:rsidR="00705A8A" w:rsidRPr="00705A8A" w:rsidRDefault="00705A8A" w:rsidP="005F52C8">
      <w:pPr>
        <w:numPr>
          <w:ilvl w:val="0"/>
          <w:numId w:val="19"/>
        </w:numPr>
        <w:tabs>
          <w:tab w:val="left" w:pos="340"/>
        </w:tabs>
        <w:spacing w:line="276" w:lineRule="auto"/>
        <w:rPr>
          <w:rFonts w:eastAsia="Arial" w:cs="Times New Roman"/>
        </w:rPr>
      </w:pPr>
      <w:r w:rsidRPr="00705A8A">
        <w:rPr>
          <w:rFonts w:eastAsia="Arial" w:cs="Times New Roman"/>
        </w:rPr>
        <w:t>cross subsidy</w:t>
      </w:r>
    </w:p>
    <w:p w:rsidR="00705A8A" w:rsidRPr="00705A8A" w:rsidRDefault="00705A8A" w:rsidP="005F52C8">
      <w:pPr>
        <w:numPr>
          <w:ilvl w:val="1"/>
          <w:numId w:val="19"/>
        </w:numPr>
        <w:tabs>
          <w:tab w:val="left" w:pos="340"/>
        </w:tabs>
        <w:spacing w:line="276" w:lineRule="auto"/>
        <w:rPr>
          <w:rFonts w:eastAsia="Arial" w:cs="Times New Roman"/>
        </w:rPr>
      </w:pPr>
      <w:r w:rsidRPr="00705A8A">
        <w:rPr>
          <w:rFonts w:eastAsia="Arial" w:cs="Times New Roman"/>
        </w:rPr>
        <w:t>Option 1 involves less cross subsidy between (churn) customers who decide to take up new meters and those who remain on regulated meters. Metering customers all contribute the same amount to MAB (residual) recovery, regardless of whether they churn or not.</w:t>
      </w:r>
    </w:p>
    <w:p w:rsidR="00705A8A" w:rsidRPr="00705A8A" w:rsidRDefault="00705A8A" w:rsidP="005F52C8">
      <w:pPr>
        <w:numPr>
          <w:ilvl w:val="1"/>
          <w:numId w:val="19"/>
        </w:numPr>
        <w:tabs>
          <w:tab w:val="left" w:pos="340"/>
        </w:tabs>
        <w:spacing w:line="276" w:lineRule="auto"/>
        <w:rPr>
          <w:rFonts w:eastAsia="Arial" w:cs="Times New Roman"/>
        </w:rPr>
      </w:pPr>
      <w:r w:rsidRPr="00705A8A">
        <w:rPr>
          <w:rFonts w:eastAsia="Arial" w:cs="Times New Roman"/>
        </w:rPr>
        <w:t>Option 2 has more cross subsidy towards churned customers because customers who remain on the regulated metering service pay existing MAB recovery through their avoidable annual charge, but then also some portion of the residual metering capital costs through the unavoidable metering charge. Or to put this another way, churned customers will be able to avoid more of the residual metering costs than under option 1.</w:t>
      </w:r>
    </w:p>
    <w:p w:rsidR="00C710C3" w:rsidRDefault="00705A8A" w:rsidP="00181CDA">
      <w:pPr>
        <w:tabs>
          <w:tab w:val="left" w:pos="340"/>
        </w:tabs>
        <w:spacing w:line="276" w:lineRule="auto"/>
        <w:rPr>
          <w:rFonts w:eastAsia="Arial" w:cs="Times New Roman"/>
        </w:rPr>
      </w:pPr>
      <w:r w:rsidRPr="00705A8A">
        <w:rPr>
          <w:rFonts w:eastAsia="Arial" w:cs="Times New Roman"/>
        </w:rPr>
        <w:t xml:space="preserve">We have a </w:t>
      </w:r>
      <w:r>
        <w:rPr>
          <w:rFonts w:eastAsia="Arial" w:cs="Times New Roman"/>
        </w:rPr>
        <w:t xml:space="preserve">strong </w:t>
      </w:r>
      <w:r w:rsidRPr="00705A8A">
        <w:rPr>
          <w:rFonts w:eastAsia="Arial" w:cs="Times New Roman"/>
        </w:rPr>
        <w:t xml:space="preserve">preference for Option 1 because it reduces the cross subsidy to those who remain with regulated meters. </w:t>
      </w:r>
      <w:r w:rsidR="00BE59F1">
        <w:rPr>
          <w:rFonts w:eastAsia="Arial" w:cs="Times New Roman"/>
        </w:rPr>
        <w:t>Option 1 more closely aligns with our objectives</w:t>
      </w:r>
      <w:r w:rsidR="00181CDA">
        <w:rPr>
          <w:rFonts w:eastAsia="Arial" w:cs="Times New Roman"/>
        </w:rPr>
        <w:t xml:space="preserve"> in the NSW/ACT draft decision b</w:t>
      </w:r>
      <w:r w:rsidR="00BE59F1" w:rsidRPr="00181CDA">
        <w:rPr>
          <w:rFonts w:eastAsia="Arial" w:cs="Times New Roman"/>
        </w:rPr>
        <w:t>y</w:t>
      </w:r>
      <w:r w:rsidR="00C710C3">
        <w:rPr>
          <w:rFonts w:eastAsia="Arial" w:cs="Times New Roman"/>
        </w:rPr>
        <w:t>:</w:t>
      </w:r>
    </w:p>
    <w:p w:rsidR="00C710C3" w:rsidRDefault="00BE59F1" w:rsidP="00C710C3">
      <w:pPr>
        <w:pStyle w:val="ListParagraph"/>
        <w:numPr>
          <w:ilvl w:val="0"/>
          <w:numId w:val="22"/>
        </w:numPr>
        <w:tabs>
          <w:tab w:val="left" w:pos="340"/>
        </w:tabs>
        <w:spacing w:line="276" w:lineRule="auto"/>
      </w:pPr>
      <w:r w:rsidRPr="00C710C3">
        <w:t>ensuring that all customers contribute the same amount to the residual meter recovery</w:t>
      </w:r>
    </w:p>
    <w:p w:rsidR="005F52C8" w:rsidRPr="00C710C3" w:rsidRDefault="00C710C3" w:rsidP="00C710C3">
      <w:pPr>
        <w:pStyle w:val="ListParagraph"/>
        <w:numPr>
          <w:ilvl w:val="0"/>
          <w:numId w:val="22"/>
        </w:numPr>
        <w:tabs>
          <w:tab w:val="left" w:pos="340"/>
        </w:tabs>
        <w:spacing w:line="276" w:lineRule="auto"/>
      </w:pPr>
      <w:r>
        <w:t>providing</w:t>
      </w:r>
      <w:r w:rsidR="00BE59F1" w:rsidRPr="00C710C3">
        <w:t xml:space="preserve"> </w:t>
      </w:r>
      <w:r w:rsidR="005F52C8" w:rsidRPr="00C710C3">
        <w:t xml:space="preserve">an appropriate cost recovery that minimises undue distortion in prices. An artificially high avoidable annual charge in these circumstances is not </w:t>
      </w:r>
      <w:r w:rsidR="00B76B6C" w:rsidRPr="00C710C3">
        <w:t xml:space="preserve">considered an appropriate cost recovery </w:t>
      </w:r>
      <w:r w:rsidR="005F52C8" w:rsidRPr="00C710C3">
        <w:t xml:space="preserve">in the interest of consumers.  </w:t>
      </w:r>
    </w:p>
    <w:p w:rsidR="00705A8A" w:rsidRPr="00705A8A" w:rsidRDefault="00705A8A" w:rsidP="00705A8A">
      <w:pPr>
        <w:tabs>
          <w:tab w:val="left" w:pos="340"/>
        </w:tabs>
        <w:spacing w:line="276" w:lineRule="auto"/>
        <w:rPr>
          <w:rFonts w:eastAsia="Arial" w:cs="Times New Roman"/>
        </w:rPr>
      </w:pPr>
      <w:r w:rsidRPr="00705A8A">
        <w:rPr>
          <w:rFonts w:eastAsia="Arial" w:cs="Times New Roman"/>
        </w:rPr>
        <w:t xml:space="preserve">However, we </w:t>
      </w:r>
      <w:r w:rsidR="005F52C8">
        <w:rPr>
          <w:rFonts w:eastAsia="Arial" w:cs="Times New Roman"/>
        </w:rPr>
        <w:t xml:space="preserve">are </w:t>
      </w:r>
      <w:r w:rsidRPr="00705A8A">
        <w:rPr>
          <w:rFonts w:eastAsia="Arial" w:cs="Times New Roman"/>
        </w:rPr>
        <w:t>seek</w:t>
      </w:r>
      <w:r w:rsidR="005F52C8">
        <w:rPr>
          <w:rFonts w:eastAsia="Arial" w:cs="Times New Roman"/>
        </w:rPr>
        <w:t>ing</w:t>
      </w:r>
      <w:r w:rsidRPr="00705A8A">
        <w:rPr>
          <w:rFonts w:eastAsia="Arial" w:cs="Times New Roman"/>
        </w:rPr>
        <w:t xml:space="preserve"> stakeholder comments on both Options 1 and 2.</w:t>
      </w:r>
    </w:p>
    <w:p w:rsidR="00705A8A" w:rsidRPr="00705A8A" w:rsidRDefault="001073A1" w:rsidP="00705A8A">
      <w:pPr>
        <w:tabs>
          <w:tab w:val="left" w:pos="340"/>
        </w:tabs>
        <w:spacing w:line="276" w:lineRule="auto"/>
        <w:rPr>
          <w:rFonts w:eastAsia="Arial" w:cs="Times New Roman"/>
        </w:rPr>
      </w:pPr>
      <w:r>
        <w:rPr>
          <w:rFonts w:eastAsia="Arial" w:cs="Times New Roman"/>
        </w:rPr>
        <w:lastRenderedPageBreak/>
        <w:t xml:space="preserve">Either approach </w:t>
      </w:r>
      <w:r w:rsidR="00705A8A" w:rsidRPr="00705A8A">
        <w:rPr>
          <w:rFonts w:eastAsia="Arial" w:cs="Times New Roman"/>
        </w:rPr>
        <w:t>will require the classification of new alternative control services that were not included in the framework and approach paper. The framework and approach paper did not specifically deal with the classification of exit fees.  We would need to classify services to be able to control the costs of those services in the way outlined in this paper. The draft decision for NSW/ACT acknowledged that there were unforeseen circumstances making a new classification appropriate. Similarly, the same rationale is present for the final decision, albeit that we are now recommending that new services be classified as ACS rather than SCS. We are confident that the service can be defined as an alternative control service for the purpose of the NSW/ACT final decision and the Qld/SA preliminary decision</w:t>
      </w:r>
      <w:r w:rsidR="00181CDA">
        <w:rPr>
          <w:rFonts w:eastAsia="Arial" w:cs="Times New Roman"/>
        </w:rPr>
        <w:t>.</w:t>
      </w:r>
      <w:r w:rsidR="00705A8A" w:rsidRPr="00705A8A">
        <w:rPr>
          <w:rFonts w:eastAsia="Arial" w:cs="Times New Roman"/>
        </w:rPr>
        <w:t xml:space="preserve"> </w:t>
      </w:r>
    </w:p>
    <w:p w:rsidR="00705A8A" w:rsidRPr="00705A8A" w:rsidRDefault="00705A8A" w:rsidP="00705A8A">
      <w:pPr>
        <w:tabs>
          <w:tab w:val="left" w:pos="340"/>
        </w:tabs>
        <w:spacing w:line="276" w:lineRule="auto"/>
        <w:rPr>
          <w:rFonts w:eastAsia="Arial" w:cs="Times New Roman"/>
        </w:rPr>
      </w:pPr>
      <w:r w:rsidRPr="00705A8A">
        <w:rPr>
          <w:rFonts w:eastAsia="Arial" w:cs="Times New Roman"/>
        </w:rPr>
        <w:t>To enable the classification of the service, we propose to define two separate alternative control services connected with the transfer of a customer to a new meter provider. These services will be:</w:t>
      </w:r>
    </w:p>
    <w:p w:rsidR="00705A8A" w:rsidRPr="00705A8A" w:rsidRDefault="00705A8A" w:rsidP="005F52C8">
      <w:pPr>
        <w:numPr>
          <w:ilvl w:val="0"/>
          <w:numId w:val="20"/>
        </w:numPr>
        <w:tabs>
          <w:tab w:val="left" w:pos="340"/>
        </w:tabs>
        <w:spacing w:line="276" w:lineRule="auto"/>
        <w:rPr>
          <w:rFonts w:eastAsia="Arial" w:cs="Times New Roman"/>
        </w:rPr>
      </w:pPr>
      <w:r w:rsidRPr="00705A8A">
        <w:rPr>
          <w:rFonts w:eastAsia="Arial" w:cs="Times New Roman"/>
        </w:rPr>
        <w:t xml:space="preserve">Types 5 and 6 meter transfer service, comprised of the services required to complete a customer initiated switch (meter transfer) from a DNSP provided type 5 or 6 meter to a new provider, but not including the associated administrative tasks of updating records and processing information. </w:t>
      </w:r>
    </w:p>
    <w:p w:rsidR="00705A8A" w:rsidRPr="00705A8A" w:rsidRDefault="00705A8A" w:rsidP="005F52C8">
      <w:pPr>
        <w:numPr>
          <w:ilvl w:val="0"/>
          <w:numId w:val="20"/>
        </w:numPr>
        <w:tabs>
          <w:tab w:val="left" w:pos="340"/>
        </w:tabs>
        <w:spacing w:line="276" w:lineRule="auto"/>
        <w:rPr>
          <w:rFonts w:eastAsia="Arial" w:cs="Times New Roman"/>
        </w:rPr>
      </w:pPr>
      <w:r w:rsidRPr="00705A8A">
        <w:rPr>
          <w:rFonts w:eastAsia="Arial" w:cs="Times New Roman"/>
        </w:rPr>
        <w:t>An administration service associated with a customer initiated switch (meter transfer) from a DNSP provided type 5 or 6 meter, comprising updating records and processing information.</w:t>
      </w:r>
    </w:p>
    <w:p w:rsidR="00705A8A" w:rsidRPr="00705A8A" w:rsidRDefault="00705A8A" w:rsidP="00705A8A">
      <w:pPr>
        <w:tabs>
          <w:tab w:val="left" w:pos="340"/>
        </w:tabs>
        <w:spacing w:line="276" w:lineRule="auto"/>
        <w:rPr>
          <w:rFonts w:eastAsia="Arial" w:cs="Times New Roman"/>
        </w:rPr>
      </w:pPr>
      <w:r w:rsidRPr="00705A8A">
        <w:rPr>
          <w:rFonts w:eastAsia="Arial" w:cs="Times New Roman"/>
        </w:rPr>
        <w:t>We propose to define and classify the above two services consistently for each distributor.</w:t>
      </w:r>
    </w:p>
    <w:p w:rsidR="00705A8A" w:rsidRPr="00F61322" w:rsidRDefault="00705A8A" w:rsidP="00F61322">
      <w:pPr>
        <w:pStyle w:val="Heading3"/>
        <w:rPr>
          <w:rFonts w:eastAsia="Arial"/>
        </w:rPr>
      </w:pPr>
      <w:r w:rsidRPr="00F61322">
        <w:rPr>
          <w:rFonts w:eastAsia="Arial"/>
        </w:rPr>
        <w:t xml:space="preserve">Networks NSW – Modelling </w:t>
      </w:r>
    </w:p>
    <w:p w:rsidR="001F4136" w:rsidRDefault="00037BDA" w:rsidP="00A51AF5">
      <w:pPr>
        <w:tabs>
          <w:tab w:val="left" w:pos="340"/>
        </w:tabs>
        <w:spacing w:line="276" w:lineRule="auto"/>
        <w:rPr>
          <w:rFonts w:eastAsia="Arial" w:cs="Times New Roman"/>
        </w:rPr>
      </w:pPr>
      <w:r>
        <w:rPr>
          <w:rFonts w:eastAsia="Arial" w:cs="Times New Roman"/>
        </w:rPr>
        <w:t>In order to provide context around the options for the r</w:t>
      </w:r>
      <w:r w:rsidR="00181CDA">
        <w:rPr>
          <w:rFonts w:eastAsia="Arial" w:cs="Times New Roman"/>
        </w:rPr>
        <w:t xml:space="preserve">ecovery of the residual </w:t>
      </w:r>
      <w:r>
        <w:rPr>
          <w:rFonts w:eastAsia="Arial" w:cs="Times New Roman"/>
        </w:rPr>
        <w:t xml:space="preserve">meter </w:t>
      </w:r>
      <w:r w:rsidR="00181CDA">
        <w:rPr>
          <w:rFonts w:eastAsia="Arial" w:cs="Times New Roman"/>
        </w:rPr>
        <w:t xml:space="preserve">capital </w:t>
      </w:r>
      <w:r>
        <w:rPr>
          <w:rFonts w:eastAsia="Arial" w:cs="Times New Roman"/>
        </w:rPr>
        <w:t>costs</w:t>
      </w:r>
      <w:r w:rsidR="001515ED">
        <w:rPr>
          <w:rFonts w:eastAsia="Arial" w:cs="Times New Roman"/>
        </w:rPr>
        <w:t>, we requested that Network NSW provide us with worked examples and pricing outcomes for competitive metering take-up. We received a number of examples and pricing outcomes for Ausgrid, based on a variety of assumptions and take up rates of competitive meters.</w:t>
      </w:r>
    </w:p>
    <w:p w:rsidR="001515ED" w:rsidRDefault="001515ED" w:rsidP="00A51AF5">
      <w:pPr>
        <w:tabs>
          <w:tab w:val="left" w:pos="340"/>
        </w:tabs>
        <w:spacing w:line="276" w:lineRule="auto"/>
        <w:rPr>
          <w:rFonts w:eastAsia="Arial" w:cs="Times New Roman"/>
        </w:rPr>
      </w:pPr>
      <w:r>
        <w:rPr>
          <w:rFonts w:eastAsia="Arial" w:cs="Times New Roman"/>
        </w:rPr>
        <w:t xml:space="preserve">The table below is for illustrative purposes only and provides a comparison of the </w:t>
      </w:r>
      <w:r w:rsidR="00181CDA">
        <w:rPr>
          <w:rFonts w:eastAsia="Arial" w:cs="Times New Roman"/>
        </w:rPr>
        <w:t>e</w:t>
      </w:r>
      <w:r>
        <w:rPr>
          <w:rFonts w:eastAsia="Arial" w:cs="Times New Roman"/>
        </w:rPr>
        <w:t xml:space="preserve">ffect on the annual charge components for options 1 and 2. </w:t>
      </w:r>
    </w:p>
    <w:p w:rsidR="00F61322" w:rsidRDefault="00F61322" w:rsidP="00A51AF5">
      <w:pPr>
        <w:tabs>
          <w:tab w:val="left" w:pos="340"/>
        </w:tabs>
        <w:spacing w:line="276" w:lineRule="auto"/>
        <w:rPr>
          <w:rFonts w:eastAsia="Arial" w:cs="Times New Roman"/>
        </w:rPr>
      </w:pPr>
    </w:p>
    <w:p w:rsidR="00F61322" w:rsidRDefault="00F61322" w:rsidP="00A51AF5">
      <w:pPr>
        <w:tabs>
          <w:tab w:val="left" w:pos="340"/>
        </w:tabs>
        <w:spacing w:line="276" w:lineRule="auto"/>
        <w:rPr>
          <w:rFonts w:eastAsia="Arial" w:cs="Times New Roman"/>
        </w:rPr>
      </w:pPr>
    </w:p>
    <w:p w:rsidR="00F61322" w:rsidRDefault="00F61322" w:rsidP="00A51AF5">
      <w:pPr>
        <w:tabs>
          <w:tab w:val="left" w:pos="340"/>
        </w:tabs>
        <w:spacing w:line="276" w:lineRule="auto"/>
        <w:rPr>
          <w:rFonts w:eastAsia="Arial" w:cs="Times New Roman"/>
        </w:rPr>
      </w:pPr>
    </w:p>
    <w:p w:rsidR="00F61322" w:rsidRDefault="00F61322" w:rsidP="00A51AF5">
      <w:pPr>
        <w:tabs>
          <w:tab w:val="left" w:pos="340"/>
        </w:tabs>
        <w:spacing w:line="276" w:lineRule="auto"/>
        <w:rPr>
          <w:rFonts w:eastAsia="Arial" w:cs="Times New Roman"/>
        </w:rPr>
      </w:pPr>
    </w:p>
    <w:p w:rsidR="00F61322" w:rsidRDefault="00F61322" w:rsidP="00A51AF5">
      <w:pPr>
        <w:tabs>
          <w:tab w:val="left" w:pos="340"/>
        </w:tabs>
        <w:spacing w:line="276" w:lineRule="auto"/>
        <w:rPr>
          <w:rFonts w:eastAsia="Arial" w:cs="Times New Roman"/>
        </w:rPr>
      </w:pPr>
    </w:p>
    <w:p w:rsidR="00F61322" w:rsidRDefault="00F61322" w:rsidP="00A51AF5">
      <w:pPr>
        <w:tabs>
          <w:tab w:val="left" w:pos="340"/>
        </w:tabs>
        <w:spacing w:line="276" w:lineRule="auto"/>
        <w:rPr>
          <w:rFonts w:eastAsia="Arial" w:cs="Times New Roman"/>
        </w:rPr>
      </w:pPr>
    </w:p>
    <w:p w:rsidR="002B741F" w:rsidRDefault="002B741F" w:rsidP="00A51AF5">
      <w:pPr>
        <w:tabs>
          <w:tab w:val="left" w:pos="340"/>
        </w:tabs>
        <w:spacing w:line="276" w:lineRule="auto"/>
        <w:rPr>
          <w:rFonts w:eastAsia="Arial" w:cs="Times New Roman"/>
        </w:rPr>
      </w:pPr>
      <w:bookmarkStart w:id="11" w:name="_GoBack"/>
      <w:bookmarkEnd w:id="11"/>
    </w:p>
    <w:p w:rsidR="00F61322" w:rsidRDefault="00F61322" w:rsidP="00A51AF5">
      <w:pPr>
        <w:tabs>
          <w:tab w:val="left" w:pos="340"/>
        </w:tabs>
        <w:spacing w:line="276" w:lineRule="auto"/>
        <w:rPr>
          <w:rFonts w:eastAsia="Arial" w:cs="Times New Roman"/>
        </w:rPr>
      </w:pPr>
    </w:p>
    <w:tbl>
      <w:tblPr>
        <w:tblStyle w:val="LightShading"/>
        <w:tblW w:w="0" w:type="auto"/>
        <w:tblLook w:val="04A0" w:firstRow="1" w:lastRow="0" w:firstColumn="1" w:lastColumn="0" w:noHBand="0" w:noVBand="1"/>
      </w:tblPr>
      <w:tblGrid>
        <w:gridCol w:w="1335"/>
        <w:gridCol w:w="1195"/>
        <w:gridCol w:w="1195"/>
        <w:gridCol w:w="1153"/>
        <w:gridCol w:w="1153"/>
        <w:gridCol w:w="1662"/>
        <w:gridCol w:w="1549"/>
      </w:tblGrid>
      <w:tr w:rsidR="00DA6C53" w:rsidRPr="0078192C" w:rsidTr="00F61322">
        <w:trPr>
          <w:cnfStyle w:val="100000000000" w:firstRow="1" w:lastRow="0" w:firstColumn="0" w:lastColumn="0" w:oddVBand="0" w:evenVBand="0" w:oddHBand="0"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1335" w:type="dxa"/>
            <w:noWrap/>
            <w:hideMark/>
          </w:tcPr>
          <w:p w:rsidR="00DA6C53" w:rsidRPr="0078192C" w:rsidRDefault="00DA6C53" w:rsidP="00106643"/>
        </w:tc>
        <w:tc>
          <w:tcPr>
            <w:tcW w:w="2390" w:type="dxa"/>
            <w:gridSpan w:val="2"/>
            <w:noWrap/>
            <w:hideMark/>
          </w:tcPr>
          <w:p w:rsidR="00DA6C53" w:rsidRPr="0078192C" w:rsidRDefault="00DA6C53" w:rsidP="00F61322">
            <w:pPr>
              <w:spacing w:before="0"/>
              <w:jc w:val="center"/>
              <w:cnfStyle w:val="100000000000" w:firstRow="1" w:lastRow="0" w:firstColumn="0" w:lastColumn="0" w:oddVBand="0" w:evenVBand="0" w:oddHBand="0" w:evenHBand="0" w:firstRowFirstColumn="0" w:firstRowLastColumn="0" w:lastRowFirstColumn="0" w:lastRowLastColumn="0"/>
            </w:pPr>
            <w:r w:rsidRPr="0078192C">
              <w:t>Option 1</w:t>
            </w:r>
          </w:p>
        </w:tc>
        <w:tc>
          <w:tcPr>
            <w:tcW w:w="2306" w:type="dxa"/>
            <w:gridSpan w:val="2"/>
            <w:noWrap/>
            <w:hideMark/>
          </w:tcPr>
          <w:p w:rsidR="00DA6C53" w:rsidRPr="0078192C" w:rsidRDefault="00DA6C53" w:rsidP="00F61322">
            <w:pPr>
              <w:spacing w:before="0"/>
              <w:jc w:val="center"/>
              <w:cnfStyle w:val="100000000000" w:firstRow="1" w:lastRow="0" w:firstColumn="0" w:lastColumn="0" w:oddVBand="0" w:evenVBand="0" w:oddHBand="0" w:evenHBand="0" w:firstRowFirstColumn="0" w:firstRowLastColumn="0" w:lastRowFirstColumn="0" w:lastRowLastColumn="0"/>
            </w:pPr>
            <w:r w:rsidRPr="0078192C">
              <w:t>Option 2</w:t>
            </w:r>
          </w:p>
        </w:tc>
        <w:tc>
          <w:tcPr>
            <w:tcW w:w="3211" w:type="dxa"/>
            <w:gridSpan w:val="2"/>
            <w:noWrap/>
            <w:hideMark/>
          </w:tcPr>
          <w:p w:rsidR="00DA6C53" w:rsidRDefault="00DA6C53" w:rsidP="00F61322">
            <w:pPr>
              <w:spacing w:before="0"/>
              <w:jc w:val="center"/>
              <w:cnfStyle w:val="100000000000" w:firstRow="1" w:lastRow="0" w:firstColumn="0" w:lastColumn="0" w:oddVBand="0" w:evenVBand="0" w:oddHBand="0" w:evenHBand="0" w:firstRowFirstColumn="0" w:firstRowLastColumn="0" w:lastRowFirstColumn="0" w:lastRowLastColumn="0"/>
              <w:rPr>
                <w:bCs w:val="0"/>
                <w:i/>
              </w:rPr>
            </w:pPr>
            <w:r w:rsidRPr="0078192C">
              <w:rPr>
                <w:i/>
              </w:rPr>
              <w:t>Difference between</w:t>
            </w:r>
          </w:p>
          <w:p w:rsidR="00DA6C53" w:rsidRPr="0078192C" w:rsidRDefault="00DA6C53" w:rsidP="00F61322">
            <w:pPr>
              <w:spacing w:before="0" w:after="0"/>
              <w:jc w:val="center"/>
              <w:cnfStyle w:val="100000000000" w:firstRow="1" w:lastRow="0" w:firstColumn="0" w:lastColumn="0" w:oddVBand="0" w:evenVBand="0" w:oddHBand="0" w:evenHBand="0" w:firstRowFirstColumn="0" w:firstRowLastColumn="0" w:lastRowFirstColumn="0" w:lastRowLastColumn="0"/>
              <w:rPr>
                <w:i/>
              </w:rPr>
            </w:pPr>
            <w:r w:rsidRPr="0078192C">
              <w:rPr>
                <w:i/>
              </w:rPr>
              <w:t>options</w:t>
            </w:r>
            <w:r>
              <w:rPr>
                <w:bCs w:val="0"/>
                <w:i/>
              </w:rPr>
              <w:t xml:space="preserve"> 1 and 2</w:t>
            </w:r>
          </w:p>
        </w:tc>
      </w:tr>
      <w:tr w:rsidR="00DA6C53" w:rsidRPr="0078192C" w:rsidTr="00F61322">
        <w:trPr>
          <w:trHeight w:val="900"/>
        </w:trPr>
        <w:tc>
          <w:tcPr>
            <w:cnfStyle w:val="001000000000" w:firstRow="0" w:lastRow="0" w:firstColumn="1" w:lastColumn="0" w:oddVBand="0" w:evenVBand="0" w:oddHBand="0" w:evenHBand="0" w:firstRowFirstColumn="0" w:firstRowLastColumn="0" w:lastRowFirstColumn="0" w:lastRowLastColumn="0"/>
            <w:tcW w:w="1335" w:type="dxa"/>
            <w:hideMark/>
          </w:tcPr>
          <w:p w:rsidR="00DA6C53" w:rsidRPr="0078192C" w:rsidRDefault="00DA6C53" w:rsidP="00106643"/>
        </w:tc>
        <w:tc>
          <w:tcPr>
            <w:tcW w:w="1195" w:type="dxa"/>
            <w:hideMark/>
          </w:tcPr>
          <w:p w:rsidR="00DA6C53" w:rsidRPr="0078192C" w:rsidRDefault="00DA6C53" w:rsidP="00106643">
            <w:pPr>
              <w:cnfStyle w:val="000000000000" w:firstRow="0" w:lastRow="0" w:firstColumn="0" w:lastColumn="0" w:oddVBand="0" w:evenVBand="0" w:oddHBand="0" w:evenHBand="0" w:firstRowFirstColumn="0" w:firstRowLastColumn="0" w:lastRowFirstColumn="0" w:lastRowLastColumn="0"/>
              <w:rPr>
                <w:sz w:val="16"/>
              </w:rPr>
            </w:pPr>
            <w:r w:rsidRPr="0078192C">
              <w:rPr>
                <w:sz w:val="16"/>
              </w:rPr>
              <w:t>Avoidable annual charge</w:t>
            </w:r>
          </w:p>
        </w:tc>
        <w:tc>
          <w:tcPr>
            <w:tcW w:w="1195" w:type="dxa"/>
            <w:hideMark/>
          </w:tcPr>
          <w:p w:rsidR="00DA6C53" w:rsidRPr="0078192C" w:rsidRDefault="00DA6C53" w:rsidP="00106643">
            <w:pPr>
              <w:cnfStyle w:val="000000000000" w:firstRow="0" w:lastRow="0" w:firstColumn="0" w:lastColumn="0" w:oddVBand="0" w:evenVBand="0" w:oddHBand="0" w:evenHBand="0" w:firstRowFirstColumn="0" w:firstRowLastColumn="0" w:lastRowFirstColumn="0" w:lastRowLastColumn="0"/>
              <w:rPr>
                <w:sz w:val="16"/>
              </w:rPr>
            </w:pPr>
            <w:r w:rsidRPr="0078192C">
              <w:rPr>
                <w:sz w:val="16"/>
              </w:rPr>
              <w:t>Unavoidable annual charge</w:t>
            </w:r>
          </w:p>
        </w:tc>
        <w:tc>
          <w:tcPr>
            <w:tcW w:w="1153" w:type="dxa"/>
            <w:hideMark/>
          </w:tcPr>
          <w:p w:rsidR="00DA6C53" w:rsidRPr="0078192C" w:rsidRDefault="00DA6C53" w:rsidP="00106643">
            <w:pPr>
              <w:cnfStyle w:val="000000000000" w:firstRow="0" w:lastRow="0" w:firstColumn="0" w:lastColumn="0" w:oddVBand="0" w:evenVBand="0" w:oddHBand="0" w:evenHBand="0" w:firstRowFirstColumn="0" w:firstRowLastColumn="0" w:lastRowFirstColumn="0" w:lastRowLastColumn="0"/>
              <w:rPr>
                <w:sz w:val="16"/>
              </w:rPr>
            </w:pPr>
            <w:r w:rsidRPr="0078192C">
              <w:rPr>
                <w:sz w:val="16"/>
              </w:rPr>
              <w:t>Avoidable annual charge</w:t>
            </w:r>
          </w:p>
        </w:tc>
        <w:tc>
          <w:tcPr>
            <w:tcW w:w="1153" w:type="dxa"/>
            <w:hideMark/>
          </w:tcPr>
          <w:p w:rsidR="00DA6C53" w:rsidRPr="0078192C" w:rsidRDefault="00DA6C53" w:rsidP="00106643">
            <w:pPr>
              <w:cnfStyle w:val="000000000000" w:firstRow="0" w:lastRow="0" w:firstColumn="0" w:lastColumn="0" w:oddVBand="0" w:evenVBand="0" w:oddHBand="0" w:evenHBand="0" w:firstRowFirstColumn="0" w:firstRowLastColumn="0" w:lastRowFirstColumn="0" w:lastRowLastColumn="0"/>
              <w:rPr>
                <w:sz w:val="16"/>
              </w:rPr>
            </w:pPr>
            <w:r w:rsidRPr="0078192C">
              <w:rPr>
                <w:sz w:val="16"/>
              </w:rPr>
              <w:t>Unavoidable annual charge</w:t>
            </w:r>
          </w:p>
        </w:tc>
        <w:tc>
          <w:tcPr>
            <w:tcW w:w="1662" w:type="dxa"/>
            <w:hideMark/>
          </w:tcPr>
          <w:p w:rsidR="00DA6C53" w:rsidRPr="0078192C" w:rsidRDefault="00DA6C53" w:rsidP="00106643">
            <w:pPr>
              <w:cnfStyle w:val="000000000000" w:firstRow="0" w:lastRow="0" w:firstColumn="0" w:lastColumn="0" w:oddVBand="0" w:evenVBand="0" w:oddHBand="0" w:evenHBand="0" w:firstRowFirstColumn="0" w:firstRowLastColumn="0" w:lastRowFirstColumn="0" w:lastRowLastColumn="0"/>
              <w:rPr>
                <w:i/>
                <w:sz w:val="16"/>
              </w:rPr>
            </w:pPr>
            <w:r w:rsidRPr="0078192C">
              <w:rPr>
                <w:i/>
                <w:sz w:val="16"/>
              </w:rPr>
              <w:t>Difference in avoidable annual charge</w:t>
            </w:r>
          </w:p>
        </w:tc>
        <w:tc>
          <w:tcPr>
            <w:tcW w:w="1549" w:type="dxa"/>
            <w:hideMark/>
          </w:tcPr>
          <w:p w:rsidR="00DA6C53" w:rsidRPr="0078192C" w:rsidRDefault="00DA6C53" w:rsidP="00106643">
            <w:pPr>
              <w:cnfStyle w:val="000000000000" w:firstRow="0" w:lastRow="0" w:firstColumn="0" w:lastColumn="0" w:oddVBand="0" w:evenVBand="0" w:oddHBand="0" w:evenHBand="0" w:firstRowFirstColumn="0" w:firstRowLastColumn="0" w:lastRowFirstColumn="0" w:lastRowLastColumn="0"/>
              <w:rPr>
                <w:i/>
                <w:sz w:val="16"/>
              </w:rPr>
            </w:pPr>
            <w:r w:rsidRPr="0078192C">
              <w:rPr>
                <w:i/>
                <w:sz w:val="16"/>
              </w:rPr>
              <w:t>Difference in unavoidable charge</w:t>
            </w:r>
          </w:p>
        </w:tc>
      </w:tr>
      <w:tr w:rsidR="00DA6C53" w:rsidRPr="0078192C" w:rsidTr="00F61322">
        <w:trPr>
          <w:trHeight w:val="300"/>
        </w:trPr>
        <w:tc>
          <w:tcPr>
            <w:cnfStyle w:val="001000000000" w:firstRow="0" w:lastRow="0" w:firstColumn="1" w:lastColumn="0" w:oddVBand="0" w:evenVBand="0" w:oddHBand="0" w:evenHBand="0" w:firstRowFirstColumn="0" w:firstRowLastColumn="0" w:lastRowFirstColumn="0" w:lastRowLastColumn="0"/>
            <w:tcW w:w="1335" w:type="dxa"/>
            <w:noWrap/>
            <w:hideMark/>
          </w:tcPr>
          <w:p w:rsidR="00DA6C53" w:rsidRPr="0078192C" w:rsidRDefault="00DA6C53" w:rsidP="00106643">
            <w:r w:rsidRPr="0078192C">
              <w:t>1% annual churn</w:t>
            </w:r>
          </w:p>
        </w:tc>
        <w:tc>
          <w:tcPr>
            <w:tcW w:w="1195" w:type="dxa"/>
            <w:noWrap/>
            <w:hideMark/>
          </w:tcPr>
          <w:p w:rsidR="00DA6C53" w:rsidRPr="0078192C" w:rsidRDefault="00DA6C53" w:rsidP="00106643">
            <w:pPr>
              <w:cnfStyle w:val="000000000000" w:firstRow="0" w:lastRow="0" w:firstColumn="0" w:lastColumn="0" w:oddVBand="0" w:evenVBand="0" w:oddHBand="0" w:evenHBand="0" w:firstRowFirstColumn="0" w:firstRowLastColumn="0" w:lastRowFirstColumn="0" w:lastRowLastColumn="0"/>
            </w:pPr>
            <w:r w:rsidRPr="0078192C">
              <w:t>$25.00</w:t>
            </w:r>
          </w:p>
        </w:tc>
        <w:tc>
          <w:tcPr>
            <w:tcW w:w="1195" w:type="dxa"/>
            <w:noWrap/>
            <w:hideMark/>
          </w:tcPr>
          <w:p w:rsidR="00DA6C53" w:rsidRPr="0078192C" w:rsidRDefault="00DA6C53" w:rsidP="00106643">
            <w:pPr>
              <w:cnfStyle w:val="000000000000" w:firstRow="0" w:lastRow="0" w:firstColumn="0" w:lastColumn="0" w:oddVBand="0" w:evenVBand="0" w:oddHBand="0" w:evenHBand="0" w:firstRowFirstColumn="0" w:firstRowLastColumn="0" w:lastRowFirstColumn="0" w:lastRowLastColumn="0"/>
            </w:pPr>
            <w:r w:rsidRPr="0078192C">
              <w:t>$20.00</w:t>
            </w:r>
          </w:p>
        </w:tc>
        <w:tc>
          <w:tcPr>
            <w:tcW w:w="1153" w:type="dxa"/>
            <w:noWrap/>
            <w:hideMark/>
          </w:tcPr>
          <w:p w:rsidR="00DA6C53" w:rsidRPr="0078192C" w:rsidRDefault="00DA6C53" w:rsidP="00106643">
            <w:pPr>
              <w:cnfStyle w:val="000000000000" w:firstRow="0" w:lastRow="0" w:firstColumn="0" w:lastColumn="0" w:oddVBand="0" w:evenVBand="0" w:oddHBand="0" w:evenHBand="0" w:firstRowFirstColumn="0" w:firstRowLastColumn="0" w:lastRowFirstColumn="0" w:lastRowLastColumn="0"/>
            </w:pPr>
            <w:r w:rsidRPr="0078192C">
              <w:t>$45.25</w:t>
            </w:r>
          </w:p>
        </w:tc>
        <w:tc>
          <w:tcPr>
            <w:tcW w:w="1153" w:type="dxa"/>
            <w:noWrap/>
            <w:hideMark/>
          </w:tcPr>
          <w:p w:rsidR="00DA6C53" w:rsidRPr="0078192C" w:rsidRDefault="00DA6C53" w:rsidP="00106643">
            <w:pPr>
              <w:cnfStyle w:val="000000000000" w:firstRow="0" w:lastRow="0" w:firstColumn="0" w:lastColumn="0" w:oddVBand="0" w:evenVBand="0" w:oddHBand="0" w:evenHBand="0" w:firstRowFirstColumn="0" w:firstRowLastColumn="0" w:lastRowFirstColumn="0" w:lastRowLastColumn="0"/>
            </w:pPr>
            <w:r w:rsidRPr="0078192C">
              <w:t>$0.20</w:t>
            </w:r>
          </w:p>
        </w:tc>
        <w:tc>
          <w:tcPr>
            <w:tcW w:w="1662" w:type="dxa"/>
            <w:noWrap/>
            <w:hideMark/>
          </w:tcPr>
          <w:p w:rsidR="00DA6C53" w:rsidRPr="0078192C" w:rsidRDefault="00DA6C53" w:rsidP="00106643">
            <w:pPr>
              <w:cnfStyle w:val="000000000000" w:firstRow="0" w:lastRow="0" w:firstColumn="0" w:lastColumn="0" w:oddVBand="0" w:evenVBand="0" w:oddHBand="0" w:evenHBand="0" w:firstRowFirstColumn="0" w:firstRowLastColumn="0" w:lastRowFirstColumn="0" w:lastRowLastColumn="0"/>
              <w:rPr>
                <w:i/>
              </w:rPr>
            </w:pPr>
            <w:r w:rsidRPr="0078192C">
              <w:rPr>
                <w:i/>
              </w:rPr>
              <w:t>$20.25</w:t>
            </w:r>
          </w:p>
        </w:tc>
        <w:tc>
          <w:tcPr>
            <w:tcW w:w="1549" w:type="dxa"/>
            <w:noWrap/>
            <w:hideMark/>
          </w:tcPr>
          <w:p w:rsidR="00DA6C53" w:rsidRPr="0078192C" w:rsidRDefault="00DA6C53" w:rsidP="00106643">
            <w:pPr>
              <w:cnfStyle w:val="000000000000" w:firstRow="0" w:lastRow="0" w:firstColumn="0" w:lastColumn="0" w:oddVBand="0" w:evenVBand="0" w:oddHBand="0" w:evenHBand="0" w:firstRowFirstColumn="0" w:firstRowLastColumn="0" w:lastRowFirstColumn="0" w:lastRowLastColumn="0"/>
              <w:rPr>
                <w:i/>
              </w:rPr>
            </w:pPr>
            <w:r w:rsidRPr="0078192C">
              <w:rPr>
                <w:i/>
              </w:rPr>
              <w:t>$19.80</w:t>
            </w:r>
          </w:p>
        </w:tc>
      </w:tr>
      <w:tr w:rsidR="00DA6C53" w:rsidRPr="0078192C" w:rsidTr="00F61322">
        <w:trPr>
          <w:trHeight w:val="300"/>
        </w:trPr>
        <w:tc>
          <w:tcPr>
            <w:cnfStyle w:val="001000000000" w:firstRow="0" w:lastRow="0" w:firstColumn="1" w:lastColumn="0" w:oddVBand="0" w:evenVBand="0" w:oddHBand="0" w:evenHBand="0" w:firstRowFirstColumn="0" w:firstRowLastColumn="0" w:lastRowFirstColumn="0" w:lastRowLastColumn="0"/>
            <w:tcW w:w="1335" w:type="dxa"/>
            <w:noWrap/>
            <w:hideMark/>
          </w:tcPr>
          <w:p w:rsidR="00DA6C53" w:rsidRPr="0078192C" w:rsidRDefault="00DA6C53" w:rsidP="00106643">
            <w:r w:rsidRPr="0078192C">
              <w:t>10% annual churn</w:t>
            </w:r>
          </w:p>
        </w:tc>
        <w:tc>
          <w:tcPr>
            <w:tcW w:w="1195" w:type="dxa"/>
            <w:noWrap/>
            <w:hideMark/>
          </w:tcPr>
          <w:p w:rsidR="00DA6C53" w:rsidRPr="0078192C" w:rsidRDefault="00DA6C53" w:rsidP="00106643">
            <w:pPr>
              <w:cnfStyle w:val="000000000000" w:firstRow="0" w:lastRow="0" w:firstColumn="0" w:lastColumn="0" w:oddVBand="0" w:evenVBand="0" w:oddHBand="0" w:evenHBand="0" w:firstRowFirstColumn="0" w:firstRowLastColumn="0" w:lastRowFirstColumn="0" w:lastRowLastColumn="0"/>
            </w:pPr>
            <w:r w:rsidRPr="0078192C">
              <w:t>$25.00</w:t>
            </w:r>
          </w:p>
        </w:tc>
        <w:tc>
          <w:tcPr>
            <w:tcW w:w="1195" w:type="dxa"/>
            <w:noWrap/>
            <w:hideMark/>
          </w:tcPr>
          <w:p w:rsidR="00DA6C53" w:rsidRPr="0078192C" w:rsidRDefault="00DA6C53" w:rsidP="00106643">
            <w:pPr>
              <w:cnfStyle w:val="000000000000" w:firstRow="0" w:lastRow="0" w:firstColumn="0" w:lastColumn="0" w:oddVBand="0" w:evenVBand="0" w:oddHBand="0" w:evenHBand="0" w:firstRowFirstColumn="0" w:firstRowLastColumn="0" w:lastRowFirstColumn="0" w:lastRowLastColumn="0"/>
            </w:pPr>
            <w:r w:rsidRPr="0078192C">
              <w:t>$20.00</w:t>
            </w:r>
          </w:p>
        </w:tc>
        <w:tc>
          <w:tcPr>
            <w:tcW w:w="1153" w:type="dxa"/>
            <w:noWrap/>
            <w:hideMark/>
          </w:tcPr>
          <w:p w:rsidR="00DA6C53" w:rsidRPr="0078192C" w:rsidRDefault="00DA6C53" w:rsidP="00106643">
            <w:pPr>
              <w:cnfStyle w:val="000000000000" w:firstRow="0" w:lastRow="0" w:firstColumn="0" w:lastColumn="0" w:oddVBand="0" w:evenVBand="0" w:oddHBand="0" w:evenHBand="0" w:firstRowFirstColumn="0" w:firstRowLastColumn="0" w:lastRowFirstColumn="0" w:lastRowLastColumn="0"/>
            </w:pPr>
            <w:r w:rsidRPr="0078192C">
              <w:t>$47.72</w:t>
            </w:r>
          </w:p>
        </w:tc>
        <w:tc>
          <w:tcPr>
            <w:tcW w:w="1153" w:type="dxa"/>
            <w:noWrap/>
            <w:hideMark/>
          </w:tcPr>
          <w:p w:rsidR="00DA6C53" w:rsidRPr="0078192C" w:rsidRDefault="00DA6C53" w:rsidP="00106643">
            <w:pPr>
              <w:cnfStyle w:val="000000000000" w:firstRow="0" w:lastRow="0" w:firstColumn="0" w:lastColumn="0" w:oddVBand="0" w:evenVBand="0" w:oddHBand="0" w:evenHBand="0" w:firstRowFirstColumn="0" w:firstRowLastColumn="0" w:lastRowFirstColumn="0" w:lastRowLastColumn="0"/>
            </w:pPr>
            <w:r w:rsidRPr="0078192C">
              <w:t>$2.00</w:t>
            </w:r>
          </w:p>
        </w:tc>
        <w:tc>
          <w:tcPr>
            <w:tcW w:w="1662" w:type="dxa"/>
            <w:noWrap/>
            <w:hideMark/>
          </w:tcPr>
          <w:p w:rsidR="00DA6C53" w:rsidRPr="0078192C" w:rsidRDefault="00DA6C53" w:rsidP="00106643">
            <w:pPr>
              <w:cnfStyle w:val="000000000000" w:firstRow="0" w:lastRow="0" w:firstColumn="0" w:lastColumn="0" w:oddVBand="0" w:evenVBand="0" w:oddHBand="0" w:evenHBand="0" w:firstRowFirstColumn="0" w:firstRowLastColumn="0" w:lastRowFirstColumn="0" w:lastRowLastColumn="0"/>
              <w:rPr>
                <w:i/>
              </w:rPr>
            </w:pPr>
            <w:r w:rsidRPr="0078192C">
              <w:rPr>
                <w:i/>
              </w:rPr>
              <w:t>$22.72</w:t>
            </w:r>
          </w:p>
        </w:tc>
        <w:tc>
          <w:tcPr>
            <w:tcW w:w="1549" w:type="dxa"/>
            <w:noWrap/>
            <w:hideMark/>
          </w:tcPr>
          <w:p w:rsidR="00DA6C53" w:rsidRPr="0078192C" w:rsidRDefault="00DA6C53" w:rsidP="00106643">
            <w:pPr>
              <w:cnfStyle w:val="000000000000" w:firstRow="0" w:lastRow="0" w:firstColumn="0" w:lastColumn="0" w:oddVBand="0" w:evenVBand="0" w:oddHBand="0" w:evenHBand="0" w:firstRowFirstColumn="0" w:firstRowLastColumn="0" w:lastRowFirstColumn="0" w:lastRowLastColumn="0"/>
              <w:rPr>
                <w:i/>
              </w:rPr>
            </w:pPr>
            <w:r w:rsidRPr="0078192C">
              <w:rPr>
                <w:i/>
              </w:rPr>
              <w:t>$18.00</w:t>
            </w:r>
          </w:p>
        </w:tc>
      </w:tr>
      <w:tr w:rsidR="00DA6C53" w:rsidRPr="0078192C" w:rsidTr="00F61322">
        <w:trPr>
          <w:trHeight w:val="300"/>
        </w:trPr>
        <w:tc>
          <w:tcPr>
            <w:cnfStyle w:val="001000000000" w:firstRow="0" w:lastRow="0" w:firstColumn="1" w:lastColumn="0" w:oddVBand="0" w:evenVBand="0" w:oddHBand="0" w:evenHBand="0" w:firstRowFirstColumn="0" w:firstRowLastColumn="0" w:lastRowFirstColumn="0" w:lastRowLastColumn="0"/>
            <w:tcW w:w="1335" w:type="dxa"/>
            <w:noWrap/>
            <w:hideMark/>
          </w:tcPr>
          <w:p w:rsidR="00DA6C53" w:rsidRPr="0078192C" w:rsidRDefault="00DA6C53" w:rsidP="00106643">
            <w:r w:rsidRPr="0078192C">
              <w:t>25% annual churn</w:t>
            </w:r>
          </w:p>
        </w:tc>
        <w:tc>
          <w:tcPr>
            <w:tcW w:w="1195" w:type="dxa"/>
            <w:noWrap/>
            <w:hideMark/>
          </w:tcPr>
          <w:p w:rsidR="00DA6C53" w:rsidRPr="0078192C" w:rsidRDefault="00DA6C53" w:rsidP="00106643">
            <w:pPr>
              <w:cnfStyle w:val="000000000000" w:firstRow="0" w:lastRow="0" w:firstColumn="0" w:lastColumn="0" w:oddVBand="0" w:evenVBand="0" w:oddHBand="0" w:evenHBand="0" w:firstRowFirstColumn="0" w:firstRowLastColumn="0" w:lastRowFirstColumn="0" w:lastRowLastColumn="0"/>
            </w:pPr>
            <w:r w:rsidRPr="0078192C">
              <w:t>$25.00</w:t>
            </w:r>
          </w:p>
        </w:tc>
        <w:tc>
          <w:tcPr>
            <w:tcW w:w="1195" w:type="dxa"/>
            <w:noWrap/>
            <w:hideMark/>
          </w:tcPr>
          <w:p w:rsidR="00DA6C53" w:rsidRPr="0078192C" w:rsidRDefault="00DA6C53" w:rsidP="00106643">
            <w:pPr>
              <w:cnfStyle w:val="000000000000" w:firstRow="0" w:lastRow="0" w:firstColumn="0" w:lastColumn="0" w:oddVBand="0" w:evenVBand="0" w:oddHBand="0" w:evenHBand="0" w:firstRowFirstColumn="0" w:firstRowLastColumn="0" w:lastRowFirstColumn="0" w:lastRowLastColumn="0"/>
            </w:pPr>
            <w:r w:rsidRPr="0078192C">
              <w:t>$20.00</w:t>
            </w:r>
          </w:p>
        </w:tc>
        <w:tc>
          <w:tcPr>
            <w:tcW w:w="1153" w:type="dxa"/>
            <w:noWrap/>
            <w:hideMark/>
          </w:tcPr>
          <w:p w:rsidR="00DA6C53" w:rsidRPr="0078192C" w:rsidRDefault="00DA6C53" w:rsidP="00106643">
            <w:pPr>
              <w:cnfStyle w:val="000000000000" w:firstRow="0" w:lastRow="0" w:firstColumn="0" w:lastColumn="0" w:oddVBand="0" w:evenVBand="0" w:oddHBand="0" w:evenHBand="0" w:firstRowFirstColumn="0" w:firstRowLastColumn="0" w:lastRowFirstColumn="0" w:lastRowLastColumn="0"/>
            </w:pPr>
            <w:r w:rsidRPr="0078192C">
              <w:t>$52.92</w:t>
            </w:r>
          </w:p>
        </w:tc>
        <w:tc>
          <w:tcPr>
            <w:tcW w:w="1153" w:type="dxa"/>
            <w:noWrap/>
            <w:hideMark/>
          </w:tcPr>
          <w:p w:rsidR="00DA6C53" w:rsidRPr="0078192C" w:rsidRDefault="00DA6C53" w:rsidP="00106643">
            <w:pPr>
              <w:cnfStyle w:val="000000000000" w:firstRow="0" w:lastRow="0" w:firstColumn="0" w:lastColumn="0" w:oddVBand="0" w:evenVBand="0" w:oddHBand="0" w:evenHBand="0" w:firstRowFirstColumn="0" w:firstRowLastColumn="0" w:lastRowFirstColumn="0" w:lastRowLastColumn="0"/>
            </w:pPr>
            <w:r w:rsidRPr="0078192C">
              <w:t>$5.00</w:t>
            </w:r>
          </w:p>
        </w:tc>
        <w:tc>
          <w:tcPr>
            <w:tcW w:w="1662" w:type="dxa"/>
            <w:noWrap/>
            <w:hideMark/>
          </w:tcPr>
          <w:p w:rsidR="00DA6C53" w:rsidRPr="0078192C" w:rsidRDefault="00DA6C53" w:rsidP="00106643">
            <w:pPr>
              <w:cnfStyle w:val="000000000000" w:firstRow="0" w:lastRow="0" w:firstColumn="0" w:lastColumn="0" w:oddVBand="0" w:evenVBand="0" w:oddHBand="0" w:evenHBand="0" w:firstRowFirstColumn="0" w:firstRowLastColumn="0" w:lastRowFirstColumn="0" w:lastRowLastColumn="0"/>
              <w:rPr>
                <w:i/>
              </w:rPr>
            </w:pPr>
            <w:r w:rsidRPr="0078192C">
              <w:rPr>
                <w:i/>
              </w:rPr>
              <w:t>$27.92</w:t>
            </w:r>
          </w:p>
        </w:tc>
        <w:tc>
          <w:tcPr>
            <w:tcW w:w="1549" w:type="dxa"/>
            <w:noWrap/>
            <w:hideMark/>
          </w:tcPr>
          <w:p w:rsidR="00DA6C53" w:rsidRPr="0078192C" w:rsidRDefault="00DA6C53" w:rsidP="00106643">
            <w:pPr>
              <w:cnfStyle w:val="000000000000" w:firstRow="0" w:lastRow="0" w:firstColumn="0" w:lastColumn="0" w:oddVBand="0" w:evenVBand="0" w:oddHBand="0" w:evenHBand="0" w:firstRowFirstColumn="0" w:firstRowLastColumn="0" w:lastRowFirstColumn="0" w:lastRowLastColumn="0"/>
              <w:rPr>
                <w:i/>
              </w:rPr>
            </w:pPr>
            <w:r w:rsidRPr="0078192C">
              <w:rPr>
                <w:i/>
              </w:rPr>
              <w:t>$15.00</w:t>
            </w:r>
          </w:p>
        </w:tc>
      </w:tr>
    </w:tbl>
    <w:p w:rsidR="00DA6C53" w:rsidRDefault="00DA6C53" w:rsidP="00DA6C53">
      <w:r>
        <w:t xml:space="preserve">This table is based on Ausgrid’s modelling for option 1 and 2. The actual numbers are likely to differ across businesses depending on the size of their respective metering asset bases.  </w:t>
      </w:r>
    </w:p>
    <w:p w:rsidR="001515ED" w:rsidRPr="00705A8A" w:rsidRDefault="00DA6C53" w:rsidP="00A51AF5">
      <w:pPr>
        <w:tabs>
          <w:tab w:val="left" w:pos="340"/>
        </w:tabs>
        <w:spacing w:line="276" w:lineRule="auto"/>
        <w:rPr>
          <w:rFonts w:eastAsia="Arial" w:cs="Times New Roman"/>
        </w:rPr>
      </w:pPr>
      <w:r>
        <w:t>A regulated metering customer pa</w:t>
      </w:r>
      <w:r w:rsidR="008C06DB">
        <w:t>ys two regulated annual charges;</w:t>
      </w:r>
      <w:r>
        <w:t xml:space="preserve"> the avoidable and unavoidable annual charge.</w:t>
      </w:r>
      <w:r w:rsidR="00181CDA">
        <w:t xml:space="preserve"> </w:t>
      </w:r>
      <w:r>
        <w:t>When a metering customer switches to a competitive metering provider, they continue to pay one regulated annual charge (the unavoidable annual charge).</w:t>
      </w:r>
      <w:r w:rsidR="00ED3D30">
        <w:t xml:space="preserve"> </w:t>
      </w:r>
      <w:r w:rsidR="001515ED">
        <w:rPr>
          <w:rFonts w:eastAsia="Arial" w:cs="Times New Roman"/>
        </w:rPr>
        <w:t xml:space="preserve">This </w:t>
      </w:r>
      <w:r>
        <w:rPr>
          <w:rFonts w:eastAsia="Arial" w:cs="Times New Roman"/>
        </w:rPr>
        <w:t xml:space="preserve">information </w:t>
      </w:r>
      <w:r w:rsidR="001515ED">
        <w:rPr>
          <w:rFonts w:eastAsia="Arial" w:cs="Times New Roman"/>
        </w:rPr>
        <w:t xml:space="preserve">has been provided </w:t>
      </w:r>
      <w:r w:rsidR="00BC58BE">
        <w:rPr>
          <w:rFonts w:eastAsia="Arial" w:cs="Times New Roman"/>
        </w:rPr>
        <w:t xml:space="preserve">to us </w:t>
      </w:r>
      <w:r w:rsidR="001515ED">
        <w:rPr>
          <w:rFonts w:eastAsia="Arial" w:cs="Times New Roman"/>
        </w:rPr>
        <w:t xml:space="preserve">on a best effort basis in a </w:t>
      </w:r>
      <w:r w:rsidR="00BC58BE">
        <w:rPr>
          <w:rFonts w:eastAsia="Arial" w:cs="Times New Roman"/>
        </w:rPr>
        <w:t xml:space="preserve">limited timeframe. It is provided for illustrative purposes only and should not be relied upon as representing a final calculation of the actual charges. We have not sought to outline or test the </w:t>
      </w:r>
      <w:r w:rsidR="00925CD1">
        <w:rPr>
          <w:rFonts w:eastAsia="Arial" w:cs="Times New Roman"/>
        </w:rPr>
        <w:t>veracity</w:t>
      </w:r>
      <w:r w:rsidR="00BC58BE">
        <w:rPr>
          <w:rFonts w:eastAsia="Arial" w:cs="Times New Roman"/>
        </w:rPr>
        <w:t xml:space="preserve"> of the key assumptions underlying the above comparisons. </w:t>
      </w:r>
    </w:p>
    <w:sectPr w:rsidR="001515ED" w:rsidRPr="00705A8A" w:rsidSect="00174102">
      <w:footerReference w:type="default" r:id="rId1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F53" w:rsidRDefault="00261F53" w:rsidP="004B4412">
      <w:pPr>
        <w:spacing w:before="0"/>
      </w:pPr>
      <w:r>
        <w:separator/>
      </w:r>
    </w:p>
  </w:endnote>
  <w:endnote w:type="continuationSeparator" w:id="0">
    <w:p w:rsidR="00261F53" w:rsidRDefault="00261F53"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237257"/>
      <w:docPartObj>
        <w:docPartGallery w:val="Page Numbers (Bottom of Page)"/>
        <w:docPartUnique/>
      </w:docPartObj>
    </w:sdtPr>
    <w:sdtEndPr>
      <w:rPr>
        <w:noProof/>
      </w:rPr>
    </w:sdtEndPr>
    <w:sdtContent>
      <w:p w:rsidR="00F61322" w:rsidRDefault="00F61322">
        <w:pPr>
          <w:pStyle w:val="Footer"/>
          <w:jc w:val="right"/>
        </w:pPr>
        <w:r>
          <w:fldChar w:fldCharType="begin"/>
        </w:r>
        <w:r>
          <w:instrText xml:space="preserve"> PAGE   \* MERGEFORMAT </w:instrText>
        </w:r>
        <w:r>
          <w:fldChar w:fldCharType="separate"/>
        </w:r>
        <w:r w:rsidR="002B741F">
          <w:rPr>
            <w:noProof/>
          </w:rPr>
          <w:t>8</w:t>
        </w:r>
        <w:r>
          <w:rPr>
            <w:noProof/>
          </w:rPr>
          <w:fldChar w:fldCharType="end"/>
        </w:r>
      </w:p>
    </w:sdtContent>
  </w:sdt>
  <w:p w:rsidR="00F61322" w:rsidRDefault="00F613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F53" w:rsidRDefault="00261F53" w:rsidP="004B4412">
      <w:pPr>
        <w:spacing w:before="0"/>
      </w:pPr>
      <w:r>
        <w:separator/>
      </w:r>
    </w:p>
  </w:footnote>
  <w:footnote w:type="continuationSeparator" w:id="0">
    <w:p w:rsidR="00261F53" w:rsidRDefault="00261F53" w:rsidP="004B4412">
      <w:pPr>
        <w:spacing w:before="0"/>
      </w:pPr>
      <w:r>
        <w:continuationSeparator/>
      </w:r>
    </w:p>
  </w:footnote>
  <w:footnote w:id="1">
    <w:p w:rsidR="00705A8A" w:rsidRDefault="00705A8A" w:rsidP="00F61322">
      <w:pPr>
        <w:pStyle w:val="FootnoteText"/>
        <w:spacing w:before="0"/>
        <w:rPr>
          <w:rFonts w:eastAsia="Times New Roman" w:cs="Arial"/>
          <w:sz w:val="20"/>
          <w:lang w:eastAsia="en-AU"/>
        </w:rPr>
      </w:pPr>
      <w:r>
        <w:rPr>
          <w:rStyle w:val="FootnoteReference"/>
          <w:rFonts w:cs="Arial"/>
        </w:rPr>
        <w:footnoteRef/>
      </w:r>
      <w:r>
        <w:rPr>
          <w:rFonts w:cs="Arial"/>
        </w:rPr>
        <w:t xml:space="preserve"> </w:t>
      </w:r>
      <w:r>
        <w:rPr>
          <w:rFonts w:cs="Arial"/>
        </w:rPr>
        <w:tab/>
        <w:t>Residual costs – Ausgrid draft decision, Alternative control services Attachment 16,  pp. 67-72</w:t>
      </w:r>
      <w:r w:rsidR="00DE70DE">
        <w:rPr>
          <w:rFonts w:cs="Arial"/>
        </w:rPr>
        <w:t>.</w:t>
      </w:r>
    </w:p>
  </w:footnote>
  <w:footnote w:id="2">
    <w:p w:rsidR="00705A8A" w:rsidRDefault="00705A8A" w:rsidP="00F61322">
      <w:pPr>
        <w:pStyle w:val="FootnoteText"/>
        <w:spacing w:before="0"/>
        <w:rPr>
          <w:rFonts w:cs="Arial"/>
        </w:rPr>
      </w:pPr>
      <w:r>
        <w:rPr>
          <w:rStyle w:val="FootnoteReference"/>
          <w:rFonts w:cs="Arial"/>
        </w:rPr>
        <w:footnoteRef/>
      </w:r>
      <w:r>
        <w:rPr>
          <w:rFonts w:cs="Arial"/>
        </w:rPr>
        <w:t xml:space="preserve"> </w:t>
      </w:r>
      <w:r>
        <w:rPr>
          <w:rFonts w:cs="Arial"/>
        </w:rPr>
        <w:tab/>
        <w:t xml:space="preserve">B-factor – Ausgrid draft decision, Control mechanism Attachment 14, pp 16-17. </w:t>
      </w:r>
    </w:p>
  </w:footnote>
  <w:footnote w:id="3">
    <w:p w:rsidR="00705A8A" w:rsidRDefault="00705A8A" w:rsidP="00F61322">
      <w:pPr>
        <w:pStyle w:val="FootnoteText"/>
        <w:spacing w:before="0"/>
        <w:rPr>
          <w:rFonts w:cs="Arial"/>
        </w:rPr>
      </w:pPr>
      <w:r>
        <w:rPr>
          <w:rStyle w:val="FootnoteReference"/>
          <w:rFonts w:cs="Arial"/>
        </w:rPr>
        <w:footnoteRef/>
      </w:r>
      <w:r>
        <w:rPr>
          <w:rFonts w:cs="Arial"/>
        </w:rPr>
        <w:t xml:space="preserve"> </w:t>
      </w:r>
      <w:r>
        <w:rPr>
          <w:rFonts w:cs="Arial"/>
        </w:rPr>
        <w:tab/>
        <w:t>Tolerance limit – Ausgrid draft decision, Control mechanism Attachment 14, p. 16.</w:t>
      </w:r>
    </w:p>
  </w:footnote>
  <w:footnote w:id="4">
    <w:p w:rsidR="00705A8A" w:rsidRDefault="00705A8A" w:rsidP="00F61322">
      <w:pPr>
        <w:pStyle w:val="FootnoteText"/>
        <w:spacing w:before="0"/>
        <w:ind w:left="720" w:hanging="720"/>
        <w:rPr>
          <w:rFonts w:cs="Arial"/>
        </w:rPr>
      </w:pPr>
      <w:r>
        <w:rPr>
          <w:rStyle w:val="FootnoteReference"/>
          <w:rFonts w:cs="Arial"/>
        </w:rPr>
        <w:footnoteRef/>
      </w:r>
      <w:r>
        <w:rPr>
          <w:rFonts w:cs="Arial"/>
        </w:rPr>
        <w:t xml:space="preserve"> </w:t>
      </w:r>
      <w:r>
        <w:rPr>
          <w:rFonts w:cs="Arial"/>
        </w:rPr>
        <w:tab/>
        <w:t>Although not our intention, we recognise this wording from the draft decision suggests that recovery may not be allowed into the next regulatory control period.</w:t>
      </w:r>
    </w:p>
  </w:footnote>
  <w:footnote w:id="5">
    <w:p w:rsidR="00705A8A" w:rsidRDefault="00705A8A" w:rsidP="00F61322">
      <w:pPr>
        <w:pStyle w:val="FootnoteText"/>
        <w:spacing w:before="0"/>
        <w:rPr>
          <w:rFonts w:cs="Arial"/>
        </w:rPr>
      </w:pPr>
      <w:r>
        <w:rPr>
          <w:rStyle w:val="FootnoteReference"/>
          <w:rFonts w:cs="Arial"/>
        </w:rPr>
        <w:footnoteRef/>
      </w:r>
      <w:r>
        <w:rPr>
          <w:rFonts w:cs="Arial"/>
        </w:rPr>
        <w:t xml:space="preserve"> </w:t>
      </w:r>
      <w:r>
        <w:rPr>
          <w:rFonts w:cs="Arial"/>
        </w:rPr>
        <w:tab/>
        <w:t>ActewAGL Revised Regulatory Proposal – section 14.3.3 ‘Overview’ pp. 650-657.</w:t>
      </w:r>
    </w:p>
  </w:footnote>
  <w:footnote w:id="6">
    <w:p w:rsidR="00705A8A" w:rsidRDefault="00705A8A" w:rsidP="00F61322">
      <w:pPr>
        <w:pStyle w:val="FootnoteText"/>
        <w:spacing w:before="0"/>
        <w:rPr>
          <w:rFonts w:cs="Arial"/>
        </w:rPr>
      </w:pPr>
      <w:r>
        <w:rPr>
          <w:rStyle w:val="FootnoteReference"/>
          <w:rFonts w:cs="Arial"/>
        </w:rPr>
        <w:footnoteRef/>
      </w:r>
      <w:r>
        <w:rPr>
          <w:rFonts w:cs="Arial"/>
        </w:rPr>
        <w:t xml:space="preserve"> </w:t>
      </w:r>
      <w:r>
        <w:rPr>
          <w:rFonts w:cs="Arial"/>
        </w:rPr>
        <w:tab/>
        <w:t>Ausgrid, Revised Regulatory Proposal, Attachment 8.04, p. 15.</w:t>
      </w:r>
    </w:p>
    <w:p w:rsidR="00705A8A" w:rsidRDefault="00705A8A" w:rsidP="00F61322">
      <w:pPr>
        <w:pStyle w:val="FootnoteText"/>
        <w:spacing w:before="0"/>
        <w:rPr>
          <w:rFonts w:cs="Arial"/>
        </w:rPr>
      </w:pPr>
      <w:r>
        <w:rPr>
          <w:rFonts w:cs="Arial"/>
        </w:rPr>
        <w:t xml:space="preserve"> </w:t>
      </w:r>
      <w:r>
        <w:rPr>
          <w:rFonts w:cs="Arial"/>
        </w:rPr>
        <w:tab/>
        <w:t>Endeavour Energy, Revised Regulatory Proposal, p. 234.</w:t>
      </w:r>
    </w:p>
    <w:p w:rsidR="00705A8A" w:rsidRDefault="00705A8A" w:rsidP="00F61322">
      <w:pPr>
        <w:pStyle w:val="FootnoteText"/>
        <w:spacing w:before="0"/>
        <w:rPr>
          <w:rFonts w:cs="Arial"/>
        </w:rPr>
      </w:pPr>
      <w:r>
        <w:rPr>
          <w:rFonts w:cs="Arial"/>
        </w:rPr>
        <w:t xml:space="preserve"> </w:t>
      </w:r>
      <w:r>
        <w:rPr>
          <w:rFonts w:cs="Arial"/>
        </w:rPr>
        <w:tab/>
        <w:t>Essential Energy, Revised Regulatory Proposal, p. 250.</w:t>
      </w:r>
    </w:p>
  </w:footnote>
  <w:footnote w:id="7">
    <w:p w:rsidR="00705A8A" w:rsidRDefault="00705A8A" w:rsidP="00F61322">
      <w:pPr>
        <w:pStyle w:val="FootnoteText"/>
        <w:spacing w:before="0"/>
        <w:rPr>
          <w:rFonts w:cs="Arial"/>
        </w:rPr>
      </w:pPr>
      <w:r>
        <w:rPr>
          <w:rStyle w:val="FootnoteReference"/>
          <w:rFonts w:cs="Arial"/>
        </w:rPr>
        <w:footnoteRef/>
      </w:r>
      <w:r>
        <w:rPr>
          <w:rFonts w:cs="Arial"/>
        </w:rPr>
        <w:t xml:space="preserve"> </w:t>
      </w:r>
      <w:r>
        <w:rPr>
          <w:rFonts w:cs="Arial"/>
        </w:rPr>
        <w:tab/>
        <w:t>Ausgrid, Revised Regulatory Proposal, Attachment 9.01, p. 5.</w:t>
      </w:r>
    </w:p>
  </w:footnote>
  <w:footnote w:id="8">
    <w:p w:rsidR="00705A8A" w:rsidRDefault="00705A8A" w:rsidP="00F61322">
      <w:pPr>
        <w:pStyle w:val="FootnoteText"/>
        <w:spacing w:before="0"/>
        <w:rPr>
          <w:rFonts w:cs="Arial"/>
        </w:rPr>
      </w:pPr>
      <w:r>
        <w:rPr>
          <w:rStyle w:val="FootnoteReference"/>
          <w:rFonts w:cs="Arial"/>
        </w:rPr>
        <w:footnoteRef/>
      </w:r>
      <w:r>
        <w:rPr>
          <w:rFonts w:cs="Arial"/>
        </w:rPr>
        <w:t xml:space="preserve"> </w:t>
      </w:r>
      <w:r>
        <w:rPr>
          <w:rFonts w:cs="Arial"/>
        </w:rPr>
        <w:tab/>
        <w:t>Endeavour Energy, Revised Regulatory Proposal, p. 234.</w:t>
      </w:r>
    </w:p>
    <w:p w:rsidR="00705A8A" w:rsidRDefault="00705A8A" w:rsidP="00F61322">
      <w:pPr>
        <w:pStyle w:val="FootnoteText"/>
        <w:spacing w:before="0"/>
        <w:rPr>
          <w:rFonts w:cs="Arial"/>
        </w:rPr>
      </w:pPr>
      <w:r>
        <w:rPr>
          <w:rFonts w:cs="Arial"/>
        </w:rPr>
        <w:t xml:space="preserve">  </w:t>
      </w:r>
      <w:r>
        <w:rPr>
          <w:rFonts w:cs="Arial"/>
        </w:rPr>
        <w:tab/>
        <w:t>Essential Energy, Revised Regulatory Proposal, p. 250.</w:t>
      </w:r>
    </w:p>
    <w:p w:rsidR="00705A8A" w:rsidRDefault="00705A8A" w:rsidP="00F61322">
      <w:pPr>
        <w:pStyle w:val="FootnoteText"/>
        <w:spacing w:before="0"/>
        <w:rPr>
          <w:rFonts w:cs="Arial"/>
        </w:rPr>
      </w:pPr>
      <w:r>
        <w:rPr>
          <w:rFonts w:cs="Arial"/>
        </w:rPr>
        <w:t xml:space="preserve"> </w:t>
      </w:r>
      <w:r>
        <w:rPr>
          <w:rFonts w:cs="Arial"/>
        </w:rPr>
        <w:tab/>
        <w:t xml:space="preserve">ActewAGL, Revised Regulatory Proposal, p. 657. </w:t>
      </w:r>
    </w:p>
  </w:footnote>
  <w:footnote w:id="9">
    <w:p w:rsidR="00705A8A" w:rsidRDefault="00705A8A" w:rsidP="00F61322">
      <w:pPr>
        <w:pStyle w:val="FootnoteText"/>
        <w:spacing w:before="0"/>
        <w:ind w:left="720" w:hanging="720"/>
        <w:rPr>
          <w:rFonts w:cs="Arial"/>
        </w:rPr>
      </w:pPr>
      <w:r>
        <w:rPr>
          <w:rStyle w:val="FootnoteReference"/>
          <w:rFonts w:cs="Arial"/>
        </w:rPr>
        <w:footnoteRef/>
      </w:r>
      <w:r>
        <w:rPr>
          <w:rFonts w:cs="Arial"/>
        </w:rPr>
        <w:t xml:space="preserve"> </w:t>
      </w:r>
      <w:r>
        <w:rPr>
          <w:rFonts w:cs="Arial"/>
        </w:rPr>
        <w:tab/>
        <w:t>During the regulatory period, in accordance with clause S6.2.3 of the NER, the SCS RAB is rolled forward during each year based on approved forecast capex and the RAB is updated for actual capex only at the end of the regulatory period, as set out in clause S6.2.1 of the NER.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4265591"/>
    <w:multiLevelType w:val="hybridMultilevel"/>
    <w:tmpl w:val="A64C3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F420AB8"/>
    <w:multiLevelType w:val="hybridMultilevel"/>
    <w:tmpl w:val="EC1694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2F965661"/>
    <w:multiLevelType w:val="hybridMultilevel"/>
    <w:tmpl w:val="04F6BD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5AB002D"/>
    <w:multiLevelType w:val="hybridMultilevel"/>
    <w:tmpl w:val="7936A3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4A14191F"/>
    <w:multiLevelType w:val="hybridMultilevel"/>
    <w:tmpl w:val="23004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BEA7838"/>
    <w:multiLevelType w:val="hybridMultilevel"/>
    <w:tmpl w:val="88243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6895D07"/>
    <w:multiLevelType w:val="hybridMultilevel"/>
    <w:tmpl w:val="3EFA5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4">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5">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5"/>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6"/>
  </w:num>
  <w:num w:numId="14">
    <w:abstractNumId w:val="10"/>
  </w:num>
  <w:num w:numId="15">
    <w:abstractNumId w:val="13"/>
  </w:num>
  <w:num w:numId="16">
    <w:abstractNumId w:val="18"/>
  </w:num>
  <w:num w:numId="17">
    <w:abstractNumId w:val="21"/>
  </w:num>
  <w:num w:numId="18">
    <w:abstractNumId w:val="19"/>
  </w:num>
  <w:num w:numId="19">
    <w:abstractNumId w:val="11"/>
  </w:num>
  <w:num w:numId="20">
    <w:abstractNumId w:val="14"/>
  </w:num>
  <w:num w:numId="21">
    <w:abstractNumId w:val="22"/>
  </w:num>
  <w:num w:numId="22">
    <w:abstractNumId w:val="9"/>
  </w:num>
  <w:num w:numId="23">
    <w:abstractNumId w:val="15"/>
  </w:num>
  <w:num w:numId="24">
    <w:abstractNumId w:val="17"/>
  </w:num>
  <w:num w:numId="25">
    <w:abstractNumId w:val="20"/>
  </w:num>
  <w:num w:numId="26">
    <w:abstractNumId w:val="24"/>
  </w:num>
  <w:num w:numId="27">
    <w:abstractNumId w:val="20"/>
    <w:lvlOverride w:ilvl="0">
      <w:startOverride w:val="1"/>
      <w:lvl w:ilvl="0">
        <w:start w:val="1"/>
        <w:numFmt w:val="none"/>
        <w:pStyle w:val="AERbodytext"/>
        <w:lvlText w:val="%1"/>
        <w:lvlJc w:val="left"/>
        <w:pPr>
          <w:tabs>
            <w:tab w:val="num" w:pos="0"/>
          </w:tabs>
          <w:ind w:left="0" w:firstLine="0"/>
        </w:pPr>
        <w:rPr>
          <w:rFonts w:hint="default"/>
        </w:rPr>
      </w:lvl>
    </w:lvlOverride>
    <w:lvlOverride w:ilvl="1">
      <w:startOverride w:val="1"/>
      <w:lvl w:ilvl="1">
        <w:start w:val="1"/>
        <w:numFmt w:val="decimal"/>
        <w:pStyle w:val="AERnumberedlistfirststyle"/>
        <w:lvlText w:val="%2."/>
        <w:lvlJc w:val="left"/>
        <w:pPr>
          <w:tabs>
            <w:tab w:val="num" w:pos="357"/>
          </w:tabs>
          <w:ind w:left="357" w:hanging="357"/>
        </w:pPr>
        <w:rPr>
          <w:rFonts w:hint="default"/>
        </w:rPr>
      </w:lvl>
    </w:lvlOverride>
    <w:lvlOverride w:ilvl="2">
      <w:startOverride w:val="1"/>
      <w:lvl w:ilvl="2">
        <w:start w:val="1"/>
        <w:numFmt w:val="lowerLetter"/>
        <w:pStyle w:val="AERnumberedlistsecondstyle"/>
        <w:lvlText w:val="%3."/>
        <w:lvlJc w:val="left"/>
        <w:pPr>
          <w:tabs>
            <w:tab w:val="num" w:pos="720"/>
          </w:tabs>
          <w:ind w:left="720" w:hanging="363"/>
        </w:pPr>
        <w:rPr>
          <w:rFonts w:hint="default"/>
        </w:rPr>
      </w:lvl>
    </w:lvlOverride>
    <w:lvlOverride w:ilvl="3">
      <w:startOverride w:val="1"/>
      <w:lvl w:ilvl="3">
        <w:start w:val="1"/>
        <w:numFmt w:val="lowerRoman"/>
        <w:pStyle w:val="AERnumberedlistthirdstyle"/>
        <w:lvlText w:val="%4."/>
        <w:lvlJc w:val="left"/>
        <w:pPr>
          <w:tabs>
            <w:tab w:val="num" w:pos="1077"/>
          </w:tabs>
          <w:ind w:left="1077" w:hanging="357"/>
        </w:pPr>
        <w:rPr>
          <w:rFonts w:hint="default"/>
        </w:rPr>
      </w:lvl>
    </w:lvlOverride>
    <w:lvlOverride w:ilvl="4">
      <w:startOverride w:val="1"/>
      <w:lvl w:ilvl="4">
        <w:start w:val="1"/>
        <w:numFmt w:val="decimal"/>
        <w:lvlRestart w:val="1"/>
        <w:pStyle w:val="AERnumberedlist2first"/>
        <w:lvlText w:val="(%5)"/>
        <w:lvlJc w:val="left"/>
        <w:pPr>
          <w:tabs>
            <w:tab w:val="num" w:pos="454"/>
          </w:tabs>
          <w:ind w:left="454" w:hanging="454"/>
        </w:pPr>
        <w:rPr>
          <w:rFonts w:hint="default"/>
        </w:rPr>
      </w:lvl>
    </w:lvlOverride>
    <w:lvlOverride w:ilvl="5">
      <w:startOverride w:val="1"/>
      <w:lvl w:ilvl="5">
        <w:start w:val="1"/>
        <w:numFmt w:val="lowerLetter"/>
        <w:pStyle w:val="AERnumberedlist2second"/>
        <w:lvlText w:val="(%6)"/>
        <w:lvlJc w:val="left"/>
        <w:pPr>
          <w:tabs>
            <w:tab w:val="num" w:pos="811"/>
          </w:tabs>
          <w:ind w:left="811" w:hanging="357"/>
        </w:pPr>
        <w:rPr>
          <w:rFonts w:hint="default"/>
        </w:rPr>
      </w:lvl>
    </w:lvlOverride>
    <w:lvlOverride w:ilvl="6">
      <w:startOverride w:val="1"/>
      <w:lvl w:ilvl="6">
        <w:start w:val="1"/>
        <w:numFmt w:val="lowerRoman"/>
        <w:pStyle w:val="AERnumberedlist2third"/>
        <w:lvlText w:val="(%7)"/>
        <w:lvlJc w:val="left"/>
        <w:pPr>
          <w:tabs>
            <w:tab w:val="num" w:pos="1446"/>
          </w:tabs>
          <w:ind w:left="1446" w:hanging="635"/>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rlowi\aer - consultation paper - recovering the residual metering capital costs through an acs annual charge - march 2015 (AER2015-002193).docx"/>
  </w:docVars>
  <w:rsids>
    <w:rsidRoot w:val="00261F53"/>
    <w:rsid w:val="00021202"/>
    <w:rsid w:val="0003578C"/>
    <w:rsid w:val="00037BDA"/>
    <w:rsid w:val="000422CB"/>
    <w:rsid w:val="00047C4C"/>
    <w:rsid w:val="00063247"/>
    <w:rsid w:val="00070F9F"/>
    <w:rsid w:val="0007137B"/>
    <w:rsid w:val="00082186"/>
    <w:rsid w:val="00085663"/>
    <w:rsid w:val="00085EBF"/>
    <w:rsid w:val="00087502"/>
    <w:rsid w:val="00097D5B"/>
    <w:rsid w:val="000D122C"/>
    <w:rsid w:val="000E1819"/>
    <w:rsid w:val="000E6C72"/>
    <w:rsid w:val="00102A74"/>
    <w:rsid w:val="001073A1"/>
    <w:rsid w:val="00116EB2"/>
    <w:rsid w:val="00124609"/>
    <w:rsid w:val="00150138"/>
    <w:rsid w:val="001515ED"/>
    <w:rsid w:val="001573E4"/>
    <w:rsid w:val="00160756"/>
    <w:rsid w:val="0017232E"/>
    <w:rsid w:val="00174102"/>
    <w:rsid w:val="00180157"/>
    <w:rsid w:val="00181CDA"/>
    <w:rsid w:val="00186F77"/>
    <w:rsid w:val="001926A4"/>
    <w:rsid w:val="001B45A0"/>
    <w:rsid w:val="001D055E"/>
    <w:rsid w:val="001F4136"/>
    <w:rsid w:val="001F492E"/>
    <w:rsid w:val="001F6DA3"/>
    <w:rsid w:val="00224DB9"/>
    <w:rsid w:val="00251745"/>
    <w:rsid w:val="00261F53"/>
    <w:rsid w:val="00263AC0"/>
    <w:rsid w:val="0026772D"/>
    <w:rsid w:val="002855A2"/>
    <w:rsid w:val="00285A61"/>
    <w:rsid w:val="00286810"/>
    <w:rsid w:val="00286874"/>
    <w:rsid w:val="00296B65"/>
    <w:rsid w:val="002A7DEF"/>
    <w:rsid w:val="002B68A3"/>
    <w:rsid w:val="002B741F"/>
    <w:rsid w:val="002C34F7"/>
    <w:rsid w:val="002C3AC8"/>
    <w:rsid w:val="002F7986"/>
    <w:rsid w:val="0030500E"/>
    <w:rsid w:val="00307F6D"/>
    <w:rsid w:val="003177A2"/>
    <w:rsid w:val="00326642"/>
    <w:rsid w:val="003271B5"/>
    <w:rsid w:val="00331264"/>
    <w:rsid w:val="00334C8D"/>
    <w:rsid w:val="003518B3"/>
    <w:rsid w:val="003846F1"/>
    <w:rsid w:val="003D5F76"/>
    <w:rsid w:val="0043680D"/>
    <w:rsid w:val="00441A58"/>
    <w:rsid w:val="00480B4B"/>
    <w:rsid w:val="00485DC4"/>
    <w:rsid w:val="004A11C5"/>
    <w:rsid w:val="004B4412"/>
    <w:rsid w:val="004C2016"/>
    <w:rsid w:val="004C348C"/>
    <w:rsid w:val="004D55BA"/>
    <w:rsid w:val="00530128"/>
    <w:rsid w:val="00532467"/>
    <w:rsid w:val="0056221E"/>
    <w:rsid w:val="00564A4D"/>
    <w:rsid w:val="00571B35"/>
    <w:rsid w:val="00577A09"/>
    <w:rsid w:val="00584D8F"/>
    <w:rsid w:val="005A404D"/>
    <w:rsid w:val="005B1E3C"/>
    <w:rsid w:val="005C26CC"/>
    <w:rsid w:val="005F52C8"/>
    <w:rsid w:val="00605920"/>
    <w:rsid w:val="006076D1"/>
    <w:rsid w:val="00615C6B"/>
    <w:rsid w:val="00632D6D"/>
    <w:rsid w:val="00642C3E"/>
    <w:rsid w:val="00663DAD"/>
    <w:rsid w:val="00676679"/>
    <w:rsid w:val="00696540"/>
    <w:rsid w:val="006B4CF9"/>
    <w:rsid w:val="006B7AC8"/>
    <w:rsid w:val="006D1DE9"/>
    <w:rsid w:val="006D51A8"/>
    <w:rsid w:val="006D550F"/>
    <w:rsid w:val="00701CAB"/>
    <w:rsid w:val="00705A8A"/>
    <w:rsid w:val="00707563"/>
    <w:rsid w:val="0071335B"/>
    <w:rsid w:val="0072148C"/>
    <w:rsid w:val="0072348C"/>
    <w:rsid w:val="0072458C"/>
    <w:rsid w:val="00724A37"/>
    <w:rsid w:val="007303C3"/>
    <w:rsid w:val="00743223"/>
    <w:rsid w:val="00746B5A"/>
    <w:rsid w:val="00746E01"/>
    <w:rsid w:val="00763E5D"/>
    <w:rsid w:val="00767740"/>
    <w:rsid w:val="00775E0B"/>
    <w:rsid w:val="00777EE6"/>
    <w:rsid w:val="00782EEA"/>
    <w:rsid w:val="00784EB3"/>
    <w:rsid w:val="007B2C72"/>
    <w:rsid w:val="007C1C53"/>
    <w:rsid w:val="007E4904"/>
    <w:rsid w:val="007E4CB5"/>
    <w:rsid w:val="007E60B4"/>
    <w:rsid w:val="007F066B"/>
    <w:rsid w:val="008033C4"/>
    <w:rsid w:val="00806C88"/>
    <w:rsid w:val="0081034E"/>
    <w:rsid w:val="008273D7"/>
    <w:rsid w:val="008329C2"/>
    <w:rsid w:val="00833264"/>
    <w:rsid w:val="008344F6"/>
    <w:rsid w:val="0083510F"/>
    <w:rsid w:val="00851209"/>
    <w:rsid w:val="008837AC"/>
    <w:rsid w:val="008A587D"/>
    <w:rsid w:val="008C06DB"/>
    <w:rsid w:val="008C1330"/>
    <w:rsid w:val="008C5486"/>
    <w:rsid w:val="008E2974"/>
    <w:rsid w:val="008E7031"/>
    <w:rsid w:val="009233EE"/>
    <w:rsid w:val="00925CD1"/>
    <w:rsid w:val="00926F0E"/>
    <w:rsid w:val="009661DE"/>
    <w:rsid w:val="00980A35"/>
    <w:rsid w:val="009856B7"/>
    <w:rsid w:val="00990E78"/>
    <w:rsid w:val="009B0BEE"/>
    <w:rsid w:val="009B74B0"/>
    <w:rsid w:val="009D6B46"/>
    <w:rsid w:val="009F4940"/>
    <w:rsid w:val="00A4478A"/>
    <w:rsid w:val="00A44852"/>
    <w:rsid w:val="00A51AF5"/>
    <w:rsid w:val="00A57D04"/>
    <w:rsid w:val="00A60A26"/>
    <w:rsid w:val="00A61598"/>
    <w:rsid w:val="00A84F46"/>
    <w:rsid w:val="00A85965"/>
    <w:rsid w:val="00A871F4"/>
    <w:rsid w:val="00AC1B2C"/>
    <w:rsid w:val="00AC3264"/>
    <w:rsid w:val="00AE1BF1"/>
    <w:rsid w:val="00AE35A3"/>
    <w:rsid w:val="00AF0DD2"/>
    <w:rsid w:val="00B13048"/>
    <w:rsid w:val="00B1716D"/>
    <w:rsid w:val="00B17A1D"/>
    <w:rsid w:val="00B207A0"/>
    <w:rsid w:val="00B56E03"/>
    <w:rsid w:val="00B72E8C"/>
    <w:rsid w:val="00B76B6C"/>
    <w:rsid w:val="00B8080B"/>
    <w:rsid w:val="00B87C39"/>
    <w:rsid w:val="00BA4665"/>
    <w:rsid w:val="00BB2FB2"/>
    <w:rsid w:val="00BB32B4"/>
    <w:rsid w:val="00BB3304"/>
    <w:rsid w:val="00BC58BE"/>
    <w:rsid w:val="00BD3446"/>
    <w:rsid w:val="00BE1F1B"/>
    <w:rsid w:val="00BE47B5"/>
    <w:rsid w:val="00BE59F1"/>
    <w:rsid w:val="00C33858"/>
    <w:rsid w:val="00C538A9"/>
    <w:rsid w:val="00C53B5A"/>
    <w:rsid w:val="00C54F5A"/>
    <w:rsid w:val="00C710C3"/>
    <w:rsid w:val="00C74058"/>
    <w:rsid w:val="00C77D4B"/>
    <w:rsid w:val="00C85CC0"/>
    <w:rsid w:val="00C86679"/>
    <w:rsid w:val="00C9242A"/>
    <w:rsid w:val="00CB666B"/>
    <w:rsid w:val="00D01CF0"/>
    <w:rsid w:val="00D0442A"/>
    <w:rsid w:val="00D61388"/>
    <w:rsid w:val="00D61A54"/>
    <w:rsid w:val="00D64DEA"/>
    <w:rsid w:val="00D70FB2"/>
    <w:rsid w:val="00D80893"/>
    <w:rsid w:val="00D92CF1"/>
    <w:rsid w:val="00D92D38"/>
    <w:rsid w:val="00D950F5"/>
    <w:rsid w:val="00DA6C53"/>
    <w:rsid w:val="00DB0F93"/>
    <w:rsid w:val="00DC7981"/>
    <w:rsid w:val="00DE4EFA"/>
    <w:rsid w:val="00DE5520"/>
    <w:rsid w:val="00DE70DE"/>
    <w:rsid w:val="00E04818"/>
    <w:rsid w:val="00E06442"/>
    <w:rsid w:val="00E23993"/>
    <w:rsid w:val="00E25B8C"/>
    <w:rsid w:val="00E63D8D"/>
    <w:rsid w:val="00E65C85"/>
    <w:rsid w:val="00E66199"/>
    <w:rsid w:val="00E755EC"/>
    <w:rsid w:val="00E7624D"/>
    <w:rsid w:val="00EA3D42"/>
    <w:rsid w:val="00EA6B1B"/>
    <w:rsid w:val="00ED3D30"/>
    <w:rsid w:val="00EE28F3"/>
    <w:rsid w:val="00EF5110"/>
    <w:rsid w:val="00F15882"/>
    <w:rsid w:val="00F20BD3"/>
    <w:rsid w:val="00F373A5"/>
    <w:rsid w:val="00F47559"/>
    <w:rsid w:val="00F61322"/>
    <w:rsid w:val="00F64C7B"/>
    <w:rsid w:val="00F676DD"/>
    <w:rsid w:val="00F75A26"/>
    <w:rsid w:val="00F83FAD"/>
    <w:rsid w:val="00F952A0"/>
    <w:rsid w:val="00FA3C7F"/>
    <w:rsid w:val="00FB37EB"/>
    <w:rsid w:val="00FB74E2"/>
    <w:rsid w:val="00FD0A9F"/>
    <w:rsid w:val="00FD5614"/>
    <w:rsid w:val="00FE0BE1"/>
    <w:rsid w:val="00FE1DE9"/>
    <w:rsid w:val="00FE39C2"/>
    <w:rsid w:val="00FE64AE"/>
    <w:rsid w:val="00FF2F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34C8D"/>
    <w:rPr>
      <w:rFonts w:ascii="Arial" w:hAnsi="Arial"/>
    </w:rPr>
  </w:style>
  <w:style w:type="paragraph" w:styleId="Heading1">
    <w:name w:val="heading 1"/>
    <w:basedOn w:val="Normal"/>
    <w:next w:val="Normal"/>
    <w:link w:val="Heading1Char"/>
    <w:uiPriority w:val="9"/>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uiPriority w:val="9"/>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uiPriority w:val="9"/>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8"/>
      </w:numPr>
      <w:spacing w:before="120"/>
      <w:ind w:left="357" w:hanging="357"/>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615C6B"/>
    <w:pPr>
      <w:spacing w:before="60"/>
    </w:pPr>
    <w:rPr>
      <w:sz w:val="16"/>
      <w:szCs w:val="20"/>
    </w:rPr>
  </w:style>
  <w:style w:type="character" w:customStyle="1" w:styleId="FootnoteTextChar">
    <w:name w:val="Footnote Text Char"/>
    <w:basedOn w:val="DefaultParagraphFont"/>
    <w:link w:val="FootnoteText"/>
    <w:uiPriority w:val="2"/>
    <w:rsid w:val="00615C6B"/>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unhideWhenUsed/>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character" w:styleId="CommentReference">
    <w:name w:val="annotation reference"/>
    <w:basedOn w:val="DefaultParagraphFont"/>
    <w:semiHidden/>
    <w:unhideWhenUsed/>
    <w:rsid w:val="00775E0B"/>
    <w:rPr>
      <w:sz w:val="16"/>
      <w:szCs w:val="16"/>
    </w:rPr>
  </w:style>
  <w:style w:type="paragraph" w:styleId="CommentText">
    <w:name w:val="annotation text"/>
    <w:basedOn w:val="Normal"/>
    <w:link w:val="CommentTextChar"/>
    <w:uiPriority w:val="99"/>
    <w:semiHidden/>
    <w:unhideWhenUsed/>
    <w:rsid w:val="00775E0B"/>
    <w:rPr>
      <w:sz w:val="20"/>
      <w:szCs w:val="20"/>
    </w:rPr>
  </w:style>
  <w:style w:type="character" w:customStyle="1" w:styleId="CommentTextChar">
    <w:name w:val="Comment Text Char"/>
    <w:basedOn w:val="DefaultParagraphFont"/>
    <w:link w:val="CommentText"/>
    <w:uiPriority w:val="99"/>
    <w:semiHidden/>
    <w:rsid w:val="00775E0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75E0B"/>
    <w:rPr>
      <w:b/>
      <w:bCs/>
    </w:rPr>
  </w:style>
  <w:style w:type="character" w:customStyle="1" w:styleId="CommentSubjectChar">
    <w:name w:val="Comment Subject Char"/>
    <w:basedOn w:val="CommentTextChar"/>
    <w:link w:val="CommentSubject"/>
    <w:uiPriority w:val="99"/>
    <w:semiHidden/>
    <w:rsid w:val="00775E0B"/>
    <w:rPr>
      <w:rFonts w:ascii="Arial" w:hAnsi="Arial"/>
      <w:b/>
      <w:bCs/>
      <w:sz w:val="20"/>
      <w:szCs w:val="20"/>
    </w:rPr>
  </w:style>
  <w:style w:type="paragraph" w:styleId="Revision">
    <w:name w:val="Revision"/>
    <w:hidden/>
    <w:uiPriority w:val="99"/>
    <w:semiHidden/>
    <w:rsid w:val="00FD0A9F"/>
    <w:pPr>
      <w:spacing w:before="0"/>
    </w:pPr>
    <w:rPr>
      <w:rFonts w:ascii="Arial" w:hAnsi="Arial"/>
    </w:rPr>
  </w:style>
  <w:style w:type="paragraph" w:customStyle="1" w:styleId="AERbulletlistfirststyle">
    <w:name w:val="AER bullet list (first style)"/>
    <w:basedOn w:val="ListBullet"/>
    <w:qFormat/>
    <w:rsid w:val="009B0BEE"/>
    <w:pPr>
      <w:numPr>
        <w:numId w:val="0"/>
      </w:numPr>
      <w:tabs>
        <w:tab w:val="left" w:pos="340"/>
      </w:tabs>
      <w:spacing w:line="276" w:lineRule="auto"/>
      <w:ind w:left="357" w:hanging="357"/>
    </w:pPr>
    <w:rPr>
      <w:rFonts w:cs="Times New Roman"/>
    </w:rPr>
  </w:style>
  <w:style w:type="paragraph" w:customStyle="1" w:styleId="Copyright">
    <w:name w:val="Copyright"/>
    <w:basedOn w:val="Normal"/>
    <w:next w:val="Normal"/>
    <w:link w:val="CopyrightChar"/>
    <w:rsid w:val="009B0BEE"/>
    <w:pPr>
      <w:spacing w:line="288" w:lineRule="auto"/>
    </w:pPr>
    <w:rPr>
      <w:sz w:val="20"/>
      <w:szCs w:val="20"/>
    </w:rPr>
  </w:style>
  <w:style w:type="character" w:customStyle="1" w:styleId="CopyrightChar">
    <w:name w:val="Copyright Char"/>
    <w:basedOn w:val="DefaultParagraphFont"/>
    <w:link w:val="Copyright"/>
    <w:rsid w:val="009B0BEE"/>
    <w:rPr>
      <w:rFonts w:ascii="Arial" w:hAnsi="Arial"/>
      <w:sz w:val="20"/>
      <w:szCs w:val="20"/>
    </w:rPr>
  </w:style>
  <w:style w:type="numbering" w:customStyle="1" w:styleId="AERHeadings">
    <w:name w:val="AER Headings"/>
    <w:uiPriority w:val="99"/>
    <w:rsid w:val="009B0BEE"/>
    <w:pPr>
      <w:numPr>
        <w:numId w:val="23"/>
      </w:numPr>
    </w:pPr>
  </w:style>
  <w:style w:type="character" w:customStyle="1" w:styleId="AERbody">
    <w:name w:val="AER body"/>
    <w:basedOn w:val="DefaultParagraphFont"/>
    <w:qFormat/>
    <w:rsid w:val="009B0BEE"/>
    <w:rPr>
      <w:rFonts w:ascii="Gautami" w:hAnsi="Gautami"/>
      <w:color w:val="auto"/>
      <w:sz w:val="20"/>
    </w:rPr>
  </w:style>
  <w:style w:type="paragraph" w:customStyle="1" w:styleId="AERbodytext">
    <w:name w:val="AER body text"/>
    <w:link w:val="AERbodytextChar"/>
    <w:qFormat/>
    <w:rsid w:val="009B0BEE"/>
    <w:pPr>
      <w:numPr>
        <w:numId w:val="25"/>
      </w:numPr>
      <w:spacing w:before="0" w:after="240" w:line="288" w:lineRule="auto"/>
      <w:jc w:val="both"/>
    </w:pPr>
    <w:rPr>
      <w:rFonts w:ascii="Gautami" w:eastAsia="Times New Roman" w:hAnsi="Gautami" w:cs="Times New Roman"/>
      <w:sz w:val="20"/>
      <w:szCs w:val="24"/>
    </w:rPr>
  </w:style>
  <w:style w:type="paragraph" w:customStyle="1" w:styleId="AERnumberedlistfirststyle">
    <w:name w:val="AER numbered list (first style)"/>
    <w:basedOn w:val="AERbodytext"/>
    <w:qFormat/>
    <w:rsid w:val="009B0BEE"/>
    <w:pPr>
      <w:numPr>
        <w:ilvl w:val="1"/>
      </w:numPr>
      <w:tabs>
        <w:tab w:val="clear" w:pos="357"/>
        <w:tab w:val="num" w:pos="1492"/>
      </w:tabs>
      <w:spacing w:after="200"/>
      <w:ind w:left="1492" w:hanging="360"/>
    </w:pPr>
  </w:style>
  <w:style w:type="paragraph" w:customStyle="1" w:styleId="AERnumberedlistsecondstyle">
    <w:name w:val="AER numbered list (second style)"/>
    <w:basedOn w:val="AERnumberedlistfirststyle"/>
    <w:qFormat/>
    <w:rsid w:val="009B0BEE"/>
    <w:pPr>
      <w:numPr>
        <w:ilvl w:val="2"/>
      </w:numPr>
      <w:tabs>
        <w:tab w:val="clear" w:pos="720"/>
        <w:tab w:val="num" w:pos="1492"/>
      </w:tabs>
      <w:ind w:left="1492" w:hanging="360"/>
    </w:pPr>
  </w:style>
  <w:style w:type="paragraph" w:customStyle="1" w:styleId="AERnumberedlistthirdstyle">
    <w:name w:val="AER numbered list (third style)"/>
    <w:basedOn w:val="AERnumberedlistsecondstyle"/>
    <w:qFormat/>
    <w:rsid w:val="009B0BEE"/>
    <w:pPr>
      <w:numPr>
        <w:ilvl w:val="3"/>
      </w:numPr>
      <w:tabs>
        <w:tab w:val="clear" w:pos="1077"/>
        <w:tab w:val="num" w:pos="1492"/>
      </w:tabs>
      <w:ind w:left="1492" w:hanging="360"/>
    </w:pPr>
  </w:style>
  <w:style w:type="character" w:customStyle="1" w:styleId="AERtextbold">
    <w:name w:val="AER text bold"/>
    <w:qFormat/>
    <w:rsid w:val="009B0BEE"/>
    <w:rPr>
      <w:b/>
    </w:rPr>
  </w:style>
  <w:style w:type="paragraph" w:customStyle="1" w:styleId="UnnumberedHeading">
    <w:name w:val="Unnumbered Heading"/>
    <w:basedOn w:val="Heading1"/>
    <w:next w:val="AERbodytext"/>
    <w:link w:val="UnnumberedHeadingChar"/>
    <w:qFormat/>
    <w:rsid w:val="009B0BEE"/>
    <w:pPr>
      <w:keepNext/>
      <w:keepLines/>
      <w:pageBreakBefore/>
      <w:tabs>
        <w:tab w:val="num" w:pos="0"/>
      </w:tabs>
      <w:spacing w:before="120" w:after="120" w:line="288" w:lineRule="auto"/>
    </w:pPr>
    <w:rPr>
      <w:rFonts w:ascii="Gautami" w:eastAsia="Times New Roman" w:hAnsi="Gautami" w:cs="Times New Roman"/>
      <w:b/>
      <w:color w:val="E36C0A"/>
      <w:sz w:val="36"/>
    </w:rPr>
  </w:style>
  <w:style w:type="numbering" w:customStyle="1" w:styleId="AERnumberedlist">
    <w:name w:val="AER numbered list"/>
    <w:uiPriority w:val="99"/>
    <w:rsid w:val="009B0BEE"/>
    <w:pPr>
      <w:numPr>
        <w:numId w:val="25"/>
      </w:numPr>
    </w:pPr>
  </w:style>
  <w:style w:type="character" w:customStyle="1" w:styleId="UnnumberedHeadingChar">
    <w:name w:val="Unnumbered Heading Char"/>
    <w:basedOn w:val="Heading1Char"/>
    <w:link w:val="UnnumberedHeading"/>
    <w:rsid w:val="009B0BEE"/>
    <w:rPr>
      <w:rFonts w:ascii="Gautami" w:eastAsia="Times New Roman" w:hAnsi="Gautami" w:cs="Times New Roman"/>
      <w:b/>
      <w:bCs/>
      <w:color w:val="E36C0A"/>
      <w:sz w:val="36"/>
      <w:szCs w:val="28"/>
    </w:rPr>
  </w:style>
  <w:style w:type="paragraph" w:customStyle="1" w:styleId="AERbodytextnospace">
    <w:name w:val="AER body text no space"/>
    <w:basedOn w:val="AERbodytext"/>
    <w:qFormat/>
    <w:rsid w:val="009B0BEE"/>
    <w:pPr>
      <w:spacing w:after="0"/>
    </w:pPr>
  </w:style>
  <w:style w:type="paragraph" w:customStyle="1" w:styleId="AERnumberedlist2first">
    <w:name w:val="AER numbered list 2 first"/>
    <w:basedOn w:val="AERbodytext"/>
    <w:qFormat/>
    <w:rsid w:val="009B0BEE"/>
    <w:pPr>
      <w:numPr>
        <w:ilvl w:val="4"/>
      </w:numPr>
      <w:tabs>
        <w:tab w:val="clear" w:pos="454"/>
        <w:tab w:val="num" w:pos="1492"/>
      </w:tabs>
      <w:ind w:left="1492" w:hanging="360"/>
    </w:pPr>
  </w:style>
  <w:style w:type="paragraph" w:customStyle="1" w:styleId="AERnumberedlist2second">
    <w:name w:val="AER numbered list 2 second"/>
    <w:basedOn w:val="AERnumberedlist2first"/>
    <w:qFormat/>
    <w:rsid w:val="009B0BEE"/>
    <w:pPr>
      <w:numPr>
        <w:ilvl w:val="5"/>
      </w:numPr>
      <w:tabs>
        <w:tab w:val="clear" w:pos="811"/>
        <w:tab w:val="num" w:pos="1492"/>
      </w:tabs>
      <w:ind w:left="1492" w:hanging="360"/>
    </w:pPr>
  </w:style>
  <w:style w:type="paragraph" w:customStyle="1" w:styleId="AERnumberedlist2third">
    <w:name w:val="AER numbered list 2 third"/>
    <w:basedOn w:val="AERnumberedlist2second"/>
    <w:qFormat/>
    <w:rsid w:val="009B0BEE"/>
    <w:pPr>
      <w:numPr>
        <w:ilvl w:val="6"/>
      </w:numPr>
      <w:tabs>
        <w:tab w:val="clear" w:pos="1446"/>
        <w:tab w:val="num" w:pos="1492"/>
      </w:tabs>
      <w:ind w:left="1492" w:hanging="360"/>
    </w:pPr>
  </w:style>
  <w:style w:type="character" w:customStyle="1" w:styleId="AERbodytextChar">
    <w:name w:val="AER body text Char"/>
    <w:basedOn w:val="DefaultParagraphFont"/>
    <w:link w:val="AERbodytext"/>
    <w:rsid w:val="009B0BEE"/>
    <w:rPr>
      <w:rFonts w:ascii="Gautami" w:eastAsia="Times New Roman" w:hAnsi="Gautami"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34C8D"/>
    <w:rPr>
      <w:rFonts w:ascii="Arial" w:hAnsi="Arial"/>
    </w:rPr>
  </w:style>
  <w:style w:type="paragraph" w:styleId="Heading1">
    <w:name w:val="heading 1"/>
    <w:basedOn w:val="Normal"/>
    <w:next w:val="Normal"/>
    <w:link w:val="Heading1Char"/>
    <w:uiPriority w:val="9"/>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uiPriority w:val="9"/>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uiPriority w:val="9"/>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8"/>
      </w:numPr>
      <w:spacing w:before="120"/>
      <w:ind w:left="357" w:hanging="357"/>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615C6B"/>
    <w:pPr>
      <w:spacing w:before="60"/>
    </w:pPr>
    <w:rPr>
      <w:sz w:val="16"/>
      <w:szCs w:val="20"/>
    </w:rPr>
  </w:style>
  <w:style w:type="character" w:customStyle="1" w:styleId="FootnoteTextChar">
    <w:name w:val="Footnote Text Char"/>
    <w:basedOn w:val="DefaultParagraphFont"/>
    <w:link w:val="FootnoteText"/>
    <w:uiPriority w:val="2"/>
    <w:rsid w:val="00615C6B"/>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unhideWhenUsed/>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character" w:styleId="CommentReference">
    <w:name w:val="annotation reference"/>
    <w:basedOn w:val="DefaultParagraphFont"/>
    <w:semiHidden/>
    <w:unhideWhenUsed/>
    <w:rsid w:val="00775E0B"/>
    <w:rPr>
      <w:sz w:val="16"/>
      <w:szCs w:val="16"/>
    </w:rPr>
  </w:style>
  <w:style w:type="paragraph" w:styleId="CommentText">
    <w:name w:val="annotation text"/>
    <w:basedOn w:val="Normal"/>
    <w:link w:val="CommentTextChar"/>
    <w:uiPriority w:val="99"/>
    <w:semiHidden/>
    <w:unhideWhenUsed/>
    <w:rsid w:val="00775E0B"/>
    <w:rPr>
      <w:sz w:val="20"/>
      <w:szCs w:val="20"/>
    </w:rPr>
  </w:style>
  <w:style w:type="character" w:customStyle="1" w:styleId="CommentTextChar">
    <w:name w:val="Comment Text Char"/>
    <w:basedOn w:val="DefaultParagraphFont"/>
    <w:link w:val="CommentText"/>
    <w:uiPriority w:val="99"/>
    <w:semiHidden/>
    <w:rsid w:val="00775E0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75E0B"/>
    <w:rPr>
      <w:b/>
      <w:bCs/>
    </w:rPr>
  </w:style>
  <w:style w:type="character" w:customStyle="1" w:styleId="CommentSubjectChar">
    <w:name w:val="Comment Subject Char"/>
    <w:basedOn w:val="CommentTextChar"/>
    <w:link w:val="CommentSubject"/>
    <w:uiPriority w:val="99"/>
    <w:semiHidden/>
    <w:rsid w:val="00775E0B"/>
    <w:rPr>
      <w:rFonts w:ascii="Arial" w:hAnsi="Arial"/>
      <w:b/>
      <w:bCs/>
      <w:sz w:val="20"/>
      <w:szCs w:val="20"/>
    </w:rPr>
  </w:style>
  <w:style w:type="paragraph" w:styleId="Revision">
    <w:name w:val="Revision"/>
    <w:hidden/>
    <w:uiPriority w:val="99"/>
    <w:semiHidden/>
    <w:rsid w:val="00FD0A9F"/>
    <w:pPr>
      <w:spacing w:before="0"/>
    </w:pPr>
    <w:rPr>
      <w:rFonts w:ascii="Arial" w:hAnsi="Arial"/>
    </w:rPr>
  </w:style>
  <w:style w:type="paragraph" w:customStyle="1" w:styleId="AERbulletlistfirststyle">
    <w:name w:val="AER bullet list (first style)"/>
    <w:basedOn w:val="ListBullet"/>
    <w:qFormat/>
    <w:rsid w:val="009B0BEE"/>
    <w:pPr>
      <w:numPr>
        <w:numId w:val="0"/>
      </w:numPr>
      <w:tabs>
        <w:tab w:val="left" w:pos="340"/>
      </w:tabs>
      <w:spacing w:line="276" w:lineRule="auto"/>
      <w:ind w:left="357" w:hanging="357"/>
    </w:pPr>
    <w:rPr>
      <w:rFonts w:cs="Times New Roman"/>
    </w:rPr>
  </w:style>
  <w:style w:type="paragraph" w:customStyle="1" w:styleId="Copyright">
    <w:name w:val="Copyright"/>
    <w:basedOn w:val="Normal"/>
    <w:next w:val="Normal"/>
    <w:link w:val="CopyrightChar"/>
    <w:rsid w:val="009B0BEE"/>
    <w:pPr>
      <w:spacing w:line="288" w:lineRule="auto"/>
    </w:pPr>
    <w:rPr>
      <w:sz w:val="20"/>
      <w:szCs w:val="20"/>
    </w:rPr>
  </w:style>
  <w:style w:type="character" w:customStyle="1" w:styleId="CopyrightChar">
    <w:name w:val="Copyright Char"/>
    <w:basedOn w:val="DefaultParagraphFont"/>
    <w:link w:val="Copyright"/>
    <w:rsid w:val="009B0BEE"/>
    <w:rPr>
      <w:rFonts w:ascii="Arial" w:hAnsi="Arial"/>
      <w:sz w:val="20"/>
      <w:szCs w:val="20"/>
    </w:rPr>
  </w:style>
  <w:style w:type="numbering" w:customStyle="1" w:styleId="AERHeadings">
    <w:name w:val="AER Headings"/>
    <w:uiPriority w:val="99"/>
    <w:rsid w:val="009B0BEE"/>
    <w:pPr>
      <w:numPr>
        <w:numId w:val="23"/>
      </w:numPr>
    </w:pPr>
  </w:style>
  <w:style w:type="character" w:customStyle="1" w:styleId="AERbody">
    <w:name w:val="AER body"/>
    <w:basedOn w:val="DefaultParagraphFont"/>
    <w:qFormat/>
    <w:rsid w:val="009B0BEE"/>
    <w:rPr>
      <w:rFonts w:ascii="Gautami" w:hAnsi="Gautami"/>
      <w:color w:val="auto"/>
      <w:sz w:val="20"/>
    </w:rPr>
  </w:style>
  <w:style w:type="paragraph" w:customStyle="1" w:styleId="AERbodytext">
    <w:name w:val="AER body text"/>
    <w:link w:val="AERbodytextChar"/>
    <w:qFormat/>
    <w:rsid w:val="009B0BEE"/>
    <w:pPr>
      <w:numPr>
        <w:numId w:val="25"/>
      </w:numPr>
      <w:spacing w:before="0" w:after="240" w:line="288" w:lineRule="auto"/>
      <w:jc w:val="both"/>
    </w:pPr>
    <w:rPr>
      <w:rFonts w:ascii="Gautami" w:eastAsia="Times New Roman" w:hAnsi="Gautami" w:cs="Times New Roman"/>
      <w:sz w:val="20"/>
      <w:szCs w:val="24"/>
    </w:rPr>
  </w:style>
  <w:style w:type="paragraph" w:customStyle="1" w:styleId="AERnumberedlistfirststyle">
    <w:name w:val="AER numbered list (first style)"/>
    <w:basedOn w:val="AERbodytext"/>
    <w:qFormat/>
    <w:rsid w:val="009B0BEE"/>
    <w:pPr>
      <w:numPr>
        <w:ilvl w:val="1"/>
      </w:numPr>
      <w:tabs>
        <w:tab w:val="clear" w:pos="357"/>
        <w:tab w:val="num" w:pos="1492"/>
      </w:tabs>
      <w:spacing w:after="200"/>
      <w:ind w:left="1492" w:hanging="360"/>
    </w:pPr>
  </w:style>
  <w:style w:type="paragraph" w:customStyle="1" w:styleId="AERnumberedlistsecondstyle">
    <w:name w:val="AER numbered list (second style)"/>
    <w:basedOn w:val="AERnumberedlistfirststyle"/>
    <w:qFormat/>
    <w:rsid w:val="009B0BEE"/>
    <w:pPr>
      <w:numPr>
        <w:ilvl w:val="2"/>
      </w:numPr>
      <w:tabs>
        <w:tab w:val="clear" w:pos="720"/>
        <w:tab w:val="num" w:pos="1492"/>
      </w:tabs>
      <w:ind w:left="1492" w:hanging="360"/>
    </w:pPr>
  </w:style>
  <w:style w:type="paragraph" w:customStyle="1" w:styleId="AERnumberedlistthirdstyle">
    <w:name w:val="AER numbered list (third style)"/>
    <w:basedOn w:val="AERnumberedlistsecondstyle"/>
    <w:qFormat/>
    <w:rsid w:val="009B0BEE"/>
    <w:pPr>
      <w:numPr>
        <w:ilvl w:val="3"/>
      </w:numPr>
      <w:tabs>
        <w:tab w:val="clear" w:pos="1077"/>
        <w:tab w:val="num" w:pos="1492"/>
      </w:tabs>
      <w:ind w:left="1492" w:hanging="360"/>
    </w:pPr>
  </w:style>
  <w:style w:type="character" w:customStyle="1" w:styleId="AERtextbold">
    <w:name w:val="AER text bold"/>
    <w:qFormat/>
    <w:rsid w:val="009B0BEE"/>
    <w:rPr>
      <w:b/>
    </w:rPr>
  </w:style>
  <w:style w:type="paragraph" w:customStyle="1" w:styleId="UnnumberedHeading">
    <w:name w:val="Unnumbered Heading"/>
    <w:basedOn w:val="Heading1"/>
    <w:next w:val="AERbodytext"/>
    <w:link w:val="UnnumberedHeadingChar"/>
    <w:qFormat/>
    <w:rsid w:val="009B0BEE"/>
    <w:pPr>
      <w:keepNext/>
      <w:keepLines/>
      <w:pageBreakBefore/>
      <w:tabs>
        <w:tab w:val="num" w:pos="0"/>
      </w:tabs>
      <w:spacing w:before="120" w:after="120" w:line="288" w:lineRule="auto"/>
    </w:pPr>
    <w:rPr>
      <w:rFonts w:ascii="Gautami" w:eastAsia="Times New Roman" w:hAnsi="Gautami" w:cs="Times New Roman"/>
      <w:b/>
      <w:color w:val="E36C0A"/>
      <w:sz w:val="36"/>
    </w:rPr>
  </w:style>
  <w:style w:type="numbering" w:customStyle="1" w:styleId="AERnumberedlist">
    <w:name w:val="AER numbered list"/>
    <w:uiPriority w:val="99"/>
    <w:rsid w:val="009B0BEE"/>
    <w:pPr>
      <w:numPr>
        <w:numId w:val="25"/>
      </w:numPr>
    </w:pPr>
  </w:style>
  <w:style w:type="character" w:customStyle="1" w:styleId="UnnumberedHeadingChar">
    <w:name w:val="Unnumbered Heading Char"/>
    <w:basedOn w:val="Heading1Char"/>
    <w:link w:val="UnnumberedHeading"/>
    <w:rsid w:val="009B0BEE"/>
    <w:rPr>
      <w:rFonts w:ascii="Gautami" w:eastAsia="Times New Roman" w:hAnsi="Gautami" w:cs="Times New Roman"/>
      <w:b/>
      <w:bCs/>
      <w:color w:val="E36C0A"/>
      <w:sz w:val="36"/>
      <w:szCs w:val="28"/>
    </w:rPr>
  </w:style>
  <w:style w:type="paragraph" w:customStyle="1" w:styleId="AERbodytextnospace">
    <w:name w:val="AER body text no space"/>
    <w:basedOn w:val="AERbodytext"/>
    <w:qFormat/>
    <w:rsid w:val="009B0BEE"/>
    <w:pPr>
      <w:spacing w:after="0"/>
    </w:pPr>
  </w:style>
  <w:style w:type="paragraph" w:customStyle="1" w:styleId="AERnumberedlist2first">
    <w:name w:val="AER numbered list 2 first"/>
    <w:basedOn w:val="AERbodytext"/>
    <w:qFormat/>
    <w:rsid w:val="009B0BEE"/>
    <w:pPr>
      <w:numPr>
        <w:ilvl w:val="4"/>
      </w:numPr>
      <w:tabs>
        <w:tab w:val="clear" w:pos="454"/>
        <w:tab w:val="num" w:pos="1492"/>
      </w:tabs>
      <w:ind w:left="1492" w:hanging="360"/>
    </w:pPr>
  </w:style>
  <w:style w:type="paragraph" w:customStyle="1" w:styleId="AERnumberedlist2second">
    <w:name w:val="AER numbered list 2 second"/>
    <w:basedOn w:val="AERnumberedlist2first"/>
    <w:qFormat/>
    <w:rsid w:val="009B0BEE"/>
    <w:pPr>
      <w:numPr>
        <w:ilvl w:val="5"/>
      </w:numPr>
      <w:tabs>
        <w:tab w:val="clear" w:pos="811"/>
        <w:tab w:val="num" w:pos="1492"/>
      </w:tabs>
      <w:ind w:left="1492" w:hanging="360"/>
    </w:pPr>
  </w:style>
  <w:style w:type="paragraph" w:customStyle="1" w:styleId="AERnumberedlist2third">
    <w:name w:val="AER numbered list 2 third"/>
    <w:basedOn w:val="AERnumberedlist2second"/>
    <w:qFormat/>
    <w:rsid w:val="009B0BEE"/>
    <w:pPr>
      <w:numPr>
        <w:ilvl w:val="6"/>
      </w:numPr>
      <w:tabs>
        <w:tab w:val="clear" w:pos="1446"/>
        <w:tab w:val="num" w:pos="1492"/>
      </w:tabs>
      <w:ind w:left="1492" w:hanging="360"/>
    </w:pPr>
  </w:style>
  <w:style w:type="character" w:customStyle="1" w:styleId="AERbodytextChar">
    <w:name w:val="AER body text Char"/>
    <w:basedOn w:val="DefaultParagraphFont"/>
    <w:link w:val="AERbodytext"/>
    <w:rsid w:val="009B0BEE"/>
    <w:rPr>
      <w:rFonts w:ascii="Gautami" w:eastAsia="Times New Roman" w:hAnsi="Gautami"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3786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ERInquiry@aer.gov.a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NSWACTelectricity@aer.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image" Target="media/image2.png"/><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aer.gov.au"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95457F-86B2-44A7-A232-72178CB47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28E3388</Template>
  <TotalTime>0</TotalTime>
  <Pages>9</Pages>
  <Words>2198</Words>
  <Characters>12533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14702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Petersen, Adam</dc:creator>
  <cp:lastModifiedBy>Lowien, Robyn</cp:lastModifiedBy>
  <cp:revision>3</cp:revision>
  <dcterms:created xsi:type="dcterms:W3CDTF">2015-03-20T04:06:00Z</dcterms:created>
  <dcterms:modified xsi:type="dcterms:W3CDTF">2015-03-20T04:08:00Z</dcterms:modified>
</cp:coreProperties>
</file>