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82D" w:rsidRPr="002A325E" w:rsidRDefault="0063482D" w:rsidP="0063482D">
      <w:pPr>
        <w:spacing w:before="0"/>
        <w:jc w:val="center"/>
        <w:rPr>
          <w:rFonts w:ascii="Gautami" w:eastAsia="Times New Roman" w:hAnsi="Gautami" w:cs="Gautami"/>
          <w:b/>
          <w:sz w:val="28"/>
          <w:szCs w:val="20"/>
          <w:lang w:val="en-GB" w:eastAsia="en-AU"/>
        </w:rPr>
      </w:pPr>
      <w:bookmarkStart w:id="0" w:name="_GoBack"/>
      <w:bookmarkEnd w:id="0"/>
      <w:r w:rsidRPr="002A325E">
        <w:rPr>
          <w:rFonts w:ascii="Gautami" w:eastAsia="Times New Roman" w:hAnsi="Gautami" w:cs="Gautami"/>
          <w:b/>
          <w:sz w:val="28"/>
          <w:szCs w:val="20"/>
          <w:lang w:val="en-GB" w:eastAsia="en-AU"/>
        </w:rPr>
        <w:t>AUSTRALIAN ENERGY REGULATOR</w:t>
      </w:r>
    </w:p>
    <w:p w:rsidR="0063482D" w:rsidRPr="002A325E" w:rsidRDefault="0063482D" w:rsidP="0063482D">
      <w:pPr>
        <w:spacing w:before="0"/>
        <w:jc w:val="center"/>
        <w:rPr>
          <w:rFonts w:ascii="Gautami" w:eastAsia="Times New Roman" w:hAnsi="Gautami" w:cs="Gautami"/>
          <w:b/>
          <w:sz w:val="28"/>
          <w:szCs w:val="20"/>
          <w:lang w:val="en-GB" w:eastAsia="en-AU"/>
        </w:rPr>
      </w:pPr>
      <w:r>
        <w:rPr>
          <w:rFonts w:ascii="Gautami" w:eastAsia="Times New Roman" w:hAnsi="Gautami" w:cs="Gautami"/>
          <w:b/>
          <w:sz w:val="28"/>
          <w:szCs w:val="20"/>
          <w:lang w:val="en-GB" w:eastAsia="en-AU"/>
        </w:rPr>
        <w:t xml:space="preserve">DRAFT </w:t>
      </w:r>
      <w:r w:rsidRPr="002A325E">
        <w:rPr>
          <w:rFonts w:ascii="Gautami" w:eastAsia="Times New Roman" w:hAnsi="Gautami" w:cs="Gautami"/>
          <w:b/>
          <w:sz w:val="28"/>
          <w:szCs w:val="20"/>
          <w:lang w:val="en-GB" w:eastAsia="en-AU"/>
        </w:rPr>
        <w:t>Key Issues and Action Items</w:t>
      </w:r>
    </w:p>
    <w:p w:rsidR="0063482D" w:rsidRPr="002A325E" w:rsidRDefault="0063482D" w:rsidP="0063482D">
      <w:pPr>
        <w:spacing w:before="0"/>
        <w:jc w:val="center"/>
        <w:rPr>
          <w:rFonts w:ascii="Times New Roman" w:eastAsia="Times New Roman" w:hAnsi="Times New Roman" w:cs="Times New Roman"/>
          <w:b/>
          <w:sz w:val="28"/>
          <w:szCs w:val="20"/>
          <w:lang w:val="en-GB" w:eastAsia="en-AU"/>
        </w:rPr>
      </w:pPr>
    </w:p>
    <w:p w:rsidR="0063482D" w:rsidRPr="002A325E" w:rsidRDefault="0063482D" w:rsidP="0063482D">
      <w:pPr>
        <w:spacing w:before="0" w:after="120"/>
        <w:rPr>
          <w:rFonts w:ascii="Gautami" w:eastAsia="Times New Roman" w:hAnsi="Gautami" w:cs="Gautami"/>
          <w:szCs w:val="20"/>
          <w:lang w:eastAsia="en-AU"/>
        </w:rPr>
      </w:pPr>
      <w:r w:rsidRPr="002A325E">
        <w:rPr>
          <w:rFonts w:ascii="Gautami" w:eastAsia="Times New Roman" w:hAnsi="Gautami" w:cs="Gautami"/>
          <w:szCs w:val="20"/>
          <w:lang w:eastAsia="en-AU"/>
        </w:rPr>
        <w:t>DATE:</w:t>
      </w:r>
      <w:r w:rsidRPr="002A325E">
        <w:rPr>
          <w:rFonts w:ascii="Gautami" w:eastAsia="Times New Roman" w:hAnsi="Gautami" w:cs="Gautami"/>
          <w:szCs w:val="20"/>
          <w:lang w:eastAsia="en-AU"/>
        </w:rPr>
        <w:tab/>
      </w:r>
      <w:r w:rsidRPr="002A325E">
        <w:rPr>
          <w:rFonts w:ascii="Gautami" w:eastAsia="Times New Roman" w:hAnsi="Gautami" w:cs="Gautami"/>
          <w:szCs w:val="20"/>
          <w:lang w:eastAsia="en-AU"/>
        </w:rPr>
        <w:tab/>
      </w:r>
      <w:r w:rsidRPr="002A325E">
        <w:rPr>
          <w:rFonts w:ascii="Gautami" w:eastAsia="Times New Roman" w:hAnsi="Gautami" w:cs="Gautami"/>
          <w:szCs w:val="20"/>
          <w:lang w:eastAsia="en-AU"/>
        </w:rPr>
        <w:tab/>
      </w:r>
      <w:r w:rsidR="001D7441">
        <w:rPr>
          <w:rFonts w:ascii="Gautami" w:eastAsia="Times New Roman" w:hAnsi="Gautami" w:cs="Gautami"/>
          <w:szCs w:val="20"/>
          <w:lang w:eastAsia="en-AU"/>
        </w:rPr>
        <w:t>14 March</w:t>
      </w:r>
      <w:r>
        <w:rPr>
          <w:rFonts w:ascii="Gautami" w:eastAsia="Times New Roman" w:hAnsi="Gautami" w:cs="Gautami"/>
          <w:szCs w:val="20"/>
          <w:lang w:eastAsia="en-AU"/>
        </w:rPr>
        <w:t xml:space="preserve"> 2018</w:t>
      </w:r>
    </w:p>
    <w:p w:rsidR="0063482D" w:rsidRPr="002A325E" w:rsidRDefault="0063482D" w:rsidP="0063482D">
      <w:pPr>
        <w:spacing w:before="0" w:after="120"/>
        <w:rPr>
          <w:rFonts w:ascii="Gautami" w:eastAsia="Times New Roman" w:hAnsi="Gautami" w:cs="Gautami"/>
          <w:szCs w:val="20"/>
          <w:lang w:eastAsia="en-AU"/>
        </w:rPr>
      </w:pPr>
      <w:r w:rsidRPr="002A325E">
        <w:rPr>
          <w:rFonts w:ascii="Gautami" w:eastAsia="Times New Roman" w:hAnsi="Gautami" w:cs="Gautami"/>
          <w:szCs w:val="20"/>
          <w:lang w:eastAsia="en-AU"/>
        </w:rPr>
        <w:t>TO:</w:t>
      </w:r>
      <w:r w:rsidRPr="002A325E">
        <w:rPr>
          <w:rFonts w:ascii="Gautami" w:eastAsia="Times New Roman" w:hAnsi="Gautami" w:cs="Gautami"/>
          <w:szCs w:val="20"/>
          <w:lang w:eastAsia="en-AU"/>
        </w:rPr>
        <w:tab/>
      </w:r>
      <w:r w:rsidRPr="002A325E">
        <w:rPr>
          <w:rFonts w:ascii="Gautami" w:eastAsia="Times New Roman" w:hAnsi="Gautami" w:cs="Gautami"/>
          <w:szCs w:val="20"/>
          <w:lang w:eastAsia="en-AU"/>
        </w:rPr>
        <w:tab/>
      </w:r>
      <w:r w:rsidRPr="002A325E">
        <w:rPr>
          <w:rFonts w:ascii="Gautami" w:eastAsia="Times New Roman" w:hAnsi="Gautami" w:cs="Gautami"/>
          <w:szCs w:val="20"/>
          <w:lang w:eastAsia="en-AU"/>
        </w:rPr>
        <w:tab/>
      </w:r>
      <w:r>
        <w:rPr>
          <w:rFonts w:ascii="Gautami" w:eastAsia="Times New Roman" w:hAnsi="Gautami" w:cs="Gautami"/>
          <w:szCs w:val="20"/>
          <w:lang w:eastAsia="en-AU"/>
        </w:rPr>
        <w:tab/>
      </w:r>
      <w:r w:rsidRPr="002A325E">
        <w:rPr>
          <w:rFonts w:ascii="Gautami" w:eastAsia="Times New Roman" w:hAnsi="Gautami" w:cs="Gautami"/>
          <w:szCs w:val="20"/>
          <w:lang w:eastAsia="en-AU"/>
        </w:rPr>
        <w:t>AER’s Consumer Reference Group on Rate of Return</w:t>
      </w:r>
    </w:p>
    <w:p w:rsidR="0063482D" w:rsidRPr="002A325E" w:rsidRDefault="0063482D" w:rsidP="0063482D">
      <w:pPr>
        <w:spacing w:before="0" w:after="120"/>
        <w:rPr>
          <w:rFonts w:ascii="Gautami" w:eastAsia="Times New Roman" w:hAnsi="Gautami" w:cs="Gautami"/>
          <w:szCs w:val="20"/>
          <w:lang w:eastAsia="en-AU"/>
        </w:rPr>
      </w:pPr>
      <w:r w:rsidRPr="002A325E">
        <w:rPr>
          <w:rFonts w:ascii="Gautami" w:eastAsia="Times New Roman" w:hAnsi="Gautami" w:cs="Gautami"/>
          <w:szCs w:val="20"/>
          <w:lang w:eastAsia="en-AU"/>
        </w:rPr>
        <w:t xml:space="preserve">CC: </w:t>
      </w:r>
      <w:r w:rsidRPr="002A325E">
        <w:rPr>
          <w:rFonts w:ascii="Gautami" w:eastAsia="Times New Roman" w:hAnsi="Gautami" w:cs="Gautami"/>
          <w:szCs w:val="20"/>
          <w:lang w:eastAsia="en-AU"/>
        </w:rPr>
        <w:tab/>
      </w:r>
      <w:r w:rsidRPr="002A325E">
        <w:rPr>
          <w:rFonts w:ascii="Gautami" w:eastAsia="Times New Roman" w:hAnsi="Gautami" w:cs="Gautami"/>
          <w:szCs w:val="20"/>
          <w:lang w:eastAsia="en-AU"/>
        </w:rPr>
        <w:tab/>
      </w:r>
      <w:r w:rsidRPr="002A325E">
        <w:rPr>
          <w:rFonts w:ascii="Gautami" w:eastAsia="Times New Roman" w:hAnsi="Gautami" w:cs="Gautami"/>
          <w:szCs w:val="20"/>
          <w:lang w:eastAsia="en-AU"/>
        </w:rPr>
        <w:tab/>
        <w:t>Warwick Anderson</w:t>
      </w:r>
    </w:p>
    <w:p w:rsidR="0063482D" w:rsidRPr="002A325E" w:rsidRDefault="0063482D" w:rsidP="0063482D">
      <w:pPr>
        <w:keepNext/>
        <w:spacing w:before="120" w:after="120"/>
        <w:outlineLvl w:val="2"/>
        <w:rPr>
          <w:rFonts w:ascii="Gautami" w:eastAsia="Times New Roman" w:hAnsi="Gautami" w:cs="Gautami"/>
          <w:b/>
          <w:szCs w:val="20"/>
          <w:lang w:eastAsia="en-AU"/>
        </w:rPr>
      </w:pPr>
      <w:r w:rsidRPr="002A325E">
        <w:rPr>
          <w:rFonts w:ascii="Gautami" w:eastAsia="Times New Roman" w:hAnsi="Gautami" w:cs="Gautami"/>
          <w:b/>
          <w:szCs w:val="20"/>
          <w:lang w:eastAsia="en-AU"/>
        </w:rPr>
        <w:t>SUBJECT:</w:t>
      </w:r>
      <w:r w:rsidRPr="002A325E">
        <w:rPr>
          <w:rFonts w:ascii="Gautami" w:eastAsia="Times New Roman" w:hAnsi="Gautami" w:cs="Gautami"/>
          <w:b/>
          <w:szCs w:val="20"/>
          <w:lang w:eastAsia="en-AU"/>
        </w:rPr>
        <w:tab/>
      </w:r>
      <w:r w:rsidRPr="002A325E">
        <w:rPr>
          <w:rFonts w:ascii="Gautami" w:eastAsia="Times New Roman" w:hAnsi="Gautami" w:cs="Gautami"/>
          <w:b/>
          <w:szCs w:val="20"/>
          <w:lang w:eastAsia="en-AU"/>
        </w:rPr>
        <w:tab/>
        <w:t xml:space="preserve">CRG </w:t>
      </w:r>
      <w:r w:rsidR="001D7441">
        <w:rPr>
          <w:rFonts w:ascii="Gautami" w:eastAsia="Times New Roman" w:hAnsi="Gautami" w:cs="Gautami"/>
          <w:b/>
          <w:szCs w:val="20"/>
          <w:lang w:eastAsia="en-AU"/>
        </w:rPr>
        <w:t>14 March</w:t>
      </w:r>
      <w:r>
        <w:rPr>
          <w:rFonts w:ascii="Gautami" w:eastAsia="Times New Roman" w:hAnsi="Gautami" w:cs="Gautami"/>
          <w:b/>
          <w:szCs w:val="20"/>
          <w:lang w:eastAsia="en-AU"/>
        </w:rPr>
        <w:t xml:space="preserve"> teleconference</w:t>
      </w:r>
    </w:p>
    <w:p w:rsidR="0063482D" w:rsidRPr="002A325E" w:rsidRDefault="0063482D" w:rsidP="0063482D">
      <w:pPr>
        <w:spacing w:before="0"/>
        <w:rPr>
          <w:rFonts w:ascii="Gautami" w:eastAsia="Times New Roman" w:hAnsi="Gautami" w:cs="Gautami"/>
          <w:b/>
          <w:szCs w:val="20"/>
          <w:lang w:eastAsia="en-AU"/>
        </w:rPr>
      </w:pPr>
    </w:p>
    <w:p w:rsidR="0063482D" w:rsidRPr="002A325E" w:rsidRDefault="0063482D" w:rsidP="0063482D">
      <w:pPr>
        <w:spacing w:before="240"/>
        <w:outlineLvl w:val="0"/>
        <w:rPr>
          <w:rFonts w:eastAsia="Times New Roman" w:cs="Times New Roman"/>
          <w:b/>
          <w:szCs w:val="20"/>
          <w:u w:val="single"/>
          <w:lang w:eastAsia="en-AU"/>
        </w:rPr>
      </w:pPr>
      <w:r w:rsidRPr="002A325E">
        <w:rPr>
          <w:rFonts w:eastAsia="Times New Roman" w:cs="Times New Roman"/>
          <w:b/>
          <w:szCs w:val="20"/>
          <w:u w:val="single"/>
          <w:lang w:eastAsia="en-AU"/>
        </w:rPr>
        <w:t>Introduction</w:t>
      </w:r>
    </w:p>
    <w:p w:rsidR="0063482D" w:rsidRDefault="0063482D" w:rsidP="0063482D">
      <w:pPr>
        <w:spacing w:before="0"/>
        <w:rPr>
          <w:rFonts w:eastAsia="Times New Roman" w:cs="Times New Roman"/>
          <w:szCs w:val="20"/>
          <w:lang w:eastAsia="en-AU"/>
        </w:rPr>
      </w:pPr>
      <w:r>
        <w:rPr>
          <w:rFonts w:eastAsia="Times New Roman" w:cs="Times New Roman"/>
          <w:szCs w:val="20"/>
          <w:lang w:eastAsia="en-AU"/>
        </w:rPr>
        <w:t xml:space="preserve">The AER organised for the CRG to </w:t>
      </w:r>
      <w:r w:rsidR="00AC5DF9">
        <w:rPr>
          <w:rFonts w:eastAsia="Times New Roman" w:cs="Times New Roman"/>
          <w:szCs w:val="20"/>
          <w:lang w:eastAsia="en-AU"/>
        </w:rPr>
        <w:t>engage in a weekly</w:t>
      </w:r>
      <w:r>
        <w:rPr>
          <w:rFonts w:eastAsia="Times New Roman" w:cs="Times New Roman"/>
          <w:szCs w:val="20"/>
          <w:lang w:eastAsia="en-AU"/>
        </w:rPr>
        <w:t xml:space="preserve"> teleconference to discuss issues for the CRG moving forward. The </w:t>
      </w:r>
      <w:r w:rsidR="00AC5DF9">
        <w:rPr>
          <w:rFonts w:eastAsia="Times New Roman" w:cs="Times New Roman"/>
          <w:szCs w:val="20"/>
          <w:lang w:eastAsia="en-AU"/>
        </w:rPr>
        <w:t xml:space="preserve">CRG </w:t>
      </w:r>
      <w:r>
        <w:rPr>
          <w:rFonts w:eastAsia="Times New Roman" w:cs="Times New Roman"/>
          <w:szCs w:val="20"/>
          <w:lang w:eastAsia="en-AU"/>
        </w:rPr>
        <w:t>agenda included:</w:t>
      </w:r>
    </w:p>
    <w:p w:rsidR="00972686" w:rsidRDefault="00972686" w:rsidP="00972686">
      <w:pPr>
        <w:numPr>
          <w:ilvl w:val="0"/>
          <w:numId w:val="33"/>
        </w:numPr>
        <w:spacing w:before="0"/>
        <w:rPr>
          <w:rFonts w:eastAsia="Times New Roman"/>
        </w:rPr>
      </w:pPr>
      <w:r>
        <w:rPr>
          <w:rFonts w:eastAsia="Times New Roman"/>
        </w:rPr>
        <w:t>Welcome – CCP members</w:t>
      </w:r>
    </w:p>
    <w:p w:rsidR="00972686" w:rsidRDefault="00972686" w:rsidP="00972686">
      <w:pPr>
        <w:numPr>
          <w:ilvl w:val="0"/>
          <w:numId w:val="33"/>
        </w:numPr>
        <w:spacing w:before="0"/>
        <w:rPr>
          <w:rFonts w:eastAsia="Times New Roman"/>
        </w:rPr>
      </w:pPr>
      <w:r>
        <w:rPr>
          <w:rFonts w:eastAsia="Times New Roman"/>
        </w:rPr>
        <w:t xml:space="preserve">CRG/ENA feedback – joint project </w:t>
      </w:r>
      <w:r w:rsidR="00AC5DF9">
        <w:rPr>
          <w:rFonts w:eastAsia="Times New Roman"/>
        </w:rPr>
        <w:t>terms of reference</w:t>
      </w:r>
    </w:p>
    <w:p w:rsidR="00972686" w:rsidRDefault="00972686" w:rsidP="00972686">
      <w:pPr>
        <w:numPr>
          <w:ilvl w:val="0"/>
          <w:numId w:val="33"/>
        </w:numPr>
        <w:spacing w:before="0"/>
        <w:rPr>
          <w:rFonts w:eastAsia="Times New Roman"/>
        </w:rPr>
      </w:pPr>
      <w:r>
        <w:rPr>
          <w:rFonts w:eastAsia="Times New Roman"/>
        </w:rPr>
        <w:t>Submission resourcing - workstreams</w:t>
      </w:r>
    </w:p>
    <w:p w:rsidR="00972686" w:rsidRDefault="00972686" w:rsidP="00972686">
      <w:pPr>
        <w:numPr>
          <w:ilvl w:val="0"/>
          <w:numId w:val="33"/>
        </w:numPr>
        <w:spacing w:before="0"/>
        <w:rPr>
          <w:rFonts w:eastAsia="Times New Roman"/>
        </w:rPr>
      </w:pPr>
      <w:r>
        <w:rPr>
          <w:rFonts w:eastAsia="Times New Roman"/>
        </w:rPr>
        <w:t>Updated timeline – submission preparation</w:t>
      </w:r>
    </w:p>
    <w:p w:rsidR="00972686" w:rsidRDefault="00972686" w:rsidP="00972686">
      <w:pPr>
        <w:numPr>
          <w:ilvl w:val="0"/>
          <w:numId w:val="33"/>
        </w:numPr>
        <w:spacing w:before="0"/>
        <w:rPr>
          <w:rFonts w:eastAsia="Times New Roman"/>
        </w:rPr>
      </w:pPr>
      <w:r>
        <w:rPr>
          <w:rFonts w:eastAsia="Times New Roman"/>
        </w:rPr>
        <w:t>Engagement of Sapere and progress</w:t>
      </w:r>
    </w:p>
    <w:p w:rsidR="00972686" w:rsidRDefault="00972686" w:rsidP="00972686">
      <w:pPr>
        <w:numPr>
          <w:ilvl w:val="0"/>
          <w:numId w:val="33"/>
        </w:numPr>
        <w:spacing w:before="0"/>
        <w:rPr>
          <w:rFonts w:eastAsia="Times New Roman"/>
        </w:rPr>
      </w:pPr>
      <w:r>
        <w:rPr>
          <w:rFonts w:eastAsia="Times New Roman"/>
        </w:rPr>
        <w:t>Process to ensure alignment and best outcomes – stream leaders and author (Sapere)</w:t>
      </w:r>
    </w:p>
    <w:p w:rsidR="00972686" w:rsidRDefault="00972686" w:rsidP="00972686">
      <w:pPr>
        <w:numPr>
          <w:ilvl w:val="0"/>
          <w:numId w:val="33"/>
        </w:numPr>
        <w:spacing w:before="0"/>
        <w:rPr>
          <w:rFonts w:eastAsia="Times New Roman"/>
        </w:rPr>
      </w:pPr>
      <w:r>
        <w:rPr>
          <w:rFonts w:eastAsia="Times New Roman"/>
        </w:rPr>
        <w:t>Expert session 1 – CRG instructions to attendees (JD and David Headberry)</w:t>
      </w:r>
    </w:p>
    <w:p w:rsidR="00972686" w:rsidRDefault="00972686" w:rsidP="00972686">
      <w:pPr>
        <w:numPr>
          <w:ilvl w:val="0"/>
          <w:numId w:val="33"/>
        </w:numPr>
        <w:spacing w:before="0"/>
        <w:rPr>
          <w:rFonts w:eastAsia="Times New Roman"/>
        </w:rPr>
      </w:pPr>
      <w:r>
        <w:rPr>
          <w:rFonts w:eastAsia="Times New Roman"/>
        </w:rPr>
        <w:t>Face to face meeting – 13</w:t>
      </w:r>
      <w:r>
        <w:rPr>
          <w:rFonts w:eastAsia="Times New Roman"/>
          <w:vertAlign w:val="superscript"/>
        </w:rPr>
        <w:t>th</w:t>
      </w:r>
      <w:r>
        <w:rPr>
          <w:rFonts w:eastAsia="Times New Roman"/>
        </w:rPr>
        <w:t xml:space="preserve"> April, (Melbourne airport) to include IRG representative(s)</w:t>
      </w:r>
    </w:p>
    <w:p w:rsidR="0063482D" w:rsidRPr="00972686" w:rsidRDefault="00972686" w:rsidP="0063482D">
      <w:pPr>
        <w:numPr>
          <w:ilvl w:val="0"/>
          <w:numId w:val="33"/>
        </w:numPr>
        <w:spacing w:before="0" w:after="240"/>
        <w:rPr>
          <w:rFonts w:eastAsia="Times New Roman"/>
        </w:rPr>
      </w:pPr>
      <w:r>
        <w:rPr>
          <w:rFonts w:eastAsia="Times New Roman"/>
        </w:rPr>
        <w:t>Other matters</w:t>
      </w:r>
    </w:p>
    <w:p w:rsidR="0063482D" w:rsidRDefault="0063482D" w:rsidP="0063482D">
      <w:pPr>
        <w:spacing w:before="0"/>
        <w:rPr>
          <w:rFonts w:eastAsia="Times New Roman" w:cs="Times New Roman"/>
          <w:b/>
          <w:szCs w:val="20"/>
          <w:u w:val="single"/>
          <w:lang w:eastAsia="en-AU"/>
        </w:rPr>
      </w:pPr>
      <w:r>
        <w:rPr>
          <w:rFonts w:eastAsia="Times New Roman" w:cs="Times New Roman"/>
          <w:b/>
          <w:szCs w:val="20"/>
          <w:u w:val="single"/>
          <w:lang w:eastAsia="en-AU"/>
        </w:rPr>
        <w:t>Key issues</w:t>
      </w:r>
    </w:p>
    <w:p w:rsidR="00275FDB" w:rsidRDefault="00275FDB" w:rsidP="0063482D">
      <w:pPr>
        <w:rPr>
          <w:rFonts w:eastAsia="Times New Roman" w:cs="Times New Roman"/>
          <w:b/>
          <w:szCs w:val="20"/>
          <w:lang w:eastAsia="en-AU"/>
        </w:rPr>
      </w:pPr>
      <w:r>
        <w:rPr>
          <w:rFonts w:eastAsia="Times New Roman" w:cs="Times New Roman"/>
          <w:b/>
          <w:szCs w:val="20"/>
          <w:lang w:eastAsia="en-AU"/>
        </w:rPr>
        <w:t>CRG/ENA recap</w:t>
      </w:r>
      <w:r w:rsidR="00972686">
        <w:rPr>
          <w:rFonts w:eastAsia="Times New Roman" w:cs="Times New Roman"/>
          <w:b/>
          <w:szCs w:val="20"/>
          <w:lang w:eastAsia="en-AU"/>
        </w:rPr>
        <w:t xml:space="preserve"> – joint terms of reference </w:t>
      </w:r>
    </w:p>
    <w:p w:rsidR="00972686" w:rsidRPr="00972686" w:rsidRDefault="00972686" w:rsidP="0063482D">
      <w:pPr>
        <w:rPr>
          <w:rFonts w:eastAsia="Times New Roman" w:cs="Times New Roman"/>
          <w:szCs w:val="20"/>
          <w:lang w:eastAsia="en-AU"/>
        </w:rPr>
      </w:pPr>
      <w:r>
        <w:rPr>
          <w:rFonts w:eastAsia="Times New Roman" w:cs="Times New Roman"/>
          <w:szCs w:val="20"/>
          <w:lang w:eastAsia="en-AU"/>
        </w:rPr>
        <w:t xml:space="preserve">The CRG discussed that the ENA is willing to fund work on a joint terms of reference between the CRG and ENA. The CRG stated that </w:t>
      </w:r>
      <w:r w:rsidR="002E0C5B">
        <w:rPr>
          <w:rFonts w:eastAsia="Times New Roman" w:cs="Times New Roman"/>
          <w:szCs w:val="20"/>
          <w:lang w:eastAsia="en-AU"/>
        </w:rPr>
        <w:t>the result of the project</w:t>
      </w:r>
      <w:r>
        <w:rPr>
          <w:rFonts w:eastAsia="Times New Roman" w:cs="Times New Roman"/>
          <w:szCs w:val="20"/>
          <w:lang w:eastAsia="en-AU"/>
        </w:rPr>
        <w:t xml:space="preserve"> does not commit them to any particular point on the outcome. The CRG indicated they would be interested in AER </w:t>
      </w:r>
      <w:r w:rsidR="00AC5DF9">
        <w:rPr>
          <w:rFonts w:eastAsia="Times New Roman" w:cs="Times New Roman"/>
          <w:szCs w:val="20"/>
          <w:lang w:eastAsia="en-AU"/>
        </w:rPr>
        <w:t>views on the terms of reference</w:t>
      </w:r>
      <w:r w:rsidR="001D7441">
        <w:rPr>
          <w:rFonts w:eastAsia="Times New Roman" w:cs="Times New Roman"/>
          <w:szCs w:val="20"/>
          <w:lang w:eastAsia="en-AU"/>
        </w:rPr>
        <w:t>.</w:t>
      </w:r>
      <w:r>
        <w:rPr>
          <w:rFonts w:eastAsia="Times New Roman" w:cs="Times New Roman"/>
          <w:szCs w:val="20"/>
          <w:lang w:eastAsia="en-AU"/>
        </w:rPr>
        <w:t xml:space="preserve"> </w:t>
      </w:r>
    </w:p>
    <w:p w:rsidR="005A1186" w:rsidRDefault="00972686">
      <w:pPr>
        <w:rPr>
          <w:rFonts w:eastAsia="Times New Roman" w:cs="Times New Roman"/>
          <w:b/>
          <w:szCs w:val="20"/>
          <w:lang w:eastAsia="en-AU"/>
        </w:rPr>
      </w:pPr>
      <w:r>
        <w:rPr>
          <w:rFonts w:eastAsia="Times New Roman" w:cs="Times New Roman"/>
          <w:b/>
          <w:szCs w:val="20"/>
          <w:lang w:eastAsia="en-AU"/>
        </w:rPr>
        <w:t>Submission resourcing</w:t>
      </w:r>
    </w:p>
    <w:p w:rsidR="002E0C5B" w:rsidRPr="002E0C5B" w:rsidRDefault="002E0C5B">
      <w:pPr>
        <w:rPr>
          <w:rFonts w:eastAsia="Times New Roman" w:cs="Times New Roman"/>
          <w:szCs w:val="20"/>
          <w:lang w:eastAsia="en-AU"/>
        </w:rPr>
      </w:pPr>
      <w:r>
        <w:rPr>
          <w:rFonts w:eastAsia="Times New Roman" w:cs="Times New Roman"/>
          <w:szCs w:val="20"/>
          <w:lang w:eastAsia="en-AU"/>
        </w:rPr>
        <w:t xml:space="preserve">The CRG noted that they have received confirmation of their quotes for work stream scheduling and the Chair agreed to circulate the document outlining confirmed hours. The Chair also welcomed comment on the CRG timeline document, given that the submission window for the draft decision </w:t>
      </w:r>
      <w:r w:rsidR="00D67C30">
        <w:rPr>
          <w:rFonts w:eastAsia="Times New Roman" w:cs="Times New Roman"/>
          <w:szCs w:val="20"/>
          <w:lang w:eastAsia="en-AU"/>
        </w:rPr>
        <w:t>may be extended to 4 May.</w:t>
      </w:r>
    </w:p>
    <w:p w:rsidR="00972686" w:rsidRDefault="008F08D7" w:rsidP="00972686">
      <w:pPr>
        <w:rPr>
          <w:rFonts w:eastAsia="Times New Roman" w:cs="Times New Roman"/>
          <w:b/>
          <w:szCs w:val="20"/>
          <w:lang w:eastAsia="en-AU"/>
        </w:rPr>
      </w:pPr>
      <w:r>
        <w:rPr>
          <w:rFonts w:eastAsia="Times New Roman" w:cs="Times New Roman"/>
          <w:b/>
          <w:szCs w:val="20"/>
          <w:lang w:eastAsia="en-AU"/>
        </w:rPr>
        <w:t>Project author</w:t>
      </w:r>
    </w:p>
    <w:p w:rsidR="008F08D7" w:rsidRPr="008F08D7" w:rsidRDefault="008F08D7" w:rsidP="00972686">
      <w:pPr>
        <w:rPr>
          <w:rFonts w:eastAsia="Times New Roman" w:cs="Times New Roman"/>
          <w:szCs w:val="20"/>
          <w:lang w:eastAsia="en-AU"/>
        </w:rPr>
      </w:pPr>
      <w:r>
        <w:rPr>
          <w:rFonts w:eastAsia="Times New Roman" w:cs="Times New Roman"/>
          <w:szCs w:val="20"/>
          <w:lang w:eastAsia="en-AU"/>
        </w:rPr>
        <w:t>The CRG reflected that so far the engagement with Sapere and their representative has been a positive experience. A CRG member expressed discontent with the Sapere representative not attending the concurrent evidence sessions.</w:t>
      </w:r>
    </w:p>
    <w:p w:rsidR="00E655E1" w:rsidRDefault="00E655E1">
      <w:pPr>
        <w:rPr>
          <w:rFonts w:eastAsia="Times New Roman" w:cs="Times New Roman"/>
          <w:b/>
          <w:szCs w:val="20"/>
          <w:lang w:eastAsia="en-AU"/>
        </w:rPr>
      </w:pPr>
      <w:r>
        <w:rPr>
          <w:rFonts w:eastAsia="Times New Roman" w:cs="Times New Roman"/>
          <w:b/>
          <w:szCs w:val="20"/>
          <w:lang w:eastAsia="en-AU"/>
        </w:rPr>
        <w:t>Concurrent evidence sessions</w:t>
      </w:r>
    </w:p>
    <w:p w:rsidR="008F08D7" w:rsidRPr="008F08D7" w:rsidRDefault="008F08D7">
      <w:pPr>
        <w:rPr>
          <w:rFonts w:eastAsia="Times New Roman" w:cs="Times New Roman"/>
          <w:szCs w:val="20"/>
          <w:lang w:eastAsia="en-AU"/>
        </w:rPr>
      </w:pPr>
      <w:r>
        <w:rPr>
          <w:rFonts w:eastAsia="Times New Roman" w:cs="Times New Roman"/>
          <w:szCs w:val="20"/>
          <w:lang w:eastAsia="en-AU"/>
        </w:rPr>
        <w:t xml:space="preserve">The CRG stated which two members they will be sending to attend the first concurrent evidence session. The CRG stated that the main audience </w:t>
      </w:r>
      <w:r w:rsidR="004117D2">
        <w:rPr>
          <w:rFonts w:eastAsia="Times New Roman" w:cs="Times New Roman"/>
          <w:szCs w:val="20"/>
          <w:lang w:eastAsia="en-AU"/>
        </w:rPr>
        <w:t>of the session is the AER board.</w:t>
      </w:r>
    </w:p>
    <w:p w:rsidR="00B87A76" w:rsidRDefault="00B87A76" w:rsidP="0063482D">
      <w:pPr>
        <w:rPr>
          <w:rFonts w:eastAsia="Times New Roman" w:cs="Times New Roman"/>
          <w:b/>
          <w:szCs w:val="20"/>
          <w:u w:val="single"/>
          <w:lang w:eastAsia="en-AU"/>
        </w:rPr>
      </w:pPr>
    </w:p>
    <w:p w:rsidR="00AC5DF9" w:rsidRDefault="00AC5DF9" w:rsidP="0063482D">
      <w:pPr>
        <w:rPr>
          <w:rFonts w:eastAsia="Times New Roman" w:cs="Times New Roman"/>
          <w:b/>
          <w:szCs w:val="20"/>
          <w:u w:val="single"/>
          <w:lang w:eastAsia="en-AU"/>
        </w:rPr>
      </w:pPr>
    </w:p>
    <w:p w:rsidR="0063482D" w:rsidRDefault="0063482D" w:rsidP="0063482D">
      <w:pPr>
        <w:rPr>
          <w:rFonts w:eastAsia="Times New Roman" w:cs="Times New Roman"/>
          <w:b/>
          <w:szCs w:val="20"/>
          <w:u w:val="single"/>
          <w:lang w:eastAsia="en-AU"/>
        </w:rPr>
      </w:pPr>
      <w:r>
        <w:rPr>
          <w:rFonts w:eastAsia="Times New Roman" w:cs="Times New Roman"/>
          <w:b/>
          <w:szCs w:val="20"/>
          <w:u w:val="single"/>
          <w:lang w:eastAsia="en-AU"/>
        </w:rPr>
        <w:lastRenderedPageBreak/>
        <w:t>Action items</w:t>
      </w:r>
    </w:p>
    <w:p w:rsidR="0063482D" w:rsidRPr="00C65A64" w:rsidRDefault="0063482D" w:rsidP="0063482D">
      <w:pPr>
        <w:rPr>
          <w:rFonts w:eastAsia="Times New Roman" w:cs="Times New Roman"/>
          <w:b/>
          <w:szCs w:val="20"/>
          <w:lang w:eastAsia="en-AU"/>
        </w:rPr>
      </w:pPr>
      <w:r w:rsidRPr="00C65A64">
        <w:rPr>
          <w:rFonts w:eastAsia="Times New Roman" w:cs="Times New Roman"/>
          <w:b/>
          <w:szCs w:val="20"/>
          <w:lang w:eastAsia="en-AU"/>
        </w:rPr>
        <w:t>CRG:</w:t>
      </w:r>
    </w:p>
    <w:p w:rsidR="00C4644A" w:rsidRPr="00C4644A" w:rsidRDefault="00C4644A" w:rsidP="00C4644A">
      <w:pPr>
        <w:pStyle w:val="ListParagraph"/>
        <w:numPr>
          <w:ilvl w:val="0"/>
          <w:numId w:val="28"/>
        </w:numPr>
        <w:jc w:val="both"/>
        <w:rPr>
          <w:rFonts w:eastAsia="Times New Roman" w:cs="Times New Roman"/>
          <w:i/>
          <w:szCs w:val="20"/>
          <w:lang w:eastAsia="en-AU"/>
        </w:rPr>
      </w:pPr>
      <w:r>
        <w:rPr>
          <w:rFonts w:eastAsia="Times New Roman" w:cs="Times New Roman"/>
          <w:i/>
          <w:szCs w:val="20"/>
          <w:lang w:eastAsia="en-AU"/>
        </w:rPr>
        <w:t>Consider the timeline produced by the C</w:t>
      </w:r>
      <w:r w:rsidR="00D67C30">
        <w:rPr>
          <w:rFonts w:eastAsia="Times New Roman" w:cs="Times New Roman"/>
          <w:i/>
          <w:szCs w:val="20"/>
          <w:lang w:eastAsia="en-AU"/>
        </w:rPr>
        <w:t>RG</w:t>
      </w:r>
      <w:r>
        <w:rPr>
          <w:rFonts w:eastAsia="Times New Roman" w:cs="Times New Roman"/>
          <w:i/>
          <w:szCs w:val="20"/>
          <w:lang w:eastAsia="en-AU"/>
        </w:rPr>
        <w:t xml:space="preserve"> and whether there would need to be any revisions.</w:t>
      </w:r>
    </w:p>
    <w:p w:rsidR="0063482D" w:rsidRPr="00C65A64" w:rsidRDefault="0063482D" w:rsidP="0063482D">
      <w:pPr>
        <w:jc w:val="both"/>
        <w:rPr>
          <w:rFonts w:eastAsia="Times New Roman" w:cs="Times New Roman"/>
          <w:b/>
          <w:i/>
          <w:szCs w:val="20"/>
          <w:lang w:eastAsia="en-AU"/>
        </w:rPr>
      </w:pPr>
      <w:r w:rsidRPr="00C65A64">
        <w:rPr>
          <w:rFonts w:eastAsia="Times New Roman" w:cs="Times New Roman"/>
          <w:b/>
          <w:i/>
          <w:szCs w:val="20"/>
          <w:lang w:eastAsia="en-AU"/>
        </w:rPr>
        <w:t>AER:</w:t>
      </w:r>
    </w:p>
    <w:p w:rsidR="00B87A76" w:rsidRDefault="00B87A76" w:rsidP="00B87A76">
      <w:pPr>
        <w:pStyle w:val="ListParagraph"/>
        <w:numPr>
          <w:ilvl w:val="0"/>
          <w:numId w:val="28"/>
        </w:numPr>
        <w:jc w:val="both"/>
        <w:rPr>
          <w:rFonts w:eastAsia="Times New Roman" w:cs="Times New Roman"/>
          <w:i/>
          <w:szCs w:val="20"/>
          <w:lang w:eastAsia="en-AU"/>
        </w:rPr>
      </w:pPr>
      <w:r>
        <w:rPr>
          <w:rFonts w:eastAsia="Times New Roman" w:cs="Times New Roman"/>
          <w:i/>
          <w:szCs w:val="20"/>
          <w:lang w:eastAsia="en-AU"/>
        </w:rPr>
        <w:t xml:space="preserve">Arrange the next teleconference for </w:t>
      </w:r>
      <w:r w:rsidR="008F08D7">
        <w:rPr>
          <w:rFonts w:eastAsia="Times New Roman" w:cs="Times New Roman"/>
          <w:i/>
          <w:szCs w:val="20"/>
          <w:lang w:eastAsia="en-AU"/>
        </w:rPr>
        <w:t>21</w:t>
      </w:r>
      <w:r>
        <w:rPr>
          <w:rFonts w:eastAsia="Times New Roman" w:cs="Times New Roman"/>
          <w:i/>
          <w:szCs w:val="20"/>
          <w:lang w:eastAsia="en-AU"/>
        </w:rPr>
        <w:t xml:space="preserve"> March.</w:t>
      </w:r>
    </w:p>
    <w:p w:rsidR="008F08D7" w:rsidRPr="00B87A76" w:rsidRDefault="008F08D7" w:rsidP="00B87A76">
      <w:pPr>
        <w:pStyle w:val="ListParagraph"/>
        <w:numPr>
          <w:ilvl w:val="0"/>
          <w:numId w:val="28"/>
        </w:numPr>
        <w:jc w:val="both"/>
        <w:rPr>
          <w:rFonts w:eastAsia="Times New Roman" w:cs="Times New Roman"/>
          <w:i/>
          <w:szCs w:val="20"/>
          <w:lang w:eastAsia="en-AU"/>
        </w:rPr>
      </w:pPr>
      <w:r>
        <w:rPr>
          <w:rFonts w:eastAsia="Times New Roman" w:cs="Times New Roman"/>
          <w:i/>
          <w:szCs w:val="20"/>
          <w:lang w:eastAsia="en-AU"/>
        </w:rPr>
        <w:t>Explore whether the AER has produced a terms of reference document the CRG can use.</w:t>
      </w:r>
    </w:p>
    <w:p w:rsidR="00AC3E35" w:rsidRPr="00C65A64" w:rsidRDefault="00AC3E35">
      <w:pPr>
        <w:rPr>
          <w:i/>
        </w:rPr>
      </w:pPr>
    </w:p>
    <w:sectPr w:rsidR="00AC3E35" w:rsidRPr="00C65A64" w:rsidSect="00B62438">
      <w:footerReference w:type="first" r:id="rId9"/>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82D" w:rsidRDefault="0063482D" w:rsidP="004B4412">
      <w:pPr>
        <w:spacing w:before="0"/>
      </w:pPr>
      <w:r>
        <w:separator/>
      </w:r>
    </w:p>
  </w:endnote>
  <w:endnote w:type="continuationSeparator" w:id="0">
    <w:p w:rsidR="0063482D" w:rsidRDefault="0063482D"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Gautami">
    <w:altName w:val="Cambria Math"/>
    <w:panose1 w:val="020005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616" w:rsidRDefault="00691616">
    <w:pPr>
      <w:pStyle w:val="Footer"/>
    </w:pPr>
  </w:p>
  <w:p w:rsidR="00691616" w:rsidRDefault="0069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82D" w:rsidRDefault="0063482D" w:rsidP="004B4412">
      <w:pPr>
        <w:spacing w:before="0"/>
      </w:pPr>
      <w:r>
        <w:separator/>
      </w:r>
    </w:p>
  </w:footnote>
  <w:footnote w:type="continuationSeparator" w:id="0">
    <w:p w:rsidR="0063482D" w:rsidRDefault="0063482D" w:rsidP="004B441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5664707"/>
    <w:multiLevelType w:val="hybridMultilevel"/>
    <w:tmpl w:val="5196652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3"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15:restartNumberingAfterBreak="0">
    <w:nsid w:val="278430DC"/>
    <w:multiLevelType w:val="hybridMultilevel"/>
    <w:tmpl w:val="A2B0B1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E06579A"/>
    <w:multiLevelType w:val="hybridMultilevel"/>
    <w:tmpl w:val="E21614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8"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0"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2" w15:restartNumberingAfterBreak="0">
    <w:nsid w:val="60B67B13"/>
    <w:multiLevelType w:val="hybridMultilevel"/>
    <w:tmpl w:val="D264D6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2F75C5A"/>
    <w:multiLevelType w:val="hybridMultilevel"/>
    <w:tmpl w:val="6C74F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7"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8"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9" w15:restartNumberingAfterBreak="0">
    <w:nsid w:val="75255CD1"/>
    <w:multiLevelType w:val="multilevel"/>
    <w:tmpl w:val="26329A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1"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2"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2"/>
  </w:num>
  <w:num w:numId="3">
    <w:abstractNumId w:val="7"/>
  </w:num>
  <w:num w:numId="4">
    <w:abstractNumId w:val="6"/>
  </w:num>
  <w:num w:numId="5">
    <w:abstractNumId w:val="5"/>
  </w:num>
  <w:num w:numId="6">
    <w:abstractNumId w:val="4"/>
  </w:num>
  <w:num w:numId="7">
    <w:abstractNumId w:val="1"/>
  </w:num>
  <w:num w:numId="8">
    <w:abstractNumId w:val="0"/>
  </w:num>
  <w:num w:numId="9">
    <w:abstractNumId w:val="26"/>
  </w:num>
  <w:num w:numId="10">
    <w:abstractNumId w:val="18"/>
  </w:num>
  <w:num w:numId="11">
    <w:abstractNumId w:val="10"/>
  </w:num>
  <w:num w:numId="12">
    <w:abstractNumId w:val="13"/>
  </w:num>
  <w:num w:numId="13">
    <w:abstractNumId w:val="17"/>
  </w:num>
  <w:num w:numId="14">
    <w:abstractNumId w:val="2"/>
  </w:num>
  <w:num w:numId="15">
    <w:abstractNumId w:val="27"/>
  </w:num>
  <w:num w:numId="16">
    <w:abstractNumId w:val="31"/>
  </w:num>
  <w:num w:numId="17">
    <w:abstractNumId w:val="30"/>
  </w:num>
  <w:num w:numId="18">
    <w:abstractNumId w:val="21"/>
  </w:num>
  <w:num w:numId="19">
    <w:abstractNumId w:val="16"/>
  </w:num>
  <w:num w:numId="20">
    <w:abstractNumId w:val="19"/>
  </w:num>
  <w:num w:numId="21">
    <w:abstractNumId w:val="28"/>
  </w:num>
  <w:num w:numId="22">
    <w:abstractNumId w:val="23"/>
  </w:num>
  <w:num w:numId="23">
    <w:abstractNumId w:val="8"/>
  </w:num>
  <w:num w:numId="24">
    <w:abstractNumId w:val="3"/>
  </w:num>
  <w:num w:numId="25">
    <w:abstractNumId w:val="20"/>
  </w:num>
  <w:num w:numId="26">
    <w:abstractNumId w:val="12"/>
  </w:num>
  <w:num w:numId="27">
    <w:abstractNumId w:val="25"/>
  </w:num>
  <w:num w:numId="28">
    <w:abstractNumId w:val="15"/>
  </w:num>
  <w:num w:numId="29">
    <w:abstractNumId w:val="9"/>
  </w:num>
  <w:num w:numId="30">
    <w:abstractNumId w:val="29"/>
  </w:num>
  <w:num w:numId="31">
    <w:abstractNumId w:val="22"/>
  </w:num>
  <w:num w:numId="32">
    <w:abstractNumId w:val="24"/>
  </w:num>
  <w:num w:numId="33">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omesharecl\HomeDrives\dsmit\Desktop\Normal.dotm"/>
  </w:docVars>
  <w:rsids>
    <w:rsidRoot w:val="0063482D"/>
    <w:rsid w:val="0002115F"/>
    <w:rsid w:val="00021202"/>
    <w:rsid w:val="000225C4"/>
    <w:rsid w:val="0003578C"/>
    <w:rsid w:val="00063247"/>
    <w:rsid w:val="00070F9F"/>
    <w:rsid w:val="0007137B"/>
    <w:rsid w:val="00085663"/>
    <w:rsid w:val="00085EBF"/>
    <w:rsid w:val="000D122C"/>
    <w:rsid w:val="000E1819"/>
    <w:rsid w:val="000E6C72"/>
    <w:rsid w:val="000F2368"/>
    <w:rsid w:val="00116EB2"/>
    <w:rsid w:val="001207B1"/>
    <w:rsid w:val="00124609"/>
    <w:rsid w:val="001573E4"/>
    <w:rsid w:val="00160756"/>
    <w:rsid w:val="0017232E"/>
    <w:rsid w:val="00174102"/>
    <w:rsid w:val="00180157"/>
    <w:rsid w:val="00181223"/>
    <w:rsid w:val="00186F77"/>
    <w:rsid w:val="001926A4"/>
    <w:rsid w:val="001A3A19"/>
    <w:rsid w:val="001B246B"/>
    <w:rsid w:val="001B45A0"/>
    <w:rsid w:val="001C18EE"/>
    <w:rsid w:val="001D055E"/>
    <w:rsid w:val="001D7441"/>
    <w:rsid w:val="001E2EBF"/>
    <w:rsid w:val="001F492E"/>
    <w:rsid w:val="001F6DA3"/>
    <w:rsid w:val="00212737"/>
    <w:rsid w:val="00224DB9"/>
    <w:rsid w:val="00251745"/>
    <w:rsid w:val="00263AC0"/>
    <w:rsid w:val="0026772D"/>
    <w:rsid w:val="00275FDB"/>
    <w:rsid w:val="00286874"/>
    <w:rsid w:val="00296B65"/>
    <w:rsid w:val="002A7DEF"/>
    <w:rsid w:val="002B303D"/>
    <w:rsid w:val="002B6773"/>
    <w:rsid w:val="002E0C5B"/>
    <w:rsid w:val="002F7986"/>
    <w:rsid w:val="00303915"/>
    <w:rsid w:val="00303C4A"/>
    <w:rsid w:val="00307F6D"/>
    <w:rsid w:val="003177A2"/>
    <w:rsid w:val="003271B5"/>
    <w:rsid w:val="003301BA"/>
    <w:rsid w:val="00330CA0"/>
    <w:rsid w:val="00331264"/>
    <w:rsid w:val="00331D68"/>
    <w:rsid w:val="00334C8D"/>
    <w:rsid w:val="00340655"/>
    <w:rsid w:val="003459E6"/>
    <w:rsid w:val="003518B3"/>
    <w:rsid w:val="00371641"/>
    <w:rsid w:val="003846F1"/>
    <w:rsid w:val="003A673F"/>
    <w:rsid w:val="003B5A70"/>
    <w:rsid w:val="004117D2"/>
    <w:rsid w:val="00475DDE"/>
    <w:rsid w:val="00480B4B"/>
    <w:rsid w:val="00485DC4"/>
    <w:rsid w:val="004B4412"/>
    <w:rsid w:val="004C348C"/>
    <w:rsid w:val="004D1733"/>
    <w:rsid w:val="004D55BA"/>
    <w:rsid w:val="005038DB"/>
    <w:rsid w:val="0052379B"/>
    <w:rsid w:val="00530128"/>
    <w:rsid w:val="00532467"/>
    <w:rsid w:val="00547BA2"/>
    <w:rsid w:val="00547CCF"/>
    <w:rsid w:val="00564A4D"/>
    <w:rsid w:val="00571B35"/>
    <w:rsid w:val="00571C9F"/>
    <w:rsid w:val="00577A09"/>
    <w:rsid w:val="00580B78"/>
    <w:rsid w:val="00584D8F"/>
    <w:rsid w:val="00596D42"/>
    <w:rsid w:val="005A1186"/>
    <w:rsid w:val="005A404D"/>
    <w:rsid w:val="005B1E3C"/>
    <w:rsid w:val="005C24AC"/>
    <w:rsid w:val="005C26CC"/>
    <w:rsid w:val="005E6C0E"/>
    <w:rsid w:val="00615C6B"/>
    <w:rsid w:val="00632D6D"/>
    <w:rsid w:val="0063482D"/>
    <w:rsid w:val="00642C3E"/>
    <w:rsid w:val="00646025"/>
    <w:rsid w:val="00663DAD"/>
    <w:rsid w:val="00676679"/>
    <w:rsid w:val="00691616"/>
    <w:rsid w:val="006B4CF9"/>
    <w:rsid w:val="006B7AC8"/>
    <w:rsid w:val="006D550F"/>
    <w:rsid w:val="006D77F3"/>
    <w:rsid w:val="00701CAB"/>
    <w:rsid w:val="00707563"/>
    <w:rsid w:val="00720FB2"/>
    <w:rsid w:val="0072348C"/>
    <w:rsid w:val="00724A37"/>
    <w:rsid w:val="007303C3"/>
    <w:rsid w:val="00743223"/>
    <w:rsid w:val="00746E01"/>
    <w:rsid w:val="00763E5D"/>
    <w:rsid w:val="00767740"/>
    <w:rsid w:val="00775671"/>
    <w:rsid w:val="00777EE6"/>
    <w:rsid w:val="00782EEA"/>
    <w:rsid w:val="007B2C72"/>
    <w:rsid w:val="007C1C53"/>
    <w:rsid w:val="007E26A9"/>
    <w:rsid w:val="007E4904"/>
    <w:rsid w:val="007E4CB5"/>
    <w:rsid w:val="007F066B"/>
    <w:rsid w:val="008033C4"/>
    <w:rsid w:val="00806C88"/>
    <w:rsid w:val="0081034E"/>
    <w:rsid w:val="008344F6"/>
    <w:rsid w:val="0083510F"/>
    <w:rsid w:val="00851209"/>
    <w:rsid w:val="0088007E"/>
    <w:rsid w:val="008837AC"/>
    <w:rsid w:val="008945B4"/>
    <w:rsid w:val="008A587D"/>
    <w:rsid w:val="008C5486"/>
    <w:rsid w:val="008E2E38"/>
    <w:rsid w:val="008E7031"/>
    <w:rsid w:val="008F08D7"/>
    <w:rsid w:val="009022BC"/>
    <w:rsid w:val="00922C95"/>
    <w:rsid w:val="009233EE"/>
    <w:rsid w:val="0093685A"/>
    <w:rsid w:val="00954F14"/>
    <w:rsid w:val="009661DE"/>
    <w:rsid w:val="00972686"/>
    <w:rsid w:val="009856B7"/>
    <w:rsid w:val="0098602B"/>
    <w:rsid w:val="00991B3B"/>
    <w:rsid w:val="009962BA"/>
    <w:rsid w:val="009B74B0"/>
    <w:rsid w:val="009D4414"/>
    <w:rsid w:val="009D6B46"/>
    <w:rsid w:val="009F4940"/>
    <w:rsid w:val="00A0248C"/>
    <w:rsid w:val="00A1665B"/>
    <w:rsid w:val="00A323D9"/>
    <w:rsid w:val="00A34EEC"/>
    <w:rsid w:val="00A4478A"/>
    <w:rsid w:val="00A44852"/>
    <w:rsid w:val="00A57D04"/>
    <w:rsid w:val="00A60A26"/>
    <w:rsid w:val="00A61598"/>
    <w:rsid w:val="00A84F46"/>
    <w:rsid w:val="00A871F4"/>
    <w:rsid w:val="00AC1B2C"/>
    <w:rsid w:val="00AC3264"/>
    <w:rsid w:val="00AC3E35"/>
    <w:rsid w:val="00AC5DF9"/>
    <w:rsid w:val="00AC6F01"/>
    <w:rsid w:val="00AE0FE2"/>
    <w:rsid w:val="00AE1BF1"/>
    <w:rsid w:val="00AF0DD2"/>
    <w:rsid w:val="00B10314"/>
    <w:rsid w:val="00B13048"/>
    <w:rsid w:val="00B15998"/>
    <w:rsid w:val="00B1716D"/>
    <w:rsid w:val="00B17A1D"/>
    <w:rsid w:val="00B207A0"/>
    <w:rsid w:val="00B56E03"/>
    <w:rsid w:val="00B60F5D"/>
    <w:rsid w:val="00B62438"/>
    <w:rsid w:val="00B64FB0"/>
    <w:rsid w:val="00B65973"/>
    <w:rsid w:val="00B67E91"/>
    <w:rsid w:val="00B8080B"/>
    <w:rsid w:val="00B87A76"/>
    <w:rsid w:val="00B87C39"/>
    <w:rsid w:val="00BA4665"/>
    <w:rsid w:val="00BB2FB2"/>
    <w:rsid w:val="00BB3304"/>
    <w:rsid w:val="00BD3446"/>
    <w:rsid w:val="00BE0328"/>
    <w:rsid w:val="00BE1F1B"/>
    <w:rsid w:val="00BE47B5"/>
    <w:rsid w:val="00BE4C99"/>
    <w:rsid w:val="00C058AB"/>
    <w:rsid w:val="00C06739"/>
    <w:rsid w:val="00C4603F"/>
    <w:rsid w:val="00C4644A"/>
    <w:rsid w:val="00C538A9"/>
    <w:rsid w:val="00C53B5A"/>
    <w:rsid w:val="00C54F5A"/>
    <w:rsid w:val="00C65A64"/>
    <w:rsid w:val="00C755AD"/>
    <w:rsid w:val="00C86679"/>
    <w:rsid w:val="00CB666B"/>
    <w:rsid w:val="00CF799E"/>
    <w:rsid w:val="00D01CF0"/>
    <w:rsid w:val="00D0442A"/>
    <w:rsid w:val="00D203E1"/>
    <w:rsid w:val="00D521D5"/>
    <w:rsid w:val="00D544B8"/>
    <w:rsid w:val="00D61388"/>
    <w:rsid w:val="00D61A54"/>
    <w:rsid w:val="00D64DEA"/>
    <w:rsid w:val="00D67C30"/>
    <w:rsid w:val="00D80893"/>
    <w:rsid w:val="00D92CF1"/>
    <w:rsid w:val="00D92D38"/>
    <w:rsid w:val="00D950F5"/>
    <w:rsid w:val="00DB0F93"/>
    <w:rsid w:val="00DC542F"/>
    <w:rsid w:val="00DC7981"/>
    <w:rsid w:val="00DE4EFA"/>
    <w:rsid w:val="00DE5520"/>
    <w:rsid w:val="00DE6E96"/>
    <w:rsid w:val="00E04818"/>
    <w:rsid w:val="00E06442"/>
    <w:rsid w:val="00E23993"/>
    <w:rsid w:val="00E25B8C"/>
    <w:rsid w:val="00E27642"/>
    <w:rsid w:val="00E4674F"/>
    <w:rsid w:val="00E655E1"/>
    <w:rsid w:val="00E65C85"/>
    <w:rsid w:val="00E66199"/>
    <w:rsid w:val="00E755EC"/>
    <w:rsid w:val="00E7624D"/>
    <w:rsid w:val="00EA3D42"/>
    <w:rsid w:val="00EA6B1B"/>
    <w:rsid w:val="00EE28F3"/>
    <w:rsid w:val="00EF5110"/>
    <w:rsid w:val="00F15882"/>
    <w:rsid w:val="00F20BD3"/>
    <w:rsid w:val="00F373A5"/>
    <w:rsid w:val="00F40845"/>
    <w:rsid w:val="00F47559"/>
    <w:rsid w:val="00F60BE4"/>
    <w:rsid w:val="00F61B84"/>
    <w:rsid w:val="00F64C7B"/>
    <w:rsid w:val="00F676DD"/>
    <w:rsid w:val="00F75A26"/>
    <w:rsid w:val="00F83FAD"/>
    <w:rsid w:val="00F91DC6"/>
    <w:rsid w:val="00F952A0"/>
    <w:rsid w:val="00FA3C7F"/>
    <w:rsid w:val="00FA4E09"/>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6ACCE-4836-4CFB-A116-3B66C917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semiHidden="1" w:uiPriority="2"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82D"/>
    <w:rPr>
      <w:rFonts w:ascii="Arial" w:hAnsi="Arial"/>
    </w:rPr>
  </w:style>
  <w:style w:type="paragraph" w:styleId="Heading1">
    <w:name w:val="heading 1"/>
    <w:basedOn w:val="Normal"/>
    <w:next w:val="Normal"/>
    <w:link w:val="Heading1Char"/>
    <w:qFormat/>
    <w:rsid w:val="00E27642"/>
    <w:pPr>
      <w:spacing w:before="240"/>
      <w:outlineLvl w:val="0"/>
    </w:pPr>
    <w:rPr>
      <w:rFonts w:ascii="Palatino Linotype" w:eastAsiaTheme="majorEastAsia" w:hAnsi="Palatino Linotype" w:cstheme="majorBidi"/>
      <w:bCs/>
      <w:color w:val="410099" w:themeColor="accent1"/>
      <w:sz w:val="36"/>
      <w:szCs w:val="28"/>
    </w:rPr>
  </w:style>
  <w:style w:type="paragraph" w:styleId="Heading2">
    <w:name w:val="heading 2"/>
    <w:next w:val="Normal"/>
    <w:link w:val="Heading2Char"/>
    <w:qFormat/>
    <w:rsid w:val="00E27642"/>
    <w:pPr>
      <w:spacing w:line="240" w:lineRule="atLeast"/>
      <w:outlineLvl w:val="1"/>
    </w:pPr>
    <w:rPr>
      <w:rFonts w:ascii="Arial" w:eastAsiaTheme="majorEastAsia" w:hAnsi="Arial" w:cstheme="majorBidi"/>
      <w:bCs/>
      <w:color w:val="410099" w:themeColor="accent1"/>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E27642"/>
    <w:pPr>
      <w:spacing w:before="240"/>
      <w:outlineLvl w:val="3"/>
    </w:pPr>
    <w:rPr>
      <w:rFonts w:eastAsiaTheme="majorEastAsia" w:cstheme="majorBidi"/>
      <w:b/>
      <w:bCs/>
      <w:i/>
      <w:iCs/>
      <w:color w:val="410099" w:themeColor="accent1"/>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0004C"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410099"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642"/>
    <w:rPr>
      <w:rFonts w:ascii="Palatino Linotype" w:eastAsiaTheme="majorEastAsia" w:hAnsi="Palatino Linotype" w:cstheme="majorBidi"/>
      <w:bCs/>
      <w:color w:val="410099" w:themeColor="accent1"/>
      <w:sz w:val="36"/>
      <w:szCs w:val="28"/>
    </w:rPr>
  </w:style>
  <w:style w:type="character" w:customStyle="1" w:styleId="Heading2Char">
    <w:name w:val="Heading 2 Char"/>
    <w:basedOn w:val="DefaultParagraphFont"/>
    <w:link w:val="Heading2"/>
    <w:rsid w:val="00E27642"/>
    <w:rPr>
      <w:rFonts w:ascii="Arial" w:eastAsiaTheme="majorEastAsia" w:hAnsi="Arial" w:cstheme="majorBidi"/>
      <w:bCs/>
      <w:color w:val="410099" w:themeColor="accent1"/>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E27642"/>
    <w:rPr>
      <w:rFonts w:ascii="Arial" w:eastAsiaTheme="majorEastAsia" w:hAnsi="Arial" w:cstheme="majorBidi"/>
      <w:b/>
      <w:bCs/>
      <w:i/>
      <w:iCs/>
      <w:color w:val="410099" w:themeColor="accent1"/>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0004C"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E27642"/>
    <w:pPr>
      <w:spacing w:before="520" w:after="120"/>
    </w:pPr>
    <w:rPr>
      <w:rFonts w:ascii="Palatino Linotype" w:hAnsi="Palatino Linotype"/>
      <w:color w:val="410099" w:themeColor="accent1"/>
      <w:sz w:val="52"/>
      <w:szCs w:val="52"/>
    </w:rPr>
  </w:style>
  <w:style w:type="character" w:customStyle="1" w:styleId="ChaptertitleChar">
    <w:name w:val="Chapter title Char"/>
    <w:basedOn w:val="DefaultParagraphFont"/>
    <w:link w:val="Chaptertitle"/>
    <w:rsid w:val="00E27642"/>
    <w:rPr>
      <w:rFonts w:ascii="Palatino Linotype" w:hAnsi="Palatino Linotype"/>
      <w:color w:val="410099"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27642"/>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27642"/>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A323D9"/>
    <w:pPr>
      <w:numPr>
        <w:ilvl w:val="1"/>
        <w:numId w:val="12"/>
      </w:numPr>
      <w:tabs>
        <w:tab w:val="left" w:pos="1021"/>
      </w:tabs>
      <w:ind w:left="1021" w:hanging="1021"/>
    </w:pPr>
    <w:rPr>
      <w:rFonts w:cs="Arial"/>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E27642"/>
    <w:pPr>
      <w:tabs>
        <w:tab w:val="center" w:pos="4513"/>
        <w:tab w:val="right" w:pos="9026"/>
      </w:tabs>
      <w:spacing w:after="120"/>
    </w:pPr>
    <w:rPr>
      <w:sz w:val="18"/>
    </w:rPr>
  </w:style>
  <w:style w:type="character" w:customStyle="1" w:styleId="HeaderChar">
    <w:name w:val="Header Char"/>
    <w:basedOn w:val="DefaultParagraphFont"/>
    <w:link w:val="Header"/>
    <w:uiPriority w:val="99"/>
    <w:rsid w:val="00E27642"/>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27642"/>
    <w:pPr>
      <w:spacing w:after="120"/>
      <w:contextualSpacing/>
    </w:pPr>
    <w:rPr>
      <w:rFonts w:ascii="Palatino Linotype" w:hAnsi="Palatino Linotype"/>
      <w:b/>
      <w:color w:val="362F52" w:themeColor="accent3"/>
      <w:sz w:val="24"/>
      <w:szCs w:val="24"/>
    </w:rPr>
  </w:style>
  <w:style w:type="character" w:customStyle="1" w:styleId="PullquoteheadingChar">
    <w:name w:val="Pull quote heading Char"/>
    <w:basedOn w:val="DefaultParagraphFont"/>
    <w:link w:val="Pullquoteheading"/>
    <w:uiPriority w:val="1"/>
    <w:rsid w:val="00E27642"/>
    <w:rPr>
      <w:rFonts w:ascii="Palatino Linotype" w:hAnsi="Palatino Linotype"/>
      <w:b/>
      <w:color w:val="362F52" w:themeColor="accent3"/>
      <w:sz w:val="24"/>
      <w:szCs w:val="24"/>
    </w:rPr>
  </w:style>
  <w:style w:type="paragraph" w:customStyle="1" w:styleId="Pullquotetext">
    <w:name w:val="Pull quote text"/>
    <w:link w:val="PullquotetextChar"/>
    <w:uiPriority w:val="1"/>
    <w:rsid w:val="00E27642"/>
    <w:pPr>
      <w:spacing w:before="120"/>
    </w:pPr>
    <w:rPr>
      <w:rFonts w:ascii="Palatino Linotype" w:hAnsi="Palatino Linotype"/>
      <w:color w:val="362F52" w:themeColor="accent3"/>
      <w:szCs w:val="24"/>
    </w:rPr>
  </w:style>
  <w:style w:type="character" w:customStyle="1" w:styleId="PullquotetextChar">
    <w:name w:val="Pull quote text Char"/>
    <w:basedOn w:val="PullquoteheadingChar"/>
    <w:link w:val="Pullquotetext"/>
    <w:uiPriority w:val="1"/>
    <w:rsid w:val="00E27642"/>
    <w:rPr>
      <w:rFonts w:ascii="Palatino Linotype" w:hAnsi="Palatino Linotype"/>
      <w:b w:val="0"/>
      <w:color w:val="362F52" w:themeColor="accent3"/>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93685A"/>
    <w:pPr>
      <w:spacing w:before="480" w:after="120" w:line="276" w:lineRule="auto"/>
    </w:pPr>
    <w:rPr>
      <w:rFonts w:ascii="Palatino Linotype" w:eastAsiaTheme="majorEastAsia" w:hAnsi="Palatino Linotype" w:cstheme="majorBidi"/>
      <w:bCs/>
      <w:color w:val="410099" w:themeColor="accent1"/>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E27642"/>
    <w:pPr>
      <w:tabs>
        <w:tab w:val="center" w:pos="4513"/>
        <w:tab w:val="right" w:pos="9026"/>
      </w:tabs>
      <w:spacing w:after="120"/>
    </w:pPr>
    <w:rPr>
      <w:sz w:val="18"/>
    </w:rPr>
  </w:style>
  <w:style w:type="character" w:customStyle="1" w:styleId="FooterChar">
    <w:name w:val="Footer Char"/>
    <w:basedOn w:val="DefaultParagraphFont"/>
    <w:link w:val="Footer"/>
    <w:uiPriority w:val="99"/>
    <w:rsid w:val="00E27642"/>
    <w:rPr>
      <w:rFonts w:ascii="Arial" w:hAnsi="Arial"/>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410099"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00072" w:themeColor="accent1" w:themeShade="BF"/>
    </w:rPr>
    <w:tblPr>
      <w:tblStyleRowBandSize w:val="1"/>
      <w:tblStyleColBandSize w:val="1"/>
      <w:tblBorders>
        <w:top w:val="single" w:sz="8" w:space="0" w:color="410099" w:themeColor="accent1"/>
        <w:bottom w:val="single" w:sz="8" w:space="0" w:color="410099" w:themeColor="accent1"/>
      </w:tblBorders>
    </w:tblPr>
    <w:tblStylePr w:type="fir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la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A6FF" w:themeFill="accent1" w:themeFillTint="3F"/>
      </w:tcPr>
    </w:tblStylePr>
    <w:tblStylePr w:type="band1Horz">
      <w:tblPr/>
      <w:tcPr>
        <w:tcBorders>
          <w:left w:val="nil"/>
          <w:right w:val="nil"/>
          <w:insideH w:val="nil"/>
          <w:insideV w:val="nil"/>
        </w:tcBorders>
        <w:shd w:val="clear" w:color="auto" w:fill="CCA6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28233D" w:themeColor="accent3" w:themeShade="BF"/>
    </w:rPr>
    <w:tblPr>
      <w:tblStyleRowBandSize w:val="1"/>
      <w:tblStyleColBandSize w:val="1"/>
      <w:tblBorders>
        <w:top w:val="single" w:sz="8" w:space="0" w:color="362F52" w:themeColor="accent3"/>
        <w:bottom w:val="single" w:sz="8" w:space="0" w:color="362F52" w:themeColor="accent3"/>
      </w:tblBorders>
    </w:tblPr>
    <w:tblStylePr w:type="fir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la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3DC" w:themeFill="accent3" w:themeFillTint="3F"/>
      </w:tcPr>
    </w:tblStylePr>
    <w:tblStylePr w:type="band1Horz">
      <w:tblPr/>
      <w:tcPr>
        <w:tcBorders>
          <w:left w:val="nil"/>
          <w:right w:val="nil"/>
          <w:insideH w:val="nil"/>
          <w:insideV w:val="nil"/>
        </w:tcBorders>
        <w:shd w:val="clear" w:color="auto" w:fill="C8C3DC"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single" w:sz="8" w:space="0" w:color="6600F2" w:themeColor="accent1" w:themeTint="BF"/>
      </w:tblBorders>
    </w:tblPr>
    <w:tblStylePr w:type="firstRow">
      <w:pPr>
        <w:spacing w:before="0" w:after="0" w:line="240" w:lineRule="auto"/>
      </w:pPr>
      <w:rPr>
        <w:b/>
        <w:bCs/>
        <w:color w:val="FFFFFF" w:themeColor="background1"/>
      </w:rPr>
      <w:tblPr/>
      <w:tcPr>
        <w:tc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shd w:val="clear" w:color="auto" w:fill="410099" w:themeFill="accent1"/>
      </w:tcPr>
    </w:tblStylePr>
    <w:tblStylePr w:type="lastRow">
      <w:pPr>
        <w:spacing w:before="0" w:after="0" w:line="240" w:lineRule="auto"/>
      </w:pPr>
      <w:rPr>
        <w:b/>
        <w:bCs/>
      </w:rPr>
      <w:tblPr/>
      <w:tcPr>
        <w:tcBorders>
          <w:top w:val="double" w:sz="6"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A6FF" w:themeFill="accent1" w:themeFillTint="3F"/>
      </w:tcPr>
    </w:tblStylePr>
    <w:tblStylePr w:type="band1Horz">
      <w:tblPr/>
      <w:tcPr>
        <w:tcBorders>
          <w:insideH w:val="nil"/>
          <w:insideV w:val="nil"/>
        </w:tcBorders>
        <w:shd w:val="clear" w:color="auto" w:fill="CCA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single" w:sz="8" w:space="0" w:color="5D518E" w:themeColor="accent3" w:themeTint="BF"/>
      </w:tblBorders>
    </w:tblPr>
    <w:tblStylePr w:type="firstRow">
      <w:pPr>
        <w:spacing w:before="0" w:after="0" w:line="240" w:lineRule="auto"/>
      </w:pPr>
      <w:rPr>
        <w:b/>
        <w:bCs/>
        <w:color w:val="FFFFFF" w:themeColor="background1"/>
      </w:rPr>
      <w:tblPr/>
      <w:tcPr>
        <w:tc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shd w:val="clear" w:color="auto" w:fill="362F52" w:themeFill="accent3"/>
      </w:tcPr>
    </w:tblStylePr>
    <w:tblStylePr w:type="lastRow">
      <w:pPr>
        <w:spacing w:before="0" w:after="0" w:line="240" w:lineRule="auto"/>
      </w:pPr>
      <w:rPr>
        <w:b/>
        <w:bCs/>
      </w:rPr>
      <w:tblPr/>
      <w:tcPr>
        <w:tcBorders>
          <w:top w:val="double" w:sz="6"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C3DC" w:themeFill="accent3" w:themeFillTint="3F"/>
      </w:tcPr>
    </w:tblStylePr>
    <w:tblStylePr w:type="band1Horz">
      <w:tblPr/>
      <w:tcPr>
        <w:tcBorders>
          <w:insideH w:val="nil"/>
          <w:insideV w:val="nil"/>
        </w:tcBorders>
        <w:shd w:val="clear" w:color="auto" w:fill="C8C3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single" w:sz="8" w:space="0" w:color="A8B5FF" w:themeColor="accent4" w:themeTint="BF"/>
      </w:tblBorders>
    </w:tblPr>
    <w:tblStylePr w:type="firstRow">
      <w:pPr>
        <w:spacing w:before="0" w:after="0" w:line="240" w:lineRule="auto"/>
      </w:pPr>
      <w:rPr>
        <w:b/>
        <w:bCs/>
        <w:color w:val="FFFFFF" w:themeColor="background1"/>
      </w:rPr>
      <w:tblPr/>
      <w:tcPr>
        <w:tc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shd w:val="clear" w:color="auto" w:fill="8B9EFF" w:themeFill="accent4"/>
      </w:tcPr>
    </w:tblStylePr>
    <w:tblStylePr w:type="lastRow">
      <w:pPr>
        <w:spacing w:before="0" w:after="0" w:line="240" w:lineRule="auto"/>
      </w:pPr>
      <w:rPr>
        <w:b/>
        <w:bCs/>
      </w:rPr>
      <w:tblPr/>
      <w:tcPr>
        <w:tcBorders>
          <w:top w:val="double" w:sz="6"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6FF" w:themeFill="accent4" w:themeFillTint="3F"/>
      </w:tcPr>
    </w:tblStylePr>
    <w:tblStylePr w:type="band1Horz">
      <w:tblPr/>
      <w:tcPr>
        <w:tcBorders>
          <w:insideH w:val="nil"/>
          <w:insideV w:val="nil"/>
        </w:tcBorders>
        <w:shd w:val="clear" w:color="auto" w:fill="E2E6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insideH w:val="single" w:sz="8" w:space="0" w:color="362F52" w:themeColor="accent3"/>
        <w:insideV w:val="single" w:sz="8" w:space="0" w:color="362F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18" w:space="0" w:color="362F52" w:themeColor="accent3"/>
          <w:right w:val="single" w:sz="8" w:space="0" w:color="362F52" w:themeColor="accent3"/>
          <w:insideH w:val="nil"/>
          <w:insideV w:val="single" w:sz="8" w:space="0" w:color="362F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insideH w:val="nil"/>
          <w:insideV w:val="single" w:sz="8" w:space="0" w:color="362F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shd w:val="clear" w:color="auto" w:fill="C8C3DC" w:themeFill="accent3" w:themeFillTint="3F"/>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shd w:val="clear" w:color="auto" w:fill="C8C3DC" w:themeFill="accent3" w:themeFillTint="3F"/>
      </w:tcPr>
    </w:tblStylePr>
    <w:tblStylePr w:type="band2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A323D9"/>
    <w:pPr>
      <w:spacing w:before="720" w:after="120"/>
      <w:contextualSpacing/>
    </w:pPr>
    <w:rPr>
      <w:rFonts w:ascii="Palatino Linotype" w:eastAsiaTheme="majorEastAsia" w:hAnsi="Palatino Linotype" w:cstheme="majorBidi"/>
      <w:color w:val="410099" w:themeColor="accent1"/>
      <w:spacing w:val="5"/>
      <w:kern w:val="28"/>
      <w:sz w:val="72"/>
      <w:szCs w:val="52"/>
    </w:rPr>
  </w:style>
  <w:style w:type="character" w:customStyle="1" w:styleId="TitleChar">
    <w:name w:val="Title Char"/>
    <w:basedOn w:val="DefaultParagraphFont"/>
    <w:link w:val="Title"/>
    <w:uiPriority w:val="10"/>
    <w:rsid w:val="00A323D9"/>
    <w:rPr>
      <w:rFonts w:ascii="Palatino Linotype" w:eastAsiaTheme="majorEastAsia" w:hAnsi="Palatino Linotype" w:cstheme="majorBidi"/>
      <w:color w:val="410099" w:themeColor="accent1"/>
      <w:spacing w:val="5"/>
      <w:kern w:val="28"/>
      <w:sz w:val="72"/>
      <w:szCs w:val="52"/>
    </w:rPr>
  </w:style>
  <w:style w:type="paragraph" w:customStyle="1" w:styleId="CoverDate">
    <w:name w:val="Cover Date"/>
    <w:rsid w:val="00E27642"/>
    <w:rPr>
      <w:rFonts w:ascii="Palatino Linotype" w:hAnsi="Palatino Linotype"/>
      <w:color w:val="362F52" w:themeColor="accent3"/>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tblBorders>
    </w:tblPr>
    <w:tblStylePr w:type="firstRow">
      <w:pPr>
        <w:spacing w:before="0" w:after="0" w:line="240" w:lineRule="auto"/>
      </w:pPr>
      <w:rPr>
        <w:b/>
        <w:bCs/>
        <w:color w:val="FFFFFF" w:themeColor="background1"/>
      </w:rPr>
      <w:tblPr/>
      <w:tcPr>
        <w:shd w:val="clear" w:color="auto" w:fill="410099" w:themeFill="accent1"/>
      </w:tcPr>
    </w:tblStylePr>
    <w:tblStylePr w:type="lastRow">
      <w:pPr>
        <w:spacing w:before="0" w:after="0" w:line="240" w:lineRule="auto"/>
      </w:pPr>
      <w:rPr>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tcBorders>
      </w:tcPr>
    </w:tblStylePr>
    <w:tblStylePr w:type="firstCol">
      <w:rPr>
        <w:b/>
        <w:bCs/>
      </w:rPr>
    </w:tblStylePr>
    <w:tblStylePr w:type="lastCol">
      <w:rPr>
        <w:b/>
        <w:bCs/>
      </w:r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tblBorders>
    </w:tblPr>
    <w:tblStylePr w:type="firstRow">
      <w:pPr>
        <w:spacing w:before="0" w:after="0" w:line="240" w:lineRule="auto"/>
      </w:pPr>
      <w:rPr>
        <w:b/>
        <w:bCs/>
        <w:color w:val="FFFFFF" w:themeColor="background1"/>
      </w:rPr>
      <w:tblPr/>
      <w:tcPr>
        <w:shd w:val="clear" w:color="auto" w:fill="362F52" w:themeFill="accent3"/>
      </w:tcPr>
    </w:tblStylePr>
    <w:tblStylePr w:type="lastRow">
      <w:pPr>
        <w:spacing w:before="0" w:after="0" w:line="240" w:lineRule="auto"/>
      </w:pPr>
      <w:rPr>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tcBorders>
      </w:tcPr>
    </w:tblStylePr>
    <w:tblStylePr w:type="firstCol">
      <w:rPr>
        <w:b/>
        <w:bCs/>
      </w:rPr>
    </w:tblStylePr>
    <w:tblStylePr w:type="lastCol">
      <w:rPr>
        <w:b/>
        <w:bCs/>
      </w:r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E27642"/>
    <w:pPr>
      <w:spacing w:before="360" w:after="120"/>
    </w:pPr>
    <w:rPr>
      <w:rFonts w:ascii="Palatino Linotype" w:hAnsi="Palatino Linotype"/>
      <w:color w:val="410099" w:themeColor="accent1"/>
      <w:sz w:val="52"/>
      <w:szCs w:val="52"/>
    </w:rPr>
  </w:style>
  <w:style w:type="character" w:customStyle="1" w:styleId="SubtitleChar">
    <w:name w:val="Subtitle Char"/>
    <w:basedOn w:val="DefaultParagraphFont"/>
    <w:link w:val="Subtitle"/>
    <w:uiPriority w:val="11"/>
    <w:rsid w:val="00E27642"/>
    <w:rPr>
      <w:rFonts w:ascii="Palatino Linotype" w:hAnsi="Palatino Linotype"/>
      <w:color w:val="410099" w:themeColor="accent1"/>
      <w:sz w:val="52"/>
      <w:szCs w:val="52"/>
    </w:rPr>
  </w:style>
  <w:style w:type="table" w:styleId="LightShading-Accent4">
    <w:name w:val="Light Shading Accent 4"/>
    <w:basedOn w:val="TableNormal"/>
    <w:uiPriority w:val="60"/>
    <w:rsid w:val="00746E01"/>
    <w:pPr>
      <w:spacing w:before="0"/>
    </w:pPr>
    <w:rPr>
      <w:color w:val="284AFF" w:themeColor="accent4" w:themeShade="BF"/>
    </w:rPr>
    <w:tblPr>
      <w:tblStyleRowBandSize w:val="1"/>
      <w:tblStyleColBandSize w:val="1"/>
      <w:tblBorders>
        <w:top w:val="single" w:sz="8" w:space="0" w:color="8B9EFF" w:themeColor="accent4"/>
        <w:bottom w:val="single" w:sz="8" w:space="0" w:color="8B9EFF" w:themeColor="accent4"/>
      </w:tblBorders>
    </w:tblPr>
    <w:tblStylePr w:type="fir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la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6FF" w:themeFill="accent4" w:themeFillTint="3F"/>
      </w:tcPr>
    </w:tblStylePr>
    <w:tblStylePr w:type="band1Horz">
      <w:tblPr/>
      <w:tcPr>
        <w:tcBorders>
          <w:left w:val="nil"/>
          <w:right w:val="nil"/>
          <w:insideH w:val="nil"/>
          <w:insideV w:val="nil"/>
        </w:tcBorders>
        <w:shd w:val="clear" w:color="auto" w:fill="E2E6F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tblBorders>
    </w:tblPr>
    <w:tblStylePr w:type="firstRow">
      <w:pPr>
        <w:spacing w:before="0" w:after="0" w:line="240" w:lineRule="auto"/>
      </w:pPr>
      <w:rPr>
        <w:b/>
        <w:bCs/>
        <w:color w:val="FFFFFF" w:themeColor="background1"/>
      </w:rPr>
      <w:tblPr/>
      <w:tcPr>
        <w:shd w:val="clear" w:color="auto" w:fill="8B9EFF" w:themeFill="accent4"/>
      </w:tcPr>
    </w:tblStylePr>
    <w:tblStylePr w:type="lastRow">
      <w:pPr>
        <w:spacing w:before="0" w:after="0" w:line="240" w:lineRule="auto"/>
      </w:pPr>
      <w:rPr>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tcBorders>
      </w:tcPr>
    </w:tblStylePr>
    <w:tblStylePr w:type="firstCol">
      <w:rPr>
        <w:b/>
        <w:bCs/>
      </w:rPr>
    </w:tblStylePr>
    <w:tblStylePr w:type="lastCol">
      <w:rPr>
        <w:b/>
        <w:bCs/>
      </w:r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insideH w:val="single" w:sz="8" w:space="0" w:color="410099" w:themeColor="accent1"/>
        <w:insideV w:val="single" w:sz="8" w:space="0" w:color="4100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18" w:space="0" w:color="410099" w:themeColor="accent1"/>
          <w:right w:val="single" w:sz="8" w:space="0" w:color="410099" w:themeColor="accent1"/>
          <w:insideH w:val="nil"/>
          <w:insideV w:val="single" w:sz="8" w:space="0" w:color="4100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insideH w:val="nil"/>
          <w:insideV w:val="single" w:sz="8" w:space="0" w:color="4100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shd w:val="clear" w:color="auto" w:fill="CCA6FF" w:themeFill="accent1" w:themeFillTint="3F"/>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shd w:val="clear" w:color="auto" w:fill="CCA6FF" w:themeFill="accent1" w:themeFillTint="3F"/>
      </w:tcPr>
    </w:tblStylePr>
    <w:tblStylePr w:type="band2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insideH w:val="single" w:sz="8" w:space="0" w:color="8B9EFF" w:themeColor="accent4"/>
        <w:insideV w:val="single" w:sz="8" w:space="0" w:color="8B9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18" w:space="0" w:color="8B9EFF" w:themeColor="accent4"/>
          <w:right w:val="single" w:sz="8" w:space="0" w:color="8B9EFF" w:themeColor="accent4"/>
          <w:insideH w:val="nil"/>
          <w:insideV w:val="single" w:sz="8" w:space="0" w:color="8B9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insideH w:val="nil"/>
          <w:insideV w:val="single" w:sz="8" w:space="0" w:color="8B9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shd w:val="clear" w:color="auto" w:fill="E2E6FF" w:themeFill="accent4" w:themeFillTint="3F"/>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shd w:val="clear" w:color="auto" w:fill="E2E6FF" w:themeFill="accent4" w:themeFillTint="3F"/>
      </w:tcPr>
    </w:tblStylePr>
    <w:tblStylePr w:type="band2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27642"/>
    <w:rPr>
      <w:smallCaps/>
      <w:color w:val="410099" w:themeColor="accent1"/>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392189">
      <w:bodyDiv w:val="1"/>
      <w:marLeft w:val="0"/>
      <w:marRight w:val="0"/>
      <w:marTop w:val="0"/>
      <w:marBottom w:val="0"/>
      <w:divBdr>
        <w:top w:val="none" w:sz="0" w:space="0" w:color="auto"/>
        <w:left w:val="none" w:sz="0" w:space="0" w:color="auto"/>
        <w:bottom w:val="none" w:sz="0" w:space="0" w:color="auto"/>
        <w:right w:val="none" w:sz="0" w:space="0" w:color="auto"/>
      </w:divBdr>
    </w:div>
    <w:div w:id="450440441">
      <w:bodyDiv w:val="1"/>
      <w:marLeft w:val="0"/>
      <w:marRight w:val="0"/>
      <w:marTop w:val="0"/>
      <w:marBottom w:val="0"/>
      <w:divBdr>
        <w:top w:val="none" w:sz="0" w:space="0" w:color="auto"/>
        <w:left w:val="none" w:sz="0" w:space="0" w:color="auto"/>
        <w:bottom w:val="none" w:sz="0" w:space="0" w:color="auto"/>
        <w:right w:val="none" w:sz="0" w:space="0" w:color="auto"/>
      </w:divBdr>
    </w:div>
    <w:div w:id="49376048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28006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heme1">
  <a:themeElements>
    <a:clrScheme name="ACCC">
      <a:dk1>
        <a:sysClr val="windowText" lastClr="000000"/>
      </a:dk1>
      <a:lt1>
        <a:sysClr val="window" lastClr="FFFFFF"/>
      </a:lt1>
      <a:dk2>
        <a:srgbClr val="003591"/>
      </a:dk2>
      <a:lt2>
        <a:srgbClr val="D5D6D2"/>
      </a:lt2>
      <a:accent1>
        <a:srgbClr val="410099"/>
      </a:accent1>
      <a:accent2>
        <a:srgbClr val="1CCFC9"/>
      </a:accent2>
      <a:accent3>
        <a:srgbClr val="362F52"/>
      </a:accent3>
      <a:accent4>
        <a:srgbClr val="8B9EFF"/>
      </a:accent4>
      <a:accent5>
        <a:srgbClr val="FFC502"/>
      </a:accent5>
      <a:accent6>
        <a:srgbClr val="FF7600"/>
      </a:accent6>
      <a:hlink>
        <a:srgbClr val="0000FF"/>
      </a:hlink>
      <a:folHlink>
        <a:srgbClr val="800080"/>
      </a:folHlink>
    </a:clrScheme>
    <a:fontScheme name="ACCC">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B0CF07-2711-4394-A677-94988F767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Coulahan-Davy, Aidan</dc:creator>
  <cp:keywords/>
  <dc:description/>
  <cp:lastModifiedBy>Karunaratne, Mineka</cp:lastModifiedBy>
  <cp:revision>2</cp:revision>
  <dcterms:created xsi:type="dcterms:W3CDTF">2018-04-30T22:57:00Z</dcterms:created>
  <dcterms:modified xsi:type="dcterms:W3CDTF">2018-04-30T22:57:00Z</dcterms:modified>
</cp:coreProperties>
</file>