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2D" w:rsidRPr="002A325E" w:rsidRDefault="0063482D" w:rsidP="0063482D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bookmarkStart w:id="0" w:name="_GoBack"/>
      <w:bookmarkEnd w:id="0"/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AUSTRALIAN ENERGY REGULATOR</w:t>
      </w:r>
    </w:p>
    <w:p w:rsidR="0063482D" w:rsidRPr="002A325E" w:rsidRDefault="0063482D" w:rsidP="0063482D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r>
        <w:rPr>
          <w:rFonts w:ascii="Gautami" w:eastAsia="Times New Roman" w:hAnsi="Gautami" w:cs="Gautami"/>
          <w:b/>
          <w:sz w:val="28"/>
          <w:szCs w:val="20"/>
          <w:lang w:val="en-GB" w:eastAsia="en-AU"/>
        </w:rPr>
        <w:t xml:space="preserve">DRAFT </w:t>
      </w:r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Key Issues and Action Items</w:t>
      </w:r>
    </w:p>
    <w:p w:rsidR="0063482D" w:rsidRPr="002A325E" w:rsidRDefault="0063482D" w:rsidP="0063482D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GB" w:eastAsia="en-AU"/>
        </w:rPr>
      </w:pPr>
    </w:p>
    <w:p w:rsidR="0063482D" w:rsidRPr="002A325E" w:rsidRDefault="0063482D" w:rsidP="0063482D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DATE: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="00713B57">
        <w:rPr>
          <w:rFonts w:ascii="Gautami" w:eastAsia="Times New Roman" w:hAnsi="Gautami" w:cs="Gautami"/>
          <w:szCs w:val="20"/>
          <w:lang w:eastAsia="en-AU"/>
        </w:rPr>
        <w:t>21</w:t>
      </w:r>
      <w:r w:rsidR="001D7441">
        <w:rPr>
          <w:rFonts w:ascii="Gautami" w:eastAsia="Times New Roman" w:hAnsi="Gautami" w:cs="Gautami"/>
          <w:szCs w:val="20"/>
          <w:lang w:eastAsia="en-AU"/>
        </w:rPr>
        <w:t xml:space="preserve"> March</w:t>
      </w:r>
      <w:r>
        <w:rPr>
          <w:rFonts w:ascii="Gautami" w:eastAsia="Times New Roman" w:hAnsi="Gautami" w:cs="Gautami"/>
          <w:szCs w:val="20"/>
          <w:lang w:eastAsia="en-AU"/>
        </w:rPr>
        <w:t xml:space="preserve"> 2018</w:t>
      </w:r>
    </w:p>
    <w:p w:rsidR="0063482D" w:rsidRPr="002A325E" w:rsidRDefault="0063482D" w:rsidP="0063482D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TO: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>AER’s Consumer Reference Group on Rate of Return</w:t>
      </w:r>
    </w:p>
    <w:p w:rsidR="0063482D" w:rsidRPr="002A325E" w:rsidRDefault="0063482D" w:rsidP="0063482D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 xml:space="preserve">CC: 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  <w:t>Warwick Anderson</w:t>
      </w:r>
    </w:p>
    <w:p w:rsidR="0063482D" w:rsidRPr="002A325E" w:rsidRDefault="0063482D" w:rsidP="0063482D">
      <w:pPr>
        <w:keepNext/>
        <w:spacing w:before="120" w:after="120"/>
        <w:outlineLvl w:val="2"/>
        <w:rPr>
          <w:rFonts w:ascii="Gautami" w:eastAsia="Times New Roman" w:hAnsi="Gautami" w:cs="Gautami"/>
          <w:b/>
          <w:szCs w:val="20"/>
          <w:lang w:eastAsia="en-AU"/>
        </w:rPr>
      </w:pPr>
      <w:r w:rsidRPr="002A325E">
        <w:rPr>
          <w:rFonts w:ascii="Gautami" w:eastAsia="Times New Roman" w:hAnsi="Gautami" w:cs="Gautami"/>
          <w:b/>
          <w:szCs w:val="20"/>
          <w:lang w:eastAsia="en-AU"/>
        </w:rPr>
        <w:t>SUBJECT:</w:t>
      </w:r>
      <w:r w:rsidRPr="002A325E">
        <w:rPr>
          <w:rFonts w:ascii="Gautami" w:eastAsia="Times New Roman" w:hAnsi="Gautami" w:cs="Gautami"/>
          <w:b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b/>
          <w:szCs w:val="20"/>
          <w:lang w:eastAsia="en-AU"/>
        </w:rPr>
        <w:tab/>
        <w:t xml:space="preserve">CRG </w:t>
      </w:r>
      <w:r w:rsidR="00713B57">
        <w:rPr>
          <w:rFonts w:ascii="Gautami" w:eastAsia="Times New Roman" w:hAnsi="Gautami" w:cs="Gautami"/>
          <w:b/>
          <w:szCs w:val="20"/>
          <w:lang w:eastAsia="en-AU"/>
        </w:rPr>
        <w:t>21</w:t>
      </w:r>
      <w:r w:rsidR="001D7441">
        <w:rPr>
          <w:rFonts w:ascii="Gautami" w:eastAsia="Times New Roman" w:hAnsi="Gautami" w:cs="Gautami"/>
          <w:b/>
          <w:szCs w:val="20"/>
          <w:lang w:eastAsia="en-AU"/>
        </w:rPr>
        <w:t xml:space="preserve"> March</w:t>
      </w:r>
      <w:r>
        <w:rPr>
          <w:rFonts w:ascii="Gautami" w:eastAsia="Times New Roman" w:hAnsi="Gautami" w:cs="Gautami"/>
          <w:b/>
          <w:szCs w:val="20"/>
          <w:lang w:eastAsia="en-AU"/>
        </w:rPr>
        <w:t xml:space="preserve"> teleconference</w:t>
      </w:r>
    </w:p>
    <w:p w:rsidR="0063482D" w:rsidRPr="002A325E" w:rsidRDefault="0063482D" w:rsidP="0063482D">
      <w:pPr>
        <w:spacing w:before="0"/>
        <w:rPr>
          <w:rFonts w:ascii="Gautami" w:eastAsia="Times New Roman" w:hAnsi="Gautami" w:cs="Gautami"/>
          <w:b/>
          <w:szCs w:val="20"/>
          <w:lang w:eastAsia="en-AU"/>
        </w:rPr>
      </w:pPr>
    </w:p>
    <w:p w:rsidR="0063482D" w:rsidRPr="002A325E" w:rsidRDefault="0063482D" w:rsidP="0063482D">
      <w:pPr>
        <w:spacing w:before="240"/>
        <w:outlineLvl w:val="0"/>
        <w:rPr>
          <w:rFonts w:eastAsia="Times New Roman" w:cs="Times New Roman"/>
          <w:b/>
          <w:szCs w:val="20"/>
          <w:u w:val="single"/>
          <w:lang w:eastAsia="en-AU"/>
        </w:rPr>
      </w:pPr>
      <w:r w:rsidRPr="002A325E">
        <w:rPr>
          <w:rFonts w:eastAsia="Times New Roman" w:cs="Times New Roman"/>
          <w:b/>
          <w:szCs w:val="20"/>
          <w:u w:val="single"/>
          <w:lang w:eastAsia="en-AU"/>
        </w:rPr>
        <w:t>Introduction</w:t>
      </w:r>
    </w:p>
    <w:p w:rsidR="0063482D" w:rsidRDefault="0063482D" w:rsidP="0063482D">
      <w:pPr>
        <w:spacing w:before="0"/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 xml:space="preserve">The AER organised for the CRG to engage in </w:t>
      </w:r>
      <w:r w:rsidR="00187987">
        <w:rPr>
          <w:rFonts w:eastAsia="Times New Roman" w:cs="Times New Roman"/>
          <w:szCs w:val="20"/>
          <w:lang w:eastAsia="en-AU"/>
        </w:rPr>
        <w:t>weekly</w:t>
      </w:r>
      <w:r>
        <w:rPr>
          <w:rFonts w:eastAsia="Times New Roman" w:cs="Times New Roman"/>
          <w:szCs w:val="20"/>
          <w:lang w:eastAsia="en-AU"/>
        </w:rPr>
        <w:t xml:space="preserve"> teleconference</w:t>
      </w:r>
      <w:r w:rsidR="00187987">
        <w:rPr>
          <w:rFonts w:eastAsia="Times New Roman" w:cs="Times New Roman"/>
          <w:szCs w:val="20"/>
          <w:lang w:eastAsia="en-AU"/>
        </w:rPr>
        <w:t>s</w:t>
      </w:r>
      <w:r>
        <w:rPr>
          <w:rFonts w:eastAsia="Times New Roman" w:cs="Times New Roman"/>
          <w:szCs w:val="20"/>
          <w:lang w:eastAsia="en-AU"/>
        </w:rPr>
        <w:t xml:space="preserve"> to discuss issues for the CRG moving forward. The </w:t>
      </w:r>
      <w:r w:rsidR="00187987">
        <w:rPr>
          <w:rFonts w:eastAsia="Times New Roman" w:cs="Times New Roman"/>
          <w:szCs w:val="20"/>
          <w:lang w:eastAsia="en-AU"/>
        </w:rPr>
        <w:t xml:space="preserve">CRG </w:t>
      </w:r>
      <w:r>
        <w:rPr>
          <w:rFonts w:eastAsia="Times New Roman" w:cs="Times New Roman"/>
          <w:szCs w:val="20"/>
          <w:lang w:eastAsia="en-AU"/>
        </w:rPr>
        <w:t>agenda included:</w:t>
      </w:r>
    </w:p>
    <w:p w:rsidR="00426190" w:rsidRDefault="00426190" w:rsidP="00426190">
      <w:pPr>
        <w:numPr>
          <w:ilvl w:val="0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Introduction to CRG submission “author” – Sapere, Simon Orme</w:t>
      </w:r>
    </w:p>
    <w:p w:rsidR="00426190" w:rsidRDefault="00426190" w:rsidP="00426190">
      <w:pPr>
        <w:numPr>
          <w:ilvl w:val="0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Submission preparation – interactions between Simon and the CRG streams, and alignment of inputs to our submission</w:t>
      </w:r>
    </w:p>
    <w:p w:rsidR="00426190" w:rsidRDefault="00426190" w:rsidP="00426190">
      <w:pPr>
        <w:numPr>
          <w:ilvl w:val="0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Expert sessions – CRG observations (John, David HE, David Ha)</w:t>
      </w:r>
    </w:p>
    <w:p w:rsidR="00426190" w:rsidRDefault="00426190" w:rsidP="00426190">
      <w:pPr>
        <w:numPr>
          <w:ilvl w:val="0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CRG/ENA interactions </w:t>
      </w:r>
    </w:p>
    <w:p w:rsidR="00426190" w:rsidRDefault="00426190" w:rsidP="00426190">
      <w:pPr>
        <w:numPr>
          <w:ilvl w:val="1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For CRG endorsement: </w:t>
      </w:r>
    </w:p>
    <w:p w:rsidR="00426190" w:rsidRDefault="00426190" w:rsidP="00426190">
      <w:pPr>
        <w:numPr>
          <w:ilvl w:val="2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Averaging periods, risk free rate, cost of equity</w:t>
      </w:r>
    </w:p>
    <w:p w:rsidR="00426190" w:rsidRDefault="00426190" w:rsidP="00426190">
      <w:pPr>
        <w:numPr>
          <w:ilvl w:val="2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TOR – CRG/ENA joint project (link between RAB growth and ROR)</w:t>
      </w:r>
    </w:p>
    <w:p w:rsidR="00426190" w:rsidRDefault="00426190" w:rsidP="00426190">
      <w:pPr>
        <w:numPr>
          <w:ilvl w:val="1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Focus for next CRG/ENA meeting</w:t>
      </w:r>
    </w:p>
    <w:p w:rsidR="00426190" w:rsidRDefault="00426190" w:rsidP="00426190">
      <w:pPr>
        <w:numPr>
          <w:ilvl w:val="0"/>
          <w:numId w:val="34"/>
        </w:numPr>
        <w:spacing w:before="0"/>
        <w:rPr>
          <w:rFonts w:eastAsia="Times New Roman"/>
        </w:rPr>
      </w:pPr>
      <w:r>
        <w:rPr>
          <w:rFonts w:eastAsia="Times New Roman"/>
        </w:rPr>
        <w:t>Other</w:t>
      </w:r>
    </w:p>
    <w:p w:rsidR="008B3002" w:rsidRDefault="008B3002" w:rsidP="0063482D">
      <w:pPr>
        <w:spacing w:before="0"/>
        <w:rPr>
          <w:rFonts w:eastAsia="Times New Roman" w:cs="Times New Roman"/>
          <w:b/>
          <w:szCs w:val="20"/>
          <w:u w:val="single"/>
          <w:lang w:eastAsia="en-AU"/>
        </w:rPr>
      </w:pPr>
    </w:p>
    <w:p w:rsidR="0063482D" w:rsidRDefault="0063482D" w:rsidP="0063482D">
      <w:pPr>
        <w:spacing w:before="0"/>
        <w:rPr>
          <w:rFonts w:eastAsia="Times New Roman" w:cs="Times New Roman"/>
          <w:b/>
          <w:szCs w:val="20"/>
          <w:u w:val="single"/>
          <w:lang w:eastAsia="en-AU"/>
        </w:rPr>
      </w:pPr>
      <w:r>
        <w:rPr>
          <w:rFonts w:eastAsia="Times New Roman" w:cs="Times New Roman"/>
          <w:b/>
          <w:szCs w:val="20"/>
          <w:u w:val="single"/>
          <w:lang w:eastAsia="en-AU"/>
        </w:rPr>
        <w:t>Key issues</w:t>
      </w:r>
    </w:p>
    <w:p w:rsidR="00275FDB" w:rsidRDefault="00426190" w:rsidP="0063482D">
      <w:pPr>
        <w:rPr>
          <w:rFonts w:eastAsia="Times New Roman" w:cs="Times New Roman"/>
          <w:b/>
          <w:szCs w:val="20"/>
          <w:lang w:eastAsia="en-AU"/>
        </w:rPr>
      </w:pPr>
      <w:r>
        <w:rPr>
          <w:rFonts w:eastAsia="Times New Roman" w:cs="Times New Roman"/>
          <w:b/>
          <w:szCs w:val="20"/>
          <w:lang w:eastAsia="en-AU"/>
        </w:rPr>
        <w:t>Discussion with CRG author</w:t>
      </w:r>
    </w:p>
    <w:p w:rsidR="00426190" w:rsidRDefault="00187987">
      <w:pPr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>The CRG a</w:t>
      </w:r>
      <w:r w:rsidR="00713B57">
        <w:rPr>
          <w:rFonts w:eastAsia="Times New Roman" w:cs="Times New Roman"/>
          <w:szCs w:val="20"/>
          <w:lang w:eastAsia="en-AU"/>
        </w:rPr>
        <w:t>uthor is a representative from Sapere</w:t>
      </w:r>
      <w:r>
        <w:rPr>
          <w:rFonts w:eastAsia="Times New Roman" w:cs="Times New Roman"/>
          <w:szCs w:val="20"/>
          <w:lang w:eastAsia="en-AU"/>
        </w:rPr>
        <w:t>, Simon Orme</w:t>
      </w:r>
      <w:r w:rsidR="00713B57">
        <w:rPr>
          <w:rFonts w:eastAsia="Times New Roman" w:cs="Times New Roman"/>
          <w:szCs w:val="20"/>
          <w:lang w:eastAsia="en-AU"/>
        </w:rPr>
        <w:t xml:space="preserve">. </w:t>
      </w:r>
      <w:r>
        <w:rPr>
          <w:rFonts w:eastAsia="Times New Roman" w:cs="Times New Roman"/>
          <w:szCs w:val="20"/>
          <w:lang w:eastAsia="en-AU"/>
        </w:rPr>
        <w:t>Simon</w:t>
      </w:r>
      <w:r w:rsidR="00713B57">
        <w:rPr>
          <w:rFonts w:eastAsia="Times New Roman" w:cs="Times New Roman"/>
          <w:szCs w:val="20"/>
          <w:lang w:eastAsia="en-AU"/>
        </w:rPr>
        <w:t xml:space="preserve"> advised that they are redrafting the submission framework and </w:t>
      </w:r>
      <w:r>
        <w:rPr>
          <w:rFonts w:eastAsia="Times New Roman" w:cs="Times New Roman"/>
          <w:szCs w:val="20"/>
          <w:lang w:eastAsia="en-AU"/>
        </w:rPr>
        <w:t>will</w:t>
      </w:r>
      <w:r w:rsidR="00713B57">
        <w:rPr>
          <w:rFonts w:eastAsia="Times New Roman" w:cs="Times New Roman"/>
          <w:szCs w:val="20"/>
          <w:lang w:eastAsia="en-AU"/>
        </w:rPr>
        <w:t xml:space="preserve"> provide the revised draft to the CRG by </w:t>
      </w:r>
      <w:r>
        <w:rPr>
          <w:rFonts w:eastAsia="Times New Roman" w:cs="Times New Roman"/>
          <w:szCs w:val="20"/>
          <w:lang w:eastAsia="en-AU"/>
        </w:rPr>
        <w:t>26/3/18</w:t>
      </w:r>
      <w:r w:rsidR="00713B57">
        <w:rPr>
          <w:rFonts w:eastAsia="Times New Roman" w:cs="Times New Roman"/>
          <w:szCs w:val="20"/>
          <w:lang w:eastAsia="en-AU"/>
        </w:rPr>
        <w:t xml:space="preserve">. The </w:t>
      </w:r>
      <w:r w:rsidR="00B97A8A">
        <w:rPr>
          <w:rFonts w:eastAsia="Times New Roman" w:cs="Times New Roman"/>
          <w:szCs w:val="20"/>
          <w:lang w:eastAsia="en-AU"/>
        </w:rPr>
        <w:t xml:space="preserve">CRG offered to provide </w:t>
      </w:r>
      <w:r>
        <w:rPr>
          <w:rFonts w:eastAsia="Times New Roman" w:cs="Times New Roman"/>
          <w:szCs w:val="20"/>
          <w:lang w:eastAsia="en-AU"/>
        </w:rPr>
        <w:t>Simon</w:t>
      </w:r>
      <w:r w:rsidR="00B97A8A">
        <w:rPr>
          <w:rFonts w:eastAsia="Times New Roman" w:cs="Times New Roman"/>
          <w:szCs w:val="20"/>
          <w:lang w:eastAsia="en-AU"/>
        </w:rPr>
        <w:t xml:space="preserve"> with additional information on certain aspects of their submission.</w:t>
      </w:r>
      <w:r w:rsidR="00713B57">
        <w:rPr>
          <w:rFonts w:eastAsia="Times New Roman" w:cs="Times New Roman"/>
          <w:szCs w:val="20"/>
          <w:lang w:eastAsia="en-AU"/>
        </w:rPr>
        <w:t xml:space="preserve"> </w:t>
      </w:r>
      <w:r>
        <w:rPr>
          <w:rFonts w:eastAsia="Times New Roman" w:cs="Times New Roman"/>
          <w:szCs w:val="20"/>
          <w:lang w:eastAsia="en-AU"/>
        </w:rPr>
        <w:t xml:space="preserve">The CRG will review the draft put forward by Simon. </w:t>
      </w:r>
    </w:p>
    <w:p w:rsidR="005A1186" w:rsidRDefault="00713B57">
      <w:pPr>
        <w:rPr>
          <w:rFonts w:eastAsia="Times New Roman" w:cs="Times New Roman"/>
          <w:b/>
          <w:szCs w:val="20"/>
          <w:lang w:eastAsia="en-AU"/>
        </w:rPr>
      </w:pPr>
      <w:r>
        <w:rPr>
          <w:rFonts w:eastAsia="Times New Roman" w:cs="Times New Roman"/>
          <w:b/>
          <w:szCs w:val="20"/>
          <w:lang w:eastAsia="en-AU"/>
        </w:rPr>
        <w:t>First expert session recap</w:t>
      </w:r>
    </w:p>
    <w:p w:rsidR="00713B57" w:rsidRDefault="00713B57" w:rsidP="007106ED">
      <w:pPr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>The CRG indicated that they found the first concurrent evidence session to be helpful.</w:t>
      </w:r>
      <w:r w:rsidR="00F9219F">
        <w:rPr>
          <w:rFonts w:eastAsia="Times New Roman" w:cs="Times New Roman"/>
          <w:szCs w:val="20"/>
          <w:lang w:eastAsia="en-AU"/>
        </w:rPr>
        <w:t xml:space="preserve"> The A</w:t>
      </w:r>
      <w:r w:rsidR="00655B68">
        <w:rPr>
          <w:rFonts w:eastAsia="Times New Roman" w:cs="Times New Roman"/>
          <w:szCs w:val="20"/>
          <w:lang w:eastAsia="en-AU"/>
        </w:rPr>
        <w:t xml:space="preserve">ER </w:t>
      </w:r>
      <w:r w:rsidR="00187987">
        <w:rPr>
          <w:rFonts w:eastAsia="Times New Roman" w:cs="Times New Roman"/>
          <w:szCs w:val="20"/>
          <w:lang w:eastAsia="en-AU"/>
        </w:rPr>
        <w:t>indicated</w:t>
      </w:r>
      <w:r w:rsidR="00655B68">
        <w:rPr>
          <w:rFonts w:eastAsia="Times New Roman" w:cs="Times New Roman"/>
          <w:szCs w:val="20"/>
          <w:lang w:eastAsia="en-AU"/>
        </w:rPr>
        <w:t xml:space="preserve"> that the first session has many foundational issues that will inform the second session</w:t>
      </w:r>
      <w:r w:rsidR="007106ED">
        <w:rPr>
          <w:rFonts w:eastAsia="Times New Roman" w:cs="Times New Roman"/>
          <w:szCs w:val="20"/>
          <w:lang w:eastAsia="en-AU"/>
        </w:rPr>
        <w:t xml:space="preserve">. The CRG stated </w:t>
      </w:r>
      <w:r w:rsidR="00655B68">
        <w:rPr>
          <w:rFonts w:eastAsia="Times New Roman" w:cs="Times New Roman"/>
          <w:szCs w:val="20"/>
          <w:lang w:eastAsia="en-AU"/>
        </w:rPr>
        <w:t>that one of their members might be able to</w:t>
      </w:r>
      <w:r w:rsidR="007106ED">
        <w:rPr>
          <w:rFonts w:eastAsia="Times New Roman" w:cs="Times New Roman"/>
          <w:szCs w:val="20"/>
          <w:lang w:eastAsia="en-AU"/>
        </w:rPr>
        <w:t xml:space="preserve"> engage an additional expert for the second evidence session.</w:t>
      </w:r>
      <w:r w:rsidR="00187987">
        <w:rPr>
          <w:rFonts w:eastAsia="Times New Roman" w:cs="Times New Roman"/>
          <w:szCs w:val="20"/>
          <w:lang w:eastAsia="en-AU"/>
        </w:rPr>
        <w:t xml:space="preserve"> This will be progressed.</w:t>
      </w:r>
      <w:r w:rsidR="007106ED">
        <w:rPr>
          <w:rFonts w:eastAsia="Times New Roman" w:cs="Times New Roman"/>
          <w:szCs w:val="20"/>
          <w:lang w:eastAsia="en-AU"/>
        </w:rPr>
        <w:t xml:space="preserve"> </w:t>
      </w:r>
      <w:r w:rsidR="00B97A8A">
        <w:rPr>
          <w:rFonts w:eastAsia="Times New Roman" w:cs="Times New Roman"/>
          <w:szCs w:val="20"/>
          <w:lang w:eastAsia="en-AU"/>
        </w:rPr>
        <w:t>The CRG requested the facilitator’s note be provided prior to the second session.</w:t>
      </w:r>
    </w:p>
    <w:p w:rsidR="007106ED" w:rsidRDefault="007106ED" w:rsidP="007106ED">
      <w:pPr>
        <w:rPr>
          <w:rFonts w:eastAsia="Times New Roman" w:cs="Times New Roman"/>
          <w:b/>
          <w:szCs w:val="20"/>
          <w:lang w:eastAsia="en-AU"/>
        </w:rPr>
      </w:pPr>
      <w:r>
        <w:rPr>
          <w:rFonts w:eastAsia="Times New Roman" w:cs="Times New Roman"/>
          <w:b/>
          <w:szCs w:val="20"/>
          <w:lang w:eastAsia="en-AU"/>
        </w:rPr>
        <w:t>CRG/ENA recap</w:t>
      </w:r>
    </w:p>
    <w:p w:rsidR="007106ED" w:rsidRPr="007106ED" w:rsidRDefault="007106ED" w:rsidP="007106ED">
      <w:pPr>
        <w:rPr>
          <w:rFonts w:eastAsia="Times New Roman" w:cs="Times New Roman"/>
          <w:szCs w:val="20"/>
          <w:lang w:eastAsia="en-AU"/>
        </w:rPr>
      </w:pPr>
      <w:r>
        <w:rPr>
          <w:rFonts w:eastAsia="Times New Roman" w:cs="Times New Roman"/>
          <w:szCs w:val="20"/>
          <w:lang w:eastAsia="en-AU"/>
        </w:rPr>
        <w:t xml:space="preserve">The CRG </w:t>
      </w:r>
      <w:r w:rsidR="00187987">
        <w:rPr>
          <w:rFonts w:eastAsia="Times New Roman" w:cs="Times New Roman"/>
          <w:szCs w:val="20"/>
          <w:lang w:eastAsia="en-AU"/>
        </w:rPr>
        <w:t>agreed to provide</w:t>
      </w:r>
      <w:r>
        <w:rPr>
          <w:rFonts w:eastAsia="Times New Roman" w:cs="Times New Roman"/>
          <w:szCs w:val="20"/>
          <w:lang w:eastAsia="en-AU"/>
        </w:rPr>
        <w:t xml:space="preserve"> comments on the joint terms of reference project by next week. The CRG </w:t>
      </w:r>
      <w:r w:rsidR="00187987">
        <w:rPr>
          <w:rFonts w:eastAsia="Times New Roman" w:cs="Times New Roman"/>
          <w:szCs w:val="20"/>
          <w:lang w:eastAsia="en-AU"/>
        </w:rPr>
        <w:t>indicated</w:t>
      </w:r>
      <w:r>
        <w:rPr>
          <w:rFonts w:eastAsia="Times New Roman" w:cs="Times New Roman"/>
          <w:szCs w:val="20"/>
          <w:lang w:eastAsia="en-AU"/>
        </w:rPr>
        <w:t xml:space="preserve"> that it is unlikely the terms of reference will be completed in time for the CRG draft decision submission. The AER </w:t>
      </w:r>
      <w:r w:rsidR="00187987">
        <w:rPr>
          <w:rFonts w:eastAsia="Times New Roman" w:cs="Times New Roman"/>
          <w:szCs w:val="20"/>
          <w:lang w:eastAsia="en-AU"/>
        </w:rPr>
        <w:t>will</w:t>
      </w:r>
      <w:r>
        <w:rPr>
          <w:rFonts w:eastAsia="Times New Roman" w:cs="Times New Roman"/>
          <w:szCs w:val="20"/>
          <w:lang w:eastAsia="en-AU"/>
        </w:rPr>
        <w:t xml:space="preserve"> provide feedback </w:t>
      </w:r>
      <w:r w:rsidR="003868CF">
        <w:rPr>
          <w:rFonts w:eastAsia="Times New Roman" w:cs="Times New Roman"/>
          <w:szCs w:val="20"/>
          <w:lang w:eastAsia="en-AU"/>
        </w:rPr>
        <w:t>on</w:t>
      </w:r>
      <w:r>
        <w:rPr>
          <w:rFonts w:eastAsia="Times New Roman" w:cs="Times New Roman"/>
          <w:szCs w:val="20"/>
          <w:lang w:eastAsia="en-AU"/>
        </w:rPr>
        <w:t xml:space="preserve"> the terms of reference document</w:t>
      </w:r>
    </w:p>
    <w:p w:rsidR="00B97A8A" w:rsidRPr="00B97A8A" w:rsidRDefault="00B97A8A" w:rsidP="0063482D">
      <w:pPr>
        <w:rPr>
          <w:rFonts w:eastAsia="Times New Roman" w:cs="Times New Roman"/>
          <w:b/>
          <w:szCs w:val="20"/>
          <w:lang w:eastAsia="en-AU"/>
        </w:rPr>
      </w:pPr>
    </w:p>
    <w:p w:rsidR="001F7DDD" w:rsidRDefault="001F7DDD" w:rsidP="0063482D">
      <w:pPr>
        <w:rPr>
          <w:rFonts w:eastAsia="Times New Roman" w:cs="Times New Roman"/>
          <w:b/>
          <w:szCs w:val="20"/>
          <w:lang w:eastAsia="en-AU"/>
        </w:rPr>
      </w:pPr>
    </w:p>
    <w:p w:rsidR="001F7DDD" w:rsidRDefault="001F7DDD" w:rsidP="0063482D">
      <w:pPr>
        <w:rPr>
          <w:rFonts w:eastAsia="Times New Roman" w:cs="Times New Roman"/>
          <w:b/>
          <w:szCs w:val="20"/>
          <w:lang w:eastAsia="en-AU"/>
        </w:rPr>
      </w:pPr>
    </w:p>
    <w:p w:rsidR="001F7DDD" w:rsidRDefault="001F7DDD" w:rsidP="0063482D">
      <w:pPr>
        <w:rPr>
          <w:rFonts w:eastAsia="Times New Roman" w:cs="Times New Roman"/>
          <w:b/>
          <w:szCs w:val="20"/>
          <w:u w:val="single"/>
          <w:lang w:eastAsia="en-AU"/>
        </w:rPr>
      </w:pPr>
    </w:p>
    <w:p w:rsidR="0063482D" w:rsidRDefault="0063482D" w:rsidP="0063482D">
      <w:pPr>
        <w:rPr>
          <w:rFonts w:eastAsia="Times New Roman" w:cs="Times New Roman"/>
          <w:b/>
          <w:szCs w:val="20"/>
          <w:u w:val="single"/>
          <w:lang w:eastAsia="en-AU"/>
        </w:rPr>
      </w:pPr>
      <w:r>
        <w:rPr>
          <w:rFonts w:eastAsia="Times New Roman" w:cs="Times New Roman"/>
          <w:b/>
          <w:szCs w:val="20"/>
          <w:u w:val="single"/>
          <w:lang w:eastAsia="en-AU"/>
        </w:rPr>
        <w:lastRenderedPageBreak/>
        <w:t>Action items</w:t>
      </w:r>
    </w:p>
    <w:p w:rsidR="0063482D" w:rsidRPr="00C65A64" w:rsidRDefault="0063482D" w:rsidP="0063482D">
      <w:pPr>
        <w:rPr>
          <w:rFonts w:eastAsia="Times New Roman" w:cs="Times New Roman"/>
          <w:b/>
          <w:szCs w:val="20"/>
          <w:lang w:eastAsia="en-AU"/>
        </w:rPr>
      </w:pPr>
      <w:r w:rsidRPr="00C65A64">
        <w:rPr>
          <w:rFonts w:eastAsia="Times New Roman" w:cs="Times New Roman"/>
          <w:b/>
          <w:szCs w:val="20"/>
          <w:lang w:eastAsia="en-AU"/>
        </w:rPr>
        <w:t>CRG:</w:t>
      </w:r>
    </w:p>
    <w:p w:rsidR="00C4644A" w:rsidRDefault="00B97A8A" w:rsidP="00C4644A">
      <w:pPr>
        <w:pStyle w:val="ListParagraph"/>
        <w:numPr>
          <w:ilvl w:val="0"/>
          <w:numId w:val="28"/>
        </w:numPr>
        <w:jc w:val="both"/>
        <w:rPr>
          <w:rFonts w:eastAsia="Times New Roman" w:cs="Times New Roman"/>
          <w:i/>
          <w:szCs w:val="20"/>
          <w:lang w:eastAsia="en-AU"/>
        </w:rPr>
      </w:pPr>
      <w:r>
        <w:rPr>
          <w:rFonts w:eastAsia="Times New Roman" w:cs="Times New Roman"/>
          <w:i/>
          <w:szCs w:val="20"/>
          <w:lang w:eastAsia="en-AU"/>
        </w:rPr>
        <w:t>Stream leaders are to provide brief summaries on what their chapters are going to contain to the Chair and these will be circulated with the overall CRG for discussion.</w:t>
      </w:r>
    </w:p>
    <w:p w:rsidR="00B97A8A" w:rsidRPr="00C4644A" w:rsidRDefault="00B97A8A" w:rsidP="00C4644A">
      <w:pPr>
        <w:pStyle w:val="ListParagraph"/>
        <w:numPr>
          <w:ilvl w:val="0"/>
          <w:numId w:val="28"/>
        </w:numPr>
        <w:jc w:val="both"/>
        <w:rPr>
          <w:rFonts w:eastAsia="Times New Roman" w:cs="Times New Roman"/>
          <w:i/>
          <w:szCs w:val="20"/>
          <w:lang w:eastAsia="en-AU"/>
        </w:rPr>
      </w:pPr>
      <w:r>
        <w:rPr>
          <w:rFonts w:eastAsia="Times New Roman" w:cs="Times New Roman"/>
          <w:i/>
          <w:szCs w:val="20"/>
          <w:lang w:eastAsia="en-AU"/>
        </w:rPr>
        <w:t>CRG is to provide feedback on the ENA/CRG terms of reference project.</w:t>
      </w:r>
    </w:p>
    <w:p w:rsidR="0063482D" w:rsidRPr="00C65A64" w:rsidRDefault="0063482D" w:rsidP="0063482D">
      <w:pPr>
        <w:jc w:val="both"/>
        <w:rPr>
          <w:rFonts w:eastAsia="Times New Roman" w:cs="Times New Roman"/>
          <w:b/>
          <w:i/>
          <w:szCs w:val="20"/>
          <w:lang w:eastAsia="en-AU"/>
        </w:rPr>
      </w:pPr>
      <w:r w:rsidRPr="00C65A64">
        <w:rPr>
          <w:rFonts w:eastAsia="Times New Roman" w:cs="Times New Roman"/>
          <w:b/>
          <w:i/>
          <w:szCs w:val="20"/>
          <w:lang w:eastAsia="en-AU"/>
        </w:rPr>
        <w:t>AER:</w:t>
      </w:r>
    </w:p>
    <w:p w:rsidR="008F08D7" w:rsidRPr="00B87A76" w:rsidRDefault="00B97A8A" w:rsidP="00B87A76">
      <w:pPr>
        <w:pStyle w:val="ListParagraph"/>
        <w:numPr>
          <w:ilvl w:val="0"/>
          <w:numId w:val="28"/>
        </w:numPr>
        <w:jc w:val="both"/>
        <w:rPr>
          <w:rFonts w:eastAsia="Times New Roman" w:cs="Times New Roman"/>
          <w:i/>
          <w:szCs w:val="20"/>
          <w:lang w:eastAsia="en-AU"/>
        </w:rPr>
      </w:pPr>
      <w:r>
        <w:rPr>
          <w:rFonts w:eastAsia="Times New Roman" w:cs="Times New Roman"/>
          <w:i/>
          <w:szCs w:val="20"/>
          <w:lang w:eastAsia="en-AU"/>
        </w:rPr>
        <w:t>Prepare performance</w:t>
      </w:r>
      <w:r w:rsidR="00187987">
        <w:rPr>
          <w:rFonts w:eastAsia="Times New Roman" w:cs="Times New Roman"/>
          <w:i/>
          <w:szCs w:val="20"/>
          <w:lang w:eastAsia="en-AU"/>
        </w:rPr>
        <w:t xml:space="preserve"> data on networks, to</w:t>
      </w:r>
      <w:r>
        <w:rPr>
          <w:rFonts w:eastAsia="Times New Roman" w:cs="Times New Roman"/>
          <w:i/>
          <w:szCs w:val="20"/>
          <w:lang w:eastAsia="en-AU"/>
        </w:rPr>
        <w:t xml:space="preserve"> circulate to the CRG.</w:t>
      </w:r>
    </w:p>
    <w:p w:rsidR="00AC3E35" w:rsidRPr="00C65A64" w:rsidRDefault="00AC3E35">
      <w:pPr>
        <w:rPr>
          <w:i/>
        </w:rPr>
      </w:pPr>
    </w:p>
    <w:sectPr w:rsidR="00AC3E35" w:rsidRPr="00C65A64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2D" w:rsidRDefault="0063482D" w:rsidP="004B4412">
      <w:pPr>
        <w:spacing w:before="0"/>
      </w:pPr>
      <w:r>
        <w:separator/>
      </w:r>
    </w:p>
  </w:endnote>
  <w:endnote w:type="continuationSeparator" w:id="0">
    <w:p w:rsidR="0063482D" w:rsidRDefault="0063482D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2D" w:rsidRDefault="0063482D" w:rsidP="004B4412">
      <w:pPr>
        <w:spacing w:before="0"/>
      </w:pPr>
      <w:r>
        <w:separator/>
      </w:r>
    </w:p>
  </w:footnote>
  <w:footnote w:type="continuationSeparator" w:id="0">
    <w:p w:rsidR="0063482D" w:rsidRDefault="0063482D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5664707"/>
    <w:multiLevelType w:val="hybridMultilevel"/>
    <w:tmpl w:val="519665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8430DC"/>
    <w:multiLevelType w:val="hybridMultilevel"/>
    <w:tmpl w:val="A2B0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79A"/>
    <w:multiLevelType w:val="hybridMultilevel"/>
    <w:tmpl w:val="E2161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600B5EFE"/>
    <w:multiLevelType w:val="hybridMultilevel"/>
    <w:tmpl w:val="E0CED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67B13"/>
    <w:multiLevelType w:val="hybridMultilevel"/>
    <w:tmpl w:val="D264D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F75C5A"/>
    <w:multiLevelType w:val="hybridMultilevel"/>
    <w:tmpl w:val="6C74F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 w15:restartNumberingAfterBreak="0">
    <w:nsid w:val="75255CD1"/>
    <w:multiLevelType w:val="multilevel"/>
    <w:tmpl w:val="263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2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7"/>
  </w:num>
  <w:num w:numId="10">
    <w:abstractNumId w:val="18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28"/>
  </w:num>
  <w:num w:numId="16">
    <w:abstractNumId w:val="32"/>
  </w:num>
  <w:num w:numId="17">
    <w:abstractNumId w:val="31"/>
  </w:num>
  <w:num w:numId="18">
    <w:abstractNumId w:val="21"/>
  </w:num>
  <w:num w:numId="19">
    <w:abstractNumId w:val="16"/>
  </w:num>
  <w:num w:numId="20">
    <w:abstractNumId w:val="19"/>
  </w:num>
  <w:num w:numId="21">
    <w:abstractNumId w:val="29"/>
  </w:num>
  <w:num w:numId="22">
    <w:abstractNumId w:val="24"/>
  </w:num>
  <w:num w:numId="23">
    <w:abstractNumId w:val="8"/>
  </w:num>
  <w:num w:numId="24">
    <w:abstractNumId w:val="3"/>
  </w:num>
  <w:num w:numId="25">
    <w:abstractNumId w:val="20"/>
  </w:num>
  <w:num w:numId="26">
    <w:abstractNumId w:val="12"/>
  </w:num>
  <w:num w:numId="27">
    <w:abstractNumId w:val="26"/>
  </w:num>
  <w:num w:numId="28">
    <w:abstractNumId w:val="15"/>
  </w:num>
  <w:num w:numId="29">
    <w:abstractNumId w:val="9"/>
  </w:num>
  <w:num w:numId="30">
    <w:abstractNumId w:val="30"/>
  </w:num>
  <w:num w:numId="31">
    <w:abstractNumId w:val="23"/>
  </w:num>
  <w:num w:numId="32">
    <w:abstractNumId w:val="25"/>
  </w:num>
  <w:num w:numId="33">
    <w:abstractNumId w:val="14"/>
  </w:num>
  <w:num w:numId="34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63482D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07B1"/>
    <w:rsid w:val="00124609"/>
    <w:rsid w:val="001573E4"/>
    <w:rsid w:val="00160756"/>
    <w:rsid w:val="0017232E"/>
    <w:rsid w:val="00174102"/>
    <w:rsid w:val="00180157"/>
    <w:rsid w:val="00181223"/>
    <w:rsid w:val="00186F77"/>
    <w:rsid w:val="00187987"/>
    <w:rsid w:val="001926A4"/>
    <w:rsid w:val="001A3A19"/>
    <w:rsid w:val="001B246B"/>
    <w:rsid w:val="001B45A0"/>
    <w:rsid w:val="001C18EE"/>
    <w:rsid w:val="001D055E"/>
    <w:rsid w:val="001D7441"/>
    <w:rsid w:val="001E2EBF"/>
    <w:rsid w:val="001F492E"/>
    <w:rsid w:val="001F6DA3"/>
    <w:rsid w:val="001F7DDD"/>
    <w:rsid w:val="00212737"/>
    <w:rsid w:val="00224DB9"/>
    <w:rsid w:val="00251745"/>
    <w:rsid w:val="00263AC0"/>
    <w:rsid w:val="0026772D"/>
    <w:rsid w:val="00275FDB"/>
    <w:rsid w:val="00286874"/>
    <w:rsid w:val="00296B65"/>
    <w:rsid w:val="002A7DEF"/>
    <w:rsid w:val="002B303D"/>
    <w:rsid w:val="002B6773"/>
    <w:rsid w:val="002E0C5B"/>
    <w:rsid w:val="002F7986"/>
    <w:rsid w:val="00303915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868CF"/>
    <w:rsid w:val="003A673F"/>
    <w:rsid w:val="003B5A70"/>
    <w:rsid w:val="004117D2"/>
    <w:rsid w:val="00426190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1186"/>
    <w:rsid w:val="005A404D"/>
    <w:rsid w:val="005B1E3C"/>
    <w:rsid w:val="005C24AC"/>
    <w:rsid w:val="005C26CC"/>
    <w:rsid w:val="005E6C0E"/>
    <w:rsid w:val="00615C6B"/>
    <w:rsid w:val="00632D6D"/>
    <w:rsid w:val="0063482D"/>
    <w:rsid w:val="00642C3E"/>
    <w:rsid w:val="00646025"/>
    <w:rsid w:val="0065243E"/>
    <w:rsid w:val="00655B68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106ED"/>
    <w:rsid w:val="00713B57"/>
    <w:rsid w:val="00720FB2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B3002"/>
    <w:rsid w:val="008C5486"/>
    <w:rsid w:val="008E2E38"/>
    <w:rsid w:val="008E7031"/>
    <w:rsid w:val="008F08D7"/>
    <w:rsid w:val="009022BC"/>
    <w:rsid w:val="00922C95"/>
    <w:rsid w:val="009233EE"/>
    <w:rsid w:val="0093685A"/>
    <w:rsid w:val="00954F14"/>
    <w:rsid w:val="009661DE"/>
    <w:rsid w:val="00972686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34EEC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D4705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5973"/>
    <w:rsid w:val="00B67E91"/>
    <w:rsid w:val="00B8080B"/>
    <w:rsid w:val="00B87A76"/>
    <w:rsid w:val="00B87C39"/>
    <w:rsid w:val="00B97A8A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4644A"/>
    <w:rsid w:val="00C538A9"/>
    <w:rsid w:val="00C53B5A"/>
    <w:rsid w:val="00C54F5A"/>
    <w:rsid w:val="00C65A64"/>
    <w:rsid w:val="00C755AD"/>
    <w:rsid w:val="00C86679"/>
    <w:rsid w:val="00CB666B"/>
    <w:rsid w:val="00CF799E"/>
    <w:rsid w:val="00D01CF0"/>
    <w:rsid w:val="00D0442A"/>
    <w:rsid w:val="00D203E1"/>
    <w:rsid w:val="00D521D5"/>
    <w:rsid w:val="00D544B8"/>
    <w:rsid w:val="00D61388"/>
    <w:rsid w:val="00D61A54"/>
    <w:rsid w:val="00D64DEA"/>
    <w:rsid w:val="00D67C30"/>
    <w:rsid w:val="00D80893"/>
    <w:rsid w:val="00D92CF1"/>
    <w:rsid w:val="00D92D38"/>
    <w:rsid w:val="00D950F5"/>
    <w:rsid w:val="00DA5E51"/>
    <w:rsid w:val="00DB0F93"/>
    <w:rsid w:val="00DC542F"/>
    <w:rsid w:val="00DC7981"/>
    <w:rsid w:val="00DE4EFA"/>
    <w:rsid w:val="00DE5520"/>
    <w:rsid w:val="00DE6E96"/>
    <w:rsid w:val="00E04818"/>
    <w:rsid w:val="00E06442"/>
    <w:rsid w:val="00E23993"/>
    <w:rsid w:val="00E25B8C"/>
    <w:rsid w:val="00E27642"/>
    <w:rsid w:val="00E4674F"/>
    <w:rsid w:val="00E655E1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0845"/>
    <w:rsid w:val="00F47559"/>
    <w:rsid w:val="00F60BE4"/>
    <w:rsid w:val="00F61B84"/>
    <w:rsid w:val="00F64C7B"/>
    <w:rsid w:val="00F676DD"/>
    <w:rsid w:val="00F75A26"/>
    <w:rsid w:val="00F83FAD"/>
    <w:rsid w:val="00F91DC6"/>
    <w:rsid w:val="00F9219F"/>
    <w:rsid w:val="00F952A0"/>
    <w:rsid w:val="00FA3C7F"/>
    <w:rsid w:val="00FA4E09"/>
    <w:rsid w:val="00FA61C2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ACCE-4836-4CFB-A116-3B66C917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F38D5-D674-48EA-8CA3-9D14DD69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Coulahan-Davy, Aidan</dc:creator>
  <cp:keywords/>
  <dc:description/>
  <cp:lastModifiedBy>Karunaratne, Mineka</cp:lastModifiedBy>
  <cp:revision>2</cp:revision>
  <dcterms:created xsi:type="dcterms:W3CDTF">2018-04-30T22:58:00Z</dcterms:created>
  <dcterms:modified xsi:type="dcterms:W3CDTF">2018-04-30T22:58:00Z</dcterms:modified>
</cp:coreProperties>
</file>