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2293C31" wp14:editId="52F6D0C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763DCB">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Pr="00BB089B">
            <w:t>201</w:t>
          </w:r>
          <w:r w:rsidR="00BB089B" w:rsidRPr="00BB089B">
            <w:t>7</w:t>
          </w:r>
          <w:r w:rsidRPr="00BB089B">
            <w:rPr>
              <w:rFonts w:cs="Arial"/>
            </w:rPr>
            <w:t>−</w:t>
          </w:r>
          <w:r w:rsidR="00763DCB">
            <w:rPr>
              <w:rFonts w:cs="Arial"/>
            </w:rPr>
            <w:t>20</w:t>
          </w:r>
          <w:r w:rsidR="00B9733D" w:rsidRPr="00BB089B">
            <w:rPr>
              <w:rFonts w:cs="Arial"/>
            </w:rPr>
            <w:t>22</w:t>
          </w:r>
        </w:p>
        <w:p w:rsidR="008F07A3" w:rsidRPr="000A6C7B" w:rsidRDefault="008F07A3" w:rsidP="008F07A3">
          <w:pPr>
            <w:pStyle w:val="ReportSubtitle"/>
          </w:pPr>
        </w:p>
        <w:p w:rsidR="000A6C7B" w:rsidRPr="000A6C7B" w:rsidRDefault="00D842E4" w:rsidP="008F07A3">
          <w:pPr>
            <w:pStyle w:val="ReportSubtitle"/>
          </w:pPr>
          <w:r>
            <w:t>Attachment 8</w:t>
          </w:r>
          <w:r w:rsidR="00DA4752">
            <w:t xml:space="preserve"> </w:t>
          </w:r>
          <w:r w:rsidR="00415F31">
            <w:rPr>
              <w:rFonts w:cs="Arial"/>
            </w:rPr>
            <w:t>–</w:t>
          </w:r>
          <w:r w:rsidR="00DA4752">
            <w:t xml:space="preserve"> </w:t>
          </w:r>
          <w:r>
            <w:t>Corporate income tax</w:t>
          </w:r>
        </w:p>
        <w:p w:rsidR="00B9733D" w:rsidRDefault="00B9733D" w:rsidP="00327A1E">
          <w:pPr>
            <w:pStyle w:val="ReportDate"/>
          </w:pPr>
        </w:p>
        <w:p w:rsidR="000A6C7B" w:rsidRPr="00327A1E" w:rsidRDefault="00763DCB"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5140D8">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DE11A5">
        <w:tab/>
        <w:t>1300 585 165</w:t>
      </w:r>
    </w:p>
    <w:p w:rsidR="00B9562D" w:rsidRDefault="000A6C7B" w:rsidP="00B9562D">
      <w:pPr>
        <w:pStyle w:val="Copyright"/>
      </w:pPr>
      <w:r>
        <w:t xml:space="preserve">Email: </w:t>
      </w:r>
      <w:r w:rsidR="00DE11A5">
        <w:tab/>
      </w:r>
      <w:hyperlink r:id="rId11" w:history="1">
        <w:r w:rsidRPr="003145E3">
          <w:rPr>
            <w:rStyle w:val="Hyperlink"/>
            <w:sz w:val="20"/>
          </w:rPr>
          <w:t>AERInquiry@aer.gov.au</w:t>
        </w:r>
      </w:hyperlink>
      <w:r w:rsidR="00951978">
        <w:rPr>
          <w:rStyle w:val="Hyperlink"/>
        </w:rPr>
        <w:br/>
      </w:r>
    </w:p>
    <w:p w:rsidR="008F07A3" w:rsidRPr="009D3906" w:rsidRDefault="00415F31" w:rsidP="00B9562D">
      <w:pPr>
        <w:pStyle w:val="Copyright"/>
      </w:pPr>
      <w:r w:rsidRPr="009D3906">
        <w:t>AER reference:</w:t>
      </w:r>
      <w:r w:rsidRPr="009D3906">
        <w:tab/>
        <w:t>5</w:t>
      </w:r>
      <w:r w:rsidR="005140D8">
        <w:t>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09778"/>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763DCB">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763DCB">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763DCB">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8080977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3145E3"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809778" w:history="1">
            <w:r w:rsidR="003145E3" w:rsidRPr="0016279A">
              <w:rPr>
                <w:rStyle w:val="Hyperlink"/>
              </w:rPr>
              <w:t>Note</w:t>
            </w:r>
            <w:r w:rsidR="003145E3">
              <w:rPr>
                <w:webHidden/>
              </w:rPr>
              <w:tab/>
            </w:r>
            <w:r w:rsidR="003145E3">
              <w:rPr>
                <w:webHidden/>
              </w:rPr>
              <w:fldChar w:fldCharType="begin"/>
            </w:r>
            <w:r w:rsidR="003145E3">
              <w:rPr>
                <w:webHidden/>
              </w:rPr>
              <w:instrText xml:space="preserve"> PAGEREF _Toc480809778 \h </w:instrText>
            </w:r>
            <w:r w:rsidR="003145E3">
              <w:rPr>
                <w:webHidden/>
              </w:rPr>
            </w:r>
            <w:r w:rsidR="003145E3">
              <w:rPr>
                <w:webHidden/>
              </w:rPr>
              <w:fldChar w:fldCharType="separate"/>
            </w:r>
            <w:r w:rsidR="003145E3">
              <w:rPr>
                <w:webHidden/>
              </w:rPr>
              <w:t>8-2</w:t>
            </w:r>
            <w:r w:rsidR="003145E3">
              <w:rPr>
                <w:webHidden/>
              </w:rPr>
              <w:fldChar w:fldCharType="end"/>
            </w:r>
          </w:hyperlink>
        </w:p>
        <w:p w:rsidR="003145E3" w:rsidRDefault="00F605B2">
          <w:pPr>
            <w:pStyle w:val="TOC1"/>
            <w:rPr>
              <w:rFonts w:asciiTheme="minorHAnsi" w:eastAsiaTheme="minorEastAsia" w:hAnsiTheme="minorHAnsi"/>
              <w:b w:val="0"/>
              <w:color w:val="auto"/>
              <w:sz w:val="22"/>
              <w:lang w:val="en-AU" w:eastAsia="en-AU"/>
            </w:rPr>
          </w:pPr>
          <w:hyperlink w:anchor="_Toc480809779" w:history="1">
            <w:r w:rsidR="003145E3" w:rsidRPr="0016279A">
              <w:rPr>
                <w:rStyle w:val="Hyperlink"/>
              </w:rPr>
              <w:t>Contents</w:t>
            </w:r>
            <w:r w:rsidR="003145E3">
              <w:rPr>
                <w:webHidden/>
              </w:rPr>
              <w:tab/>
            </w:r>
            <w:r w:rsidR="003145E3">
              <w:rPr>
                <w:webHidden/>
              </w:rPr>
              <w:fldChar w:fldCharType="begin"/>
            </w:r>
            <w:r w:rsidR="003145E3">
              <w:rPr>
                <w:webHidden/>
              </w:rPr>
              <w:instrText xml:space="preserve"> PAGEREF _Toc480809779 \h </w:instrText>
            </w:r>
            <w:r w:rsidR="003145E3">
              <w:rPr>
                <w:webHidden/>
              </w:rPr>
            </w:r>
            <w:r w:rsidR="003145E3">
              <w:rPr>
                <w:webHidden/>
              </w:rPr>
              <w:fldChar w:fldCharType="separate"/>
            </w:r>
            <w:r w:rsidR="003145E3">
              <w:rPr>
                <w:webHidden/>
              </w:rPr>
              <w:t>8-3</w:t>
            </w:r>
            <w:r w:rsidR="003145E3">
              <w:rPr>
                <w:webHidden/>
              </w:rPr>
              <w:fldChar w:fldCharType="end"/>
            </w:r>
          </w:hyperlink>
        </w:p>
        <w:p w:rsidR="003145E3" w:rsidRDefault="00F605B2">
          <w:pPr>
            <w:pStyle w:val="TOC1"/>
            <w:rPr>
              <w:rFonts w:asciiTheme="minorHAnsi" w:eastAsiaTheme="minorEastAsia" w:hAnsiTheme="minorHAnsi"/>
              <w:b w:val="0"/>
              <w:color w:val="auto"/>
              <w:sz w:val="22"/>
              <w:lang w:val="en-AU" w:eastAsia="en-AU"/>
            </w:rPr>
          </w:pPr>
          <w:hyperlink w:anchor="_Toc480809780" w:history="1">
            <w:r w:rsidR="003145E3" w:rsidRPr="0016279A">
              <w:rPr>
                <w:rStyle w:val="Hyperlink"/>
              </w:rPr>
              <w:t>Shortened forms</w:t>
            </w:r>
            <w:r w:rsidR="003145E3">
              <w:rPr>
                <w:webHidden/>
              </w:rPr>
              <w:tab/>
            </w:r>
            <w:r w:rsidR="003145E3">
              <w:rPr>
                <w:webHidden/>
              </w:rPr>
              <w:fldChar w:fldCharType="begin"/>
            </w:r>
            <w:r w:rsidR="003145E3">
              <w:rPr>
                <w:webHidden/>
              </w:rPr>
              <w:instrText xml:space="preserve"> PAGEREF _Toc480809780 \h </w:instrText>
            </w:r>
            <w:r w:rsidR="003145E3">
              <w:rPr>
                <w:webHidden/>
              </w:rPr>
            </w:r>
            <w:r w:rsidR="003145E3">
              <w:rPr>
                <w:webHidden/>
              </w:rPr>
              <w:fldChar w:fldCharType="separate"/>
            </w:r>
            <w:r w:rsidR="003145E3">
              <w:rPr>
                <w:webHidden/>
              </w:rPr>
              <w:t>8-4</w:t>
            </w:r>
            <w:r w:rsidR="003145E3">
              <w:rPr>
                <w:webHidden/>
              </w:rPr>
              <w:fldChar w:fldCharType="end"/>
            </w:r>
          </w:hyperlink>
        </w:p>
        <w:p w:rsidR="003145E3" w:rsidRDefault="00F605B2">
          <w:pPr>
            <w:pStyle w:val="TOC1"/>
            <w:rPr>
              <w:rFonts w:asciiTheme="minorHAnsi" w:eastAsiaTheme="minorEastAsia" w:hAnsiTheme="minorHAnsi"/>
              <w:b w:val="0"/>
              <w:color w:val="auto"/>
              <w:sz w:val="22"/>
              <w:lang w:val="en-AU" w:eastAsia="en-AU"/>
            </w:rPr>
          </w:pPr>
          <w:hyperlink w:anchor="_Toc480809781" w:history="1">
            <w:r w:rsidR="003145E3" w:rsidRPr="0016279A">
              <w:rPr>
                <w:rStyle w:val="Hyperlink"/>
              </w:rPr>
              <w:t>8</w:t>
            </w:r>
            <w:r w:rsidR="003145E3">
              <w:rPr>
                <w:rFonts w:asciiTheme="minorHAnsi" w:eastAsiaTheme="minorEastAsia" w:hAnsiTheme="minorHAnsi"/>
                <w:b w:val="0"/>
                <w:color w:val="auto"/>
                <w:sz w:val="22"/>
                <w:lang w:val="en-AU" w:eastAsia="en-AU"/>
              </w:rPr>
              <w:tab/>
            </w:r>
            <w:r w:rsidR="003145E3" w:rsidRPr="0016279A">
              <w:rPr>
                <w:rStyle w:val="Hyperlink"/>
              </w:rPr>
              <w:t>Corporate income tax</w:t>
            </w:r>
            <w:r w:rsidR="003145E3">
              <w:rPr>
                <w:webHidden/>
              </w:rPr>
              <w:tab/>
            </w:r>
            <w:r w:rsidR="003145E3">
              <w:rPr>
                <w:webHidden/>
              </w:rPr>
              <w:fldChar w:fldCharType="begin"/>
            </w:r>
            <w:r w:rsidR="003145E3">
              <w:rPr>
                <w:webHidden/>
              </w:rPr>
              <w:instrText xml:space="preserve"> PAGEREF _Toc480809781 \h </w:instrText>
            </w:r>
            <w:r w:rsidR="003145E3">
              <w:rPr>
                <w:webHidden/>
              </w:rPr>
            </w:r>
            <w:r w:rsidR="003145E3">
              <w:rPr>
                <w:webHidden/>
              </w:rPr>
              <w:fldChar w:fldCharType="separate"/>
            </w:r>
            <w:r w:rsidR="003145E3">
              <w:rPr>
                <w:webHidden/>
              </w:rPr>
              <w:t>8-6</w:t>
            </w:r>
            <w:r w:rsidR="003145E3">
              <w:rPr>
                <w:webHidden/>
              </w:rPr>
              <w:fldChar w:fldCharType="end"/>
            </w:r>
          </w:hyperlink>
        </w:p>
        <w:p w:rsidR="003145E3" w:rsidRDefault="00F605B2">
          <w:pPr>
            <w:pStyle w:val="TOC2"/>
            <w:rPr>
              <w:rFonts w:asciiTheme="minorHAnsi" w:eastAsiaTheme="minorEastAsia" w:hAnsiTheme="minorHAnsi"/>
              <w:b w:val="0"/>
              <w:color w:val="auto"/>
              <w:sz w:val="22"/>
              <w:lang w:eastAsia="en-AU"/>
            </w:rPr>
          </w:pPr>
          <w:hyperlink w:anchor="_Toc480809782" w:history="1">
            <w:r w:rsidR="003145E3" w:rsidRPr="0016279A">
              <w:rPr>
                <w:rStyle w:val="Hyperlink"/>
              </w:rPr>
              <w:t>8.1</w:t>
            </w:r>
            <w:r w:rsidR="003145E3">
              <w:rPr>
                <w:rFonts w:asciiTheme="minorHAnsi" w:eastAsiaTheme="minorEastAsia" w:hAnsiTheme="minorHAnsi"/>
                <w:b w:val="0"/>
                <w:color w:val="auto"/>
                <w:sz w:val="22"/>
                <w:lang w:eastAsia="en-AU"/>
              </w:rPr>
              <w:tab/>
            </w:r>
            <w:r w:rsidR="003145E3" w:rsidRPr="0016279A">
              <w:rPr>
                <w:rStyle w:val="Hyperlink"/>
              </w:rPr>
              <w:t>Final decision</w:t>
            </w:r>
            <w:r w:rsidR="003145E3">
              <w:rPr>
                <w:webHidden/>
              </w:rPr>
              <w:tab/>
            </w:r>
            <w:r w:rsidR="003145E3">
              <w:rPr>
                <w:webHidden/>
              </w:rPr>
              <w:fldChar w:fldCharType="begin"/>
            </w:r>
            <w:r w:rsidR="003145E3">
              <w:rPr>
                <w:webHidden/>
              </w:rPr>
              <w:instrText xml:space="preserve"> PAGEREF _Toc480809782 \h </w:instrText>
            </w:r>
            <w:r w:rsidR="003145E3">
              <w:rPr>
                <w:webHidden/>
              </w:rPr>
            </w:r>
            <w:r w:rsidR="003145E3">
              <w:rPr>
                <w:webHidden/>
              </w:rPr>
              <w:fldChar w:fldCharType="separate"/>
            </w:r>
            <w:r w:rsidR="003145E3">
              <w:rPr>
                <w:webHidden/>
              </w:rPr>
              <w:t>8-6</w:t>
            </w:r>
            <w:r w:rsidR="003145E3">
              <w:rPr>
                <w:webHidden/>
              </w:rPr>
              <w:fldChar w:fldCharType="end"/>
            </w:r>
          </w:hyperlink>
        </w:p>
        <w:p w:rsidR="003145E3" w:rsidRDefault="00F605B2">
          <w:pPr>
            <w:pStyle w:val="TOC2"/>
            <w:rPr>
              <w:rFonts w:asciiTheme="minorHAnsi" w:eastAsiaTheme="minorEastAsia" w:hAnsiTheme="minorHAnsi"/>
              <w:b w:val="0"/>
              <w:color w:val="auto"/>
              <w:sz w:val="22"/>
              <w:lang w:eastAsia="en-AU"/>
            </w:rPr>
          </w:pPr>
          <w:hyperlink w:anchor="_Toc480809783" w:history="1">
            <w:r w:rsidR="003145E3" w:rsidRPr="0016279A">
              <w:rPr>
                <w:rStyle w:val="Hyperlink"/>
              </w:rPr>
              <w:t>8.2</w:t>
            </w:r>
            <w:r w:rsidR="003145E3">
              <w:rPr>
                <w:rFonts w:asciiTheme="minorHAnsi" w:eastAsiaTheme="minorEastAsia" w:hAnsiTheme="minorHAnsi"/>
                <w:b w:val="0"/>
                <w:color w:val="auto"/>
                <w:sz w:val="22"/>
                <w:lang w:eastAsia="en-AU"/>
              </w:rPr>
              <w:tab/>
            </w:r>
            <w:r w:rsidR="003145E3" w:rsidRPr="0016279A">
              <w:rPr>
                <w:rStyle w:val="Hyperlink"/>
              </w:rPr>
              <w:t>AusNet Services’ revised proposal</w:t>
            </w:r>
            <w:r w:rsidR="003145E3">
              <w:rPr>
                <w:webHidden/>
              </w:rPr>
              <w:tab/>
            </w:r>
            <w:r w:rsidR="003145E3">
              <w:rPr>
                <w:webHidden/>
              </w:rPr>
              <w:fldChar w:fldCharType="begin"/>
            </w:r>
            <w:r w:rsidR="003145E3">
              <w:rPr>
                <w:webHidden/>
              </w:rPr>
              <w:instrText xml:space="preserve"> PAGEREF _Toc480809783 \h </w:instrText>
            </w:r>
            <w:r w:rsidR="003145E3">
              <w:rPr>
                <w:webHidden/>
              </w:rPr>
            </w:r>
            <w:r w:rsidR="003145E3">
              <w:rPr>
                <w:webHidden/>
              </w:rPr>
              <w:fldChar w:fldCharType="separate"/>
            </w:r>
            <w:r w:rsidR="003145E3">
              <w:rPr>
                <w:webHidden/>
              </w:rPr>
              <w:t>8-7</w:t>
            </w:r>
            <w:r w:rsidR="003145E3">
              <w:rPr>
                <w:webHidden/>
              </w:rPr>
              <w:fldChar w:fldCharType="end"/>
            </w:r>
          </w:hyperlink>
        </w:p>
        <w:p w:rsidR="003145E3" w:rsidRDefault="00F605B2">
          <w:pPr>
            <w:pStyle w:val="TOC2"/>
            <w:rPr>
              <w:rFonts w:asciiTheme="minorHAnsi" w:eastAsiaTheme="minorEastAsia" w:hAnsiTheme="minorHAnsi"/>
              <w:b w:val="0"/>
              <w:color w:val="auto"/>
              <w:sz w:val="22"/>
              <w:lang w:eastAsia="en-AU"/>
            </w:rPr>
          </w:pPr>
          <w:hyperlink w:anchor="_Toc480809784" w:history="1">
            <w:r w:rsidR="003145E3" w:rsidRPr="0016279A">
              <w:rPr>
                <w:rStyle w:val="Hyperlink"/>
              </w:rPr>
              <w:t>8.3</w:t>
            </w:r>
            <w:r w:rsidR="003145E3">
              <w:rPr>
                <w:rFonts w:asciiTheme="minorHAnsi" w:eastAsiaTheme="minorEastAsia" w:hAnsiTheme="minorHAnsi"/>
                <w:b w:val="0"/>
                <w:color w:val="auto"/>
                <w:sz w:val="22"/>
                <w:lang w:eastAsia="en-AU"/>
              </w:rPr>
              <w:tab/>
            </w:r>
            <w:r w:rsidR="003145E3" w:rsidRPr="0016279A">
              <w:rPr>
                <w:rStyle w:val="Hyperlink"/>
              </w:rPr>
              <w:t>AER’s assessment approach</w:t>
            </w:r>
            <w:r w:rsidR="003145E3">
              <w:rPr>
                <w:webHidden/>
              </w:rPr>
              <w:tab/>
            </w:r>
            <w:r w:rsidR="003145E3">
              <w:rPr>
                <w:webHidden/>
              </w:rPr>
              <w:fldChar w:fldCharType="begin"/>
            </w:r>
            <w:r w:rsidR="003145E3">
              <w:rPr>
                <w:webHidden/>
              </w:rPr>
              <w:instrText xml:space="preserve"> PAGEREF _Toc480809784 \h </w:instrText>
            </w:r>
            <w:r w:rsidR="003145E3">
              <w:rPr>
                <w:webHidden/>
              </w:rPr>
            </w:r>
            <w:r w:rsidR="003145E3">
              <w:rPr>
                <w:webHidden/>
              </w:rPr>
              <w:fldChar w:fldCharType="separate"/>
            </w:r>
            <w:r w:rsidR="003145E3">
              <w:rPr>
                <w:webHidden/>
              </w:rPr>
              <w:t>8-8</w:t>
            </w:r>
            <w:r w:rsidR="003145E3">
              <w:rPr>
                <w:webHidden/>
              </w:rPr>
              <w:fldChar w:fldCharType="end"/>
            </w:r>
          </w:hyperlink>
        </w:p>
        <w:p w:rsidR="003145E3" w:rsidRDefault="00F605B2">
          <w:pPr>
            <w:pStyle w:val="TOC2"/>
            <w:rPr>
              <w:rFonts w:asciiTheme="minorHAnsi" w:eastAsiaTheme="minorEastAsia" w:hAnsiTheme="minorHAnsi"/>
              <w:b w:val="0"/>
              <w:color w:val="auto"/>
              <w:sz w:val="22"/>
              <w:lang w:eastAsia="en-AU"/>
            </w:rPr>
          </w:pPr>
          <w:hyperlink w:anchor="_Toc480809785" w:history="1">
            <w:r w:rsidR="003145E3" w:rsidRPr="0016279A">
              <w:rPr>
                <w:rStyle w:val="Hyperlink"/>
              </w:rPr>
              <w:t>8.4</w:t>
            </w:r>
            <w:r w:rsidR="003145E3">
              <w:rPr>
                <w:rFonts w:asciiTheme="minorHAnsi" w:eastAsiaTheme="minorEastAsia" w:hAnsiTheme="minorHAnsi"/>
                <w:b w:val="0"/>
                <w:color w:val="auto"/>
                <w:sz w:val="22"/>
                <w:lang w:eastAsia="en-AU"/>
              </w:rPr>
              <w:tab/>
            </w:r>
            <w:r w:rsidR="003145E3" w:rsidRPr="0016279A">
              <w:rPr>
                <w:rStyle w:val="Hyperlink"/>
              </w:rPr>
              <w:t>Reasons for final decision</w:t>
            </w:r>
            <w:r w:rsidR="003145E3">
              <w:rPr>
                <w:webHidden/>
              </w:rPr>
              <w:tab/>
            </w:r>
            <w:r w:rsidR="003145E3">
              <w:rPr>
                <w:webHidden/>
              </w:rPr>
              <w:fldChar w:fldCharType="begin"/>
            </w:r>
            <w:r w:rsidR="003145E3">
              <w:rPr>
                <w:webHidden/>
              </w:rPr>
              <w:instrText xml:space="preserve"> PAGEREF _Toc480809785 \h </w:instrText>
            </w:r>
            <w:r w:rsidR="003145E3">
              <w:rPr>
                <w:webHidden/>
              </w:rPr>
            </w:r>
            <w:r w:rsidR="003145E3">
              <w:rPr>
                <w:webHidden/>
              </w:rPr>
              <w:fldChar w:fldCharType="separate"/>
            </w:r>
            <w:r w:rsidR="003145E3">
              <w:rPr>
                <w:webHidden/>
              </w:rPr>
              <w:t>8-8</w:t>
            </w:r>
            <w:r w:rsidR="003145E3">
              <w:rPr>
                <w:webHidden/>
              </w:rPr>
              <w:fldChar w:fldCharType="end"/>
            </w:r>
          </w:hyperlink>
        </w:p>
        <w:p w:rsidR="003145E3" w:rsidRDefault="00F605B2">
          <w:pPr>
            <w:pStyle w:val="TOC3"/>
            <w:rPr>
              <w:rFonts w:asciiTheme="minorHAnsi" w:eastAsiaTheme="minorEastAsia" w:hAnsiTheme="minorHAnsi"/>
              <w:lang w:eastAsia="en-AU"/>
            </w:rPr>
          </w:pPr>
          <w:hyperlink w:anchor="_Toc480809786" w:history="1">
            <w:r w:rsidR="003145E3" w:rsidRPr="0016279A">
              <w:rPr>
                <w:rStyle w:val="Hyperlink"/>
              </w:rPr>
              <w:t>8.4.1</w:t>
            </w:r>
            <w:r w:rsidR="003145E3">
              <w:rPr>
                <w:rFonts w:asciiTheme="minorHAnsi" w:eastAsiaTheme="minorEastAsia" w:hAnsiTheme="minorHAnsi"/>
                <w:lang w:eastAsia="en-AU"/>
              </w:rPr>
              <w:tab/>
            </w:r>
            <w:r w:rsidR="003145E3" w:rsidRPr="0016279A">
              <w:rPr>
                <w:rStyle w:val="Hyperlink"/>
              </w:rPr>
              <w:t>Opening tax asset base at 1 April 2017</w:t>
            </w:r>
            <w:r w:rsidR="003145E3">
              <w:rPr>
                <w:webHidden/>
              </w:rPr>
              <w:tab/>
            </w:r>
            <w:r w:rsidR="003145E3">
              <w:rPr>
                <w:webHidden/>
              </w:rPr>
              <w:fldChar w:fldCharType="begin"/>
            </w:r>
            <w:r w:rsidR="003145E3">
              <w:rPr>
                <w:webHidden/>
              </w:rPr>
              <w:instrText xml:space="preserve"> PAGEREF _Toc480809786 \h </w:instrText>
            </w:r>
            <w:r w:rsidR="003145E3">
              <w:rPr>
                <w:webHidden/>
              </w:rPr>
            </w:r>
            <w:r w:rsidR="003145E3">
              <w:rPr>
                <w:webHidden/>
              </w:rPr>
              <w:fldChar w:fldCharType="separate"/>
            </w:r>
            <w:r w:rsidR="003145E3">
              <w:rPr>
                <w:webHidden/>
              </w:rPr>
              <w:t>8-8</w:t>
            </w:r>
            <w:r w:rsidR="003145E3">
              <w:rPr>
                <w:webHidden/>
              </w:rPr>
              <w:fldChar w:fldCharType="end"/>
            </w:r>
          </w:hyperlink>
        </w:p>
        <w:p w:rsidR="003145E3" w:rsidRDefault="00F605B2">
          <w:pPr>
            <w:pStyle w:val="TOC3"/>
            <w:rPr>
              <w:rFonts w:asciiTheme="minorHAnsi" w:eastAsiaTheme="minorEastAsia" w:hAnsiTheme="minorHAnsi"/>
              <w:lang w:eastAsia="en-AU"/>
            </w:rPr>
          </w:pPr>
          <w:hyperlink w:anchor="_Toc480809787" w:history="1">
            <w:r w:rsidR="003145E3" w:rsidRPr="0016279A">
              <w:rPr>
                <w:rStyle w:val="Hyperlink"/>
              </w:rPr>
              <w:t>8.4.2</w:t>
            </w:r>
            <w:r w:rsidR="003145E3">
              <w:rPr>
                <w:rFonts w:asciiTheme="minorHAnsi" w:eastAsiaTheme="minorEastAsia" w:hAnsiTheme="minorHAnsi"/>
                <w:lang w:eastAsia="en-AU"/>
              </w:rPr>
              <w:tab/>
            </w:r>
            <w:r w:rsidR="003145E3" w:rsidRPr="0016279A">
              <w:rPr>
                <w:rStyle w:val="Hyperlink"/>
              </w:rPr>
              <w:t>Standard tax asset lives</w:t>
            </w:r>
            <w:r w:rsidR="003145E3">
              <w:rPr>
                <w:webHidden/>
              </w:rPr>
              <w:tab/>
            </w:r>
            <w:r w:rsidR="003145E3">
              <w:rPr>
                <w:webHidden/>
              </w:rPr>
              <w:fldChar w:fldCharType="begin"/>
            </w:r>
            <w:r w:rsidR="003145E3">
              <w:rPr>
                <w:webHidden/>
              </w:rPr>
              <w:instrText xml:space="preserve"> PAGEREF _Toc480809787 \h </w:instrText>
            </w:r>
            <w:r w:rsidR="003145E3">
              <w:rPr>
                <w:webHidden/>
              </w:rPr>
            </w:r>
            <w:r w:rsidR="003145E3">
              <w:rPr>
                <w:webHidden/>
              </w:rPr>
              <w:fldChar w:fldCharType="separate"/>
            </w:r>
            <w:r w:rsidR="003145E3">
              <w:rPr>
                <w:webHidden/>
              </w:rPr>
              <w:t>8-9</w:t>
            </w:r>
            <w:r w:rsidR="003145E3">
              <w:rPr>
                <w:webHidden/>
              </w:rPr>
              <w:fldChar w:fldCharType="end"/>
            </w:r>
          </w:hyperlink>
        </w:p>
        <w:p w:rsidR="003145E3" w:rsidRDefault="00F605B2">
          <w:pPr>
            <w:pStyle w:val="TOC3"/>
            <w:rPr>
              <w:rFonts w:asciiTheme="minorHAnsi" w:eastAsiaTheme="minorEastAsia" w:hAnsiTheme="minorHAnsi"/>
              <w:lang w:eastAsia="en-AU"/>
            </w:rPr>
          </w:pPr>
          <w:hyperlink w:anchor="_Toc480809788" w:history="1">
            <w:r w:rsidR="003145E3" w:rsidRPr="0016279A">
              <w:rPr>
                <w:rStyle w:val="Hyperlink"/>
              </w:rPr>
              <w:t>8.4.3</w:t>
            </w:r>
            <w:r w:rsidR="003145E3">
              <w:rPr>
                <w:rFonts w:asciiTheme="minorHAnsi" w:eastAsiaTheme="minorEastAsia" w:hAnsiTheme="minorHAnsi"/>
                <w:lang w:eastAsia="en-AU"/>
              </w:rPr>
              <w:tab/>
            </w:r>
            <w:r w:rsidR="003145E3" w:rsidRPr="0016279A">
              <w:rPr>
                <w:rStyle w:val="Hyperlink"/>
              </w:rPr>
              <w:t>Remaining tax asset lives</w:t>
            </w:r>
            <w:r w:rsidR="003145E3">
              <w:rPr>
                <w:webHidden/>
              </w:rPr>
              <w:tab/>
            </w:r>
            <w:r w:rsidR="003145E3">
              <w:rPr>
                <w:webHidden/>
              </w:rPr>
              <w:fldChar w:fldCharType="begin"/>
            </w:r>
            <w:r w:rsidR="003145E3">
              <w:rPr>
                <w:webHidden/>
              </w:rPr>
              <w:instrText xml:space="preserve"> PAGEREF _Toc480809788 \h </w:instrText>
            </w:r>
            <w:r w:rsidR="003145E3">
              <w:rPr>
                <w:webHidden/>
              </w:rPr>
            </w:r>
            <w:r w:rsidR="003145E3">
              <w:rPr>
                <w:webHidden/>
              </w:rPr>
              <w:fldChar w:fldCharType="separate"/>
            </w:r>
            <w:r w:rsidR="003145E3">
              <w:rPr>
                <w:webHidden/>
              </w:rPr>
              <w:t>8-10</w:t>
            </w:r>
            <w:r w:rsidR="003145E3">
              <w:rPr>
                <w:webHidden/>
              </w:rPr>
              <w:fldChar w:fldCharType="end"/>
            </w:r>
          </w:hyperlink>
        </w:p>
        <w:p w:rsidR="003145E3" w:rsidRDefault="00F605B2">
          <w:pPr>
            <w:pStyle w:val="TOC3"/>
            <w:rPr>
              <w:rFonts w:asciiTheme="minorHAnsi" w:eastAsiaTheme="minorEastAsia" w:hAnsiTheme="minorHAnsi"/>
              <w:lang w:eastAsia="en-AU"/>
            </w:rPr>
          </w:pPr>
          <w:hyperlink w:anchor="_Toc480809789" w:history="1">
            <w:r w:rsidR="003145E3" w:rsidRPr="0016279A">
              <w:rPr>
                <w:rStyle w:val="Hyperlink"/>
              </w:rPr>
              <w:t>8.4.4</w:t>
            </w:r>
            <w:r w:rsidR="003145E3">
              <w:rPr>
                <w:rFonts w:asciiTheme="minorHAnsi" w:eastAsiaTheme="minorEastAsia" w:hAnsiTheme="minorHAnsi"/>
                <w:lang w:eastAsia="en-AU"/>
              </w:rPr>
              <w:tab/>
            </w:r>
            <w:r w:rsidR="003145E3" w:rsidRPr="0016279A">
              <w:rPr>
                <w:rStyle w:val="Hyperlink"/>
              </w:rPr>
              <w:t>Tax treatment of revenue adjustment</w:t>
            </w:r>
            <w:r w:rsidR="003145E3">
              <w:rPr>
                <w:webHidden/>
              </w:rPr>
              <w:tab/>
            </w:r>
            <w:r w:rsidR="003145E3">
              <w:rPr>
                <w:webHidden/>
              </w:rPr>
              <w:fldChar w:fldCharType="begin"/>
            </w:r>
            <w:r w:rsidR="003145E3">
              <w:rPr>
                <w:webHidden/>
              </w:rPr>
              <w:instrText xml:space="preserve"> PAGEREF _Toc480809789 \h </w:instrText>
            </w:r>
            <w:r w:rsidR="003145E3">
              <w:rPr>
                <w:webHidden/>
              </w:rPr>
            </w:r>
            <w:r w:rsidR="003145E3">
              <w:rPr>
                <w:webHidden/>
              </w:rPr>
              <w:fldChar w:fldCharType="separate"/>
            </w:r>
            <w:r w:rsidR="003145E3">
              <w:rPr>
                <w:webHidden/>
              </w:rPr>
              <w:t>8-12</w:t>
            </w:r>
            <w:r w:rsidR="003145E3">
              <w:rPr>
                <w:webHidden/>
              </w:rPr>
              <w:fldChar w:fldCharType="end"/>
            </w:r>
          </w:hyperlink>
        </w:p>
        <w:p w:rsidR="003145E3" w:rsidRDefault="00F605B2">
          <w:pPr>
            <w:pStyle w:val="TOC3"/>
            <w:rPr>
              <w:rFonts w:asciiTheme="minorHAnsi" w:eastAsiaTheme="minorEastAsia" w:hAnsiTheme="minorHAnsi"/>
              <w:lang w:eastAsia="en-AU"/>
            </w:rPr>
          </w:pPr>
          <w:hyperlink w:anchor="_Toc480809790" w:history="1">
            <w:r w:rsidR="003145E3" w:rsidRPr="0016279A">
              <w:rPr>
                <w:rStyle w:val="Hyperlink"/>
              </w:rPr>
              <w:t>8.4.5</w:t>
            </w:r>
            <w:r w:rsidR="003145E3">
              <w:rPr>
                <w:rFonts w:asciiTheme="minorHAnsi" w:eastAsiaTheme="minorEastAsia" w:hAnsiTheme="minorHAnsi"/>
                <w:lang w:eastAsia="en-AU"/>
              </w:rPr>
              <w:tab/>
            </w:r>
            <w:r w:rsidR="003145E3" w:rsidRPr="0016279A">
              <w:rPr>
                <w:rStyle w:val="Hyperlink"/>
              </w:rPr>
              <w:t>Tax allowance for Hazelwood assets payment</w:t>
            </w:r>
            <w:r w:rsidR="003145E3">
              <w:rPr>
                <w:webHidden/>
              </w:rPr>
              <w:tab/>
            </w:r>
            <w:r w:rsidR="003145E3">
              <w:rPr>
                <w:webHidden/>
              </w:rPr>
              <w:fldChar w:fldCharType="begin"/>
            </w:r>
            <w:r w:rsidR="003145E3">
              <w:rPr>
                <w:webHidden/>
              </w:rPr>
              <w:instrText xml:space="preserve"> PAGEREF _Toc480809790 \h </w:instrText>
            </w:r>
            <w:r w:rsidR="003145E3">
              <w:rPr>
                <w:webHidden/>
              </w:rPr>
            </w:r>
            <w:r w:rsidR="003145E3">
              <w:rPr>
                <w:webHidden/>
              </w:rPr>
              <w:fldChar w:fldCharType="separate"/>
            </w:r>
            <w:r w:rsidR="003145E3">
              <w:rPr>
                <w:webHidden/>
              </w:rPr>
              <w:t>8-12</w:t>
            </w:r>
            <w:r w:rsidR="003145E3">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09780"/>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D842E4" w:rsidP="005140D8">
      <w:pPr>
        <w:pStyle w:val="Heading1"/>
        <w:ind w:hanging="574"/>
      </w:pPr>
      <w:bookmarkStart w:id="10" w:name="_Toc480809781"/>
      <w:r>
        <w:lastRenderedPageBreak/>
        <w:t>Corporate income tax</w:t>
      </w:r>
      <w:bookmarkEnd w:id="10"/>
    </w:p>
    <w:p w:rsidR="00435E07" w:rsidRPr="00435E07" w:rsidRDefault="00C76918" w:rsidP="00435E07">
      <w:bookmarkStart w:id="11" w:name="_Toc403144136"/>
      <w:r>
        <w:t>Our revenue determination includes</w:t>
      </w:r>
      <w:r w:rsidR="00435E07" w:rsidRPr="00435E07">
        <w:t xml:space="preserve"> the estimated cost of corporate income tax for </w:t>
      </w:r>
      <w:r w:rsidR="00435E07">
        <w:t xml:space="preserve">AusNet Services’ 2017–22 regulatory control </w:t>
      </w:r>
      <w:proofErr w:type="gramStart"/>
      <w:r w:rsidR="00435E07">
        <w:t>period</w:t>
      </w:r>
      <w:proofErr w:type="gramEnd"/>
      <w:r w:rsidR="00435E07">
        <w:t>.</w:t>
      </w:r>
      <w:r w:rsidR="00435E07">
        <w:rPr>
          <w:rStyle w:val="FootnoteReference"/>
        </w:rPr>
        <w:footnoteReference w:id="1"/>
      </w:r>
      <w:r w:rsidR="00435E07" w:rsidRPr="00435E07">
        <w:t xml:space="preserve"> Under the post-tax framework, a corporate income tax allowance is calculated as</w:t>
      </w:r>
      <w:r w:rsidR="00435E07">
        <w:t xml:space="preserve"> </w:t>
      </w:r>
      <w:r w:rsidR="00435E07" w:rsidRPr="00435E07">
        <w:t>part of the building block assessment using our post-tax revenue model (PTRM).</w:t>
      </w:r>
      <w:r w:rsidR="00435E07">
        <w:t xml:space="preserve"> </w:t>
      </w:r>
      <w:r w:rsidR="00435E07" w:rsidRPr="00435E07">
        <w:t xml:space="preserve">This amount </w:t>
      </w:r>
      <w:r w:rsidR="00CA0857">
        <w:t>allows</w:t>
      </w:r>
      <w:r w:rsidR="00435E07" w:rsidRPr="00435E07">
        <w:t xml:space="preserve"> </w:t>
      </w:r>
      <w:r w:rsidR="00435E07">
        <w:t>AusNet Services</w:t>
      </w:r>
      <w:r w:rsidR="00435E07" w:rsidRPr="00435E07">
        <w:t xml:space="preserve"> to recover the costs associated with the estimated corporate income tax payable during the 201</w:t>
      </w:r>
      <w:r w:rsidR="00435E07">
        <w:t>7</w:t>
      </w:r>
      <w:r w:rsidR="00435E07" w:rsidRPr="00435E07">
        <w:t>–</w:t>
      </w:r>
      <w:r w:rsidR="00435E07">
        <w:t>22</w:t>
      </w:r>
      <w:r w:rsidR="00435E07" w:rsidRPr="00435E07">
        <w:t xml:space="preserve"> regulatory control </w:t>
      </w:r>
      <w:proofErr w:type="gramStart"/>
      <w:r w:rsidR="00435E07" w:rsidRPr="00435E07">
        <w:t>period</w:t>
      </w:r>
      <w:proofErr w:type="gramEnd"/>
      <w:r w:rsidR="00435E07" w:rsidRPr="00435E07">
        <w:t>.</w:t>
      </w:r>
    </w:p>
    <w:p w:rsidR="00435E07" w:rsidRPr="00435E07" w:rsidRDefault="00435E07" w:rsidP="00435E07">
      <w:r w:rsidRPr="00435E07">
        <w:t xml:space="preserve">This attachment sets out our </w:t>
      </w:r>
      <w:r w:rsidR="00763DCB">
        <w:t>final</w:t>
      </w:r>
      <w:r w:rsidRPr="00435E07">
        <w:t xml:space="preserve"> decision on </w:t>
      </w:r>
      <w:r>
        <w:t xml:space="preserve">AusNet </w:t>
      </w:r>
      <w:r w:rsidRPr="0021786D">
        <w:t xml:space="preserve">Services’ </w:t>
      </w:r>
      <w:r w:rsidR="005D1D98" w:rsidRPr="0021786D">
        <w:t xml:space="preserve">revised </w:t>
      </w:r>
      <w:r w:rsidRPr="0021786D">
        <w:t>proposed corporate income tax allowance</w:t>
      </w:r>
      <w:r w:rsidR="007A4ABD">
        <w:t xml:space="preserve"> for the 2017–22 regulatory control </w:t>
      </w:r>
      <w:proofErr w:type="gramStart"/>
      <w:r w:rsidR="007A4ABD">
        <w:t>period</w:t>
      </w:r>
      <w:proofErr w:type="gramEnd"/>
      <w:r w:rsidRPr="0021786D">
        <w:t xml:space="preserve">. It also presents our </w:t>
      </w:r>
      <w:r w:rsidR="007B1B40" w:rsidRPr="0021786D">
        <w:t xml:space="preserve">final decision </w:t>
      </w:r>
      <w:r w:rsidRPr="0021786D">
        <w:t>o</w:t>
      </w:r>
      <w:r w:rsidR="007B1B40" w:rsidRPr="0021786D">
        <w:t>n</w:t>
      </w:r>
      <w:r w:rsidRPr="0021786D">
        <w:t xml:space="preserve"> the </w:t>
      </w:r>
      <w:r w:rsidR="005D1D98" w:rsidRPr="0021786D">
        <w:t xml:space="preserve">revised </w:t>
      </w:r>
      <w:r w:rsidRPr="0021786D">
        <w:t>proposed opening tax asset base (TAB), and the standard and remaining tax asset</w:t>
      </w:r>
      <w:r w:rsidRPr="00435E07">
        <w:t xml:space="preserve"> lives used to estimate tax depreciation for the purpose of calculating tax expenses</w:t>
      </w:r>
      <w:r>
        <w:t>.</w:t>
      </w:r>
    </w:p>
    <w:p w:rsidR="00DE563D" w:rsidRPr="001754EE" w:rsidRDefault="00763DCB" w:rsidP="005140D8">
      <w:pPr>
        <w:pStyle w:val="Heading2"/>
        <w:ind w:hanging="718"/>
      </w:pPr>
      <w:bookmarkStart w:id="12" w:name="_Toc480809782"/>
      <w:r>
        <w:t>Final</w:t>
      </w:r>
      <w:r w:rsidR="00DE563D" w:rsidRPr="001754EE">
        <w:t xml:space="preserve"> decision</w:t>
      </w:r>
      <w:bookmarkEnd w:id="11"/>
      <w:bookmarkEnd w:id="12"/>
    </w:p>
    <w:p w:rsidR="00F320DF" w:rsidRPr="00023C54" w:rsidRDefault="00435E07" w:rsidP="00435E07">
      <w:pPr>
        <w:rPr>
          <w:rStyle w:val="AERbody"/>
        </w:rPr>
      </w:pPr>
      <w:bookmarkStart w:id="13" w:name="_Toc403144137"/>
      <w:r w:rsidRPr="00023C54">
        <w:rPr>
          <w:rStyle w:val="AERbody"/>
        </w:rPr>
        <w:t xml:space="preserve">We do not accept </w:t>
      </w:r>
      <w:r w:rsidR="00667AB1" w:rsidRPr="00023C54">
        <w:rPr>
          <w:rStyle w:val="AERbody"/>
        </w:rPr>
        <w:t>AusNet Services’</w:t>
      </w:r>
      <w:r w:rsidRPr="00023C54">
        <w:rPr>
          <w:rStyle w:val="AERbody"/>
        </w:rPr>
        <w:t xml:space="preserve"> </w:t>
      </w:r>
      <w:r w:rsidR="00BD006D" w:rsidRPr="00023C54">
        <w:rPr>
          <w:rStyle w:val="AERbody"/>
        </w:rPr>
        <w:t xml:space="preserve">revised </w:t>
      </w:r>
      <w:r w:rsidRPr="00023C54">
        <w:rPr>
          <w:rStyle w:val="AERbody"/>
        </w:rPr>
        <w:t>proposed cost of corporate income tax allowance of $</w:t>
      </w:r>
      <w:r w:rsidR="00667AB1" w:rsidRPr="00023C54">
        <w:rPr>
          <w:rStyle w:val="AERbody"/>
        </w:rPr>
        <w:t>1</w:t>
      </w:r>
      <w:r w:rsidR="00BD006D" w:rsidRPr="00023C54">
        <w:rPr>
          <w:rStyle w:val="AERbody"/>
        </w:rPr>
        <w:t>12</w:t>
      </w:r>
      <w:r w:rsidR="00667AB1" w:rsidRPr="00023C54">
        <w:rPr>
          <w:rStyle w:val="AERbody"/>
        </w:rPr>
        <w:t>.</w:t>
      </w:r>
      <w:r w:rsidR="00BD006D" w:rsidRPr="00023C54">
        <w:rPr>
          <w:rStyle w:val="AERbody"/>
        </w:rPr>
        <w:t>6</w:t>
      </w:r>
      <w:r w:rsidR="00667AB1" w:rsidRPr="00023C54">
        <w:rPr>
          <w:rStyle w:val="AERbody"/>
        </w:rPr>
        <w:t> </w:t>
      </w:r>
      <w:r w:rsidRPr="00023C54">
        <w:rPr>
          <w:rStyle w:val="AERbody"/>
        </w:rPr>
        <w:t>million ($</w:t>
      </w:r>
      <w:r w:rsidR="00667AB1" w:rsidRPr="00023C54">
        <w:rPr>
          <w:rStyle w:val="AERbody"/>
        </w:rPr>
        <w:t> </w:t>
      </w:r>
      <w:r w:rsidRPr="00023C54">
        <w:rPr>
          <w:rStyle w:val="AERbody"/>
        </w:rPr>
        <w:t>nominal)</w:t>
      </w:r>
      <w:r>
        <w:t>.</w:t>
      </w:r>
      <w:r w:rsidR="00F320DF">
        <w:rPr>
          <w:rStyle w:val="FootnoteReference"/>
        </w:rPr>
        <w:footnoteReference w:id="2"/>
      </w:r>
      <w:r>
        <w:t xml:space="preserve"> </w:t>
      </w:r>
      <w:r w:rsidRPr="00023C54">
        <w:rPr>
          <w:rStyle w:val="AERbody"/>
        </w:rPr>
        <w:t xml:space="preserve">Our </w:t>
      </w:r>
      <w:r w:rsidR="00763DCB" w:rsidRPr="00023C54">
        <w:rPr>
          <w:rStyle w:val="AERbody"/>
        </w:rPr>
        <w:t>final</w:t>
      </w:r>
      <w:r w:rsidRPr="00023C54">
        <w:rPr>
          <w:rStyle w:val="AERbody"/>
        </w:rPr>
        <w:t xml:space="preserve"> decision on the estimated cost of corporate income tax </w:t>
      </w:r>
      <w:r w:rsidRPr="008653E7">
        <w:t>is $</w:t>
      </w:r>
      <w:r w:rsidR="008653E7" w:rsidRPr="008653E7">
        <w:t>59.</w:t>
      </w:r>
      <w:r w:rsidR="00AC1F2A">
        <w:t>5</w:t>
      </w:r>
      <w:r w:rsidR="00667AB1" w:rsidRPr="008653E7">
        <w:t> </w:t>
      </w:r>
      <w:r w:rsidRPr="008653E7">
        <w:t>million ($ nominal) over the 201</w:t>
      </w:r>
      <w:r w:rsidR="00667AB1" w:rsidRPr="008653E7">
        <w:t>7</w:t>
      </w:r>
      <w:r w:rsidRPr="008653E7">
        <w:t>–</w:t>
      </w:r>
      <w:r w:rsidR="00667AB1" w:rsidRPr="008653E7">
        <w:t>22</w:t>
      </w:r>
      <w:r w:rsidRPr="008653E7">
        <w:t xml:space="preserve"> </w:t>
      </w:r>
      <w:r w:rsidR="00667AB1" w:rsidRPr="008653E7">
        <w:t xml:space="preserve">regulatory control </w:t>
      </w:r>
      <w:r w:rsidRPr="008653E7">
        <w:t>period</w:t>
      </w:r>
      <w:r w:rsidR="00F320DF" w:rsidRPr="008653E7">
        <w:t>. This represents</w:t>
      </w:r>
      <w:r w:rsidRPr="008653E7">
        <w:t xml:space="preserve"> a </w:t>
      </w:r>
      <w:r w:rsidR="00CA0857" w:rsidRPr="008653E7">
        <w:t>reduction</w:t>
      </w:r>
      <w:r w:rsidR="002419E2" w:rsidRPr="008653E7">
        <w:t xml:space="preserve"> </w:t>
      </w:r>
      <w:r w:rsidRPr="008653E7">
        <w:t>of $</w:t>
      </w:r>
      <w:r w:rsidR="008653E7">
        <w:t>53.</w:t>
      </w:r>
      <w:r w:rsidR="00AC1F2A">
        <w:t>1</w:t>
      </w:r>
      <w:r w:rsidR="008653E7">
        <w:t> </w:t>
      </w:r>
      <w:r w:rsidR="00176562" w:rsidRPr="008653E7">
        <w:t>million</w:t>
      </w:r>
      <w:r w:rsidRPr="008653E7">
        <w:t xml:space="preserve"> (or </w:t>
      </w:r>
      <w:r w:rsidR="008653E7">
        <w:t>47.</w:t>
      </w:r>
      <w:r w:rsidR="00AC1F2A">
        <w:t>2</w:t>
      </w:r>
      <w:r w:rsidR="0021786D" w:rsidRPr="008653E7">
        <w:t xml:space="preserve"> </w:t>
      </w:r>
      <w:r w:rsidRPr="008653E7">
        <w:t>per cent) from</w:t>
      </w:r>
      <w:r w:rsidRPr="008653E7">
        <w:rPr>
          <w:rStyle w:val="AERbody"/>
        </w:rPr>
        <w:t xml:space="preserve"> </w:t>
      </w:r>
      <w:r w:rsidR="008D6FAD" w:rsidRPr="008653E7">
        <w:rPr>
          <w:rStyle w:val="AERbody"/>
        </w:rPr>
        <w:t>AusNet Services</w:t>
      </w:r>
      <w:r w:rsidR="00BD006D" w:rsidRPr="008653E7">
        <w:rPr>
          <w:rStyle w:val="AERbody"/>
        </w:rPr>
        <w:t>’ revised</w:t>
      </w:r>
      <w:r w:rsidRPr="008653E7">
        <w:rPr>
          <w:rStyle w:val="AERbody"/>
        </w:rPr>
        <w:t xml:space="preserve"> proposal.</w:t>
      </w:r>
      <w:r w:rsidRPr="00023C54">
        <w:rPr>
          <w:rStyle w:val="AERbody"/>
        </w:rPr>
        <w:t xml:space="preserve"> </w:t>
      </w:r>
    </w:p>
    <w:p w:rsidR="00492389" w:rsidRPr="00023C54" w:rsidRDefault="00435E07" w:rsidP="00435E07">
      <w:pPr>
        <w:rPr>
          <w:rStyle w:val="AERbody"/>
        </w:rPr>
      </w:pPr>
      <w:r w:rsidRPr="00023C54">
        <w:rPr>
          <w:rStyle w:val="AERbody"/>
        </w:rPr>
        <w:t xml:space="preserve">This </w:t>
      </w:r>
      <w:r w:rsidR="00436D35">
        <w:rPr>
          <w:rStyle w:val="AERbody"/>
        </w:rPr>
        <w:t>reduction</w:t>
      </w:r>
      <w:r w:rsidR="00436D35" w:rsidRPr="00023C54">
        <w:rPr>
          <w:rStyle w:val="AERbody"/>
        </w:rPr>
        <w:t xml:space="preserve"> </w:t>
      </w:r>
      <w:r w:rsidRPr="00023C54">
        <w:rPr>
          <w:rStyle w:val="AERbody"/>
        </w:rPr>
        <w:t xml:space="preserve">is mainly driven by our determination on </w:t>
      </w:r>
      <w:r w:rsidR="00667AB1" w:rsidRPr="00023C54">
        <w:rPr>
          <w:rStyle w:val="AERbody"/>
        </w:rPr>
        <w:t>AusNet Services’</w:t>
      </w:r>
      <w:r w:rsidRPr="00023C54">
        <w:rPr>
          <w:rStyle w:val="AERbody"/>
        </w:rPr>
        <w:t xml:space="preserve"> proposed value of imputation credits (gamma) as discussed in attachment 4. Our determinations on other building block components including forecast capex (attachment 6) and forecast opex (attachment 7)</w:t>
      </w:r>
      <w:r w:rsidR="0018105E" w:rsidRPr="00023C54">
        <w:rPr>
          <w:rStyle w:val="AERbody"/>
        </w:rPr>
        <w:t xml:space="preserve"> also</w:t>
      </w:r>
      <w:r w:rsidRPr="00023C54">
        <w:rPr>
          <w:rStyle w:val="AERbody"/>
        </w:rPr>
        <w:t xml:space="preserve"> affect revenues, which impact the tax calculation.</w:t>
      </w:r>
      <w:r w:rsidR="00F320DF" w:rsidRPr="00023C54">
        <w:rPr>
          <w:rStyle w:val="AERbody"/>
        </w:rPr>
        <w:t xml:space="preserve"> The changes affecting revenues are discussed in attachment 1.</w:t>
      </w:r>
    </w:p>
    <w:p w:rsidR="00667AB1" w:rsidRPr="00023C54" w:rsidRDefault="00617922" w:rsidP="00667AB1">
      <w:pPr>
        <w:rPr>
          <w:rStyle w:val="AERbody"/>
        </w:rPr>
      </w:pPr>
      <w:r w:rsidRPr="00023C54">
        <w:rPr>
          <w:rStyle w:val="AERbody"/>
        </w:rPr>
        <w:fldChar w:fldCharType="begin"/>
      </w:r>
      <w:r w:rsidRPr="00023C54">
        <w:rPr>
          <w:rStyle w:val="AERbody"/>
        </w:rPr>
        <w:instrText xml:space="preserve"> REF _Ref437589583 \h </w:instrText>
      </w:r>
      <w:r w:rsidR="00023C54">
        <w:rPr>
          <w:rStyle w:val="AERbody"/>
        </w:rPr>
        <w:instrText xml:space="preserve"> \* MERGEFORMAT </w:instrText>
      </w:r>
      <w:r w:rsidRPr="00023C54">
        <w:rPr>
          <w:rStyle w:val="AERbody"/>
        </w:rPr>
      </w:r>
      <w:r w:rsidRPr="00023C54">
        <w:rPr>
          <w:rStyle w:val="AERbody"/>
        </w:rPr>
        <w:fldChar w:fldCharType="separate"/>
      </w:r>
      <w:r w:rsidR="00DE11A5" w:rsidRPr="003145E3">
        <w:rPr>
          <w:rStyle w:val="AERbody"/>
        </w:rPr>
        <w:t>Table 8.1</w:t>
      </w:r>
      <w:r w:rsidRPr="00023C54">
        <w:rPr>
          <w:rStyle w:val="AERbody"/>
        </w:rPr>
        <w:fldChar w:fldCharType="end"/>
      </w:r>
      <w:r w:rsidRPr="00023C54">
        <w:rPr>
          <w:rStyle w:val="AERbody"/>
        </w:rPr>
        <w:t xml:space="preserve"> </w:t>
      </w:r>
      <w:r w:rsidR="00667AB1" w:rsidRPr="00023C54">
        <w:rPr>
          <w:rStyle w:val="AERbody"/>
        </w:rPr>
        <w:t xml:space="preserve">sets out our </w:t>
      </w:r>
      <w:r w:rsidR="00763DCB" w:rsidRPr="00023C54">
        <w:rPr>
          <w:rStyle w:val="AERbody"/>
        </w:rPr>
        <w:t>final</w:t>
      </w:r>
      <w:r w:rsidR="00667AB1" w:rsidRPr="00023C54">
        <w:rPr>
          <w:rStyle w:val="AERbody"/>
        </w:rPr>
        <w:t xml:space="preserve"> decision on the estimated cost of corporate income tax allowance for AusNet Services</w:t>
      </w:r>
      <w:r w:rsidR="00F320DF" w:rsidRPr="00023C54">
        <w:rPr>
          <w:rStyle w:val="AERbody"/>
        </w:rPr>
        <w:t xml:space="preserve"> over the 2017–22 regulatory control period</w:t>
      </w:r>
      <w:r w:rsidR="00667AB1" w:rsidRPr="00023C54">
        <w:rPr>
          <w:rStyle w:val="AERbody"/>
        </w:rPr>
        <w:t>.</w:t>
      </w:r>
    </w:p>
    <w:p w:rsidR="00667AB1" w:rsidRDefault="00667AB1" w:rsidP="00667AB1">
      <w:pPr>
        <w:pStyle w:val="Caption"/>
        <w:keepLines/>
      </w:pPr>
      <w:bookmarkStart w:id="14" w:name="_Ref437589583"/>
      <w:proofErr w:type="gramStart"/>
      <w:r>
        <w:t xml:space="preserve">Table </w:t>
      </w:r>
      <w:fldSimple w:instr=" STYLEREF 1 \s ">
        <w:r w:rsidR="00DE11A5">
          <w:rPr>
            <w:noProof/>
          </w:rPr>
          <w:t>8</w:t>
        </w:r>
      </w:fldSimple>
      <w:r w:rsidR="0002597E">
        <w:t>.</w:t>
      </w:r>
      <w:proofErr w:type="gramEnd"/>
      <w:r w:rsidR="0021304B">
        <w:fldChar w:fldCharType="begin"/>
      </w:r>
      <w:r w:rsidR="0021304B">
        <w:instrText xml:space="preserve"> SEQ Table \* ARABIC \s 1 </w:instrText>
      </w:r>
      <w:r w:rsidR="0021304B">
        <w:fldChar w:fldCharType="separate"/>
      </w:r>
      <w:r w:rsidR="00DE11A5">
        <w:rPr>
          <w:noProof/>
        </w:rPr>
        <w:t>1</w:t>
      </w:r>
      <w:r w:rsidR="0021304B">
        <w:rPr>
          <w:noProof/>
        </w:rPr>
        <w:fldChar w:fldCharType="end"/>
      </w:r>
      <w:bookmarkEnd w:id="14"/>
      <w:r>
        <w:tab/>
        <w:t xml:space="preserve">AER's </w:t>
      </w:r>
      <w:r w:rsidR="00763DCB">
        <w:t>final</w:t>
      </w:r>
      <w:r>
        <w:t xml:space="preserve"> decision on AusNet Services’ corporate income tax allowance for the 2017–</w:t>
      </w:r>
      <w:r w:rsidR="00617922">
        <w:t>2</w:t>
      </w:r>
      <w:r>
        <w:t>2 regulatory control period ($ million, nominal)</w:t>
      </w:r>
    </w:p>
    <w:tbl>
      <w:tblPr>
        <w:tblStyle w:val="AERtable-numbers"/>
        <w:tblW w:w="8644" w:type="dxa"/>
        <w:tblLayout w:type="fixed"/>
        <w:tblLook w:val="04A0" w:firstRow="1" w:lastRow="0" w:firstColumn="1" w:lastColumn="0" w:noHBand="0" w:noVBand="1"/>
      </w:tblPr>
      <w:tblGrid>
        <w:gridCol w:w="3085"/>
        <w:gridCol w:w="926"/>
        <w:gridCol w:w="927"/>
        <w:gridCol w:w="926"/>
        <w:gridCol w:w="927"/>
        <w:gridCol w:w="926"/>
        <w:gridCol w:w="927"/>
      </w:tblGrid>
      <w:tr w:rsidR="00667AB1" w:rsidRPr="00F320DF" w:rsidTr="00667AB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667AB1" w:rsidRPr="00F320DF" w:rsidRDefault="00667AB1" w:rsidP="00F320DF">
            <w:r w:rsidRPr="00F320DF">
              <w:t> </w:t>
            </w:r>
          </w:p>
        </w:tc>
        <w:tc>
          <w:tcPr>
            <w:tcW w:w="926"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2017–18</w:t>
            </w:r>
          </w:p>
        </w:tc>
        <w:tc>
          <w:tcPr>
            <w:tcW w:w="927"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2018–19</w:t>
            </w:r>
          </w:p>
        </w:tc>
        <w:tc>
          <w:tcPr>
            <w:tcW w:w="926"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2019–20</w:t>
            </w:r>
          </w:p>
        </w:tc>
        <w:tc>
          <w:tcPr>
            <w:tcW w:w="927"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2020–21</w:t>
            </w:r>
          </w:p>
        </w:tc>
        <w:tc>
          <w:tcPr>
            <w:tcW w:w="926"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2021–22</w:t>
            </w:r>
          </w:p>
        </w:tc>
        <w:tc>
          <w:tcPr>
            <w:tcW w:w="927" w:type="dxa"/>
            <w:noWrap/>
            <w:hideMark/>
          </w:tcPr>
          <w:p w:rsidR="00667AB1" w:rsidRPr="00F320DF" w:rsidRDefault="00667AB1" w:rsidP="00F320DF">
            <w:pPr>
              <w:cnfStyle w:val="100000000000" w:firstRow="1" w:lastRow="0" w:firstColumn="0" w:lastColumn="0" w:oddVBand="0" w:evenVBand="0" w:oddHBand="0" w:evenHBand="0" w:firstRowFirstColumn="0" w:firstRowLastColumn="0" w:lastRowFirstColumn="0" w:lastRowLastColumn="0"/>
            </w:pPr>
            <w:r w:rsidRPr="00F320DF">
              <w:t>Total</w:t>
            </w:r>
          </w:p>
        </w:tc>
      </w:tr>
      <w:tr w:rsidR="00AC1F2A" w:rsidRPr="00F320DF" w:rsidTr="002465BC">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C1F2A" w:rsidRPr="00F320DF" w:rsidRDefault="00AC1F2A" w:rsidP="00F320DF">
            <w:r w:rsidRPr="00F320DF">
              <w:t>Tax payable</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22.1</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17.7</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20.6</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23.3</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15.4</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pPr>
            <w:r w:rsidRPr="00056EA7">
              <w:t>99.2</w:t>
            </w:r>
          </w:p>
        </w:tc>
      </w:tr>
      <w:tr w:rsidR="00AC1F2A" w:rsidRPr="00F320DF" w:rsidTr="002465BC">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C1F2A" w:rsidRPr="00F320DF" w:rsidRDefault="00AC1F2A" w:rsidP="00F320DF">
            <w:r w:rsidRPr="007F53D3">
              <w:rPr>
                <w:rStyle w:val="Emphasis"/>
              </w:rPr>
              <w:t xml:space="preserve">Less: </w:t>
            </w:r>
            <w:r w:rsidRPr="00F320DF">
              <w:t>value of imputation credits</w:t>
            </w:r>
          </w:p>
        </w:tc>
        <w:tc>
          <w:tcPr>
            <w:tcW w:w="926"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8.8</w:t>
            </w:r>
          </w:p>
        </w:tc>
        <w:tc>
          <w:tcPr>
            <w:tcW w:w="927"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7.1</w:t>
            </w:r>
          </w:p>
        </w:tc>
        <w:tc>
          <w:tcPr>
            <w:tcW w:w="926"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8.2</w:t>
            </w:r>
          </w:p>
        </w:tc>
        <w:tc>
          <w:tcPr>
            <w:tcW w:w="927"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9.3</w:t>
            </w:r>
          </w:p>
        </w:tc>
        <w:tc>
          <w:tcPr>
            <w:tcW w:w="926"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6.2</w:t>
            </w:r>
          </w:p>
        </w:tc>
        <w:tc>
          <w:tcPr>
            <w:tcW w:w="927" w:type="dxa"/>
            <w:noWrap/>
            <w:vAlign w:val="bottom"/>
          </w:tcPr>
          <w:p w:rsidR="00AC1F2A" w:rsidRPr="00056EA7" w:rsidRDefault="00AC1F2A" w:rsidP="00056EA7">
            <w:pPr>
              <w:cnfStyle w:val="000000010000" w:firstRow="0" w:lastRow="0" w:firstColumn="0" w:lastColumn="0" w:oddVBand="0" w:evenVBand="0" w:oddHBand="0" w:evenHBand="1" w:firstRowFirstColumn="0" w:firstRowLastColumn="0" w:lastRowFirstColumn="0" w:lastRowLastColumn="0"/>
            </w:pPr>
            <w:r w:rsidRPr="00056EA7">
              <w:t>39.7</w:t>
            </w:r>
          </w:p>
        </w:tc>
      </w:tr>
      <w:tr w:rsidR="00AC1F2A" w:rsidRPr="00056EA7" w:rsidTr="002465BC">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C1F2A" w:rsidRPr="00056EA7" w:rsidRDefault="00AC1F2A" w:rsidP="00F320DF">
            <w:pPr>
              <w:rPr>
                <w:rStyle w:val="Strong"/>
              </w:rPr>
            </w:pPr>
            <w:r w:rsidRPr="00056EA7">
              <w:rPr>
                <w:rStyle w:val="Strong"/>
              </w:rPr>
              <w:t>Net corporate income tax allowance</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13.2</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10.6</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12.4</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14.0</w:t>
            </w:r>
          </w:p>
        </w:tc>
        <w:tc>
          <w:tcPr>
            <w:tcW w:w="926"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9.2</w:t>
            </w:r>
          </w:p>
        </w:tc>
        <w:tc>
          <w:tcPr>
            <w:tcW w:w="927" w:type="dxa"/>
            <w:noWrap/>
            <w:vAlign w:val="bottom"/>
          </w:tcPr>
          <w:p w:rsidR="00AC1F2A" w:rsidRPr="00056EA7" w:rsidRDefault="00AC1F2A" w:rsidP="00056EA7">
            <w:pPr>
              <w:cnfStyle w:val="000000000000" w:firstRow="0" w:lastRow="0" w:firstColumn="0" w:lastColumn="0" w:oddVBand="0" w:evenVBand="0" w:oddHBand="0" w:evenHBand="0" w:firstRowFirstColumn="0" w:firstRowLastColumn="0" w:lastRowFirstColumn="0" w:lastRowLastColumn="0"/>
              <w:rPr>
                <w:rStyle w:val="Strong"/>
              </w:rPr>
            </w:pPr>
            <w:r w:rsidRPr="00056EA7">
              <w:rPr>
                <w:rStyle w:val="Strong"/>
              </w:rPr>
              <w:t>59.5</w:t>
            </w:r>
          </w:p>
        </w:tc>
      </w:tr>
    </w:tbl>
    <w:p w:rsidR="00667AB1" w:rsidRDefault="00667AB1" w:rsidP="00667AB1">
      <w:pPr>
        <w:pStyle w:val="AERtablesource"/>
      </w:pPr>
      <w:r>
        <w:t>Source:</w:t>
      </w:r>
      <w:r>
        <w:tab/>
        <w:t>AER analysis.</w:t>
      </w:r>
    </w:p>
    <w:p w:rsidR="00DE563D" w:rsidRPr="001754EE" w:rsidRDefault="000B321F" w:rsidP="005140D8">
      <w:pPr>
        <w:pStyle w:val="Heading2"/>
        <w:keepNext/>
        <w:ind w:left="720" w:hanging="720"/>
      </w:pPr>
      <w:bookmarkStart w:id="15" w:name="_Toc480809783"/>
      <w:r>
        <w:lastRenderedPageBreak/>
        <w:t>AusNet Services</w:t>
      </w:r>
      <w:r w:rsidR="00415F31" w:rsidRPr="001754EE">
        <w:t>’</w:t>
      </w:r>
      <w:r w:rsidR="00DE563D" w:rsidRPr="001754EE">
        <w:t xml:space="preserve"> </w:t>
      </w:r>
      <w:r w:rsidR="00763DCB">
        <w:t xml:space="preserve">revised </w:t>
      </w:r>
      <w:r w:rsidR="00DE563D" w:rsidRPr="001754EE">
        <w:t>proposal</w:t>
      </w:r>
      <w:bookmarkEnd w:id="13"/>
      <w:bookmarkEnd w:id="15"/>
    </w:p>
    <w:p w:rsidR="00E0508B" w:rsidRPr="00383AF0" w:rsidRDefault="00E0508B" w:rsidP="00E0508B">
      <w:pPr>
        <w:numPr>
          <w:ilvl w:val="0"/>
          <w:numId w:val="25"/>
        </w:numPr>
      </w:pPr>
      <w:r w:rsidRPr="00023C54">
        <w:rPr>
          <w:rStyle w:val="AERbody"/>
        </w:rPr>
        <w:t>AusNet Services revised its corporate income tax allowance using the AER's PTRM</w:t>
      </w:r>
      <w:r w:rsidR="00E56FC8" w:rsidRPr="00023C54">
        <w:rPr>
          <w:rStyle w:val="AERbody"/>
        </w:rPr>
        <w:t xml:space="preserve"> with the following changes from our draft decision</w:t>
      </w:r>
      <w:r w:rsidR="00E56FC8" w:rsidRPr="00383AF0">
        <w:t>:</w:t>
      </w:r>
      <w:r w:rsidRPr="00383AF0">
        <w:rPr>
          <w:rStyle w:val="FootnoteReference"/>
        </w:rPr>
        <w:footnoteReference w:id="3"/>
      </w:r>
    </w:p>
    <w:p w:rsidR="00E56FC8" w:rsidRPr="00383AF0" w:rsidRDefault="00FF3A7A" w:rsidP="00E56FC8">
      <w:pPr>
        <w:pStyle w:val="AERbulletlistfirststyle"/>
      </w:pPr>
      <w:r w:rsidRPr="00383AF0">
        <w:t>O</w:t>
      </w:r>
      <w:r w:rsidR="00E0508B" w:rsidRPr="00383AF0">
        <w:t xml:space="preserve">pening TAB at 1 April 2017, reflecting </w:t>
      </w:r>
      <w:r w:rsidR="00E56FC8" w:rsidRPr="00383AF0">
        <w:t>additional amendments to reflect historical capex allocation issues</w:t>
      </w:r>
      <w:r w:rsidR="00436D35">
        <w:t xml:space="preserve"> and updated for </w:t>
      </w:r>
      <w:r w:rsidR="000940E5">
        <w:t xml:space="preserve">2015–16 </w:t>
      </w:r>
      <w:r w:rsidR="00436D35">
        <w:t>actual capex.</w:t>
      </w:r>
    </w:p>
    <w:p w:rsidR="00FF3A7A" w:rsidRPr="00383AF0" w:rsidRDefault="00FF3A7A" w:rsidP="00FF3A7A">
      <w:pPr>
        <w:pStyle w:val="AERbulletlistfirststyle"/>
      </w:pPr>
      <w:r w:rsidRPr="00383AF0">
        <w:t>Value for gamma of 0.25</w:t>
      </w:r>
      <w:r w:rsidR="00276002">
        <w:t xml:space="preserve">, </w:t>
      </w:r>
      <w:r w:rsidRPr="00383AF0">
        <w:t>consistent with its initial proposal</w:t>
      </w:r>
      <w:r w:rsidR="00436D35">
        <w:t>.</w:t>
      </w:r>
    </w:p>
    <w:p w:rsidR="00E0508B" w:rsidRPr="00383AF0" w:rsidRDefault="00436D35" w:rsidP="00E0508B">
      <w:pPr>
        <w:pStyle w:val="AERbulletlistfirststyle"/>
      </w:pPr>
      <w:r>
        <w:t>Revised f</w:t>
      </w:r>
      <w:r w:rsidR="00E0508B" w:rsidRPr="00383AF0">
        <w:t>orecast capex</w:t>
      </w:r>
      <w:r>
        <w:t>.</w:t>
      </w:r>
    </w:p>
    <w:p w:rsidR="00E0508B" w:rsidRPr="00383AF0" w:rsidRDefault="00436D35" w:rsidP="00E0508B">
      <w:pPr>
        <w:pStyle w:val="AERbulletlistfirststyle"/>
      </w:pPr>
      <w:r>
        <w:t>Revised f</w:t>
      </w:r>
      <w:r w:rsidR="00FF3A7A" w:rsidRPr="00383AF0">
        <w:t>orecast opex</w:t>
      </w:r>
      <w:r>
        <w:t>.</w:t>
      </w:r>
    </w:p>
    <w:p w:rsidR="00FF3A7A" w:rsidRPr="00383AF0" w:rsidRDefault="00436D35" w:rsidP="00E0508B">
      <w:pPr>
        <w:pStyle w:val="AERbulletlistfirststyle"/>
      </w:pPr>
      <w:r>
        <w:t>Revised r</w:t>
      </w:r>
      <w:r w:rsidR="00FF3A7A" w:rsidRPr="00383AF0">
        <w:t xml:space="preserve">ate of </w:t>
      </w:r>
      <w:r w:rsidR="00276002">
        <w:t>r</w:t>
      </w:r>
      <w:r w:rsidR="00FF3A7A" w:rsidRPr="00383AF0">
        <w:t>eturn</w:t>
      </w:r>
      <w:r w:rsidR="00CE1C65">
        <w:t>.</w:t>
      </w:r>
    </w:p>
    <w:p w:rsidR="00AF4B43" w:rsidRPr="00383AF0" w:rsidRDefault="002E7E56" w:rsidP="00E0508B">
      <w:pPr>
        <w:pStyle w:val="AERbulletlistfirststyle"/>
      </w:pPr>
      <w:r>
        <w:t>The addition of</w:t>
      </w:r>
      <w:r w:rsidR="00AF4B43" w:rsidRPr="00383AF0">
        <w:t xml:space="preserve"> two new asset classes to accelerate depreciation of connection assets related to </w:t>
      </w:r>
      <w:r w:rsidR="000940E5">
        <w:t xml:space="preserve">the </w:t>
      </w:r>
      <w:r w:rsidR="00AF4B43" w:rsidRPr="00383AF0">
        <w:t>Yallourn Power Station</w:t>
      </w:r>
      <w:r w:rsidR="00CE1C65">
        <w:t>.</w:t>
      </w:r>
    </w:p>
    <w:p w:rsidR="000A653E" w:rsidRDefault="00E0508B" w:rsidP="00E0508B">
      <w:pPr>
        <w:pStyle w:val="AERbulletlistfirststyle"/>
        <w:numPr>
          <w:ilvl w:val="0"/>
          <w:numId w:val="0"/>
        </w:numPr>
        <w:rPr>
          <w:rStyle w:val="AERbody"/>
        </w:rPr>
      </w:pPr>
      <w:r w:rsidRPr="00023C54">
        <w:rPr>
          <w:rStyle w:val="AERbody"/>
        </w:rPr>
        <w:t>AusNet Services used the standard tax asset lives consistent with those approved in the draft decision</w:t>
      </w:r>
      <w:r w:rsidR="00436D35">
        <w:rPr>
          <w:rStyle w:val="AERbody"/>
        </w:rPr>
        <w:t>.</w:t>
      </w:r>
      <w:r w:rsidR="00AF4B43" w:rsidRPr="00023C54">
        <w:rPr>
          <w:rStyle w:val="AERbody"/>
        </w:rPr>
        <w:t xml:space="preserve"> </w:t>
      </w:r>
      <w:r w:rsidR="00436D35">
        <w:rPr>
          <w:rStyle w:val="AERbody"/>
        </w:rPr>
        <w:t>I</w:t>
      </w:r>
      <w:r w:rsidR="00AF4B43" w:rsidRPr="00023C54">
        <w:rPr>
          <w:rStyle w:val="AERbody"/>
        </w:rPr>
        <w:t>t a</w:t>
      </w:r>
      <w:r w:rsidR="000940E5">
        <w:rPr>
          <w:rStyle w:val="AERbody"/>
        </w:rPr>
        <w:t>dopted</w:t>
      </w:r>
      <w:r w:rsidR="00AF4B43" w:rsidRPr="00023C54">
        <w:rPr>
          <w:rStyle w:val="AERbody"/>
        </w:rPr>
        <w:t xml:space="preserve"> our draft decision to accelerate the TAB value of assets which have been removed from service</w:t>
      </w:r>
      <w:r w:rsidR="00276002">
        <w:rPr>
          <w:rStyle w:val="AERbody"/>
        </w:rPr>
        <w:t>,</w:t>
      </w:r>
      <w:r w:rsidR="00AF4B43" w:rsidRPr="00023C54">
        <w:rPr>
          <w:rStyle w:val="AERbody"/>
        </w:rPr>
        <w:t xml:space="preserve"> consistent with </w:t>
      </w:r>
      <w:r w:rsidR="000940E5">
        <w:rPr>
          <w:rStyle w:val="AERbody"/>
        </w:rPr>
        <w:t xml:space="preserve">the </w:t>
      </w:r>
      <w:r w:rsidR="00AF4B43" w:rsidRPr="00023C54">
        <w:rPr>
          <w:rStyle w:val="AERbody"/>
        </w:rPr>
        <w:t>RAB depreciation profile for these assets.</w:t>
      </w:r>
      <w:r w:rsidR="00815614" w:rsidRPr="00023C54">
        <w:rPr>
          <w:rStyle w:val="AERbody"/>
        </w:rPr>
        <w:t xml:space="preserve"> </w:t>
      </w:r>
      <w:r w:rsidR="0098653D">
        <w:rPr>
          <w:rStyle w:val="AERbody"/>
        </w:rPr>
        <w:t>AusNet Services also adopted our draft decision on the updated remaining tax asset lives for its Group 3 assets.</w:t>
      </w:r>
    </w:p>
    <w:p w:rsidR="00255C53" w:rsidRPr="00023C54" w:rsidRDefault="00815614" w:rsidP="00E0508B">
      <w:pPr>
        <w:pStyle w:val="AERbulletlistfirststyle"/>
        <w:numPr>
          <w:ilvl w:val="0"/>
          <w:numId w:val="0"/>
        </w:numPr>
        <w:rPr>
          <w:rStyle w:val="AERbody"/>
        </w:rPr>
      </w:pPr>
      <w:r w:rsidRPr="00023C54">
        <w:rPr>
          <w:rStyle w:val="AERbody"/>
        </w:rPr>
        <w:t>AusNet Services also adopted our draft decision on the tax treatment of the revenue adjustments arising from the operation of the EBSS over the 2014</w:t>
      </w:r>
      <w:r w:rsidR="00276002">
        <w:rPr>
          <w:rStyle w:val="AERbody"/>
        </w:rPr>
        <w:t>–</w:t>
      </w:r>
      <w:r w:rsidRPr="00023C54">
        <w:rPr>
          <w:rStyle w:val="AERbody"/>
        </w:rPr>
        <w:t xml:space="preserve">17 regulatory control </w:t>
      </w:r>
      <w:proofErr w:type="gramStart"/>
      <w:r w:rsidRPr="00023C54">
        <w:rPr>
          <w:rStyle w:val="AERbody"/>
        </w:rPr>
        <w:t>period</w:t>
      </w:r>
      <w:proofErr w:type="gramEnd"/>
      <w:r w:rsidRPr="00023C54">
        <w:rPr>
          <w:rStyle w:val="AERbody"/>
        </w:rPr>
        <w:t>.</w:t>
      </w:r>
    </w:p>
    <w:p w:rsidR="00E0508B" w:rsidRPr="00023C54" w:rsidRDefault="00E0508B" w:rsidP="00E0508B">
      <w:pPr>
        <w:pStyle w:val="AERbulletlistfirststyle"/>
        <w:numPr>
          <w:ilvl w:val="0"/>
          <w:numId w:val="0"/>
        </w:numPr>
        <w:rPr>
          <w:rStyle w:val="AERbody"/>
        </w:rPr>
      </w:pPr>
      <w:r w:rsidRPr="00023C54">
        <w:rPr>
          <w:rStyle w:val="AERbody"/>
        </w:rPr>
        <w:t>Due to the revised inputs, AusNet Services'</w:t>
      </w:r>
      <w:r w:rsidR="00E3172B">
        <w:rPr>
          <w:rStyle w:val="AERbody"/>
        </w:rPr>
        <w:t xml:space="preserve"> revised</w:t>
      </w:r>
      <w:r w:rsidR="000940E5">
        <w:rPr>
          <w:rStyle w:val="AERbody"/>
        </w:rPr>
        <w:t xml:space="preserve"> proposed</w:t>
      </w:r>
      <w:r w:rsidRPr="00023C54">
        <w:rPr>
          <w:rStyle w:val="AERbody"/>
        </w:rPr>
        <w:t xml:space="preserve"> corporate income tax allowance </w:t>
      </w:r>
      <w:r w:rsidR="000940E5">
        <w:rPr>
          <w:rStyle w:val="AERbody"/>
        </w:rPr>
        <w:t>is</w:t>
      </w:r>
      <w:r w:rsidRPr="00023C54">
        <w:rPr>
          <w:rStyle w:val="AERbody"/>
        </w:rPr>
        <w:t xml:space="preserve"> $</w:t>
      </w:r>
      <w:r w:rsidR="00383AF0" w:rsidRPr="00023C54">
        <w:rPr>
          <w:rStyle w:val="AERbody"/>
        </w:rPr>
        <w:t>112.6</w:t>
      </w:r>
      <w:r w:rsidRPr="00023C54">
        <w:rPr>
          <w:rStyle w:val="AERbody"/>
        </w:rPr>
        <w:t xml:space="preserve"> million</w:t>
      </w:r>
      <w:r w:rsidR="000940E5">
        <w:rPr>
          <w:rStyle w:val="AERbody"/>
        </w:rPr>
        <w:t>,</w:t>
      </w:r>
      <w:r w:rsidR="00E3172B">
        <w:rPr>
          <w:rStyle w:val="AERbody"/>
        </w:rPr>
        <w:t xml:space="preserve"> a reduction of $55.3 million </w:t>
      </w:r>
      <w:r w:rsidRPr="00023C54">
        <w:rPr>
          <w:rStyle w:val="AERbody"/>
        </w:rPr>
        <w:t xml:space="preserve">(or </w:t>
      </w:r>
      <w:r w:rsidR="00383AF0" w:rsidRPr="00023C54">
        <w:rPr>
          <w:rStyle w:val="AERbody"/>
        </w:rPr>
        <w:t>32.9</w:t>
      </w:r>
      <w:r w:rsidRPr="00023C54">
        <w:rPr>
          <w:rStyle w:val="AERbody"/>
        </w:rPr>
        <w:t xml:space="preserve"> per cent) </w:t>
      </w:r>
      <w:r w:rsidR="00E3172B">
        <w:rPr>
          <w:rStyle w:val="AERbody"/>
        </w:rPr>
        <w:t>compared to its</w:t>
      </w:r>
      <w:r w:rsidRPr="00023C54">
        <w:rPr>
          <w:rStyle w:val="AERbody"/>
        </w:rPr>
        <w:t xml:space="preserve"> initial proposal</w:t>
      </w:r>
      <w:r w:rsidR="00E3172B">
        <w:rPr>
          <w:rStyle w:val="AERbody"/>
        </w:rPr>
        <w:t xml:space="preserve"> of $167.9 million.</w:t>
      </w:r>
    </w:p>
    <w:p w:rsidR="00F5413B" w:rsidRPr="00023C54" w:rsidRDefault="00E0508B" w:rsidP="00E0508B">
      <w:pPr>
        <w:rPr>
          <w:rStyle w:val="AERbody"/>
        </w:rPr>
      </w:pPr>
      <w:r w:rsidRPr="00023C54">
        <w:rPr>
          <w:rStyle w:val="AERbody"/>
        </w:rPr>
        <w:fldChar w:fldCharType="begin"/>
      </w:r>
      <w:r w:rsidRPr="00023C54">
        <w:rPr>
          <w:rStyle w:val="AERbody"/>
        </w:rPr>
        <w:instrText xml:space="preserve"> REF _Ref437589710 \h </w:instrText>
      </w:r>
      <w:r w:rsidR="00383AF0" w:rsidRPr="00023C54">
        <w:rPr>
          <w:rStyle w:val="AERbody"/>
        </w:rPr>
        <w:instrText xml:space="preserve"> \* MERGEFORMAT </w:instrText>
      </w:r>
      <w:r w:rsidRPr="00023C54">
        <w:rPr>
          <w:rStyle w:val="AERbody"/>
        </w:rPr>
      </w:r>
      <w:r w:rsidRPr="00023C54">
        <w:rPr>
          <w:rStyle w:val="AERbody"/>
        </w:rPr>
        <w:fldChar w:fldCharType="separate"/>
      </w:r>
      <w:r w:rsidR="00DE11A5" w:rsidRPr="003145E3">
        <w:rPr>
          <w:rStyle w:val="AERbody"/>
        </w:rPr>
        <w:t>Table 8.2</w:t>
      </w:r>
      <w:r w:rsidRPr="00023C54">
        <w:rPr>
          <w:rStyle w:val="AERbody"/>
        </w:rPr>
        <w:fldChar w:fldCharType="end"/>
      </w:r>
      <w:r w:rsidRPr="00023C54">
        <w:rPr>
          <w:rStyle w:val="AERbody"/>
        </w:rPr>
        <w:t xml:space="preserve"> sets out AusNet Services' revised proposed corporate income tax allowance for the 2017</w:t>
      </w:r>
      <w:r w:rsidR="00276002">
        <w:rPr>
          <w:rStyle w:val="AERbody"/>
        </w:rPr>
        <w:t>–</w:t>
      </w:r>
      <w:r w:rsidRPr="00023C54">
        <w:rPr>
          <w:rStyle w:val="AERbody"/>
        </w:rPr>
        <w:t>22</w:t>
      </w:r>
      <w:r w:rsidR="000940E5">
        <w:rPr>
          <w:rStyle w:val="AERbody"/>
        </w:rPr>
        <w:t xml:space="preserve"> regulatory control</w:t>
      </w:r>
      <w:r w:rsidRPr="00023C54">
        <w:rPr>
          <w:rStyle w:val="AERbody"/>
        </w:rPr>
        <w:t xml:space="preserve"> </w:t>
      </w:r>
      <w:proofErr w:type="gramStart"/>
      <w:r w:rsidRPr="00023C54">
        <w:rPr>
          <w:rStyle w:val="AERbody"/>
        </w:rPr>
        <w:t>period</w:t>
      </w:r>
      <w:proofErr w:type="gramEnd"/>
      <w:r w:rsidRPr="00023C54">
        <w:rPr>
          <w:rStyle w:val="AERbody"/>
        </w:rPr>
        <w:t>.</w:t>
      </w:r>
    </w:p>
    <w:p w:rsidR="00617922" w:rsidRPr="00383AF0" w:rsidRDefault="00617922" w:rsidP="00617922">
      <w:pPr>
        <w:pStyle w:val="Caption"/>
        <w:keepLines/>
      </w:pPr>
      <w:bookmarkStart w:id="16" w:name="_Ref437589710"/>
      <w:proofErr w:type="gramStart"/>
      <w:r w:rsidRPr="00023C54">
        <w:t xml:space="preserve">Table </w:t>
      </w:r>
      <w:fldSimple w:instr=" STYLEREF 1 \s ">
        <w:r w:rsidR="00DE11A5">
          <w:rPr>
            <w:noProof/>
          </w:rPr>
          <w:t>8</w:t>
        </w:r>
      </w:fldSimple>
      <w:r w:rsidR="0002597E" w:rsidRPr="00023C54">
        <w:t>.</w:t>
      </w:r>
      <w:proofErr w:type="gramEnd"/>
      <w:r w:rsidR="0021304B">
        <w:fldChar w:fldCharType="begin"/>
      </w:r>
      <w:r w:rsidR="0021304B">
        <w:instrText xml:space="preserve"> SEQ Table \* ARABIC \s 1 </w:instrText>
      </w:r>
      <w:r w:rsidR="0021304B">
        <w:fldChar w:fldCharType="separate"/>
      </w:r>
      <w:r w:rsidR="00DE11A5">
        <w:rPr>
          <w:noProof/>
        </w:rPr>
        <w:t>2</w:t>
      </w:r>
      <w:r w:rsidR="0021304B">
        <w:rPr>
          <w:noProof/>
        </w:rPr>
        <w:fldChar w:fldCharType="end"/>
      </w:r>
      <w:bookmarkEnd w:id="16"/>
      <w:r w:rsidRPr="00023C54">
        <w:tab/>
        <w:t>AusNet</w:t>
      </w:r>
      <w:r>
        <w:t xml:space="preserve"> </w:t>
      </w:r>
      <w:r w:rsidRPr="00383AF0">
        <w:t xml:space="preserve">Services’ </w:t>
      </w:r>
      <w:r w:rsidR="005653C5" w:rsidRPr="00383AF0">
        <w:t xml:space="preserve">revised </w:t>
      </w:r>
      <w:r w:rsidRPr="00383AF0">
        <w:t>proposed corporate income tax allowance for the 2017–22 regulatory control period ($ million, nominal)</w:t>
      </w:r>
    </w:p>
    <w:tbl>
      <w:tblPr>
        <w:tblStyle w:val="AERtable-numbers"/>
        <w:tblW w:w="8644" w:type="dxa"/>
        <w:tblLayout w:type="fixed"/>
        <w:tblLook w:val="04A0" w:firstRow="1" w:lastRow="0" w:firstColumn="1" w:lastColumn="0" w:noHBand="0" w:noVBand="1"/>
      </w:tblPr>
      <w:tblGrid>
        <w:gridCol w:w="3085"/>
        <w:gridCol w:w="926"/>
        <w:gridCol w:w="927"/>
        <w:gridCol w:w="926"/>
        <w:gridCol w:w="927"/>
        <w:gridCol w:w="926"/>
        <w:gridCol w:w="927"/>
      </w:tblGrid>
      <w:tr w:rsidR="00617922" w:rsidRPr="00383AF0" w:rsidTr="00FF3E35">
        <w:trPr>
          <w:cnfStyle w:val="100000000000" w:firstRow="1" w:lastRow="0" w:firstColumn="0" w:lastColumn="0" w:oddVBand="0" w:evenVBand="0" w:oddHBand="0" w:evenHBand="0" w:firstRowFirstColumn="0" w:firstRowLastColumn="0" w:lastRowFirstColumn="0" w:lastRowLastColumn="0"/>
          <w:trHeight w:val="321"/>
          <w:tblHeader/>
        </w:trPr>
        <w:tc>
          <w:tcPr>
            <w:cnfStyle w:val="001000000000" w:firstRow="0" w:lastRow="0" w:firstColumn="1" w:lastColumn="0" w:oddVBand="0" w:evenVBand="0" w:oddHBand="0" w:evenHBand="0" w:firstRowFirstColumn="0" w:firstRowLastColumn="0" w:lastRowFirstColumn="0" w:lastRowLastColumn="0"/>
            <w:tcW w:w="3085" w:type="dxa"/>
            <w:noWrap/>
            <w:hideMark/>
          </w:tcPr>
          <w:p w:rsidR="00617922" w:rsidRPr="00383AF0" w:rsidRDefault="00617922" w:rsidP="0046304A">
            <w:r w:rsidRPr="00383AF0">
              <w:t> </w:t>
            </w:r>
          </w:p>
        </w:tc>
        <w:tc>
          <w:tcPr>
            <w:tcW w:w="926"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2017–18</w:t>
            </w:r>
          </w:p>
        </w:tc>
        <w:tc>
          <w:tcPr>
            <w:tcW w:w="927"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2018–19</w:t>
            </w:r>
          </w:p>
        </w:tc>
        <w:tc>
          <w:tcPr>
            <w:tcW w:w="926"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2019–20</w:t>
            </w:r>
          </w:p>
        </w:tc>
        <w:tc>
          <w:tcPr>
            <w:tcW w:w="927"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2020–21</w:t>
            </w:r>
          </w:p>
        </w:tc>
        <w:tc>
          <w:tcPr>
            <w:tcW w:w="926"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2021–22</w:t>
            </w:r>
          </w:p>
        </w:tc>
        <w:tc>
          <w:tcPr>
            <w:tcW w:w="927" w:type="dxa"/>
            <w:noWrap/>
            <w:hideMark/>
          </w:tcPr>
          <w:p w:rsidR="00617922" w:rsidRPr="00383AF0" w:rsidRDefault="00617922" w:rsidP="0046304A">
            <w:pPr>
              <w:cnfStyle w:val="100000000000" w:firstRow="1" w:lastRow="0" w:firstColumn="0" w:lastColumn="0" w:oddVBand="0" w:evenVBand="0" w:oddHBand="0" w:evenHBand="0" w:firstRowFirstColumn="0" w:firstRowLastColumn="0" w:lastRowFirstColumn="0" w:lastRowLastColumn="0"/>
            </w:pPr>
            <w:r w:rsidRPr="00383AF0">
              <w:t>Total</w:t>
            </w:r>
          </w:p>
        </w:tc>
      </w:tr>
      <w:tr w:rsidR="00181A5B" w:rsidRPr="00383AF0" w:rsidTr="00BF25F1">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81A5B" w:rsidRPr="00383AF0" w:rsidRDefault="00181A5B" w:rsidP="0046304A">
            <w:r w:rsidRPr="00383AF0">
              <w:t>Tax payable</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32.9</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28.1</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30.9</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33.4</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24.8</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pPr>
            <w:r w:rsidRPr="00383AF0">
              <w:t>150.2</w:t>
            </w:r>
          </w:p>
        </w:tc>
      </w:tr>
      <w:tr w:rsidR="00181A5B" w:rsidRPr="00383AF0" w:rsidTr="00BF25F1">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81A5B" w:rsidRPr="00383AF0" w:rsidRDefault="00181A5B" w:rsidP="0046304A">
            <w:r w:rsidRPr="00383AF0">
              <w:rPr>
                <w:rStyle w:val="Emphasis"/>
              </w:rPr>
              <w:t>Less:</w:t>
            </w:r>
            <w:r w:rsidRPr="00383AF0">
              <w:t xml:space="preserve"> value of imputation credits</w:t>
            </w:r>
          </w:p>
        </w:tc>
        <w:tc>
          <w:tcPr>
            <w:tcW w:w="926"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8.2</w:t>
            </w:r>
          </w:p>
        </w:tc>
        <w:tc>
          <w:tcPr>
            <w:tcW w:w="927"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7.0</w:t>
            </w:r>
          </w:p>
        </w:tc>
        <w:tc>
          <w:tcPr>
            <w:tcW w:w="926"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7.7</w:t>
            </w:r>
          </w:p>
        </w:tc>
        <w:tc>
          <w:tcPr>
            <w:tcW w:w="927"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8.4</w:t>
            </w:r>
          </w:p>
        </w:tc>
        <w:tc>
          <w:tcPr>
            <w:tcW w:w="926"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6.2</w:t>
            </w:r>
          </w:p>
        </w:tc>
        <w:tc>
          <w:tcPr>
            <w:tcW w:w="927" w:type="dxa"/>
            <w:noWrap/>
            <w:vAlign w:val="bottom"/>
          </w:tcPr>
          <w:p w:rsidR="00181A5B" w:rsidRPr="00383AF0" w:rsidRDefault="00181A5B" w:rsidP="0046304A">
            <w:pPr>
              <w:cnfStyle w:val="000000010000" w:firstRow="0" w:lastRow="0" w:firstColumn="0" w:lastColumn="0" w:oddVBand="0" w:evenVBand="0" w:oddHBand="0" w:evenHBand="1" w:firstRowFirstColumn="0" w:firstRowLastColumn="0" w:lastRowFirstColumn="0" w:lastRowLastColumn="0"/>
            </w:pPr>
            <w:r w:rsidRPr="00383AF0">
              <w:t>37.5</w:t>
            </w:r>
          </w:p>
        </w:tc>
      </w:tr>
      <w:tr w:rsidR="00181A5B" w:rsidRPr="00383AF0" w:rsidTr="00BF25F1">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81A5B" w:rsidRPr="00383AF0" w:rsidRDefault="00181A5B" w:rsidP="0046304A">
            <w:pPr>
              <w:rPr>
                <w:rStyle w:val="Strong"/>
              </w:rPr>
            </w:pPr>
            <w:r w:rsidRPr="00383AF0">
              <w:rPr>
                <w:rStyle w:val="Strong"/>
              </w:rPr>
              <w:t>Net corporate income tax allowance</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24.7</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21.1</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23.1</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25.1</w:t>
            </w:r>
          </w:p>
        </w:tc>
        <w:tc>
          <w:tcPr>
            <w:tcW w:w="926"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18.6</w:t>
            </w:r>
          </w:p>
        </w:tc>
        <w:tc>
          <w:tcPr>
            <w:tcW w:w="927" w:type="dxa"/>
            <w:noWrap/>
            <w:vAlign w:val="bottom"/>
          </w:tcPr>
          <w:p w:rsidR="00181A5B" w:rsidRPr="00383AF0" w:rsidRDefault="00181A5B" w:rsidP="0046304A">
            <w:pPr>
              <w:cnfStyle w:val="000000000000" w:firstRow="0" w:lastRow="0" w:firstColumn="0" w:lastColumn="0" w:oddVBand="0" w:evenVBand="0" w:oddHBand="0" w:evenHBand="0" w:firstRowFirstColumn="0" w:firstRowLastColumn="0" w:lastRowFirstColumn="0" w:lastRowLastColumn="0"/>
              <w:rPr>
                <w:rStyle w:val="Strong"/>
              </w:rPr>
            </w:pPr>
            <w:r w:rsidRPr="00383AF0">
              <w:rPr>
                <w:rStyle w:val="Strong"/>
              </w:rPr>
              <w:t>112.6</w:t>
            </w:r>
          </w:p>
        </w:tc>
      </w:tr>
    </w:tbl>
    <w:p w:rsidR="00617922" w:rsidRDefault="00617922" w:rsidP="00617922">
      <w:pPr>
        <w:pStyle w:val="AERtablesource"/>
      </w:pPr>
      <w:r w:rsidRPr="00383AF0">
        <w:t>Source:</w:t>
      </w:r>
      <w:r w:rsidRPr="00383AF0">
        <w:tab/>
        <w:t xml:space="preserve">AusNet Services, </w:t>
      </w:r>
      <w:r w:rsidR="00181A5B" w:rsidRPr="001539A2">
        <w:rPr>
          <w:rStyle w:val="Emphasis"/>
        </w:rPr>
        <w:t xml:space="preserve">Revised </w:t>
      </w:r>
      <w:r w:rsidR="0046703F">
        <w:rPr>
          <w:rStyle w:val="Emphasis"/>
        </w:rPr>
        <w:t>revenue</w:t>
      </w:r>
      <w:r w:rsidRPr="001539A2">
        <w:rPr>
          <w:rStyle w:val="Emphasis"/>
        </w:rPr>
        <w:t xml:space="preserve"> </w:t>
      </w:r>
      <w:r w:rsidR="0046703F">
        <w:rPr>
          <w:rStyle w:val="Emphasis"/>
        </w:rPr>
        <w:t>p</w:t>
      </w:r>
      <w:r w:rsidRPr="001539A2">
        <w:rPr>
          <w:rStyle w:val="Emphasis"/>
        </w:rPr>
        <w:t>roposal</w:t>
      </w:r>
      <w:r w:rsidRPr="00383AF0">
        <w:t>, p.</w:t>
      </w:r>
      <w:r w:rsidR="00390255">
        <w:t xml:space="preserve"> </w:t>
      </w:r>
      <w:r w:rsidR="0017141B">
        <w:t>19</w:t>
      </w:r>
      <w:r w:rsidRPr="00383AF0">
        <w:t>.</w:t>
      </w:r>
    </w:p>
    <w:p w:rsidR="00DE563D" w:rsidRDefault="00DE563D" w:rsidP="005140D8">
      <w:pPr>
        <w:pStyle w:val="Heading2"/>
        <w:keepNext/>
        <w:ind w:left="720" w:hanging="720"/>
      </w:pPr>
      <w:bookmarkStart w:id="17" w:name="_Toc403144138"/>
      <w:bookmarkStart w:id="18" w:name="_Toc480809784"/>
      <w:r w:rsidRPr="001754EE">
        <w:lastRenderedPageBreak/>
        <w:t>AER’s</w:t>
      </w:r>
      <w:r>
        <w:t xml:space="preserve"> assessment approach</w:t>
      </w:r>
      <w:bookmarkEnd w:id="17"/>
      <w:bookmarkEnd w:id="18"/>
    </w:p>
    <w:p w:rsidR="00181A5B" w:rsidRPr="00023C54" w:rsidRDefault="00181A5B" w:rsidP="00617922">
      <w:pPr>
        <w:rPr>
          <w:rStyle w:val="AERbody"/>
        </w:rPr>
      </w:pPr>
      <w:r w:rsidRPr="00023C54">
        <w:rPr>
          <w:rStyle w:val="AERbody"/>
        </w:rPr>
        <w:t xml:space="preserve">We did not change our assessment approach for the corporate income tax allowance from our draft decision. </w:t>
      </w:r>
      <w:r w:rsidR="0077455A" w:rsidRPr="00023C54">
        <w:rPr>
          <w:rStyle w:val="AERbody"/>
        </w:rPr>
        <w:t>Section</w:t>
      </w:r>
      <w:r w:rsidRPr="00023C54">
        <w:rPr>
          <w:rStyle w:val="AERbody"/>
        </w:rPr>
        <w:t xml:space="preserve"> 8.3 of our </w:t>
      </w:r>
      <w:r w:rsidR="00D132C5" w:rsidRPr="00023C54">
        <w:rPr>
          <w:rStyle w:val="AERbody"/>
        </w:rPr>
        <w:t>draft decision</w:t>
      </w:r>
      <w:r w:rsidRPr="00023C54">
        <w:rPr>
          <w:rStyle w:val="AERbody"/>
        </w:rPr>
        <w:t xml:space="preserve"> details that approach.</w:t>
      </w:r>
    </w:p>
    <w:p w:rsidR="00DE563D" w:rsidRPr="000355C8" w:rsidRDefault="00DE563D" w:rsidP="005140D8">
      <w:pPr>
        <w:pStyle w:val="Heading2"/>
        <w:keepNext/>
        <w:ind w:left="720" w:hanging="720"/>
      </w:pPr>
      <w:bookmarkStart w:id="19" w:name="_Toc403144140"/>
      <w:bookmarkStart w:id="20" w:name="_Toc480809785"/>
      <w:r w:rsidRPr="000355C8">
        <w:t xml:space="preserve">Reasons for </w:t>
      </w:r>
      <w:r w:rsidR="00763DCB" w:rsidRPr="000355C8">
        <w:t>final</w:t>
      </w:r>
      <w:r w:rsidRPr="000355C8">
        <w:t xml:space="preserve"> decision</w:t>
      </w:r>
      <w:bookmarkEnd w:id="19"/>
      <w:bookmarkEnd w:id="20"/>
      <w:r w:rsidRPr="000355C8">
        <w:t xml:space="preserve"> </w:t>
      </w:r>
    </w:p>
    <w:p w:rsidR="00415B5D" w:rsidRDefault="00BB089B" w:rsidP="00415B5D">
      <w:pPr>
        <w:rPr>
          <w:rStyle w:val="AERbody"/>
        </w:rPr>
      </w:pPr>
      <w:r w:rsidRPr="000355C8">
        <w:rPr>
          <w:rStyle w:val="AERbody"/>
        </w:rPr>
        <w:t xml:space="preserve">We do not accept AusNet Services’ </w:t>
      </w:r>
      <w:r w:rsidR="009B081D" w:rsidRPr="000355C8">
        <w:rPr>
          <w:rStyle w:val="AERbody"/>
        </w:rPr>
        <w:t xml:space="preserve">revised </w:t>
      </w:r>
      <w:r w:rsidRPr="000355C8">
        <w:rPr>
          <w:rStyle w:val="AERbody"/>
        </w:rPr>
        <w:t>proposed</w:t>
      </w:r>
      <w:r w:rsidRPr="00BB089B">
        <w:rPr>
          <w:rStyle w:val="AERbody"/>
        </w:rPr>
        <w:t xml:space="preserve"> estimated cost of corporate </w:t>
      </w:r>
      <w:r w:rsidRPr="008653E7">
        <w:rPr>
          <w:rStyle w:val="AERbody"/>
        </w:rPr>
        <w:t xml:space="preserve">income tax. </w:t>
      </w:r>
      <w:r w:rsidR="00415B5D" w:rsidRPr="008653E7">
        <w:rPr>
          <w:rStyle w:val="AERbody"/>
        </w:rPr>
        <w:t>We instead determine a cost of corporate income tax allowance of $</w:t>
      </w:r>
      <w:r w:rsidR="008653E7">
        <w:rPr>
          <w:rStyle w:val="AERbody"/>
        </w:rPr>
        <w:t>59.</w:t>
      </w:r>
      <w:r w:rsidR="00AC1F2A">
        <w:rPr>
          <w:rStyle w:val="AERbody"/>
        </w:rPr>
        <w:t>5</w:t>
      </w:r>
      <w:r w:rsidR="008653E7">
        <w:rPr>
          <w:rStyle w:val="AERbody"/>
        </w:rPr>
        <w:t> </w:t>
      </w:r>
      <w:r w:rsidR="00415B5D" w:rsidRPr="008653E7">
        <w:rPr>
          <w:rStyle w:val="AERbody"/>
        </w:rPr>
        <w:t xml:space="preserve">million for the 2017–22 regulatory control </w:t>
      </w:r>
      <w:proofErr w:type="gramStart"/>
      <w:r w:rsidR="00415B5D" w:rsidRPr="008653E7">
        <w:rPr>
          <w:rStyle w:val="AERbody"/>
        </w:rPr>
        <w:t>period</w:t>
      </w:r>
      <w:proofErr w:type="gramEnd"/>
      <w:r w:rsidR="00415B5D" w:rsidRPr="008653E7">
        <w:rPr>
          <w:rStyle w:val="AERbody"/>
        </w:rPr>
        <w:t>. This represents a reduction of $</w:t>
      </w:r>
      <w:r w:rsidR="008653E7">
        <w:rPr>
          <w:rStyle w:val="AERbody"/>
        </w:rPr>
        <w:t>53.</w:t>
      </w:r>
      <w:r w:rsidR="00AC1F2A">
        <w:rPr>
          <w:rStyle w:val="AERbody"/>
        </w:rPr>
        <w:t>1</w:t>
      </w:r>
      <w:r w:rsidR="00415B5D" w:rsidRPr="008653E7">
        <w:rPr>
          <w:rStyle w:val="AERbody"/>
        </w:rPr>
        <w:t xml:space="preserve"> million (or </w:t>
      </w:r>
      <w:r w:rsidR="008653E7">
        <w:rPr>
          <w:rStyle w:val="AERbody"/>
        </w:rPr>
        <w:t>47.</w:t>
      </w:r>
      <w:r w:rsidR="00AC1F2A">
        <w:rPr>
          <w:rStyle w:val="AERbody"/>
        </w:rPr>
        <w:t>2</w:t>
      </w:r>
      <w:r w:rsidR="008653E7">
        <w:rPr>
          <w:rStyle w:val="AERbody"/>
        </w:rPr>
        <w:t> </w:t>
      </w:r>
      <w:r w:rsidR="00415B5D" w:rsidRPr="008653E7">
        <w:rPr>
          <w:rStyle w:val="AERbody"/>
        </w:rPr>
        <w:t>per cent</w:t>
      </w:r>
      <w:r w:rsidR="00415B5D" w:rsidRPr="00415B5D">
        <w:rPr>
          <w:rStyle w:val="AERbody"/>
        </w:rPr>
        <w:t>) from AusNet Services' revised proposal.</w:t>
      </w:r>
    </w:p>
    <w:p w:rsidR="00415B5D" w:rsidRPr="00023C54" w:rsidRDefault="00415B5D" w:rsidP="00415B5D">
      <w:pPr>
        <w:rPr>
          <w:rStyle w:val="AERbody"/>
        </w:rPr>
      </w:pPr>
      <w:r w:rsidRPr="00023C54">
        <w:rPr>
          <w:rStyle w:val="AERbody"/>
        </w:rPr>
        <w:t xml:space="preserve">This is because we adjusted the following </w:t>
      </w:r>
      <w:r w:rsidR="00DB51F0">
        <w:rPr>
          <w:rStyle w:val="AERbody"/>
        </w:rPr>
        <w:t xml:space="preserve">revised </w:t>
      </w:r>
      <w:r w:rsidRPr="00023C54">
        <w:rPr>
          <w:rStyle w:val="AERbody"/>
        </w:rPr>
        <w:t>proposed inputs to the PTRM for tax purposes</w:t>
      </w:r>
      <w:r w:rsidR="00DB51F0" w:rsidRPr="00DB51F0">
        <w:rPr>
          <w:rStyle w:val="AERbody"/>
        </w:rPr>
        <w:t xml:space="preserve"> </w:t>
      </w:r>
      <w:r w:rsidR="00DB51F0">
        <w:rPr>
          <w:rStyle w:val="AERbody"/>
        </w:rPr>
        <w:t>by AusNet Services</w:t>
      </w:r>
      <w:r w:rsidRPr="00023C54">
        <w:rPr>
          <w:rStyle w:val="AERbody"/>
        </w:rPr>
        <w:t>:</w:t>
      </w:r>
    </w:p>
    <w:p w:rsidR="00AC1F2A" w:rsidRDefault="00AC1F2A" w:rsidP="00415B5D">
      <w:pPr>
        <w:pStyle w:val="AERbulletlistfirststyle"/>
        <w:rPr>
          <w:rStyle w:val="AERbody"/>
        </w:rPr>
      </w:pPr>
      <w:r w:rsidRPr="000355C8">
        <w:t>the</w:t>
      </w:r>
      <w:r w:rsidRPr="00BB089B">
        <w:t xml:space="preserve"> opening TAB value at 1 April 2017 (section </w:t>
      </w:r>
      <w:r w:rsidRPr="00BB089B">
        <w:fldChar w:fldCharType="begin"/>
      </w:r>
      <w:r w:rsidRPr="00BB089B">
        <w:instrText xml:space="preserve"> REF _Ref437591897 \r \h </w:instrText>
      </w:r>
      <w:r>
        <w:instrText xml:space="preserve"> \* MERGEFORMAT </w:instrText>
      </w:r>
      <w:r w:rsidRPr="00BB089B">
        <w:fldChar w:fldCharType="separate"/>
      </w:r>
      <w:r w:rsidR="00DE11A5">
        <w:t>8.4.1</w:t>
      </w:r>
      <w:r w:rsidRPr="00BB089B">
        <w:fldChar w:fldCharType="end"/>
      </w:r>
      <w:r w:rsidRPr="00BB089B">
        <w:t>)</w:t>
      </w:r>
    </w:p>
    <w:p w:rsidR="00AC1F2A" w:rsidRDefault="00AC1F2A" w:rsidP="00415B5D">
      <w:pPr>
        <w:pStyle w:val="AERbulletlistfirststyle"/>
        <w:rPr>
          <w:rStyle w:val="AERbody"/>
        </w:rPr>
      </w:pPr>
      <w:r>
        <w:rPr>
          <w:rStyle w:val="AERbody"/>
        </w:rPr>
        <w:t xml:space="preserve">the remaining tax asset lives (section </w:t>
      </w:r>
      <w:r>
        <w:rPr>
          <w:rStyle w:val="AERbody"/>
        </w:rPr>
        <w:fldChar w:fldCharType="begin"/>
      </w:r>
      <w:r>
        <w:rPr>
          <w:rStyle w:val="AERbody"/>
        </w:rPr>
        <w:instrText xml:space="preserve"> REF _Ref437591930 \r \h </w:instrText>
      </w:r>
      <w:r>
        <w:rPr>
          <w:rStyle w:val="AERbody"/>
        </w:rPr>
      </w:r>
      <w:r>
        <w:rPr>
          <w:rStyle w:val="AERbody"/>
        </w:rPr>
        <w:fldChar w:fldCharType="separate"/>
      </w:r>
      <w:r w:rsidR="00DE11A5">
        <w:rPr>
          <w:rStyle w:val="AERbody"/>
        </w:rPr>
        <w:t>8.4.3</w:t>
      </w:r>
      <w:r>
        <w:rPr>
          <w:rStyle w:val="AERbody"/>
        </w:rPr>
        <w:fldChar w:fldCharType="end"/>
      </w:r>
      <w:r>
        <w:rPr>
          <w:rStyle w:val="AERbody"/>
        </w:rPr>
        <w:t>)</w:t>
      </w:r>
    </w:p>
    <w:p w:rsidR="00FD20CC" w:rsidRDefault="00FD20CC" w:rsidP="00415B5D">
      <w:pPr>
        <w:pStyle w:val="AERbulletlistfirststyle"/>
        <w:rPr>
          <w:rStyle w:val="AERbody"/>
        </w:rPr>
      </w:pPr>
      <w:r>
        <w:rPr>
          <w:rStyle w:val="AERbody"/>
        </w:rPr>
        <w:t xml:space="preserve">the accelerated tax depreciation of assets related to </w:t>
      </w:r>
      <w:r w:rsidR="00DB51F0">
        <w:rPr>
          <w:rStyle w:val="AERbody"/>
        </w:rPr>
        <w:t xml:space="preserve">the </w:t>
      </w:r>
      <w:r>
        <w:rPr>
          <w:rStyle w:val="AERbody"/>
        </w:rPr>
        <w:t>Yallourn Power Station</w:t>
      </w:r>
      <w:r w:rsidR="0021304B">
        <w:rPr>
          <w:rStyle w:val="AERbody"/>
        </w:rPr>
        <w:t xml:space="preserve"> (attachment 5)</w:t>
      </w:r>
    </w:p>
    <w:p w:rsidR="00415B5D" w:rsidRDefault="00415B5D" w:rsidP="00415B5D">
      <w:pPr>
        <w:pStyle w:val="AERbulletlistfirststyle"/>
        <w:rPr>
          <w:rStyle w:val="AERbody"/>
        </w:rPr>
      </w:pPr>
      <w:r w:rsidRPr="00BB089B">
        <w:rPr>
          <w:rStyle w:val="AERbody"/>
        </w:rPr>
        <w:t>the value of gamma (attachment 4)</w:t>
      </w:r>
    </w:p>
    <w:p w:rsidR="00415B5D" w:rsidRPr="002810ED" w:rsidRDefault="00415B5D" w:rsidP="00415B5D">
      <w:pPr>
        <w:pStyle w:val="AERbulletlistfirststyle"/>
        <w:rPr>
          <w:rStyle w:val="AERbody"/>
        </w:rPr>
      </w:pPr>
      <w:r w:rsidRPr="00BB089B">
        <w:rPr>
          <w:rStyle w:val="AERbody"/>
        </w:rPr>
        <w:t xml:space="preserve">other building </w:t>
      </w:r>
      <w:r w:rsidRPr="002810ED">
        <w:rPr>
          <w:rStyle w:val="AERbody"/>
        </w:rPr>
        <w:t>block components including forecast opex (attachment 7)</w:t>
      </w:r>
      <w:r w:rsidR="00CB03F9" w:rsidRPr="002810ED">
        <w:rPr>
          <w:rStyle w:val="AERbody"/>
        </w:rPr>
        <w:t>,</w:t>
      </w:r>
      <w:r w:rsidRPr="002810ED">
        <w:rPr>
          <w:rStyle w:val="AERbody"/>
        </w:rPr>
        <w:t xml:space="preserve"> forecast capex (attachment 6) </w:t>
      </w:r>
      <w:r w:rsidR="00CB03F9" w:rsidRPr="002810ED">
        <w:rPr>
          <w:rStyle w:val="AERbody"/>
        </w:rPr>
        <w:t xml:space="preserve">and rate of return (attachment 3) </w:t>
      </w:r>
      <w:r w:rsidRPr="002810ED">
        <w:rPr>
          <w:rStyle w:val="AERbody"/>
        </w:rPr>
        <w:t>that impact revenues, and therefore also impact the forecast corporate income tax allowance.</w:t>
      </w:r>
    </w:p>
    <w:p w:rsidR="006F57DB" w:rsidRDefault="00BB089B" w:rsidP="00AC1F2A">
      <w:pPr>
        <w:rPr>
          <w:rStyle w:val="AERbody"/>
        </w:rPr>
      </w:pPr>
      <w:r w:rsidRPr="002810ED">
        <w:rPr>
          <w:rStyle w:val="AERbody"/>
        </w:rPr>
        <w:t>We accept</w:t>
      </w:r>
      <w:r w:rsidR="00AC1F2A">
        <w:rPr>
          <w:rStyle w:val="AERbody"/>
        </w:rPr>
        <w:t xml:space="preserve"> AusNet Services’ revised proposed </w:t>
      </w:r>
      <w:r w:rsidRPr="00BB089B">
        <w:rPr>
          <w:rStyle w:val="AERbody"/>
        </w:rPr>
        <w:t xml:space="preserve">standard </w:t>
      </w:r>
      <w:r>
        <w:rPr>
          <w:rStyle w:val="AERbody"/>
        </w:rPr>
        <w:t xml:space="preserve">tax asset lives (section </w:t>
      </w:r>
      <w:r>
        <w:rPr>
          <w:rStyle w:val="AERbody"/>
        </w:rPr>
        <w:fldChar w:fldCharType="begin"/>
      </w:r>
      <w:r>
        <w:rPr>
          <w:rStyle w:val="AERbody"/>
        </w:rPr>
        <w:instrText xml:space="preserve"> REF _Ref437591924 \r \h </w:instrText>
      </w:r>
      <w:r>
        <w:rPr>
          <w:rStyle w:val="AERbody"/>
        </w:rPr>
      </w:r>
      <w:r>
        <w:rPr>
          <w:rStyle w:val="AERbody"/>
        </w:rPr>
        <w:fldChar w:fldCharType="separate"/>
      </w:r>
      <w:r w:rsidR="00DE11A5">
        <w:rPr>
          <w:rStyle w:val="AERbody"/>
        </w:rPr>
        <w:t>8.4.2</w:t>
      </w:r>
      <w:r>
        <w:rPr>
          <w:rStyle w:val="AERbody"/>
        </w:rPr>
        <w:fldChar w:fldCharType="end"/>
      </w:r>
      <w:r w:rsidRPr="00BB089B">
        <w:rPr>
          <w:rStyle w:val="AERbody"/>
        </w:rPr>
        <w:t>)</w:t>
      </w:r>
      <w:r w:rsidR="006F57DB">
        <w:rPr>
          <w:rStyle w:val="AERbody"/>
        </w:rPr>
        <w:t>, consistent with those approved in the draft decision</w:t>
      </w:r>
      <w:r w:rsidR="00AC1F2A">
        <w:rPr>
          <w:rStyle w:val="AERbody"/>
        </w:rPr>
        <w:t>.</w:t>
      </w:r>
    </w:p>
    <w:p w:rsidR="00BF25F1" w:rsidRPr="00BF25F1" w:rsidRDefault="00BF25F1" w:rsidP="005140D8">
      <w:pPr>
        <w:pStyle w:val="Heading3"/>
        <w:keepNext/>
        <w:ind w:hanging="862"/>
        <w:rPr>
          <w:rStyle w:val="AERbody"/>
          <w:color w:val="70635A" w:themeColor="text2"/>
          <w:sz w:val="28"/>
        </w:rPr>
      </w:pPr>
      <w:bookmarkStart w:id="21" w:name="_Ref437591897"/>
      <w:bookmarkStart w:id="22" w:name="_Toc480809786"/>
      <w:r w:rsidRPr="00BF25F1">
        <w:rPr>
          <w:rStyle w:val="AERbody"/>
          <w:color w:val="70635A" w:themeColor="text2"/>
          <w:sz w:val="28"/>
        </w:rPr>
        <w:t>Opening tax asset base at 1 April 2017</w:t>
      </w:r>
      <w:bookmarkEnd w:id="21"/>
      <w:bookmarkEnd w:id="22"/>
    </w:p>
    <w:p w:rsidR="006F57DB" w:rsidRPr="002810ED" w:rsidRDefault="007345F9" w:rsidP="001F0F1D">
      <w:pPr>
        <w:rPr>
          <w:rStyle w:val="AERbody"/>
        </w:rPr>
      </w:pPr>
      <w:r w:rsidRPr="002810ED">
        <w:rPr>
          <w:rStyle w:val="AERbody"/>
        </w:rPr>
        <w:t xml:space="preserve">We </w:t>
      </w:r>
      <w:r w:rsidR="008653E7">
        <w:rPr>
          <w:rStyle w:val="AERbody"/>
        </w:rPr>
        <w:t xml:space="preserve">determine an </w:t>
      </w:r>
      <w:r w:rsidRPr="002810ED">
        <w:rPr>
          <w:rStyle w:val="AERbody"/>
        </w:rPr>
        <w:t xml:space="preserve">opening TAB value </w:t>
      </w:r>
      <w:r w:rsidR="006F57DB" w:rsidRPr="002810ED">
        <w:rPr>
          <w:rStyle w:val="AERbody"/>
        </w:rPr>
        <w:t xml:space="preserve">at 1 April 2017 </w:t>
      </w:r>
      <w:r w:rsidRPr="002810ED">
        <w:rPr>
          <w:rStyle w:val="AERbody"/>
        </w:rPr>
        <w:t>of $247</w:t>
      </w:r>
      <w:r w:rsidR="008653E7">
        <w:rPr>
          <w:rStyle w:val="AERbody"/>
        </w:rPr>
        <w:t>7.5</w:t>
      </w:r>
      <w:r w:rsidR="00DB51F0">
        <w:rPr>
          <w:rStyle w:val="AERbody"/>
        </w:rPr>
        <w:t> </w:t>
      </w:r>
      <w:r w:rsidRPr="002810ED">
        <w:rPr>
          <w:rStyle w:val="AERbody"/>
        </w:rPr>
        <w:t>million ($ nominal)</w:t>
      </w:r>
      <w:r w:rsidR="008653E7">
        <w:rPr>
          <w:rStyle w:val="AERbody"/>
        </w:rPr>
        <w:t>, a reduction of $0.6 million</w:t>
      </w:r>
      <w:r w:rsidR="001F0F1D">
        <w:rPr>
          <w:rStyle w:val="AERbody"/>
        </w:rPr>
        <w:t xml:space="preserve"> from the revised proposed value</w:t>
      </w:r>
      <w:r w:rsidRPr="002810ED">
        <w:rPr>
          <w:rStyle w:val="AERbody"/>
        </w:rPr>
        <w:t>.</w:t>
      </w:r>
      <w:r w:rsidR="00176562" w:rsidRPr="002810ED">
        <w:rPr>
          <w:rStyle w:val="AERbody"/>
        </w:rPr>
        <w:t xml:space="preserve"> </w:t>
      </w:r>
      <w:r w:rsidR="001F0F1D" w:rsidRPr="001F0F1D">
        <w:rPr>
          <w:rStyle w:val="AERbody"/>
        </w:rPr>
        <w:t xml:space="preserve">This is because we </w:t>
      </w:r>
      <w:r w:rsidR="00092F2A">
        <w:rPr>
          <w:rStyle w:val="AERbody"/>
        </w:rPr>
        <w:t xml:space="preserve">have </w:t>
      </w:r>
      <w:r w:rsidR="001F0F1D" w:rsidRPr="001F0F1D">
        <w:rPr>
          <w:rStyle w:val="AERbody"/>
        </w:rPr>
        <w:t xml:space="preserve">updated 2016–17 </w:t>
      </w:r>
      <w:r w:rsidR="001F0F1D">
        <w:rPr>
          <w:rStyle w:val="AERbody"/>
        </w:rPr>
        <w:t>as-commissioned capex with the estimate in our final decision capex model</w:t>
      </w:r>
      <w:r w:rsidR="001F0F1D" w:rsidRPr="001F0F1D">
        <w:rPr>
          <w:rStyle w:val="AERbody"/>
        </w:rPr>
        <w:t>.</w:t>
      </w:r>
      <w:r w:rsidR="008B0DAE">
        <w:rPr>
          <w:rStyle w:val="FootnoteReference"/>
        </w:rPr>
        <w:footnoteReference w:id="4"/>
      </w:r>
      <w:r w:rsidR="001F0F1D">
        <w:rPr>
          <w:rStyle w:val="AERbody"/>
        </w:rPr>
        <w:t xml:space="preserve"> Our final decision</w:t>
      </w:r>
      <w:r w:rsidR="002D5392">
        <w:rPr>
          <w:rStyle w:val="AERbody"/>
        </w:rPr>
        <w:t xml:space="preserve"> on the opening</w:t>
      </w:r>
      <w:r w:rsidR="001F0F1D">
        <w:rPr>
          <w:rStyle w:val="AERbody"/>
        </w:rPr>
        <w:t xml:space="preserve"> TAB </w:t>
      </w:r>
      <w:r w:rsidR="006F57DB" w:rsidRPr="002810ED">
        <w:rPr>
          <w:rStyle w:val="AERbody"/>
        </w:rPr>
        <w:t>is $</w:t>
      </w:r>
      <w:r w:rsidR="00593638">
        <w:rPr>
          <w:rStyle w:val="AERbody"/>
        </w:rPr>
        <w:t>5</w:t>
      </w:r>
      <w:r w:rsidR="001F0F1D">
        <w:rPr>
          <w:rStyle w:val="AERbody"/>
        </w:rPr>
        <w:t>5.0</w:t>
      </w:r>
      <w:r w:rsidR="006F57DB" w:rsidRPr="002810ED">
        <w:rPr>
          <w:rStyle w:val="AERbody"/>
        </w:rPr>
        <w:t> million (</w:t>
      </w:r>
      <w:r w:rsidR="001F0F1D">
        <w:rPr>
          <w:rStyle w:val="AERbody"/>
        </w:rPr>
        <w:t>or 2.2 per cent</w:t>
      </w:r>
      <w:r w:rsidR="006F57DB" w:rsidRPr="002810ED">
        <w:rPr>
          <w:rStyle w:val="AERbody"/>
        </w:rPr>
        <w:t>) lower</w:t>
      </w:r>
      <w:r w:rsidR="00593638">
        <w:rPr>
          <w:rStyle w:val="AERbody"/>
        </w:rPr>
        <w:t xml:space="preserve"> </w:t>
      </w:r>
      <w:r w:rsidR="006F57DB" w:rsidRPr="002810ED">
        <w:rPr>
          <w:rStyle w:val="AERbody"/>
        </w:rPr>
        <w:t>than that approved in the draft decision.</w:t>
      </w:r>
    </w:p>
    <w:p w:rsidR="006F57DB" w:rsidRDefault="00114F56" w:rsidP="00430D2F">
      <w:pPr>
        <w:rPr>
          <w:rStyle w:val="AERbody"/>
          <w:highlight w:val="green"/>
        </w:rPr>
      </w:pPr>
      <w:r w:rsidRPr="002810ED">
        <w:rPr>
          <w:rStyle w:val="AERbody"/>
        </w:rPr>
        <w:t>In the draft decision</w:t>
      </w:r>
      <w:r w:rsidR="00A82A11" w:rsidRPr="002810ED">
        <w:rPr>
          <w:rStyle w:val="AERbody"/>
        </w:rPr>
        <w:t>, we</w:t>
      </w:r>
      <w:r w:rsidR="00A82A11" w:rsidRPr="00A82A11">
        <w:rPr>
          <w:rStyle w:val="AERbody"/>
        </w:rPr>
        <w:t xml:space="preserve"> accepted </w:t>
      </w:r>
      <w:r w:rsidR="00A82A11">
        <w:rPr>
          <w:rStyle w:val="AERbody"/>
        </w:rPr>
        <w:t>AusNet Services’</w:t>
      </w:r>
      <w:r w:rsidR="00A82A11" w:rsidRPr="00A82A11">
        <w:rPr>
          <w:rStyle w:val="AERbody"/>
        </w:rPr>
        <w:t xml:space="preserve"> proposed method to establish the opening TAB at 1 </w:t>
      </w:r>
      <w:r w:rsidR="00A82A11">
        <w:rPr>
          <w:rStyle w:val="AERbody"/>
        </w:rPr>
        <w:t>April</w:t>
      </w:r>
      <w:r w:rsidR="00A82A11" w:rsidRPr="00A82A11">
        <w:rPr>
          <w:rStyle w:val="AERbody"/>
        </w:rPr>
        <w:t xml:space="preserve"> 201</w:t>
      </w:r>
      <w:r w:rsidR="00A82A11">
        <w:rPr>
          <w:rStyle w:val="AERbody"/>
        </w:rPr>
        <w:t>7</w:t>
      </w:r>
      <w:r w:rsidR="00A82A11" w:rsidRPr="00A82A11">
        <w:rPr>
          <w:rStyle w:val="AERbody"/>
        </w:rPr>
        <w:t xml:space="preserve"> as it was based on the approach set out in our roll forward model (RFM). However, we amended </w:t>
      </w:r>
      <w:r w:rsidR="00A82A11">
        <w:rPr>
          <w:rStyle w:val="AERbody"/>
        </w:rPr>
        <w:t>AusNet Services’</w:t>
      </w:r>
      <w:r w:rsidR="00A82A11" w:rsidRPr="00A82A11">
        <w:rPr>
          <w:rStyle w:val="AERbody"/>
        </w:rPr>
        <w:t xml:space="preserve"> proposed opening TAB for adjustments made to the actual capex values in the RFM. We </w:t>
      </w:r>
      <w:r w:rsidR="00526192">
        <w:rPr>
          <w:rStyle w:val="AERbody"/>
        </w:rPr>
        <w:t xml:space="preserve">also </w:t>
      </w:r>
      <w:r w:rsidR="00A82A11" w:rsidRPr="00A82A11">
        <w:rPr>
          <w:rStyle w:val="AERbody"/>
        </w:rPr>
        <w:t xml:space="preserve">noted the roll forward of </w:t>
      </w:r>
      <w:r w:rsidR="00A82A11">
        <w:rPr>
          <w:rStyle w:val="AERbody"/>
        </w:rPr>
        <w:t>AusNet Services’</w:t>
      </w:r>
      <w:r w:rsidR="00A82A11" w:rsidRPr="00A82A11">
        <w:rPr>
          <w:rStyle w:val="AERbody"/>
        </w:rPr>
        <w:t xml:space="preserve"> TAB included estimated capex values for 201</w:t>
      </w:r>
      <w:r w:rsidR="00A82A11">
        <w:rPr>
          <w:rStyle w:val="AERbody"/>
        </w:rPr>
        <w:t>5</w:t>
      </w:r>
      <w:r w:rsidR="00A82A11" w:rsidRPr="00A82A11">
        <w:rPr>
          <w:rStyle w:val="AERbody"/>
        </w:rPr>
        <w:t>–1</w:t>
      </w:r>
      <w:r w:rsidR="00A82A11">
        <w:rPr>
          <w:rStyle w:val="AERbody"/>
        </w:rPr>
        <w:t>6 and 2016–17</w:t>
      </w:r>
      <w:r w:rsidR="00A82A11" w:rsidRPr="00A82A11">
        <w:rPr>
          <w:rStyle w:val="AERbody"/>
        </w:rPr>
        <w:t>. We stated we would update the 201</w:t>
      </w:r>
      <w:r w:rsidR="00A82A11">
        <w:rPr>
          <w:rStyle w:val="AERbody"/>
        </w:rPr>
        <w:t>5</w:t>
      </w:r>
      <w:r w:rsidR="00A82A11" w:rsidRPr="00A82A11">
        <w:rPr>
          <w:rStyle w:val="AERbody"/>
        </w:rPr>
        <w:t>–1</w:t>
      </w:r>
      <w:r w:rsidR="00A82A11">
        <w:rPr>
          <w:rStyle w:val="AERbody"/>
        </w:rPr>
        <w:t>6</w:t>
      </w:r>
      <w:r w:rsidR="00A82A11" w:rsidRPr="00A82A11">
        <w:rPr>
          <w:rStyle w:val="AERbody"/>
        </w:rPr>
        <w:t xml:space="preserve"> estimated capex value </w:t>
      </w:r>
      <w:r w:rsidR="00A82A11">
        <w:rPr>
          <w:rStyle w:val="AERbody"/>
        </w:rPr>
        <w:t xml:space="preserve">with actual capex </w:t>
      </w:r>
      <w:r w:rsidR="00A82A11" w:rsidRPr="00A82A11">
        <w:rPr>
          <w:rStyle w:val="AERbody"/>
        </w:rPr>
        <w:t>for the final decision</w:t>
      </w:r>
      <w:r w:rsidR="00A82A11">
        <w:rPr>
          <w:rStyle w:val="AERbody"/>
        </w:rPr>
        <w:t>, and update the estimate for 2016–17</w:t>
      </w:r>
      <w:r w:rsidR="00526192">
        <w:rPr>
          <w:rStyle w:val="AERbody"/>
        </w:rPr>
        <w:t xml:space="preserve"> capex</w:t>
      </w:r>
      <w:r w:rsidR="00A82A11" w:rsidRPr="00A82A11">
        <w:rPr>
          <w:rStyle w:val="AERbody"/>
        </w:rPr>
        <w:t>.</w:t>
      </w:r>
      <w:r w:rsidR="00526192">
        <w:rPr>
          <w:rStyle w:val="FootnoteReference"/>
        </w:rPr>
        <w:footnoteReference w:id="5"/>
      </w:r>
      <w:r w:rsidR="00526192">
        <w:rPr>
          <w:rStyle w:val="AERbody"/>
        </w:rPr>
        <w:t xml:space="preserve"> </w:t>
      </w:r>
    </w:p>
    <w:p w:rsidR="00114F56" w:rsidRDefault="00114F56" w:rsidP="00430D2F">
      <w:pPr>
        <w:rPr>
          <w:rStyle w:val="AERbody"/>
          <w:highlight w:val="green"/>
        </w:rPr>
      </w:pPr>
      <w:r w:rsidRPr="002810ED">
        <w:rPr>
          <w:rStyle w:val="AERbody"/>
        </w:rPr>
        <w:lastRenderedPageBreak/>
        <w:t>In its revised proposal, AusNet Services</w:t>
      </w:r>
      <w:r w:rsidR="00526192" w:rsidRPr="002810ED">
        <w:rPr>
          <w:rStyle w:val="AERbody"/>
        </w:rPr>
        <w:t xml:space="preserve"> adopted</w:t>
      </w:r>
      <w:r w:rsidR="00526192" w:rsidRPr="00526192">
        <w:rPr>
          <w:rStyle w:val="AERbody"/>
        </w:rPr>
        <w:t xml:space="preserve"> our draft decision amendments to the value of asset disposals</w:t>
      </w:r>
      <w:r w:rsidR="00DB51F0">
        <w:rPr>
          <w:rStyle w:val="AERbody"/>
        </w:rPr>
        <w:t>,</w:t>
      </w:r>
      <w:r w:rsidR="00526192">
        <w:rPr>
          <w:rStyle w:val="AERbody"/>
        </w:rPr>
        <w:t xml:space="preserve"> and updated </w:t>
      </w:r>
      <w:r w:rsidR="00526192" w:rsidRPr="00526192">
        <w:rPr>
          <w:rStyle w:val="AERbody"/>
        </w:rPr>
        <w:t xml:space="preserve">2015–16 </w:t>
      </w:r>
      <w:r w:rsidR="00526192">
        <w:rPr>
          <w:rStyle w:val="AERbody"/>
        </w:rPr>
        <w:t xml:space="preserve">and 2016–17 </w:t>
      </w:r>
      <w:r w:rsidR="00526192" w:rsidRPr="00526192">
        <w:rPr>
          <w:rStyle w:val="AERbody"/>
        </w:rPr>
        <w:t xml:space="preserve">capex </w:t>
      </w:r>
      <w:r w:rsidR="00526192">
        <w:rPr>
          <w:rStyle w:val="AERbody"/>
        </w:rPr>
        <w:t xml:space="preserve">values. It also </w:t>
      </w:r>
      <w:r w:rsidR="00526192" w:rsidRPr="00526192">
        <w:rPr>
          <w:rStyle w:val="AERbody"/>
        </w:rPr>
        <w:t>provided further clarification on the issues of capitalised provisions and allocation of inventory capex raised in the draft decision.</w:t>
      </w:r>
    </w:p>
    <w:p w:rsidR="00114F56" w:rsidRPr="00023C54" w:rsidRDefault="00526192" w:rsidP="00430D2F">
      <w:pPr>
        <w:rPr>
          <w:rStyle w:val="AERbody"/>
        </w:rPr>
      </w:pPr>
      <w:r w:rsidRPr="002810ED">
        <w:rPr>
          <w:rStyle w:val="AERbody"/>
        </w:rPr>
        <w:t xml:space="preserve">Consistent with the reasons discussed in </w:t>
      </w:r>
      <w:r w:rsidR="00023C54">
        <w:rPr>
          <w:rStyle w:val="AERbody"/>
        </w:rPr>
        <w:t>a</w:t>
      </w:r>
      <w:r w:rsidRPr="002810ED">
        <w:rPr>
          <w:rStyle w:val="AERbody"/>
        </w:rPr>
        <w:t>ttachment 2, o</w:t>
      </w:r>
      <w:r w:rsidR="00114F56" w:rsidRPr="002810ED">
        <w:rPr>
          <w:rStyle w:val="AERbody"/>
        </w:rPr>
        <w:t xml:space="preserve">ur final decision </w:t>
      </w:r>
      <w:r w:rsidRPr="002810ED">
        <w:rPr>
          <w:rStyle w:val="AERbody"/>
        </w:rPr>
        <w:t>a</w:t>
      </w:r>
      <w:r w:rsidR="00DB51F0">
        <w:rPr>
          <w:rStyle w:val="AERbody"/>
        </w:rPr>
        <w:t>ccepts</w:t>
      </w:r>
      <w:r w:rsidR="00114F56" w:rsidRPr="002810ED">
        <w:rPr>
          <w:rStyle w:val="AERbody"/>
        </w:rPr>
        <w:t xml:space="preserve"> AusNet Services</w:t>
      </w:r>
      <w:r w:rsidRPr="002810ED">
        <w:rPr>
          <w:rStyle w:val="AERbody"/>
        </w:rPr>
        <w:t>’</w:t>
      </w:r>
      <w:r w:rsidR="00114F56" w:rsidRPr="002810ED">
        <w:rPr>
          <w:rStyle w:val="AERbody"/>
        </w:rPr>
        <w:t xml:space="preserve"> revised propos</w:t>
      </w:r>
      <w:r w:rsidR="002F080F">
        <w:rPr>
          <w:rStyle w:val="AERbody"/>
        </w:rPr>
        <w:t>ed</w:t>
      </w:r>
      <w:r w:rsidRPr="002810ED">
        <w:rPr>
          <w:rStyle w:val="AERbody"/>
        </w:rPr>
        <w:t xml:space="preserve"> </w:t>
      </w:r>
      <w:r w:rsidR="00DB51F0">
        <w:rPr>
          <w:rStyle w:val="AERbody"/>
        </w:rPr>
        <w:t xml:space="preserve">actual </w:t>
      </w:r>
      <w:r w:rsidRPr="002810ED">
        <w:rPr>
          <w:rStyle w:val="AERbody"/>
        </w:rPr>
        <w:t>capex</w:t>
      </w:r>
      <w:r w:rsidR="00DB51F0">
        <w:rPr>
          <w:rStyle w:val="AERbody"/>
        </w:rPr>
        <w:t xml:space="preserve"> for 2015–16</w:t>
      </w:r>
      <w:r w:rsidR="00081951" w:rsidRPr="002810ED">
        <w:rPr>
          <w:rStyle w:val="AERbody"/>
        </w:rPr>
        <w:t>.</w:t>
      </w:r>
      <w:r w:rsidR="00081951" w:rsidRPr="002810ED">
        <w:rPr>
          <w:rStyle w:val="FootnoteReference"/>
        </w:rPr>
        <w:footnoteReference w:id="6"/>
      </w:r>
      <w:r w:rsidR="00081951" w:rsidRPr="002810ED">
        <w:rPr>
          <w:rStyle w:val="AERbody"/>
        </w:rPr>
        <w:t xml:space="preserve"> </w:t>
      </w:r>
      <w:r w:rsidR="001F0F1D">
        <w:rPr>
          <w:rStyle w:val="AERbody"/>
        </w:rPr>
        <w:t xml:space="preserve">We have </w:t>
      </w:r>
      <w:r w:rsidR="001F0F1D" w:rsidRPr="001F0F1D">
        <w:rPr>
          <w:rStyle w:val="AERbody"/>
        </w:rPr>
        <w:t xml:space="preserve">updated </w:t>
      </w:r>
      <w:r w:rsidR="001F0F1D">
        <w:rPr>
          <w:rStyle w:val="AERbody"/>
        </w:rPr>
        <w:t xml:space="preserve">AusNet Services’ revised proposed </w:t>
      </w:r>
      <w:r w:rsidR="001F0F1D" w:rsidRPr="001F0F1D">
        <w:rPr>
          <w:rStyle w:val="AERbody"/>
        </w:rPr>
        <w:t xml:space="preserve">2016–17 </w:t>
      </w:r>
      <w:r w:rsidR="001F0F1D">
        <w:rPr>
          <w:rStyle w:val="AERbody"/>
        </w:rPr>
        <w:t xml:space="preserve">as-commissioned capex </w:t>
      </w:r>
      <w:r w:rsidR="00092F2A">
        <w:rPr>
          <w:rStyle w:val="AERbody"/>
        </w:rPr>
        <w:t xml:space="preserve">estimate </w:t>
      </w:r>
      <w:r w:rsidR="001F0F1D">
        <w:rPr>
          <w:rStyle w:val="AERbody"/>
        </w:rPr>
        <w:t xml:space="preserve">with </w:t>
      </w:r>
      <w:r w:rsidR="00092F2A">
        <w:rPr>
          <w:rStyle w:val="AERbody"/>
        </w:rPr>
        <w:t xml:space="preserve">that </w:t>
      </w:r>
      <w:r w:rsidR="001F0F1D">
        <w:rPr>
          <w:rStyle w:val="AERbody"/>
        </w:rPr>
        <w:t>calculated in our final decision capex model</w:t>
      </w:r>
      <w:r w:rsidR="001F0F1D" w:rsidRPr="001F0F1D">
        <w:rPr>
          <w:rStyle w:val="AERbody"/>
        </w:rPr>
        <w:t>.</w:t>
      </w:r>
      <w:r w:rsidR="00482CC8">
        <w:rPr>
          <w:rStyle w:val="FootnoteReference"/>
        </w:rPr>
        <w:footnoteReference w:id="7"/>
      </w:r>
      <w:r w:rsidR="001F0F1D">
        <w:rPr>
          <w:rStyle w:val="AERbody"/>
        </w:rPr>
        <w:t xml:space="preserve"> The impact of this update is an opening TAB at </w:t>
      </w:r>
      <w:r w:rsidRPr="002810ED">
        <w:rPr>
          <w:rStyle w:val="AERbody"/>
        </w:rPr>
        <w:t>1 April 2017</w:t>
      </w:r>
      <w:r w:rsidR="00081951" w:rsidRPr="002810ED">
        <w:rPr>
          <w:rStyle w:val="AERbody"/>
        </w:rPr>
        <w:t xml:space="preserve"> of </w:t>
      </w:r>
      <w:r w:rsidR="00081951" w:rsidRPr="00023C54">
        <w:rPr>
          <w:rStyle w:val="AERbody"/>
        </w:rPr>
        <w:t>$247</w:t>
      </w:r>
      <w:r w:rsidR="001F0F1D">
        <w:rPr>
          <w:rStyle w:val="AERbody"/>
        </w:rPr>
        <w:t>7.5</w:t>
      </w:r>
      <w:r w:rsidR="00081951" w:rsidRPr="00023C54">
        <w:rPr>
          <w:rStyle w:val="AERbody"/>
        </w:rPr>
        <w:t> million ($ nominal)</w:t>
      </w:r>
      <w:r w:rsidR="001F0F1D">
        <w:rPr>
          <w:rStyle w:val="AERbody"/>
        </w:rPr>
        <w:t>, a small reduction ($0.6 million) to AusNet’s Services’ revised proposal</w:t>
      </w:r>
      <w:r w:rsidRPr="00023C54">
        <w:rPr>
          <w:rStyle w:val="AERbody"/>
        </w:rPr>
        <w:t>.</w:t>
      </w:r>
      <w:r w:rsidR="00114F56" w:rsidRPr="00023C54">
        <w:rPr>
          <w:rStyle w:val="AERbody"/>
        </w:rPr>
        <w:t xml:space="preserve"> </w:t>
      </w:r>
    </w:p>
    <w:p w:rsidR="00430D2F" w:rsidRPr="00023C54" w:rsidRDefault="00430D2F" w:rsidP="00430D2F">
      <w:pPr>
        <w:rPr>
          <w:rStyle w:val="AERbody"/>
        </w:rPr>
      </w:pPr>
      <w:r w:rsidRPr="00023C54">
        <w:rPr>
          <w:rStyle w:val="AERbody"/>
        </w:rPr>
        <w:fldChar w:fldCharType="begin"/>
      </w:r>
      <w:r w:rsidRPr="00023C54">
        <w:rPr>
          <w:rStyle w:val="AERbody"/>
        </w:rPr>
        <w:instrText xml:space="preserve"> REF _Ref468090869 \h  \* MERGEFORMAT </w:instrText>
      </w:r>
      <w:r w:rsidRPr="00023C54">
        <w:rPr>
          <w:rStyle w:val="AERbody"/>
        </w:rPr>
      </w:r>
      <w:r w:rsidRPr="00023C54">
        <w:rPr>
          <w:rStyle w:val="AERbody"/>
        </w:rPr>
        <w:fldChar w:fldCharType="separate"/>
      </w:r>
      <w:r w:rsidR="00DE11A5" w:rsidRPr="003145E3">
        <w:rPr>
          <w:rStyle w:val="AERbody"/>
        </w:rPr>
        <w:t>Table 8.3</w:t>
      </w:r>
      <w:r w:rsidRPr="00023C54">
        <w:rPr>
          <w:rStyle w:val="AERbody"/>
        </w:rPr>
        <w:fldChar w:fldCharType="end"/>
      </w:r>
      <w:r w:rsidRPr="00023C54">
        <w:rPr>
          <w:rStyle w:val="AERbody"/>
        </w:rPr>
        <w:t xml:space="preserve"> sets out our final decision on the roll forward of </w:t>
      </w:r>
      <w:r w:rsidR="008D6FAD" w:rsidRPr="00023C54">
        <w:rPr>
          <w:rStyle w:val="AERbody"/>
        </w:rPr>
        <w:t>AusNet Services</w:t>
      </w:r>
      <w:r w:rsidRPr="00023C54">
        <w:rPr>
          <w:rStyle w:val="AERbody"/>
        </w:rPr>
        <w:t>’ TAB values</w:t>
      </w:r>
      <w:r w:rsidR="005A2386">
        <w:rPr>
          <w:rStyle w:val="AERbody"/>
        </w:rPr>
        <w:t xml:space="preserve"> over the 2014–17 regulatory control period</w:t>
      </w:r>
      <w:r w:rsidRPr="00023C54">
        <w:rPr>
          <w:rStyle w:val="AERbody"/>
        </w:rPr>
        <w:t>.</w:t>
      </w:r>
    </w:p>
    <w:p w:rsidR="00D83007" w:rsidRDefault="00D83007" w:rsidP="00D83007">
      <w:pPr>
        <w:pStyle w:val="Caption"/>
      </w:pPr>
      <w:bookmarkStart w:id="23" w:name="_Ref468090869"/>
      <w:proofErr w:type="gramStart"/>
      <w:r>
        <w:t xml:space="preserve">Table </w:t>
      </w:r>
      <w:fldSimple w:instr=" STYLEREF 1 \s ">
        <w:r w:rsidR="00DE11A5">
          <w:rPr>
            <w:noProof/>
          </w:rPr>
          <w:t>8</w:t>
        </w:r>
      </w:fldSimple>
      <w:r w:rsidR="0002597E">
        <w:t>.</w:t>
      </w:r>
      <w:proofErr w:type="gramEnd"/>
      <w:r w:rsidR="0021304B">
        <w:fldChar w:fldCharType="begin"/>
      </w:r>
      <w:r w:rsidR="0021304B">
        <w:instrText xml:space="preserve"> SEQ Table \* ARABIC \s 1 </w:instrText>
      </w:r>
      <w:r w:rsidR="0021304B">
        <w:fldChar w:fldCharType="separate"/>
      </w:r>
      <w:r w:rsidR="00DE11A5">
        <w:rPr>
          <w:noProof/>
        </w:rPr>
        <w:t>3</w:t>
      </w:r>
      <w:r w:rsidR="0021304B">
        <w:rPr>
          <w:noProof/>
        </w:rPr>
        <w:fldChar w:fldCharType="end"/>
      </w:r>
      <w:bookmarkEnd w:id="23"/>
      <w:r>
        <w:tab/>
        <w:t xml:space="preserve">AER's </w:t>
      </w:r>
      <w:r w:rsidR="00763DCB">
        <w:t>final</w:t>
      </w:r>
      <w:r>
        <w:t xml:space="preserve"> decision on AusNet Services TAB roll forward for the 2014–17 regulatory control period ($ million, nominal)</w:t>
      </w:r>
    </w:p>
    <w:tbl>
      <w:tblPr>
        <w:tblStyle w:val="AERtable-numbers"/>
        <w:tblW w:w="8513" w:type="dxa"/>
        <w:tblLook w:val="04A0" w:firstRow="1" w:lastRow="0" w:firstColumn="1" w:lastColumn="0" w:noHBand="0" w:noVBand="1"/>
      </w:tblPr>
      <w:tblGrid>
        <w:gridCol w:w="4199"/>
        <w:gridCol w:w="1438"/>
        <w:gridCol w:w="1438"/>
        <w:gridCol w:w="1438"/>
      </w:tblGrid>
      <w:tr w:rsidR="00BB089B" w:rsidRPr="00316F93" w:rsidTr="00BB089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BB089B" w:rsidRPr="00316F93" w:rsidRDefault="00BB089B" w:rsidP="00316F93">
            <w:r w:rsidRPr="00316F93">
              <w:t> </w:t>
            </w:r>
          </w:p>
        </w:tc>
        <w:tc>
          <w:tcPr>
            <w:tcW w:w="1438" w:type="dxa"/>
            <w:noWrap/>
            <w:hideMark/>
          </w:tcPr>
          <w:p w:rsidR="00BB089B" w:rsidRPr="00316F93" w:rsidRDefault="00BB089B" w:rsidP="00316F93">
            <w:pPr>
              <w:cnfStyle w:val="100000000000" w:firstRow="1" w:lastRow="0" w:firstColumn="0" w:lastColumn="0" w:oddVBand="0" w:evenVBand="0" w:oddHBand="0" w:evenHBand="0" w:firstRowFirstColumn="0" w:firstRowLastColumn="0" w:lastRowFirstColumn="0" w:lastRowLastColumn="0"/>
            </w:pPr>
            <w:r w:rsidRPr="00316F93">
              <w:t>2014–15</w:t>
            </w:r>
          </w:p>
        </w:tc>
        <w:tc>
          <w:tcPr>
            <w:tcW w:w="1438" w:type="dxa"/>
            <w:noWrap/>
            <w:hideMark/>
          </w:tcPr>
          <w:p w:rsidR="00BB089B" w:rsidRPr="00316F93" w:rsidRDefault="00BB089B" w:rsidP="00390255">
            <w:pPr>
              <w:cnfStyle w:val="100000000000" w:firstRow="1" w:lastRow="0" w:firstColumn="0" w:lastColumn="0" w:oddVBand="0" w:evenVBand="0" w:oddHBand="0" w:evenHBand="0" w:firstRowFirstColumn="0" w:firstRowLastColumn="0" w:lastRowFirstColumn="0" w:lastRowLastColumn="0"/>
            </w:pPr>
            <w:r w:rsidRPr="00316F93">
              <w:t>2015–16</w:t>
            </w:r>
          </w:p>
        </w:tc>
        <w:tc>
          <w:tcPr>
            <w:tcW w:w="1438" w:type="dxa"/>
            <w:noWrap/>
            <w:hideMark/>
          </w:tcPr>
          <w:p w:rsidR="00BB089B" w:rsidRPr="00316F93" w:rsidRDefault="00BB089B" w:rsidP="00316F93">
            <w:pPr>
              <w:cnfStyle w:val="100000000000" w:firstRow="1" w:lastRow="0" w:firstColumn="0" w:lastColumn="0" w:oddVBand="0" w:evenVBand="0" w:oddHBand="0" w:evenHBand="0" w:firstRowFirstColumn="0" w:firstRowLastColumn="0" w:lastRowFirstColumn="0" w:lastRowLastColumn="0"/>
            </w:pPr>
            <w:r w:rsidRPr="00316F93">
              <w:t>2016–17</w:t>
            </w:r>
            <w:r w:rsidR="00D83007" w:rsidRPr="00316F93">
              <w:rPr>
                <w:rStyle w:val="AERsuperscript"/>
              </w:rPr>
              <w:t>b</w:t>
            </w:r>
          </w:p>
        </w:tc>
      </w:tr>
      <w:tr w:rsidR="00D5672F" w:rsidRPr="00316F93" w:rsidTr="00DA6129">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316F93" w:rsidRDefault="00D5672F" w:rsidP="00316F93">
            <w:r w:rsidRPr="00316F93">
              <w:t>Opening TAB</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2249.8</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2315.3</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2330.3</w:t>
            </w:r>
          </w:p>
        </w:tc>
      </w:tr>
      <w:tr w:rsidR="00D5672F" w:rsidRPr="00316F93" w:rsidTr="00DA6129">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316F93" w:rsidRDefault="00D5672F" w:rsidP="00316F93">
            <w:r w:rsidRPr="00316F93">
              <w:t xml:space="preserve">Capital </w:t>
            </w:r>
            <w:proofErr w:type="spellStart"/>
            <w:r w:rsidRPr="00316F93">
              <w:t>expenditure</w:t>
            </w:r>
            <w:r w:rsidRPr="00316F93">
              <w:rPr>
                <w:rStyle w:val="AERsuperscript"/>
              </w:rPr>
              <w:t>a</w:t>
            </w:r>
            <w:proofErr w:type="spellEnd"/>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169.7</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128.2</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180.9</w:t>
            </w:r>
          </w:p>
        </w:tc>
      </w:tr>
      <w:tr w:rsidR="00D5672F" w:rsidRPr="00316F93" w:rsidTr="00DA6129">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316F93" w:rsidRDefault="00D5672F" w:rsidP="00390255">
            <w:r w:rsidRPr="0017141B">
              <w:rPr>
                <w:rStyle w:val="Emphasis"/>
              </w:rPr>
              <w:t>Less:</w:t>
            </w:r>
            <w:r w:rsidRPr="00316F93">
              <w:t xml:space="preserve"> </w:t>
            </w:r>
            <w:r>
              <w:t>t</w:t>
            </w:r>
            <w:r w:rsidRPr="00316F93">
              <w:t>ax depreciation</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104.2</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113.1</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122.3</w:t>
            </w:r>
          </w:p>
        </w:tc>
      </w:tr>
      <w:tr w:rsidR="00D5672F" w:rsidRPr="00316F93" w:rsidTr="00DA6129">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316F93" w:rsidRDefault="00D5672F" w:rsidP="00316F93">
            <w:r w:rsidRPr="00316F93">
              <w:t>Closing TAB</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2315.3</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2330.3</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pPr>
            <w:r w:rsidRPr="00D5672F">
              <w:t>2388.9</w:t>
            </w:r>
          </w:p>
        </w:tc>
      </w:tr>
      <w:tr w:rsidR="00D5672F" w:rsidRPr="00316F93" w:rsidTr="00DA6129">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316F93" w:rsidRDefault="00D5672F" w:rsidP="00316F93">
            <w:r w:rsidRPr="00316F93">
              <w:t>Group 3 asset roll-in</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 </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 </w:t>
            </w:r>
          </w:p>
        </w:tc>
        <w:tc>
          <w:tcPr>
            <w:tcW w:w="1438" w:type="dxa"/>
            <w:noWrap/>
            <w:vAlign w:val="bottom"/>
          </w:tcPr>
          <w:p w:rsidR="00D5672F" w:rsidRPr="00D5672F" w:rsidRDefault="00D5672F" w:rsidP="00D5672F">
            <w:pPr>
              <w:cnfStyle w:val="000000000000" w:firstRow="0" w:lastRow="0" w:firstColumn="0" w:lastColumn="0" w:oddVBand="0" w:evenVBand="0" w:oddHBand="0" w:evenHBand="0" w:firstRowFirstColumn="0" w:firstRowLastColumn="0" w:lastRowFirstColumn="0" w:lastRowLastColumn="0"/>
            </w:pPr>
            <w:r w:rsidRPr="00D5672F">
              <w:t>88.6</w:t>
            </w:r>
          </w:p>
        </w:tc>
      </w:tr>
      <w:tr w:rsidR="00D5672F" w:rsidRPr="00D5672F" w:rsidTr="00DA6129">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D5672F" w:rsidRPr="00D5672F" w:rsidRDefault="00D5672F" w:rsidP="00316F93">
            <w:pPr>
              <w:rPr>
                <w:rStyle w:val="Strong"/>
              </w:rPr>
            </w:pPr>
            <w:r w:rsidRPr="00D5672F">
              <w:rPr>
                <w:rStyle w:val="Strong"/>
              </w:rPr>
              <w:t>Opening TAB as at 1 April 2017</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rPr>
                <w:rStyle w:val="Strong"/>
              </w:rPr>
            </w:pPr>
            <w:r w:rsidRPr="00D5672F">
              <w:rPr>
                <w:rStyle w:val="Strong"/>
              </w:rPr>
              <w:t> </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rPr>
                <w:rStyle w:val="Strong"/>
              </w:rPr>
            </w:pPr>
            <w:r w:rsidRPr="00D5672F">
              <w:rPr>
                <w:rStyle w:val="Strong"/>
              </w:rPr>
              <w:t> </w:t>
            </w:r>
          </w:p>
        </w:tc>
        <w:tc>
          <w:tcPr>
            <w:tcW w:w="1438" w:type="dxa"/>
            <w:noWrap/>
            <w:vAlign w:val="bottom"/>
          </w:tcPr>
          <w:p w:rsidR="00D5672F" w:rsidRPr="00D5672F" w:rsidRDefault="00D5672F" w:rsidP="00D5672F">
            <w:pPr>
              <w:cnfStyle w:val="000000010000" w:firstRow="0" w:lastRow="0" w:firstColumn="0" w:lastColumn="0" w:oddVBand="0" w:evenVBand="0" w:oddHBand="0" w:evenHBand="1" w:firstRowFirstColumn="0" w:firstRowLastColumn="0" w:lastRowFirstColumn="0" w:lastRowLastColumn="0"/>
              <w:rPr>
                <w:rStyle w:val="Strong"/>
              </w:rPr>
            </w:pPr>
            <w:r w:rsidRPr="00D5672F">
              <w:rPr>
                <w:rStyle w:val="Strong"/>
              </w:rPr>
              <w:t>2477.5</w:t>
            </w:r>
          </w:p>
        </w:tc>
      </w:tr>
    </w:tbl>
    <w:p w:rsidR="00BB089B" w:rsidRDefault="00D83007" w:rsidP="00D83007">
      <w:pPr>
        <w:pStyle w:val="AERtablesource"/>
        <w:keepNext/>
        <w:rPr>
          <w:rStyle w:val="AERbody"/>
          <w:sz w:val="16"/>
        </w:rPr>
      </w:pPr>
      <w:r w:rsidRPr="00D83007">
        <w:rPr>
          <w:rStyle w:val="AERbody"/>
          <w:sz w:val="16"/>
        </w:rPr>
        <w:t>Source:</w:t>
      </w:r>
      <w:r w:rsidRPr="00D83007">
        <w:rPr>
          <w:rStyle w:val="AERbody"/>
          <w:sz w:val="16"/>
        </w:rPr>
        <w:tab/>
        <w:t>AER analysis</w:t>
      </w:r>
      <w:r w:rsidR="00390255">
        <w:rPr>
          <w:rStyle w:val="AERbody"/>
          <w:sz w:val="16"/>
        </w:rPr>
        <w:t>.</w:t>
      </w:r>
    </w:p>
    <w:p w:rsidR="00D83007" w:rsidRDefault="00D83007" w:rsidP="00D83007">
      <w:pPr>
        <w:pStyle w:val="AERtablesource"/>
        <w:keepNext/>
      </w:pPr>
      <w:r>
        <w:t>(a)</w:t>
      </w:r>
      <w:r>
        <w:tab/>
      </w:r>
      <w:r w:rsidRPr="00D83007">
        <w:t>As commissioned, net of disposals</w:t>
      </w:r>
      <w:r>
        <w:t>.</w:t>
      </w:r>
    </w:p>
    <w:p w:rsidR="00D83007" w:rsidRPr="00D83007" w:rsidRDefault="00D83007" w:rsidP="00D83007">
      <w:pPr>
        <w:pStyle w:val="AERtablesource"/>
      </w:pPr>
      <w:r>
        <w:t>(b)</w:t>
      </w:r>
      <w:r>
        <w:tab/>
      </w:r>
      <w:r w:rsidRPr="00D83007">
        <w:t>Based on estimated capex</w:t>
      </w:r>
      <w:r>
        <w:t>.</w:t>
      </w:r>
    </w:p>
    <w:p w:rsidR="00BF25F1" w:rsidRPr="00BF25F1" w:rsidRDefault="00BF25F1" w:rsidP="005140D8">
      <w:pPr>
        <w:pStyle w:val="Heading3"/>
        <w:keepNext/>
        <w:ind w:hanging="862"/>
        <w:rPr>
          <w:rStyle w:val="AERbody"/>
          <w:color w:val="70635A" w:themeColor="text2"/>
          <w:sz w:val="28"/>
        </w:rPr>
      </w:pPr>
      <w:bookmarkStart w:id="24" w:name="_Ref437591924"/>
      <w:bookmarkStart w:id="25" w:name="_Toc480809787"/>
      <w:r w:rsidRPr="00BF25F1">
        <w:rPr>
          <w:rStyle w:val="AERbody"/>
          <w:color w:val="70635A" w:themeColor="text2"/>
          <w:sz w:val="28"/>
        </w:rPr>
        <w:t>Standard tax asset lives</w:t>
      </w:r>
      <w:bookmarkEnd w:id="24"/>
      <w:bookmarkEnd w:id="25"/>
    </w:p>
    <w:p w:rsidR="00D83007" w:rsidRPr="00D83007" w:rsidRDefault="002E7002" w:rsidP="00D83007">
      <w:pPr>
        <w:rPr>
          <w:rStyle w:val="AERbody"/>
        </w:rPr>
      </w:pPr>
      <w:r w:rsidRPr="002810ED">
        <w:rPr>
          <w:rStyle w:val="AERbody"/>
        </w:rPr>
        <w:t xml:space="preserve">Consistent with our </w:t>
      </w:r>
      <w:r w:rsidR="00D132C5" w:rsidRPr="002810ED">
        <w:rPr>
          <w:rStyle w:val="AERbody"/>
        </w:rPr>
        <w:t>draft decision</w:t>
      </w:r>
      <w:r w:rsidRPr="002810ED">
        <w:rPr>
          <w:rStyle w:val="AERbody"/>
        </w:rPr>
        <w:t>, w</w:t>
      </w:r>
      <w:r w:rsidR="00D83007" w:rsidRPr="002810ED">
        <w:rPr>
          <w:rStyle w:val="AERbody"/>
        </w:rPr>
        <w:t>e accept AusNet Services’</w:t>
      </w:r>
      <w:r w:rsidR="00D83007" w:rsidRPr="00D83007">
        <w:rPr>
          <w:rStyle w:val="AERbody"/>
        </w:rPr>
        <w:t xml:space="preserve"> proposed standard tax asset lives because they are:</w:t>
      </w:r>
    </w:p>
    <w:p w:rsidR="00D83007" w:rsidRPr="002810ED" w:rsidRDefault="00D83007" w:rsidP="00D83007">
      <w:pPr>
        <w:pStyle w:val="AERbulletlistfirststyle"/>
        <w:rPr>
          <w:rStyle w:val="AERbody"/>
        </w:rPr>
      </w:pPr>
      <w:r w:rsidRPr="00D83007">
        <w:rPr>
          <w:rStyle w:val="AERbody"/>
        </w:rPr>
        <w:t>broadly consistent with the values prescribed by the Commissioner for taxation in tax ruling</w:t>
      </w:r>
      <w:r>
        <w:rPr>
          <w:rStyle w:val="AERbody"/>
        </w:rPr>
        <w:t xml:space="preserve"> </w:t>
      </w:r>
      <w:r w:rsidRPr="002810ED">
        <w:rPr>
          <w:rStyle w:val="AERbody"/>
        </w:rPr>
        <w:t>201</w:t>
      </w:r>
      <w:r w:rsidR="001A095A">
        <w:rPr>
          <w:rStyle w:val="AERbody"/>
        </w:rPr>
        <w:t>6</w:t>
      </w:r>
      <w:r w:rsidRPr="002810ED">
        <w:rPr>
          <w:rStyle w:val="AERbody"/>
        </w:rPr>
        <w:t>/</w:t>
      </w:r>
      <w:r w:rsidR="001A095A">
        <w:rPr>
          <w:rStyle w:val="AERbody"/>
        </w:rPr>
        <w:t>1</w:t>
      </w:r>
      <w:r w:rsidRPr="002810ED">
        <w:rPr>
          <w:rStyle w:val="FootnoteReference"/>
        </w:rPr>
        <w:footnoteReference w:id="8"/>
      </w:r>
    </w:p>
    <w:p w:rsidR="00BF25F1" w:rsidRDefault="00D83007" w:rsidP="00D83007">
      <w:pPr>
        <w:pStyle w:val="AERbulletlistfirststyle"/>
        <w:rPr>
          <w:rStyle w:val="AERbody"/>
        </w:rPr>
      </w:pPr>
      <w:proofErr w:type="gramStart"/>
      <w:r w:rsidRPr="002810ED">
        <w:rPr>
          <w:rStyle w:val="AERbody"/>
        </w:rPr>
        <w:lastRenderedPageBreak/>
        <w:t>the</w:t>
      </w:r>
      <w:proofErr w:type="gramEnd"/>
      <w:r w:rsidRPr="002810ED">
        <w:rPr>
          <w:rStyle w:val="AERbody"/>
        </w:rPr>
        <w:t xml:space="preserve"> same as those approved standard tax asset lives for the 20</w:t>
      </w:r>
      <w:r w:rsidR="00D132C5" w:rsidRPr="002810ED">
        <w:rPr>
          <w:rStyle w:val="AERbody"/>
        </w:rPr>
        <w:t>14</w:t>
      </w:r>
      <w:r w:rsidRPr="002810ED">
        <w:rPr>
          <w:rStyle w:val="AERbody"/>
        </w:rPr>
        <w:t>–1</w:t>
      </w:r>
      <w:r w:rsidR="00D132C5" w:rsidRPr="002810ED">
        <w:rPr>
          <w:rStyle w:val="AERbody"/>
        </w:rPr>
        <w:t>7</w:t>
      </w:r>
      <w:r w:rsidRPr="00D83007">
        <w:rPr>
          <w:rStyle w:val="AERbody"/>
        </w:rPr>
        <w:t xml:space="preserve"> regulatory control period.</w:t>
      </w:r>
      <w:r w:rsidR="001A095A">
        <w:rPr>
          <w:rStyle w:val="AERbody"/>
        </w:rPr>
        <w:t xml:space="preserve"> </w:t>
      </w:r>
    </w:p>
    <w:p w:rsidR="006B7688" w:rsidRDefault="006B7688" w:rsidP="00D83007">
      <w:pPr>
        <w:rPr>
          <w:rStyle w:val="AERbody"/>
        </w:rPr>
      </w:pPr>
      <w:r w:rsidRPr="006B7688">
        <w:rPr>
          <w:rStyle w:val="AERbody"/>
        </w:rPr>
        <w:t xml:space="preserve">We are satisfied </w:t>
      </w:r>
      <w:r w:rsidR="00390255">
        <w:rPr>
          <w:rStyle w:val="AERbody"/>
        </w:rPr>
        <w:t xml:space="preserve">that </w:t>
      </w:r>
      <w:r w:rsidRPr="006B7688">
        <w:rPr>
          <w:rStyle w:val="AERbody"/>
        </w:rPr>
        <w:t xml:space="preserve">the </w:t>
      </w:r>
      <w:r w:rsidR="00C05024">
        <w:rPr>
          <w:rStyle w:val="AERbody"/>
        </w:rPr>
        <w:t>standard</w:t>
      </w:r>
      <w:r w:rsidRPr="006B7688">
        <w:rPr>
          <w:rStyle w:val="AERbody"/>
        </w:rPr>
        <w:t xml:space="preserve"> tax asset lives in AusNet Services' revised proposal are likely to provide an appropriate estimate of the tax depreciation amount for a benchmark efficient service provider as required by the NER.</w:t>
      </w:r>
      <w:r>
        <w:rPr>
          <w:rStyle w:val="FootnoteReference"/>
        </w:rPr>
        <w:footnoteReference w:id="9"/>
      </w:r>
    </w:p>
    <w:p w:rsidR="00D83007" w:rsidRDefault="0002597E" w:rsidP="00D83007">
      <w:pPr>
        <w:rPr>
          <w:rStyle w:val="AERbody"/>
        </w:rPr>
      </w:pPr>
      <w:r w:rsidRPr="00023C54">
        <w:rPr>
          <w:rStyle w:val="AERbody"/>
        </w:rPr>
        <w:fldChar w:fldCharType="begin"/>
      </w:r>
      <w:r w:rsidRPr="00023C54">
        <w:rPr>
          <w:rStyle w:val="AERbody"/>
        </w:rPr>
        <w:instrText xml:space="preserve"> REF _Ref437593094 \h </w:instrText>
      </w:r>
      <w:r w:rsidR="00023C54">
        <w:rPr>
          <w:rStyle w:val="AERbody"/>
        </w:rPr>
        <w:instrText xml:space="preserve"> \* MERGEFORMAT </w:instrText>
      </w:r>
      <w:r w:rsidRPr="00023C54">
        <w:rPr>
          <w:rStyle w:val="AERbody"/>
        </w:rPr>
      </w:r>
      <w:r w:rsidRPr="00023C54">
        <w:rPr>
          <w:rStyle w:val="AERbody"/>
        </w:rPr>
        <w:fldChar w:fldCharType="separate"/>
      </w:r>
      <w:r w:rsidR="00DE11A5" w:rsidRPr="003145E3">
        <w:rPr>
          <w:rStyle w:val="AERbody"/>
        </w:rPr>
        <w:t>Table 8.4</w:t>
      </w:r>
      <w:r w:rsidRPr="00023C54">
        <w:rPr>
          <w:rStyle w:val="AERbody"/>
        </w:rPr>
        <w:fldChar w:fldCharType="end"/>
      </w:r>
      <w:r w:rsidRPr="00023C54">
        <w:rPr>
          <w:rStyle w:val="AERbody"/>
        </w:rPr>
        <w:t xml:space="preserve"> sets out our </w:t>
      </w:r>
      <w:r w:rsidR="00763DCB" w:rsidRPr="00023C54">
        <w:rPr>
          <w:rStyle w:val="AERbody"/>
        </w:rPr>
        <w:t>final</w:t>
      </w:r>
      <w:r w:rsidRPr="00023C54">
        <w:rPr>
          <w:rStyle w:val="AERbody"/>
        </w:rPr>
        <w:t xml:space="preserve"> decision on AusNet Services</w:t>
      </w:r>
      <w:r w:rsidR="006B7688">
        <w:rPr>
          <w:rStyle w:val="AERbody"/>
        </w:rPr>
        <w:t>’</w:t>
      </w:r>
      <w:r w:rsidRPr="00023C54">
        <w:rPr>
          <w:rStyle w:val="AERbody"/>
        </w:rPr>
        <w:t xml:space="preserve"> standard tax asset lives for the 2017–22 </w:t>
      </w:r>
      <w:r w:rsidR="00390255">
        <w:rPr>
          <w:rStyle w:val="AERbody"/>
        </w:rPr>
        <w:t xml:space="preserve">regulatory control </w:t>
      </w:r>
      <w:r w:rsidRPr="00023C54">
        <w:rPr>
          <w:rStyle w:val="AERbody"/>
        </w:rPr>
        <w:t>perio</w:t>
      </w:r>
      <w:r w:rsidRPr="0002597E">
        <w:rPr>
          <w:rStyle w:val="AERbody"/>
        </w:rPr>
        <w:t>d.</w:t>
      </w:r>
    </w:p>
    <w:p w:rsidR="00BF25F1" w:rsidRPr="00BF25F1" w:rsidRDefault="00BF25F1" w:rsidP="005140D8">
      <w:pPr>
        <w:pStyle w:val="Heading3"/>
        <w:keepNext/>
        <w:ind w:hanging="862"/>
        <w:rPr>
          <w:rStyle w:val="AERbody"/>
          <w:color w:val="70635A" w:themeColor="text2"/>
          <w:sz w:val="28"/>
        </w:rPr>
      </w:pPr>
      <w:bookmarkStart w:id="26" w:name="_Ref437591930"/>
      <w:bookmarkStart w:id="27" w:name="_Toc480809788"/>
      <w:r w:rsidRPr="00BF25F1">
        <w:rPr>
          <w:rStyle w:val="AERbody"/>
          <w:color w:val="70635A" w:themeColor="text2"/>
          <w:sz w:val="28"/>
        </w:rPr>
        <w:t>Remaining tax asset lives</w:t>
      </w:r>
      <w:bookmarkEnd w:id="26"/>
      <w:bookmarkEnd w:id="27"/>
    </w:p>
    <w:p w:rsidR="00BF25F1" w:rsidRDefault="00051BB8" w:rsidP="00D83007">
      <w:pPr>
        <w:rPr>
          <w:rStyle w:val="AERbody"/>
        </w:rPr>
      </w:pPr>
      <w:r>
        <w:rPr>
          <w:rStyle w:val="AERbody"/>
        </w:rPr>
        <w:t>Consistent with our draft decision w</w:t>
      </w:r>
      <w:r w:rsidR="00D80D77" w:rsidRPr="00D80D77">
        <w:rPr>
          <w:rStyle w:val="AERbody"/>
        </w:rPr>
        <w:t xml:space="preserve">e accept AusNet Services' </w:t>
      </w:r>
      <w:r w:rsidR="00081874">
        <w:rPr>
          <w:rStyle w:val="AERbody"/>
        </w:rPr>
        <w:t xml:space="preserve">weighted average </w:t>
      </w:r>
      <w:r w:rsidR="00AC1F2A">
        <w:rPr>
          <w:rStyle w:val="AERbody"/>
        </w:rPr>
        <w:t xml:space="preserve">approach to determining </w:t>
      </w:r>
      <w:r w:rsidR="00D80D77" w:rsidRPr="00D80D77">
        <w:rPr>
          <w:rStyle w:val="AERbody"/>
        </w:rPr>
        <w:t>remaining tax asset lives</w:t>
      </w:r>
      <w:r w:rsidR="00D80D77">
        <w:rPr>
          <w:rStyle w:val="AERbody"/>
        </w:rPr>
        <w:t xml:space="preserve"> at 1 April 2017</w:t>
      </w:r>
      <w:r w:rsidR="00081874">
        <w:rPr>
          <w:rStyle w:val="AERbody"/>
        </w:rPr>
        <w:t>.</w:t>
      </w:r>
      <w:r w:rsidR="00081874" w:rsidRPr="00081874">
        <w:t xml:space="preserve"> </w:t>
      </w:r>
      <w:r w:rsidR="00081874" w:rsidRPr="00081874">
        <w:rPr>
          <w:rStyle w:val="AERbody"/>
        </w:rPr>
        <w:t xml:space="preserve">We noted </w:t>
      </w:r>
      <w:r w:rsidR="00081874">
        <w:rPr>
          <w:rStyle w:val="AERbody"/>
        </w:rPr>
        <w:t xml:space="preserve">in the draft decision </w:t>
      </w:r>
      <w:r w:rsidR="00081874" w:rsidRPr="00081874">
        <w:rPr>
          <w:rStyle w:val="AERbody"/>
        </w:rPr>
        <w:t xml:space="preserve">that the remaining tax asset lives would be recalculated for the final decision because of updates to </w:t>
      </w:r>
      <w:r w:rsidR="00081874">
        <w:rPr>
          <w:rStyle w:val="AERbody"/>
        </w:rPr>
        <w:t xml:space="preserve">AusNet Services’ </w:t>
      </w:r>
      <w:r w:rsidR="00081874" w:rsidRPr="00081874">
        <w:rPr>
          <w:rStyle w:val="AERbody"/>
        </w:rPr>
        <w:t>201</w:t>
      </w:r>
      <w:r w:rsidR="00081874">
        <w:rPr>
          <w:rStyle w:val="AERbody"/>
        </w:rPr>
        <w:t>5</w:t>
      </w:r>
      <w:r w:rsidR="00081874" w:rsidRPr="00081874">
        <w:rPr>
          <w:rStyle w:val="AERbody"/>
        </w:rPr>
        <w:t>–1</w:t>
      </w:r>
      <w:r w:rsidR="00081874">
        <w:rPr>
          <w:rStyle w:val="AERbody"/>
        </w:rPr>
        <w:t>6 and 2016–17</w:t>
      </w:r>
      <w:r w:rsidR="00081874" w:rsidRPr="00081874">
        <w:rPr>
          <w:rStyle w:val="AERbody"/>
        </w:rPr>
        <w:t xml:space="preserve"> capex in the TAB roll forward. The</w:t>
      </w:r>
      <w:r w:rsidR="00081874">
        <w:rPr>
          <w:rStyle w:val="AERbody"/>
        </w:rPr>
        <w:t>se</w:t>
      </w:r>
      <w:r w:rsidR="00081874" w:rsidRPr="00081874">
        <w:rPr>
          <w:rStyle w:val="AERbody"/>
        </w:rPr>
        <w:t xml:space="preserve"> capex values are inputs used to calculate the weighted average remaining tax asset lives.</w:t>
      </w:r>
      <w:r w:rsidR="00081874">
        <w:rPr>
          <w:rStyle w:val="FootnoteReference"/>
        </w:rPr>
        <w:footnoteReference w:id="10"/>
      </w:r>
      <w:r w:rsidR="00AC1F2A">
        <w:rPr>
          <w:rStyle w:val="AERbody"/>
        </w:rPr>
        <w:t xml:space="preserve"> </w:t>
      </w:r>
      <w:r w:rsidR="00081874" w:rsidRPr="00081874">
        <w:rPr>
          <w:rStyle w:val="AERbody"/>
        </w:rPr>
        <w:t>Based on the revisions for capex in the TAB roll forward as discussed in section</w:t>
      </w:r>
      <w:r w:rsidR="00081874">
        <w:rPr>
          <w:rStyle w:val="AERbody"/>
        </w:rPr>
        <w:t xml:space="preserve"> </w:t>
      </w:r>
      <w:r w:rsidR="00081874">
        <w:rPr>
          <w:rStyle w:val="AERbody"/>
        </w:rPr>
        <w:fldChar w:fldCharType="begin"/>
      </w:r>
      <w:r w:rsidR="00081874">
        <w:rPr>
          <w:rStyle w:val="AERbody"/>
        </w:rPr>
        <w:instrText xml:space="preserve"> REF _Ref437591897 \r \h </w:instrText>
      </w:r>
      <w:r w:rsidR="00081874">
        <w:rPr>
          <w:rStyle w:val="AERbody"/>
        </w:rPr>
      </w:r>
      <w:r w:rsidR="00081874">
        <w:rPr>
          <w:rStyle w:val="AERbody"/>
        </w:rPr>
        <w:fldChar w:fldCharType="separate"/>
      </w:r>
      <w:r w:rsidR="00DE11A5">
        <w:rPr>
          <w:rStyle w:val="AERbody"/>
        </w:rPr>
        <w:t>8.4.1</w:t>
      </w:r>
      <w:r w:rsidR="00081874">
        <w:rPr>
          <w:rStyle w:val="AERbody"/>
        </w:rPr>
        <w:fldChar w:fldCharType="end"/>
      </w:r>
      <w:r w:rsidR="00081874" w:rsidRPr="00081874">
        <w:rPr>
          <w:rStyle w:val="AERbody"/>
        </w:rPr>
        <w:t xml:space="preserve">, we have updated </w:t>
      </w:r>
      <w:r w:rsidR="00081874">
        <w:rPr>
          <w:rStyle w:val="AERbody"/>
        </w:rPr>
        <w:t>AusNet Services’</w:t>
      </w:r>
      <w:r w:rsidR="00081874" w:rsidRPr="00081874">
        <w:rPr>
          <w:rStyle w:val="AERbody"/>
        </w:rPr>
        <w:t xml:space="preserve"> remaining tax asset lives at 1 </w:t>
      </w:r>
      <w:r w:rsidR="00081874">
        <w:rPr>
          <w:rStyle w:val="AERbody"/>
        </w:rPr>
        <w:t>April</w:t>
      </w:r>
      <w:r w:rsidR="00081874" w:rsidRPr="00081874">
        <w:rPr>
          <w:rStyle w:val="AERbody"/>
        </w:rPr>
        <w:t xml:space="preserve"> 201</w:t>
      </w:r>
      <w:r w:rsidR="00081874">
        <w:rPr>
          <w:rStyle w:val="AERbody"/>
        </w:rPr>
        <w:t>7</w:t>
      </w:r>
      <w:r w:rsidR="00081874" w:rsidRPr="00081874">
        <w:rPr>
          <w:rStyle w:val="AERbody"/>
        </w:rPr>
        <w:t xml:space="preserve"> for this final decision.</w:t>
      </w:r>
      <w:r w:rsidR="00081874">
        <w:rPr>
          <w:rStyle w:val="FootnoteReference"/>
        </w:rPr>
        <w:footnoteReference w:id="11"/>
      </w:r>
      <w:r w:rsidR="00AC1F2A" w:rsidRPr="00AC1F2A">
        <w:rPr>
          <w:rStyle w:val="AERbody"/>
        </w:rPr>
        <w:t xml:space="preserve"> </w:t>
      </w:r>
      <w:r w:rsidR="00AC1F2A">
        <w:rPr>
          <w:rStyle w:val="AERbody"/>
        </w:rPr>
        <w:t xml:space="preserve">We do not accept the remaining tax asset lives </w:t>
      </w:r>
      <w:r w:rsidR="00390255">
        <w:rPr>
          <w:rStyle w:val="AERbody"/>
        </w:rPr>
        <w:t xml:space="preserve">relating to the proposed accelerated tax depreciation of the Yallourn Power Station assets. </w:t>
      </w:r>
    </w:p>
    <w:p w:rsidR="00870347" w:rsidRDefault="00870347" w:rsidP="00D83007">
      <w:pPr>
        <w:rPr>
          <w:rStyle w:val="AERbody"/>
        </w:rPr>
      </w:pPr>
      <w:r w:rsidRPr="00023C54">
        <w:rPr>
          <w:rStyle w:val="AERbody"/>
        </w:rPr>
        <w:t>In its initial proposal</w:t>
      </w:r>
      <w:r w:rsidR="007345F9" w:rsidRPr="00023C54">
        <w:rPr>
          <w:rStyle w:val="AERbody"/>
        </w:rPr>
        <w:t>,</w:t>
      </w:r>
      <w:r w:rsidRPr="00023C54">
        <w:rPr>
          <w:rStyle w:val="AERbody"/>
        </w:rPr>
        <w:t xml:space="preserve"> </w:t>
      </w:r>
      <w:r w:rsidR="008D6FAD" w:rsidRPr="00023C54">
        <w:rPr>
          <w:rStyle w:val="AERbody"/>
        </w:rPr>
        <w:t>AusNet Services</w:t>
      </w:r>
      <w:r w:rsidRPr="00023C54">
        <w:rPr>
          <w:rStyle w:val="AERbody"/>
        </w:rPr>
        <w:t xml:space="preserve"> proposed </w:t>
      </w:r>
      <w:r w:rsidR="00D80D77" w:rsidRPr="00023C54">
        <w:rPr>
          <w:rStyle w:val="AERbody"/>
        </w:rPr>
        <w:t xml:space="preserve">to </w:t>
      </w:r>
      <w:r w:rsidRPr="00023C54">
        <w:rPr>
          <w:rStyle w:val="AERbody"/>
        </w:rPr>
        <w:t>accelerat</w:t>
      </w:r>
      <w:r w:rsidR="00D80D77" w:rsidRPr="00023C54">
        <w:rPr>
          <w:rStyle w:val="AERbody"/>
        </w:rPr>
        <w:t>e</w:t>
      </w:r>
      <w:r w:rsidRPr="00023C54">
        <w:rPr>
          <w:rStyle w:val="AERbody"/>
        </w:rPr>
        <w:t xml:space="preserve"> the depreciation</w:t>
      </w:r>
      <w:r w:rsidR="008D6FAD" w:rsidRPr="00023C54">
        <w:rPr>
          <w:rStyle w:val="AERbody"/>
        </w:rPr>
        <w:t xml:space="preserve"> of the RAB value of</w:t>
      </w:r>
      <w:r w:rsidRPr="00023C54">
        <w:rPr>
          <w:rStyle w:val="AERbody"/>
        </w:rPr>
        <w:t xml:space="preserve"> assets that have been removed from service</w:t>
      </w:r>
      <w:r w:rsidR="00D80D77" w:rsidRPr="00023C54">
        <w:rPr>
          <w:rStyle w:val="AERbody"/>
        </w:rPr>
        <w:t xml:space="preserve"> (or are expected to be removed from service over the 2017–22 regulatory control </w:t>
      </w:r>
      <w:proofErr w:type="gramStart"/>
      <w:r w:rsidR="00D80D77" w:rsidRPr="00023C54">
        <w:rPr>
          <w:rStyle w:val="AERbody"/>
        </w:rPr>
        <w:t>period</w:t>
      </w:r>
      <w:proofErr w:type="gramEnd"/>
      <w:r w:rsidR="00D80D77" w:rsidRPr="00023C54">
        <w:rPr>
          <w:rStyle w:val="AERbody"/>
        </w:rPr>
        <w:t>)</w:t>
      </w:r>
      <w:r w:rsidRPr="00023C54">
        <w:rPr>
          <w:rStyle w:val="AERbody"/>
        </w:rPr>
        <w:t>.</w:t>
      </w:r>
      <w:r w:rsidR="00D132C5" w:rsidRPr="00023C54">
        <w:rPr>
          <w:rStyle w:val="AERbody"/>
        </w:rPr>
        <w:t xml:space="preserve"> </w:t>
      </w:r>
      <w:r w:rsidRPr="00023C54">
        <w:rPr>
          <w:rStyle w:val="AERbody"/>
        </w:rPr>
        <w:t>In our draft decision</w:t>
      </w:r>
      <w:r w:rsidR="007345F9" w:rsidRPr="00023C54">
        <w:rPr>
          <w:rStyle w:val="AERbody"/>
        </w:rPr>
        <w:t>,</w:t>
      </w:r>
      <w:r w:rsidRPr="00023C54">
        <w:rPr>
          <w:rStyle w:val="AERbody"/>
        </w:rPr>
        <w:t xml:space="preserve"> we </w:t>
      </w:r>
      <w:r w:rsidR="00F06075" w:rsidRPr="00023C54">
        <w:rPr>
          <w:rStyle w:val="AERbody"/>
        </w:rPr>
        <w:t xml:space="preserve">considered </w:t>
      </w:r>
      <w:r w:rsidRPr="00023C54">
        <w:rPr>
          <w:rStyle w:val="AERbody"/>
        </w:rPr>
        <w:t xml:space="preserve">that </w:t>
      </w:r>
      <w:r w:rsidR="00F06075" w:rsidRPr="00023C54">
        <w:rPr>
          <w:rStyle w:val="AERbody"/>
        </w:rPr>
        <w:t>the depreciation profile of these assets should be treated consistently for both RAB and TAB purposes.</w:t>
      </w:r>
      <w:r w:rsidR="00F06075" w:rsidRPr="002F080F">
        <w:rPr>
          <w:rStyle w:val="AERbody"/>
          <w:vertAlign w:val="superscript"/>
        </w:rPr>
        <w:footnoteReference w:id="12"/>
      </w:r>
      <w:r w:rsidR="00F06075" w:rsidRPr="00023C54">
        <w:rPr>
          <w:rStyle w:val="AERbody"/>
        </w:rPr>
        <w:t xml:space="preserve"> </w:t>
      </w:r>
      <w:r w:rsidR="00390255">
        <w:rPr>
          <w:rStyle w:val="AERbody"/>
        </w:rPr>
        <w:t xml:space="preserve">As such, we also accelerated the depreciation of the TAB value of assets that have been removed from service </w:t>
      </w:r>
      <w:r w:rsidR="00390255" w:rsidRPr="00023C54">
        <w:rPr>
          <w:rStyle w:val="AERbody"/>
        </w:rPr>
        <w:t xml:space="preserve">(or are expected to be removed from service over the 2017–22 regulatory control </w:t>
      </w:r>
      <w:proofErr w:type="gramStart"/>
      <w:r w:rsidR="00390255" w:rsidRPr="00023C54">
        <w:rPr>
          <w:rStyle w:val="AERbody"/>
        </w:rPr>
        <w:t>period</w:t>
      </w:r>
      <w:proofErr w:type="gramEnd"/>
      <w:r w:rsidR="00390255" w:rsidRPr="00023C54">
        <w:rPr>
          <w:rStyle w:val="AERbody"/>
        </w:rPr>
        <w:t>)</w:t>
      </w:r>
      <w:r w:rsidR="00390255">
        <w:rPr>
          <w:rStyle w:val="AERbody"/>
        </w:rPr>
        <w:t xml:space="preserve">. </w:t>
      </w:r>
      <w:r w:rsidR="007345F9" w:rsidRPr="00023C54">
        <w:rPr>
          <w:rStyle w:val="AERbody"/>
        </w:rPr>
        <w:t>AusNet Services</w:t>
      </w:r>
      <w:r w:rsidR="00F06075" w:rsidRPr="00023C54">
        <w:rPr>
          <w:rStyle w:val="AERbody"/>
        </w:rPr>
        <w:t>’</w:t>
      </w:r>
      <w:r w:rsidR="007345F9" w:rsidRPr="00023C54">
        <w:rPr>
          <w:rStyle w:val="AERbody"/>
        </w:rPr>
        <w:t xml:space="preserve"> revised proposal</w:t>
      </w:r>
      <w:r w:rsidR="00F06075" w:rsidRPr="00023C54">
        <w:rPr>
          <w:rStyle w:val="AERbody"/>
        </w:rPr>
        <w:t xml:space="preserve"> a</w:t>
      </w:r>
      <w:r w:rsidR="00390255">
        <w:rPr>
          <w:rStyle w:val="AERbody"/>
        </w:rPr>
        <w:t>dopted</w:t>
      </w:r>
      <w:r w:rsidR="00F06075" w:rsidRPr="00023C54">
        <w:rPr>
          <w:rStyle w:val="AERbody"/>
        </w:rPr>
        <w:t xml:space="preserve"> our draft decision to accelerate the TAB value of these assets</w:t>
      </w:r>
      <w:r w:rsidR="007345F9" w:rsidRPr="00023C54">
        <w:rPr>
          <w:rStyle w:val="AERbody"/>
        </w:rPr>
        <w:t>.</w:t>
      </w:r>
    </w:p>
    <w:p w:rsidR="00992E3E" w:rsidRPr="00023C54" w:rsidRDefault="007B38FA" w:rsidP="00D83007">
      <w:pPr>
        <w:rPr>
          <w:rStyle w:val="AERbody"/>
        </w:rPr>
      </w:pPr>
      <w:r>
        <w:rPr>
          <w:rStyle w:val="AERbody"/>
        </w:rPr>
        <w:t>AusNet Services’</w:t>
      </w:r>
      <w:r w:rsidR="00992E3E">
        <w:rPr>
          <w:rStyle w:val="AERbody"/>
        </w:rPr>
        <w:t xml:space="preserve"> initial proposal also contained some inconsistencies between the standard tax asset lives and remaining tax asset lives for the Group 3 assets.</w:t>
      </w:r>
      <w:r w:rsidR="0021304B">
        <w:rPr>
          <w:rStyle w:val="FootnoteReference"/>
        </w:rPr>
        <w:footnoteReference w:id="13"/>
      </w:r>
      <w:r w:rsidR="00992E3E">
        <w:rPr>
          <w:rStyle w:val="AERbody"/>
        </w:rPr>
        <w:t xml:space="preserve"> We </w:t>
      </w:r>
      <w:r w:rsidR="00992E3E">
        <w:rPr>
          <w:rStyle w:val="AERbody"/>
        </w:rPr>
        <w:lastRenderedPageBreak/>
        <w:t xml:space="preserve">identified this and </w:t>
      </w:r>
      <w:r>
        <w:rPr>
          <w:rStyle w:val="AERbody"/>
        </w:rPr>
        <w:t xml:space="preserve">following an information request, </w:t>
      </w:r>
      <w:r w:rsidR="00992E3E">
        <w:rPr>
          <w:rStyle w:val="AERbody"/>
        </w:rPr>
        <w:t>AusNet Services provided updated remaining tax asset lives for the Group 3 assets which we accepted in our draft decision.</w:t>
      </w:r>
      <w:r w:rsidR="00EE57DB">
        <w:rPr>
          <w:rStyle w:val="FootnoteReference"/>
        </w:rPr>
        <w:footnoteReference w:id="14"/>
      </w:r>
      <w:r w:rsidR="005E6FF9">
        <w:rPr>
          <w:rStyle w:val="AERbody"/>
        </w:rPr>
        <w:t xml:space="preserve"> The </w:t>
      </w:r>
      <w:r w:rsidR="006317B8">
        <w:rPr>
          <w:rStyle w:val="AERbody"/>
        </w:rPr>
        <w:t>updated</w:t>
      </w:r>
      <w:r w:rsidR="005E6FF9">
        <w:rPr>
          <w:rStyle w:val="AERbody"/>
        </w:rPr>
        <w:t xml:space="preserve"> remaining tax asset lives </w:t>
      </w:r>
      <w:r w:rsidR="006317B8">
        <w:rPr>
          <w:rStyle w:val="AERbody"/>
        </w:rPr>
        <w:t>for the Group 3 assets have been adopted</w:t>
      </w:r>
      <w:r w:rsidR="005E6FF9">
        <w:rPr>
          <w:rStyle w:val="AERbody"/>
        </w:rPr>
        <w:t xml:space="preserve"> in AusNet Services’ revised proposal.</w:t>
      </w:r>
    </w:p>
    <w:p w:rsidR="00281DB1" w:rsidRPr="00FF3E35" w:rsidRDefault="00870347" w:rsidP="00D83007">
      <w:r w:rsidRPr="00FF3E35">
        <w:t xml:space="preserve">In its revised proposal, AusNet Services also proposed </w:t>
      </w:r>
      <w:r w:rsidR="00F06075" w:rsidRPr="00FF3E35">
        <w:t xml:space="preserve">two new </w:t>
      </w:r>
      <w:r w:rsidRPr="00FF3E35">
        <w:t>asset class</w:t>
      </w:r>
      <w:r w:rsidR="00F06075" w:rsidRPr="00FF3E35">
        <w:t>es</w:t>
      </w:r>
      <w:r w:rsidRPr="00FF3E35">
        <w:t xml:space="preserve"> </w:t>
      </w:r>
      <w:r w:rsidR="00F06075" w:rsidRPr="00FF3E35">
        <w:t xml:space="preserve">to accelerate </w:t>
      </w:r>
      <w:r w:rsidR="006B7688">
        <w:t xml:space="preserve">tax </w:t>
      </w:r>
      <w:r w:rsidR="00F06075" w:rsidRPr="00FF3E35">
        <w:t xml:space="preserve">depreciation of </w:t>
      </w:r>
      <w:r w:rsidR="00BD2E44" w:rsidRPr="00FF3E35">
        <w:t xml:space="preserve">connection assets related to </w:t>
      </w:r>
      <w:r w:rsidR="0087697A">
        <w:t xml:space="preserve">the </w:t>
      </w:r>
      <w:r w:rsidR="00BD2E44" w:rsidRPr="00FF3E35">
        <w:t>Yallourn Power Station</w:t>
      </w:r>
      <w:r w:rsidRPr="00FF3E35">
        <w:t xml:space="preserve">. </w:t>
      </w:r>
      <w:r w:rsidR="00BD2E44" w:rsidRPr="00FF3E35">
        <w:t>It proposed to depreciate t</w:t>
      </w:r>
      <w:r w:rsidRPr="00FF3E35">
        <w:t xml:space="preserve">he </w:t>
      </w:r>
      <w:r w:rsidR="009C0D71" w:rsidRPr="00FF3E35">
        <w:t>tax value of these assets (</w:t>
      </w:r>
      <w:r w:rsidRPr="00FF3E35">
        <w:t>$12.8 million</w:t>
      </w:r>
      <w:r w:rsidR="009C0D71" w:rsidRPr="00FF3E35">
        <w:t>)</w:t>
      </w:r>
      <w:r w:rsidRPr="00FF3E35">
        <w:t xml:space="preserve"> </w:t>
      </w:r>
      <w:r w:rsidR="00BD2E44" w:rsidRPr="00FF3E35">
        <w:t xml:space="preserve">over eight years, consistent with the </w:t>
      </w:r>
      <w:r w:rsidR="009C0D71" w:rsidRPr="00FF3E35">
        <w:t xml:space="preserve">proposed </w:t>
      </w:r>
      <w:r w:rsidR="00BD2E44" w:rsidRPr="00FF3E35">
        <w:t>RAB</w:t>
      </w:r>
      <w:r w:rsidR="009C0D71" w:rsidRPr="00FF3E35">
        <w:t xml:space="preserve"> treatment</w:t>
      </w:r>
      <w:r w:rsidRPr="00FF3E35">
        <w:t>.</w:t>
      </w:r>
    </w:p>
    <w:p w:rsidR="00281DB1" w:rsidRDefault="009C0D71" w:rsidP="00D83007">
      <w:r w:rsidRPr="00FF3E35">
        <w:t xml:space="preserve">Consistent with our final decision to reject the accelerated depreciation of the </w:t>
      </w:r>
      <w:r w:rsidR="00C05024">
        <w:t>RAB value of these assets</w:t>
      </w:r>
      <w:r w:rsidRPr="00FF3E35">
        <w:t>, we do not accept AusNet Services’ revised proposal to accelerate the tax depreciation of</w:t>
      </w:r>
      <w:r w:rsidR="00AF4B43" w:rsidRPr="00FF3E35">
        <w:t xml:space="preserve"> these assets</w:t>
      </w:r>
      <w:r w:rsidRPr="00FF3E35">
        <w:t xml:space="preserve">. </w:t>
      </w:r>
      <w:r w:rsidR="00E3608D" w:rsidRPr="00FF3E35">
        <w:t>This issue is d</w:t>
      </w:r>
      <w:r w:rsidRPr="00FF3E35">
        <w:t xml:space="preserve">iscussed </w:t>
      </w:r>
      <w:r w:rsidR="00E3608D" w:rsidRPr="00FF3E35">
        <w:t xml:space="preserve">further </w:t>
      </w:r>
      <w:r w:rsidRPr="00FF3E35">
        <w:t xml:space="preserve">in </w:t>
      </w:r>
      <w:r w:rsidR="0087697A">
        <w:t>our consideration of AusNet Services’ regulatory depreciation (</w:t>
      </w:r>
      <w:r w:rsidR="003D5216">
        <w:t>a</w:t>
      </w:r>
      <w:r w:rsidR="00281DB1" w:rsidRPr="00FF3E35">
        <w:t>ttachment 6).</w:t>
      </w:r>
      <w:r w:rsidR="008062CB">
        <w:t xml:space="preserve"> Consequently, we have not accepted the tax remaining asset lives associated with the two new asset classes for </w:t>
      </w:r>
      <w:r w:rsidR="008062CB">
        <w:rPr>
          <w:rStyle w:val="AERbody"/>
        </w:rPr>
        <w:t>accelerated tax depreciation of these assets.</w:t>
      </w:r>
    </w:p>
    <w:p w:rsidR="00C05024" w:rsidRDefault="00C05024" w:rsidP="00D83007">
      <w:r w:rsidRPr="00C05024">
        <w:t xml:space="preserve">We are satisfied </w:t>
      </w:r>
      <w:r w:rsidR="0087697A">
        <w:t xml:space="preserve">our final decision on </w:t>
      </w:r>
      <w:r w:rsidRPr="00C05024">
        <w:t xml:space="preserve">AusNet Services' </w:t>
      </w:r>
      <w:r w:rsidR="0087697A">
        <w:t>r</w:t>
      </w:r>
      <w:r w:rsidR="0087697A" w:rsidRPr="00C05024">
        <w:t xml:space="preserve">emaining tax asset lives </w:t>
      </w:r>
      <w:r w:rsidRPr="00C05024">
        <w:t>are likely to provide an appropriate estimate of the tax depreciation amount for a benchmark efficient service provider as required by the NER</w:t>
      </w:r>
      <w:r>
        <w:t>.</w:t>
      </w:r>
      <w:r>
        <w:rPr>
          <w:rStyle w:val="FootnoteReference"/>
        </w:rPr>
        <w:footnoteReference w:id="15"/>
      </w:r>
    </w:p>
    <w:p w:rsidR="00870347" w:rsidRDefault="0002597E" w:rsidP="00D83007">
      <w:pPr>
        <w:rPr>
          <w:rStyle w:val="AERbody"/>
        </w:rPr>
      </w:pPr>
      <w:r>
        <w:rPr>
          <w:rStyle w:val="AERbody"/>
        </w:rPr>
        <w:fldChar w:fldCharType="begin"/>
      </w:r>
      <w:r>
        <w:rPr>
          <w:rStyle w:val="AERbody"/>
        </w:rPr>
        <w:instrText xml:space="preserve"> REF _Ref437593094 \h </w:instrText>
      </w:r>
      <w:r>
        <w:rPr>
          <w:rStyle w:val="AERbody"/>
        </w:rPr>
      </w:r>
      <w:r>
        <w:rPr>
          <w:rStyle w:val="AERbody"/>
        </w:rPr>
        <w:fldChar w:fldCharType="separate"/>
      </w:r>
      <w:r w:rsidR="00DE11A5">
        <w:t xml:space="preserve">Table </w:t>
      </w:r>
      <w:r w:rsidR="00DE11A5">
        <w:rPr>
          <w:noProof/>
        </w:rPr>
        <w:t>8</w:t>
      </w:r>
      <w:r w:rsidR="00DE11A5">
        <w:t>.</w:t>
      </w:r>
      <w:r w:rsidR="00DE11A5">
        <w:rPr>
          <w:noProof/>
        </w:rPr>
        <w:t>4</w:t>
      </w:r>
      <w:r>
        <w:rPr>
          <w:rStyle w:val="AERbody"/>
        </w:rPr>
        <w:fldChar w:fldCharType="end"/>
      </w:r>
      <w:r>
        <w:rPr>
          <w:rStyle w:val="AERbody"/>
        </w:rPr>
        <w:t xml:space="preserve"> </w:t>
      </w:r>
      <w:r w:rsidRPr="0002597E">
        <w:rPr>
          <w:rStyle w:val="AERbody"/>
        </w:rPr>
        <w:t xml:space="preserve">sets out our </w:t>
      </w:r>
      <w:r w:rsidR="00763DCB">
        <w:rPr>
          <w:rStyle w:val="AERbody"/>
        </w:rPr>
        <w:t>final</w:t>
      </w:r>
      <w:r w:rsidRPr="0002597E">
        <w:rPr>
          <w:rStyle w:val="AERbody"/>
        </w:rPr>
        <w:t xml:space="preserve"> decision on the remaining tax asset lives as at 1 </w:t>
      </w:r>
      <w:r>
        <w:rPr>
          <w:rStyle w:val="AERbody"/>
        </w:rPr>
        <w:t>April</w:t>
      </w:r>
      <w:r w:rsidRPr="0002597E">
        <w:rPr>
          <w:rStyle w:val="AERbody"/>
        </w:rPr>
        <w:t xml:space="preserve"> 201</w:t>
      </w:r>
      <w:r>
        <w:rPr>
          <w:rStyle w:val="AERbody"/>
        </w:rPr>
        <w:t>7</w:t>
      </w:r>
      <w:r w:rsidRPr="0002597E">
        <w:rPr>
          <w:rStyle w:val="AERbody"/>
        </w:rPr>
        <w:t xml:space="preserve"> for </w:t>
      </w:r>
      <w:r>
        <w:rPr>
          <w:rStyle w:val="AERbody"/>
        </w:rPr>
        <w:t>AusNet Services</w:t>
      </w:r>
      <w:r w:rsidRPr="0002597E">
        <w:rPr>
          <w:rStyle w:val="AERbody"/>
        </w:rPr>
        <w:t>.</w:t>
      </w:r>
    </w:p>
    <w:p w:rsidR="0002597E" w:rsidRDefault="0002597E" w:rsidP="0002597E">
      <w:pPr>
        <w:pStyle w:val="Caption"/>
      </w:pPr>
      <w:bookmarkStart w:id="28" w:name="_Ref437593094"/>
      <w:proofErr w:type="gramStart"/>
      <w:r>
        <w:t xml:space="preserve">Table </w:t>
      </w:r>
      <w:fldSimple w:instr=" STYLEREF 1 \s ">
        <w:r w:rsidR="00DE11A5">
          <w:rPr>
            <w:noProof/>
          </w:rPr>
          <w:t>8</w:t>
        </w:r>
      </w:fldSimple>
      <w:r>
        <w:t>.</w:t>
      </w:r>
      <w:proofErr w:type="gramEnd"/>
      <w:r w:rsidR="0021304B">
        <w:fldChar w:fldCharType="begin"/>
      </w:r>
      <w:r w:rsidR="0021304B">
        <w:instrText xml:space="preserve"> SEQ Table \* ARABIC \s 1 </w:instrText>
      </w:r>
      <w:r w:rsidR="0021304B">
        <w:fldChar w:fldCharType="separate"/>
      </w:r>
      <w:r w:rsidR="00DE11A5">
        <w:rPr>
          <w:noProof/>
        </w:rPr>
        <w:t>4</w:t>
      </w:r>
      <w:r w:rsidR="0021304B">
        <w:rPr>
          <w:noProof/>
        </w:rPr>
        <w:fldChar w:fldCharType="end"/>
      </w:r>
      <w:bookmarkEnd w:id="28"/>
      <w:r>
        <w:tab/>
        <w:t xml:space="preserve">AER's </w:t>
      </w:r>
      <w:r w:rsidR="00763DCB">
        <w:t>final</w:t>
      </w:r>
      <w:r>
        <w:t xml:space="preserve"> decision on AusNet Services’ standard and remaining tax asset lives as at 1 April 2017 (years)</w:t>
      </w:r>
    </w:p>
    <w:tbl>
      <w:tblPr>
        <w:tblStyle w:val="AERtable-numbers"/>
        <w:tblW w:w="0" w:type="auto"/>
        <w:tblLook w:val="04A0" w:firstRow="1" w:lastRow="0" w:firstColumn="1" w:lastColumn="0" w:noHBand="0" w:noVBand="1"/>
      </w:tblPr>
      <w:tblGrid>
        <w:gridCol w:w="3936"/>
        <w:gridCol w:w="2378"/>
        <w:gridCol w:w="2379"/>
      </w:tblGrid>
      <w:tr w:rsidR="0002597E" w:rsidRPr="0002597E" w:rsidTr="002810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tcPr>
          <w:p w:rsidR="0002597E" w:rsidRPr="0002597E" w:rsidRDefault="0002597E" w:rsidP="0002597E">
            <w:r>
              <w:t>Asset class</w:t>
            </w:r>
          </w:p>
        </w:tc>
        <w:tc>
          <w:tcPr>
            <w:tcW w:w="2378" w:type="dxa"/>
          </w:tcPr>
          <w:p w:rsidR="0002597E" w:rsidRPr="0002597E" w:rsidRDefault="0002597E" w:rsidP="0002597E">
            <w:pPr>
              <w:cnfStyle w:val="100000000000" w:firstRow="1" w:lastRow="0" w:firstColumn="0" w:lastColumn="0" w:oddVBand="0" w:evenVBand="0" w:oddHBand="0" w:evenHBand="0" w:firstRowFirstColumn="0" w:firstRowLastColumn="0" w:lastRowFirstColumn="0" w:lastRowLastColumn="0"/>
            </w:pPr>
            <w:r>
              <w:t>Standard tax asset life</w:t>
            </w:r>
          </w:p>
        </w:tc>
        <w:tc>
          <w:tcPr>
            <w:tcW w:w="2379" w:type="dxa"/>
          </w:tcPr>
          <w:p w:rsidR="0002597E" w:rsidRPr="0002597E" w:rsidRDefault="0002597E" w:rsidP="0002597E">
            <w:pPr>
              <w:cnfStyle w:val="100000000000" w:firstRow="1" w:lastRow="0" w:firstColumn="0" w:lastColumn="0" w:oddVBand="0" w:evenVBand="0" w:oddHBand="0" w:evenHBand="0" w:firstRowFirstColumn="0" w:firstRowLastColumn="0" w:lastRowFirstColumn="0" w:lastRowLastColumn="0"/>
            </w:pPr>
            <w:r>
              <w:t>Remaining tax asset life as at 1 April 2017</w:t>
            </w:r>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Secondary</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29" w:name="RANGE!P7"/>
            <w:r w:rsidRPr="00316F93">
              <w:t>12.5</w:t>
            </w:r>
            <w:bookmarkEnd w:id="29"/>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30" w:name="RANGE!O7"/>
            <w:r w:rsidRPr="00316F93">
              <w:t>11.6</w:t>
            </w:r>
            <w:bookmarkEnd w:id="30"/>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Switchgear</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31" w:name="RANGE!P8"/>
            <w:r w:rsidRPr="00316F93">
              <w:t>40.0</w:t>
            </w:r>
            <w:bookmarkEnd w:id="31"/>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32" w:name="RANGE!O8"/>
            <w:r w:rsidRPr="00316F93">
              <w:t>28.8</w:t>
            </w:r>
            <w:bookmarkEnd w:id="32"/>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Transformers</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33" w:name="RANGE!P9"/>
            <w:r w:rsidRPr="00316F93">
              <w:t>40.0</w:t>
            </w:r>
            <w:bookmarkEnd w:id="33"/>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34" w:name="RANGE!O9"/>
            <w:r w:rsidRPr="00316F93">
              <w:t>27.6</w:t>
            </w:r>
            <w:bookmarkEnd w:id="34"/>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Reactive</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35" w:name="RANGE!P10"/>
            <w:r w:rsidRPr="00316F93">
              <w:t>40.0</w:t>
            </w:r>
            <w:bookmarkEnd w:id="35"/>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36" w:name="RANGE!O10"/>
            <w:r w:rsidRPr="00316F93">
              <w:t>21.4</w:t>
            </w:r>
            <w:bookmarkEnd w:id="36"/>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 xml:space="preserve">Towers and </w:t>
            </w:r>
            <w:r w:rsidR="00316F93">
              <w:rPr>
                <w:rFonts w:cs="Arial"/>
                <w:color w:val="000000"/>
                <w:szCs w:val="16"/>
              </w:rPr>
              <w:t>c</w:t>
            </w:r>
            <w:r>
              <w:rPr>
                <w:rFonts w:cs="Arial"/>
                <w:color w:val="000000"/>
                <w:szCs w:val="16"/>
              </w:rPr>
              <w:t>onductor</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37" w:name="RANGE!P11"/>
            <w:r w:rsidRPr="00316F93">
              <w:t>47.5</w:t>
            </w:r>
            <w:bookmarkEnd w:id="37"/>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38" w:name="RANGE!O11"/>
            <w:r w:rsidRPr="00316F93">
              <w:t>25.1</w:t>
            </w:r>
            <w:bookmarkEnd w:id="38"/>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Establishment</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39" w:name="RANGE!P12"/>
            <w:r w:rsidRPr="00316F93">
              <w:t>40.0</w:t>
            </w:r>
            <w:bookmarkEnd w:id="39"/>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40" w:name="RANGE!O12"/>
            <w:r w:rsidRPr="00316F93">
              <w:t>32.9</w:t>
            </w:r>
            <w:bookmarkEnd w:id="40"/>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Communications</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41" w:name="RANGE!P13"/>
            <w:r w:rsidRPr="00316F93">
              <w:t>12.5</w:t>
            </w:r>
            <w:bookmarkEnd w:id="41"/>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42" w:name="RANGE!O13"/>
            <w:r w:rsidRPr="00316F93">
              <w:t>9.5</w:t>
            </w:r>
            <w:bookmarkEnd w:id="42"/>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Inventory</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43" w:name="RANGE!P14"/>
            <w:r w:rsidRPr="00316F93">
              <w:t>n/a</w:t>
            </w:r>
            <w:bookmarkEnd w:id="43"/>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44" w:name="RANGE!O14"/>
            <w:r w:rsidRPr="00316F93">
              <w:t>n/a</w:t>
            </w:r>
            <w:bookmarkEnd w:id="44"/>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IT</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45" w:name="RANGE!P15"/>
            <w:r w:rsidRPr="00316F93">
              <w:t>3.5</w:t>
            </w:r>
            <w:bookmarkEnd w:id="45"/>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46" w:name="RANGE!O15"/>
            <w:r w:rsidRPr="00316F93">
              <w:t>2.9</w:t>
            </w:r>
            <w:bookmarkEnd w:id="46"/>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Vehicles</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47" w:name="RANGE!P16"/>
            <w:r w:rsidRPr="00316F93">
              <w:t>8.0</w:t>
            </w:r>
            <w:bookmarkEnd w:id="47"/>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48" w:name="RANGE!O16"/>
            <w:r w:rsidRPr="00316F93">
              <w:t>5.5</w:t>
            </w:r>
            <w:bookmarkEnd w:id="48"/>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316F93">
            <w:pPr>
              <w:rPr>
                <w:rFonts w:cs="Arial"/>
                <w:color w:val="000000"/>
                <w:szCs w:val="16"/>
              </w:rPr>
            </w:pPr>
            <w:r>
              <w:rPr>
                <w:rFonts w:cs="Arial"/>
                <w:color w:val="000000"/>
                <w:szCs w:val="16"/>
              </w:rPr>
              <w:lastRenderedPageBreak/>
              <w:t>O</w:t>
            </w:r>
            <w:r w:rsidR="00B82439">
              <w:rPr>
                <w:rFonts w:cs="Arial"/>
                <w:color w:val="000000"/>
                <w:szCs w:val="16"/>
              </w:rPr>
              <w:t>ther</w:t>
            </w:r>
            <w:r w:rsidR="00C30BF4">
              <w:rPr>
                <w:rFonts w:cs="Arial"/>
                <w:color w:val="000000"/>
                <w:szCs w:val="16"/>
              </w:rPr>
              <w:t xml:space="preserve"> (non-network)</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49" w:name="RANGE!P17"/>
            <w:r w:rsidRPr="00316F93">
              <w:t>10.0</w:t>
            </w:r>
            <w:bookmarkEnd w:id="49"/>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50" w:name="RANGE!O17"/>
            <w:r w:rsidRPr="00316F93">
              <w:t>6.0</w:t>
            </w:r>
            <w:bookmarkEnd w:id="50"/>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316F93">
            <w:pPr>
              <w:rPr>
                <w:rFonts w:cs="Arial"/>
                <w:color w:val="000000"/>
                <w:szCs w:val="16"/>
              </w:rPr>
            </w:pPr>
            <w:r>
              <w:rPr>
                <w:rFonts w:cs="Arial"/>
                <w:color w:val="000000"/>
                <w:szCs w:val="16"/>
              </w:rPr>
              <w:t>P</w:t>
            </w:r>
            <w:r w:rsidR="00B82439">
              <w:rPr>
                <w:rFonts w:cs="Arial"/>
                <w:color w:val="000000"/>
                <w:szCs w:val="16"/>
              </w:rPr>
              <w:t>remises</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51" w:name="RANGE!P18"/>
            <w:r w:rsidRPr="00316F93">
              <w:t>20.0</w:t>
            </w:r>
            <w:bookmarkEnd w:id="51"/>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52" w:name="RANGE!O18"/>
            <w:r w:rsidRPr="00316F93">
              <w:t>13.1</w:t>
            </w:r>
            <w:bookmarkEnd w:id="52"/>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Land</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53" w:name="RANGE!P19"/>
            <w:r w:rsidRPr="00316F93">
              <w:t>n/a</w:t>
            </w:r>
            <w:bookmarkEnd w:id="53"/>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54" w:name="RANGE!O19"/>
            <w:r w:rsidRPr="00316F93">
              <w:t>n/a</w:t>
            </w:r>
            <w:bookmarkEnd w:id="54"/>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Easements</w:t>
            </w:r>
          </w:p>
        </w:tc>
        <w:tc>
          <w:tcPr>
            <w:tcW w:w="2378"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55" w:name="RANGE!P20"/>
            <w:r w:rsidRPr="00316F93">
              <w:t>n/a</w:t>
            </w:r>
            <w:bookmarkEnd w:id="55"/>
          </w:p>
        </w:tc>
        <w:tc>
          <w:tcPr>
            <w:tcW w:w="2379" w:type="dxa"/>
          </w:tcPr>
          <w:p w:rsidR="00B82439" w:rsidRPr="00316F93" w:rsidRDefault="00B82439" w:rsidP="00316F93">
            <w:pPr>
              <w:cnfStyle w:val="000000010000" w:firstRow="0" w:lastRow="0" w:firstColumn="0" w:lastColumn="0" w:oddVBand="0" w:evenVBand="0" w:oddHBand="0" w:evenHBand="1" w:firstRowFirstColumn="0" w:firstRowLastColumn="0" w:lastRowFirstColumn="0" w:lastRowLastColumn="0"/>
            </w:pPr>
            <w:bookmarkStart w:id="56" w:name="RANGE!O20"/>
            <w:r w:rsidRPr="00316F93">
              <w:t>n/a</w:t>
            </w:r>
            <w:bookmarkEnd w:id="56"/>
          </w:p>
        </w:tc>
      </w:tr>
      <w:tr w:rsidR="00B82439" w:rsidRPr="0002597E"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pPr>
              <w:rPr>
                <w:rFonts w:cs="Arial"/>
                <w:color w:val="000000"/>
                <w:szCs w:val="16"/>
              </w:rPr>
            </w:pPr>
            <w:r>
              <w:rPr>
                <w:rFonts w:cs="Arial"/>
                <w:color w:val="000000"/>
                <w:szCs w:val="16"/>
              </w:rPr>
              <w:t>Equity raising costs (2003-08)</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57" w:name="RANGE!P21"/>
            <w:r w:rsidRPr="00316F93">
              <w:t>5.0</w:t>
            </w:r>
            <w:bookmarkEnd w:id="57"/>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58" w:name="RANGE!O21"/>
            <w:r w:rsidRPr="00316F93">
              <w:t>2.0</w:t>
            </w:r>
            <w:bookmarkEnd w:id="58"/>
          </w:p>
        </w:tc>
      </w:tr>
      <w:tr w:rsidR="00B82439" w:rsidRPr="0002597E" w:rsidTr="00FF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82439" w:rsidRDefault="00B82439" w:rsidP="00316F93">
            <w:pPr>
              <w:rPr>
                <w:rFonts w:cs="Arial"/>
                <w:color w:val="000000"/>
                <w:szCs w:val="16"/>
              </w:rPr>
            </w:pPr>
            <w:r>
              <w:rPr>
                <w:rFonts w:cs="Arial"/>
                <w:color w:val="000000"/>
                <w:szCs w:val="16"/>
              </w:rPr>
              <w:t xml:space="preserve">Inventory </w:t>
            </w:r>
            <w:r w:rsidR="00316F93">
              <w:rPr>
                <w:rFonts w:cs="Arial"/>
                <w:color w:val="000000"/>
                <w:szCs w:val="16"/>
              </w:rPr>
              <w:t>a</w:t>
            </w:r>
            <w:r>
              <w:rPr>
                <w:rFonts w:cs="Arial"/>
                <w:color w:val="000000"/>
                <w:szCs w:val="16"/>
              </w:rPr>
              <w:t>djustment (</w:t>
            </w:r>
            <w:r w:rsidR="00316F93">
              <w:rPr>
                <w:rFonts w:cs="Arial"/>
                <w:color w:val="000000"/>
                <w:szCs w:val="16"/>
              </w:rPr>
              <w:t>o</w:t>
            </w:r>
            <w:r>
              <w:rPr>
                <w:rFonts w:cs="Arial"/>
                <w:color w:val="000000"/>
                <w:szCs w:val="16"/>
              </w:rPr>
              <w:t>ther non-network)</w:t>
            </w:r>
            <w:r w:rsidR="0021304B">
              <w:rPr>
                <w:rStyle w:val="AERsuperscript"/>
              </w:rPr>
              <w:t>a</w:t>
            </w:r>
          </w:p>
        </w:tc>
        <w:tc>
          <w:tcPr>
            <w:tcW w:w="2378" w:type="dxa"/>
          </w:tcPr>
          <w:p w:rsidR="00B82439" w:rsidRPr="00316F93" w:rsidRDefault="00316F93" w:rsidP="00316F93">
            <w:pPr>
              <w:cnfStyle w:val="000000010000" w:firstRow="0" w:lastRow="0" w:firstColumn="0" w:lastColumn="0" w:oddVBand="0" w:evenVBand="0" w:oddHBand="0" w:evenHBand="1" w:firstRowFirstColumn="0" w:firstRowLastColumn="0" w:lastRowFirstColumn="0" w:lastRowLastColumn="0"/>
            </w:pPr>
            <w:bookmarkStart w:id="59" w:name="RANGE!P22"/>
            <w:r>
              <w:t>n/a</w:t>
            </w:r>
            <w:r w:rsidR="00B82439" w:rsidRPr="00316F93">
              <w:t> </w:t>
            </w:r>
            <w:bookmarkEnd w:id="59"/>
          </w:p>
        </w:tc>
        <w:tc>
          <w:tcPr>
            <w:tcW w:w="2379" w:type="dxa"/>
          </w:tcPr>
          <w:p w:rsidR="00B82439" w:rsidRPr="00316F93" w:rsidRDefault="00B82439" w:rsidP="0021304B">
            <w:pPr>
              <w:cnfStyle w:val="000000010000" w:firstRow="0" w:lastRow="0" w:firstColumn="0" w:lastColumn="0" w:oddVBand="0" w:evenVBand="0" w:oddHBand="0" w:evenHBand="1" w:firstRowFirstColumn="0" w:firstRowLastColumn="0" w:lastRowFirstColumn="0" w:lastRowLastColumn="0"/>
            </w:pPr>
            <w:bookmarkStart w:id="60" w:name="RANGE!O22"/>
            <w:r w:rsidRPr="00316F93">
              <w:t>1.0</w:t>
            </w:r>
            <w:bookmarkEnd w:id="60"/>
          </w:p>
        </w:tc>
      </w:tr>
      <w:tr w:rsidR="00B82439" w:rsidRPr="00316F93" w:rsidTr="00FF3E35">
        <w:tc>
          <w:tcPr>
            <w:cnfStyle w:val="001000000000" w:firstRow="0" w:lastRow="0" w:firstColumn="1" w:lastColumn="0" w:oddVBand="0" w:evenVBand="0" w:oddHBand="0" w:evenHBand="0" w:firstRowFirstColumn="0" w:firstRowLastColumn="0" w:lastRowFirstColumn="0" w:lastRowLastColumn="0"/>
            <w:tcW w:w="3936" w:type="dxa"/>
          </w:tcPr>
          <w:p w:rsidR="00B82439" w:rsidRPr="00316F93" w:rsidRDefault="00B82439" w:rsidP="00316F93">
            <w:r w:rsidRPr="00316F93">
              <w:t xml:space="preserve"> Accelerated </w:t>
            </w:r>
            <w:r w:rsidR="00316F93">
              <w:t>d</w:t>
            </w:r>
            <w:r w:rsidRPr="00316F93">
              <w:t>epr</w:t>
            </w:r>
            <w:r w:rsidR="00316F93">
              <w:t>eciation</w:t>
            </w:r>
          </w:p>
        </w:tc>
        <w:tc>
          <w:tcPr>
            <w:tcW w:w="2378"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61" w:name="RANGE!P23"/>
            <w:r w:rsidRPr="00316F93">
              <w:t>n/a</w:t>
            </w:r>
            <w:bookmarkEnd w:id="61"/>
          </w:p>
        </w:tc>
        <w:tc>
          <w:tcPr>
            <w:tcW w:w="2379" w:type="dxa"/>
          </w:tcPr>
          <w:p w:rsidR="00B82439" w:rsidRPr="00316F93" w:rsidRDefault="00B82439" w:rsidP="00316F93">
            <w:pPr>
              <w:cnfStyle w:val="000000000000" w:firstRow="0" w:lastRow="0" w:firstColumn="0" w:lastColumn="0" w:oddVBand="0" w:evenVBand="0" w:oddHBand="0" w:evenHBand="0" w:firstRowFirstColumn="0" w:firstRowLastColumn="0" w:lastRowFirstColumn="0" w:lastRowLastColumn="0"/>
            </w:pPr>
            <w:bookmarkStart w:id="62" w:name="RANGE!O23"/>
            <w:r w:rsidRPr="00316F93">
              <w:t>5.0</w:t>
            </w:r>
            <w:bookmarkEnd w:id="62"/>
          </w:p>
        </w:tc>
      </w:tr>
    </w:tbl>
    <w:p w:rsidR="0002597E" w:rsidRDefault="0002597E" w:rsidP="0002597E">
      <w:pPr>
        <w:pStyle w:val="AERtablesource"/>
        <w:rPr>
          <w:rStyle w:val="AERbody"/>
          <w:sz w:val="16"/>
        </w:rPr>
      </w:pPr>
      <w:r w:rsidRPr="0002597E">
        <w:rPr>
          <w:rStyle w:val="AERbody"/>
          <w:sz w:val="16"/>
        </w:rPr>
        <w:t>Source:</w:t>
      </w:r>
      <w:r w:rsidRPr="0002597E">
        <w:rPr>
          <w:rStyle w:val="AERbody"/>
          <w:sz w:val="16"/>
        </w:rPr>
        <w:tab/>
        <w:t>AER analysis.</w:t>
      </w:r>
    </w:p>
    <w:p w:rsidR="00B225EE" w:rsidRDefault="00B225EE" w:rsidP="00316F93">
      <w:pPr>
        <w:pStyle w:val="AERtablesource"/>
      </w:pPr>
      <w:proofErr w:type="gramStart"/>
      <w:r>
        <w:t>n/a</w:t>
      </w:r>
      <w:proofErr w:type="gramEnd"/>
      <w:r>
        <w:tab/>
        <w:t>Not applicable.</w:t>
      </w:r>
    </w:p>
    <w:p w:rsidR="00B225EE" w:rsidRDefault="00B225EE" w:rsidP="00B225EE">
      <w:pPr>
        <w:pStyle w:val="AERtablesource"/>
      </w:pPr>
      <w:r>
        <w:t xml:space="preserve">a) </w:t>
      </w:r>
      <w:r>
        <w:tab/>
        <w:t xml:space="preserve">This is an adjustment to return the value of depreciation </w:t>
      </w:r>
      <w:r w:rsidR="007B38FA">
        <w:t xml:space="preserve">that </w:t>
      </w:r>
      <w:r>
        <w:t>AusNet Services was incorrectly allowed due to an issue with the historical allocation of its as-commissioned inventory movements. Further details are</w:t>
      </w:r>
      <w:r w:rsidR="007B38FA">
        <w:t xml:space="preserve"> in</w:t>
      </w:r>
      <w:r>
        <w:t xml:space="preserve"> attachment 5.</w:t>
      </w:r>
    </w:p>
    <w:p w:rsidR="008F0986" w:rsidRDefault="008F0986" w:rsidP="005140D8">
      <w:pPr>
        <w:pStyle w:val="Heading3"/>
        <w:ind w:hanging="862"/>
        <w:rPr>
          <w:rStyle w:val="AERbody"/>
          <w:color w:val="70635A" w:themeColor="text2"/>
          <w:sz w:val="28"/>
        </w:rPr>
      </w:pPr>
      <w:bookmarkStart w:id="63" w:name="_Toc480809789"/>
      <w:r>
        <w:rPr>
          <w:rStyle w:val="AERbody"/>
          <w:color w:val="70635A" w:themeColor="text2"/>
          <w:sz w:val="28"/>
        </w:rPr>
        <w:t>Tax treatment of revenue adjustment</w:t>
      </w:r>
      <w:bookmarkEnd w:id="63"/>
    </w:p>
    <w:p w:rsidR="008F0986" w:rsidRDefault="00E3608D" w:rsidP="008F0986">
      <w:r w:rsidRPr="00E3608D">
        <w:t xml:space="preserve">We note </w:t>
      </w:r>
      <w:r>
        <w:t>AusNet Services’</w:t>
      </w:r>
      <w:r w:rsidRPr="00E3608D">
        <w:t xml:space="preserve"> revised proposal adopted our </w:t>
      </w:r>
      <w:r>
        <w:t>draft</w:t>
      </w:r>
      <w:r w:rsidRPr="00E3608D">
        <w:t xml:space="preserve"> decision on the tax treatment of the </w:t>
      </w:r>
      <w:r w:rsidRPr="00FF3E35">
        <w:t>revenue adjustments arising from the operation of the EBSS over the 2014</w:t>
      </w:r>
      <w:r w:rsidR="0087697A">
        <w:t>–</w:t>
      </w:r>
      <w:r w:rsidRPr="00FF3E35">
        <w:t>17 regulatory control period. Consistent</w:t>
      </w:r>
      <w:r w:rsidRPr="00E3608D">
        <w:t xml:space="preserve"> with the </w:t>
      </w:r>
      <w:r>
        <w:t>draft</w:t>
      </w:r>
      <w:r w:rsidRPr="00E3608D">
        <w:t xml:space="preserve"> decision, our final decision is that the</w:t>
      </w:r>
      <w:r>
        <w:t xml:space="preserve">se </w:t>
      </w:r>
      <w:r w:rsidRPr="00E3608D">
        <w:t xml:space="preserve">revenue adjustments should be given identical income and expense tax status </w:t>
      </w:r>
      <w:r w:rsidR="0087697A">
        <w:t xml:space="preserve">for tax calculations </w:t>
      </w:r>
      <w:r w:rsidRPr="00E3608D">
        <w:t>in the PTR</w:t>
      </w:r>
      <w:r w:rsidRPr="00FF3E35">
        <w:t>M.</w:t>
      </w:r>
      <w:r w:rsidR="00FD20CC" w:rsidRPr="00FF3E35">
        <w:rPr>
          <w:rStyle w:val="FootnoteReference"/>
        </w:rPr>
        <w:footnoteReference w:id="16"/>
      </w:r>
    </w:p>
    <w:p w:rsidR="004643FA" w:rsidRDefault="000D108D" w:rsidP="004643FA">
      <w:pPr>
        <w:pStyle w:val="Heading3"/>
        <w:ind w:hanging="862"/>
        <w:rPr>
          <w:rStyle w:val="AERbody"/>
          <w:color w:val="70635A" w:themeColor="text2"/>
          <w:sz w:val="28"/>
        </w:rPr>
      </w:pPr>
      <w:bookmarkStart w:id="64" w:name="_Toc480809790"/>
      <w:r>
        <w:rPr>
          <w:rStyle w:val="AERbody"/>
          <w:color w:val="70635A" w:themeColor="text2"/>
          <w:sz w:val="28"/>
        </w:rPr>
        <w:t>T</w:t>
      </w:r>
      <w:r w:rsidR="004643FA">
        <w:rPr>
          <w:rStyle w:val="AERbody"/>
          <w:color w:val="70635A" w:themeColor="text2"/>
          <w:sz w:val="28"/>
        </w:rPr>
        <w:t>ax allowance for Hazelwood asset</w:t>
      </w:r>
      <w:r>
        <w:rPr>
          <w:rStyle w:val="AERbody"/>
          <w:color w:val="70635A" w:themeColor="text2"/>
          <w:sz w:val="28"/>
        </w:rPr>
        <w:t>s</w:t>
      </w:r>
      <w:r w:rsidR="004643FA">
        <w:rPr>
          <w:rStyle w:val="AERbody"/>
          <w:color w:val="70635A" w:themeColor="text2"/>
          <w:sz w:val="28"/>
        </w:rPr>
        <w:t xml:space="preserve"> payment</w:t>
      </w:r>
      <w:bookmarkEnd w:id="64"/>
    </w:p>
    <w:p w:rsidR="004643FA" w:rsidRDefault="000E22CF" w:rsidP="004643FA">
      <w:r w:rsidRPr="000E22CF">
        <w:t xml:space="preserve">AusNet Services </w:t>
      </w:r>
      <w:r>
        <w:t xml:space="preserve">made a late submission to its revised proposal </w:t>
      </w:r>
      <w:r w:rsidRPr="000E22CF">
        <w:t xml:space="preserve">setting out additional information </w:t>
      </w:r>
      <w:r>
        <w:t>regarding developments in the Latrobe Valley</w:t>
      </w:r>
      <w:r w:rsidRPr="000E22CF">
        <w:t>.</w:t>
      </w:r>
      <w:r w:rsidR="00BB230A">
        <w:rPr>
          <w:rStyle w:val="FootnoteReference"/>
        </w:rPr>
        <w:footnoteReference w:id="17"/>
      </w:r>
      <w:r>
        <w:t xml:space="preserve"> In </w:t>
      </w:r>
      <w:r w:rsidR="0080088A">
        <w:t>its</w:t>
      </w:r>
      <w:r>
        <w:t xml:space="preserve"> submission</w:t>
      </w:r>
      <w:r w:rsidR="000D108D">
        <w:t>,</w:t>
      </w:r>
      <w:r>
        <w:t xml:space="preserve"> AusNet Services withdrew its proposed </w:t>
      </w:r>
      <w:r w:rsidRPr="000E22CF">
        <w:t xml:space="preserve">accelerated depreciation of </w:t>
      </w:r>
      <w:r>
        <w:t>Yallourn Power Station</w:t>
      </w:r>
      <w:r w:rsidRPr="000E22CF">
        <w:t xml:space="preserve"> assets from its </w:t>
      </w:r>
      <w:r>
        <w:t>r</w:t>
      </w:r>
      <w:r w:rsidRPr="000E22CF">
        <w:t xml:space="preserve">evised </w:t>
      </w:r>
      <w:r>
        <w:t>p</w:t>
      </w:r>
      <w:r w:rsidRPr="000E22CF">
        <w:t>roposal</w:t>
      </w:r>
      <w:r>
        <w:t xml:space="preserve"> due to the planned closure of the Hazelwood Power Station. However, in light of this development </w:t>
      </w:r>
      <w:r w:rsidR="00443805">
        <w:t>AusNet Services</w:t>
      </w:r>
      <w:r w:rsidR="0080088A">
        <w:t xml:space="preserve"> </w:t>
      </w:r>
      <w:r w:rsidR="000D108D">
        <w:t>submitted</w:t>
      </w:r>
      <w:r w:rsidR="0080088A">
        <w:t xml:space="preserve"> that it</w:t>
      </w:r>
      <w:r>
        <w:t xml:space="preserve"> </w:t>
      </w:r>
      <w:r w:rsidRPr="000E22CF">
        <w:t>intend</w:t>
      </w:r>
      <w:r>
        <w:t>ed</w:t>
      </w:r>
      <w:r w:rsidRPr="000E22CF">
        <w:t xml:space="preserve"> to seek </w:t>
      </w:r>
      <w:r w:rsidR="0080088A">
        <w:t xml:space="preserve">payment from </w:t>
      </w:r>
      <w:proofErr w:type="spellStart"/>
      <w:r w:rsidR="0080088A">
        <w:t>Engie</w:t>
      </w:r>
      <w:proofErr w:type="spellEnd"/>
      <w:r w:rsidR="0080088A">
        <w:t xml:space="preserve"> </w:t>
      </w:r>
      <w:r w:rsidR="000D108D">
        <w:t xml:space="preserve">(the power station owner) </w:t>
      </w:r>
      <w:r w:rsidRPr="000E22CF">
        <w:t xml:space="preserve">to recover the remaining value of the connection assets at </w:t>
      </w:r>
      <w:r>
        <w:t>Hazelwood</w:t>
      </w:r>
      <w:r w:rsidR="000D108D">
        <w:t xml:space="preserve"> Power Station</w:t>
      </w:r>
      <w:r w:rsidRPr="000E22CF">
        <w:t xml:space="preserve">. </w:t>
      </w:r>
      <w:r>
        <w:t>In doing so</w:t>
      </w:r>
      <w:r w:rsidR="000D108D">
        <w:t>,</w:t>
      </w:r>
      <w:r>
        <w:t xml:space="preserve"> </w:t>
      </w:r>
      <w:r w:rsidR="000D108D">
        <w:t>AusNet Services</w:t>
      </w:r>
      <w:r>
        <w:t xml:space="preserve"> noted that this would </w:t>
      </w:r>
      <w:r w:rsidR="00BB230A">
        <w:t xml:space="preserve">result in </w:t>
      </w:r>
      <w:r w:rsidR="000D108D">
        <w:t>it</w:t>
      </w:r>
      <w:r w:rsidR="00BB230A">
        <w:t xml:space="preserve"> incurring </w:t>
      </w:r>
      <w:r w:rsidRPr="000E22CF">
        <w:t>a tax liability</w:t>
      </w:r>
      <w:r w:rsidR="0080088A">
        <w:t>,</w:t>
      </w:r>
      <w:r w:rsidRPr="000E22CF">
        <w:t xml:space="preserve"> which </w:t>
      </w:r>
      <w:r w:rsidR="00BB230A">
        <w:t xml:space="preserve">would </w:t>
      </w:r>
      <w:r w:rsidRPr="000E22CF">
        <w:t xml:space="preserve">need to be included </w:t>
      </w:r>
      <w:r w:rsidR="000D108D">
        <w:t xml:space="preserve">as an allowance </w:t>
      </w:r>
      <w:r w:rsidRPr="000E22CF">
        <w:t xml:space="preserve">in the tax </w:t>
      </w:r>
      <w:r w:rsidR="000D108D">
        <w:t>building block</w:t>
      </w:r>
      <w:r w:rsidRPr="000E22CF">
        <w:t xml:space="preserve"> for the </w:t>
      </w:r>
      <w:r w:rsidR="000D108D">
        <w:t>2017–22 regulatory control</w:t>
      </w:r>
      <w:r w:rsidRPr="000E22CF">
        <w:t xml:space="preserve"> </w:t>
      </w:r>
      <w:proofErr w:type="gramStart"/>
      <w:r w:rsidRPr="000E22CF">
        <w:t>period</w:t>
      </w:r>
      <w:proofErr w:type="gramEnd"/>
      <w:r w:rsidRPr="000E22CF">
        <w:t>.</w:t>
      </w:r>
      <w:r w:rsidR="00BB230A">
        <w:t xml:space="preserve"> </w:t>
      </w:r>
    </w:p>
    <w:p w:rsidR="00067619" w:rsidRDefault="00BB230A" w:rsidP="004643FA">
      <w:r>
        <w:lastRenderedPageBreak/>
        <w:t xml:space="preserve">AusNet Services </w:t>
      </w:r>
      <w:r w:rsidR="000D108D">
        <w:t>submitted</w:t>
      </w:r>
      <w:r>
        <w:t xml:space="preserve"> an amended PTRM in January</w:t>
      </w:r>
      <w:r w:rsidR="00852C81">
        <w:t xml:space="preserve"> 2017</w:t>
      </w:r>
      <w:r>
        <w:t xml:space="preserve"> </w:t>
      </w:r>
      <w:r w:rsidRPr="00BB230A">
        <w:t xml:space="preserve">incorporating the </w:t>
      </w:r>
      <w:r>
        <w:t xml:space="preserve">proposed </w:t>
      </w:r>
      <w:r w:rsidRPr="00BB230A">
        <w:t>change</w:t>
      </w:r>
      <w:r>
        <w:t xml:space="preserve"> to the tax allowance.</w:t>
      </w:r>
      <w:r>
        <w:rPr>
          <w:rStyle w:val="FootnoteReference"/>
        </w:rPr>
        <w:footnoteReference w:id="18"/>
      </w:r>
      <w:r>
        <w:t xml:space="preserve"> </w:t>
      </w:r>
      <w:r w:rsidR="000D108D">
        <w:t>We reviewed t</w:t>
      </w:r>
      <w:r>
        <w:t xml:space="preserve">he amended PTRM </w:t>
      </w:r>
      <w:r w:rsidR="000D108D">
        <w:t xml:space="preserve">and identified that it </w:t>
      </w:r>
      <w:r>
        <w:t>did not account for any reduction to the RAB for the value of the assets</w:t>
      </w:r>
      <w:r w:rsidR="001F7080">
        <w:t xml:space="preserve"> </w:t>
      </w:r>
      <w:r w:rsidR="000D108D">
        <w:t xml:space="preserve">expected </w:t>
      </w:r>
      <w:r w:rsidR="001F7080">
        <w:t xml:space="preserve">to be </w:t>
      </w:r>
      <w:r w:rsidR="000D108D">
        <w:t>removed from service</w:t>
      </w:r>
      <w:r>
        <w:t>. In effect</w:t>
      </w:r>
      <w:r w:rsidR="00443805">
        <w:t>,</w:t>
      </w:r>
      <w:r>
        <w:t xml:space="preserve"> this meant that AusNet Services </w:t>
      </w:r>
      <w:r w:rsidR="00D61DEA">
        <w:t>would</w:t>
      </w:r>
      <w:r w:rsidR="001F7080">
        <w:t xml:space="preserve"> to </w:t>
      </w:r>
      <w:r w:rsidR="00D61DEA">
        <w:t xml:space="preserve">continue </w:t>
      </w:r>
      <w:r>
        <w:t>receiv</w:t>
      </w:r>
      <w:r w:rsidR="00D61DEA">
        <w:t>ing</w:t>
      </w:r>
      <w:r>
        <w:t xml:space="preserve"> the return on </w:t>
      </w:r>
      <w:r w:rsidR="0080088A">
        <w:t xml:space="preserve">capital </w:t>
      </w:r>
      <w:r w:rsidR="001F7080">
        <w:t xml:space="preserve">and </w:t>
      </w:r>
      <w:r w:rsidR="0080088A">
        <w:t xml:space="preserve">regulatory </w:t>
      </w:r>
      <w:r w:rsidR="001F7080">
        <w:t xml:space="preserve">depreciation allowances for these assets, while also getting an additional tax allowance for the </w:t>
      </w:r>
      <w:r w:rsidR="00D61DEA">
        <w:t>expected payment</w:t>
      </w:r>
      <w:r w:rsidR="001F7080">
        <w:t xml:space="preserve"> of the assets. </w:t>
      </w:r>
      <w:r w:rsidR="00D61DEA">
        <w:t xml:space="preserve">We do not consider this modelling approach to be </w:t>
      </w:r>
      <w:r w:rsidR="008D6982">
        <w:t>appropriate</w:t>
      </w:r>
      <w:r w:rsidR="00D61DEA">
        <w:t xml:space="preserve">. </w:t>
      </w:r>
    </w:p>
    <w:p w:rsidR="004643FA" w:rsidRPr="003C32AE" w:rsidRDefault="001F7080" w:rsidP="008F0986">
      <w:r>
        <w:t xml:space="preserve">In consultation with AusNet Services, we corrected the modelling </w:t>
      </w:r>
      <w:r w:rsidR="001503FF">
        <w:t xml:space="preserve">to take account </w:t>
      </w:r>
      <w:r>
        <w:t xml:space="preserve">of the </w:t>
      </w:r>
      <w:r w:rsidR="001503FF">
        <w:t>expected</w:t>
      </w:r>
      <w:r>
        <w:t xml:space="preserve"> payment</w:t>
      </w:r>
      <w:r w:rsidR="001503FF">
        <w:t xml:space="preserve"> and the removal of the value from the RAB. </w:t>
      </w:r>
      <w:r w:rsidR="00067619">
        <w:t>Even after having regard for possible delays to the payment, t</w:t>
      </w:r>
      <w:r w:rsidR="001503FF">
        <w:t>he</w:t>
      </w:r>
      <w:r>
        <w:t xml:space="preserve"> result</w:t>
      </w:r>
      <w:r w:rsidR="001503FF">
        <w:t xml:space="preserve">s of the </w:t>
      </w:r>
      <w:r w:rsidR="00DC4C5F">
        <w:t xml:space="preserve">preliminary </w:t>
      </w:r>
      <w:r w:rsidR="001503FF">
        <w:t xml:space="preserve">modelling showed that </w:t>
      </w:r>
      <w:r w:rsidR="00DC4C5F">
        <w:t>there would be</w:t>
      </w:r>
      <w:r>
        <w:t xml:space="preserve"> minimal impact on </w:t>
      </w:r>
      <w:r w:rsidR="00067619">
        <w:t xml:space="preserve">the </w:t>
      </w:r>
      <w:r>
        <w:t xml:space="preserve">overall </w:t>
      </w:r>
      <w:r w:rsidR="00DE6BF6">
        <w:t>net cash flows for</w:t>
      </w:r>
      <w:r w:rsidR="00067619">
        <w:t xml:space="preserve"> AusNet Services</w:t>
      </w:r>
      <w:r>
        <w:t>.</w:t>
      </w:r>
      <w:r w:rsidR="0080088A">
        <w:t xml:space="preserve"> </w:t>
      </w:r>
      <w:r w:rsidR="00DE6BF6">
        <w:t xml:space="preserve">This is because the reduction to the returns on and </w:t>
      </w:r>
      <w:r w:rsidR="00B0097C">
        <w:t xml:space="preserve">of </w:t>
      </w:r>
      <w:r w:rsidR="00DE6BF6">
        <w:t>capital building blocks generally offset the increase to the tax building block. In light of this</w:t>
      </w:r>
      <w:r w:rsidR="002E2E71">
        <w:t>—</w:t>
      </w:r>
      <w:r w:rsidR="00B0097C">
        <w:t xml:space="preserve">and because there is uncertainty about the </w:t>
      </w:r>
      <w:r w:rsidR="0012204C">
        <w:t xml:space="preserve">actual </w:t>
      </w:r>
      <w:r w:rsidR="00B0097C">
        <w:t>timing and value of the payment</w:t>
      </w:r>
      <w:r w:rsidR="002E2E71">
        <w:t>—</w:t>
      </w:r>
      <w:r w:rsidR="00DE6BF6">
        <w:t xml:space="preserve">we consider there is no benefit to proceed with making the detailed </w:t>
      </w:r>
      <w:r w:rsidR="00D12D0F">
        <w:t>PTRM</w:t>
      </w:r>
      <w:r w:rsidR="00DE6BF6">
        <w:t xml:space="preserve"> changes </w:t>
      </w:r>
      <w:r w:rsidR="00D12D0F">
        <w:t>fo</w:t>
      </w:r>
      <w:r w:rsidR="00DE6BF6">
        <w:t>r this final decision.</w:t>
      </w:r>
      <w:r w:rsidR="00B0097C">
        <w:t xml:space="preserve"> We </w:t>
      </w:r>
      <w:r w:rsidR="005226EE">
        <w:t xml:space="preserve">also </w:t>
      </w:r>
      <w:r w:rsidR="00B0097C">
        <w:t xml:space="preserve">consider that </w:t>
      </w:r>
      <w:r w:rsidR="002E2E71">
        <w:t xml:space="preserve">this issue </w:t>
      </w:r>
      <w:r w:rsidR="005226EE">
        <w:t>would be better addressed</w:t>
      </w:r>
      <w:r w:rsidR="002E2E71">
        <w:t xml:space="preserve"> on an ex-post basis when the actual details are available.</w:t>
      </w:r>
      <w:r w:rsidR="00DE6BF6">
        <w:t xml:space="preserve"> </w:t>
      </w:r>
      <w:r>
        <w:t xml:space="preserve">AusNet Services </w:t>
      </w:r>
      <w:r w:rsidR="001503FF">
        <w:t xml:space="preserve">agreed with our assessment and </w:t>
      </w:r>
      <w:r w:rsidRPr="001F7080">
        <w:t>revoke</w:t>
      </w:r>
      <w:r>
        <w:t>d</w:t>
      </w:r>
      <w:r w:rsidRPr="001F7080">
        <w:t xml:space="preserve"> the </w:t>
      </w:r>
      <w:r>
        <w:t xml:space="preserve">Hazelwood </w:t>
      </w:r>
      <w:r w:rsidR="00DE6BF6">
        <w:t xml:space="preserve">tax </w:t>
      </w:r>
      <w:r w:rsidRPr="001F7080">
        <w:t xml:space="preserve">payment amendments made to </w:t>
      </w:r>
      <w:r>
        <w:t>its revised proposal</w:t>
      </w:r>
      <w:r w:rsidRPr="001F7080">
        <w:t>.</w:t>
      </w:r>
      <w:r w:rsidR="0080088A">
        <w:rPr>
          <w:rStyle w:val="FootnoteReference"/>
        </w:rPr>
        <w:footnoteReference w:id="19"/>
      </w:r>
      <w:r>
        <w:t xml:space="preserve"> </w:t>
      </w:r>
      <w:r w:rsidR="0080088A">
        <w:t xml:space="preserve">We </w:t>
      </w:r>
      <w:r w:rsidR="00DE6BF6">
        <w:t xml:space="preserve">note that </w:t>
      </w:r>
      <w:r w:rsidR="0080088A">
        <w:t xml:space="preserve">the </w:t>
      </w:r>
      <w:r w:rsidR="00D12D0F">
        <w:t xml:space="preserve">actual </w:t>
      </w:r>
      <w:r w:rsidR="0080088A">
        <w:t>payment for the</w:t>
      </w:r>
      <w:r w:rsidR="00D12D0F">
        <w:t xml:space="preserve"> Hazelwood Power Station</w:t>
      </w:r>
      <w:r w:rsidR="0080088A">
        <w:t xml:space="preserve"> assets </w:t>
      </w:r>
      <w:r w:rsidR="00455D71">
        <w:t xml:space="preserve">when it has been recovered by AusNet Services </w:t>
      </w:r>
      <w:r w:rsidR="00D12D0F">
        <w:t>would</w:t>
      </w:r>
      <w:r w:rsidR="0080088A">
        <w:t xml:space="preserve"> be accounted for at the next </w:t>
      </w:r>
      <w:r w:rsidR="00DE6BF6">
        <w:t>reset</w:t>
      </w:r>
      <w:r w:rsidR="0080088A">
        <w:t xml:space="preserve"> under the standard roll forward process </w:t>
      </w:r>
      <w:r w:rsidR="00DE6BF6">
        <w:t>for establishing the opening RAB at 1 April 2022</w:t>
      </w:r>
      <w:r w:rsidR="0080088A">
        <w:t>.</w:t>
      </w:r>
      <w:r w:rsidR="00D12D0F">
        <w:rPr>
          <w:rStyle w:val="FootnoteReference"/>
        </w:rPr>
        <w:footnoteReference w:id="20"/>
      </w:r>
    </w:p>
    <w:sectPr w:rsidR="004643FA" w:rsidRPr="003C32A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5E" w:rsidRPr="00290C63" w:rsidRDefault="00364F5E" w:rsidP="00290C63">
      <w:r>
        <w:separator/>
      </w:r>
    </w:p>
    <w:p w:rsidR="00364F5E" w:rsidRDefault="00364F5E"/>
  </w:endnote>
  <w:endnote w:type="continuationSeparator" w:id="0">
    <w:p w:rsidR="00364F5E" w:rsidRPr="00290C63" w:rsidRDefault="00364F5E" w:rsidP="00290C63">
      <w:r>
        <w:continuationSeparator/>
      </w:r>
    </w:p>
    <w:p w:rsidR="00364F5E" w:rsidRDefault="00364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5E" w:rsidRPr="00290C63" w:rsidRDefault="00364F5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64F5E" w:rsidRDefault="00364F5E"/>
  <w:p w:rsidR="00364F5E" w:rsidRDefault="00364F5E"/>
  <w:p w:rsidR="00364F5E" w:rsidRDefault="00364F5E"/>
  <w:p w:rsidR="00364F5E" w:rsidRDefault="00364F5E"/>
  <w:p w:rsidR="00364F5E" w:rsidRDefault="00364F5E"/>
  <w:p w:rsidR="00364F5E" w:rsidRDefault="00364F5E"/>
  <w:p w:rsidR="00364F5E" w:rsidRDefault="00364F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64F5E" w:rsidRDefault="00364F5E" w:rsidP="00763DCB">
        <w:pPr>
          <w:pStyle w:val="Footer"/>
        </w:pPr>
        <w:r>
          <w:fldChar w:fldCharType="begin"/>
        </w:r>
        <w:r>
          <w:instrText xml:space="preserve"> PAGE   \* MERGEFORMAT </w:instrText>
        </w:r>
        <w:r>
          <w:fldChar w:fldCharType="separate"/>
        </w:r>
        <w:r w:rsidR="00F605B2">
          <w:rPr>
            <w:noProof/>
          </w:rPr>
          <w:t>8-0</w:t>
        </w:r>
        <w:r>
          <w:rPr>
            <w:noProof/>
          </w:rPr>
          <w:fldChar w:fldCharType="end"/>
        </w:r>
        <w:r>
          <w:rPr>
            <w:noProof/>
          </w:rPr>
          <w:t xml:space="preserve">          Attachment 8</w:t>
        </w:r>
        <w:r w:rsidRPr="00FD5E78">
          <w:rPr>
            <w:noProof/>
          </w:rPr>
          <w:t xml:space="preserve"> </w:t>
        </w:r>
        <w:r w:rsidRPr="00FD5E78">
          <w:rPr>
            <w:rFonts w:cs="Gautami"/>
            <w:noProof/>
          </w:rPr>
          <w:t xml:space="preserve">– </w:t>
        </w:r>
        <w:r>
          <w:t>Corporate income tax</w:t>
        </w:r>
        <w:r w:rsidRPr="00FD5E78">
          <w:rPr>
            <w:rFonts w:cs="Gautami"/>
            <w:noProof/>
          </w:rPr>
          <w:t xml:space="preserve"> | </w:t>
        </w:r>
        <w:r>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Services</w:t>
        </w:r>
        <w:r w:rsidRPr="00FD5E78">
          <w:t xml:space="preserve"> transmission</w:t>
        </w:r>
        <w:r w:rsidRPr="00FD5E78">
          <w:rPr>
            <w:rFonts w:cs="Gautami"/>
            <w:noProof/>
          </w:rPr>
          <w:t xml:space="preserve"> determination 201</w:t>
        </w:r>
        <w:r>
          <w:rPr>
            <w:rFonts w:cs="Gautami"/>
            <w:noProof/>
          </w:rPr>
          <w:t>7</w:t>
        </w:r>
        <w:r w:rsidRPr="00FD5E78">
          <w:rPr>
            <w:rFonts w:cs="Gautami"/>
            <w:noProof/>
          </w:rPr>
          <w:t>–</w:t>
        </w:r>
        <w:r>
          <w:rPr>
            <w:rFonts w:cs="Gautami"/>
            <w:noProof/>
          </w:rPr>
          <w:t>22</w:t>
        </w:r>
      </w:p>
    </w:sdtContent>
  </w:sdt>
  <w:p w:rsidR="00364F5E" w:rsidRDefault="00364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5E" w:rsidRPr="00290C63" w:rsidRDefault="00364F5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64F5E" w:rsidRDefault="00364F5E">
    <w:pPr>
      <w:pStyle w:val="Footer"/>
    </w:pPr>
  </w:p>
  <w:p w:rsidR="00364F5E" w:rsidRDefault="00364F5E"/>
  <w:p w:rsidR="00364F5E" w:rsidRDefault="00364F5E"/>
  <w:p w:rsidR="00364F5E" w:rsidRDefault="00364F5E"/>
  <w:p w:rsidR="00364F5E" w:rsidRDefault="00364F5E"/>
  <w:p w:rsidR="00364F5E" w:rsidRDefault="00364F5E"/>
  <w:p w:rsidR="00364F5E" w:rsidRDefault="00364F5E"/>
  <w:p w:rsidR="00364F5E" w:rsidRDefault="00364F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5E" w:rsidRPr="00290C63" w:rsidRDefault="00364F5E" w:rsidP="00290C63">
      <w:r>
        <w:separator/>
      </w:r>
    </w:p>
    <w:p w:rsidR="00364F5E" w:rsidRDefault="00364F5E"/>
  </w:footnote>
  <w:footnote w:type="continuationSeparator" w:id="0">
    <w:p w:rsidR="00364F5E" w:rsidRPr="00290C63" w:rsidRDefault="00364F5E" w:rsidP="00290C63">
      <w:r>
        <w:continuationSeparator/>
      </w:r>
    </w:p>
    <w:p w:rsidR="00364F5E" w:rsidRDefault="00364F5E"/>
  </w:footnote>
  <w:footnote w:id="1">
    <w:p w:rsidR="00364F5E" w:rsidRDefault="00364F5E">
      <w:pPr>
        <w:pStyle w:val="FootnoteText"/>
      </w:pPr>
      <w:r>
        <w:rPr>
          <w:rStyle w:val="FootnoteReference"/>
        </w:rPr>
        <w:footnoteRef/>
      </w:r>
      <w:r>
        <w:t xml:space="preserve"> </w:t>
      </w:r>
      <w:r>
        <w:tab/>
      </w:r>
      <w:r w:rsidRPr="00667AB1">
        <w:t xml:space="preserve">NER, cl. </w:t>
      </w:r>
      <w:proofErr w:type="gramStart"/>
      <w:r w:rsidRPr="00667AB1">
        <w:t>6A.5.4(</w:t>
      </w:r>
      <w:proofErr w:type="gramEnd"/>
      <w:r w:rsidRPr="00667AB1">
        <w:t>a)(4).</w:t>
      </w:r>
    </w:p>
  </w:footnote>
  <w:footnote w:id="2">
    <w:p w:rsidR="00364F5E" w:rsidRDefault="00364F5E">
      <w:pPr>
        <w:pStyle w:val="FootnoteText"/>
      </w:pPr>
      <w:r>
        <w:rPr>
          <w:rStyle w:val="FootnoteReference"/>
        </w:rPr>
        <w:footnoteRef/>
      </w:r>
      <w:r>
        <w:t xml:space="preserve"> </w:t>
      </w:r>
      <w:r>
        <w:tab/>
      </w:r>
      <w:proofErr w:type="gramStart"/>
      <w:r w:rsidRPr="003D5216">
        <w:t xml:space="preserve">AusNet Services </w:t>
      </w:r>
      <w:r w:rsidRPr="003D5216">
        <w:rPr>
          <w:i/>
        </w:rPr>
        <w:t xml:space="preserve">Revised </w:t>
      </w:r>
      <w:r>
        <w:rPr>
          <w:i/>
        </w:rPr>
        <w:t>r</w:t>
      </w:r>
      <w:r w:rsidRPr="003D5216">
        <w:rPr>
          <w:i/>
        </w:rPr>
        <w:t xml:space="preserve">evenue </w:t>
      </w:r>
      <w:r>
        <w:rPr>
          <w:i/>
        </w:rPr>
        <w:t>p</w:t>
      </w:r>
      <w:r w:rsidRPr="003D5216">
        <w:rPr>
          <w:i/>
        </w:rPr>
        <w:t>roposal</w:t>
      </w:r>
      <w:r w:rsidRPr="003D5216">
        <w:t>, September 2016</w:t>
      </w:r>
      <w:r>
        <w:t>,</w:t>
      </w:r>
      <w:r w:rsidRPr="003D5216">
        <w:t xml:space="preserve"> p</w:t>
      </w:r>
      <w:r>
        <w:t>. 19.</w:t>
      </w:r>
      <w:proofErr w:type="gramEnd"/>
    </w:p>
  </w:footnote>
  <w:footnote w:id="3">
    <w:p w:rsidR="00364F5E" w:rsidRDefault="00364F5E" w:rsidP="00E0508B">
      <w:pPr>
        <w:pStyle w:val="FootnoteText"/>
      </w:pPr>
      <w:r>
        <w:rPr>
          <w:rStyle w:val="FootnoteReference"/>
        </w:rPr>
        <w:footnoteRef/>
      </w:r>
      <w:r>
        <w:t xml:space="preserve"> </w:t>
      </w:r>
      <w:r>
        <w:tab/>
      </w:r>
      <w:r w:rsidRPr="002E7E56">
        <w:t xml:space="preserve">AusNet Services, </w:t>
      </w:r>
      <w:r w:rsidRPr="002E7E56">
        <w:rPr>
          <w:rStyle w:val="AERtextitalic"/>
        </w:rPr>
        <w:t xml:space="preserve">Revised </w:t>
      </w:r>
      <w:r>
        <w:rPr>
          <w:rStyle w:val="AERtextitalic"/>
        </w:rPr>
        <w:t>r</w:t>
      </w:r>
      <w:r w:rsidRPr="002E7E56">
        <w:rPr>
          <w:rStyle w:val="AERtextitalic"/>
        </w:rPr>
        <w:t xml:space="preserve">evenue </w:t>
      </w:r>
      <w:r>
        <w:rPr>
          <w:rStyle w:val="AERtextitalic"/>
        </w:rPr>
        <w:t>p</w:t>
      </w:r>
      <w:r w:rsidRPr="002E7E56">
        <w:rPr>
          <w:rStyle w:val="AERtextitalic"/>
        </w:rPr>
        <w:t>roposal</w:t>
      </w:r>
      <w:r w:rsidRPr="002E7E56">
        <w:t>, September 2016</w:t>
      </w:r>
      <w:r>
        <w:t>, pp. 198–2013</w:t>
      </w:r>
      <w:r w:rsidRPr="002E7E56">
        <w:t xml:space="preserve">; AusNet Services, </w:t>
      </w:r>
      <w:r w:rsidRPr="002E7E56">
        <w:rPr>
          <w:rStyle w:val="AERtextitalic"/>
        </w:rPr>
        <w:t>Revised proposed PTRM</w:t>
      </w:r>
      <w:r w:rsidRPr="002E7E56">
        <w:t>, September 2016.</w:t>
      </w:r>
    </w:p>
  </w:footnote>
  <w:footnote w:id="4">
    <w:p w:rsidR="00364F5E" w:rsidRDefault="00364F5E">
      <w:pPr>
        <w:pStyle w:val="FootnoteText"/>
      </w:pPr>
      <w:r>
        <w:rPr>
          <w:rStyle w:val="FootnoteReference"/>
        </w:rPr>
        <w:footnoteRef/>
      </w:r>
      <w:r>
        <w:t xml:space="preserve"> </w:t>
      </w:r>
      <w:r>
        <w:tab/>
        <w:t xml:space="preserve">AER, </w:t>
      </w:r>
      <w:r w:rsidRPr="008B0DAE">
        <w:rPr>
          <w:rStyle w:val="AERtextitalic"/>
        </w:rPr>
        <w:t>Final decision cap</w:t>
      </w:r>
      <w:r>
        <w:rPr>
          <w:rStyle w:val="AERtextitalic"/>
        </w:rPr>
        <w:t xml:space="preserve">ital </w:t>
      </w:r>
      <w:r w:rsidRPr="008B0DAE">
        <w:rPr>
          <w:rStyle w:val="AERtextitalic"/>
        </w:rPr>
        <w:t>ex</w:t>
      </w:r>
      <w:r>
        <w:rPr>
          <w:rStyle w:val="AERtextitalic"/>
        </w:rPr>
        <w:t>penditure</w:t>
      </w:r>
      <w:r w:rsidRPr="008B0DAE">
        <w:rPr>
          <w:rStyle w:val="AERtextitalic"/>
        </w:rPr>
        <w:t xml:space="preserve"> model</w:t>
      </w:r>
      <w:r>
        <w:t>, April 2017, worksheet: ‘5.2(a</w:t>
      </w:r>
      <w:proofErr w:type="gramStart"/>
      <w:r>
        <w:t>)_</w:t>
      </w:r>
      <w:proofErr w:type="spellStart"/>
      <w:proofErr w:type="gramEnd"/>
      <w:r w:rsidRPr="008B0DAE">
        <w:t>Total_Fcast</w:t>
      </w:r>
      <w:proofErr w:type="spellEnd"/>
      <w:r>
        <w:t>’.</w:t>
      </w:r>
    </w:p>
  </w:footnote>
  <w:footnote w:id="5">
    <w:p w:rsidR="00364F5E" w:rsidRDefault="00364F5E">
      <w:pPr>
        <w:pStyle w:val="FootnoteText"/>
      </w:pPr>
      <w:r>
        <w:rPr>
          <w:rStyle w:val="FootnoteReference"/>
        </w:rPr>
        <w:footnoteRef/>
      </w:r>
      <w:r>
        <w:t xml:space="preserve"> </w:t>
      </w:r>
      <w:r>
        <w:tab/>
      </w:r>
      <w:proofErr w:type="gramStart"/>
      <w:r w:rsidRPr="002F080F">
        <w:t>AER</w:t>
      </w:r>
      <w:r>
        <w:t>,</w:t>
      </w:r>
      <w:r w:rsidRPr="002F080F">
        <w:t xml:space="preserve"> </w:t>
      </w:r>
      <w:r w:rsidRPr="002F080F">
        <w:rPr>
          <w:i/>
        </w:rPr>
        <w:t xml:space="preserve">Draft </w:t>
      </w:r>
      <w:r>
        <w:rPr>
          <w:i/>
        </w:rPr>
        <w:t>d</w:t>
      </w:r>
      <w:r w:rsidRPr="002F080F">
        <w:rPr>
          <w:i/>
        </w:rPr>
        <w:t xml:space="preserve">ecision - Attachment 8 </w:t>
      </w:r>
      <w:r>
        <w:rPr>
          <w:i/>
        </w:rPr>
        <w:t xml:space="preserve">- </w:t>
      </w:r>
      <w:r w:rsidRPr="002F080F">
        <w:rPr>
          <w:i/>
        </w:rPr>
        <w:t xml:space="preserve">Corporate </w:t>
      </w:r>
      <w:r>
        <w:rPr>
          <w:i/>
        </w:rPr>
        <w:t>i</w:t>
      </w:r>
      <w:r w:rsidRPr="002F080F">
        <w:rPr>
          <w:i/>
        </w:rPr>
        <w:t xml:space="preserve">ncome </w:t>
      </w:r>
      <w:r>
        <w:rPr>
          <w:i/>
        </w:rPr>
        <w:t>t</w:t>
      </w:r>
      <w:r w:rsidRPr="002F080F">
        <w:rPr>
          <w:i/>
        </w:rPr>
        <w:t>ax</w:t>
      </w:r>
      <w:r>
        <w:rPr>
          <w:i/>
        </w:rPr>
        <w:t>,</w:t>
      </w:r>
      <w:r w:rsidRPr="002F080F">
        <w:t xml:space="preserve"> July 2016, p</w:t>
      </w:r>
      <w:r>
        <w:t xml:space="preserve">. </w:t>
      </w:r>
      <w:r w:rsidRPr="002F080F">
        <w:t>8</w:t>
      </w:r>
      <w:r>
        <w:t>–</w:t>
      </w:r>
      <w:r w:rsidRPr="002F080F">
        <w:t>11</w:t>
      </w:r>
      <w:r>
        <w:t>.</w:t>
      </w:r>
      <w:proofErr w:type="gramEnd"/>
      <w:r w:rsidRPr="002F080F">
        <w:t xml:space="preserve"> </w:t>
      </w:r>
    </w:p>
  </w:footnote>
  <w:footnote w:id="6">
    <w:p w:rsidR="00364F5E" w:rsidRDefault="00364F5E">
      <w:pPr>
        <w:pStyle w:val="FootnoteText"/>
      </w:pPr>
      <w:r>
        <w:rPr>
          <w:rStyle w:val="FootnoteReference"/>
        </w:rPr>
        <w:footnoteRef/>
      </w:r>
      <w:r>
        <w:t xml:space="preserve"> </w:t>
      </w:r>
      <w:r>
        <w:tab/>
      </w:r>
      <w:proofErr w:type="gramStart"/>
      <w:r>
        <w:t xml:space="preserve">AusNet Services </w:t>
      </w:r>
      <w:r w:rsidRPr="002F080F">
        <w:rPr>
          <w:i/>
        </w:rPr>
        <w:t xml:space="preserve">Revised </w:t>
      </w:r>
      <w:r>
        <w:rPr>
          <w:i/>
        </w:rPr>
        <w:t>r</w:t>
      </w:r>
      <w:r w:rsidRPr="002F080F">
        <w:rPr>
          <w:i/>
        </w:rPr>
        <w:t xml:space="preserve">evenue </w:t>
      </w:r>
      <w:r>
        <w:rPr>
          <w:i/>
        </w:rPr>
        <w:t>p</w:t>
      </w:r>
      <w:r w:rsidRPr="002F080F">
        <w:rPr>
          <w:i/>
        </w:rPr>
        <w:t>roposal</w:t>
      </w:r>
      <w:r w:rsidRPr="00C05024">
        <w:rPr>
          <w:rStyle w:val="Emphasis"/>
        </w:rPr>
        <w:t xml:space="preserve"> RFM</w:t>
      </w:r>
      <w:r>
        <w:t>,</w:t>
      </w:r>
      <w:r w:rsidRPr="002F080F">
        <w:t xml:space="preserve"> September 2016</w:t>
      </w:r>
      <w:r>
        <w:t>.</w:t>
      </w:r>
      <w:proofErr w:type="gramEnd"/>
    </w:p>
  </w:footnote>
  <w:footnote w:id="7">
    <w:p w:rsidR="00364F5E" w:rsidRDefault="00364F5E" w:rsidP="00482CC8">
      <w:pPr>
        <w:pStyle w:val="FootnoteText"/>
      </w:pPr>
      <w:r>
        <w:rPr>
          <w:rStyle w:val="FootnoteReference"/>
        </w:rPr>
        <w:footnoteRef/>
      </w:r>
      <w:r>
        <w:t xml:space="preserve"> </w:t>
      </w:r>
      <w:r>
        <w:tab/>
        <w:t xml:space="preserve">AER, </w:t>
      </w:r>
      <w:r w:rsidRPr="008B0DAE">
        <w:rPr>
          <w:rStyle w:val="AERtextitalic"/>
        </w:rPr>
        <w:t>Final decision cap</w:t>
      </w:r>
      <w:r>
        <w:rPr>
          <w:rStyle w:val="AERtextitalic"/>
        </w:rPr>
        <w:t xml:space="preserve">ital </w:t>
      </w:r>
      <w:r w:rsidRPr="008B0DAE">
        <w:rPr>
          <w:rStyle w:val="AERtextitalic"/>
        </w:rPr>
        <w:t>ex</w:t>
      </w:r>
      <w:r>
        <w:rPr>
          <w:rStyle w:val="AERtextitalic"/>
        </w:rPr>
        <w:t>penditure</w:t>
      </w:r>
      <w:r w:rsidRPr="008B0DAE">
        <w:rPr>
          <w:rStyle w:val="AERtextitalic"/>
        </w:rPr>
        <w:t xml:space="preserve"> model</w:t>
      </w:r>
      <w:r>
        <w:t>, April 2017, worksheet: ‘5.2(a</w:t>
      </w:r>
      <w:proofErr w:type="gramStart"/>
      <w:r>
        <w:t>)_</w:t>
      </w:r>
      <w:proofErr w:type="spellStart"/>
      <w:proofErr w:type="gramEnd"/>
      <w:r w:rsidRPr="008B0DAE">
        <w:t>Total_Fcast</w:t>
      </w:r>
      <w:proofErr w:type="spellEnd"/>
      <w:r>
        <w:t>’.</w:t>
      </w:r>
    </w:p>
  </w:footnote>
  <w:footnote w:id="8">
    <w:p w:rsidR="00364F5E" w:rsidRDefault="00364F5E">
      <w:pPr>
        <w:pStyle w:val="FootnoteText"/>
      </w:pPr>
      <w:r>
        <w:rPr>
          <w:rStyle w:val="FootnoteReference"/>
        </w:rPr>
        <w:footnoteRef/>
      </w:r>
      <w:r>
        <w:t xml:space="preserve"> </w:t>
      </w:r>
      <w:r>
        <w:tab/>
      </w:r>
      <w:r w:rsidRPr="002810ED">
        <w:t xml:space="preserve">ATO, </w:t>
      </w:r>
      <w:r w:rsidRPr="002810ED">
        <w:rPr>
          <w:rStyle w:val="AERtextitalic"/>
        </w:rPr>
        <w:t>Taxation Ruling Income tax: effective life of depreciating assets (applicable from 1 July 201</w:t>
      </w:r>
      <w:r>
        <w:rPr>
          <w:rStyle w:val="AERtextitalic"/>
        </w:rPr>
        <w:t>6</w:t>
      </w:r>
      <w:r w:rsidRPr="002810ED">
        <w:rPr>
          <w:rStyle w:val="AERtextitalic"/>
        </w:rPr>
        <w:t>),</w:t>
      </w:r>
      <w:r w:rsidRPr="002810ED">
        <w:t xml:space="preserve"> July 201</w:t>
      </w:r>
      <w:r>
        <w:t>6</w:t>
      </w:r>
      <w:r w:rsidRPr="002810ED">
        <w:t xml:space="preserve">, </w:t>
      </w:r>
      <w:hyperlink r:id="rId1" w:history="1">
        <w:r w:rsidRPr="002810ED">
          <w:rPr>
            <w:rStyle w:val="Hyperlink"/>
            <w:sz w:val="16"/>
          </w:rPr>
          <w:t>http://law.ato.gov.au/atolaw/view.htm?docid=%22TXR%2FTR20152%2FNAT%2FATO%2F00001%22</w:t>
        </w:r>
      </w:hyperlink>
      <w:r w:rsidRPr="002810ED">
        <w:t xml:space="preserve">, accessed on </w:t>
      </w:r>
      <w:r>
        <w:t>6</w:t>
      </w:r>
      <w:r w:rsidRPr="002810ED">
        <w:t xml:space="preserve"> </w:t>
      </w:r>
      <w:r>
        <w:t>December</w:t>
      </w:r>
      <w:r w:rsidRPr="002810ED">
        <w:t xml:space="preserve"> 2016.</w:t>
      </w:r>
    </w:p>
  </w:footnote>
  <w:footnote w:id="9">
    <w:p w:rsidR="00364F5E" w:rsidRDefault="00364F5E">
      <w:pPr>
        <w:pStyle w:val="FootnoteText"/>
      </w:pPr>
      <w:r>
        <w:rPr>
          <w:rStyle w:val="FootnoteReference"/>
        </w:rPr>
        <w:footnoteRef/>
      </w:r>
      <w:r>
        <w:t xml:space="preserve"> </w:t>
      </w:r>
      <w:r>
        <w:tab/>
      </w:r>
      <w:proofErr w:type="gramStart"/>
      <w:r>
        <w:t>NER, cl. 6A.6.4.</w:t>
      </w:r>
      <w:proofErr w:type="gramEnd"/>
      <w:r>
        <w:t xml:space="preserve"> </w:t>
      </w:r>
    </w:p>
  </w:footnote>
  <w:footnote w:id="10">
    <w:p w:rsidR="00364F5E" w:rsidRDefault="00364F5E">
      <w:pPr>
        <w:pStyle w:val="FootnoteText"/>
      </w:pPr>
      <w:r>
        <w:rPr>
          <w:rStyle w:val="FootnoteReference"/>
        </w:rPr>
        <w:footnoteRef/>
      </w:r>
      <w:r>
        <w:t xml:space="preserve"> </w:t>
      </w:r>
      <w:r>
        <w:tab/>
      </w:r>
      <w:r w:rsidRPr="002F080F">
        <w:t>AER</w:t>
      </w:r>
      <w:r>
        <w:t>,</w:t>
      </w:r>
      <w:r w:rsidRPr="002F080F">
        <w:t xml:space="preserve"> </w:t>
      </w:r>
      <w:r w:rsidRPr="002F080F">
        <w:rPr>
          <w:i/>
        </w:rPr>
        <w:t xml:space="preserve">Draft Decision - Attachment 8 </w:t>
      </w:r>
      <w:r>
        <w:rPr>
          <w:i/>
        </w:rPr>
        <w:t xml:space="preserve">- </w:t>
      </w:r>
      <w:r w:rsidRPr="002F080F">
        <w:rPr>
          <w:i/>
        </w:rPr>
        <w:t>Corporate Income Tax</w:t>
      </w:r>
      <w:r>
        <w:rPr>
          <w:i/>
        </w:rPr>
        <w:t>,</w:t>
      </w:r>
      <w:r w:rsidRPr="002F080F">
        <w:t xml:space="preserve"> July 2016</w:t>
      </w:r>
      <w:r>
        <w:t>, p. 13</w:t>
      </w:r>
    </w:p>
  </w:footnote>
  <w:footnote w:id="11">
    <w:p w:rsidR="00364F5E" w:rsidRDefault="00364F5E">
      <w:pPr>
        <w:pStyle w:val="FootnoteText"/>
      </w:pPr>
      <w:r>
        <w:rPr>
          <w:rStyle w:val="FootnoteReference"/>
        </w:rPr>
        <w:footnoteRef/>
      </w:r>
      <w:r>
        <w:t xml:space="preserve"> </w:t>
      </w:r>
      <w:r>
        <w:tab/>
        <w:t xml:space="preserve">Due to the magnitude of our update to 2016–17 capex, the changes to AusNet Services’ revised remaining tax asset lives are less than 0.1 year for each asset class. </w:t>
      </w:r>
    </w:p>
  </w:footnote>
  <w:footnote w:id="12">
    <w:p w:rsidR="00364F5E" w:rsidRDefault="00364F5E">
      <w:pPr>
        <w:pStyle w:val="FootnoteText"/>
      </w:pPr>
      <w:r>
        <w:rPr>
          <w:rStyle w:val="FootnoteReference"/>
        </w:rPr>
        <w:footnoteRef/>
      </w:r>
      <w:r>
        <w:t xml:space="preserve"> </w:t>
      </w:r>
      <w:r>
        <w:tab/>
      </w:r>
      <w:r w:rsidRPr="002F080F">
        <w:t>AER</w:t>
      </w:r>
      <w:r>
        <w:t>,</w:t>
      </w:r>
      <w:r w:rsidRPr="002F080F">
        <w:t xml:space="preserve"> </w:t>
      </w:r>
      <w:r w:rsidRPr="002F080F">
        <w:rPr>
          <w:i/>
        </w:rPr>
        <w:t xml:space="preserve">Draft Decision - Attachment 8 </w:t>
      </w:r>
      <w:r>
        <w:rPr>
          <w:i/>
        </w:rPr>
        <w:t xml:space="preserve">- </w:t>
      </w:r>
      <w:r w:rsidRPr="002F080F">
        <w:rPr>
          <w:i/>
        </w:rPr>
        <w:t>Corporate Income Tax</w:t>
      </w:r>
      <w:r>
        <w:rPr>
          <w:i/>
        </w:rPr>
        <w:t>,</w:t>
      </w:r>
      <w:r w:rsidRPr="002F080F">
        <w:t xml:space="preserve"> July 2016</w:t>
      </w:r>
      <w:r>
        <w:t>, pp. 8–12.</w:t>
      </w:r>
    </w:p>
  </w:footnote>
  <w:footnote w:id="13">
    <w:p w:rsidR="00364F5E" w:rsidRDefault="00364F5E">
      <w:pPr>
        <w:pStyle w:val="FootnoteText"/>
      </w:pPr>
      <w:r>
        <w:rPr>
          <w:rStyle w:val="FootnoteReference"/>
        </w:rPr>
        <w:footnoteRef/>
      </w:r>
      <w:r>
        <w:t xml:space="preserve"> </w:t>
      </w:r>
      <w:r>
        <w:tab/>
        <w:t xml:space="preserve">During a regulatory control period, AEMO or a distribution business may request AusNet Services to provide augmentations to the transmission network or distribution connection services. While the assets constructed due to these requests provide prescribed transmission services, the forecast capex associated with these assets sit outside of the revenue determination. This is because AusNet Services is not responsible for the planning of these capex. AusNet Services and AEMO refer to the assets that provide these services as ‘Group 3’ assets. Group 3 assets sit outside of the TAB and are governed by commercial contracts until such time as they are rolled into the TAB, usually at the next revenue reset. See: AusNet Services, </w:t>
      </w:r>
      <w:r w:rsidRPr="005D18BF">
        <w:rPr>
          <w:rStyle w:val="AERtextitalic"/>
        </w:rPr>
        <w:t>Revenue proposal</w:t>
      </w:r>
      <w:r>
        <w:t>, October 2015, p. 23.</w:t>
      </w:r>
    </w:p>
  </w:footnote>
  <w:footnote w:id="14">
    <w:p w:rsidR="00364F5E" w:rsidRDefault="00364F5E">
      <w:pPr>
        <w:pStyle w:val="FootnoteText"/>
      </w:pPr>
      <w:r>
        <w:rPr>
          <w:rStyle w:val="FootnoteReference"/>
        </w:rPr>
        <w:footnoteRef/>
      </w:r>
      <w:r>
        <w:t xml:space="preserve"> </w:t>
      </w:r>
      <w:r>
        <w:tab/>
      </w:r>
      <w:r w:rsidRPr="002F080F">
        <w:t>AER</w:t>
      </w:r>
      <w:r>
        <w:t>,</w:t>
      </w:r>
      <w:r w:rsidRPr="002F080F">
        <w:t xml:space="preserve"> </w:t>
      </w:r>
      <w:r w:rsidRPr="002F080F">
        <w:rPr>
          <w:i/>
        </w:rPr>
        <w:t xml:space="preserve">Draft Decision - Attachment 8 </w:t>
      </w:r>
      <w:r>
        <w:rPr>
          <w:i/>
        </w:rPr>
        <w:t xml:space="preserve">- </w:t>
      </w:r>
      <w:r w:rsidRPr="002F080F">
        <w:rPr>
          <w:i/>
        </w:rPr>
        <w:t>Corporate Income Tax</w:t>
      </w:r>
      <w:r>
        <w:rPr>
          <w:i/>
        </w:rPr>
        <w:t>,</w:t>
      </w:r>
      <w:r w:rsidRPr="002F080F">
        <w:t xml:space="preserve"> July 2016</w:t>
      </w:r>
      <w:r>
        <w:t>, p. 8–12.</w:t>
      </w:r>
    </w:p>
  </w:footnote>
  <w:footnote w:id="15">
    <w:p w:rsidR="00364F5E" w:rsidRDefault="00364F5E">
      <w:pPr>
        <w:pStyle w:val="FootnoteText"/>
      </w:pPr>
      <w:r>
        <w:rPr>
          <w:rStyle w:val="FootnoteReference"/>
        </w:rPr>
        <w:footnoteRef/>
      </w:r>
      <w:r>
        <w:t xml:space="preserve"> </w:t>
      </w:r>
      <w:r>
        <w:tab/>
      </w:r>
      <w:proofErr w:type="gramStart"/>
      <w:r>
        <w:t>NER, cl. 6A.6.4.</w:t>
      </w:r>
      <w:proofErr w:type="gramEnd"/>
    </w:p>
  </w:footnote>
  <w:footnote w:id="16">
    <w:p w:rsidR="00364F5E" w:rsidRDefault="00364F5E" w:rsidP="00FD20CC">
      <w:pPr>
        <w:pStyle w:val="FootnoteText"/>
      </w:pPr>
      <w:r>
        <w:rPr>
          <w:rStyle w:val="FootnoteReference"/>
        </w:rPr>
        <w:footnoteRef/>
      </w:r>
      <w:r>
        <w:t xml:space="preserve"> </w:t>
      </w:r>
      <w:r>
        <w:tab/>
      </w:r>
      <w:r w:rsidRPr="00E3608D">
        <w:t xml:space="preserve">That is, the revenue adjustments </w:t>
      </w:r>
      <w:r>
        <w:t xml:space="preserve">relating to EBSS </w:t>
      </w:r>
      <w:r w:rsidRPr="00E3608D">
        <w:t>are both tax income and tax expense.</w:t>
      </w:r>
    </w:p>
  </w:footnote>
  <w:footnote w:id="17">
    <w:p w:rsidR="00364F5E" w:rsidRDefault="00364F5E">
      <w:pPr>
        <w:pStyle w:val="FootnoteText"/>
      </w:pPr>
      <w:r>
        <w:rPr>
          <w:rStyle w:val="FootnoteReference"/>
        </w:rPr>
        <w:footnoteRef/>
      </w:r>
      <w:r>
        <w:t xml:space="preserve"> </w:t>
      </w:r>
      <w:r>
        <w:tab/>
      </w:r>
      <w:proofErr w:type="gramStart"/>
      <w:r>
        <w:t xml:space="preserve">AusNet Services, </w:t>
      </w:r>
      <w:r w:rsidRPr="00E31C00">
        <w:rPr>
          <w:rStyle w:val="AERtextitalic"/>
        </w:rPr>
        <w:t>Submission to revised proposal</w:t>
      </w:r>
      <w:r>
        <w:t>, 20 Dec</w:t>
      </w:r>
      <w:r w:rsidRPr="006147D0">
        <w:t>ember 2016</w:t>
      </w:r>
      <w:r>
        <w:t>, p. 3.</w:t>
      </w:r>
      <w:proofErr w:type="gramEnd"/>
    </w:p>
  </w:footnote>
  <w:footnote w:id="18">
    <w:p w:rsidR="00364F5E" w:rsidRDefault="00364F5E">
      <w:pPr>
        <w:pStyle w:val="FootnoteText"/>
      </w:pPr>
      <w:r>
        <w:rPr>
          <w:rStyle w:val="FootnoteReference"/>
        </w:rPr>
        <w:footnoteRef/>
      </w:r>
      <w:r>
        <w:t xml:space="preserve"> </w:t>
      </w:r>
      <w:r>
        <w:tab/>
        <w:t xml:space="preserve">AusNet Services, </w:t>
      </w:r>
      <w:r w:rsidRPr="00E31C00">
        <w:rPr>
          <w:rStyle w:val="AERtextitalic"/>
        </w:rPr>
        <w:t>Submission to revised proposal</w:t>
      </w:r>
      <w:r>
        <w:t>, 25 January</w:t>
      </w:r>
      <w:r w:rsidRPr="006147D0">
        <w:t xml:space="preserve"> 201</w:t>
      </w:r>
      <w:r>
        <w:t>7, Revised PTRM and HWPS connection asset values spreadsheets.</w:t>
      </w:r>
    </w:p>
  </w:footnote>
  <w:footnote w:id="19">
    <w:p w:rsidR="00364F5E" w:rsidRDefault="00364F5E">
      <w:pPr>
        <w:pStyle w:val="FootnoteText"/>
      </w:pPr>
      <w:r>
        <w:rPr>
          <w:rStyle w:val="FootnoteReference"/>
        </w:rPr>
        <w:footnoteRef/>
      </w:r>
      <w:r>
        <w:t xml:space="preserve"> </w:t>
      </w:r>
      <w:r>
        <w:tab/>
        <w:t xml:space="preserve">AusNet Services, </w:t>
      </w:r>
      <w:r w:rsidRPr="0080088A">
        <w:rPr>
          <w:i/>
        </w:rPr>
        <w:t>Email - RE: AusNet TRR - HWPS payment further info</w:t>
      </w:r>
      <w:r>
        <w:t>, 16 February 2017.</w:t>
      </w:r>
    </w:p>
  </w:footnote>
  <w:footnote w:id="20">
    <w:p w:rsidR="00364F5E" w:rsidRDefault="00364F5E">
      <w:pPr>
        <w:pStyle w:val="FootnoteText"/>
      </w:pPr>
      <w:r>
        <w:rPr>
          <w:rStyle w:val="FootnoteReference"/>
        </w:rPr>
        <w:footnoteRef/>
      </w:r>
      <w:r>
        <w:t xml:space="preserve"> </w:t>
      </w:r>
      <w:r>
        <w:tab/>
        <w:t xml:space="preserve">NER, cl. </w:t>
      </w:r>
      <w:proofErr w:type="gramStart"/>
      <w:r>
        <w:t>S6A.2.1(</w:t>
      </w:r>
      <w:proofErr w:type="gramEnd"/>
      <w:r>
        <w:t>f)(6).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BCF0C052"/>
    <w:lvl w:ilvl="0">
      <w:start w:val="8"/>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7VJ3dqC15smiD3VO3IY8+5xS5MvtQB8qZN1CDTurps=" w:saltValue="mviZIHagZ9/LXEiRu/fCeA==" w:algorithmName="SHA-256"/>
  <w:defaultTabStop w:val="34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8 - corporate income tax - april 20 (AER2016-000059).docx"/>
  </w:docVars>
  <w:rsids>
    <w:rsidRoot w:val="00961A4A"/>
    <w:rsid w:val="000035FC"/>
    <w:rsid w:val="00005540"/>
    <w:rsid w:val="00021202"/>
    <w:rsid w:val="00021C2B"/>
    <w:rsid w:val="00023C54"/>
    <w:rsid w:val="0002517F"/>
    <w:rsid w:val="0002597E"/>
    <w:rsid w:val="000355C8"/>
    <w:rsid w:val="0003578C"/>
    <w:rsid w:val="00051BB8"/>
    <w:rsid w:val="00056EA7"/>
    <w:rsid w:val="00063247"/>
    <w:rsid w:val="00065133"/>
    <w:rsid w:val="00067619"/>
    <w:rsid w:val="00070F9F"/>
    <w:rsid w:val="0007137B"/>
    <w:rsid w:val="00077389"/>
    <w:rsid w:val="00081874"/>
    <w:rsid w:val="00081951"/>
    <w:rsid w:val="00085663"/>
    <w:rsid w:val="00085EBF"/>
    <w:rsid w:val="00086871"/>
    <w:rsid w:val="00092F2A"/>
    <w:rsid w:val="000940E5"/>
    <w:rsid w:val="000A3020"/>
    <w:rsid w:val="000A653E"/>
    <w:rsid w:val="000A6C7B"/>
    <w:rsid w:val="000B321F"/>
    <w:rsid w:val="000B3E19"/>
    <w:rsid w:val="000C2B40"/>
    <w:rsid w:val="000D108D"/>
    <w:rsid w:val="000D122C"/>
    <w:rsid w:val="000D7106"/>
    <w:rsid w:val="000E1819"/>
    <w:rsid w:val="000E22CF"/>
    <w:rsid w:val="000E4821"/>
    <w:rsid w:val="000E6C72"/>
    <w:rsid w:val="00114F56"/>
    <w:rsid w:val="00116EB2"/>
    <w:rsid w:val="001203C4"/>
    <w:rsid w:val="0012204C"/>
    <w:rsid w:val="00124609"/>
    <w:rsid w:val="00125B14"/>
    <w:rsid w:val="00126A4C"/>
    <w:rsid w:val="0014573B"/>
    <w:rsid w:val="00147329"/>
    <w:rsid w:val="001503FF"/>
    <w:rsid w:val="001539A2"/>
    <w:rsid w:val="001573E4"/>
    <w:rsid w:val="001600B4"/>
    <w:rsid w:val="00160756"/>
    <w:rsid w:val="00166C78"/>
    <w:rsid w:val="00170CBB"/>
    <w:rsid w:val="0017141B"/>
    <w:rsid w:val="00171C54"/>
    <w:rsid w:val="0017232E"/>
    <w:rsid w:val="00174102"/>
    <w:rsid w:val="001754EE"/>
    <w:rsid w:val="00176562"/>
    <w:rsid w:val="00180157"/>
    <w:rsid w:val="0018105E"/>
    <w:rsid w:val="00181A5B"/>
    <w:rsid w:val="00184D94"/>
    <w:rsid w:val="00185C55"/>
    <w:rsid w:val="00185CB9"/>
    <w:rsid w:val="00186F77"/>
    <w:rsid w:val="001921F2"/>
    <w:rsid w:val="001926A4"/>
    <w:rsid w:val="00192AD5"/>
    <w:rsid w:val="001A095A"/>
    <w:rsid w:val="001B45A0"/>
    <w:rsid w:val="001C70C6"/>
    <w:rsid w:val="001D055E"/>
    <w:rsid w:val="001F0F1D"/>
    <w:rsid w:val="001F492E"/>
    <w:rsid w:val="001F6DA3"/>
    <w:rsid w:val="001F7080"/>
    <w:rsid w:val="002010BC"/>
    <w:rsid w:val="002016E7"/>
    <w:rsid w:val="00202E03"/>
    <w:rsid w:val="0020492C"/>
    <w:rsid w:val="0021304B"/>
    <w:rsid w:val="0021786D"/>
    <w:rsid w:val="00224DB9"/>
    <w:rsid w:val="0023343F"/>
    <w:rsid w:val="00233775"/>
    <w:rsid w:val="002419E2"/>
    <w:rsid w:val="002465BC"/>
    <w:rsid w:val="00251745"/>
    <w:rsid w:val="00255C53"/>
    <w:rsid w:val="00263AC0"/>
    <w:rsid w:val="00264264"/>
    <w:rsid w:val="0026772D"/>
    <w:rsid w:val="00276002"/>
    <w:rsid w:val="002810ED"/>
    <w:rsid w:val="00281DB1"/>
    <w:rsid w:val="002829A3"/>
    <w:rsid w:val="00284FF2"/>
    <w:rsid w:val="00286874"/>
    <w:rsid w:val="002876B3"/>
    <w:rsid w:val="00290C63"/>
    <w:rsid w:val="00295FF6"/>
    <w:rsid w:val="00296B65"/>
    <w:rsid w:val="00297C2E"/>
    <w:rsid w:val="002A0C23"/>
    <w:rsid w:val="002A6E80"/>
    <w:rsid w:val="002A7DEF"/>
    <w:rsid w:val="002C233C"/>
    <w:rsid w:val="002D5392"/>
    <w:rsid w:val="002D72E8"/>
    <w:rsid w:val="002E2E71"/>
    <w:rsid w:val="002E7002"/>
    <w:rsid w:val="002E7B22"/>
    <w:rsid w:val="002E7E56"/>
    <w:rsid w:val="002F080F"/>
    <w:rsid w:val="002F7986"/>
    <w:rsid w:val="00301B40"/>
    <w:rsid w:val="003029EE"/>
    <w:rsid w:val="003030A0"/>
    <w:rsid w:val="00305CC8"/>
    <w:rsid w:val="00307F6D"/>
    <w:rsid w:val="003145E3"/>
    <w:rsid w:val="00316F93"/>
    <w:rsid w:val="003177A2"/>
    <w:rsid w:val="003271B5"/>
    <w:rsid w:val="00327A1E"/>
    <w:rsid w:val="00331264"/>
    <w:rsid w:val="00334C8D"/>
    <w:rsid w:val="00343A18"/>
    <w:rsid w:val="003518B3"/>
    <w:rsid w:val="00364F5E"/>
    <w:rsid w:val="00383AF0"/>
    <w:rsid w:val="003846F1"/>
    <w:rsid w:val="003850E2"/>
    <w:rsid w:val="00390255"/>
    <w:rsid w:val="003903F6"/>
    <w:rsid w:val="003A5CBB"/>
    <w:rsid w:val="003B484F"/>
    <w:rsid w:val="003B7FBA"/>
    <w:rsid w:val="003C303F"/>
    <w:rsid w:val="003C32AE"/>
    <w:rsid w:val="003C3A9C"/>
    <w:rsid w:val="003D5216"/>
    <w:rsid w:val="003F174D"/>
    <w:rsid w:val="003F63C7"/>
    <w:rsid w:val="00400514"/>
    <w:rsid w:val="00413691"/>
    <w:rsid w:val="00415B5D"/>
    <w:rsid w:val="00415F31"/>
    <w:rsid w:val="00423A77"/>
    <w:rsid w:val="00430D2F"/>
    <w:rsid w:val="00435E07"/>
    <w:rsid w:val="00436D35"/>
    <w:rsid w:val="004374C5"/>
    <w:rsid w:val="00437706"/>
    <w:rsid w:val="00443805"/>
    <w:rsid w:val="00453F5A"/>
    <w:rsid w:val="00455D71"/>
    <w:rsid w:val="0045777E"/>
    <w:rsid w:val="0046304A"/>
    <w:rsid w:val="004643FA"/>
    <w:rsid w:val="0046703F"/>
    <w:rsid w:val="004703B3"/>
    <w:rsid w:val="0047654D"/>
    <w:rsid w:val="00480B4B"/>
    <w:rsid w:val="00482CC8"/>
    <w:rsid w:val="00485DC4"/>
    <w:rsid w:val="00491349"/>
    <w:rsid w:val="00492389"/>
    <w:rsid w:val="004A43D1"/>
    <w:rsid w:val="004B4412"/>
    <w:rsid w:val="004C348C"/>
    <w:rsid w:val="004D0C18"/>
    <w:rsid w:val="004D4888"/>
    <w:rsid w:val="004D55BA"/>
    <w:rsid w:val="004E22EC"/>
    <w:rsid w:val="004F6A0E"/>
    <w:rsid w:val="00510DF3"/>
    <w:rsid w:val="005140D8"/>
    <w:rsid w:val="005226EE"/>
    <w:rsid w:val="00526192"/>
    <w:rsid w:val="00530128"/>
    <w:rsid w:val="00532467"/>
    <w:rsid w:val="00540418"/>
    <w:rsid w:val="00544C12"/>
    <w:rsid w:val="00553342"/>
    <w:rsid w:val="005557B9"/>
    <w:rsid w:val="00564A4D"/>
    <w:rsid w:val="005653C5"/>
    <w:rsid w:val="00567BA5"/>
    <w:rsid w:val="00571B35"/>
    <w:rsid w:val="00571D57"/>
    <w:rsid w:val="00577A09"/>
    <w:rsid w:val="005829C2"/>
    <w:rsid w:val="00584D8F"/>
    <w:rsid w:val="00586584"/>
    <w:rsid w:val="00591542"/>
    <w:rsid w:val="00593638"/>
    <w:rsid w:val="005A2386"/>
    <w:rsid w:val="005A404D"/>
    <w:rsid w:val="005B1E3C"/>
    <w:rsid w:val="005B704A"/>
    <w:rsid w:val="005C26CC"/>
    <w:rsid w:val="005D1D98"/>
    <w:rsid w:val="005D7BA2"/>
    <w:rsid w:val="005E1C36"/>
    <w:rsid w:val="005E36C2"/>
    <w:rsid w:val="005E6FF9"/>
    <w:rsid w:val="005F3CA6"/>
    <w:rsid w:val="005F6A59"/>
    <w:rsid w:val="00600B8F"/>
    <w:rsid w:val="00612F4F"/>
    <w:rsid w:val="00615C6B"/>
    <w:rsid w:val="00617922"/>
    <w:rsid w:val="00621DCE"/>
    <w:rsid w:val="00630A5A"/>
    <w:rsid w:val="006317B8"/>
    <w:rsid w:val="00632D6D"/>
    <w:rsid w:val="00642C3E"/>
    <w:rsid w:val="006537AA"/>
    <w:rsid w:val="0066104A"/>
    <w:rsid w:val="00663DAD"/>
    <w:rsid w:val="00667AB1"/>
    <w:rsid w:val="00667AED"/>
    <w:rsid w:val="00674A59"/>
    <w:rsid w:val="00675E20"/>
    <w:rsid w:val="00676679"/>
    <w:rsid w:val="006831A1"/>
    <w:rsid w:val="00683C89"/>
    <w:rsid w:val="006A08A8"/>
    <w:rsid w:val="006B2395"/>
    <w:rsid w:val="006B4CF9"/>
    <w:rsid w:val="006B7688"/>
    <w:rsid w:val="006B7AC8"/>
    <w:rsid w:val="006C1736"/>
    <w:rsid w:val="006D5008"/>
    <w:rsid w:val="006D550F"/>
    <w:rsid w:val="006E39DA"/>
    <w:rsid w:val="006F33D1"/>
    <w:rsid w:val="006F57DB"/>
    <w:rsid w:val="00701CAB"/>
    <w:rsid w:val="00707563"/>
    <w:rsid w:val="007108F6"/>
    <w:rsid w:val="00713956"/>
    <w:rsid w:val="0072348C"/>
    <w:rsid w:val="00724A37"/>
    <w:rsid w:val="007303C3"/>
    <w:rsid w:val="00731756"/>
    <w:rsid w:val="007345F9"/>
    <w:rsid w:val="007429BE"/>
    <w:rsid w:val="00743223"/>
    <w:rsid w:val="00746513"/>
    <w:rsid w:val="00746E01"/>
    <w:rsid w:val="00757364"/>
    <w:rsid w:val="00757BDF"/>
    <w:rsid w:val="007609D0"/>
    <w:rsid w:val="00763DCB"/>
    <w:rsid w:val="00763E5D"/>
    <w:rsid w:val="00767740"/>
    <w:rsid w:val="0077455A"/>
    <w:rsid w:val="00777EE6"/>
    <w:rsid w:val="00782EEA"/>
    <w:rsid w:val="00796270"/>
    <w:rsid w:val="007A4ABD"/>
    <w:rsid w:val="007B186E"/>
    <w:rsid w:val="007B1B40"/>
    <w:rsid w:val="007B2C72"/>
    <w:rsid w:val="007B38FA"/>
    <w:rsid w:val="007C1C53"/>
    <w:rsid w:val="007C74BB"/>
    <w:rsid w:val="007D456E"/>
    <w:rsid w:val="007E4904"/>
    <w:rsid w:val="007E4CB5"/>
    <w:rsid w:val="007F066B"/>
    <w:rsid w:val="007F1FED"/>
    <w:rsid w:val="007F53D3"/>
    <w:rsid w:val="007F61DB"/>
    <w:rsid w:val="0080088A"/>
    <w:rsid w:val="00800A30"/>
    <w:rsid w:val="008033C4"/>
    <w:rsid w:val="008062CB"/>
    <w:rsid w:val="00806C88"/>
    <w:rsid w:val="0081034E"/>
    <w:rsid w:val="00815614"/>
    <w:rsid w:val="00826063"/>
    <w:rsid w:val="008344F6"/>
    <w:rsid w:val="0083510F"/>
    <w:rsid w:val="00842AFA"/>
    <w:rsid w:val="00851209"/>
    <w:rsid w:val="00852C81"/>
    <w:rsid w:val="00857789"/>
    <w:rsid w:val="008653E7"/>
    <w:rsid w:val="00870347"/>
    <w:rsid w:val="0087697A"/>
    <w:rsid w:val="008837AC"/>
    <w:rsid w:val="008A056C"/>
    <w:rsid w:val="008A587D"/>
    <w:rsid w:val="008A781C"/>
    <w:rsid w:val="008B0DAE"/>
    <w:rsid w:val="008B35CD"/>
    <w:rsid w:val="008B5FCC"/>
    <w:rsid w:val="008B7662"/>
    <w:rsid w:val="008C0A84"/>
    <w:rsid w:val="008C5486"/>
    <w:rsid w:val="008D1661"/>
    <w:rsid w:val="008D6982"/>
    <w:rsid w:val="008D6FAD"/>
    <w:rsid w:val="008E7031"/>
    <w:rsid w:val="008E77DE"/>
    <w:rsid w:val="008F07A3"/>
    <w:rsid w:val="008F0986"/>
    <w:rsid w:val="008F1FD4"/>
    <w:rsid w:val="009001B6"/>
    <w:rsid w:val="00900E1B"/>
    <w:rsid w:val="0090431C"/>
    <w:rsid w:val="00906CB8"/>
    <w:rsid w:val="00914E17"/>
    <w:rsid w:val="009233EE"/>
    <w:rsid w:val="009460AA"/>
    <w:rsid w:val="00951978"/>
    <w:rsid w:val="00961A4A"/>
    <w:rsid w:val="009661DE"/>
    <w:rsid w:val="00983C25"/>
    <w:rsid w:val="009856B7"/>
    <w:rsid w:val="00985C86"/>
    <w:rsid w:val="0098653D"/>
    <w:rsid w:val="00992E3E"/>
    <w:rsid w:val="009936BC"/>
    <w:rsid w:val="00996349"/>
    <w:rsid w:val="00996A8E"/>
    <w:rsid w:val="009A5FC3"/>
    <w:rsid w:val="009A7D9D"/>
    <w:rsid w:val="009B081D"/>
    <w:rsid w:val="009B090B"/>
    <w:rsid w:val="009B74B0"/>
    <w:rsid w:val="009C0D47"/>
    <w:rsid w:val="009C0D71"/>
    <w:rsid w:val="009D3906"/>
    <w:rsid w:val="009D6B46"/>
    <w:rsid w:val="009E0C79"/>
    <w:rsid w:val="009F4940"/>
    <w:rsid w:val="009F5BA1"/>
    <w:rsid w:val="009F766B"/>
    <w:rsid w:val="00A02A88"/>
    <w:rsid w:val="00A0562E"/>
    <w:rsid w:val="00A0726D"/>
    <w:rsid w:val="00A175E2"/>
    <w:rsid w:val="00A26D68"/>
    <w:rsid w:val="00A32FBB"/>
    <w:rsid w:val="00A344D3"/>
    <w:rsid w:val="00A428EE"/>
    <w:rsid w:val="00A4478A"/>
    <w:rsid w:val="00A44852"/>
    <w:rsid w:val="00A57D04"/>
    <w:rsid w:val="00A60A26"/>
    <w:rsid w:val="00A61598"/>
    <w:rsid w:val="00A63EDD"/>
    <w:rsid w:val="00A704B2"/>
    <w:rsid w:val="00A82A11"/>
    <w:rsid w:val="00A84A99"/>
    <w:rsid w:val="00A84F46"/>
    <w:rsid w:val="00A871F4"/>
    <w:rsid w:val="00AA3B8E"/>
    <w:rsid w:val="00AB4D90"/>
    <w:rsid w:val="00AC0C43"/>
    <w:rsid w:val="00AC1B2C"/>
    <w:rsid w:val="00AC1F2A"/>
    <w:rsid w:val="00AC3264"/>
    <w:rsid w:val="00AC4546"/>
    <w:rsid w:val="00AE17C7"/>
    <w:rsid w:val="00AE1BF1"/>
    <w:rsid w:val="00AE40A1"/>
    <w:rsid w:val="00AF0DD2"/>
    <w:rsid w:val="00AF1A8B"/>
    <w:rsid w:val="00AF4B43"/>
    <w:rsid w:val="00B0097C"/>
    <w:rsid w:val="00B06C2F"/>
    <w:rsid w:val="00B13048"/>
    <w:rsid w:val="00B1716D"/>
    <w:rsid w:val="00B17A1D"/>
    <w:rsid w:val="00B207A0"/>
    <w:rsid w:val="00B20D8D"/>
    <w:rsid w:val="00B217BD"/>
    <w:rsid w:val="00B22037"/>
    <w:rsid w:val="00B225EE"/>
    <w:rsid w:val="00B2303F"/>
    <w:rsid w:val="00B43D7C"/>
    <w:rsid w:val="00B47A50"/>
    <w:rsid w:val="00B514DD"/>
    <w:rsid w:val="00B52AF0"/>
    <w:rsid w:val="00B561BD"/>
    <w:rsid w:val="00B56E03"/>
    <w:rsid w:val="00B73FA7"/>
    <w:rsid w:val="00B8080B"/>
    <w:rsid w:val="00B82223"/>
    <w:rsid w:val="00B82439"/>
    <w:rsid w:val="00B87BA5"/>
    <w:rsid w:val="00B87C39"/>
    <w:rsid w:val="00B91481"/>
    <w:rsid w:val="00B9562D"/>
    <w:rsid w:val="00B9733D"/>
    <w:rsid w:val="00BA4665"/>
    <w:rsid w:val="00BB089B"/>
    <w:rsid w:val="00BB230A"/>
    <w:rsid w:val="00BB2FB2"/>
    <w:rsid w:val="00BB3304"/>
    <w:rsid w:val="00BD006D"/>
    <w:rsid w:val="00BD2E44"/>
    <w:rsid w:val="00BD3446"/>
    <w:rsid w:val="00BD5D87"/>
    <w:rsid w:val="00BE1F1B"/>
    <w:rsid w:val="00BE47B5"/>
    <w:rsid w:val="00BE733A"/>
    <w:rsid w:val="00BF25F1"/>
    <w:rsid w:val="00BF459A"/>
    <w:rsid w:val="00C05024"/>
    <w:rsid w:val="00C25FA6"/>
    <w:rsid w:val="00C26737"/>
    <w:rsid w:val="00C30BF4"/>
    <w:rsid w:val="00C420BC"/>
    <w:rsid w:val="00C538A9"/>
    <w:rsid w:val="00C53B5A"/>
    <w:rsid w:val="00C54F5A"/>
    <w:rsid w:val="00C569B4"/>
    <w:rsid w:val="00C67A92"/>
    <w:rsid w:val="00C76918"/>
    <w:rsid w:val="00C81758"/>
    <w:rsid w:val="00C84560"/>
    <w:rsid w:val="00C86679"/>
    <w:rsid w:val="00C8739E"/>
    <w:rsid w:val="00C91729"/>
    <w:rsid w:val="00CA0857"/>
    <w:rsid w:val="00CA489E"/>
    <w:rsid w:val="00CA6367"/>
    <w:rsid w:val="00CA67ED"/>
    <w:rsid w:val="00CB0279"/>
    <w:rsid w:val="00CB03F9"/>
    <w:rsid w:val="00CB49CB"/>
    <w:rsid w:val="00CB666B"/>
    <w:rsid w:val="00CC7F1D"/>
    <w:rsid w:val="00CE1C65"/>
    <w:rsid w:val="00CE484B"/>
    <w:rsid w:val="00CF6177"/>
    <w:rsid w:val="00D006AE"/>
    <w:rsid w:val="00D0085D"/>
    <w:rsid w:val="00D01CF0"/>
    <w:rsid w:val="00D024E1"/>
    <w:rsid w:val="00D0442A"/>
    <w:rsid w:val="00D12D0F"/>
    <w:rsid w:val="00D132C5"/>
    <w:rsid w:val="00D1563D"/>
    <w:rsid w:val="00D17061"/>
    <w:rsid w:val="00D27530"/>
    <w:rsid w:val="00D325B8"/>
    <w:rsid w:val="00D32899"/>
    <w:rsid w:val="00D37229"/>
    <w:rsid w:val="00D5672F"/>
    <w:rsid w:val="00D61388"/>
    <w:rsid w:val="00D61A54"/>
    <w:rsid w:val="00D61DEA"/>
    <w:rsid w:val="00D64DEA"/>
    <w:rsid w:val="00D7168E"/>
    <w:rsid w:val="00D71E57"/>
    <w:rsid w:val="00D80893"/>
    <w:rsid w:val="00D80D77"/>
    <w:rsid w:val="00D8154B"/>
    <w:rsid w:val="00D83007"/>
    <w:rsid w:val="00D842E4"/>
    <w:rsid w:val="00D84854"/>
    <w:rsid w:val="00D92CF1"/>
    <w:rsid w:val="00D92D38"/>
    <w:rsid w:val="00D950F5"/>
    <w:rsid w:val="00DA4752"/>
    <w:rsid w:val="00DA6129"/>
    <w:rsid w:val="00DA61F3"/>
    <w:rsid w:val="00DA6A65"/>
    <w:rsid w:val="00DB0F93"/>
    <w:rsid w:val="00DB1A67"/>
    <w:rsid w:val="00DB48C6"/>
    <w:rsid w:val="00DB5074"/>
    <w:rsid w:val="00DB51F0"/>
    <w:rsid w:val="00DC4C5F"/>
    <w:rsid w:val="00DC5D3C"/>
    <w:rsid w:val="00DC6B77"/>
    <w:rsid w:val="00DC7981"/>
    <w:rsid w:val="00DE1093"/>
    <w:rsid w:val="00DE11A5"/>
    <w:rsid w:val="00DE1465"/>
    <w:rsid w:val="00DE3695"/>
    <w:rsid w:val="00DE4EFA"/>
    <w:rsid w:val="00DE5520"/>
    <w:rsid w:val="00DE563D"/>
    <w:rsid w:val="00DE6BF6"/>
    <w:rsid w:val="00DF6940"/>
    <w:rsid w:val="00E04818"/>
    <w:rsid w:val="00E0508B"/>
    <w:rsid w:val="00E06442"/>
    <w:rsid w:val="00E23993"/>
    <w:rsid w:val="00E25B8C"/>
    <w:rsid w:val="00E3172B"/>
    <w:rsid w:val="00E3608D"/>
    <w:rsid w:val="00E43C30"/>
    <w:rsid w:val="00E56FC8"/>
    <w:rsid w:val="00E65C85"/>
    <w:rsid w:val="00E66199"/>
    <w:rsid w:val="00E755EC"/>
    <w:rsid w:val="00E75861"/>
    <w:rsid w:val="00E7624D"/>
    <w:rsid w:val="00E92F62"/>
    <w:rsid w:val="00E97452"/>
    <w:rsid w:val="00EA3D42"/>
    <w:rsid w:val="00EA6B1B"/>
    <w:rsid w:val="00EB442A"/>
    <w:rsid w:val="00EC04F1"/>
    <w:rsid w:val="00ED2A57"/>
    <w:rsid w:val="00ED7323"/>
    <w:rsid w:val="00EE28F3"/>
    <w:rsid w:val="00EE50D1"/>
    <w:rsid w:val="00EE57DB"/>
    <w:rsid w:val="00EF5110"/>
    <w:rsid w:val="00EF6D51"/>
    <w:rsid w:val="00F06075"/>
    <w:rsid w:val="00F0689C"/>
    <w:rsid w:val="00F10411"/>
    <w:rsid w:val="00F15882"/>
    <w:rsid w:val="00F171E0"/>
    <w:rsid w:val="00F20BD3"/>
    <w:rsid w:val="00F320DF"/>
    <w:rsid w:val="00F33D1C"/>
    <w:rsid w:val="00F373A5"/>
    <w:rsid w:val="00F47559"/>
    <w:rsid w:val="00F5413B"/>
    <w:rsid w:val="00F605B2"/>
    <w:rsid w:val="00F64C7B"/>
    <w:rsid w:val="00F676DD"/>
    <w:rsid w:val="00F73143"/>
    <w:rsid w:val="00F75A26"/>
    <w:rsid w:val="00F76706"/>
    <w:rsid w:val="00F82A83"/>
    <w:rsid w:val="00F83FAD"/>
    <w:rsid w:val="00F84A31"/>
    <w:rsid w:val="00F940F7"/>
    <w:rsid w:val="00F94CE7"/>
    <w:rsid w:val="00F952A0"/>
    <w:rsid w:val="00FA3205"/>
    <w:rsid w:val="00FA3C7F"/>
    <w:rsid w:val="00FB1A01"/>
    <w:rsid w:val="00FB39CB"/>
    <w:rsid w:val="00FB60FE"/>
    <w:rsid w:val="00FB74E2"/>
    <w:rsid w:val="00FD20CC"/>
    <w:rsid w:val="00FD5614"/>
    <w:rsid w:val="00FD5E78"/>
    <w:rsid w:val="00FE0BE1"/>
    <w:rsid w:val="00FE1DE9"/>
    <w:rsid w:val="00FE36AF"/>
    <w:rsid w:val="00FE39C2"/>
    <w:rsid w:val="00FE3C32"/>
    <w:rsid w:val="00FE55BF"/>
    <w:rsid w:val="00FE64AE"/>
    <w:rsid w:val="00FF3A7A"/>
    <w:rsid w:val="00FF3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56EA7"/>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56EA7"/>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4579">
      <w:bodyDiv w:val="1"/>
      <w:marLeft w:val="0"/>
      <w:marRight w:val="0"/>
      <w:marTop w:val="0"/>
      <w:marBottom w:val="0"/>
      <w:divBdr>
        <w:top w:val="none" w:sz="0" w:space="0" w:color="auto"/>
        <w:left w:val="none" w:sz="0" w:space="0" w:color="auto"/>
        <w:bottom w:val="none" w:sz="0" w:space="0" w:color="auto"/>
        <w:right w:val="none" w:sz="0" w:space="0" w:color="auto"/>
      </w:divBdr>
    </w:div>
    <w:div w:id="265894364">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91E30-9655-47A7-B5D0-4BC447B2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6D4E8117.dotm</Template>
  <TotalTime>0</TotalTime>
  <Pages>14</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AER final decision - AusNet Services - Tax</vt:lpstr>
    </vt:vector>
  </TitlesOfParts>
  <Company>ACCC</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Tax</dc:title>
  <dc:subject>[subtitle]</dc:subject>
  <dc:creator>AER</dc:creator>
  <cp:lastModifiedBy>Le Cornu, Matthew</cp:lastModifiedBy>
  <cp:revision>2</cp:revision>
  <cp:lastPrinted>2016-12-04T22:46:00Z</cp:lastPrinted>
  <dcterms:created xsi:type="dcterms:W3CDTF">2017-04-24T05:08:00Z</dcterms:created>
  <dcterms:modified xsi:type="dcterms:W3CDTF">2017-04-24T05:08:00Z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8 - corporate income tax - april 20 (AER2016-000059).docx</vt:lpwstr>
  </property>
</Properties>
</file>