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F76A4AE" wp14:editId="7598750F">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3870A9">
            <w:t>FINAL</w:t>
          </w:r>
          <w:r w:rsidR="00DA4752">
            <w:t xml:space="preserve"> DECISION</w:t>
          </w:r>
        </w:p>
        <w:p w:rsidR="00415F31" w:rsidRDefault="00B9733D" w:rsidP="008F07A3">
          <w:pPr>
            <w:pStyle w:val="ReportSubtitle"/>
          </w:pPr>
          <w:r>
            <w:t>AusNet Services</w:t>
          </w:r>
          <w:r w:rsidR="00415F31">
            <w:t xml:space="preserve"> transmission </w:t>
          </w:r>
          <w:r w:rsidR="00DA4752">
            <w:t>determination</w:t>
          </w:r>
        </w:p>
        <w:p w:rsidR="000A6C7B" w:rsidRDefault="00DA4752" w:rsidP="008F07A3">
          <w:pPr>
            <w:pStyle w:val="ReportSubtitle"/>
          </w:pPr>
          <w:r>
            <w:t xml:space="preserve"> </w:t>
          </w:r>
          <w:r w:rsidR="003870A9">
            <w:t>2017-2022</w:t>
          </w:r>
        </w:p>
        <w:p w:rsidR="008F07A3" w:rsidRPr="000A6C7B" w:rsidRDefault="008F07A3" w:rsidP="008F07A3">
          <w:pPr>
            <w:pStyle w:val="ReportSubtitle"/>
          </w:pPr>
        </w:p>
        <w:p w:rsidR="000A6C7B" w:rsidRPr="000A6C7B" w:rsidRDefault="00E14A44" w:rsidP="008F07A3">
          <w:pPr>
            <w:pStyle w:val="ReportSubtitle"/>
          </w:pPr>
          <w:r>
            <w:t>Attachment 4</w:t>
          </w:r>
          <w:r w:rsidR="00DA4752">
            <w:t xml:space="preserve"> </w:t>
          </w:r>
          <w:r w:rsidR="00415F31">
            <w:rPr>
              <w:rFonts w:cs="Arial"/>
            </w:rPr>
            <w:t>–</w:t>
          </w:r>
          <w:r w:rsidR="00DA4752">
            <w:t xml:space="preserve"> </w:t>
          </w:r>
          <w:r>
            <w:t>Value of imputation credits</w:t>
          </w:r>
        </w:p>
        <w:p w:rsidR="00B9733D" w:rsidRDefault="00B9733D" w:rsidP="00327A1E">
          <w:pPr>
            <w:pStyle w:val="ReportDate"/>
          </w:pPr>
        </w:p>
        <w:p w:rsidR="000A6C7B" w:rsidRPr="00327A1E" w:rsidRDefault="003870A9" w:rsidP="00327A1E">
          <w:pPr>
            <w:pStyle w:val="ReportDate"/>
          </w:pPr>
          <w:r>
            <w:t>April 2017</w:t>
          </w:r>
        </w:p>
      </w:sdtContent>
    </w:sdt>
    <w:p w:rsidR="00327A1E" w:rsidRPr="00290C63" w:rsidRDefault="00327A1E" w:rsidP="00290C63">
      <w:r>
        <w:br w:type="page"/>
      </w:r>
    </w:p>
    <w:p w:rsidR="000A6C7B" w:rsidRDefault="008F07A3" w:rsidP="00961A4A">
      <w:pPr>
        <w:pStyle w:val="Copyright"/>
      </w:pPr>
      <w:r>
        <w:lastRenderedPageBreak/>
        <w:t>© Commonwealth of Australia 201</w:t>
      </w:r>
      <w:r w:rsidR="004134F9">
        <w:t>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EB5E79" w:rsidP="00961A4A">
      <w:pPr>
        <w:pStyle w:val="Copyright"/>
      </w:pPr>
      <w:r>
        <w:t xml:space="preserve">Tel: </w:t>
      </w:r>
      <w:r w:rsidRPr="00EB5E79">
        <w:t>1300 585 165</w:t>
      </w:r>
      <w:r w:rsidR="00951978">
        <w:br/>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C52695">
      <w:pPr>
        <w:pStyle w:val="UnnumberedHeading"/>
        <w:numPr>
          <w:ilvl w:val="0"/>
          <w:numId w:val="23"/>
        </w:numPr>
      </w:pPr>
      <w:bookmarkStart w:id="4" w:name="_Toc481061431"/>
      <w:r>
        <w:lastRenderedPageBreak/>
        <w:t>N</w:t>
      </w:r>
      <w:r w:rsidR="008F07A3">
        <w:t>ote</w:t>
      </w:r>
      <w:bookmarkEnd w:id="0"/>
      <w:bookmarkEnd w:id="1"/>
      <w:bookmarkEnd w:id="2"/>
      <w:bookmarkEnd w:id="3"/>
      <w:bookmarkEnd w:id="4"/>
    </w:p>
    <w:p w:rsidR="00415F31" w:rsidRDefault="00415F31" w:rsidP="00C52695">
      <w:pPr>
        <w:numPr>
          <w:ilvl w:val="0"/>
          <w:numId w:val="24"/>
        </w:numPr>
        <w:spacing w:before="0" w:after="240" w:line="288" w:lineRule="auto"/>
        <w:jc w:val="both"/>
      </w:pPr>
    </w:p>
    <w:p w:rsidR="00415F31" w:rsidRDefault="008F07A3" w:rsidP="00C52695">
      <w:pPr>
        <w:numPr>
          <w:ilvl w:val="0"/>
          <w:numId w:val="24"/>
        </w:numPr>
        <w:spacing w:before="0" w:after="240" w:line="288" w:lineRule="auto"/>
        <w:jc w:val="both"/>
      </w:pPr>
      <w:r>
        <w:t xml:space="preserve">This </w:t>
      </w:r>
      <w:r w:rsidR="00415F31">
        <w:t xml:space="preserve">attachment forms part of the AER's </w:t>
      </w:r>
      <w:r w:rsidR="003870A9">
        <w:t>final</w:t>
      </w:r>
      <w:r w:rsidR="00415F31">
        <w:t xml:space="preserve"> decision on </w:t>
      </w:r>
      <w:r w:rsidR="000B321F">
        <w:t>AusNet Services’</w:t>
      </w:r>
      <w:r w:rsidR="00415F31">
        <w:t xml:space="preserve"> revenue proposal 201</w:t>
      </w:r>
      <w:r w:rsidR="000B321F">
        <w:t>7</w:t>
      </w:r>
      <w:r w:rsidR="00415F31" w:rsidRPr="00D904FA">
        <w:t>–</w:t>
      </w:r>
      <w:r w:rsidR="000B321F">
        <w:t>22</w:t>
      </w:r>
      <w:r w:rsidR="00415F31">
        <w:t xml:space="preserve">. It should be read with other parts of the </w:t>
      </w:r>
      <w:r w:rsidR="003870A9">
        <w:t>final</w:t>
      </w:r>
      <w:r w:rsidR="00415F31">
        <w:t xml:space="preserve"> decision.</w:t>
      </w:r>
    </w:p>
    <w:p w:rsidR="00415F31" w:rsidRDefault="00415F31" w:rsidP="00C52695">
      <w:pPr>
        <w:numPr>
          <w:ilvl w:val="0"/>
          <w:numId w:val="24"/>
        </w:numPr>
        <w:spacing w:before="0" w:after="240" w:line="288" w:lineRule="auto"/>
        <w:jc w:val="both"/>
      </w:pPr>
      <w:r>
        <w:t xml:space="preserve">The </w:t>
      </w:r>
      <w:r w:rsidR="003870A9">
        <w:t>final</w:t>
      </w:r>
      <w:r>
        <w:t xml:space="preserve"> decision includes the following documents:</w:t>
      </w:r>
    </w:p>
    <w:p w:rsidR="00415F31" w:rsidRDefault="00415F31" w:rsidP="00C52695">
      <w:pPr>
        <w:numPr>
          <w:ilvl w:val="0"/>
          <w:numId w:val="24"/>
        </w:numPr>
        <w:spacing w:before="0" w:after="240" w:line="288" w:lineRule="auto"/>
        <w:jc w:val="both"/>
      </w:pPr>
      <w:r>
        <w:t>Overview</w:t>
      </w:r>
    </w:p>
    <w:p w:rsidR="00415F31" w:rsidRDefault="00415F31" w:rsidP="00C52695">
      <w:pPr>
        <w:numPr>
          <w:ilvl w:val="0"/>
          <w:numId w:val="24"/>
        </w:numPr>
        <w:spacing w:before="0" w:after="240" w:line="288" w:lineRule="auto"/>
        <w:jc w:val="both"/>
      </w:pPr>
      <w:r>
        <w:t>Attachment 1 – maximum allowed revenue</w:t>
      </w:r>
    </w:p>
    <w:p w:rsidR="00415F31" w:rsidRDefault="00415F31" w:rsidP="00C52695">
      <w:pPr>
        <w:numPr>
          <w:ilvl w:val="0"/>
          <w:numId w:val="24"/>
        </w:numPr>
        <w:spacing w:before="0" w:after="240" w:line="288" w:lineRule="auto"/>
        <w:jc w:val="both"/>
      </w:pPr>
      <w:r>
        <w:t>Attachment 2 – regulatory asset base</w:t>
      </w:r>
    </w:p>
    <w:p w:rsidR="00415F31" w:rsidRDefault="00415F31" w:rsidP="00C52695">
      <w:pPr>
        <w:numPr>
          <w:ilvl w:val="0"/>
          <w:numId w:val="24"/>
        </w:numPr>
        <w:spacing w:before="0" w:after="240" w:line="288" w:lineRule="auto"/>
        <w:jc w:val="both"/>
      </w:pPr>
      <w:r>
        <w:t>Attachment 3 – rate of return</w:t>
      </w:r>
    </w:p>
    <w:p w:rsidR="00415F31" w:rsidRDefault="00415F31" w:rsidP="00C52695">
      <w:pPr>
        <w:numPr>
          <w:ilvl w:val="0"/>
          <w:numId w:val="24"/>
        </w:numPr>
        <w:spacing w:before="0" w:after="240" w:line="288" w:lineRule="auto"/>
        <w:jc w:val="both"/>
      </w:pPr>
      <w:r>
        <w:t>Attachment 4 – value of imputation credits</w:t>
      </w:r>
    </w:p>
    <w:p w:rsidR="00415F31" w:rsidRDefault="00415F31" w:rsidP="00C52695">
      <w:pPr>
        <w:numPr>
          <w:ilvl w:val="0"/>
          <w:numId w:val="24"/>
        </w:numPr>
        <w:spacing w:before="0" w:after="240" w:line="288" w:lineRule="auto"/>
        <w:jc w:val="both"/>
      </w:pPr>
      <w:r>
        <w:t>Attachment 5 – regulatory depreciation</w:t>
      </w:r>
    </w:p>
    <w:p w:rsidR="00415F31" w:rsidRDefault="00415F31" w:rsidP="00C52695">
      <w:pPr>
        <w:numPr>
          <w:ilvl w:val="0"/>
          <w:numId w:val="24"/>
        </w:numPr>
        <w:spacing w:before="0" w:after="240" w:line="288" w:lineRule="auto"/>
        <w:jc w:val="both"/>
      </w:pPr>
      <w:r>
        <w:t xml:space="preserve">Attachment 6 – capital expenditure </w:t>
      </w:r>
    </w:p>
    <w:p w:rsidR="00415F31" w:rsidRDefault="00415F31" w:rsidP="00C52695">
      <w:pPr>
        <w:numPr>
          <w:ilvl w:val="0"/>
          <w:numId w:val="24"/>
        </w:numPr>
        <w:spacing w:before="0" w:after="240" w:line="288" w:lineRule="auto"/>
        <w:jc w:val="both"/>
      </w:pPr>
      <w:r>
        <w:t>Attachment 7 – operating expenditure</w:t>
      </w:r>
    </w:p>
    <w:p w:rsidR="00415F31" w:rsidRDefault="00415F31" w:rsidP="00C52695">
      <w:pPr>
        <w:numPr>
          <w:ilvl w:val="0"/>
          <w:numId w:val="24"/>
        </w:numPr>
        <w:spacing w:before="0" w:after="240" w:line="288" w:lineRule="auto"/>
        <w:jc w:val="both"/>
      </w:pPr>
      <w:r>
        <w:t>Attachment 8 – corporate income tax</w:t>
      </w:r>
    </w:p>
    <w:p w:rsidR="00415F31" w:rsidRDefault="00415F31" w:rsidP="00C52695">
      <w:pPr>
        <w:numPr>
          <w:ilvl w:val="0"/>
          <w:numId w:val="24"/>
        </w:numPr>
        <w:spacing w:before="0" w:after="240" w:line="288" w:lineRule="auto"/>
        <w:jc w:val="both"/>
      </w:pPr>
      <w:r>
        <w:t>Attachment 9 – efficiency benefit sharing scheme</w:t>
      </w:r>
    </w:p>
    <w:p w:rsidR="00415F31" w:rsidRDefault="00415F31" w:rsidP="00C52695">
      <w:pPr>
        <w:numPr>
          <w:ilvl w:val="0"/>
          <w:numId w:val="24"/>
        </w:numPr>
        <w:spacing w:before="0" w:after="240" w:line="288" w:lineRule="auto"/>
        <w:jc w:val="both"/>
      </w:pPr>
      <w:r>
        <w:t>Attachment 10 – capital expenditure sharing scheme</w:t>
      </w:r>
    </w:p>
    <w:p w:rsidR="00415F31" w:rsidRDefault="00415F31" w:rsidP="00C52695">
      <w:pPr>
        <w:numPr>
          <w:ilvl w:val="0"/>
          <w:numId w:val="24"/>
        </w:numPr>
        <w:spacing w:before="0" w:after="240" w:line="288" w:lineRule="auto"/>
        <w:jc w:val="both"/>
      </w:pPr>
      <w:r>
        <w:t>Attachment 11 – service target performance incentive scheme</w:t>
      </w:r>
    </w:p>
    <w:p w:rsidR="00415F31" w:rsidRPr="00D904FA" w:rsidRDefault="00415F31" w:rsidP="00C52695">
      <w:pPr>
        <w:numPr>
          <w:ilvl w:val="0"/>
          <w:numId w:val="24"/>
        </w:numPr>
        <w:spacing w:before="0" w:after="240" w:line="288" w:lineRule="auto"/>
        <w:jc w:val="both"/>
      </w:pPr>
      <w:r>
        <w:t xml:space="preserve">Attachment 12 – </w:t>
      </w:r>
      <w:r w:rsidRPr="00D904FA">
        <w:t>pricing methodology</w:t>
      </w:r>
    </w:p>
    <w:p w:rsidR="00415F31" w:rsidRPr="00D904FA" w:rsidRDefault="00415F31" w:rsidP="00C52695">
      <w:pPr>
        <w:numPr>
          <w:ilvl w:val="0"/>
          <w:numId w:val="24"/>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C52695">
      <w:pPr>
        <w:numPr>
          <w:ilvl w:val="0"/>
          <w:numId w:val="24"/>
        </w:numPr>
        <w:sectPr w:rsidR="008F07A3"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5D7BA2" w:rsidRDefault="00611EC0" w:rsidP="00611EC0">
      <w:pPr>
        <w:pStyle w:val="Numbered11111111"/>
      </w:pPr>
      <w:bookmarkStart w:id="5" w:name="_Toc481061432"/>
      <w:r>
        <w:lastRenderedPageBreak/>
        <w:t>Contents</w:t>
      </w:r>
      <w:bookmarkEnd w:id="5"/>
      <w:r>
        <w:t xml:space="preserve"> </w:t>
      </w:r>
    </w:p>
    <w:sdt>
      <w:sdtPr>
        <w:rPr>
          <w:b w:val="0"/>
          <w:noProof w:val="0"/>
          <w:color w:val="auto"/>
          <w:sz w:val="22"/>
          <w:lang w:val="en-AU" w:eastAsia="en-US"/>
        </w:rPr>
        <w:id w:val="2101907916"/>
        <w:docPartObj>
          <w:docPartGallery w:val="Table of Contents"/>
          <w:docPartUnique/>
        </w:docPartObj>
      </w:sdtPr>
      <w:sdtEndPr/>
      <w:sdtContent>
        <w:p w:rsidR="005E4605" w:rsidRDefault="00021F98">
          <w:pPr>
            <w:pStyle w:val="TOC1"/>
            <w:rPr>
              <w:rFonts w:asciiTheme="minorHAnsi" w:eastAsiaTheme="minorEastAsia" w:hAnsiTheme="minorHAnsi"/>
              <w:b w:val="0"/>
              <w:color w:val="auto"/>
              <w:sz w:val="22"/>
              <w:lang w:val="en-AU" w:eastAsia="en-AU"/>
            </w:rPr>
          </w:pPr>
          <w:r>
            <w:rPr>
              <w:sz w:val="22"/>
            </w:rPr>
            <w:fldChar w:fldCharType="begin"/>
          </w:r>
          <w:r>
            <w:instrText xml:space="preserve"> TOC \o \h \z \u </w:instrText>
          </w:r>
          <w:r>
            <w:rPr>
              <w:sz w:val="22"/>
            </w:rPr>
            <w:fldChar w:fldCharType="separate"/>
          </w:r>
          <w:hyperlink w:anchor="_Toc481061431" w:history="1">
            <w:r w:rsidR="005E4605" w:rsidRPr="008A484E">
              <w:rPr>
                <w:rStyle w:val="Hyperlink"/>
              </w:rPr>
              <w:t>Note</w:t>
            </w:r>
            <w:r w:rsidR="005E4605">
              <w:rPr>
                <w:webHidden/>
              </w:rPr>
              <w:tab/>
            </w:r>
            <w:r w:rsidR="005E4605">
              <w:rPr>
                <w:webHidden/>
              </w:rPr>
              <w:fldChar w:fldCharType="begin"/>
            </w:r>
            <w:r w:rsidR="005E4605">
              <w:rPr>
                <w:webHidden/>
              </w:rPr>
              <w:instrText xml:space="preserve"> PAGEREF _Toc481061431 \h </w:instrText>
            </w:r>
            <w:r w:rsidR="005E4605">
              <w:rPr>
                <w:webHidden/>
              </w:rPr>
            </w:r>
            <w:r w:rsidR="005E4605">
              <w:rPr>
                <w:webHidden/>
              </w:rPr>
              <w:fldChar w:fldCharType="separate"/>
            </w:r>
            <w:r w:rsidR="005E4605">
              <w:rPr>
                <w:webHidden/>
              </w:rPr>
              <w:t>4-2</w:t>
            </w:r>
            <w:r w:rsidR="005E4605">
              <w:rPr>
                <w:webHidden/>
              </w:rPr>
              <w:fldChar w:fldCharType="end"/>
            </w:r>
          </w:hyperlink>
        </w:p>
        <w:p w:rsidR="005E4605" w:rsidRDefault="005E4605" w:rsidP="005E4605">
          <w:pPr>
            <w:pStyle w:val="TOC1"/>
            <w:rPr>
              <w:rFonts w:asciiTheme="minorHAnsi" w:eastAsiaTheme="minorEastAsia" w:hAnsiTheme="minorHAnsi"/>
              <w:lang w:eastAsia="en-AU"/>
            </w:rPr>
          </w:pPr>
          <w:hyperlink w:anchor="_Toc481061432" w:history="1">
            <w:r w:rsidRPr="008A484E">
              <w:rPr>
                <w:rStyle w:val="Hyperlink"/>
              </w:rPr>
              <w:t>Contents</w:t>
            </w:r>
            <w:r>
              <w:rPr>
                <w:webHidden/>
              </w:rPr>
              <w:tab/>
            </w:r>
            <w:r>
              <w:rPr>
                <w:webHidden/>
              </w:rPr>
              <w:fldChar w:fldCharType="begin"/>
            </w:r>
            <w:r>
              <w:rPr>
                <w:webHidden/>
              </w:rPr>
              <w:instrText xml:space="preserve"> PAGEREF _Toc481061432 \h </w:instrText>
            </w:r>
            <w:r>
              <w:rPr>
                <w:webHidden/>
              </w:rPr>
            </w:r>
            <w:r>
              <w:rPr>
                <w:webHidden/>
              </w:rPr>
              <w:fldChar w:fldCharType="separate"/>
            </w:r>
            <w:r>
              <w:rPr>
                <w:webHidden/>
              </w:rPr>
              <w:t>4-3</w:t>
            </w:r>
            <w:r>
              <w:rPr>
                <w:webHidden/>
              </w:rPr>
              <w:fldChar w:fldCharType="end"/>
            </w:r>
          </w:hyperlink>
        </w:p>
        <w:p w:rsidR="005E4605" w:rsidRDefault="005E4605">
          <w:pPr>
            <w:pStyle w:val="TOC1"/>
            <w:rPr>
              <w:rFonts w:asciiTheme="minorHAnsi" w:eastAsiaTheme="minorEastAsia" w:hAnsiTheme="minorHAnsi"/>
              <w:b w:val="0"/>
              <w:color w:val="auto"/>
              <w:sz w:val="22"/>
              <w:lang w:val="en-AU" w:eastAsia="en-AU"/>
            </w:rPr>
          </w:pPr>
          <w:hyperlink w:anchor="_Toc481061433" w:history="1">
            <w:r w:rsidRPr="008A484E">
              <w:rPr>
                <w:rStyle w:val="Hyperlink"/>
              </w:rPr>
              <w:t>Shortened forms</w:t>
            </w:r>
            <w:r>
              <w:rPr>
                <w:webHidden/>
              </w:rPr>
              <w:tab/>
            </w:r>
            <w:r>
              <w:rPr>
                <w:webHidden/>
              </w:rPr>
              <w:fldChar w:fldCharType="begin"/>
            </w:r>
            <w:r>
              <w:rPr>
                <w:webHidden/>
              </w:rPr>
              <w:instrText xml:space="preserve"> PAGEREF _Toc481061433 \h </w:instrText>
            </w:r>
            <w:r>
              <w:rPr>
                <w:webHidden/>
              </w:rPr>
            </w:r>
            <w:r>
              <w:rPr>
                <w:webHidden/>
              </w:rPr>
              <w:fldChar w:fldCharType="separate"/>
            </w:r>
            <w:r>
              <w:rPr>
                <w:webHidden/>
              </w:rPr>
              <w:t>4-8</w:t>
            </w:r>
            <w:r>
              <w:rPr>
                <w:webHidden/>
              </w:rPr>
              <w:fldChar w:fldCharType="end"/>
            </w:r>
          </w:hyperlink>
        </w:p>
        <w:p w:rsidR="005E4605" w:rsidRDefault="005E4605">
          <w:pPr>
            <w:pStyle w:val="TOC1"/>
            <w:rPr>
              <w:rFonts w:asciiTheme="minorHAnsi" w:eastAsiaTheme="minorEastAsia" w:hAnsiTheme="minorHAnsi"/>
              <w:b w:val="0"/>
              <w:color w:val="auto"/>
              <w:sz w:val="22"/>
              <w:lang w:val="en-AU" w:eastAsia="en-AU"/>
            </w:rPr>
          </w:pPr>
          <w:hyperlink w:anchor="_Toc481061434" w:history="1">
            <w:r w:rsidRPr="008A484E">
              <w:rPr>
                <w:rStyle w:val="Hyperlink"/>
              </w:rPr>
              <w:t>4</w:t>
            </w:r>
            <w:r>
              <w:rPr>
                <w:rFonts w:asciiTheme="minorHAnsi" w:eastAsiaTheme="minorEastAsia" w:hAnsiTheme="minorHAnsi"/>
                <w:b w:val="0"/>
                <w:color w:val="auto"/>
                <w:sz w:val="22"/>
                <w:lang w:val="en-AU" w:eastAsia="en-AU"/>
              </w:rPr>
              <w:tab/>
            </w:r>
            <w:r w:rsidRPr="008A484E">
              <w:rPr>
                <w:rStyle w:val="Hyperlink"/>
              </w:rPr>
              <w:t>Value of imputation credits</w:t>
            </w:r>
            <w:r>
              <w:rPr>
                <w:webHidden/>
              </w:rPr>
              <w:tab/>
            </w:r>
            <w:r>
              <w:rPr>
                <w:webHidden/>
              </w:rPr>
              <w:fldChar w:fldCharType="begin"/>
            </w:r>
            <w:r>
              <w:rPr>
                <w:webHidden/>
              </w:rPr>
              <w:instrText xml:space="preserve"> PAGEREF _Toc481061434 \h </w:instrText>
            </w:r>
            <w:r>
              <w:rPr>
                <w:webHidden/>
              </w:rPr>
            </w:r>
            <w:r>
              <w:rPr>
                <w:webHidden/>
              </w:rPr>
              <w:fldChar w:fldCharType="separate"/>
            </w:r>
            <w:r>
              <w:rPr>
                <w:webHidden/>
              </w:rPr>
              <w:t>4-10</w:t>
            </w:r>
            <w:r>
              <w:rPr>
                <w:webHidden/>
              </w:rPr>
              <w:fldChar w:fldCharType="end"/>
            </w:r>
          </w:hyperlink>
        </w:p>
        <w:p w:rsidR="005E4605" w:rsidRDefault="005E4605">
          <w:pPr>
            <w:pStyle w:val="TOC2"/>
            <w:rPr>
              <w:rFonts w:asciiTheme="minorHAnsi" w:eastAsiaTheme="minorEastAsia" w:hAnsiTheme="minorHAnsi"/>
              <w:b w:val="0"/>
              <w:color w:val="auto"/>
              <w:sz w:val="22"/>
              <w:lang w:eastAsia="en-AU"/>
            </w:rPr>
          </w:pPr>
          <w:hyperlink w:anchor="_Toc481061435" w:history="1">
            <w:r w:rsidRPr="008A484E">
              <w:rPr>
                <w:rStyle w:val="Hyperlink"/>
              </w:rPr>
              <w:t>4.1</w:t>
            </w:r>
            <w:r>
              <w:rPr>
                <w:rFonts w:asciiTheme="minorHAnsi" w:eastAsiaTheme="minorEastAsia" w:hAnsiTheme="minorHAnsi"/>
                <w:b w:val="0"/>
                <w:color w:val="auto"/>
                <w:sz w:val="22"/>
                <w:lang w:eastAsia="en-AU"/>
              </w:rPr>
              <w:tab/>
            </w:r>
            <w:r w:rsidRPr="008A484E">
              <w:rPr>
                <w:rStyle w:val="Hyperlink"/>
              </w:rPr>
              <w:t>Final decision</w:t>
            </w:r>
            <w:r>
              <w:rPr>
                <w:webHidden/>
              </w:rPr>
              <w:tab/>
            </w:r>
            <w:r>
              <w:rPr>
                <w:webHidden/>
              </w:rPr>
              <w:fldChar w:fldCharType="begin"/>
            </w:r>
            <w:r>
              <w:rPr>
                <w:webHidden/>
              </w:rPr>
              <w:instrText xml:space="preserve"> PAGEREF _Toc481061435 \h </w:instrText>
            </w:r>
            <w:r>
              <w:rPr>
                <w:webHidden/>
              </w:rPr>
            </w:r>
            <w:r>
              <w:rPr>
                <w:webHidden/>
              </w:rPr>
              <w:fldChar w:fldCharType="separate"/>
            </w:r>
            <w:r>
              <w:rPr>
                <w:webHidden/>
              </w:rPr>
              <w:t>4-11</w:t>
            </w:r>
            <w:r>
              <w:rPr>
                <w:webHidden/>
              </w:rPr>
              <w:fldChar w:fldCharType="end"/>
            </w:r>
          </w:hyperlink>
        </w:p>
        <w:p w:rsidR="005E4605" w:rsidRDefault="005E4605">
          <w:pPr>
            <w:pStyle w:val="TOC2"/>
            <w:rPr>
              <w:rFonts w:asciiTheme="minorHAnsi" w:eastAsiaTheme="minorEastAsia" w:hAnsiTheme="minorHAnsi"/>
              <w:b w:val="0"/>
              <w:color w:val="auto"/>
              <w:sz w:val="22"/>
              <w:lang w:eastAsia="en-AU"/>
            </w:rPr>
          </w:pPr>
          <w:hyperlink w:anchor="_Toc481061439" w:history="1">
            <w:r w:rsidRPr="008A484E">
              <w:rPr>
                <w:rStyle w:val="Hyperlink"/>
              </w:rPr>
              <w:t>4.2</w:t>
            </w:r>
            <w:r>
              <w:rPr>
                <w:rFonts w:asciiTheme="minorHAnsi" w:eastAsiaTheme="minorEastAsia" w:hAnsiTheme="minorHAnsi"/>
                <w:b w:val="0"/>
                <w:color w:val="auto"/>
                <w:sz w:val="22"/>
                <w:lang w:eastAsia="en-AU"/>
              </w:rPr>
              <w:tab/>
            </w:r>
            <w:r w:rsidRPr="008A484E">
              <w:rPr>
                <w:rStyle w:val="Hyperlink"/>
              </w:rPr>
              <w:t>AusNet Services’ revised proposal</w:t>
            </w:r>
            <w:r>
              <w:rPr>
                <w:webHidden/>
              </w:rPr>
              <w:tab/>
            </w:r>
            <w:r>
              <w:rPr>
                <w:webHidden/>
              </w:rPr>
              <w:fldChar w:fldCharType="begin"/>
            </w:r>
            <w:r>
              <w:rPr>
                <w:webHidden/>
              </w:rPr>
              <w:instrText xml:space="preserve"> PAGEREF _Toc481061439 \h </w:instrText>
            </w:r>
            <w:r>
              <w:rPr>
                <w:webHidden/>
              </w:rPr>
            </w:r>
            <w:r>
              <w:rPr>
                <w:webHidden/>
              </w:rPr>
              <w:fldChar w:fldCharType="separate"/>
            </w:r>
            <w:r>
              <w:rPr>
                <w:webHidden/>
              </w:rPr>
              <w:t>4-17</w:t>
            </w:r>
            <w:r>
              <w:rPr>
                <w:webHidden/>
              </w:rPr>
              <w:fldChar w:fldCharType="end"/>
            </w:r>
          </w:hyperlink>
        </w:p>
        <w:p w:rsidR="005E4605" w:rsidRDefault="005E4605">
          <w:pPr>
            <w:pStyle w:val="TOC2"/>
            <w:rPr>
              <w:rFonts w:asciiTheme="minorHAnsi" w:eastAsiaTheme="minorEastAsia" w:hAnsiTheme="minorHAnsi"/>
              <w:b w:val="0"/>
              <w:color w:val="auto"/>
              <w:sz w:val="22"/>
              <w:lang w:eastAsia="en-AU"/>
            </w:rPr>
          </w:pPr>
          <w:hyperlink w:anchor="_Toc481061440" w:history="1">
            <w:r w:rsidRPr="008A484E">
              <w:rPr>
                <w:rStyle w:val="Hyperlink"/>
              </w:rPr>
              <w:t>4.3</w:t>
            </w:r>
            <w:r>
              <w:rPr>
                <w:rFonts w:asciiTheme="minorHAnsi" w:eastAsiaTheme="minorEastAsia" w:hAnsiTheme="minorHAnsi"/>
                <w:b w:val="0"/>
                <w:color w:val="auto"/>
                <w:sz w:val="22"/>
                <w:lang w:eastAsia="en-AU"/>
              </w:rPr>
              <w:tab/>
            </w:r>
            <w:r w:rsidRPr="008A484E">
              <w:rPr>
                <w:rStyle w:val="Hyperlink"/>
              </w:rPr>
              <w:t>AER’s assessment approach</w:t>
            </w:r>
            <w:r>
              <w:rPr>
                <w:webHidden/>
              </w:rPr>
              <w:tab/>
            </w:r>
            <w:r>
              <w:rPr>
                <w:webHidden/>
              </w:rPr>
              <w:fldChar w:fldCharType="begin"/>
            </w:r>
            <w:r>
              <w:rPr>
                <w:webHidden/>
              </w:rPr>
              <w:instrText xml:space="preserve"> PAGEREF _Toc481061440 \h </w:instrText>
            </w:r>
            <w:r>
              <w:rPr>
                <w:webHidden/>
              </w:rPr>
            </w:r>
            <w:r>
              <w:rPr>
                <w:webHidden/>
              </w:rPr>
              <w:fldChar w:fldCharType="separate"/>
            </w:r>
            <w:r>
              <w:rPr>
                <w:webHidden/>
              </w:rPr>
              <w:t>4-18</w:t>
            </w:r>
            <w:r>
              <w:rPr>
                <w:webHidden/>
              </w:rPr>
              <w:fldChar w:fldCharType="end"/>
            </w:r>
          </w:hyperlink>
        </w:p>
        <w:p w:rsidR="005E4605" w:rsidRDefault="005E4605">
          <w:pPr>
            <w:pStyle w:val="TOC3"/>
            <w:rPr>
              <w:rFonts w:asciiTheme="minorHAnsi" w:eastAsiaTheme="minorEastAsia" w:hAnsiTheme="minorHAnsi"/>
              <w:lang w:eastAsia="en-AU"/>
            </w:rPr>
          </w:pPr>
          <w:hyperlink w:anchor="_Toc481061441" w:history="1">
            <w:r w:rsidRPr="008A484E">
              <w:rPr>
                <w:rStyle w:val="Hyperlink"/>
              </w:rPr>
              <w:t>4.3.1</w:t>
            </w:r>
            <w:r>
              <w:rPr>
                <w:rFonts w:asciiTheme="minorHAnsi" w:eastAsiaTheme="minorEastAsia" w:hAnsiTheme="minorHAnsi"/>
                <w:lang w:eastAsia="en-AU"/>
              </w:rPr>
              <w:tab/>
            </w:r>
            <w:r w:rsidRPr="008A484E">
              <w:rPr>
                <w:rStyle w:val="Hyperlink"/>
              </w:rPr>
              <w:t>Requirements of the NEL/NGL and NER/NGR</w:t>
            </w:r>
            <w:r>
              <w:rPr>
                <w:webHidden/>
              </w:rPr>
              <w:tab/>
            </w:r>
            <w:r>
              <w:rPr>
                <w:webHidden/>
              </w:rPr>
              <w:fldChar w:fldCharType="begin"/>
            </w:r>
            <w:r>
              <w:rPr>
                <w:webHidden/>
              </w:rPr>
              <w:instrText xml:space="preserve"> PAGEREF _Toc481061441 \h </w:instrText>
            </w:r>
            <w:r>
              <w:rPr>
                <w:webHidden/>
              </w:rPr>
            </w:r>
            <w:r>
              <w:rPr>
                <w:webHidden/>
              </w:rPr>
              <w:fldChar w:fldCharType="separate"/>
            </w:r>
            <w:r>
              <w:rPr>
                <w:webHidden/>
              </w:rPr>
              <w:t>4-19</w:t>
            </w:r>
            <w:r>
              <w:rPr>
                <w:webHidden/>
              </w:rPr>
              <w:fldChar w:fldCharType="end"/>
            </w:r>
          </w:hyperlink>
        </w:p>
        <w:p w:rsidR="005E4605" w:rsidRDefault="005E4605">
          <w:pPr>
            <w:pStyle w:val="TOC3"/>
            <w:rPr>
              <w:rFonts w:asciiTheme="minorHAnsi" w:eastAsiaTheme="minorEastAsia" w:hAnsiTheme="minorHAnsi"/>
              <w:lang w:eastAsia="en-AU"/>
            </w:rPr>
          </w:pPr>
          <w:hyperlink w:anchor="_Toc481061442" w:history="1">
            <w:r w:rsidRPr="008A484E">
              <w:rPr>
                <w:rStyle w:val="Hyperlink"/>
              </w:rPr>
              <w:t>4.3.2</w:t>
            </w:r>
            <w:r>
              <w:rPr>
                <w:rFonts w:asciiTheme="minorHAnsi" w:eastAsiaTheme="minorEastAsia" w:hAnsiTheme="minorHAnsi"/>
                <w:lang w:eastAsia="en-AU"/>
              </w:rPr>
              <w:tab/>
            </w:r>
            <w:r w:rsidRPr="008A484E">
              <w:rPr>
                <w:rStyle w:val="Hyperlink"/>
              </w:rPr>
              <w:t>Rate of return Guideline</w:t>
            </w:r>
            <w:r>
              <w:rPr>
                <w:webHidden/>
              </w:rPr>
              <w:tab/>
            </w:r>
            <w:r>
              <w:rPr>
                <w:webHidden/>
              </w:rPr>
              <w:fldChar w:fldCharType="begin"/>
            </w:r>
            <w:r>
              <w:rPr>
                <w:webHidden/>
              </w:rPr>
              <w:instrText xml:space="preserve"> PAGEREF _Toc481061442 \h </w:instrText>
            </w:r>
            <w:r>
              <w:rPr>
                <w:webHidden/>
              </w:rPr>
            </w:r>
            <w:r>
              <w:rPr>
                <w:webHidden/>
              </w:rPr>
              <w:fldChar w:fldCharType="separate"/>
            </w:r>
            <w:r>
              <w:rPr>
                <w:webHidden/>
              </w:rPr>
              <w:t>4-22</w:t>
            </w:r>
            <w:r>
              <w:rPr>
                <w:webHidden/>
              </w:rPr>
              <w:fldChar w:fldCharType="end"/>
            </w:r>
          </w:hyperlink>
        </w:p>
        <w:p w:rsidR="005E4605" w:rsidRDefault="005E4605">
          <w:pPr>
            <w:pStyle w:val="TOC3"/>
            <w:rPr>
              <w:rFonts w:asciiTheme="minorHAnsi" w:eastAsiaTheme="minorEastAsia" w:hAnsiTheme="minorHAnsi"/>
              <w:lang w:eastAsia="en-AU"/>
            </w:rPr>
          </w:pPr>
          <w:hyperlink w:anchor="_Toc481061443" w:history="1">
            <w:r w:rsidRPr="008A484E">
              <w:rPr>
                <w:rStyle w:val="Hyperlink"/>
              </w:rPr>
              <w:t>4.3.3</w:t>
            </w:r>
            <w:r>
              <w:rPr>
                <w:rFonts w:asciiTheme="minorHAnsi" w:eastAsiaTheme="minorEastAsia" w:hAnsiTheme="minorHAnsi"/>
                <w:lang w:eastAsia="en-AU"/>
              </w:rPr>
              <w:tab/>
            </w:r>
            <w:r w:rsidRPr="008A484E">
              <w:rPr>
                <w:rStyle w:val="Hyperlink"/>
              </w:rPr>
              <w:t>Definition of a benchmark efficient entity</w:t>
            </w:r>
            <w:r>
              <w:rPr>
                <w:webHidden/>
              </w:rPr>
              <w:tab/>
            </w:r>
            <w:r>
              <w:rPr>
                <w:webHidden/>
              </w:rPr>
              <w:fldChar w:fldCharType="begin"/>
            </w:r>
            <w:r>
              <w:rPr>
                <w:webHidden/>
              </w:rPr>
              <w:instrText xml:space="preserve"> PAGEREF _Toc481061443 \h </w:instrText>
            </w:r>
            <w:r>
              <w:rPr>
                <w:webHidden/>
              </w:rPr>
            </w:r>
            <w:r>
              <w:rPr>
                <w:webHidden/>
              </w:rPr>
              <w:fldChar w:fldCharType="separate"/>
            </w:r>
            <w:r>
              <w:rPr>
                <w:webHidden/>
              </w:rPr>
              <w:t>4-22</w:t>
            </w:r>
            <w:r>
              <w:rPr>
                <w:webHidden/>
              </w:rPr>
              <w:fldChar w:fldCharType="end"/>
            </w:r>
          </w:hyperlink>
        </w:p>
        <w:p w:rsidR="005E4605" w:rsidRDefault="005E4605">
          <w:pPr>
            <w:pStyle w:val="TOC3"/>
            <w:rPr>
              <w:rFonts w:asciiTheme="minorHAnsi" w:eastAsiaTheme="minorEastAsia" w:hAnsiTheme="minorHAnsi"/>
              <w:lang w:eastAsia="en-AU"/>
            </w:rPr>
          </w:pPr>
          <w:hyperlink w:anchor="_Toc481061444" w:history="1">
            <w:r w:rsidRPr="008A484E">
              <w:rPr>
                <w:rStyle w:val="Hyperlink"/>
              </w:rPr>
              <w:t>4.3.4</w:t>
            </w:r>
            <w:r>
              <w:rPr>
                <w:rFonts w:asciiTheme="minorHAnsi" w:eastAsiaTheme="minorEastAsia" w:hAnsiTheme="minorHAnsi"/>
                <w:lang w:eastAsia="en-AU"/>
              </w:rPr>
              <w:tab/>
            </w:r>
            <w:r w:rsidRPr="008A484E">
              <w:rPr>
                <w:rStyle w:val="Hyperlink"/>
              </w:rPr>
              <w:t>Interrelationships</w:t>
            </w:r>
            <w:r>
              <w:rPr>
                <w:webHidden/>
              </w:rPr>
              <w:tab/>
            </w:r>
            <w:r>
              <w:rPr>
                <w:webHidden/>
              </w:rPr>
              <w:fldChar w:fldCharType="begin"/>
            </w:r>
            <w:r>
              <w:rPr>
                <w:webHidden/>
              </w:rPr>
              <w:instrText xml:space="preserve"> PAGEREF _Toc481061444 \h </w:instrText>
            </w:r>
            <w:r>
              <w:rPr>
                <w:webHidden/>
              </w:rPr>
            </w:r>
            <w:r>
              <w:rPr>
                <w:webHidden/>
              </w:rPr>
              <w:fldChar w:fldCharType="separate"/>
            </w:r>
            <w:r>
              <w:rPr>
                <w:webHidden/>
              </w:rPr>
              <w:t>4-23</w:t>
            </w:r>
            <w:r>
              <w:rPr>
                <w:webHidden/>
              </w:rPr>
              <w:fldChar w:fldCharType="end"/>
            </w:r>
          </w:hyperlink>
        </w:p>
        <w:p w:rsidR="005E4605" w:rsidRDefault="005E4605">
          <w:pPr>
            <w:pStyle w:val="TOC3"/>
            <w:rPr>
              <w:rFonts w:asciiTheme="minorHAnsi" w:eastAsiaTheme="minorEastAsia" w:hAnsiTheme="minorHAnsi"/>
              <w:lang w:eastAsia="en-AU"/>
            </w:rPr>
          </w:pPr>
          <w:hyperlink w:anchor="_Toc481061445" w:history="1">
            <w:r w:rsidRPr="008A484E">
              <w:rPr>
                <w:rStyle w:val="Hyperlink"/>
              </w:rPr>
              <w:t>4.3.5</w:t>
            </w:r>
            <w:r>
              <w:rPr>
                <w:rFonts w:asciiTheme="minorHAnsi" w:eastAsiaTheme="minorEastAsia" w:hAnsiTheme="minorHAnsi"/>
                <w:lang w:eastAsia="en-AU"/>
              </w:rPr>
              <w:tab/>
            </w:r>
            <w:r w:rsidRPr="008A484E">
              <w:rPr>
                <w:rStyle w:val="Hyperlink"/>
              </w:rPr>
              <w:t>Expert reports</w:t>
            </w:r>
            <w:r>
              <w:rPr>
                <w:webHidden/>
              </w:rPr>
              <w:tab/>
            </w:r>
            <w:r>
              <w:rPr>
                <w:webHidden/>
              </w:rPr>
              <w:fldChar w:fldCharType="begin"/>
            </w:r>
            <w:r>
              <w:rPr>
                <w:webHidden/>
              </w:rPr>
              <w:instrText xml:space="preserve"> PAGEREF _Toc481061445 \h </w:instrText>
            </w:r>
            <w:r>
              <w:rPr>
                <w:webHidden/>
              </w:rPr>
            </w:r>
            <w:r>
              <w:rPr>
                <w:webHidden/>
              </w:rPr>
              <w:fldChar w:fldCharType="separate"/>
            </w:r>
            <w:r>
              <w:rPr>
                <w:webHidden/>
              </w:rPr>
              <w:t>4-24</w:t>
            </w:r>
            <w:r>
              <w:rPr>
                <w:webHidden/>
              </w:rPr>
              <w:fldChar w:fldCharType="end"/>
            </w:r>
          </w:hyperlink>
        </w:p>
        <w:p w:rsidR="005E4605" w:rsidRDefault="005E4605">
          <w:pPr>
            <w:pStyle w:val="TOC3"/>
            <w:rPr>
              <w:rFonts w:asciiTheme="minorHAnsi" w:eastAsiaTheme="minorEastAsia" w:hAnsiTheme="minorHAnsi"/>
              <w:lang w:eastAsia="en-AU"/>
            </w:rPr>
          </w:pPr>
          <w:hyperlink w:anchor="_Toc481061446" w:history="1">
            <w:r w:rsidRPr="008A484E">
              <w:rPr>
                <w:rStyle w:val="Hyperlink"/>
              </w:rPr>
              <w:t>4.3.6</w:t>
            </w:r>
            <w:r>
              <w:rPr>
                <w:rFonts w:asciiTheme="minorHAnsi" w:eastAsiaTheme="minorEastAsia" w:hAnsiTheme="minorHAnsi"/>
                <w:lang w:eastAsia="en-AU"/>
              </w:rPr>
              <w:tab/>
            </w:r>
            <w:r w:rsidRPr="008A484E">
              <w:rPr>
                <w:rStyle w:val="Hyperlink"/>
              </w:rPr>
              <w:t>Approach to determining the value of imputation credits</w:t>
            </w:r>
            <w:r>
              <w:rPr>
                <w:webHidden/>
              </w:rPr>
              <w:tab/>
            </w:r>
            <w:r>
              <w:rPr>
                <w:webHidden/>
              </w:rPr>
              <w:fldChar w:fldCharType="begin"/>
            </w:r>
            <w:r>
              <w:rPr>
                <w:webHidden/>
              </w:rPr>
              <w:instrText xml:space="preserve"> PAGEREF _Toc481061446 \h </w:instrText>
            </w:r>
            <w:r>
              <w:rPr>
                <w:webHidden/>
              </w:rPr>
            </w:r>
            <w:r>
              <w:rPr>
                <w:webHidden/>
              </w:rPr>
              <w:fldChar w:fldCharType="separate"/>
            </w:r>
            <w:r>
              <w:rPr>
                <w:webHidden/>
              </w:rPr>
              <w:t>4-25</w:t>
            </w:r>
            <w:r>
              <w:rPr>
                <w:webHidden/>
              </w:rPr>
              <w:fldChar w:fldCharType="end"/>
            </w:r>
          </w:hyperlink>
        </w:p>
        <w:p w:rsidR="005E4605" w:rsidRDefault="005E4605">
          <w:pPr>
            <w:pStyle w:val="TOC2"/>
            <w:rPr>
              <w:rFonts w:asciiTheme="minorHAnsi" w:eastAsiaTheme="minorEastAsia" w:hAnsiTheme="minorHAnsi"/>
              <w:b w:val="0"/>
              <w:color w:val="auto"/>
              <w:sz w:val="22"/>
              <w:lang w:eastAsia="en-AU"/>
            </w:rPr>
          </w:pPr>
          <w:hyperlink w:anchor="_Toc481061447" w:history="1">
            <w:r w:rsidRPr="008A484E">
              <w:rPr>
                <w:rStyle w:val="Hyperlink"/>
              </w:rPr>
              <w:t>4.4</w:t>
            </w:r>
            <w:r>
              <w:rPr>
                <w:rFonts w:asciiTheme="minorHAnsi" w:eastAsiaTheme="minorEastAsia" w:hAnsiTheme="minorHAnsi"/>
                <w:b w:val="0"/>
                <w:color w:val="auto"/>
                <w:sz w:val="22"/>
                <w:lang w:eastAsia="en-AU"/>
              </w:rPr>
              <w:tab/>
            </w:r>
            <w:r w:rsidRPr="008A484E">
              <w:rPr>
                <w:rStyle w:val="Hyperlink"/>
              </w:rPr>
              <w:t>Reasons for final decision</w:t>
            </w:r>
            <w:r>
              <w:rPr>
                <w:webHidden/>
              </w:rPr>
              <w:tab/>
            </w:r>
            <w:r>
              <w:rPr>
                <w:webHidden/>
              </w:rPr>
              <w:fldChar w:fldCharType="begin"/>
            </w:r>
            <w:r>
              <w:rPr>
                <w:webHidden/>
              </w:rPr>
              <w:instrText xml:space="preserve"> PAGEREF _Toc481061447 \h </w:instrText>
            </w:r>
            <w:r>
              <w:rPr>
                <w:webHidden/>
              </w:rPr>
            </w:r>
            <w:r>
              <w:rPr>
                <w:webHidden/>
              </w:rPr>
              <w:fldChar w:fldCharType="separate"/>
            </w:r>
            <w:r>
              <w:rPr>
                <w:webHidden/>
              </w:rPr>
              <w:t>4-27</w:t>
            </w:r>
            <w:r>
              <w:rPr>
                <w:webHidden/>
              </w:rPr>
              <w:fldChar w:fldCharType="end"/>
            </w:r>
          </w:hyperlink>
        </w:p>
        <w:p w:rsidR="005E4605" w:rsidRDefault="005E4605">
          <w:pPr>
            <w:pStyle w:val="TOC3"/>
            <w:rPr>
              <w:rFonts w:asciiTheme="minorHAnsi" w:eastAsiaTheme="minorEastAsia" w:hAnsiTheme="minorHAnsi"/>
              <w:lang w:eastAsia="en-AU"/>
            </w:rPr>
          </w:pPr>
          <w:hyperlink w:anchor="_Toc481061448" w:history="1">
            <w:r w:rsidRPr="008A484E">
              <w:rPr>
                <w:rStyle w:val="Hyperlink"/>
              </w:rPr>
              <w:t>4.4.1</w:t>
            </w:r>
            <w:r>
              <w:rPr>
                <w:rFonts w:asciiTheme="minorHAnsi" w:eastAsiaTheme="minorEastAsia" w:hAnsiTheme="minorHAnsi"/>
                <w:lang w:eastAsia="en-AU"/>
              </w:rPr>
              <w:tab/>
            </w:r>
            <w:r w:rsidRPr="008A484E">
              <w:rPr>
                <w:rStyle w:val="Hyperlink"/>
              </w:rPr>
              <w:t>Evidence underlying our estimate of the value of imputation credits</w:t>
            </w:r>
            <w:r>
              <w:rPr>
                <w:webHidden/>
              </w:rPr>
              <w:tab/>
            </w:r>
            <w:r>
              <w:rPr>
                <w:webHidden/>
              </w:rPr>
              <w:fldChar w:fldCharType="begin"/>
            </w:r>
            <w:r>
              <w:rPr>
                <w:webHidden/>
              </w:rPr>
              <w:instrText xml:space="preserve"> PAGEREF _Toc481061448 \h </w:instrText>
            </w:r>
            <w:r>
              <w:rPr>
                <w:webHidden/>
              </w:rPr>
            </w:r>
            <w:r>
              <w:rPr>
                <w:webHidden/>
              </w:rPr>
              <w:fldChar w:fldCharType="separate"/>
            </w:r>
            <w:r>
              <w:rPr>
                <w:webHidden/>
              </w:rPr>
              <w:t>4-33</w:t>
            </w:r>
            <w:r>
              <w:rPr>
                <w:webHidden/>
              </w:rPr>
              <w:fldChar w:fldCharType="end"/>
            </w:r>
          </w:hyperlink>
        </w:p>
        <w:p w:rsidR="005E4605" w:rsidRDefault="005E4605">
          <w:pPr>
            <w:pStyle w:val="TOC3"/>
            <w:rPr>
              <w:rFonts w:asciiTheme="minorHAnsi" w:eastAsiaTheme="minorEastAsia" w:hAnsiTheme="minorHAnsi"/>
              <w:lang w:eastAsia="en-AU"/>
            </w:rPr>
          </w:pPr>
          <w:hyperlink w:anchor="_Toc481061454" w:history="1">
            <w:r w:rsidRPr="008A484E">
              <w:rPr>
                <w:rStyle w:val="Hyperlink"/>
              </w:rPr>
              <w:t>4.4.2</w:t>
            </w:r>
            <w:r>
              <w:rPr>
                <w:rFonts w:asciiTheme="minorHAnsi" w:eastAsiaTheme="minorEastAsia" w:hAnsiTheme="minorHAnsi"/>
                <w:lang w:eastAsia="en-AU"/>
              </w:rPr>
              <w:tab/>
            </w:r>
            <w:r w:rsidRPr="008A484E">
              <w:rPr>
                <w:rStyle w:val="Hyperlink"/>
              </w:rPr>
              <w:t>Response to submissions by stakeholders</w:t>
            </w:r>
            <w:r>
              <w:rPr>
                <w:webHidden/>
              </w:rPr>
              <w:tab/>
            </w:r>
            <w:r>
              <w:rPr>
                <w:webHidden/>
              </w:rPr>
              <w:fldChar w:fldCharType="begin"/>
            </w:r>
            <w:r>
              <w:rPr>
                <w:webHidden/>
              </w:rPr>
              <w:instrText xml:space="preserve"> PAGEREF _Toc481061454 \h </w:instrText>
            </w:r>
            <w:r>
              <w:rPr>
                <w:webHidden/>
              </w:rPr>
            </w:r>
            <w:r>
              <w:rPr>
                <w:webHidden/>
              </w:rPr>
              <w:fldChar w:fldCharType="separate"/>
            </w:r>
            <w:r>
              <w:rPr>
                <w:webHidden/>
              </w:rPr>
              <w:t>4-45</w:t>
            </w:r>
            <w:r>
              <w:rPr>
                <w:webHidden/>
              </w:rPr>
              <w:fldChar w:fldCharType="end"/>
            </w:r>
          </w:hyperlink>
        </w:p>
        <w:p w:rsidR="005E4605" w:rsidRDefault="005E4605" w:rsidP="005E4605">
          <w:pPr>
            <w:pStyle w:val="TOC1"/>
            <w:rPr>
              <w:rFonts w:asciiTheme="minorHAnsi" w:eastAsiaTheme="minorEastAsia" w:hAnsiTheme="minorHAnsi"/>
              <w:lang w:eastAsia="en-AU"/>
            </w:rPr>
          </w:pPr>
          <w:hyperlink w:anchor="_Toc481061455" w:history="1">
            <w:r w:rsidRPr="008A484E">
              <w:rPr>
                <w:rStyle w:val="Hyperlink"/>
              </w:rPr>
              <w:t>A</w:t>
            </w:r>
            <w:r>
              <w:rPr>
                <w:rFonts w:asciiTheme="minorHAnsi" w:eastAsiaTheme="minorEastAsia" w:hAnsiTheme="minorHAnsi"/>
                <w:lang w:eastAsia="en-AU"/>
              </w:rPr>
              <w:tab/>
            </w:r>
            <w:r w:rsidRPr="008A484E">
              <w:rPr>
                <w:rStyle w:val="Hyperlink"/>
              </w:rPr>
              <w:t>Value of imputation credits: Detailed analysis</w:t>
            </w:r>
            <w:r>
              <w:rPr>
                <w:webHidden/>
              </w:rPr>
              <w:tab/>
            </w:r>
            <w:r>
              <w:rPr>
                <w:webHidden/>
              </w:rPr>
              <w:fldChar w:fldCharType="begin"/>
            </w:r>
            <w:r>
              <w:rPr>
                <w:webHidden/>
              </w:rPr>
              <w:instrText xml:space="preserve"> PAGEREF _Toc481061455 \h </w:instrText>
            </w:r>
            <w:r>
              <w:rPr>
                <w:webHidden/>
              </w:rPr>
            </w:r>
            <w:r>
              <w:rPr>
                <w:webHidden/>
              </w:rPr>
              <w:fldChar w:fldCharType="separate"/>
            </w:r>
            <w:r>
              <w:rPr>
                <w:webHidden/>
              </w:rPr>
              <w:t>4-58</w:t>
            </w:r>
            <w:r>
              <w:rPr>
                <w:webHidden/>
              </w:rPr>
              <w:fldChar w:fldCharType="end"/>
            </w:r>
          </w:hyperlink>
        </w:p>
        <w:p w:rsidR="005E4605" w:rsidRDefault="005E4605" w:rsidP="005E4605">
          <w:pPr>
            <w:pStyle w:val="TOC2"/>
            <w:rPr>
              <w:rFonts w:asciiTheme="minorHAnsi" w:eastAsiaTheme="minorEastAsia" w:hAnsiTheme="minorHAnsi"/>
              <w:lang w:eastAsia="en-AU"/>
            </w:rPr>
          </w:pPr>
          <w:hyperlink w:anchor="_Toc481061456" w:history="1">
            <w:r w:rsidRPr="008A484E">
              <w:rPr>
                <w:rStyle w:val="Hyperlink"/>
              </w:rPr>
              <w:t>A.1</w:t>
            </w:r>
            <w:r>
              <w:rPr>
                <w:rFonts w:asciiTheme="minorHAnsi" w:eastAsiaTheme="minorEastAsia" w:hAnsiTheme="minorHAnsi"/>
                <w:lang w:eastAsia="en-AU"/>
              </w:rPr>
              <w:tab/>
            </w:r>
            <w:r w:rsidRPr="008A484E">
              <w:rPr>
                <w:rStyle w:val="Hyperlink"/>
              </w:rPr>
              <w:t>Expert views on the value of imputation credits</w:t>
            </w:r>
            <w:r>
              <w:rPr>
                <w:webHidden/>
              </w:rPr>
              <w:tab/>
            </w:r>
            <w:r>
              <w:rPr>
                <w:webHidden/>
              </w:rPr>
              <w:fldChar w:fldCharType="begin"/>
            </w:r>
            <w:r>
              <w:rPr>
                <w:webHidden/>
              </w:rPr>
              <w:instrText xml:space="preserve"> PAGEREF _Toc481061456 \h </w:instrText>
            </w:r>
            <w:r>
              <w:rPr>
                <w:webHidden/>
              </w:rPr>
            </w:r>
            <w:r>
              <w:rPr>
                <w:webHidden/>
              </w:rPr>
              <w:fldChar w:fldCharType="separate"/>
            </w:r>
            <w:r>
              <w:rPr>
                <w:webHidden/>
              </w:rPr>
              <w:t>4-59</w:t>
            </w:r>
            <w:r>
              <w:rPr>
                <w:webHidden/>
              </w:rPr>
              <w:fldChar w:fldCharType="end"/>
            </w:r>
          </w:hyperlink>
        </w:p>
        <w:p w:rsidR="005E4605" w:rsidRDefault="005E4605" w:rsidP="005E4605">
          <w:pPr>
            <w:pStyle w:val="TOC2"/>
            <w:rPr>
              <w:rFonts w:asciiTheme="minorHAnsi" w:eastAsiaTheme="minorEastAsia" w:hAnsiTheme="minorHAnsi"/>
              <w:lang w:eastAsia="en-AU"/>
            </w:rPr>
          </w:pPr>
          <w:hyperlink w:anchor="_Toc481061457" w:history="1">
            <w:r w:rsidRPr="008A484E">
              <w:rPr>
                <w:rStyle w:val="Hyperlink"/>
              </w:rPr>
              <w:t>A.2</w:t>
            </w:r>
            <w:r>
              <w:rPr>
                <w:rFonts w:asciiTheme="minorHAnsi" w:eastAsiaTheme="minorEastAsia" w:hAnsiTheme="minorHAnsi"/>
                <w:lang w:eastAsia="en-AU"/>
              </w:rPr>
              <w:tab/>
            </w:r>
            <w:r w:rsidRPr="008A484E">
              <w:rPr>
                <w:rStyle w:val="Hyperlink"/>
              </w:rPr>
              <w:t>The value of imputation credits used by other regulators</w:t>
            </w:r>
            <w:r>
              <w:rPr>
                <w:webHidden/>
              </w:rPr>
              <w:tab/>
            </w:r>
            <w:r>
              <w:rPr>
                <w:webHidden/>
              </w:rPr>
              <w:fldChar w:fldCharType="begin"/>
            </w:r>
            <w:r>
              <w:rPr>
                <w:webHidden/>
              </w:rPr>
              <w:instrText xml:space="preserve"> PAGEREF _Toc481061457 \h </w:instrText>
            </w:r>
            <w:r>
              <w:rPr>
                <w:webHidden/>
              </w:rPr>
            </w:r>
            <w:r>
              <w:rPr>
                <w:webHidden/>
              </w:rPr>
              <w:fldChar w:fldCharType="separate"/>
            </w:r>
            <w:r>
              <w:rPr>
                <w:webHidden/>
              </w:rPr>
              <w:t>4-62</w:t>
            </w:r>
            <w:r>
              <w:rPr>
                <w:webHidden/>
              </w:rPr>
              <w:fldChar w:fldCharType="end"/>
            </w:r>
          </w:hyperlink>
        </w:p>
        <w:p w:rsidR="005E4605" w:rsidRDefault="005E4605" w:rsidP="005E4605">
          <w:pPr>
            <w:pStyle w:val="TOC2"/>
            <w:rPr>
              <w:rFonts w:asciiTheme="minorHAnsi" w:eastAsiaTheme="minorEastAsia" w:hAnsiTheme="minorHAnsi"/>
              <w:lang w:eastAsia="en-AU"/>
            </w:rPr>
          </w:pPr>
          <w:hyperlink w:anchor="_Toc481061458" w:history="1">
            <w:r w:rsidRPr="008A484E">
              <w:rPr>
                <w:rStyle w:val="Hyperlink"/>
              </w:rPr>
              <w:t>A.3</w:t>
            </w:r>
            <w:r>
              <w:rPr>
                <w:rFonts w:asciiTheme="minorHAnsi" w:eastAsiaTheme="minorEastAsia" w:hAnsiTheme="minorHAnsi"/>
                <w:lang w:eastAsia="en-AU"/>
              </w:rPr>
              <w:tab/>
            </w:r>
            <w:r w:rsidRPr="008A484E">
              <w:rPr>
                <w:rStyle w:val="Hyperlink"/>
              </w:rPr>
              <w:t>Previous Australian Competition Tribunal considerations</w:t>
            </w:r>
            <w:r>
              <w:rPr>
                <w:webHidden/>
              </w:rPr>
              <w:tab/>
            </w:r>
            <w:r>
              <w:rPr>
                <w:webHidden/>
              </w:rPr>
              <w:fldChar w:fldCharType="begin"/>
            </w:r>
            <w:r>
              <w:rPr>
                <w:webHidden/>
              </w:rPr>
              <w:instrText xml:space="preserve"> PAGEREF _Toc481061458 \h </w:instrText>
            </w:r>
            <w:r>
              <w:rPr>
                <w:webHidden/>
              </w:rPr>
            </w:r>
            <w:r>
              <w:rPr>
                <w:webHidden/>
              </w:rPr>
              <w:fldChar w:fldCharType="separate"/>
            </w:r>
            <w:r>
              <w:rPr>
                <w:webHidden/>
              </w:rPr>
              <w:t>4-64</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459" w:history="1">
            <w:r w:rsidRPr="008A484E">
              <w:rPr>
                <w:rStyle w:val="Hyperlink"/>
              </w:rPr>
              <w:t>A.3.1</w:t>
            </w:r>
            <w:r>
              <w:rPr>
                <w:rFonts w:asciiTheme="minorHAnsi" w:eastAsiaTheme="minorEastAsia" w:hAnsiTheme="minorHAnsi"/>
                <w:lang w:eastAsia="en-AU"/>
              </w:rPr>
              <w:tab/>
            </w:r>
            <w:r w:rsidRPr="008A484E">
              <w:rPr>
                <w:rStyle w:val="Hyperlink"/>
              </w:rPr>
              <w:t>SA Power Networks</w:t>
            </w:r>
            <w:r>
              <w:rPr>
                <w:webHidden/>
              </w:rPr>
              <w:tab/>
            </w:r>
            <w:r>
              <w:rPr>
                <w:webHidden/>
              </w:rPr>
              <w:fldChar w:fldCharType="begin"/>
            </w:r>
            <w:r>
              <w:rPr>
                <w:webHidden/>
              </w:rPr>
              <w:instrText xml:space="preserve"> PAGEREF _Toc481061459 \h </w:instrText>
            </w:r>
            <w:r>
              <w:rPr>
                <w:webHidden/>
              </w:rPr>
            </w:r>
            <w:r>
              <w:rPr>
                <w:webHidden/>
              </w:rPr>
              <w:fldChar w:fldCharType="separate"/>
            </w:r>
            <w:r>
              <w:rPr>
                <w:webHidden/>
              </w:rPr>
              <w:t>4-64</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460" w:history="1">
            <w:r w:rsidRPr="008A484E">
              <w:rPr>
                <w:rStyle w:val="Hyperlink"/>
              </w:rPr>
              <w:t>A.3.2</w:t>
            </w:r>
            <w:r>
              <w:rPr>
                <w:rFonts w:asciiTheme="minorHAnsi" w:eastAsiaTheme="minorEastAsia" w:hAnsiTheme="minorHAnsi"/>
                <w:lang w:eastAsia="en-AU"/>
              </w:rPr>
              <w:tab/>
            </w:r>
            <w:r w:rsidRPr="008A484E">
              <w:rPr>
                <w:rStyle w:val="Hyperlink"/>
              </w:rPr>
              <w:t>ActewAGL Distribution, Ausgrid, Endeavour Energy, Essential Energy and Jemena Gas Networks</w:t>
            </w:r>
            <w:r>
              <w:rPr>
                <w:webHidden/>
              </w:rPr>
              <w:tab/>
            </w:r>
            <w:r>
              <w:rPr>
                <w:webHidden/>
              </w:rPr>
              <w:fldChar w:fldCharType="begin"/>
            </w:r>
            <w:r>
              <w:rPr>
                <w:webHidden/>
              </w:rPr>
              <w:instrText xml:space="preserve"> PAGEREF _Toc481061460 \h </w:instrText>
            </w:r>
            <w:r>
              <w:rPr>
                <w:webHidden/>
              </w:rPr>
            </w:r>
            <w:r>
              <w:rPr>
                <w:webHidden/>
              </w:rPr>
              <w:fldChar w:fldCharType="separate"/>
            </w:r>
            <w:r>
              <w:rPr>
                <w:webHidden/>
              </w:rPr>
              <w:t>4-69</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461" w:history="1">
            <w:r w:rsidRPr="008A484E">
              <w:rPr>
                <w:rStyle w:val="Hyperlink"/>
              </w:rPr>
              <w:t>A.3.3</w:t>
            </w:r>
            <w:r>
              <w:rPr>
                <w:rFonts w:asciiTheme="minorHAnsi" w:eastAsiaTheme="minorEastAsia" w:hAnsiTheme="minorHAnsi"/>
                <w:lang w:eastAsia="en-AU"/>
              </w:rPr>
              <w:tab/>
            </w:r>
            <w:r w:rsidRPr="008A484E">
              <w:rPr>
                <w:rStyle w:val="Hyperlink"/>
              </w:rPr>
              <w:t>Energex</w:t>
            </w:r>
            <w:r>
              <w:rPr>
                <w:webHidden/>
              </w:rPr>
              <w:tab/>
            </w:r>
            <w:r>
              <w:rPr>
                <w:webHidden/>
              </w:rPr>
              <w:fldChar w:fldCharType="begin"/>
            </w:r>
            <w:r>
              <w:rPr>
                <w:webHidden/>
              </w:rPr>
              <w:instrText xml:space="preserve"> PAGEREF _Toc481061461 \h </w:instrText>
            </w:r>
            <w:r>
              <w:rPr>
                <w:webHidden/>
              </w:rPr>
            </w:r>
            <w:r>
              <w:rPr>
                <w:webHidden/>
              </w:rPr>
              <w:fldChar w:fldCharType="separate"/>
            </w:r>
            <w:r>
              <w:rPr>
                <w:webHidden/>
              </w:rPr>
              <w:t>4-77</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462" w:history="1">
            <w:r w:rsidRPr="008A484E">
              <w:rPr>
                <w:rStyle w:val="Hyperlink"/>
              </w:rPr>
              <w:t>A.3.4</w:t>
            </w:r>
            <w:r>
              <w:rPr>
                <w:rFonts w:asciiTheme="minorHAnsi" w:eastAsiaTheme="minorEastAsia" w:hAnsiTheme="minorHAnsi"/>
                <w:lang w:eastAsia="en-AU"/>
              </w:rPr>
              <w:tab/>
            </w:r>
            <w:r w:rsidRPr="008A484E">
              <w:rPr>
                <w:rStyle w:val="Hyperlink"/>
              </w:rPr>
              <w:t>DBNGP and WA Gas Networks</w:t>
            </w:r>
            <w:r>
              <w:rPr>
                <w:webHidden/>
              </w:rPr>
              <w:tab/>
            </w:r>
            <w:r>
              <w:rPr>
                <w:webHidden/>
              </w:rPr>
              <w:fldChar w:fldCharType="begin"/>
            </w:r>
            <w:r>
              <w:rPr>
                <w:webHidden/>
              </w:rPr>
              <w:instrText xml:space="preserve"> PAGEREF _Toc481061462 \h </w:instrText>
            </w:r>
            <w:r>
              <w:rPr>
                <w:webHidden/>
              </w:rPr>
            </w:r>
            <w:r>
              <w:rPr>
                <w:webHidden/>
              </w:rPr>
              <w:fldChar w:fldCharType="separate"/>
            </w:r>
            <w:r>
              <w:rPr>
                <w:webHidden/>
              </w:rPr>
              <w:t>4-81</w:t>
            </w:r>
            <w:r>
              <w:rPr>
                <w:webHidden/>
              </w:rPr>
              <w:fldChar w:fldCharType="end"/>
            </w:r>
          </w:hyperlink>
        </w:p>
        <w:p w:rsidR="005E4605" w:rsidRDefault="005E4605" w:rsidP="005E4605">
          <w:pPr>
            <w:pStyle w:val="TOC2"/>
            <w:rPr>
              <w:rFonts w:asciiTheme="minorHAnsi" w:eastAsiaTheme="minorEastAsia" w:hAnsiTheme="minorHAnsi"/>
              <w:lang w:eastAsia="en-AU"/>
            </w:rPr>
          </w:pPr>
          <w:hyperlink w:anchor="_Toc481061463" w:history="1">
            <w:r w:rsidRPr="008A484E">
              <w:rPr>
                <w:rStyle w:val="Hyperlink"/>
              </w:rPr>
              <w:t>A.4</w:t>
            </w:r>
            <w:r>
              <w:rPr>
                <w:rFonts w:asciiTheme="minorHAnsi" w:eastAsiaTheme="minorEastAsia" w:hAnsiTheme="minorHAnsi"/>
                <w:lang w:eastAsia="en-AU"/>
              </w:rPr>
              <w:tab/>
            </w:r>
            <w:r w:rsidRPr="008A484E">
              <w:rPr>
                <w:rStyle w:val="Hyperlink"/>
              </w:rPr>
              <w:t>Key concerns of the service providers</w:t>
            </w:r>
            <w:r>
              <w:rPr>
                <w:webHidden/>
              </w:rPr>
              <w:tab/>
            </w:r>
            <w:r>
              <w:rPr>
                <w:webHidden/>
              </w:rPr>
              <w:fldChar w:fldCharType="begin"/>
            </w:r>
            <w:r>
              <w:rPr>
                <w:webHidden/>
              </w:rPr>
              <w:instrText xml:space="preserve"> PAGEREF _Toc481061463 \h </w:instrText>
            </w:r>
            <w:r>
              <w:rPr>
                <w:webHidden/>
              </w:rPr>
            </w:r>
            <w:r>
              <w:rPr>
                <w:webHidden/>
              </w:rPr>
              <w:fldChar w:fldCharType="separate"/>
            </w:r>
            <w:r>
              <w:rPr>
                <w:webHidden/>
              </w:rPr>
              <w:t>4-82</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464" w:history="1">
            <w:r w:rsidRPr="008A484E">
              <w:rPr>
                <w:rStyle w:val="Hyperlink"/>
              </w:rPr>
              <w:t>A.4.1</w:t>
            </w:r>
            <w:r>
              <w:rPr>
                <w:rFonts w:asciiTheme="minorHAnsi" w:eastAsiaTheme="minorEastAsia" w:hAnsiTheme="minorHAnsi"/>
                <w:lang w:eastAsia="en-AU"/>
              </w:rPr>
              <w:tab/>
            </w:r>
            <w:r w:rsidRPr="008A484E">
              <w:rPr>
                <w:rStyle w:val="Hyperlink"/>
              </w:rPr>
              <w:t>Ausgrid, Endeavour Energy, Essential Energy, ActewAGL, TransGrid, Directlink, Jemena Gas Networks</w:t>
            </w:r>
            <w:r>
              <w:rPr>
                <w:webHidden/>
              </w:rPr>
              <w:tab/>
            </w:r>
            <w:r>
              <w:rPr>
                <w:webHidden/>
              </w:rPr>
              <w:fldChar w:fldCharType="begin"/>
            </w:r>
            <w:r>
              <w:rPr>
                <w:webHidden/>
              </w:rPr>
              <w:instrText xml:space="preserve"> PAGEREF _Toc481061464 \h </w:instrText>
            </w:r>
            <w:r>
              <w:rPr>
                <w:webHidden/>
              </w:rPr>
            </w:r>
            <w:r>
              <w:rPr>
                <w:webHidden/>
              </w:rPr>
              <w:fldChar w:fldCharType="separate"/>
            </w:r>
            <w:r>
              <w:rPr>
                <w:webHidden/>
              </w:rPr>
              <w:t>4-83</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465" w:history="1">
            <w:r w:rsidRPr="008A484E">
              <w:rPr>
                <w:rStyle w:val="Hyperlink"/>
              </w:rPr>
              <w:t>A.4.2</w:t>
            </w:r>
            <w:r>
              <w:rPr>
                <w:rFonts w:asciiTheme="minorHAnsi" w:eastAsiaTheme="minorEastAsia" w:hAnsiTheme="minorHAnsi"/>
                <w:lang w:eastAsia="en-AU"/>
              </w:rPr>
              <w:tab/>
            </w:r>
            <w:r w:rsidRPr="008A484E">
              <w:rPr>
                <w:rStyle w:val="Hyperlink"/>
              </w:rPr>
              <w:t>SA Power Networks, Ergon Energy, Energex</w:t>
            </w:r>
            <w:r>
              <w:rPr>
                <w:webHidden/>
              </w:rPr>
              <w:tab/>
            </w:r>
            <w:r>
              <w:rPr>
                <w:webHidden/>
              </w:rPr>
              <w:fldChar w:fldCharType="begin"/>
            </w:r>
            <w:r>
              <w:rPr>
                <w:webHidden/>
              </w:rPr>
              <w:instrText xml:space="preserve"> PAGEREF _Toc481061465 \h </w:instrText>
            </w:r>
            <w:r>
              <w:rPr>
                <w:webHidden/>
              </w:rPr>
            </w:r>
            <w:r>
              <w:rPr>
                <w:webHidden/>
              </w:rPr>
              <w:fldChar w:fldCharType="separate"/>
            </w:r>
            <w:r>
              <w:rPr>
                <w:webHidden/>
              </w:rPr>
              <w:t>4-84</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466" w:history="1">
            <w:r w:rsidRPr="008A484E">
              <w:rPr>
                <w:rStyle w:val="Hyperlink"/>
              </w:rPr>
              <w:t>A.4.3</w:t>
            </w:r>
            <w:r>
              <w:rPr>
                <w:rFonts w:asciiTheme="minorHAnsi" w:eastAsiaTheme="minorEastAsia" w:hAnsiTheme="minorHAnsi"/>
                <w:lang w:eastAsia="en-AU"/>
              </w:rPr>
              <w:tab/>
            </w:r>
            <w:r w:rsidRPr="008A484E">
              <w:rPr>
                <w:rStyle w:val="Hyperlink"/>
              </w:rPr>
              <w:t>Australian Gas Networks, ActewAGL, AusNet Services, CitiPower, Jemena Electricity, United Energy, Powercor</w:t>
            </w:r>
            <w:r>
              <w:rPr>
                <w:webHidden/>
              </w:rPr>
              <w:tab/>
            </w:r>
            <w:r>
              <w:rPr>
                <w:webHidden/>
              </w:rPr>
              <w:fldChar w:fldCharType="begin"/>
            </w:r>
            <w:r>
              <w:rPr>
                <w:webHidden/>
              </w:rPr>
              <w:instrText xml:space="preserve"> PAGEREF _Toc481061466 \h </w:instrText>
            </w:r>
            <w:r>
              <w:rPr>
                <w:webHidden/>
              </w:rPr>
            </w:r>
            <w:r>
              <w:rPr>
                <w:webHidden/>
              </w:rPr>
              <w:fldChar w:fldCharType="separate"/>
            </w:r>
            <w:r>
              <w:rPr>
                <w:webHidden/>
              </w:rPr>
              <w:t>4-85</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467" w:history="1">
            <w:r w:rsidRPr="008A484E">
              <w:rPr>
                <w:rStyle w:val="Hyperlink"/>
              </w:rPr>
              <w:t>A.4.4</w:t>
            </w:r>
            <w:r>
              <w:rPr>
                <w:rFonts w:asciiTheme="minorHAnsi" w:eastAsiaTheme="minorEastAsia" w:hAnsiTheme="minorHAnsi"/>
                <w:lang w:eastAsia="en-AU"/>
              </w:rPr>
              <w:tab/>
            </w:r>
            <w:r w:rsidRPr="008A484E">
              <w:rPr>
                <w:rStyle w:val="Hyperlink"/>
              </w:rPr>
              <w:t>AusNet Transmission, TasNetworks, Powerlink</w:t>
            </w:r>
            <w:r>
              <w:rPr>
                <w:webHidden/>
              </w:rPr>
              <w:tab/>
            </w:r>
            <w:r>
              <w:rPr>
                <w:webHidden/>
              </w:rPr>
              <w:fldChar w:fldCharType="begin"/>
            </w:r>
            <w:r>
              <w:rPr>
                <w:webHidden/>
              </w:rPr>
              <w:instrText xml:space="preserve"> PAGEREF _Toc481061467 \h </w:instrText>
            </w:r>
            <w:r>
              <w:rPr>
                <w:webHidden/>
              </w:rPr>
            </w:r>
            <w:r>
              <w:rPr>
                <w:webHidden/>
              </w:rPr>
              <w:fldChar w:fldCharType="separate"/>
            </w:r>
            <w:r>
              <w:rPr>
                <w:webHidden/>
              </w:rPr>
              <w:t>4-87</w:t>
            </w:r>
            <w:r>
              <w:rPr>
                <w:webHidden/>
              </w:rPr>
              <w:fldChar w:fldCharType="end"/>
            </w:r>
          </w:hyperlink>
        </w:p>
        <w:p w:rsidR="005E4605" w:rsidRDefault="005E4605" w:rsidP="005E4605">
          <w:pPr>
            <w:pStyle w:val="TOC2"/>
            <w:rPr>
              <w:rFonts w:asciiTheme="minorHAnsi" w:eastAsiaTheme="minorEastAsia" w:hAnsiTheme="minorHAnsi"/>
              <w:lang w:eastAsia="en-AU"/>
            </w:rPr>
          </w:pPr>
          <w:hyperlink w:anchor="_Toc481061468" w:history="1">
            <w:r w:rsidRPr="008A484E">
              <w:rPr>
                <w:rStyle w:val="Hyperlink"/>
              </w:rPr>
              <w:t>A.5</w:t>
            </w:r>
            <w:r>
              <w:rPr>
                <w:rFonts w:asciiTheme="minorHAnsi" w:eastAsiaTheme="minorEastAsia" w:hAnsiTheme="minorHAnsi"/>
                <w:lang w:eastAsia="en-AU"/>
              </w:rPr>
              <w:tab/>
            </w:r>
            <w:r w:rsidRPr="008A484E">
              <w:rPr>
                <w:rStyle w:val="Hyperlink"/>
              </w:rPr>
              <w:t>The role of the value of imputation credits in the regulatory framework</w:t>
            </w:r>
            <w:r>
              <w:rPr>
                <w:webHidden/>
              </w:rPr>
              <w:tab/>
            </w:r>
            <w:r>
              <w:rPr>
                <w:webHidden/>
              </w:rPr>
              <w:fldChar w:fldCharType="begin"/>
            </w:r>
            <w:r>
              <w:rPr>
                <w:webHidden/>
              </w:rPr>
              <w:instrText xml:space="preserve"> PAGEREF _Toc481061468 \h </w:instrText>
            </w:r>
            <w:r>
              <w:rPr>
                <w:webHidden/>
              </w:rPr>
            </w:r>
            <w:r>
              <w:rPr>
                <w:webHidden/>
              </w:rPr>
              <w:fldChar w:fldCharType="separate"/>
            </w:r>
            <w:r>
              <w:rPr>
                <w:webHidden/>
              </w:rPr>
              <w:t>4-88</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469" w:history="1">
            <w:r w:rsidRPr="008A484E">
              <w:rPr>
                <w:rStyle w:val="Hyperlink"/>
              </w:rPr>
              <w:t>A.5.1</w:t>
            </w:r>
            <w:r>
              <w:rPr>
                <w:rFonts w:asciiTheme="minorHAnsi" w:eastAsiaTheme="minorEastAsia" w:hAnsiTheme="minorHAnsi"/>
                <w:lang w:eastAsia="en-AU"/>
              </w:rPr>
              <w:tab/>
            </w:r>
            <w:r w:rsidRPr="008A484E">
              <w:rPr>
                <w:rStyle w:val="Hyperlink"/>
              </w:rPr>
              <w:t>The building block framework</w:t>
            </w:r>
            <w:r>
              <w:rPr>
                <w:webHidden/>
              </w:rPr>
              <w:tab/>
            </w:r>
            <w:r>
              <w:rPr>
                <w:webHidden/>
              </w:rPr>
              <w:fldChar w:fldCharType="begin"/>
            </w:r>
            <w:r>
              <w:rPr>
                <w:webHidden/>
              </w:rPr>
              <w:instrText xml:space="preserve"> PAGEREF _Toc481061469 \h </w:instrText>
            </w:r>
            <w:r>
              <w:rPr>
                <w:webHidden/>
              </w:rPr>
            </w:r>
            <w:r>
              <w:rPr>
                <w:webHidden/>
              </w:rPr>
              <w:fldChar w:fldCharType="separate"/>
            </w:r>
            <w:r>
              <w:rPr>
                <w:webHidden/>
              </w:rPr>
              <w:t>4-88</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470" w:history="1">
            <w:r w:rsidRPr="008A484E">
              <w:rPr>
                <w:rStyle w:val="Hyperlink"/>
              </w:rPr>
              <w:t>A.5.2</w:t>
            </w:r>
            <w:r>
              <w:rPr>
                <w:rFonts w:asciiTheme="minorHAnsi" w:eastAsiaTheme="minorEastAsia" w:hAnsiTheme="minorHAnsi"/>
                <w:lang w:eastAsia="en-AU"/>
              </w:rPr>
              <w:tab/>
            </w:r>
            <w:r w:rsidRPr="008A484E">
              <w:rPr>
                <w:rStyle w:val="Hyperlink"/>
              </w:rPr>
              <w:t>The tax building block</w:t>
            </w:r>
            <w:r>
              <w:rPr>
                <w:webHidden/>
              </w:rPr>
              <w:tab/>
            </w:r>
            <w:r>
              <w:rPr>
                <w:webHidden/>
              </w:rPr>
              <w:fldChar w:fldCharType="begin"/>
            </w:r>
            <w:r>
              <w:rPr>
                <w:webHidden/>
              </w:rPr>
              <w:instrText xml:space="preserve"> PAGEREF _Toc481061470 \h </w:instrText>
            </w:r>
            <w:r>
              <w:rPr>
                <w:webHidden/>
              </w:rPr>
            </w:r>
            <w:r>
              <w:rPr>
                <w:webHidden/>
              </w:rPr>
              <w:fldChar w:fldCharType="separate"/>
            </w:r>
            <w:r>
              <w:rPr>
                <w:webHidden/>
              </w:rPr>
              <w:t>4-91</w:t>
            </w:r>
            <w:r>
              <w:rPr>
                <w:webHidden/>
              </w:rPr>
              <w:fldChar w:fldCharType="end"/>
            </w:r>
          </w:hyperlink>
        </w:p>
        <w:p w:rsidR="005E4605" w:rsidRDefault="005E4605" w:rsidP="005E4605">
          <w:pPr>
            <w:pStyle w:val="TOC2"/>
            <w:rPr>
              <w:rFonts w:asciiTheme="minorHAnsi" w:eastAsiaTheme="minorEastAsia" w:hAnsiTheme="minorHAnsi"/>
              <w:lang w:eastAsia="en-AU"/>
            </w:rPr>
          </w:pPr>
          <w:hyperlink w:anchor="_Toc481061471" w:history="1">
            <w:r w:rsidRPr="008A484E">
              <w:rPr>
                <w:rStyle w:val="Hyperlink"/>
              </w:rPr>
              <w:t>A.6</w:t>
            </w:r>
            <w:r>
              <w:rPr>
                <w:rFonts w:asciiTheme="minorHAnsi" w:eastAsiaTheme="minorEastAsia" w:hAnsiTheme="minorHAnsi"/>
                <w:lang w:eastAsia="en-AU"/>
              </w:rPr>
              <w:tab/>
            </w:r>
            <w:r w:rsidRPr="008A484E">
              <w:rPr>
                <w:rStyle w:val="Hyperlink"/>
              </w:rPr>
              <w:t>The conceptual framework for the value of imputation credits</w:t>
            </w:r>
            <w:r>
              <w:rPr>
                <w:webHidden/>
              </w:rPr>
              <w:tab/>
            </w:r>
            <w:r>
              <w:rPr>
                <w:webHidden/>
              </w:rPr>
              <w:fldChar w:fldCharType="begin"/>
            </w:r>
            <w:r>
              <w:rPr>
                <w:webHidden/>
              </w:rPr>
              <w:instrText xml:space="preserve"> PAGEREF _Toc481061471 \h </w:instrText>
            </w:r>
            <w:r>
              <w:rPr>
                <w:webHidden/>
              </w:rPr>
            </w:r>
            <w:r>
              <w:rPr>
                <w:webHidden/>
              </w:rPr>
              <w:fldChar w:fldCharType="separate"/>
            </w:r>
            <w:r>
              <w:rPr>
                <w:webHidden/>
              </w:rPr>
              <w:t>4-92</w:t>
            </w:r>
            <w:r>
              <w:rPr>
                <w:webHidden/>
              </w:rPr>
              <w:fldChar w:fldCharType="end"/>
            </w:r>
          </w:hyperlink>
        </w:p>
        <w:p w:rsidR="005E4605" w:rsidRDefault="005E4605" w:rsidP="005E4605">
          <w:pPr>
            <w:pStyle w:val="TOC2"/>
            <w:rPr>
              <w:rFonts w:asciiTheme="minorHAnsi" w:eastAsiaTheme="minorEastAsia" w:hAnsiTheme="minorHAnsi"/>
              <w:lang w:eastAsia="en-AU"/>
            </w:rPr>
          </w:pPr>
          <w:hyperlink w:anchor="_Toc481061472" w:history="1">
            <w:r w:rsidRPr="008A484E">
              <w:rPr>
                <w:rStyle w:val="Hyperlink"/>
              </w:rPr>
              <w:t>A.7</w:t>
            </w:r>
            <w:r>
              <w:rPr>
                <w:rFonts w:asciiTheme="minorHAnsi" w:eastAsiaTheme="minorEastAsia" w:hAnsiTheme="minorHAnsi"/>
                <w:lang w:eastAsia="en-AU"/>
              </w:rPr>
              <w:tab/>
            </w:r>
            <w:r w:rsidRPr="008A484E">
              <w:rPr>
                <w:rStyle w:val="Hyperlink"/>
              </w:rPr>
              <w:t>Gray's comments on the conceptual framework</w:t>
            </w:r>
            <w:r>
              <w:rPr>
                <w:webHidden/>
              </w:rPr>
              <w:tab/>
            </w:r>
            <w:r>
              <w:rPr>
                <w:webHidden/>
              </w:rPr>
              <w:fldChar w:fldCharType="begin"/>
            </w:r>
            <w:r>
              <w:rPr>
                <w:webHidden/>
              </w:rPr>
              <w:instrText xml:space="preserve"> PAGEREF _Toc481061472 \h </w:instrText>
            </w:r>
            <w:r>
              <w:rPr>
                <w:webHidden/>
              </w:rPr>
            </w:r>
            <w:r>
              <w:rPr>
                <w:webHidden/>
              </w:rPr>
              <w:fldChar w:fldCharType="separate"/>
            </w:r>
            <w:r>
              <w:rPr>
                <w:webHidden/>
              </w:rPr>
              <w:t>4-98</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473" w:history="1">
            <w:r w:rsidRPr="008A484E">
              <w:rPr>
                <w:rStyle w:val="Hyperlink"/>
              </w:rPr>
              <w:t>A.7.1</w:t>
            </w:r>
            <w:r>
              <w:rPr>
                <w:rFonts w:asciiTheme="minorHAnsi" w:eastAsiaTheme="minorEastAsia" w:hAnsiTheme="minorHAnsi"/>
                <w:lang w:eastAsia="en-AU"/>
              </w:rPr>
              <w:tab/>
            </w:r>
            <w:r w:rsidRPr="008A484E">
              <w:rPr>
                <w:rStyle w:val="Hyperlink"/>
              </w:rPr>
              <w:t>Gray's comments on the AER's position</w:t>
            </w:r>
            <w:r>
              <w:rPr>
                <w:webHidden/>
              </w:rPr>
              <w:tab/>
            </w:r>
            <w:r>
              <w:rPr>
                <w:webHidden/>
              </w:rPr>
              <w:fldChar w:fldCharType="begin"/>
            </w:r>
            <w:r>
              <w:rPr>
                <w:webHidden/>
              </w:rPr>
              <w:instrText xml:space="preserve"> PAGEREF _Toc481061473 \h </w:instrText>
            </w:r>
            <w:r>
              <w:rPr>
                <w:webHidden/>
              </w:rPr>
            </w:r>
            <w:r>
              <w:rPr>
                <w:webHidden/>
              </w:rPr>
              <w:fldChar w:fldCharType="separate"/>
            </w:r>
            <w:r>
              <w:rPr>
                <w:webHidden/>
              </w:rPr>
              <w:t>4-99</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474" w:history="1">
            <w:r w:rsidRPr="008A484E">
              <w:rPr>
                <w:rStyle w:val="Hyperlink"/>
              </w:rPr>
              <w:t>A.7.2</w:t>
            </w:r>
            <w:r>
              <w:rPr>
                <w:rFonts w:asciiTheme="minorHAnsi" w:eastAsiaTheme="minorEastAsia" w:hAnsiTheme="minorHAnsi"/>
                <w:lang w:eastAsia="en-AU"/>
              </w:rPr>
              <w:tab/>
            </w:r>
            <w:r w:rsidRPr="008A484E">
              <w:rPr>
                <w:rStyle w:val="Hyperlink"/>
              </w:rPr>
              <w:t>Gray's comments on certain evidence and advice cited in the Guideline</w:t>
            </w:r>
            <w:r>
              <w:rPr>
                <w:webHidden/>
              </w:rPr>
              <w:tab/>
            </w:r>
            <w:r>
              <w:rPr>
                <w:webHidden/>
              </w:rPr>
              <w:fldChar w:fldCharType="begin"/>
            </w:r>
            <w:r>
              <w:rPr>
                <w:webHidden/>
              </w:rPr>
              <w:instrText xml:space="preserve"> PAGEREF _Toc481061474 \h </w:instrText>
            </w:r>
            <w:r>
              <w:rPr>
                <w:webHidden/>
              </w:rPr>
            </w:r>
            <w:r>
              <w:rPr>
                <w:webHidden/>
              </w:rPr>
              <w:fldChar w:fldCharType="separate"/>
            </w:r>
            <w:r>
              <w:rPr>
                <w:webHidden/>
              </w:rPr>
              <w:t>4-100</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475" w:history="1">
            <w:r w:rsidRPr="008A484E">
              <w:rPr>
                <w:rStyle w:val="Hyperlink"/>
              </w:rPr>
              <w:t>A.7.3</w:t>
            </w:r>
            <w:r>
              <w:rPr>
                <w:rFonts w:asciiTheme="minorHAnsi" w:eastAsiaTheme="minorEastAsia" w:hAnsiTheme="minorHAnsi"/>
                <w:lang w:eastAsia="en-AU"/>
              </w:rPr>
              <w:tab/>
            </w:r>
            <w:r w:rsidRPr="008A484E">
              <w:rPr>
                <w:rStyle w:val="Hyperlink"/>
              </w:rPr>
              <w:t>Gray's comments on Officer (1994)</w:t>
            </w:r>
            <w:r>
              <w:rPr>
                <w:webHidden/>
              </w:rPr>
              <w:tab/>
            </w:r>
            <w:r>
              <w:rPr>
                <w:webHidden/>
              </w:rPr>
              <w:fldChar w:fldCharType="begin"/>
            </w:r>
            <w:r>
              <w:rPr>
                <w:webHidden/>
              </w:rPr>
              <w:instrText xml:space="preserve"> PAGEREF _Toc481061475 \h </w:instrText>
            </w:r>
            <w:r>
              <w:rPr>
                <w:webHidden/>
              </w:rPr>
            </w:r>
            <w:r>
              <w:rPr>
                <w:webHidden/>
              </w:rPr>
              <w:fldChar w:fldCharType="separate"/>
            </w:r>
            <w:r>
              <w:rPr>
                <w:webHidden/>
              </w:rPr>
              <w:t>4-101</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480" w:history="1">
            <w:r w:rsidRPr="008A484E">
              <w:rPr>
                <w:rStyle w:val="Hyperlink"/>
              </w:rPr>
              <w:t>A.7.4</w:t>
            </w:r>
            <w:r>
              <w:rPr>
                <w:rFonts w:asciiTheme="minorHAnsi" w:eastAsiaTheme="minorEastAsia" w:hAnsiTheme="minorHAnsi"/>
                <w:lang w:eastAsia="en-AU"/>
              </w:rPr>
              <w:tab/>
            </w:r>
            <w:r w:rsidRPr="008A484E">
              <w:rPr>
                <w:rStyle w:val="Hyperlink"/>
              </w:rPr>
              <w:t>Gray's comments on the Monkhouse framework</w:t>
            </w:r>
            <w:r>
              <w:rPr>
                <w:webHidden/>
              </w:rPr>
              <w:tab/>
            </w:r>
            <w:r>
              <w:rPr>
                <w:webHidden/>
              </w:rPr>
              <w:fldChar w:fldCharType="begin"/>
            </w:r>
            <w:r>
              <w:rPr>
                <w:webHidden/>
              </w:rPr>
              <w:instrText xml:space="preserve"> PAGEREF _Toc481061480 \h </w:instrText>
            </w:r>
            <w:r>
              <w:rPr>
                <w:webHidden/>
              </w:rPr>
            </w:r>
            <w:r>
              <w:rPr>
                <w:webHidden/>
              </w:rPr>
              <w:fldChar w:fldCharType="separate"/>
            </w:r>
            <w:r>
              <w:rPr>
                <w:webHidden/>
              </w:rPr>
              <w:t>4-110</w:t>
            </w:r>
            <w:r>
              <w:rPr>
                <w:webHidden/>
              </w:rPr>
              <w:fldChar w:fldCharType="end"/>
            </w:r>
          </w:hyperlink>
        </w:p>
        <w:p w:rsidR="005E4605" w:rsidRDefault="005E4605" w:rsidP="005E4605">
          <w:pPr>
            <w:pStyle w:val="TOC2"/>
            <w:rPr>
              <w:rFonts w:asciiTheme="minorHAnsi" w:eastAsiaTheme="minorEastAsia" w:hAnsiTheme="minorHAnsi"/>
              <w:lang w:eastAsia="en-AU"/>
            </w:rPr>
          </w:pPr>
          <w:hyperlink w:anchor="_Toc481061481" w:history="1">
            <w:r w:rsidRPr="008A484E">
              <w:rPr>
                <w:rStyle w:val="Hyperlink"/>
              </w:rPr>
              <w:t>A.8</w:t>
            </w:r>
            <w:r>
              <w:rPr>
                <w:rFonts w:asciiTheme="minorHAnsi" w:eastAsiaTheme="minorEastAsia" w:hAnsiTheme="minorHAnsi"/>
                <w:lang w:eastAsia="en-AU"/>
              </w:rPr>
              <w:tab/>
            </w:r>
            <w:r w:rsidRPr="008A484E">
              <w:rPr>
                <w:rStyle w:val="Hyperlink"/>
              </w:rPr>
              <w:t>Further issues relating to the utilisation rate</w:t>
            </w:r>
            <w:r>
              <w:rPr>
                <w:webHidden/>
              </w:rPr>
              <w:tab/>
            </w:r>
            <w:r>
              <w:rPr>
                <w:webHidden/>
              </w:rPr>
              <w:fldChar w:fldCharType="begin"/>
            </w:r>
            <w:r>
              <w:rPr>
                <w:webHidden/>
              </w:rPr>
              <w:instrText xml:space="preserve"> PAGEREF _Toc481061481 \h </w:instrText>
            </w:r>
            <w:r>
              <w:rPr>
                <w:webHidden/>
              </w:rPr>
            </w:r>
            <w:r>
              <w:rPr>
                <w:webHidden/>
              </w:rPr>
              <w:fldChar w:fldCharType="separate"/>
            </w:r>
            <w:r>
              <w:rPr>
                <w:webHidden/>
              </w:rPr>
              <w:t>4-112</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482" w:history="1">
            <w:r w:rsidRPr="008A484E">
              <w:rPr>
                <w:rStyle w:val="Hyperlink"/>
              </w:rPr>
              <w:t>A.8.1</w:t>
            </w:r>
            <w:r>
              <w:rPr>
                <w:rFonts w:asciiTheme="minorHAnsi" w:eastAsiaTheme="minorEastAsia" w:hAnsiTheme="minorHAnsi"/>
                <w:lang w:eastAsia="en-AU"/>
              </w:rPr>
              <w:tab/>
            </w:r>
            <w:r w:rsidRPr="008A484E">
              <w:rPr>
                <w:rStyle w:val="Hyperlink"/>
              </w:rPr>
              <w:t>Consistency with the building block framework</w:t>
            </w:r>
            <w:r>
              <w:rPr>
                <w:webHidden/>
              </w:rPr>
              <w:tab/>
            </w:r>
            <w:r>
              <w:rPr>
                <w:webHidden/>
              </w:rPr>
              <w:fldChar w:fldCharType="begin"/>
            </w:r>
            <w:r>
              <w:rPr>
                <w:webHidden/>
              </w:rPr>
              <w:instrText xml:space="preserve"> PAGEREF _Toc481061482 \h </w:instrText>
            </w:r>
            <w:r>
              <w:rPr>
                <w:webHidden/>
              </w:rPr>
            </w:r>
            <w:r>
              <w:rPr>
                <w:webHidden/>
              </w:rPr>
              <w:fldChar w:fldCharType="separate"/>
            </w:r>
            <w:r>
              <w:rPr>
                <w:webHidden/>
              </w:rPr>
              <w:t>4-113</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483" w:history="1">
            <w:r w:rsidRPr="008A484E">
              <w:rPr>
                <w:rStyle w:val="Hyperlink"/>
              </w:rPr>
              <w:t>A.8.2</w:t>
            </w:r>
            <w:r>
              <w:rPr>
                <w:rFonts w:asciiTheme="minorHAnsi" w:eastAsiaTheme="minorEastAsia" w:hAnsiTheme="minorHAnsi"/>
                <w:lang w:eastAsia="en-AU"/>
              </w:rPr>
              <w:tab/>
            </w:r>
            <w:r w:rsidRPr="008A484E">
              <w:rPr>
                <w:rStyle w:val="Hyperlink"/>
              </w:rPr>
              <w:t>Consistency with other allowed rate of return parameters</w:t>
            </w:r>
            <w:r>
              <w:rPr>
                <w:webHidden/>
              </w:rPr>
              <w:tab/>
            </w:r>
            <w:r>
              <w:rPr>
                <w:webHidden/>
              </w:rPr>
              <w:fldChar w:fldCharType="begin"/>
            </w:r>
            <w:r>
              <w:rPr>
                <w:webHidden/>
              </w:rPr>
              <w:instrText xml:space="preserve"> PAGEREF _Toc481061483 \h </w:instrText>
            </w:r>
            <w:r>
              <w:rPr>
                <w:webHidden/>
              </w:rPr>
            </w:r>
            <w:r>
              <w:rPr>
                <w:webHidden/>
              </w:rPr>
              <w:fldChar w:fldCharType="separate"/>
            </w:r>
            <w:r>
              <w:rPr>
                <w:webHidden/>
              </w:rPr>
              <w:t>4-116</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484" w:history="1">
            <w:r w:rsidRPr="008A484E">
              <w:rPr>
                <w:rStyle w:val="Hyperlink"/>
              </w:rPr>
              <w:t>A.8.3</w:t>
            </w:r>
            <w:r>
              <w:rPr>
                <w:rFonts w:asciiTheme="minorHAnsi" w:eastAsiaTheme="minorEastAsia" w:hAnsiTheme="minorHAnsi"/>
                <w:lang w:eastAsia="en-AU"/>
              </w:rPr>
              <w:tab/>
            </w:r>
            <w:r w:rsidRPr="008A484E">
              <w:rPr>
                <w:rStyle w:val="Hyperlink"/>
              </w:rPr>
              <w:t>Market Risk Premium adjustment for gamma</w:t>
            </w:r>
            <w:r>
              <w:rPr>
                <w:webHidden/>
              </w:rPr>
              <w:tab/>
            </w:r>
            <w:r>
              <w:rPr>
                <w:webHidden/>
              </w:rPr>
              <w:fldChar w:fldCharType="begin"/>
            </w:r>
            <w:r>
              <w:rPr>
                <w:webHidden/>
              </w:rPr>
              <w:instrText xml:space="preserve"> PAGEREF _Toc481061484 \h </w:instrText>
            </w:r>
            <w:r>
              <w:rPr>
                <w:webHidden/>
              </w:rPr>
            </w:r>
            <w:r>
              <w:rPr>
                <w:webHidden/>
              </w:rPr>
              <w:fldChar w:fldCharType="separate"/>
            </w:r>
            <w:r>
              <w:rPr>
                <w:webHidden/>
              </w:rPr>
              <w:t>4-120</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487" w:history="1">
            <w:r w:rsidRPr="008A484E">
              <w:rPr>
                <w:rStyle w:val="Hyperlink"/>
              </w:rPr>
              <w:t>A.8.4</w:t>
            </w:r>
            <w:r>
              <w:rPr>
                <w:rFonts w:asciiTheme="minorHAnsi" w:eastAsiaTheme="minorEastAsia" w:hAnsiTheme="minorHAnsi"/>
                <w:lang w:eastAsia="en-AU"/>
              </w:rPr>
              <w:tab/>
            </w:r>
            <w:r w:rsidRPr="008A484E">
              <w:rPr>
                <w:rStyle w:val="Hyperlink"/>
              </w:rPr>
              <w:t>Factors affecting investors' valuation of imputation credits</w:t>
            </w:r>
            <w:r>
              <w:rPr>
                <w:webHidden/>
              </w:rPr>
              <w:tab/>
            </w:r>
            <w:r>
              <w:rPr>
                <w:webHidden/>
              </w:rPr>
              <w:fldChar w:fldCharType="begin"/>
            </w:r>
            <w:r>
              <w:rPr>
                <w:webHidden/>
              </w:rPr>
              <w:instrText xml:space="preserve"> PAGEREF _Toc481061487 \h </w:instrText>
            </w:r>
            <w:r>
              <w:rPr>
                <w:webHidden/>
              </w:rPr>
            </w:r>
            <w:r>
              <w:rPr>
                <w:webHidden/>
              </w:rPr>
              <w:fldChar w:fldCharType="separate"/>
            </w:r>
            <w:r>
              <w:rPr>
                <w:webHidden/>
              </w:rPr>
              <w:t>4-122</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496" w:history="1">
            <w:r w:rsidRPr="008A484E">
              <w:rPr>
                <w:rStyle w:val="Hyperlink"/>
              </w:rPr>
              <w:t>A.8.5</w:t>
            </w:r>
            <w:r>
              <w:rPr>
                <w:rFonts w:asciiTheme="minorHAnsi" w:eastAsiaTheme="minorEastAsia" w:hAnsiTheme="minorHAnsi"/>
                <w:lang w:eastAsia="en-AU"/>
              </w:rPr>
              <w:tab/>
            </w:r>
            <w:r w:rsidRPr="008A484E">
              <w:rPr>
                <w:rStyle w:val="Hyperlink"/>
              </w:rPr>
              <w:t>NERA's comments on the utilisation rate</w:t>
            </w:r>
            <w:r>
              <w:rPr>
                <w:webHidden/>
              </w:rPr>
              <w:tab/>
            </w:r>
            <w:r>
              <w:rPr>
                <w:webHidden/>
              </w:rPr>
              <w:fldChar w:fldCharType="begin"/>
            </w:r>
            <w:r>
              <w:rPr>
                <w:webHidden/>
              </w:rPr>
              <w:instrText xml:space="preserve"> PAGEREF _Toc481061496 \h </w:instrText>
            </w:r>
            <w:r>
              <w:rPr>
                <w:webHidden/>
              </w:rPr>
            </w:r>
            <w:r>
              <w:rPr>
                <w:webHidden/>
              </w:rPr>
              <w:fldChar w:fldCharType="separate"/>
            </w:r>
            <w:r>
              <w:rPr>
                <w:webHidden/>
              </w:rPr>
              <w:t>4-137</w:t>
            </w:r>
            <w:r>
              <w:rPr>
                <w:webHidden/>
              </w:rPr>
              <w:fldChar w:fldCharType="end"/>
            </w:r>
          </w:hyperlink>
        </w:p>
        <w:p w:rsidR="005E4605" w:rsidRDefault="005E4605" w:rsidP="005E4605">
          <w:pPr>
            <w:pStyle w:val="TOC2"/>
            <w:rPr>
              <w:rFonts w:asciiTheme="minorHAnsi" w:eastAsiaTheme="minorEastAsia" w:hAnsiTheme="minorHAnsi"/>
              <w:lang w:eastAsia="en-AU"/>
            </w:rPr>
          </w:pPr>
          <w:hyperlink w:anchor="_Toc481061497" w:history="1">
            <w:r w:rsidRPr="008A484E">
              <w:rPr>
                <w:rStyle w:val="Hyperlink"/>
              </w:rPr>
              <w:t>A.9</w:t>
            </w:r>
            <w:r>
              <w:rPr>
                <w:rFonts w:asciiTheme="minorHAnsi" w:eastAsiaTheme="minorEastAsia" w:hAnsiTheme="minorHAnsi"/>
                <w:lang w:eastAsia="en-AU"/>
              </w:rPr>
              <w:tab/>
            </w:r>
            <w:r w:rsidRPr="008A484E">
              <w:rPr>
                <w:rStyle w:val="Hyperlink"/>
              </w:rPr>
              <w:t>Estimation approach considerations</w:t>
            </w:r>
            <w:r>
              <w:rPr>
                <w:webHidden/>
              </w:rPr>
              <w:tab/>
            </w:r>
            <w:r>
              <w:rPr>
                <w:webHidden/>
              </w:rPr>
              <w:fldChar w:fldCharType="begin"/>
            </w:r>
            <w:r>
              <w:rPr>
                <w:webHidden/>
              </w:rPr>
              <w:instrText xml:space="preserve"> PAGEREF _Toc481061497 \h </w:instrText>
            </w:r>
            <w:r>
              <w:rPr>
                <w:webHidden/>
              </w:rPr>
            </w:r>
            <w:r>
              <w:rPr>
                <w:webHidden/>
              </w:rPr>
              <w:fldChar w:fldCharType="separate"/>
            </w:r>
            <w:r>
              <w:rPr>
                <w:webHidden/>
              </w:rPr>
              <w:t>4-140</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498" w:history="1">
            <w:r w:rsidRPr="008A484E">
              <w:rPr>
                <w:rStyle w:val="Hyperlink"/>
              </w:rPr>
              <w:t>A.9.1</w:t>
            </w:r>
            <w:r>
              <w:rPr>
                <w:rFonts w:asciiTheme="minorHAnsi" w:eastAsiaTheme="minorEastAsia" w:hAnsiTheme="minorHAnsi"/>
                <w:lang w:eastAsia="en-AU"/>
              </w:rPr>
              <w:tab/>
            </w:r>
            <w:r w:rsidRPr="008A484E">
              <w:rPr>
                <w:rStyle w:val="Hyperlink"/>
              </w:rPr>
              <w:t>Evidence from all equity or only listed equity</w:t>
            </w:r>
            <w:r>
              <w:rPr>
                <w:webHidden/>
              </w:rPr>
              <w:tab/>
            </w:r>
            <w:r>
              <w:rPr>
                <w:webHidden/>
              </w:rPr>
              <w:fldChar w:fldCharType="begin"/>
            </w:r>
            <w:r>
              <w:rPr>
                <w:webHidden/>
              </w:rPr>
              <w:instrText xml:space="preserve"> PAGEREF _Toc481061498 \h </w:instrText>
            </w:r>
            <w:r>
              <w:rPr>
                <w:webHidden/>
              </w:rPr>
            </w:r>
            <w:r>
              <w:rPr>
                <w:webHidden/>
              </w:rPr>
              <w:fldChar w:fldCharType="separate"/>
            </w:r>
            <w:r>
              <w:rPr>
                <w:webHidden/>
              </w:rPr>
              <w:t>4-140</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499" w:history="1">
            <w:r w:rsidRPr="008A484E">
              <w:rPr>
                <w:rStyle w:val="Hyperlink"/>
              </w:rPr>
              <w:t>A.9.2</w:t>
            </w:r>
            <w:r>
              <w:rPr>
                <w:rFonts w:asciiTheme="minorHAnsi" w:eastAsiaTheme="minorEastAsia" w:hAnsiTheme="minorHAnsi"/>
                <w:lang w:eastAsia="en-AU"/>
              </w:rPr>
              <w:tab/>
            </w:r>
            <w:r w:rsidRPr="008A484E">
              <w:rPr>
                <w:rStyle w:val="Hyperlink"/>
              </w:rPr>
              <w:t>Relationship between the distribution rate and the utilisation value</w:t>
            </w:r>
            <w:r>
              <w:rPr>
                <w:webHidden/>
              </w:rPr>
              <w:tab/>
            </w:r>
            <w:r>
              <w:rPr>
                <w:webHidden/>
              </w:rPr>
              <w:fldChar w:fldCharType="begin"/>
            </w:r>
            <w:r>
              <w:rPr>
                <w:webHidden/>
              </w:rPr>
              <w:instrText xml:space="preserve"> PAGEREF _Toc481061499 \h </w:instrText>
            </w:r>
            <w:r>
              <w:rPr>
                <w:webHidden/>
              </w:rPr>
            </w:r>
            <w:r>
              <w:rPr>
                <w:webHidden/>
              </w:rPr>
              <w:fldChar w:fldCharType="separate"/>
            </w:r>
            <w:r>
              <w:rPr>
                <w:webHidden/>
              </w:rPr>
              <w:t>4-143</w:t>
            </w:r>
            <w:r>
              <w:rPr>
                <w:webHidden/>
              </w:rPr>
              <w:fldChar w:fldCharType="end"/>
            </w:r>
          </w:hyperlink>
        </w:p>
        <w:p w:rsidR="005E4605" w:rsidRDefault="005E4605" w:rsidP="005E4605">
          <w:pPr>
            <w:pStyle w:val="TOC2"/>
            <w:rPr>
              <w:rFonts w:asciiTheme="minorHAnsi" w:eastAsiaTheme="minorEastAsia" w:hAnsiTheme="minorHAnsi"/>
              <w:lang w:eastAsia="en-AU"/>
            </w:rPr>
          </w:pPr>
          <w:hyperlink w:anchor="_Toc481061500" w:history="1">
            <w:r w:rsidRPr="008A484E">
              <w:rPr>
                <w:rStyle w:val="Hyperlink"/>
              </w:rPr>
              <w:t>A.10</w:t>
            </w:r>
            <w:r w:rsidR="005A7817">
              <w:rPr>
                <w:rStyle w:val="Hyperlink"/>
              </w:rPr>
              <w:t xml:space="preserve"> </w:t>
            </w:r>
            <w:r w:rsidRPr="008A484E">
              <w:rPr>
                <w:rStyle w:val="Hyperlink"/>
              </w:rPr>
              <w:t>Estimating the distribution rate</w:t>
            </w:r>
            <w:r>
              <w:rPr>
                <w:webHidden/>
              </w:rPr>
              <w:tab/>
            </w:r>
            <w:r>
              <w:rPr>
                <w:webHidden/>
              </w:rPr>
              <w:fldChar w:fldCharType="begin"/>
            </w:r>
            <w:r>
              <w:rPr>
                <w:webHidden/>
              </w:rPr>
              <w:instrText xml:space="preserve"> PAGEREF _Toc481061500 \h </w:instrText>
            </w:r>
            <w:r>
              <w:rPr>
                <w:webHidden/>
              </w:rPr>
            </w:r>
            <w:r>
              <w:rPr>
                <w:webHidden/>
              </w:rPr>
              <w:fldChar w:fldCharType="separate"/>
            </w:r>
            <w:r>
              <w:rPr>
                <w:webHidden/>
              </w:rPr>
              <w:t>4-146</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501" w:history="1">
            <w:r w:rsidRPr="008A484E">
              <w:rPr>
                <w:rStyle w:val="Hyperlink"/>
              </w:rPr>
              <w:t>A.10.1</w:t>
            </w:r>
            <w:r>
              <w:rPr>
                <w:rFonts w:asciiTheme="minorHAnsi" w:eastAsiaTheme="minorEastAsia" w:hAnsiTheme="minorHAnsi"/>
                <w:lang w:eastAsia="en-AU"/>
              </w:rPr>
              <w:tab/>
            </w:r>
            <w:r w:rsidRPr="008A484E">
              <w:rPr>
                <w:rStyle w:val="Hyperlink"/>
              </w:rPr>
              <w:t>Service providers', Gray's and NERA's comments on the distribution rate</w:t>
            </w:r>
            <w:r>
              <w:rPr>
                <w:webHidden/>
              </w:rPr>
              <w:tab/>
            </w:r>
            <w:r>
              <w:rPr>
                <w:webHidden/>
              </w:rPr>
              <w:fldChar w:fldCharType="begin"/>
            </w:r>
            <w:r>
              <w:rPr>
                <w:webHidden/>
              </w:rPr>
              <w:instrText xml:space="preserve"> PAGEREF _Toc481061501 \h </w:instrText>
            </w:r>
            <w:r>
              <w:rPr>
                <w:webHidden/>
              </w:rPr>
            </w:r>
            <w:r>
              <w:rPr>
                <w:webHidden/>
              </w:rPr>
              <w:fldChar w:fldCharType="separate"/>
            </w:r>
            <w:r>
              <w:rPr>
                <w:webHidden/>
              </w:rPr>
              <w:t>4-148</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502" w:history="1">
            <w:r w:rsidRPr="008A484E">
              <w:rPr>
                <w:rStyle w:val="Hyperlink"/>
              </w:rPr>
              <w:t>A.10.2</w:t>
            </w:r>
            <w:r>
              <w:rPr>
                <w:rFonts w:asciiTheme="minorHAnsi" w:eastAsiaTheme="minorEastAsia" w:hAnsiTheme="minorHAnsi"/>
                <w:lang w:eastAsia="en-AU"/>
              </w:rPr>
              <w:tab/>
            </w:r>
            <w:r w:rsidRPr="008A484E">
              <w:rPr>
                <w:rStyle w:val="Hyperlink"/>
              </w:rPr>
              <w:t>The cumulative payout ratio approach</w:t>
            </w:r>
            <w:r>
              <w:rPr>
                <w:webHidden/>
              </w:rPr>
              <w:tab/>
            </w:r>
            <w:r>
              <w:rPr>
                <w:webHidden/>
              </w:rPr>
              <w:fldChar w:fldCharType="begin"/>
            </w:r>
            <w:r>
              <w:rPr>
                <w:webHidden/>
              </w:rPr>
              <w:instrText xml:space="preserve"> PAGEREF _Toc481061502 \h </w:instrText>
            </w:r>
            <w:r>
              <w:rPr>
                <w:webHidden/>
              </w:rPr>
            </w:r>
            <w:r>
              <w:rPr>
                <w:webHidden/>
              </w:rPr>
              <w:fldChar w:fldCharType="separate"/>
            </w:r>
            <w:r>
              <w:rPr>
                <w:webHidden/>
              </w:rPr>
              <w:t>4-156</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503" w:history="1">
            <w:r w:rsidRPr="008A484E">
              <w:rPr>
                <w:rStyle w:val="Hyperlink"/>
              </w:rPr>
              <w:t>A.10.3</w:t>
            </w:r>
            <w:r>
              <w:rPr>
                <w:rFonts w:asciiTheme="minorHAnsi" w:eastAsiaTheme="minorEastAsia" w:hAnsiTheme="minorHAnsi"/>
                <w:lang w:eastAsia="en-AU"/>
              </w:rPr>
              <w:tab/>
            </w:r>
            <w:r w:rsidRPr="008A484E">
              <w:rPr>
                <w:rStyle w:val="Hyperlink"/>
              </w:rPr>
              <w:t>Alternative approaches</w:t>
            </w:r>
            <w:r>
              <w:rPr>
                <w:webHidden/>
              </w:rPr>
              <w:tab/>
            </w:r>
            <w:r>
              <w:rPr>
                <w:webHidden/>
              </w:rPr>
              <w:fldChar w:fldCharType="begin"/>
            </w:r>
            <w:r>
              <w:rPr>
                <w:webHidden/>
              </w:rPr>
              <w:instrText xml:space="preserve"> PAGEREF _Toc481061503 \h </w:instrText>
            </w:r>
            <w:r>
              <w:rPr>
                <w:webHidden/>
              </w:rPr>
            </w:r>
            <w:r>
              <w:rPr>
                <w:webHidden/>
              </w:rPr>
              <w:fldChar w:fldCharType="separate"/>
            </w:r>
            <w:r>
              <w:rPr>
                <w:webHidden/>
              </w:rPr>
              <w:t>4-157</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504" w:history="1">
            <w:r w:rsidRPr="008A484E">
              <w:rPr>
                <w:rStyle w:val="Hyperlink"/>
              </w:rPr>
              <w:t>A.10.4</w:t>
            </w:r>
            <w:r>
              <w:rPr>
                <w:rFonts w:asciiTheme="minorHAnsi" w:eastAsiaTheme="minorEastAsia" w:hAnsiTheme="minorHAnsi"/>
                <w:lang w:eastAsia="en-AU"/>
              </w:rPr>
              <w:tab/>
            </w:r>
            <w:r w:rsidRPr="008A484E">
              <w:rPr>
                <w:rStyle w:val="Hyperlink"/>
              </w:rPr>
              <w:t>Hathaway (2014)</w:t>
            </w:r>
            <w:r>
              <w:rPr>
                <w:webHidden/>
              </w:rPr>
              <w:tab/>
            </w:r>
            <w:r>
              <w:rPr>
                <w:webHidden/>
              </w:rPr>
              <w:fldChar w:fldCharType="begin"/>
            </w:r>
            <w:r>
              <w:rPr>
                <w:webHidden/>
              </w:rPr>
              <w:instrText xml:space="preserve"> PAGEREF _Toc481061504 \h </w:instrText>
            </w:r>
            <w:r>
              <w:rPr>
                <w:webHidden/>
              </w:rPr>
            </w:r>
            <w:r>
              <w:rPr>
                <w:webHidden/>
              </w:rPr>
              <w:fldChar w:fldCharType="separate"/>
            </w:r>
            <w:r>
              <w:rPr>
                <w:webHidden/>
              </w:rPr>
              <w:t>4-158</w:t>
            </w:r>
            <w:r>
              <w:rPr>
                <w:webHidden/>
              </w:rPr>
              <w:fldChar w:fldCharType="end"/>
            </w:r>
          </w:hyperlink>
        </w:p>
        <w:p w:rsidR="005E4605" w:rsidRDefault="005E4605" w:rsidP="005E4605">
          <w:pPr>
            <w:pStyle w:val="TOC2"/>
            <w:rPr>
              <w:rFonts w:asciiTheme="minorHAnsi" w:eastAsiaTheme="minorEastAsia" w:hAnsiTheme="minorHAnsi"/>
              <w:lang w:eastAsia="en-AU"/>
            </w:rPr>
          </w:pPr>
          <w:hyperlink w:anchor="_Toc481061505" w:history="1">
            <w:r w:rsidRPr="008A484E">
              <w:rPr>
                <w:rStyle w:val="Hyperlink"/>
              </w:rPr>
              <w:t>A.11</w:t>
            </w:r>
            <w:r>
              <w:rPr>
                <w:rFonts w:asciiTheme="minorHAnsi" w:eastAsiaTheme="minorEastAsia" w:hAnsiTheme="minorHAnsi"/>
                <w:lang w:eastAsia="en-AU"/>
              </w:rPr>
              <w:tab/>
            </w:r>
            <w:r w:rsidRPr="008A484E">
              <w:rPr>
                <w:rStyle w:val="Hyperlink"/>
              </w:rPr>
              <w:t>Application of rate of return criteria to evidence on the utilisation rate</w:t>
            </w:r>
            <w:r>
              <w:rPr>
                <w:webHidden/>
              </w:rPr>
              <w:tab/>
            </w:r>
            <w:r>
              <w:rPr>
                <w:webHidden/>
              </w:rPr>
              <w:fldChar w:fldCharType="begin"/>
            </w:r>
            <w:r>
              <w:rPr>
                <w:webHidden/>
              </w:rPr>
              <w:instrText xml:space="preserve"> PAGEREF _Toc481061505 \h </w:instrText>
            </w:r>
            <w:r>
              <w:rPr>
                <w:webHidden/>
              </w:rPr>
            </w:r>
            <w:r>
              <w:rPr>
                <w:webHidden/>
              </w:rPr>
              <w:fldChar w:fldCharType="separate"/>
            </w:r>
            <w:r>
              <w:rPr>
                <w:webHidden/>
              </w:rPr>
              <w:t>4-159</w:t>
            </w:r>
            <w:r>
              <w:rPr>
                <w:webHidden/>
              </w:rPr>
              <w:fldChar w:fldCharType="end"/>
            </w:r>
          </w:hyperlink>
        </w:p>
        <w:p w:rsidR="005E4605" w:rsidRDefault="005E4605" w:rsidP="005E4605">
          <w:pPr>
            <w:pStyle w:val="TOC2"/>
            <w:rPr>
              <w:rFonts w:asciiTheme="minorHAnsi" w:eastAsiaTheme="minorEastAsia" w:hAnsiTheme="minorHAnsi"/>
              <w:lang w:eastAsia="en-AU"/>
            </w:rPr>
          </w:pPr>
          <w:hyperlink w:anchor="_Toc481061506" w:history="1">
            <w:r w:rsidRPr="008A484E">
              <w:rPr>
                <w:rStyle w:val="Hyperlink"/>
              </w:rPr>
              <w:t>A.12</w:t>
            </w:r>
            <w:r>
              <w:rPr>
                <w:rStyle w:val="Hyperlink"/>
              </w:rPr>
              <w:t xml:space="preserve"> </w:t>
            </w:r>
            <w:r w:rsidRPr="008A484E">
              <w:rPr>
                <w:rStyle w:val="Hyperlink"/>
              </w:rPr>
              <w:t>The equity ownership approach</w:t>
            </w:r>
            <w:r>
              <w:rPr>
                <w:webHidden/>
              </w:rPr>
              <w:tab/>
            </w:r>
            <w:r>
              <w:rPr>
                <w:webHidden/>
              </w:rPr>
              <w:fldChar w:fldCharType="begin"/>
            </w:r>
            <w:r>
              <w:rPr>
                <w:webHidden/>
              </w:rPr>
              <w:instrText xml:space="preserve"> PAGEREF _Toc481061506 \h </w:instrText>
            </w:r>
            <w:r>
              <w:rPr>
                <w:webHidden/>
              </w:rPr>
            </w:r>
            <w:r>
              <w:rPr>
                <w:webHidden/>
              </w:rPr>
              <w:fldChar w:fldCharType="separate"/>
            </w:r>
            <w:r>
              <w:rPr>
                <w:webHidden/>
              </w:rPr>
              <w:t>4-162</w:t>
            </w:r>
            <w:r>
              <w:rPr>
                <w:webHidden/>
              </w:rPr>
              <w:fldChar w:fldCharType="end"/>
            </w:r>
          </w:hyperlink>
        </w:p>
        <w:p w:rsidR="005E4605" w:rsidRDefault="005E4605" w:rsidP="005E4605">
          <w:pPr>
            <w:pStyle w:val="TOC2"/>
            <w:rPr>
              <w:rFonts w:asciiTheme="minorHAnsi" w:eastAsiaTheme="minorEastAsia" w:hAnsiTheme="minorHAnsi"/>
              <w:lang w:eastAsia="en-AU"/>
            </w:rPr>
          </w:pPr>
          <w:hyperlink w:anchor="_Toc481061507" w:history="1">
            <w:r w:rsidRPr="008A484E">
              <w:rPr>
                <w:rStyle w:val="Hyperlink"/>
              </w:rPr>
              <w:t>A.13</w:t>
            </w:r>
            <w:r>
              <w:rPr>
                <w:rStyle w:val="Hyperlink"/>
              </w:rPr>
              <w:t xml:space="preserve"> </w:t>
            </w:r>
            <w:r w:rsidRPr="008A484E">
              <w:rPr>
                <w:rStyle w:val="Hyperlink"/>
              </w:rPr>
              <w:t>Tax statistics</w:t>
            </w:r>
            <w:r>
              <w:rPr>
                <w:webHidden/>
              </w:rPr>
              <w:tab/>
            </w:r>
            <w:r>
              <w:rPr>
                <w:webHidden/>
              </w:rPr>
              <w:fldChar w:fldCharType="begin"/>
            </w:r>
            <w:r>
              <w:rPr>
                <w:webHidden/>
              </w:rPr>
              <w:instrText xml:space="preserve"> PAGEREF _Toc481061507 \h </w:instrText>
            </w:r>
            <w:r>
              <w:rPr>
                <w:webHidden/>
              </w:rPr>
            </w:r>
            <w:r>
              <w:rPr>
                <w:webHidden/>
              </w:rPr>
              <w:fldChar w:fldCharType="separate"/>
            </w:r>
            <w:r>
              <w:rPr>
                <w:webHidden/>
              </w:rPr>
              <w:t>4-168</w:t>
            </w:r>
            <w:r>
              <w:rPr>
                <w:webHidden/>
              </w:rPr>
              <w:fldChar w:fldCharType="end"/>
            </w:r>
          </w:hyperlink>
        </w:p>
        <w:p w:rsidR="005E4605" w:rsidRDefault="005E4605" w:rsidP="005E4605">
          <w:pPr>
            <w:pStyle w:val="TOC2"/>
            <w:rPr>
              <w:rFonts w:asciiTheme="minorHAnsi" w:eastAsiaTheme="minorEastAsia" w:hAnsiTheme="minorHAnsi"/>
              <w:lang w:eastAsia="en-AU"/>
            </w:rPr>
          </w:pPr>
          <w:hyperlink w:anchor="_Toc481061508" w:history="1">
            <w:r w:rsidRPr="008A484E">
              <w:rPr>
                <w:rStyle w:val="Hyperlink"/>
              </w:rPr>
              <w:t>A.14</w:t>
            </w:r>
            <w:r>
              <w:rPr>
                <w:rFonts w:asciiTheme="minorHAnsi" w:eastAsiaTheme="minorEastAsia" w:hAnsiTheme="minorHAnsi"/>
                <w:lang w:eastAsia="en-AU"/>
              </w:rPr>
              <w:tab/>
            </w:r>
            <w:r w:rsidRPr="008A484E">
              <w:rPr>
                <w:rStyle w:val="Hyperlink"/>
              </w:rPr>
              <w:t>Difference between equity ownership approach and tax statistics</w:t>
            </w:r>
            <w:r>
              <w:rPr>
                <w:webHidden/>
              </w:rPr>
              <w:tab/>
            </w:r>
            <w:r>
              <w:rPr>
                <w:webHidden/>
              </w:rPr>
              <w:fldChar w:fldCharType="begin"/>
            </w:r>
            <w:r>
              <w:rPr>
                <w:webHidden/>
              </w:rPr>
              <w:instrText xml:space="preserve"> PAGEREF _Toc481061508 \h </w:instrText>
            </w:r>
            <w:r>
              <w:rPr>
                <w:webHidden/>
              </w:rPr>
            </w:r>
            <w:r>
              <w:rPr>
                <w:webHidden/>
              </w:rPr>
              <w:fldChar w:fldCharType="separate"/>
            </w:r>
            <w:r>
              <w:rPr>
                <w:webHidden/>
              </w:rPr>
              <w:t>4-173</w:t>
            </w:r>
            <w:r>
              <w:rPr>
                <w:webHidden/>
              </w:rPr>
              <w:fldChar w:fldCharType="end"/>
            </w:r>
          </w:hyperlink>
        </w:p>
        <w:p w:rsidR="005E4605" w:rsidRDefault="005E4605" w:rsidP="005E4605">
          <w:pPr>
            <w:pStyle w:val="TOC2"/>
            <w:rPr>
              <w:rFonts w:asciiTheme="minorHAnsi" w:eastAsiaTheme="minorEastAsia" w:hAnsiTheme="minorHAnsi"/>
              <w:lang w:eastAsia="en-AU"/>
            </w:rPr>
          </w:pPr>
          <w:hyperlink w:anchor="_Toc481061509" w:history="1">
            <w:r w:rsidRPr="008A484E">
              <w:rPr>
                <w:rStyle w:val="Hyperlink"/>
              </w:rPr>
              <w:t>A.15</w:t>
            </w:r>
            <w:r w:rsidR="005E2A05">
              <w:rPr>
                <w:rStyle w:val="Hyperlink"/>
              </w:rPr>
              <w:t xml:space="preserve"> </w:t>
            </w:r>
            <w:r w:rsidRPr="008A484E">
              <w:rPr>
                <w:rStyle w:val="Hyperlink"/>
              </w:rPr>
              <w:t>Implied market value studies</w:t>
            </w:r>
            <w:r>
              <w:rPr>
                <w:webHidden/>
              </w:rPr>
              <w:tab/>
            </w:r>
            <w:r>
              <w:rPr>
                <w:webHidden/>
              </w:rPr>
              <w:fldChar w:fldCharType="begin"/>
            </w:r>
            <w:r>
              <w:rPr>
                <w:webHidden/>
              </w:rPr>
              <w:instrText xml:space="preserve"> PAGEREF _Toc481061509 \h </w:instrText>
            </w:r>
            <w:r>
              <w:rPr>
                <w:webHidden/>
              </w:rPr>
            </w:r>
            <w:r>
              <w:rPr>
                <w:webHidden/>
              </w:rPr>
              <w:fldChar w:fldCharType="separate"/>
            </w:r>
            <w:r>
              <w:rPr>
                <w:webHidden/>
              </w:rPr>
              <w:t>4-175</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510" w:history="1">
            <w:r w:rsidRPr="008A484E">
              <w:rPr>
                <w:rStyle w:val="Hyperlink"/>
              </w:rPr>
              <w:t>A.15.1</w:t>
            </w:r>
            <w:r>
              <w:rPr>
                <w:rFonts w:asciiTheme="minorHAnsi" w:eastAsiaTheme="minorEastAsia" w:hAnsiTheme="minorHAnsi"/>
                <w:lang w:eastAsia="en-AU"/>
              </w:rPr>
              <w:tab/>
            </w:r>
            <w:r w:rsidRPr="008A484E">
              <w:rPr>
                <w:rStyle w:val="Hyperlink"/>
              </w:rPr>
              <w:t>Types of implied market value studies</w:t>
            </w:r>
            <w:r>
              <w:rPr>
                <w:webHidden/>
              </w:rPr>
              <w:tab/>
            </w:r>
            <w:r>
              <w:rPr>
                <w:webHidden/>
              </w:rPr>
              <w:fldChar w:fldCharType="begin"/>
            </w:r>
            <w:r>
              <w:rPr>
                <w:webHidden/>
              </w:rPr>
              <w:instrText xml:space="preserve"> PAGEREF _Toc481061510 \h </w:instrText>
            </w:r>
            <w:r>
              <w:rPr>
                <w:webHidden/>
              </w:rPr>
            </w:r>
            <w:r>
              <w:rPr>
                <w:webHidden/>
              </w:rPr>
              <w:fldChar w:fldCharType="separate"/>
            </w:r>
            <w:r>
              <w:rPr>
                <w:webHidden/>
              </w:rPr>
              <w:t>4-175</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513" w:history="1">
            <w:r w:rsidRPr="008A484E">
              <w:rPr>
                <w:rStyle w:val="Hyperlink"/>
              </w:rPr>
              <w:t>A.15.2</w:t>
            </w:r>
            <w:r>
              <w:rPr>
                <w:rFonts w:asciiTheme="minorHAnsi" w:eastAsiaTheme="minorEastAsia" w:hAnsiTheme="minorHAnsi"/>
                <w:lang w:eastAsia="en-AU"/>
              </w:rPr>
              <w:tab/>
            </w:r>
            <w:r w:rsidRPr="008A484E">
              <w:rPr>
                <w:rStyle w:val="Hyperlink"/>
              </w:rPr>
              <w:t>Estimates from implied market value studies</w:t>
            </w:r>
            <w:r>
              <w:rPr>
                <w:webHidden/>
              </w:rPr>
              <w:tab/>
            </w:r>
            <w:r>
              <w:rPr>
                <w:webHidden/>
              </w:rPr>
              <w:fldChar w:fldCharType="begin"/>
            </w:r>
            <w:r>
              <w:rPr>
                <w:webHidden/>
              </w:rPr>
              <w:instrText xml:space="preserve"> PAGEREF _Toc481061513 \h </w:instrText>
            </w:r>
            <w:r>
              <w:rPr>
                <w:webHidden/>
              </w:rPr>
            </w:r>
            <w:r>
              <w:rPr>
                <w:webHidden/>
              </w:rPr>
              <w:fldChar w:fldCharType="separate"/>
            </w:r>
            <w:r>
              <w:rPr>
                <w:webHidden/>
              </w:rPr>
              <w:t>4-179</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514" w:history="1">
            <w:r w:rsidRPr="008A484E">
              <w:rPr>
                <w:rStyle w:val="Hyperlink"/>
              </w:rPr>
              <w:t>A.15.3</w:t>
            </w:r>
            <w:r>
              <w:rPr>
                <w:rFonts w:asciiTheme="minorHAnsi" w:eastAsiaTheme="minorEastAsia" w:hAnsiTheme="minorHAnsi"/>
                <w:lang w:eastAsia="en-AU"/>
              </w:rPr>
              <w:tab/>
            </w:r>
            <w:r w:rsidRPr="008A484E">
              <w:rPr>
                <w:rStyle w:val="Hyperlink"/>
              </w:rPr>
              <w:t>Comparison with other market-based estimation approaches</w:t>
            </w:r>
            <w:r>
              <w:rPr>
                <w:webHidden/>
              </w:rPr>
              <w:tab/>
            </w:r>
            <w:r>
              <w:rPr>
                <w:webHidden/>
              </w:rPr>
              <w:fldChar w:fldCharType="begin"/>
            </w:r>
            <w:r>
              <w:rPr>
                <w:webHidden/>
              </w:rPr>
              <w:instrText xml:space="preserve"> PAGEREF _Toc481061514 \h </w:instrText>
            </w:r>
            <w:r>
              <w:rPr>
                <w:webHidden/>
              </w:rPr>
            </w:r>
            <w:r>
              <w:rPr>
                <w:webHidden/>
              </w:rPr>
              <w:fldChar w:fldCharType="separate"/>
            </w:r>
            <w:r>
              <w:rPr>
                <w:webHidden/>
              </w:rPr>
              <w:t>4-188</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515" w:history="1">
            <w:r w:rsidRPr="008A484E">
              <w:rPr>
                <w:rStyle w:val="Hyperlink"/>
              </w:rPr>
              <w:t>A.15.4</w:t>
            </w:r>
            <w:r>
              <w:rPr>
                <w:rFonts w:asciiTheme="minorHAnsi" w:eastAsiaTheme="minorEastAsia" w:hAnsiTheme="minorHAnsi"/>
                <w:lang w:eastAsia="en-AU"/>
              </w:rPr>
              <w:tab/>
            </w:r>
            <w:r w:rsidRPr="008A484E">
              <w:rPr>
                <w:rStyle w:val="Hyperlink"/>
              </w:rPr>
              <w:t>Adjustment of estimates from implied market value studies</w:t>
            </w:r>
            <w:r>
              <w:rPr>
                <w:webHidden/>
              </w:rPr>
              <w:tab/>
            </w:r>
            <w:r>
              <w:rPr>
                <w:webHidden/>
              </w:rPr>
              <w:fldChar w:fldCharType="begin"/>
            </w:r>
            <w:r>
              <w:rPr>
                <w:webHidden/>
              </w:rPr>
              <w:instrText xml:space="preserve"> PAGEREF _Toc481061515 \h </w:instrText>
            </w:r>
            <w:r>
              <w:rPr>
                <w:webHidden/>
              </w:rPr>
            </w:r>
            <w:r>
              <w:rPr>
                <w:webHidden/>
              </w:rPr>
              <w:fldChar w:fldCharType="separate"/>
            </w:r>
            <w:r>
              <w:rPr>
                <w:webHidden/>
              </w:rPr>
              <w:t>4-198</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516" w:history="1">
            <w:r w:rsidRPr="008A484E">
              <w:rPr>
                <w:rStyle w:val="Hyperlink"/>
              </w:rPr>
              <w:t>A.15.5</w:t>
            </w:r>
            <w:r>
              <w:rPr>
                <w:rFonts w:asciiTheme="minorHAnsi" w:eastAsiaTheme="minorEastAsia" w:hAnsiTheme="minorHAnsi"/>
                <w:lang w:eastAsia="en-AU"/>
              </w:rPr>
              <w:tab/>
            </w:r>
            <w:r w:rsidRPr="008A484E">
              <w:rPr>
                <w:rStyle w:val="Hyperlink"/>
              </w:rPr>
              <w:t>Limitations of SFG's dividend drop off study</w:t>
            </w:r>
            <w:r>
              <w:rPr>
                <w:webHidden/>
              </w:rPr>
              <w:tab/>
            </w:r>
            <w:r>
              <w:rPr>
                <w:webHidden/>
              </w:rPr>
              <w:fldChar w:fldCharType="begin"/>
            </w:r>
            <w:r>
              <w:rPr>
                <w:webHidden/>
              </w:rPr>
              <w:instrText xml:space="preserve"> PAGEREF _Toc481061516 \h </w:instrText>
            </w:r>
            <w:r>
              <w:rPr>
                <w:webHidden/>
              </w:rPr>
            </w:r>
            <w:r>
              <w:rPr>
                <w:webHidden/>
              </w:rPr>
              <w:fldChar w:fldCharType="separate"/>
            </w:r>
            <w:r>
              <w:rPr>
                <w:webHidden/>
              </w:rPr>
              <w:t>4-200</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521" w:history="1">
            <w:r w:rsidRPr="008A484E">
              <w:rPr>
                <w:rStyle w:val="Hyperlink"/>
              </w:rPr>
              <w:t>A.15.6</w:t>
            </w:r>
            <w:r>
              <w:rPr>
                <w:rFonts w:asciiTheme="minorHAnsi" w:eastAsiaTheme="minorEastAsia" w:hAnsiTheme="minorHAnsi"/>
                <w:lang w:eastAsia="en-AU"/>
              </w:rPr>
              <w:tab/>
            </w:r>
            <w:r w:rsidRPr="008A484E">
              <w:rPr>
                <w:rStyle w:val="Hyperlink"/>
              </w:rPr>
              <w:t>The views of academics and other regulators on dividend drop off studies</w:t>
            </w:r>
            <w:r>
              <w:rPr>
                <w:webHidden/>
              </w:rPr>
              <w:tab/>
            </w:r>
            <w:r>
              <w:rPr>
                <w:webHidden/>
              </w:rPr>
              <w:fldChar w:fldCharType="begin"/>
            </w:r>
            <w:r>
              <w:rPr>
                <w:webHidden/>
              </w:rPr>
              <w:instrText xml:space="preserve"> PAGEREF _Toc481061521 \h </w:instrText>
            </w:r>
            <w:r>
              <w:rPr>
                <w:webHidden/>
              </w:rPr>
            </w:r>
            <w:r>
              <w:rPr>
                <w:webHidden/>
              </w:rPr>
              <w:fldChar w:fldCharType="separate"/>
            </w:r>
            <w:r>
              <w:rPr>
                <w:webHidden/>
              </w:rPr>
              <w:t>4-205</w:t>
            </w:r>
            <w:r>
              <w:rPr>
                <w:webHidden/>
              </w:rPr>
              <w:fldChar w:fldCharType="end"/>
            </w:r>
          </w:hyperlink>
        </w:p>
        <w:p w:rsidR="005E4605" w:rsidRDefault="005E4605" w:rsidP="005E4605">
          <w:pPr>
            <w:pStyle w:val="TOC2"/>
            <w:rPr>
              <w:rFonts w:asciiTheme="minorHAnsi" w:eastAsiaTheme="minorEastAsia" w:hAnsiTheme="minorHAnsi"/>
              <w:lang w:eastAsia="en-AU"/>
            </w:rPr>
          </w:pPr>
          <w:hyperlink w:anchor="_Toc481061522" w:history="1">
            <w:r w:rsidRPr="008A484E">
              <w:rPr>
                <w:rStyle w:val="Hyperlink"/>
              </w:rPr>
              <w:t>A.16</w:t>
            </w:r>
            <w:r w:rsidR="005E2A05">
              <w:rPr>
                <w:rStyle w:val="Hyperlink"/>
              </w:rPr>
              <w:t xml:space="preserve"> </w:t>
            </w:r>
            <w:r w:rsidRPr="008A484E">
              <w:rPr>
                <w:rStyle w:val="Hyperlink"/>
              </w:rPr>
              <w:t>Revised consideration of the conceptual goalposts approach</w:t>
            </w:r>
            <w:r>
              <w:rPr>
                <w:webHidden/>
              </w:rPr>
              <w:tab/>
            </w:r>
            <w:r>
              <w:rPr>
                <w:webHidden/>
              </w:rPr>
              <w:fldChar w:fldCharType="begin"/>
            </w:r>
            <w:r>
              <w:rPr>
                <w:webHidden/>
              </w:rPr>
              <w:instrText xml:space="preserve"> PAGEREF _Toc481061522 \h </w:instrText>
            </w:r>
            <w:r>
              <w:rPr>
                <w:webHidden/>
              </w:rPr>
            </w:r>
            <w:r>
              <w:rPr>
                <w:webHidden/>
              </w:rPr>
              <w:fldChar w:fldCharType="separate"/>
            </w:r>
            <w:r>
              <w:rPr>
                <w:webHidden/>
              </w:rPr>
              <w:t>4-210</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523" w:history="1">
            <w:r w:rsidRPr="008A484E">
              <w:rPr>
                <w:rStyle w:val="Hyperlink"/>
              </w:rPr>
              <w:t>A.16.1</w:t>
            </w:r>
            <w:r>
              <w:rPr>
                <w:rFonts w:asciiTheme="minorHAnsi" w:eastAsiaTheme="minorEastAsia" w:hAnsiTheme="minorHAnsi"/>
                <w:lang w:eastAsia="en-AU"/>
              </w:rPr>
              <w:tab/>
            </w:r>
            <w:r w:rsidRPr="008A484E">
              <w:rPr>
                <w:rStyle w:val="Hyperlink"/>
              </w:rPr>
              <w:t>Description of the approach</w:t>
            </w:r>
            <w:r>
              <w:rPr>
                <w:webHidden/>
              </w:rPr>
              <w:tab/>
            </w:r>
            <w:r>
              <w:rPr>
                <w:webHidden/>
              </w:rPr>
              <w:fldChar w:fldCharType="begin"/>
            </w:r>
            <w:r>
              <w:rPr>
                <w:webHidden/>
              </w:rPr>
              <w:instrText xml:space="preserve"> PAGEREF _Toc481061523 \h </w:instrText>
            </w:r>
            <w:r>
              <w:rPr>
                <w:webHidden/>
              </w:rPr>
            </w:r>
            <w:r>
              <w:rPr>
                <w:webHidden/>
              </w:rPr>
              <w:fldChar w:fldCharType="separate"/>
            </w:r>
            <w:r>
              <w:rPr>
                <w:webHidden/>
              </w:rPr>
              <w:t>4-210</w:t>
            </w:r>
            <w:r>
              <w:rPr>
                <w:webHidden/>
              </w:rPr>
              <w:fldChar w:fldCharType="end"/>
            </w:r>
          </w:hyperlink>
        </w:p>
        <w:p w:rsidR="005E4605" w:rsidRDefault="005E4605" w:rsidP="005E4605">
          <w:pPr>
            <w:pStyle w:val="TOC3"/>
            <w:rPr>
              <w:rFonts w:asciiTheme="minorHAnsi" w:eastAsiaTheme="minorEastAsia" w:hAnsiTheme="minorHAnsi"/>
              <w:lang w:eastAsia="en-AU"/>
            </w:rPr>
          </w:pPr>
          <w:hyperlink w:anchor="_Toc481061524" w:history="1">
            <w:r w:rsidRPr="008A484E">
              <w:rPr>
                <w:rStyle w:val="Hyperlink"/>
              </w:rPr>
              <w:t>A.16.2</w:t>
            </w:r>
            <w:r>
              <w:rPr>
                <w:rFonts w:asciiTheme="minorHAnsi" w:eastAsiaTheme="minorEastAsia" w:hAnsiTheme="minorHAnsi"/>
                <w:lang w:eastAsia="en-AU"/>
              </w:rPr>
              <w:tab/>
            </w:r>
            <w:r w:rsidRPr="008A484E">
              <w:rPr>
                <w:rStyle w:val="Hyperlink"/>
              </w:rPr>
              <w:t>Advice received since the Guideline</w:t>
            </w:r>
            <w:r>
              <w:rPr>
                <w:webHidden/>
              </w:rPr>
              <w:tab/>
            </w:r>
            <w:r>
              <w:rPr>
                <w:webHidden/>
              </w:rPr>
              <w:fldChar w:fldCharType="begin"/>
            </w:r>
            <w:r>
              <w:rPr>
                <w:webHidden/>
              </w:rPr>
              <w:instrText xml:space="preserve"> PAGEREF _Toc481061524 \h </w:instrText>
            </w:r>
            <w:r>
              <w:rPr>
                <w:webHidden/>
              </w:rPr>
            </w:r>
            <w:r>
              <w:rPr>
                <w:webHidden/>
              </w:rPr>
              <w:fldChar w:fldCharType="separate"/>
            </w:r>
            <w:r>
              <w:rPr>
                <w:webHidden/>
              </w:rPr>
              <w:t>4-213</w:t>
            </w:r>
            <w:r>
              <w:rPr>
                <w:webHidden/>
              </w:rPr>
              <w:fldChar w:fldCharType="end"/>
            </w:r>
          </w:hyperlink>
        </w:p>
        <w:p w:rsidR="00021F98" w:rsidRDefault="00021F98">
          <w:pPr>
            <w:spacing w:line="240" w:lineRule="auto"/>
          </w:pPr>
          <w:r>
            <w:fldChar w:fldCharType="end"/>
          </w:r>
        </w:p>
      </w:sdtContent>
    </w:sdt>
    <w:p w:rsidR="00DE563D" w:rsidRDefault="00C84560">
      <w:pPr>
        <w:spacing w:line="240" w:lineRule="auto"/>
      </w:pPr>
      <w:r>
        <w:t xml:space="preserve"> </w:t>
      </w:r>
      <w:bookmarkStart w:id="6" w:name="_GoBack"/>
      <w:bookmarkEnd w:id="6"/>
    </w:p>
    <w:p w:rsidR="00DE563D" w:rsidRDefault="00DE563D" w:rsidP="00C52695">
      <w:pPr>
        <w:pStyle w:val="UnnumberedHeading"/>
        <w:numPr>
          <w:ilvl w:val="0"/>
          <w:numId w:val="23"/>
        </w:numPr>
      </w:pPr>
      <w:bookmarkStart w:id="7" w:name="_Toc404700925"/>
      <w:bookmarkStart w:id="8" w:name="_Toc481061433"/>
      <w:r>
        <w:lastRenderedPageBreak/>
        <w:t>Shortened forms</w:t>
      </w:r>
      <w:bookmarkEnd w:id="7"/>
      <w:bookmarkEnd w:id="8"/>
    </w:p>
    <w:p w:rsidR="00DE563D" w:rsidRDefault="00DE563D" w:rsidP="00415F31"/>
    <w:tbl>
      <w:tblPr>
        <w:tblStyle w:val="AERtable-numbers"/>
        <w:tblW w:w="0" w:type="auto"/>
        <w:tblLook w:val="04A0" w:firstRow="1" w:lastRow="0" w:firstColumn="1" w:lastColumn="0" w:noHBand="0" w:noVBand="1"/>
      </w:tblPr>
      <w:tblGrid>
        <w:gridCol w:w="4621"/>
        <w:gridCol w:w="4621"/>
      </w:tblGrid>
      <w:tr w:rsidR="00415F31" w:rsidTr="00BD5D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Shortened form</w:t>
            </w:r>
          </w:p>
        </w:tc>
        <w:tc>
          <w:tcPr>
            <w:tcW w:w="4621" w:type="dxa"/>
          </w:tcPr>
          <w:p w:rsidR="00415F31" w:rsidRDefault="00415F31" w:rsidP="00C52695">
            <w:pPr>
              <w:numPr>
                <w:ilvl w:val="0"/>
                <w:numId w:val="24"/>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AARR</w:t>
            </w:r>
          </w:p>
        </w:tc>
        <w:tc>
          <w:tcPr>
            <w:tcW w:w="4621" w:type="dxa"/>
          </w:tcPr>
          <w:p w:rsidR="00415F31" w:rsidRDefault="00415F31" w:rsidP="00C52695">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AEMC</w:t>
            </w:r>
          </w:p>
        </w:tc>
        <w:tc>
          <w:tcPr>
            <w:tcW w:w="4621" w:type="dxa"/>
          </w:tcPr>
          <w:p w:rsidR="00415F31" w:rsidRDefault="00415F31" w:rsidP="00C52695">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AEMO</w:t>
            </w:r>
          </w:p>
        </w:tc>
        <w:tc>
          <w:tcPr>
            <w:tcW w:w="4621" w:type="dxa"/>
          </w:tcPr>
          <w:p w:rsidR="00415F31" w:rsidRDefault="00415F31" w:rsidP="00C52695">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AER</w:t>
            </w:r>
          </w:p>
        </w:tc>
        <w:tc>
          <w:tcPr>
            <w:tcW w:w="4621" w:type="dxa"/>
          </w:tcPr>
          <w:p w:rsidR="00415F31" w:rsidRDefault="00415F31" w:rsidP="00C52695">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ASRR</w:t>
            </w:r>
          </w:p>
        </w:tc>
        <w:tc>
          <w:tcPr>
            <w:tcW w:w="4621" w:type="dxa"/>
          </w:tcPr>
          <w:p w:rsidR="00415F31" w:rsidRDefault="009D3906" w:rsidP="00C52695">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augex</w:t>
            </w:r>
          </w:p>
        </w:tc>
        <w:tc>
          <w:tcPr>
            <w:tcW w:w="4621" w:type="dxa"/>
          </w:tcPr>
          <w:p w:rsidR="00415F31" w:rsidRDefault="00415F31" w:rsidP="00C52695">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capex</w:t>
            </w:r>
          </w:p>
        </w:tc>
        <w:tc>
          <w:tcPr>
            <w:tcW w:w="4621" w:type="dxa"/>
          </w:tcPr>
          <w:p w:rsidR="00415F31" w:rsidRDefault="00415F31" w:rsidP="00C52695">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CCP</w:t>
            </w:r>
          </w:p>
        </w:tc>
        <w:tc>
          <w:tcPr>
            <w:tcW w:w="4621" w:type="dxa"/>
          </w:tcPr>
          <w:p w:rsidR="00415F31" w:rsidRDefault="00415F31" w:rsidP="00C52695">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CESS</w:t>
            </w:r>
          </w:p>
        </w:tc>
        <w:tc>
          <w:tcPr>
            <w:tcW w:w="4621" w:type="dxa"/>
          </w:tcPr>
          <w:p w:rsidR="00415F31" w:rsidRDefault="00415F31" w:rsidP="00C52695">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CPI</w:t>
            </w:r>
          </w:p>
        </w:tc>
        <w:tc>
          <w:tcPr>
            <w:tcW w:w="4621" w:type="dxa"/>
          </w:tcPr>
          <w:p w:rsidR="00415F31" w:rsidRDefault="00415F31" w:rsidP="00C52695">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DRP</w:t>
            </w:r>
          </w:p>
        </w:tc>
        <w:tc>
          <w:tcPr>
            <w:tcW w:w="4621" w:type="dxa"/>
          </w:tcPr>
          <w:p w:rsidR="00415F31" w:rsidRDefault="00415F31" w:rsidP="00C52695">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EBSS</w:t>
            </w:r>
          </w:p>
        </w:tc>
        <w:tc>
          <w:tcPr>
            <w:tcW w:w="4621" w:type="dxa"/>
          </w:tcPr>
          <w:p w:rsidR="00415F31" w:rsidRDefault="00415F31" w:rsidP="00C52695">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ERP</w:t>
            </w:r>
          </w:p>
        </w:tc>
        <w:tc>
          <w:tcPr>
            <w:tcW w:w="4621" w:type="dxa"/>
          </w:tcPr>
          <w:p w:rsidR="00415F31" w:rsidRDefault="00415F31" w:rsidP="00C52695">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MAR</w:t>
            </w:r>
          </w:p>
        </w:tc>
        <w:tc>
          <w:tcPr>
            <w:tcW w:w="4621" w:type="dxa"/>
          </w:tcPr>
          <w:p w:rsidR="00415F31" w:rsidRDefault="00415F31" w:rsidP="00C52695">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MRP</w:t>
            </w:r>
          </w:p>
        </w:tc>
        <w:tc>
          <w:tcPr>
            <w:tcW w:w="4621" w:type="dxa"/>
          </w:tcPr>
          <w:p w:rsidR="00415F31" w:rsidRDefault="00415F31" w:rsidP="00C52695">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NEL</w:t>
            </w:r>
          </w:p>
        </w:tc>
        <w:tc>
          <w:tcPr>
            <w:tcW w:w="4621" w:type="dxa"/>
          </w:tcPr>
          <w:p w:rsidR="00415F31" w:rsidRDefault="00415F31" w:rsidP="00C52695">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NEM</w:t>
            </w:r>
          </w:p>
        </w:tc>
        <w:tc>
          <w:tcPr>
            <w:tcW w:w="4621" w:type="dxa"/>
          </w:tcPr>
          <w:p w:rsidR="00415F31" w:rsidRDefault="00415F31" w:rsidP="00C52695">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NEO</w:t>
            </w:r>
          </w:p>
        </w:tc>
        <w:tc>
          <w:tcPr>
            <w:tcW w:w="4621" w:type="dxa"/>
          </w:tcPr>
          <w:p w:rsidR="00415F31" w:rsidRDefault="00415F31" w:rsidP="00C52695">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NER</w:t>
            </w:r>
          </w:p>
        </w:tc>
        <w:tc>
          <w:tcPr>
            <w:tcW w:w="4621" w:type="dxa"/>
          </w:tcPr>
          <w:p w:rsidR="00415F31" w:rsidRDefault="00415F31" w:rsidP="00C52695">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lastRenderedPageBreak/>
              <w:t>NSP</w:t>
            </w:r>
          </w:p>
        </w:tc>
        <w:tc>
          <w:tcPr>
            <w:tcW w:w="4621" w:type="dxa"/>
          </w:tcPr>
          <w:p w:rsidR="00415F31" w:rsidRDefault="00415F31" w:rsidP="00C52695">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NTSC</w:t>
            </w:r>
          </w:p>
        </w:tc>
        <w:tc>
          <w:tcPr>
            <w:tcW w:w="4621" w:type="dxa"/>
          </w:tcPr>
          <w:p w:rsidR="00415F31" w:rsidRDefault="00415F31" w:rsidP="00C52695">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opex</w:t>
            </w:r>
          </w:p>
        </w:tc>
        <w:tc>
          <w:tcPr>
            <w:tcW w:w="4621" w:type="dxa"/>
          </w:tcPr>
          <w:p w:rsidR="00415F31" w:rsidRDefault="00415F31" w:rsidP="00C52695">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PPI</w:t>
            </w:r>
          </w:p>
        </w:tc>
        <w:tc>
          <w:tcPr>
            <w:tcW w:w="4621" w:type="dxa"/>
          </w:tcPr>
          <w:p w:rsidR="00415F31" w:rsidRDefault="00415F31" w:rsidP="00C52695">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PTRM</w:t>
            </w:r>
          </w:p>
        </w:tc>
        <w:tc>
          <w:tcPr>
            <w:tcW w:w="4621" w:type="dxa"/>
          </w:tcPr>
          <w:p w:rsidR="00415F31" w:rsidRDefault="00415F31" w:rsidP="00C52695">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RAB</w:t>
            </w:r>
          </w:p>
        </w:tc>
        <w:tc>
          <w:tcPr>
            <w:tcW w:w="4621" w:type="dxa"/>
          </w:tcPr>
          <w:p w:rsidR="00415F31" w:rsidRDefault="00415F31" w:rsidP="00C52695">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RBA</w:t>
            </w:r>
          </w:p>
        </w:tc>
        <w:tc>
          <w:tcPr>
            <w:tcW w:w="4621" w:type="dxa"/>
          </w:tcPr>
          <w:p w:rsidR="00415F31" w:rsidRDefault="00415F31" w:rsidP="00C52695">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repex</w:t>
            </w:r>
          </w:p>
        </w:tc>
        <w:tc>
          <w:tcPr>
            <w:tcW w:w="4621" w:type="dxa"/>
          </w:tcPr>
          <w:p w:rsidR="00415F31" w:rsidRDefault="00415F31" w:rsidP="00C52695">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RFM</w:t>
            </w:r>
          </w:p>
        </w:tc>
        <w:tc>
          <w:tcPr>
            <w:tcW w:w="4621" w:type="dxa"/>
          </w:tcPr>
          <w:p w:rsidR="00415F31" w:rsidRDefault="00415F31" w:rsidP="00C52695">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RIN</w:t>
            </w:r>
          </w:p>
        </w:tc>
        <w:tc>
          <w:tcPr>
            <w:tcW w:w="4621" w:type="dxa"/>
          </w:tcPr>
          <w:p w:rsidR="00415F31" w:rsidRDefault="00415F31" w:rsidP="00C52695">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RPP</w:t>
            </w:r>
          </w:p>
        </w:tc>
        <w:tc>
          <w:tcPr>
            <w:tcW w:w="4621" w:type="dxa"/>
          </w:tcPr>
          <w:p w:rsidR="00415F31" w:rsidRDefault="00415F31" w:rsidP="00C52695">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SLCAPM</w:t>
            </w:r>
          </w:p>
        </w:tc>
        <w:tc>
          <w:tcPr>
            <w:tcW w:w="4621" w:type="dxa"/>
          </w:tcPr>
          <w:p w:rsidR="00415F31" w:rsidRDefault="00415F31" w:rsidP="00C52695">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STPIS</w:t>
            </w:r>
          </w:p>
        </w:tc>
        <w:tc>
          <w:tcPr>
            <w:tcW w:w="4621" w:type="dxa"/>
          </w:tcPr>
          <w:p w:rsidR="00415F31" w:rsidRDefault="00415F31" w:rsidP="00C52695">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TNSP</w:t>
            </w:r>
          </w:p>
        </w:tc>
        <w:tc>
          <w:tcPr>
            <w:tcW w:w="4621" w:type="dxa"/>
          </w:tcPr>
          <w:p w:rsidR="00415F31" w:rsidRDefault="00415F31" w:rsidP="00C52695">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TUoS</w:t>
            </w:r>
          </w:p>
        </w:tc>
        <w:tc>
          <w:tcPr>
            <w:tcW w:w="4621" w:type="dxa"/>
          </w:tcPr>
          <w:p w:rsidR="00415F31" w:rsidRDefault="00415F31" w:rsidP="00C52695">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C52695">
            <w:pPr>
              <w:numPr>
                <w:ilvl w:val="0"/>
                <w:numId w:val="24"/>
              </w:numPr>
              <w:spacing w:after="240" w:line="288" w:lineRule="auto"/>
              <w:jc w:val="both"/>
            </w:pPr>
            <w:r>
              <w:t>WACC</w:t>
            </w:r>
          </w:p>
        </w:tc>
        <w:tc>
          <w:tcPr>
            <w:tcW w:w="4621" w:type="dxa"/>
          </w:tcPr>
          <w:p w:rsidR="00415F31" w:rsidRDefault="00415F31" w:rsidP="00C52695">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C52695">
      <w:pPr>
        <w:numPr>
          <w:ilvl w:val="0"/>
          <w:numId w:val="24"/>
        </w:numPr>
      </w:pPr>
    </w:p>
    <w:p w:rsidR="00DE563D" w:rsidRDefault="00DE563D" w:rsidP="00DE563D"/>
    <w:p w:rsidR="00DE563D" w:rsidRDefault="00E14A44" w:rsidP="00E14A44">
      <w:pPr>
        <w:pStyle w:val="Heading1"/>
      </w:pPr>
      <w:bookmarkStart w:id="9" w:name="_Ref477173357"/>
      <w:bookmarkStart w:id="10" w:name="_Toc481061434"/>
      <w:r>
        <w:lastRenderedPageBreak/>
        <w:t>Value of imputation credits</w:t>
      </w:r>
      <w:bookmarkEnd w:id="9"/>
      <w:bookmarkEnd w:id="10"/>
    </w:p>
    <w:p w:rsidR="00437CA2" w:rsidRDefault="00437CA2" w:rsidP="00C52695">
      <w:pPr>
        <w:numPr>
          <w:ilvl w:val="0"/>
          <w:numId w:val="24"/>
        </w:numPr>
      </w:pPr>
      <w:r>
        <w:t>Imputation</w:t>
      </w:r>
      <w:r w:rsidRPr="00A3318E">
        <w:t xml:space="preserve"> credits are </w:t>
      </w:r>
      <w:r>
        <w:t xml:space="preserve">valuable to investors and are therefore </w:t>
      </w:r>
      <w:r w:rsidRPr="00A3318E">
        <w:t xml:space="preserve">a benefit in addition to any cash dividend or capital gains </w:t>
      </w:r>
      <w:r>
        <w:t xml:space="preserve">they receive </w:t>
      </w:r>
      <w:r w:rsidRPr="00A3318E">
        <w:t>from owning shares.</w:t>
      </w:r>
      <w:r>
        <w:t xml:space="preserve"> </w:t>
      </w: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1"/>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exceeds an investor's tax liability, that investor can receive</w:t>
      </w:r>
      <w:r w:rsidR="00E750F8">
        <w:t xml:space="preserve"> a cash refund for the balance.</w:t>
      </w:r>
    </w:p>
    <w:p w:rsidR="00437CA2" w:rsidRDefault="00437CA2" w:rsidP="00C52695">
      <w:pPr>
        <w:numPr>
          <w:ilvl w:val="0"/>
          <w:numId w:val="24"/>
        </w:numPr>
      </w:pPr>
      <w:r>
        <w:t>The National Electricity Rules/National Gas Rules (NER/NGR) recognises that a service provider's allowed revenue does not need to include the value of imputation credits. Under the NER/NGR, service providers are to recover revenue that compensates them for their efficient costs in providing regulated services. This includes, among other things, a return to be provided to investors (return on equity) that is required to promote efficient levels of investment. The more that imputation credits are valuable, the less return that investors require from dividends and capital gains. However, the estimation of the return on equity does not take imputation credits into account.</w:t>
      </w:r>
      <w:r>
        <w:rPr>
          <w:rStyle w:val="FootnoteReference"/>
        </w:rPr>
        <w:footnoteReference w:id="2"/>
      </w:r>
      <w:r>
        <w:t xml:space="preserve"> Therefore, an adjustment for the value of imputation credits is required. This adjustment could take the form of a decrease in the estimated return on equity itself.</w:t>
      </w:r>
    </w:p>
    <w:p w:rsidR="00437CA2" w:rsidRPr="00E356F9" w:rsidRDefault="00437CA2" w:rsidP="00C52695">
      <w:pPr>
        <w:numPr>
          <w:ilvl w:val="0"/>
          <w:numId w:val="24"/>
        </w:numPr>
      </w:pPr>
      <w:r>
        <w:t xml:space="preserve">An alternative but equivalent form of adjustment, which is employed by the NER/NGR, is via the revenue granted to a service provider to cover its expected tax liability. Specifically, the NER/NGR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t>, 'gamma').</w:t>
      </w:r>
      <w:r>
        <w:rPr>
          <w:rStyle w:val="FootnoteReference"/>
        </w:rPr>
        <w:footnoteReference w:id="3"/>
      </w:r>
      <w:r>
        <w:t xml:space="preserve"> This form of adjustment recognises that it is the payment of corporate tax which is the source of the imputation credit return to investors.</w:t>
      </w:r>
    </w:p>
    <w:p w:rsidR="00437CA2" w:rsidRDefault="00437CA2" w:rsidP="00C52695">
      <w:pPr>
        <w:numPr>
          <w:ilvl w:val="0"/>
          <w:numId w:val="24"/>
        </w:numPr>
      </w:pPr>
      <w:r>
        <w:t xml:space="preserve">In this attachment, we set out our </w:t>
      </w:r>
      <w:r w:rsidR="00997BDC">
        <w:t xml:space="preserve">final </w:t>
      </w:r>
      <w:r>
        <w:t xml:space="preserve">decision on the value of imputation credits and our key reasons for this decision. We also consider </w:t>
      </w:r>
      <w:r w:rsidR="00997BDC">
        <w:t xml:space="preserve">AusNet Services' </w:t>
      </w:r>
      <w:r>
        <w:t xml:space="preserve">proposed value of imputation credits and the key reasons for its proposal. In appendix A, we include further supporting detail on our position on the value of imputation credits and also respond to </w:t>
      </w:r>
      <w:r w:rsidR="00997BDC">
        <w:t xml:space="preserve">AusNet Services' </w:t>
      </w:r>
      <w:r>
        <w:t>proposal in detail.</w:t>
      </w:r>
    </w:p>
    <w:p w:rsidR="00EB5E79" w:rsidRDefault="00EB5E79" w:rsidP="00D414CC"/>
    <w:p w:rsidR="00EB5E79" w:rsidRDefault="00EB5E79" w:rsidP="00D414CC"/>
    <w:p w:rsidR="00DE563D" w:rsidRPr="001754EE" w:rsidRDefault="003870A9" w:rsidP="001754EE">
      <w:pPr>
        <w:pStyle w:val="Heading2"/>
      </w:pPr>
      <w:bookmarkStart w:id="11" w:name="_Toc403144136"/>
      <w:bookmarkStart w:id="12" w:name="_Ref476324220"/>
      <w:bookmarkStart w:id="13" w:name="_Ref476564330"/>
      <w:bookmarkStart w:id="14" w:name="_Ref477173369"/>
      <w:bookmarkStart w:id="15" w:name="_Toc481061435"/>
      <w:r>
        <w:lastRenderedPageBreak/>
        <w:t>Final</w:t>
      </w:r>
      <w:r w:rsidR="00DE563D" w:rsidRPr="001754EE">
        <w:t xml:space="preserve"> decision</w:t>
      </w:r>
      <w:bookmarkEnd w:id="11"/>
      <w:bookmarkEnd w:id="12"/>
      <w:bookmarkEnd w:id="13"/>
      <w:bookmarkEnd w:id="14"/>
      <w:bookmarkEnd w:id="15"/>
    </w:p>
    <w:p w:rsidR="00437CA2" w:rsidRPr="00C94AE8" w:rsidRDefault="00437CA2" w:rsidP="00C52695">
      <w:pPr>
        <w:numPr>
          <w:ilvl w:val="0"/>
          <w:numId w:val="24"/>
        </w:numPr>
      </w:pPr>
      <w:bookmarkStart w:id="16" w:name="_Toc403144137"/>
      <w:r w:rsidRPr="00883125">
        <w:t xml:space="preserve">We </w:t>
      </w:r>
      <w:r w:rsidR="0010358A">
        <w:t xml:space="preserve">do not </w:t>
      </w:r>
      <w:r w:rsidRPr="00883125">
        <w:t xml:space="preserve">accept </w:t>
      </w:r>
      <w:r w:rsidR="00286D94">
        <w:t xml:space="preserve">AusNet Services' </w:t>
      </w:r>
      <w:r w:rsidRPr="00883125">
        <w:t>proposed value of imputation credits</w:t>
      </w:r>
      <w:r>
        <w:t xml:space="preserve"> (or gamma)</w:t>
      </w:r>
      <w:r w:rsidRPr="00883125">
        <w:t xml:space="preserve"> of 0.</w:t>
      </w:r>
      <w:r w:rsidR="00286D94">
        <w:t>25</w:t>
      </w:r>
      <w:r w:rsidRPr="00883125">
        <w:t xml:space="preserve">. </w:t>
      </w:r>
      <w:r w:rsidR="00286D94">
        <w:t xml:space="preserve">Instead, we adopt a value of imputation credits of 0.4. </w:t>
      </w:r>
      <w:r w:rsidRPr="00C94AE8">
        <w:t xml:space="preserve">We consider that the use of a value for imputation credits of 0.4 will result in equity investors in the benchmark efficient entity receiving an ex ante total return (inclusive of the value of imputation credits) commensurate with the efficient equity financing costs of </w:t>
      </w:r>
      <w:r>
        <w:t>a</w:t>
      </w:r>
      <w:r w:rsidRPr="00C94AE8">
        <w:t xml:space="preserve"> benchmark efficient entity.</w:t>
      </w:r>
    </w:p>
    <w:p w:rsidR="00437CA2" w:rsidRPr="00883125" w:rsidRDefault="00437CA2" w:rsidP="00C52695">
      <w:pPr>
        <w:numPr>
          <w:ilvl w:val="0"/>
          <w:numId w:val="24"/>
        </w:numPr>
      </w:pPr>
      <w:r w:rsidRPr="00883125">
        <w:t>Estimating the value of imputation credits is a complex and imprecise task. There is no consensus among experts on the appropriate value or estimation techniques to use.</w:t>
      </w:r>
      <w:r w:rsidRPr="00E82D06">
        <w:rPr>
          <w:rStyle w:val="FootnoteReference"/>
        </w:rPr>
        <w:footnoteReference w:id="4"/>
      </w:r>
      <w:r w:rsidRPr="00E82D06">
        <w:rPr>
          <w:rStyle w:val="FootnoteReference"/>
        </w:rPr>
        <w:t xml:space="preserve"> </w:t>
      </w:r>
      <w:r w:rsidRPr="00883125">
        <w:t>Further, with each estimation technique there are often a number of ways these may be applied resulting in different outcomes. Conceptually, the value of imputation credits must be between 0 and 1, and the range of expert views on the value of imputation credits is almost this wide.</w:t>
      </w:r>
      <w:r w:rsidRPr="00E82D06">
        <w:rPr>
          <w:rStyle w:val="FootnoteReference"/>
        </w:rPr>
        <w:footnoteReference w:id="5"/>
      </w:r>
    </w:p>
    <w:p w:rsidR="00437CA2" w:rsidRPr="005942A6" w:rsidRDefault="00437CA2" w:rsidP="00437CA2">
      <w:pPr>
        <w:rPr>
          <w:rStyle w:val="AERbody"/>
        </w:rPr>
      </w:pPr>
      <w:r w:rsidRPr="005942A6">
        <w:rPr>
          <w:rStyle w:val="AERbody"/>
        </w:rPr>
        <w:t>In coming to a value of imputation credits of 0.4:</w:t>
      </w:r>
    </w:p>
    <w:p w:rsidR="00437CA2" w:rsidRPr="001D37D5" w:rsidRDefault="00437CA2" w:rsidP="00437CA2">
      <w:pPr>
        <w:pStyle w:val="AERbulletlistfirststyle"/>
      </w:pPr>
      <w:r w:rsidRPr="00DD1139">
        <w:t>We a</w:t>
      </w:r>
      <w:r w:rsidRPr="001D37D5">
        <w:t>dopt a conceptual approach consistent with the Officer framework,</w:t>
      </w:r>
      <w:r w:rsidRPr="00247000">
        <w:rPr>
          <w:rStyle w:val="FootnoteReference"/>
        </w:rPr>
        <w:footnoteReference w:id="6"/>
      </w:r>
      <w:r w:rsidRPr="001D37D5">
        <w:t xml:space="preserve"> which we consider best promotes the objectives and requirements of the NER/NGR. This approach considers the value of imputation credits is a post-tax value before the impact of personal taxes and transaction costs.</w:t>
      </w:r>
      <w:r>
        <w:rPr>
          <w:rStyle w:val="FootnoteReference"/>
        </w:rPr>
        <w:footnoteReference w:id="7"/>
      </w:r>
      <w:r w:rsidRPr="001D37D5">
        <w:t xml:space="preserve"> As such, we view the value of imputation credits as the proportion of company tax returned to investors through the utilisation of imputation credits.</w:t>
      </w:r>
      <w:r w:rsidRPr="001D37D5">
        <w:rPr>
          <w:rStyle w:val="FootnoteReference"/>
        </w:rPr>
        <w:footnoteReference w:id="8"/>
      </w:r>
    </w:p>
    <w:p w:rsidR="00437CA2" w:rsidRPr="001D37D5" w:rsidRDefault="00437CA2" w:rsidP="00437CA2">
      <w:pPr>
        <w:pStyle w:val="AERbulletlistfirststyle"/>
      </w:pPr>
      <w:r w:rsidRPr="00DD1139">
        <w:t>We consider our</w:t>
      </w:r>
      <w:r w:rsidRPr="001D37D5">
        <w:t xml:space="preserve"> conceptual approach allows for the value of imputation credits to be estimated on a consistent basis with the allowed rate of return and allowed revenues under the post-tax framework in the NER/NGR.</w:t>
      </w:r>
      <w:r w:rsidRPr="001D37D5">
        <w:rPr>
          <w:rStyle w:val="FootnoteReference"/>
        </w:rPr>
        <w:footnoteReference w:id="9"/>
      </w:r>
      <w:r w:rsidRPr="001D37D5">
        <w:t xml:space="preserve"> </w:t>
      </w:r>
    </w:p>
    <w:p w:rsidR="00437CA2" w:rsidRPr="001D37D5" w:rsidRDefault="00437CA2" w:rsidP="00437CA2">
      <w:pPr>
        <w:pStyle w:val="AERbulletlistfirststyle"/>
      </w:pPr>
      <w:r w:rsidRPr="00DD1139">
        <w:t xml:space="preserve">We use the widely accepted approach of estimating the value of imputation credits as the product of two sub-parameters: the 'distribution rate' and the 'utilisation </w:t>
      </w:r>
      <w:r w:rsidRPr="001D37D5">
        <w:t>rate'.</w:t>
      </w:r>
      <w:r w:rsidRPr="001D37D5">
        <w:rPr>
          <w:rStyle w:val="FootnoteReference"/>
        </w:rPr>
        <w:footnoteReference w:id="10"/>
      </w:r>
      <w:r w:rsidRPr="001D37D5">
        <w:t xml:space="preserve"> Our definition of, and estimation approach for, these sub-parameters is set out in </w:t>
      </w:r>
      <w:r w:rsidRPr="001D37D5">
        <w:fldChar w:fldCharType="begin"/>
      </w:r>
      <w:r w:rsidRPr="001D37D5">
        <w:instrText xml:space="preserve"> REF  _Ref450662555 \* Lower \h  \* MERGEFORMAT </w:instrText>
      </w:r>
      <w:r w:rsidRPr="001D37D5">
        <w:fldChar w:fldCharType="separate"/>
      </w:r>
      <w:r w:rsidR="00812A72">
        <w:t>table 4</w:t>
      </w:r>
      <w:r w:rsidR="00812A72">
        <w:noBreakHyphen/>
        <w:t>1</w:t>
      </w:r>
      <w:r w:rsidRPr="001D37D5">
        <w:fldChar w:fldCharType="end"/>
      </w:r>
      <w:r w:rsidRPr="001D37D5">
        <w:t>.</w:t>
      </w:r>
    </w:p>
    <w:p w:rsidR="00437CA2" w:rsidRDefault="00437CA2" w:rsidP="00437CA2">
      <w:pPr>
        <w:pStyle w:val="Caption"/>
      </w:pPr>
      <w:bookmarkStart w:id="17" w:name="_Ref450662555"/>
      <w:r>
        <w:lastRenderedPageBreak/>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1</w:t>
      </w:r>
      <w:r w:rsidRPr="001D37D5">
        <w:fldChar w:fldCharType="end"/>
      </w:r>
      <w:bookmarkEnd w:id="17"/>
      <w:r>
        <w:tab/>
        <w:t>Gamma sub-parameters: definition and estimation approach</w:t>
      </w:r>
    </w:p>
    <w:tbl>
      <w:tblPr>
        <w:tblStyle w:val="AERtable-text0"/>
        <w:tblW w:w="0" w:type="auto"/>
        <w:tblLook w:val="04A0" w:firstRow="1" w:lastRow="0" w:firstColumn="1" w:lastColumn="0" w:noHBand="0" w:noVBand="1"/>
      </w:tblPr>
      <w:tblGrid>
        <w:gridCol w:w="2518"/>
        <w:gridCol w:w="2977"/>
        <w:gridCol w:w="3747"/>
      </w:tblGrid>
      <w:tr w:rsidR="00437CA2" w:rsidTr="00437CA2">
        <w:trPr>
          <w:cnfStyle w:val="100000000000" w:firstRow="1" w:lastRow="0" w:firstColumn="0" w:lastColumn="0" w:oddVBand="0" w:evenVBand="0" w:oddHBand="0" w:evenHBand="0" w:firstRowFirstColumn="0" w:firstRowLastColumn="0" w:lastRowFirstColumn="0" w:lastRowLastColumn="0"/>
        </w:trPr>
        <w:tc>
          <w:tcPr>
            <w:tcW w:w="2518" w:type="dxa"/>
          </w:tcPr>
          <w:p w:rsidR="00437CA2" w:rsidRDefault="00437CA2" w:rsidP="00C52695">
            <w:pPr>
              <w:numPr>
                <w:ilvl w:val="0"/>
                <w:numId w:val="24"/>
              </w:numPr>
            </w:pPr>
            <w:r>
              <w:t>Sub-parameter</w:t>
            </w:r>
          </w:p>
        </w:tc>
        <w:tc>
          <w:tcPr>
            <w:tcW w:w="2977" w:type="dxa"/>
          </w:tcPr>
          <w:p w:rsidR="00437CA2" w:rsidRDefault="00437CA2" w:rsidP="00C52695">
            <w:pPr>
              <w:numPr>
                <w:ilvl w:val="0"/>
                <w:numId w:val="24"/>
              </w:numPr>
            </w:pPr>
            <w:r>
              <w:t>Definition</w:t>
            </w:r>
          </w:p>
        </w:tc>
        <w:tc>
          <w:tcPr>
            <w:tcW w:w="3747" w:type="dxa"/>
          </w:tcPr>
          <w:p w:rsidR="00437CA2" w:rsidRDefault="00437CA2" w:rsidP="00C52695">
            <w:pPr>
              <w:numPr>
                <w:ilvl w:val="0"/>
                <w:numId w:val="24"/>
              </w:numPr>
            </w:pPr>
            <w:r>
              <w:t>Estimation approach</w:t>
            </w:r>
          </w:p>
        </w:tc>
      </w:tr>
      <w:tr w:rsidR="00437CA2" w:rsidTr="00437CA2">
        <w:tc>
          <w:tcPr>
            <w:tcW w:w="2518" w:type="dxa"/>
          </w:tcPr>
          <w:p w:rsidR="00437CA2" w:rsidRDefault="00437CA2" w:rsidP="00C52695">
            <w:pPr>
              <w:numPr>
                <w:ilvl w:val="0"/>
                <w:numId w:val="24"/>
              </w:numPr>
            </w:pPr>
            <w:r>
              <w:t>Distribution rate (or payout ratio)</w:t>
            </w:r>
          </w:p>
        </w:tc>
        <w:tc>
          <w:tcPr>
            <w:tcW w:w="2977" w:type="dxa"/>
          </w:tcPr>
          <w:p w:rsidR="00437CA2" w:rsidRDefault="00437CA2" w:rsidP="00C52695">
            <w:pPr>
              <w:numPr>
                <w:ilvl w:val="0"/>
                <w:numId w:val="24"/>
              </w:numPr>
            </w:pPr>
            <w:r>
              <w:t>T</w:t>
            </w:r>
            <w:r w:rsidRPr="004746B6">
              <w:t>he proportion of imputation credits generated that is distributed to investors</w:t>
            </w:r>
          </w:p>
        </w:tc>
        <w:tc>
          <w:tcPr>
            <w:tcW w:w="3747" w:type="dxa"/>
          </w:tcPr>
          <w:p w:rsidR="00437CA2" w:rsidRDefault="00437CA2" w:rsidP="00C52695">
            <w:pPr>
              <w:numPr>
                <w:ilvl w:val="0"/>
                <w:numId w:val="24"/>
              </w:numPr>
            </w:pPr>
            <w:r>
              <w:t xml:space="preserve">Primary reliance placed on the </w:t>
            </w:r>
            <w:r w:rsidRPr="004746B6">
              <w:t xml:space="preserve">widely accepted </w:t>
            </w:r>
            <w:r>
              <w:t>cumulative payout ratio approach. Some regard is also given to Lally's estimate for listed equity from financial reports of the 20 largest listed firms.</w:t>
            </w:r>
          </w:p>
        </w:tc>
      </w:tr>
      <w:tr w:rsidR="00437CA2" w:rsidTr="00437CA2">
        <w:trPr>
          <w:cnfStyle w:val="000000010000" w:firstRow="0" w:lastRow="0" w:firstColumn="0" w:lastColumn="0" w:oddVBand="0" w:evenVBand="0" w:oddHBand="0" w:evenHBand="1" w:firstRowFirstColumn="0" w:firstRowLastColumn="0" w:lastRowFirstColumn="0" w:lastRowLastColumn="0"/>
        </w:trPr>
        <w:tc>
          <w:tcPr>
            <w:tcW w:w="2518" w:type="dxa"/>
          </w:tcPr>
          <w:p w:rsidR="00437CA2" w:rsidRDefault="00437CA2" w:rsidP="00C52695">
            <w:pPr>
              <w:numPr>
                <w:ilvl w:val="0"/>
                <w:numId w:val="24"/>
              </w:numPr>
            </w:pPr>
            <w:r>
              <w:t>Utilisation rate (or theta)</w:t>
            </w:r>
          </w:p>
        </w:tc>
        <w:tc>
          <w:tcPr>
            <w:tcW w:w="2977" w:type="dxa"/>
          </w:tcPr>
          <w:p w:rsidR="00437CA2" w:rsidRDefault="00437CA2" w:rsidP="00C52695">
            <w:pPr>
              <w:numPr>
                <w:ilvl w:val="0"/>
                <w:numId w:val="24"/>
              </w:numPr>
            </w:pPr>
            <w:r>
              <w:t>T</w:t>
            </w:r>
            <w:r w:rsidRPr="004746B6">
              <w:t>he utilisation value to investors in the market per dollar of imputation credits distributed</w:t>
            </w:r>
            <w:r>
              <w:rPr>
                <w:rStyle w:val="FootnoteReference"/>
              </w:rPr>
              <w:footnoteReference w:id="11"/>
            </w:r>
          </w:p>
        </w:tc>
        <w:tc>
          <w:tcPr>
            <w:tcW w:w="3747" w:type="dxa"/>
          </w:tcPr>
          <w:p w:rsidR="00437CA2" w:rsidRDefault="00437CA2" w:rsidP="00C52695">
            <w:pPr>
              <w:numPr>
                <w:ilvl w:val="0"/>
                <w:numId w:val="24"/>
              </w:numPr>
            </w:pPr>
            <w:r>
              <w:t>A range of approaches, with due regard to the merit of each approach:</w:t>
            </w:r>
          </w:p>
          <w:p w:rsidR="00437CA2" w:rsidRPr="00437CA2" w:rsidRDefault="00437CA2" w:rsidP="00437CA2">
            <w:pPr>
              <w:pStyle w:val="AERbulletlistfirststyle"/>
            </w:pPr>
            <w:r>
              <w:t>equity ownership approach</w:t>
            </w:r>
          </w:p>
          <w:p w:rsidR="00437CA2" w:rsidRPr="00437CA2" w:rsidRDefault="00437CA2" w:rsidP="00437CA2">
            <w:pPr>
              <w:pStyle w:val="AERbulletlistfirststyle"/>
            </w:pPr>
            <w:r>
              <w:t>tax statistics</w:t>
            </w:r>
          </w:p>
          <w:p w:rsidR="00437CA2" w:rsidRPr="00437CA2" w:rsidRDefault="00437CA2" w:rsidP="00437CA2">
            <w:pPr>
              <w:pStyle w:val="AERbulletlistfirststyle"/>
            </w:pPr>
            <w:r>
              <w:t>implied market value studies</w:t>
            </w:r>
          </w:p>
        </w:tc>
      </w:tr>
    </w:tbl>
    <w:p w:rsidR="00437CA2" w:rsidRPr="00CA67C0" w:rsidRDefault="00437CA2" w:rsidP="00437CA2">
      <w:pPr>
        <w:pStyle w:val="AERtablesource"/>
      </w:pPr>
      <w:r>
        <w:t>Source:</w:t>
      </w:r>
      <w:r>
        <w:tab/>
        <w:t xml:space="preserve">AER analysis, see section </w:t>
      </w:r>
      <w:r w:rsidRPr="00CA67C0">
        <w:fldChar w:fldCharType="begin"/>
      </w:r>
      <w:r w:rsidRPr="00CA67C0">
        <w:instrText xml:space="preserve"> REF _Ref401133206 \r \h </w:instrText>
      </w:r>
      <w:r w:rsidRPr="00CA67C0">
        <w:fldChar w:fldCharType="separate"/>
      </w:r>
      <w:r w:rsidR="00812A72">
        <w:t>A.10</w:t>
      </w:r>
      <w:r w:rsidRPr="00CA67C0">
        <w:fldChar w:fldCharType="end"/>
      </w:r>
      <w:r w:rsidRPr="00CA67C0">
        <w:t xml:space="preserve">, </w:t>
      </w:r>
      <w:r w:rsidRPr="00CA67C0">
        <w:fldChar w:fldCharType="begin"/>
      </w:r>
      <w:r w:rsidRPr="00CA67C0">
        <w:instrText xml:space="preserve"> REF _Ref415049811 \r \h </w:instrText>
      </w:r>
      <w:r w:rsidRPr="00CA67C0">
        <w:fldChar w:fldCharType="separate"/>
      </w:r>
      <w:r w:rsidR="00812A72">
        <w:t>A.12</w:t>
      </w:r>
      <w:r w:rsidRPr="00CA67C0">
        <w:fldChar w:fldCharType="end"/>
      </w:r>
      <w:r w:rsidRPr="00CA67C0">
        <w:t xml:space="preserve">, </w:t>
      </w:r>
      <w:r w:rsidRPr="00CA67C0">
        <w:fldChar w:fldCharType="begin"/>
      </w:r>
      <w:r w:rsidRPr="00CA67C0">
        <w:instrText xml:space="preserve"> REF _Ref402179420 \r \h </w:instrText>
      </w:r>
      <w:r w:rsidRPr="00CA67C0">
        <w:fldChar w:fldCharType="separate"/>
      </w:r>
      <w:r w:rsidR="00812A72">
        <w:t>A.13</w:t>
      </w:r>
      <w:r w:rsidRPr="00CA67C0">
        <w:fldChar w:fldCharType="end"/>
      </w:r>
      <w:r w:rsidRPr="00CA67C0">
        <w:t xml:space="preserve"> and </w:t>
      </w:r>
      <w:r w:rsidRPr="00CA67C0">
        <w:fldChar w:fldCharType="begin"/>
      </w:r>
      <w:r w:rsidRPr="00CA67C0">
        <w:instrText xml:space="preserve"> REF _Ref451184082 \r \h </w:instrText>
      </w:r>
      <w:r w:rsidRPr="00CA67C0">
        <w:fldChar w:fldCharType="separate"/>
      </w:r>
      <w:r w:rsidR="00812A72">
        <w:t>A.15</w:t>
      </w:r>
      <w:r w:rsidRPr="00CA67C0">
        <w:fldChar w:fldCharType="end"/>
      </w:r>
      <w:r w:rsidRPr="00CA67C0">
        <w:t>.</w:t>
      </w:r>
    </w:p>
    <w:p w:rsidR="00437CA2" w:rsidRPr="00883125" w:rsidRDefault="00437CA2" w:rsidP="00C52695">
      <w:pPr>
        <w:numPr>
          <w:ilvl w:val="0"/>
          <w:numId w:val="24"/>
        </w:numPr>
      </w:pPr>
      <w:r w:rsidRPr="00883125">
        <w:t xml:space="preserve">Overall, </w:t>
      </w:r>
      <w:r>
        <w:t>the</w:t>
      </w:r>
      <w:r w:rsidRPr="00883125">
        <w:t xml:space="preserve"> evidence suggests a range of estimates for the value of imputation credits might be reasonable. With regard to the merits of the evidence before us, we choose a value of imputation credits of 0.4 from within a range of 0.3 to 0.5.</w:t>
      </w:r>
    </w:p>
    <w:p w:rsidR="00437CA2" w:rsidRDefault="00437CA2" w:rsidP="00437CA2">
      <w:r w:rsidRPr="00883125">
        <w:t xml:space="preserve">In considering the evidence on the distribution and utilisation rates, we have broadly maintained the approach set out in the </w:t>
      </w:r>
      <w:r>
        <w:t>R</w:t>
      </w:r>
      <w:r w:rsidRPr="00883125">
        <w:t xml:space="preserve">ate of </w:t>
      </w:r>
      <w:r>
        <w:t>R</w:t>
      </w:r>
      <w:r w:rsidRPr="00883125">
        <w:t xml:space="preserve">eturn </w:t>
      </w:r>
      <w:r>
        <w:t>G</w:t>
      </w:r>
      <w:r w:rsidRPr="00883125">
        <w:t>uideline (the Guideline), but have re-examined the relevant evidence and estimates. This re-examination, and new evidence and advice considered since the Guideline, led us to depart from the 0.5 value of imputation credits we proposed in the Guideline.</w:t>
      </w:r>
    </w:p>
    <w:p w:rsidR="008146B5" w:rsidRPr="00883125" w:rsidRDefault="008146B5" w:rsidP="007F6EED">
      <w:pPr>
        <w:pStyle w:val="HeadingBoldItalic"/>
      </w:pPr>
      <w:bookmarkStart w:id="18" w:name="_Toc480814854"/>
      <w:bookmarkStart w:id="19" w:name="_Toc481056642"/>
      <w:bookmarkStart w:id="20" w:name="_Toc456614271"/>
      <w:bookmarkStart w:id="21" w:name="_Toc481061436"/>
      <w:r>
        <w:t>Recent litigation</w:t>
      </w:r>
      <w:bookmarkEnd w:id="18"/>
      <w:bookmarkEnd w:id="19"/>
      <w:bookmarkEnd w:id="21"/>
    </w:p>
    <w:p w:rsidR="008146B5" w:rsidRDefault="008146B5" w:rsidP="008146B5">
      <w:pPr>
        <w:rPr>
          <w:rStyle w:val="AERbody"/>
        </w:rPr>
      </w:pPr>
      <w:r>
        <w:rPr>
          <w:rStyle w:val="AERbody"/>
        </w:rPr>
        <w:t xml:space="preserve">In February 2016 the </w:t>
      </w:r>
      <w:r w:rsidR="00F34CD4">
        <w:rPr>
          <w:rStyle w:val="AERbody"/>
        </w:rPr>
        <w:t xml:space="preserve">Australian Competition </w:t>
      </w:r>
      <w:r>
        <w:rPr>
          <w:rStyle w:val="AERbody"/>
        </w:rPr>
        <w:t>Tribunal (</w:t>
      </w:r>
      <w:r w:rsidR="00F34CD4">
        <w:rPr>
          <w:rStyle w:val="AERbody"/>
        </w:rPr>
        <w:t xml:space="preserve">the </w:t>
      </w:r>
      <w:r>
        <w:rPr>
          <w:rStyle w:val="AERbody"/>
        </w:rPr>
        <w:t xml:space="preserve">Ausgrid Tribunal) handed down its decision for </w:t>
      </w:r>
      <w:r w:rsidR="00913303">
        <w:rPr>
          <w:rStyle w:val="AERbody"/>
        </w:rPr>
        <w:t>ActewAGL</w:t>
      </w:r>
      <w:r w:rsidRPr="005942A6">
        <w:rPr>
          <w:rStyle w:val="AERbody"/>
        </w:rPr>
        <w:t xml:space="preserve"> Distribution, Ausgrid, Endeavour Energy, Essential Energy and Jemena Gas Networks</w:t>
      </w:r>
      <w:r>
        <w:rPr>
          <w:rStyle w:val="AERbody"/>
        </w:rPr>
        <w:t>.</w:t>
      </w:r>
      <w:r w:rsidR="00F34CD4">
        <w:rPr>
          <w:rStyle w:val="FootnoteReference"/>
        </w:rPr>
        <w:footnoteReference w:id="12"/>
      </w:r>
      <w:r>
        <w:rPr>
          <w:rStyle w:val="AERbody"/>
        </w:rPr>
        <w:t xml:space="preserve"> </w:t>
      </w:r>
      <w:r w:rsidRPr="005942A6">
        <w:rPr>
          <w:rStyle w:val="AERbody"/>
        </w:rPr>
        <w:t xml:space="preserve">The </w:t>
      </w:r>
      <w:r>
        <w:rPr>
          <w:rStyle w:val="AERbody"/>
        </w:rPr>
        <w:t xml:space="preserve">Ausgrid </w:t>
      </w:r>
      <w:r w:rsidRPr="005942A6">
        <w:rPr>
          <w:rStyle w:val="AERbody"/>
        </w:rPr>
        <w:t xml:space="preserve">Tribunal ordered the remittal of our final decisions for these service providers, with directions to remake our decision by reference to an estimated cost of corporate income tax based on a </w:t>
      </w:r>
      <w:r>
        <w:rPr>
          <w:rStyle w:val="AERbody"/>
        </w:rPr>
        <w:t xml:space="preserve">value of </w:t>
      </w:r>
      <w:r w:rsidRPr="005942A6">
        <w:rPr>
          <w:rStyle w:val="AERbody"/>
        </w:rPr>
        <w:t>gamma of 0.25.</w:t>
      </w:r>
    </w:p>
    <w:p w:rsidR="008146B5" w:rsidRDefault="008146B5" w:rsidP="008146B5">
      <w:pPr>
        <w:rPr>
          <w:rStyle w:val="AERbody"/>
        </w:rPr>
      </w:pPr>
      <w:r>
        <w:rPr>
          <w:rStyle w:val="AERbody"/>
        </w:rPr>
        <w:t xml:space="preserve">We sought review of the Ausgrid Tribunal's decision in the Full Federal Court and our matter was heard in October 2016. Currently, we are awaiting the outcome of that review. </w:t>
      </w:r>
    </w:p>
    <w:p w:rsidR="008146B5" w:rsidRPr="00BD61CE" w:rsidRDefault="008146B5" w:rsidP="008146B5">
      <w:pPr>
        <w:rPr>
          <w:rStyle w:val="AERbody"/>
        </w:rPr>
      </w:pPr>
      <w:r w:rsidRPr="00BD61CE">
        <w:rPr>
          <w:rStyle w:val="AERbody"/>
        </w:rPr>
        <w:t xml:space="preserve">In October 2016 the </w:t>
      </w:r>
      <w:r w:rsidR="00F34CD4">
        <w:rPr>
          <w:rStyle w:val="AERbody"/>
        </w:rPr>
        <w:t xml:space="preserve">Australian Competition </w:t>
      </w:r>
      <w:r w:rsidRPr="00BD61CE">
        <w:rPr>
          <w:rStyle w:val="AERbody"/>
        </w:rPr>
        <w:t>Tribunal (</w:t>
      </w:r>
      <w:r w:rsidR="00F34CD4">
        <w:rPr>
          <w:rStyle w:val="AERbody"/>
        </w:rPr>
        <w:t xml:space="preserve">the </w:t>
      </w:r>
      <w:r w:rsidRPr="00BD61CE">
        <w:rPr>
          <w:rStyle w:val="AERbody"/>
        </w:rPr>
        <w:t>SAPN Tribunal) handed down its decision for SA Power Networks.</w:t>
      </w:r>
      <w:r w:rsidR="00F34CD4">
        <w:rPr>
          <w:rStyle w:val="FootnoteReference"/>
        </w:rPr>
        <w:footnoteReference w:id="13"/>
      </w:r>
      <w:r w:rsidRPr="00BD61CE">
        <w:rPr>
          <w:rStyle w:val="AERbody"/>
        </w:rPr>
        <w:t xml:space="preserve"> </w:t>
      </w:r>
      <w:r>
        <w:rPr>
          <w:rStyle w:val="AERbody"/>
        </w:rPr>
        <w:t>T</w:t>
      </w:r>
      <w:r w:rsidRPr="00BD61CE">
        <w:rPr>
          <w:rStyle w:val="AERbody"/>
        </w:rPr>
        <w:t>he SAPN Tribunal upheld the AER's</w:t>
      </w:r>
      <w:r>
        <w:rPr>
          <w:rStyle w:val="AERbody"/>
        </w:rPr>
        <w:t xml:space="preserve"> d</w:t>
      </w:r>
      <w:r w:rsidR="00011740">
        <w:rPr>
          <w:rStyle w:val="AERbody"/>
        </w:rPr>
        <w:t xml:space="preserve">ecision to value gamma at 0.4. </w:t>
      </w:r>
      <w:r>
        <w:rPr>
          <w:rStyle w:val="AERbody"/>
        </w:rPr>
        <w:t xml:space="preserve">The SAPN Tribunal was invited to follow the decision and reasoning of the </w:t>
      </w:r>
      <w:r>
        <w:rPr>
          <w:rStyle w:val="AERbody"/>
        </w:rPr>
        <w:lastRenderedPageBreak/>
        <w:t>Ausgrid Tribunal but chose not to do so.</w:t>
      </w:r>
      <w:r w:rsidR="00011740">
        <w:rPr>
          <w:rStyle w:val="AERbody"/>
        </w:rPr>
        <w:t xml:space="preserve"> </w:t>
      </w:r>
      <w:r>
        <w:rPr>
          <w:rStyle w:val="AERbody"/>
        </w:rPr>
        <w:t>It found there was no error in the AER’s approach or conclusion.</w:t>
      </w:r>
    </w:p>
    <w:p w:rsidR="008146B5" w:rsidRDefault="008146B5" w:rsidP="008146B5">
      <w:pPr>
        <w:rPr>
          <w:rStyle w:val="AERbody"/>
        </w:rPr>
      </w:pPr>
      <w:r w:rsidRPr="00BD61CE">
        <w:rPr>
          <w:rStyle w:val="AERbody"/>
        </w:rPr>
        <w:t xml:space="preserve">SA Power Networks has subsequently </w:t>
      </w:r>
      <w:r>
        <w:rPr>
          <w:rStyle w:val="AERbody"/>
        </w:rPr>
        <w:t>sought review of</w:t>
      </w:r>
      <w:r w:rsidRPr="00BD61CE">
        <w:rPr>
          <w:rStyle w:val="AERbody"/>
        </w:rPr>
        <w:t xml:space="preserve"> the SAPN Tribunal's decision to the Full Federal Court and </w:t>
      </w:r>
      <w:r>
        <w:rPr>
          <w:rStyle w:val="AERbody"/>
        </w:rPr>
        <w:t xml:space="preserve">the </w:t>
      </w:r>
      <w:r w:rsidRPr="00BD61CE">
        <w:rPr>
          <w:rStyle w:val="AERbody"/>
        </w:rPr>
        <w:t>ma</w:t>
      </w:r>
      <w:r>
        <w:rPr>
          <w:rStyle w:val="AERbody"/>
        </w:rPr>
        <w:t>tter will be heard in May 2017.</w:t>
      </w:r>
    </w:p>
    <w:p w:rsidR="008146B5" w:rsidRDefault="008146B5" w:rsidP="008146B5">
      <w:pPr>
        <w:rPr>
          <w:rStyle w:val="AERbody"/>
        </w:rPr>
      </w:pPr>
      <w:r>
        <w:rPr>
          <w:rStyle w:val="AERbody"/>
        </w:rPr>
        <w:t>There are therefore conflicting decisions from two differently constituted Tribunals as to both the value of gamma and the approach to valuing gamma, with each decision being subject to fu</w:t>
      </w:r>
      <w:r w:rsidR="009F08EB">
        <w:rPr>
          <w:rStyle w:val="AERbody"/>
        </w:rPr>
        <w:t>rther applications for review.</w:t>
      </w:r>
    </w:p>
    <w:p w:rsidR="001E6A60" w:rsidRPr="005F293C" w:rsidRDefault="001E6A60" w:rsidP="007F6EED">
      <w:pPr>
        <w:pStyle w:val="HeadingBoldItalic"/>
      </w:pPr>
      <w:bookmarkStart w:id="22" w:name="_Toc480814855"/>
      <w:bookmarkStart w:id="23" w:name="_Toc481056643"/>
      <w:bookmarkStart w:id="24" w:name="_Toc481061437"/>
      <w:r w:rsidRPr="005F293C">
        <w:t xml:space="preserve">Summary of </w:t>
      </w:r>
      <w:r>
        <w:t xml:space="preserve">our </w:t>
      </w:r>
      <w:r w:rsidRPr="005F293C">
        <w:t>conclusions</w:t>
      </w:r>
      <w:bookmarkEnd w:id="22"/>
      <w:bookmarkEnd w:id="23"/>
      <w:bookmarkEnd w:id="24"/>
    </w:p>
    <w:p w:rsidR="001E6A60" w:rsidRPr="005764F6" w:rsidRDefault="001E6A60" w:rsidP="001E6A60">
      <w:pPr>
        <w:rPr>
          <w:rStyle w:val="AERbody"/>
        </w:rPr>
      </w:pPr>
      <w:r>
        <w:rPr>
          <w:rStyle w:val="AERbody"/>
        </w:rPr>
        <w:t>W</w:t>
      </w:r>
      <w:r w:rsidRPr="005764F6">
        <w:rPr>
          <w:rStyle w:val="AERbody"/>
        </w:rPr>
        <w:t xml:space="preserve">e consider the use of a gamma of 0.4 is appropriate for the reasons set out in this decision. These reasons are substantively </w:t>
      </w:r>
      <w:r>
        <w:rPr>
          <w:rStyle w:val="AERbody"/>
        </w:rPr>
        <w:t>similar to</w:t>
      </w:r>
      <w:r w:rsidRPr="005764F6">
        <w:rPr>
          <w:rStyle w:val="AERbody"/>
        </w:rPr>
        <w:t xml:space="preserve"> the reasons we </w:t>
      </w:r>
      <w:r>
        <w:rPr>
          <w:rStyle w:val="AERbody"/>
        </w:rPr>
        <w:t xml:space="preserve">have </w:t>
      </w:r>
      <w:r w:rsidRPr="005764F6">
        <w:rPr>
          <w:rStyle w:val="AERbody"/>
        </w:rPr>
        <w:t xml:space="preserve">set out in prior decisions, but we have clarified our reasoning in response to issues </w:t>
      </w:r>
      <w:r>
        <w:rPr>
          <w:rStyle w:val="AERbody"/>
        </w:rPr>
        <w:t xml:space="preserve">that have been </w:t>
      </w:r>
      <w:r w:rsidRPr="005764F6">
        <w:rPr>
          <w:rStyle w:val="AERbody"/>
        </w:rPr>
        <w:t>raised</w:t>
      </w:r>
      <w:r>
        <w:rPr>
          <w:rStyle w:val="AERbody"/>
        </w:rPr>
        <w:t xml:space="preserve"> by the service providers, other stakeholders and</w:t>
      </w:r>
      <w:r w:rsidRPr="005764F6">
        <w:rPr>
          <w:rStyle w:val="AERbody"/>
        </w:rPr>
        <w:t xml:space="preserve"> in </w:t>
      </w:r>
      <w:r>
        <w:rPr>
          <w:rStyle w:val="AERbody"/>
        </w:rPr>
        <w:t>recent litigation.</w:t>
      </w:r>
    </w:p>
    <w:p w:rsidR="001E6A60" w:rsidRPr="001D37D5" w:rsidRDefault="001E6A60" w:rsidP="001E6A60">
      <w:pPr>
        <w:pStyle w:val="AERbulletlistfirststyle"/>
      </w:pPr>
      <w:r w:rsidRPr="005F293C">
        <w:t xml:space="preserve">We take the view </w:t>
      </w:r>
      <w:r>
        <w:t xml:space="preserve">that </w:t>
      </w:r>
      <w:r w:rsidRPr="00E44473">
        <w:t xml:space="preserve">there is no consensus amongst experts as to the best approach to estimating </w:t>
      </w:r>
      <w:r>
        <w:t xml:space="preserve">the value of </w:t>
      </w:r>
      <w:r w:rsidRPr="00E44473">
        <w:t>gamma</w:t>
      </w:r>
      <w:r>
        <w:t>, or to the correct value of gamma</w:t>
      </w:r>
      <w:r w:rsidR="00011740">
        <w:t xml:space="preserve">. </w:t>
      </w:r>
      <w:r>
        <w:t>We</w:t>
      </w:r>
      <w:r w:rsidRPr="001D37D5">
        <w:t xml:space="preserve"> must therefore choose an appropriate value for gamma </w:t>
      </w:r>
      <w:r>
        <w:t>based on our own assessment</w:t>
      </w:r>
      <w:r w:rsidR="00011740">
        <w:t xml:space="preserve"> of all the relevant evidence.</w:t>
      </w:r>
    </w:p>
    <w:p w:rsidR="001E6A60" w:rsidRDefault="001E6A60" w:rsidP="001E6A60">
      <w:pPr>
        <w:pStyle w:val="AERbulletlistfirststyle"/>
      </w:pPr>
      <w:r w:rsidRPr="005764F6">
        <w:t xml:space="preserve">Our conceptual approach considers the value of gamma </w:t>
      </w:r>
      <w:r>
        <w:t>as</w:t>
      </w:r>
      <w:r w:rsidRPr="005764F6">
        <w:t xml:space="preserve"> a post</w:t>
      </w:r>
      <w:r w:rsidR="00F34CD4">
        <w:t xml:space="preserve"> (company) </w:t>
      </w:r>
      <w:r w:rsidRPr="005764F6">
        <w:t>tax</w:t>
      </w:r>
      <w:r>
        <w:t xml:space="preserve"> </w:t>
      </w:r>
      <w:r w:rsidRPr="005764F6">
        <w:t xml:space="preserve">value before the impact of personal taxes and </w:t>
      </w:r>
      <w:r w:rsidR="007B2660">
        <w:t>personal</w:t>
      </w:r>
      <w:r w:rsidRPr="005764F6">
        <w:t xml:space="preserve"> costs. </w:t>
      </w:r>
      <w:r>
        <w:t>This is because we use a post-tax revenue model for revenue regulat</w:t>
      </w:r>
      <w:r w:rsidR="00011740">
        <w:t xml:space="preserve">ion for each regulated entity. </w:t>
      </w:r>
      <w:r>
        <w:t xml:space="preserve">The value of gamma has to be understood, and consistently estimated and applied, </w:t>
      </w:r>
      <w:r w:rsidR="00011740">
        <w:t>in that overall context.</w:t>
      </w:r>
    </w:p>
    <w:p w:rsidR="001E6A60" w:rsidRPr="001D37D5" w:rsidRDefault="001E6A60" w:rsidP="001E6A60">
      <w:pPr>
        <w:pStyle w:val="AERbulletlistfirststyle"/>
      </w:pPr>
      <w:r>
        <w:t xml:space="preserve">It follows that our estimate of the value of gamma should be </w:t>
      </w:r>
      <w:r w:rsidRPr="001D37D5">
        <w:t xml:space="preserve">consistent with </w:t>
      </w:r>
      <w:r>
        <w:t>each interrelated element of the regulatory scheme, such as the</w:t>
      </w:r>
      <w:r w:rsidRPr="001D37D5">
        <w:t xml:space="preserve"> allowed rate of return and allowed revenues. For example, the allowed rate of return is a post-company tax pre-personal tax weighted average cost of capital (WACC). We estimate the allowed revenue, including the corporate tax allowance (and the value of imputation credits), on the same basis. Moreover, when calculating the yield to maturity on debt (for the return on debt and risk free rate) and market risk premium (MRP), the face value of coupons/dividends are used (see section </w:t>
      </w:r>
      <w:r w:rsidRPr="001D37D5">
        <w:fldChar w:fldCharType="begin"/>
      </w:r>
      <w:r w:rsidRPr="001D37D5">
        <w:instrText xml:space="preserve"> REF _Ref450298425 \r \h  \* MERGEFORMAT </w:instrText>
      </w:r>
      <w:r w:rsidRPr="001D37D5">
        <w:fldChar w:fldCharType="separate"/>
      </w:r>
      <w:r w:rsidR="00812A72">
        <w:t>A.8.2</w:t>
      </w:r>
      <w:r w:rsidRPr="001D37D5">
        <w:fldChar w:fldCharType="end"/>
      </w:r>
      <w:r w:rsidRPr="001D37D5">
        <w:t xml:space="preserve">). Our interpretation of the post-tax framework in the NER/NGR is covered in section </w:t>
      </w:r>
      <w:r w:rsidRPr="001D37D5">
        <w:fldChar w:fldCharType="begin"/>
      </w:r>
      <w:r w:rsidRPr="001D37D5">
        <w:instrText xml:space="preserve"> REF _Ref400965182 \r \h  \* MERGEFORMAT </w:instrText>
      </w:r>
      <w:r w:rsidRPr="001D37D5">
        <w:fldChar w:fldCharType="separate"/>
      </w:r>
      <w:r w:rsidR="00812A72">
        <w:t>A.6</w:t>
      </w:r>
      <w:r w:rsidRPr="001D37D5">
        <w:fldChar w:fldCharType="end"/>
      </w:r>
      <w:r w:rsidRPr="001D37D5">
        <w:t xml:space="preserve">. </w:t>
      </w:r>
    </w:p>
    <w:p w:rsidR="001E6A60" w:rsidRPr="001D37D5" w:rsidRDefault="001E6A60" w:rsidP="001E6A60">
      <w:pPr>
        <w:pStyle w:val="AERbulletlistfirststyle"/>
      </w:pPr>
      <w:r w:rsidRPr="005764F6">
        <w:t xml:space="preserve">Our approach considers gamma to be equal to the product of the </w:t>
      </w:r>
      <w:r w:rsidRPr="001D37D5">
        <w:t xml:space="preserve">distribution rate multiplied by the utilisation value to investors in the market per dollar of imputation credits distributed (the utilisation rate). We consider the utilisation value reflects the weighted average, by wealth and risk aversion, of the utilisation rates of investors—some of whom will have a utilisation rate of 1 and others who will have utilisation rate of 0. This is covered in section </w:t>
      </w:r>
      <w:r w:rsidRPr="001D37D5">
        <w:fldChar w:fldCharType="begin"/>
      </w:r>
      <w:r w:rsidRPr="001D37D5">
        <w:instrText xml:space="preserve"> REF _Ref415144114 \r \h  \* MERGEFORMAT </w:instrText>
      </w:r>
      <w:r w:rsidRPr="001D37D5">
        <w:fldChar w:fldCharType="separate"/>
      </w:r>
      <w:r w:rsidR="00812A72">
        <w:t>A.5</w:t>
      </w:r>
      <w:r w:rsidRPr="001D37D5">
        <w:fldChar w:fldCharType="end"/>
      </w:r>
      <w:r w:rsidRPr="001D37D5">
        <w:t xml:space="preserve"> and </w:t>
      </w:r>
      <w:r w:rsidRPr="001D37D5">
        <w:fldChar w:fldCharType="begin"/>
      </w:r>
      <w:r w:rsidRPr="001D37D5">
        <w:instrText xml:space="preserve"> REF _Ref400965182 \r \h  \* MERGEFORMAT </w:instrText>
      </w:r>
      <w:r w:rsidRPr="001D37D5">
        <w:fldChar w:fldCharType="separate"/>
      </w:r>
      <w:r w:rsidR="00812A72">
        <w:t>A.6</w:t>
      </w:r>
      <w:r w:rsidRPr="001D37D5">
        <w:fldChar w:fldCharType="end"/>
      </w:r>
      <w:r w:rsidRPr="001D37D5">
        <w:t>.</w:t>
      </w:r>
    </w:p>
    <w:p w:rsidR="001E6A60" w:rsidRPr="001D37D5" w:rsidRDefault="001E6A60" w:rsidP="001E6A60">
      <w:pPr>
        <w:pStyle w:val="AERbulletlistfirststyle"/>
      </w:pPr>
      <w:r w:rsidRPr="005764F6">
        <w:t>We use a range of relevant evidence to estimate the utilisation</w:t>
      </w:r>
      <w:r w:rsidRPr="001D37D5">
        <w:t xml:space="preserve"> rate. We consider:</w:t>
      </w:r>
    </w:p>
    <w:p w:rsidR="001E6A60" w:rsidRPr="005764F6" w:rsidRDefault="001E6A60" w:rsidP="001E6A60">
      <w:pPr>
        <w:pStyle w:val="AERbulletlistsecondstyle"/>
      </w:pPr>
      <w:r w:rsidRPr="005764F6">
        <w:t xml:space="preserve">The equity ownership approach provides the best estimate of the utilisation value to investors in the market per dollar of imputation credits distributed (see section </w:t>
      </w:r>
      <w:r w:rsidRPr="005764F6">
        <w:fldChar w:fldCharType="begin"/>
      </w:r>
      <w:r w:rsidRPr="005764F6">
        <w:instrText xml:space="preserve"> REF _Ref415049811 \r \h  \* MERGEFORMAT </w:instrText>
      </w:r>
      <w:r w:rsidRPr="005764F6">
        <w:fldChar w:fldCharType="separate"/>
      </w:r>
      <w:r w:rsidR="00812A72">
        <w:t>A.12</w:t>
      </w:r>
      <w:r w:rsidRPr="005764F6">
        <w:fldChar w:fldCharType="end"/>
      </w:r>
      <w:r w:rsidRPr="005764F6">
        <w:t>).</w:t>
      </w:r>
      <w:r w:rsidRPr="00F07FE8">
        <w:t xml:space="preserve"> </w:t>
      </w:r>
      <w:r w:rsidRPr="005764F6">
        <w:t xml:space="preserve">There is no data to suggest the redemption of imputation credits is </w:t>
      </w:r>
      <w:r w:rsidRPr="005764F6">
        <w:lastRenderedPageBreak/>
        <w:t xml:space="preserve">materially lower than the estimate of the utilisation rate derived from the equity ownership approach. In particular, there is no credible data on the impact of the 45 day holding rule. This is covered in section </w:t>
      </w:r>
      <w:r w:rsidRPr="005764F6">
        <w:fldChar w:fldCharType="begin"/>
      </w:r>
      <w:r w:rsidRPr="005764F6">
        <w:instrText xml:space="preserve"> REF _Ref414099389 \r \h  \* MERGEFORMAT </w:instrText>
      </w:r>
      <w:r w:rsidRPr="005764F6">
        <w:fldChar w:fldCharType="separate"/>
      </w:r>
      <w:r w:rsidR="00812A72">
        <w:t>A.8.3</w:t>
      </w:r>
      <w:r w:rsidRPr="005764F6">
        <w:fldChar w:fldCharType="end"/>
      </w:r>
      <w:r w:rsidRPr="005764F6">
        <w:t>.</w:t>
      </w:r>
      <w:r w:rsidRPr="00F07FE8">
        <w:t xml:space="preserve"> </w:t>
      </w:r>
      <w:r w:rsidRPr="005764F6">
        <w:t>Estimates of the gamma value from the equity ownership approach range from 0.28 to 0.47 if the ranges from both listed equity (0.28 to 0.41) and all equity (0.40 to 0.47) are considered and where estimates of gamma are based on matching cumulative distribution rate data. We use an estimate well below the top of the range for all equity.</w:t>
      </w:r>
    </w:p>
    <w:p w:rsidR="001E6A60" w:rsidRPr="005764F6" w:rsidRDefault="001E6A60" w:rsidP="001E6A60">
      <w:pPr>
        <w:pStyle w:val="AERbulletlistsecondstyle"/>
      </w:pPr>
      <w:r w:rsidRPr="005764F6">
        <w:t>Taxation statistics (tax statistics) can also provide a</w:t>
      </w:r>
      <w:r w:rsidR="00913303">
        <w:t>n</w:t>
      </w:r>
      <w:r w:rsidRPr="005764F6">
        <w:t xml:space="preserve"> estimate of the utilisation value to investors in the market per dollar of imputation credits distributed, if the data upon which those statistics are based is reliable. However, there are potential issues with the quality of the underlying taxation data. For example, Lally has advised that the taxation data is unreliable.</w:t>
      </w:r>
      <w:r w:rsidRPr="00E750F8">
        <w:rPr>
          <w:rStyle w:val="FootnoteReference"/>
        </w:rPr>
        <w:footnoteReference w:id="14"/>
      </w:r>
      <w:r w:rsidRPr="005764F6">
        <w:t xml:space="preserve"> Having regard to the potential data limitations and alternate estimates, the evidence from tax statistics is not inconsistent with the evidence from the equity ownership approach, but we pla</w:t>
      </w:r>
      <w:r w:rsidR="00F143A3">
        <w:t>ce less reliance upon it (s</w:t>
      </w:r>
      <w:r w:rsidRPr="005764F6">
        <w:t xml:space="preserve">ee section </w:t>
      </w:r>
      <w:r w:rsidRPr="005764F6">
        <w:fldChar w:fldCharType="begin"/>
      </w:r>
      <w:r w:rsidRPr="005764F6">
        <w:instrText xml:space="preserve"> REF _Ref402179420 \r \h  \* MERGEFORMAT </w:instrText>
      </w:r>
      <w:r w:rsidRPr="005764F6">
        <w:fldChar w:fldCharType="separate"/>
      </w:r>
      <w:r w:rsidR="00812A72">
        <w:t>A.13</w:t>
      </w:r>
      <w:r w:rsidRPr="005764F6">
        <w:fldChar w:fldCharType="end"/>
      </w:r>
      <w:r w:rsidRPr="005764F6">
        <w:t>).</w:t>
      </w:r>
      <w:r>
        <w:t xml:space="preserve"> One issue that has arisen during litigation about gamma is whether t</w:t>
      </w:r>
      <w:r w:rsidRPr="005764F6">
        <w:t xml:space="preserve">ax statistics </w:t>
      </w:r>
      <w:r w:rsidRPr="001D37D5">
        <w:t>provide an upper bound estimate for gamma</w:t>
      </w:r>
      <w:r w:rsidR="00011740">
        <w:t xml:space="preserve">. </w:t>
      </w:r>
      <w:r>
        <w:t>T</w:t>
      </w:r>
      <w:r w:rsidRPr="001D37D5">
        <w:t>he</w:t>
      </w:r>
      <w:r>
        <w:t xml:space="preserve"> Ausgrid</w:t>
      </w:r>
      <w:r w:rsidRPr="001D37D5">
        <w:t xml:space="preserve"> Tribunal found</w:t>
      </w:r>
      <w:r>
        <w:t xml:space="preserve"> that it did provide an upper bound</w:t>
      </w:r>
      <w:r w:rsidRPr="001D37D5">
        <w:t>.</w:t>
      </w:r>
      <w:r w:rsidRPr="00E750F8">
        <w:rPr>
          <w:rStyle w:val="FootnoteReference"/>
        </w:rPr>
        <w:footnoteReference w:id="15"/>
      </w:r>
      <w:r w:rsidRPr="001D37D5">
        <w:t xml:space="preserve"> </w:t>
      </w:r>
      <w:r>
        <w:t>In contrast, the SAPN Tribunal found that it did not.</w:t>
      </w:r>
      <w:r w:rsidR="00493F01" w:rsidRPr="0088743A">
        <w:rPr>
          <w:rStyle w:val="FootnoteReference"/>
        </w:rPr>
        <w:footnoteReference w:id="16"/>
      </w:r>
      <w:r w:rsidR="004576F7">
        <w:t xml:space="preserve"> </w:t>
      </w:r>
      <w:r>
        <w:t xml:space="preserve">A report we received from </w:t>
      </w:r>
      <w:r w:rsidRPr="001D37D5">
        <w:t>Lally</w:t>
      </w:r>
      <w:r>
        <w:t>, after we had made our Ausgrid and SAPN decisions</w:t>
      </w:r>
      <w:r w:rsidRPr="001D37D5">
        <w:t xml:space="preserve"> supports </w:t>
      </w:r>
      <w:r>
        <w:t>the</w:t>
      </w:r>
      <w:r w:rsidRPr="001D37D5">
        <w:t xml:space="preserve"> view</w:t>
      </w:r>
      <w:r>
        <w:t xml:space="preserve"> that tax statistics do not provide an upper bound to the value of gamma</w:t>
      </w:r>
      <w:r w:rsidRPr="001D37D5">
        <w:t>.</w:t>
      </w:r>
      <w:r w:rsidRPr="00E750F8">
        <w:rPr>
          <w:rStyle w:val="FootnoteReference"/>
        </w:rPr>
        <w:footnoteReference w:id="17"/>
      </w:r>
      <w:r w:rsidRPr="001D37D5">
        <w:t xml:space="preserve"> We consider tax statistics provide a point estimate of the utilisation rate</w:t>
      </w:r>
      <w:r w:rsidR="00913303">
        <w:t xml:space="preserve"> of questionable reliability</w:t>
      </w:r>
      <w:r w:rsidRPr="001D37D5">
        <w:t xml:space="preserve">. </w:t>
      </w:r>
    </w:p>
    <w:p w:rsidR="001E6A60" w:rsidRPr="005764F6" w:rsidRDefault="001E6A60" w:rsidP="001E6A60">
      <w:pPr>
        <w:pStyle w:val="AERbulletlistsecondstyle"/>
      </w:pPr>
      <w:r>
        <w:t>I</w:t>
      </w:r>
      <w:r w:rsidRPr="005764F6">
        <w:t>mplied market value studies are</w:t>
      </w:r>
      <w:r>
        <w:t xml:space="preserve"> another source of evidence but they are</w:t>
      </w:r>
      <w:r w:rsidRPr="005764F6">
        <w:t xml:space="preserve"> affected by factors such as differential personal taxation and </w:t>
      </w:r>
      <w:r w:rsidR="00F34CD4">
        <w:t xml:space="preserve">other </w:t>
      </w:r>
      <w:r w:rsidRPr="005764F6">
        <w:t xml:space="preserve">personal costs. This means they do not provide an estimate of the utilisation value to investors in the market per dollar of imputation credits distributed on a post-tax (pre-personal tax and costs basis). Therefore, they are inconsistent with the Officer framework unless they are adjusted. Even when adjusted, implied market value studies are subject to many limitations and do not clearly measure the value to the aggregate investors who provide long term capital to a benchmark efficient entity. Lally stated his views on dividend drop off studies are 'highly adverse' and considers it appropriate to place the lowest reliance on their results (see section </w:t>
      </w:r>
      <w:r w:rsidRPr="005764F6">
        <w:fldChar w:fldCharType="begin"/>
      </w:r>
      <w:r w:rsidRPr="005764F6">
        <w:instrText xml:space="preserve"> REF _Ref451186079 \r \h  \* MERGEFORMAT </w:instrText>
      </w:r>
      <w:r w:rsidRPr="005764F6">
        <w:fldChar w:fldCharType="separate"/>
      </w:r>
      <w:r w:rsidR="00812A72">
        <w:t>A.15</w:t>
      </w:r>
      <w:r w:rsidRPr="005764F6">
        <w:fldChar w:fldCharType="end"/>
      </w:r>
      <w:r w:rsidRPr="005764F6">
        <w:t>).</w:t>
      </w:r>
      <w:r w:rsidRPr="00583683">
        <w:rPr>
          <w:rStyle w:val="FootnoteReference"/>
        </w:rPr>
        <w:footnoteReference w:id="18"/>
      </w:r>
    </w:p>
    <w:p w:rsidR="001E6A60" w:rsidRPr="001D37D5" w:rsidRDefault="001E6A60" w:rsidP="001E6A60">
      <w:pPr>
        <w:pStyle w:val="AERbulletlistfirststyle"/>
      </w:pPr>
      <w:r>
        <w:t>We</w:t>
      </w:r>
      <w:r w:rsidRPr="005764F6">
        <w:t xml:space="preserve"> </w:t>
      </w:r>
      <w:r w:rsidRPr="001D37D5">
        <w:t>have regard to a listed equity measure of the distribution rate, which we consider is reasonably reflective of a benchmark efficient entity</w:t>
      </w:r>
      <w:r>
        <w:t>,</w:t>
      </w:r>
      <w:r w:rsidRPr="001D37D5">
        <w:t xml:space="preserve"> given the trade-offs associated with </w:t>
      </w:r>
      <w:r w:rsidRPr="001D37D5">
        <w:lastRenderedPageBreak/>
        <w:t xml:space="preserve">choosing an appropriate dataset (see section </w:t>
      </w:r>
      <w:r w:rsidRPr="001D37D5">
        <w:fldChar w:fldCharType="begin"/>
      </w:r>
      <w:r w:rsidRPr="001D37D5">
        <w:instrText xml:space="preserve"> REF _Ref401133206 \r \h  \* MERGEFORMAT </w:instrText>
      </w:r>
      <w:r w:rsidRPr="001D37D5">
        <w:fldChar w:fldCharType="separate"/>
      </w:r>
      <w:r w:rsidR="00812A72">
        <w:t>A.10</w:t>
      </w:r>
      <w:r w:rsidRPr="001D37D5">
        <w:fldChar w:fldCharType="end"/>
      </w:r>
      <w:r w:rsidRPr="001D37D5">
        <w:t>).</w:t>
      </w:r>
      <w:r w:rsidRPr="001D37D5">
        <w:rPr>
          <w:rStyle w:val="FootnoteReference"/>
        </w:rPr>
        <w:footnoteReference w:id="19"/>
      </w:r>
      <w:r w:rsidRPr="001D37D5">
        <w:t xml:space="preserve"> </w:t>
      </w:r>
      <w:r>
        <w:t xml:space="preserve">While our consultant's advice is that there is no necessity to combine </w:t>
      </w:r>
      <w:r w:rsidRPr="001D37D5">
        <w:t>estimates of the distribution rate and utilisation rate from the same dataset</w:t>
      </w:r>
      <w:r>
        <w:t xml:space="preserve"> and good reason not for not doing so, we have continued to principally match datasets.</w:t>
      </w:r>
      <w:r>
        <w:rPr>
          <w:rStyle w:val="FootnoteReference"/>
        </w:rPr>
        <w:footnoteReference w:id="20"/>
      </w:r>
      <w:r>
        <w:t xml:space="preserve"> Our approach leads to conservative estimate</w:t>
      </w:r>
      <w:r w:rsidR="00490FB7">
        <w:t xml:space="preserve"> (in favour of the service providers)</w:t>
      </w:r>
      <w:r>
        <w:t>, as Lally considers only listed firms should be used to determine the distribution rate and all equity should be used to estimate the utilisation value which results in a gamma estimate of 0.5. W</w:t>
      </w:r>
      <w:r w:rsidRPr="001D37D5">
        <w:t>hile we primarily maintain our previous approach in this decision, we also have some regard to Lally's preferred approach. This combines a distribution rate for listed equity from financial reports of the top 20 listed firms with an all equity utilisation rate from the equity ownership approach.</w:t>
      </w:r>
      <w:r w:rsidRPr="001D37D5">
        <w:rPr>
          <w:rStyle w:val="FootnoteReference"/>
        </w:rPr>
        <w:footnoteReference w:id="21"/>
      </w:r>
      <w:r w:rsidRPr="001D37D5">
        <w:t xml:space="preserve"> We also have some regard to a gamma estimate based on the utilisation rate from taxation statistics of 0.48 (consistent with FAB data used to calculate the cumulative payout ratio distribution rate) and Lally's preferred estimate of the distribution rate for a benchmark efficient entity of 0.83.</w:t>
      </w:r>
      <w:r w:rsidR="00011740">
        <w:t xml:space="preserve"> </w:t>
      </w:r>
      <w:r>
        <w:t>This additional evidence also supports a value of gamma of 0.4.</w:t>
      </w:r>
    </w:p>
    <w:p w:rsidR="00437CA2" w:rsidRPr="001D37D5" w:rsidRDefault="001E6A60">
      <w:pPr>
        <w:pStyle w:val="AERbulletlistfirststyle"/>
      </w:pPr>
      <w:r w:rsidRPr="00C64627">
        <w:t>Lally supports, among other things, our conceptual approach to estimating gamma and the relative reliance we place on different sources of evidence to estimate the utilisation rate.</w:t>
      </w:r>
      <w:r w:rsidRPr="00E750F8">
        <w:rPr>
          <w:rStyle w:val="FootnoteReference"/>
        </w:rPr>
        <w:footnoteReference w:id="22"/>
      </w:r>
      <w:r w:rsidRPr="00C64627">
        <w:t xml:space="preserve"> However, he recommended an estimate of the value of gamma of at least 0.5. This is higher than the estimate of 0.4 we adopt in this decision. </w:t>
      </w:r>
      <w:r>
        <w:t>Other expert reports, s</w:t>
      </w:r>
      <w:r w:rsidR="00E4542B">
        <w:t xml:space="preserve">uch as those provided by AusNet Services </w:t>
      </w:r>
      <w:r>
        <w:t xml:space="preserve">in support of its proposal, argue for a lower value. </w:t>
      </w:r>
      <w:r w:rsidRPr="00C64627">
        <w:t xml:space="preserve">We maintain our approach </w:t>
      </w:r>
      <w:r>
        <w:t xml:space="preserve">in recent previous decisions to value gamma at 0.4 </w:t>
      </w:r>
      <w:r w:rsidRPr="00C64627">
        <w:t xml:space="preserve">because we consider </w:t>
      </w:r>
      <w:r>
        <w:t>a value of 0.4</w:t>
      </w:r>
      <w:r w:rsidRPr="00C64627">
        <w:t xml:space="preserve"> </w:t>
      </w:r>
      <w:r>
        <w:t>reflects our best j</w:t>
      </w:r>
      <w:r w:rsidR="00493F01">
        <w:t xml:space="preserve">udgement in the circumstances. </w:t>
      </w:r>
      <w:r>
        <w:t xml:space="preserve">It is based on our assessment of the available evidence having regard to </w:t>
      </w:r>
      <w:r w:rsidRPr="00C64627">
        <w:t>the requirements of the NER/NGR</w:t>
      </w:r>
      <w:r>
        <w:t>.</w:t>
      </w:r>
      <w:bookmarkEnd w:id="20"/>
    </w:p>
    <w:p w:rsidR="00437CA2" w:rsidRDefault="00437CA2" w:rsidP="007F6EED">
      <w:pPr>
        <w:pStyle w:val="HeadingBoldItalic"/>
      </w:pPr>
      <w:bookmarkStart w:id="25" w:name="_Toc456614272"/>
      <w:bookmarkStart w:id="26" w:name="_Toc480814856"/>
      <w:bookmarkStart w:id="27" w:name="_Toc481056644"/>
      <w:bookmarkStart w:id="28" w:name="_Toc481061438"/>
      <w:r>
        <w:t>The use of taxation statistics</w:t>
      </w:r>
      <w:bookmarkEnd w:id="25"/>
      <w:bookmarkEnd w:id="26"/>
      <w:bookmarkEnd w:id="27"/>
      <w:bookmarkEnd w:id="28"/>
    </w:p>
    <w:p w:rsidR="00437CA2" w:rsidRDefault="00437CA2" w:rsidP="00437CA2">
      <w:r>
        <w:t xml:space="preserve">In response to the </w:t>
      </w:r>
      <w:r w:rsidR="00910E36">
        <w:t>Ausgrid</w:t>
      </w:r>
      <w:r>
        <w:t xml:space="preserve"> Tribunal decisions, we have again considered the reliability of utilisation rate and gamma estimates based on tax statistics. We have also considered what can reasonably be concluded about the appropriate estimate of gamma for a benchmark efficient entity based on these statistics. This section briefly summarises our views on these matters. </w:t>
      </w:r>
    </w:p>
    <w:p w:rsidR="00437CA2" w:rsidRPr="00243100" w:rsidRDefault="00437CA2" w:rsidP="00437CA2">
      <w:r w:rsidRPr="00243100">
        <w:t xml:space="preserve">In this decision, </w:t>
      </w:r>
      <w:r>
        <w:t>we</w:t>
      </w:r>
      <w:r w:rsidRPr="00243100">
        <w:t xml:space="preserve"> consider there are </w:t>
      </w:r>
      <w:r>
        <w:t xml:space="preserve">potential </w:t>
      </w:r>
      <w:r w:rsidRPr="00243100">
        <w:t>underlying data issues with tax statistics and as a result</w:t>
      </w:r>
      <w:r>
        <w:t>,</w:t>
      </w:r>
      <w:r w:rsidRPr="00243100">
        <w:t xml:space="preserve"> the utilisation </w:t>
      </w:r>
      <w:r>
        <w:t>rate</w:t>
      </w:r>
      <w:r w:rsidRPr="00243100">
        <w:t xml:space="preserve"> cannot be estimated reliably f</w:t>
      </w:r>
      <w:r>
        <w:t>rom this data</w:t>
      </w:r>
      <w:r w:rsidRPr="00243100">
        <w:t xml:space="preserve">. As outlined by Lally, the data issues with tax statistics </w:t>
      </w:r>
      <w:r>
        <w:t>are</w:t>
      </w:r>
      <w:r w:rsidRPr="00243100">
        <w:t xml:space="preserve"> generally accepted by service providers, </w:t>
      </w:r>
      <w:r>
        <w:t>t</w:t>
      </w:r>
      <w:r w:rsidRPr="00243100">
        <w:t>he Tribunal, Hathaway, NERA</w:t>
      </w:r>
      <w:r w:rsidR="00910E36">
        <w:t xml:space="preserve"> and</w:t>
      </w:r>
      <w:r w:rsidRPr="00243100">
        <w:t xml:space="preserve"> Handley.</w:t>
      </w:r>
      <w:r>
        <w:rPr>
          <w:rStyle w:val="FootnoteReference"/>
        </w:rPr>
        <w:footnoteReference w:id="23"/>
      </w:r>
      <w:r>
        <w:t xml:space="preserve"> </w:t>
      </w:r>
      <w:r w:rsidR="00910E36">
        <w:t xml:space="preserve">Frontier has submitted that tax statistics can estimate gamma reliably as the ratio of imputation credits redeemed to imputation credit </w:t>
      </w:r>
      <w:r w:rsidR="00910E36">
        <w:lastRenderedPageBreak/>
        <w:t>created.</w:t>
      </w:r>
      <w:r w:rsidR="00493F01">
        <w:rPr>
          <w:rStyle w:val="FootnoteReference"/>
        </w:rPr>
        <w:footnoteReference w:id="24"/>
      </w:r>
      <w:r w:rsidR="00910E36">
        <w:t xml:space="preserve"> However, </w:t>
      </w:r>
      <w:r w:rsidR="003575D8">
        <w:t xml:space="preserve">we are not convinced following our review of the Hathaway paper and our recent advice from Lally (see section </w:t>
      </w:r>
      <w:r w:rsidR="003575D8">
        <w:fldChar w:fldCharType="begin"/>
      </w:r>
      <w:r w:rsidR="003575D8">
        <w:instrText xml:space="preserve"> REF _Ref402179420 \n \h </w:instrText>
      </w:r>
      <w:r w:rsidR="003575D8">
        <w:fldChar w:fldCharType="separate"/>
      </w:r>
      <w:r w:rsidR="00812A72">
        <w:t>A.13</w:t>
      </w:r>
      <w:r w:rsidR="003575D8">
        <w:fldChar w:fldCharType="end"/>
      </w:r>
      <w:r w:rsidR="003575D8">
        <w:t xml:space="preserve">). </w:t>
      </w:r>
      <w:r>
        <w:t>For this reason, in this decision, we have placed limited weight on tax statistics.</w:t>
      </w:r>
    </w:p>
    <w:p w:rsidR="00437CA2" w:rsidRDefault="00437CA2" w:rsidP="00437CA2">
      <w:r w:rsidRPr="00243100">
        <w:t xml:space="preserve">Lally considers tax statistics </w:t>
      </w:r>
      <w:r>
        <w:t xml:space="preserve">do not provide a reliable </w:t>
      </w:r>
      <w:r w:rsidRPr="00243100">
        <w:t>estimate of the utilisation rate.</w:t>
      </w:r>
      <w:r>
        <w:rPr>
          <w:rStyle w:val="FootnoteReference"/>
        </w:rPr>
        <w:footnoteReference w:id="25"/>
      </w:r>
      <w:r w:rsidRPr="00243100">
        <w:t xml:space="preserve"> Lally </w:t>
      </w:r>
      <w:r>
        <w:t xml:space="preserve">also </w:t>
      </w:r>
      <w:r w:rsidRPr="00243100">
        <w:t>consider</w:t>
      </w:r>
      <w:r>
        <w:t>s</w:t>
      </w:r>
      <w:r w:rsidRPr="00243100">
        <w:t xml:space="preserve"> </w:t>
      </w:r>
      <w:r>
        <w:t>our</w:t>
      </w:r>
      <w:r w:rsidRPr="00243100">
        <w:t xml:space="preserve"> </w:t>
      </w:r>
      <w:r>
        <w:t xml:space="preserve">tax statistic </w:t>
      </w:r>
      <w:r w:rsidRPr="00243100">
        <w:t>estimate of 0.48 is</w:t>
      </w:r>
      <w:r>
        <w:t xml:space="preserve"> </w:t>
      </w:r>
      <w:r w:rsidRPr="005764F6">
        <w:rPr>
          <w:rStyle w:val="AERtextunderline"/>
        </w:rPr>
        <w:t>not</w:t>
      </w:r>
      <w:r w:rsidRPr="00243100">
        <w:t xml:space="preserve"> an upper bound</w:t>
      </w:r>
      <w:r>
        <w:t xml:space="preserve">. As </w:t>
      </w:r>
      <w:r w:rsidRPr="00243100">
        <w:t>Lally</w:t>
      </w:r>
      <w:r>
        <w:t xml:space="preserve"> explains,</w:t>
      </w:r>
      <w:r w:rsidRPr="00243100">
        <w:t xml:space="preserve"> the fact that Hathaway also considered 0.6</w:t>
      </w:r>
      <w:r>
        <w:t>2</w:t>
      </w:r>
      <w:r w:rsidRPr="00243100">
        <w:t xml:space="preserve"> </w:t>
      </w:r>
      <w:r>
        <w:t xml:space="preserve">a </w:t>
      </w:r>
      <w:r w:rsidRPr="00243100">
        <w:t>possible estimate of the utilisation rate</w:t>
      </w:r>
      <w:r>
        <w:t xml:space="preserve"> demonstrates </w:t>
      </w:r>
      <w:r w:rsidRPr="00243100">
        <w:t xml:space="preserve">the </w:t>
      </w:r>
      <w:r>
        <w:t xml:space="preserve">utilisation rate estimate of </w:t>
      </w:r>
      <w:r w:rsidRPr="00243100">
        <w:t>0.48 is not an upper bound.</w:t>
      </w:r>
      <w:r w:rsidRPr="00AB0B17">
        <w:rPr>
          <w:rStyle w:val="FootnoteReference"/>
        </w:rPr>
        <w:footnoteReference w:id="26"/>
      </w:r>
      <w:r>
        <w:t xml:space="preserve"> We consider that any uncertain estimate is not an upper bound.</w:t>
      </w:r>
    </w:p>
    <w:p w:rsidR="00437CA2" w:rsidRDefault="00437CA2" w:rsidP="00437CA2">
      <w:r w:rsidRPr="00243100">
        <w:t xml:space="preserve">Putting </w:t>
      </w:r>
      <w:r>
        <w:t>aside the data reliability issues with tax statistics, all the evidence before us on tax statistics does</w:t>
      </w:r>
      <w:r w:rsidRPr="00243100">
        <w:t xml:space="preserve"> not demonstrate </w:t>
      </w:r>
      <w:r>
        <w:t>our</w:t>
      </w:r>
      <w:r w:rsidRPr="00243100">
        <w:t xml:space="preserve"> gamma estimate for </w:t>
      </w:r>
      <w:r>
        <w:t>a</w:t>
      </w:r>
      <w:r w:rsidRPr="00243100">
        <w:t xml:space="preserve"> benchmark effi</w:t>
      </w:r>
      <w:r>
        <w:t xml:space="preserve">cient entity of 0.4 is too high. This is evident in </w:t>
      </w:r>
      <w:r>
        <w:fldChar w:fldCharType="begin"/>
      </w:r>
      <w:r>
        <w:instrText xml:space="preserve"> REF _Ref451627331 \h </w:instrText>
      </w:r>
      <w:r>
        <w:fldChar w:fldCharType="separate"/>
      </w:r>
      <w:r w:rsidR="00812A72" w:rsidRPr="00883125">
        <w:t xml:space="preserve">Table </w:t>
      </w:r>
      <w:r w:rsidR="00812A72">
        <w:rPr>
          <w:noProof/>
        </w:rPr>
        <w:t>4</w:t>
      </w:r>
      <w:r w:rsidR="00812A72">
        <w:noBreakHyphen/>
      </w:r>
      <w:r w:rsidR="00812A72">
        <w:rPr>
          <w:noProof/>
        </w:rPr>
        <w:t>2</w:t>
      </w:r>
      <w:r>
        <w:fldChar w:fldCharType="end"/>
      </w:r>
      <w:r>
        <w:t>.</w:t>
      </w:r>
    </w:p>
    <w:p w:rsidR="00437CA2" w:rsidRPr="00883125" w:rsidRDefault="00437CA2" w:rsidP="00437CA2">
      <w:pPr>
        <w:pStyle w:val="Caption"/>
      </w:pPr>
      <w:bookmarkStart w:id="29" w:name="_Ref451627331"/>
      <w:r w:rsidRPr="00883125">
        <w:t xml:space="preserve">Table </w:t>
      </w:r>
      <w:r w:rsidRPr="00962162">
        <w:fldChar w:fldCharType="begin"/>
      </w:r>
      <w:r>
        <w:instrText xml:space="preserve"> STYLEREF 1 \s </w:instrText>
      </w:r>
      <w:r w:rsidRPr="00962162">
        <w:fldChar w:fldCharType="separate"/>
      </w:r>
      <w:r w:rsidR="00812A72">
        <w:rPr>
          <w:noProof/>
        </w:rPr>
        <w:t>4</w:t>
      </w:r>
      <w:r w:rsidRPr="00962162">
        <w:fldChar w:fldCharType="end"/>
      </w:r>
      <w:r>
        <w:noBreakHyphen/>
      </w:r>
      <w:r w:rsidRPr="00962162">
        <w:fldChar w:fldCharType="begin"/>
      </w:r>
      <w:r>
        <w:instrText xml:space="preserve"> SEQ Table \* ARABIC \s 1 </w:instrText>
      </w:r>
      <w:r w:rsidRPr="00962162">
        <w:fldChar w:fldCharType="separate"/>
      </w:r>
      <w:r w:rsidR="00812A72">
        <w:rPr>
          <w:noProof/>
        </w:rPr>
        <w:t>2</w:t>
      </w:r>
      <w:r w:rsidRPr="00962162">
        <w:fldChar w:fldCharType="end"/>
      </w:r>
      <w:bookmarkEnd w:id="29"/>
      <w:r w:rsidRPr="00883125">
        <w:tab/>
        <w:t xml:space="preserve">Estimates of the value of imputation credits—evidence from </w:t>
      </w:r>
      <w:r>
        <w:t>taxation statistics</w:t>
      </w:r>
    </w:p>
    <w:tbl>
      <w:tblPr>
        <w:tblStyle w:val="AERtable-numbers"/>
        <w:tblW w:w="0" w:type="auto"/>
        <w:tblLook w:val="04A0" w:firstRow="1" w:lastRow="0" w:firstColumn="1" w:lastColumn="0" w:noHBand="0" w:noVBand="1"/>
      </w:tblPr>
      <w:tblGrid>
        <w:gridCol w:w="3085"/>
        <w:gridCol w:w="2052"/>
        <w:gridCol w:w="2052"/>
        <w:gridCol w:w="2053"/>
      </w:tblGrid>
      <w:tr w:rsidR="00437CA2" w:rsidTr="00437CA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437CA2" w:rsidRPr="00883125" w:rsidRDefault="00437CA2" w:rsidP="00C52695">
            <w:pPr>
              <w:numPr>
                <w:ilvl w:val="0"/>
                <w:numId w:val="24"/>
              </w:numPr>
            </w:pPr>
          </w:p>
        </w:tc>
        <w:tc>
          <w:tcPr>
            <w:tcW w:w="2052" w:type="dxa"/>
          </w:tcPr>
          <w:p w:rsidR="00437CA2" w:rsidRPr="00437CA2" w:rsidRDefault="00437CA2" w:rsidP="00437CA2">
            <w:pPr>
              <w:cnfStyle w:val="100000000000" w:firstRow="1" w:lastRow="0" w:firstColumn="0" w:lastColumn="0" w:oddVBand="0" w:evenVBand="0" w:oddHBand="0" w:evenHBand="0" w:firstRowFirstColumn="0" w:firstRowLastColumn="0" w:lastRowFirstColumn="0" w:lastRowLastColumn="0"/>
            </w:pPr>
            <w:r w:rsidRPr="00883125">
              <w:t xml:space="preserve">Utilisation </w:t>
            </w:r>
            <w:r w:rsidRPr="00437CA2">
              <w:t>rate</w:t>
            </w:r>
          </w:p>
        </w:tc>
        <w:tc>
          <w:tcPr>
            <w:tcW w:w="2052" w:type="dxa"/>
          </w:tcPr>
          <w:p w:rsidR="00437CA2" w:rsidRPr="00437CA2" w:rsidRDefault="00437CA2" w:rsidP="00437CA2">
            <w:p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053" w:type="dxa"/>
          </w:tcPr>
          <w:p w:rsidR="00437CA2" w:rsidRPr="00437CA2" w:rsidRDefault="00437CA2" w:rsidP="00437CA2">
            <w:pPr>
              <w:cnfStyle w:val="100000000000" w:firstRow="1" w:lastRow="0" w:firstColumn="0" w:lastColumn="0" w:oddVBand="0" w:evenVBand="0" w:oddHBand="0" w:evenHBand="0" w:firstRowFirstColumn="0" w:firstRowLastColumn="0" w:lastRowFirstColumn="0" w:lastRowLastColumn="0"/>
            </w:pPr>
            <w:r w:rsidRPr="00883125">
              <w:t xml:space="preserve">Value of </w:t>
            </w:r>
            <w:r w:rsidRPr="00437CA2">
              <w:t>Imputation Credits</w:t>
            </w:r>
          </w:p>
        </w:tc>
      </w:tr>
      <w:tr w:rsidR="00437CA2" w:rsidTr="00437CA2">
        <w:trPr>
          <w:cantSplit/>
        </w:trPr>
        <w:tc>
          <w:tcPr>
            <w:cnfStyle w:val="001000000000" w:firstRow="0" w:lastRow="0" w:firstColumn="1" w:lastColumn="0" w:oddVBand="0" w:evenVBand="0" w:oddHBand="0" w:evenHBand="0" w:firstRowFirstColumn="0" w:firstRowLastColumn="0" w:lastRowFirstColumn="0" w:lastRowLastColumn="0"/>
            <w:tcW w:w="3085" w:type="dxa"/>
          </w:tcPr>
          <w:p w:rsidR="00437CA2" w:rsidRPr="00883125" w:rsidRDefault="00437CA2" w:rsidP="00C52695">
            <w:pPr>
              <w:numPr>
                <w:ilvl w:val="0"/>
                <w:numId w:val="24"/>
              </w:numPr>
            </w:pPr>
            <w:r>
              <w:t>All equity</w:t>
            </w:r>
          </w:p>
        </w:tc>
        <w:tc>
          <w:tcPr>
            <w:tcW w:w="2052" w:type="dxa"/>
          </w:tcPr>
          <w:p w:rsidR="00437CA2" w:rsidRPr="00437CA2" w:rsidRDefault="00437CA2" w:rsidP="00437CA2">
            <w:pPr>
              <w:cnfStyle w:val="000000000000" w:firstRow="0" w:lastRow="0" w:firstColumn="0" w:lastColumn="0" w:oddVBand="0" w:evenVBand="0" w:oddHBand="0" w:evenHBand="0" w:firstRowFirstColumn="0" w:firstRowLastColumn="0" w:lastRowFirstColumn="0" w:lastRowLastColumn="0"/>
            </w:pPr>
            <w:r w:rsidRPr="00883125">
              <w:t>0.</w:t>
            </w:r>
            <w:r w:rsidRPr="00437CA2">
              <w:t>48</w:t>
            </w:r>
          </w:p>
        </w:tc>
        <w:tc>
          <w:tcPr>
            <w:tcW w:w="2052" w:type="dxa"/>
          </w:tcPr>
          <w:p w:rsidR="00437CA2" w:rsidRPr="00883125" w:rsidRDefault="00437CA2"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r>
              <w:rPr>
                <w:rStyle w:val="FootnoteReference"/>
              </w:rPr>
              <w:footnoteReference w:id="27"/>
            </w:r>
          </w:p>
        </w:tc>
        <w:tc>
          <w:tcPr>
            <w:tcW w:w="2053" w:type="dxa"/>
          </w:tcPr>
          <w:p w:rsidR="00437CA2" w:rsidRPr="00883125" w:rsidRDefault="00437CA2" w:rsidP="00C52695">
            <w:pPr>
              <w:numPr>
                <w:ilvl w:val="0"/>
                <w:numId w:val="24"/>
              </w:numPr>
              <w:cnfStyle w:val="000000000000" w:firstRow="0" w:lastRow="0" w:firstColumn="0" w:lastColumn="0" w:oddVBand="0" w:evenVBand="0" w:oddHBand="0" w:evenHBand="0" w:firstRowFirstColumn="0" w:firstRowLastColumn="0" w:lastRowFirstColumn="0" w:lastRowLastColumn="0"/>
            </w:pPr>
            <w:r>
              <w:t>0.34</w:t>
            </w:r>
          </w:p>
        </w:tc>
      </w:tr>
      <w:tr w:rsidR="00437CA2" w:rsidTr="00437CA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437CA2" w:rsidRPr="00883125" w:rsidRDefault="00437CA2" w:rsidP="00C52695">
            <w:pPr>
              <w:numPr>
                <w:ilvl w:val="0"/>
                <w:numId w:val="24"/>
              </w:numPr>
            </w:pPr>
            <w:r>
              <w:t>Listed equity</w:t>
            </w:r>
          </w:p>
        </w:tc>
        <w:tc>
          <w:tcPr>
            <w:tcW w:w="2052" w:type="dxa"/>
          </w:tcPr>
          <w:p w:rsidR="00437CA2" w:rsidRPr="00437CA2" w:rsidRDefault="00437CA2" w:rsidP="00437CA2">
            <w:pPr>
              <w:cnfStyle w:val="000000010000" w:firstRow="0" w:lastRow="0" w:firstColumn="0" w:lastColumn="0" w:oddVBand="0" w:evenVBand="0" w:oddHBand="0" w:evenHBand="1" w:firstRowFirstColumn="0" w:firstRowLastColumn="0" w:lastRowFirstColumn="0" w:lastRowLastColumn="0"/>
            </w:pPr>
            <w:r w:rsidRPr="00883125">
              <w:t>0.</w:t>
            </w:r>
            <w:r w:rsidRPr="00437CA2">
              <w:t>48</w:t>
            </w:r>
            <w:r w:rsidR="00CD04C8">
              <w:rPr>
                <w:rStyle w:val="FootnoteReference"/>
              </w:rPr>
              <w:footnoteReference w:id="28"/>
            </w:r>
          </w:p>
        </w:tc>
        <w:tc>
          <w:tcPr>
            <w:tcW w:w="2052" w:type="dxa"/>
          </w:tcPr>
          <w:p w:rsidR="00437CA2" w:rsidRPr="00437CA2" w:rsidRDefault="00437CA2" w:rsidP="00437CA2">
            <w:pPr>
              <w:cnfStyle w:val="000000010000" w:firstRow="0" w:lastRow="0" w:firstColumn="0" w:lastColumn="0" w:oddVBand="0" w:evenVBand="0" w:oddHBand="0" w:evenHBand="1" w:firstRowFirstColumn="0" w:firstRowLastColumn="0" w:lastRowFirstColumn="0" w:lastRowLastColumn="0"/>
            </w:pPr>
            <w:r w:rsidRPr="00883125">
              <w:t>0.7</w:t>
            </w:r>
            <w:r w:rsidRPr="00437CA2">
              <w:t>5</w:t>
            </w:r>
            <w:r w:rsidRPr="00437CA2">
              <w:rPr>
                <w:rStyle w:val="FootnoteReference"/>
              </w:rPr>
              <w:footnoteReference w:id="29"/>
            </w:r>
          </w:p>
        </w:tc>
        <w:tc>
          <w:tcPr>
            <w:tcW w:w="2053" w:type="dxa"/>
          </w:tcPr>
          <w:p w:rsidR="00437CA2" w:rsidRPr="00437CA2" w:rsidRDefault="00437CA2" w:rsidP="00437CA2">
            <w:pPr>
              <w:cnfStyle w:val="000000010000" w:firstRow="0" w:lastRow="0" w:firstColumn="0" w:lastColumn="0" w:oddVBand="0" w:evenVBand="0" w:oddHBand="0" w:evenHBand="1" w:firstRowFirstColumn="0" w:firstRowLastColumn="0" w:lastRowFirstColumn="0" w:lastRowLastColumn="0"/>
            </w:pPr>
            <w:r>
              <w:t>0.36</w:t>
            </w:r>
          </w:p>
        </w:tc>
      </w:tr>
      <w:tr w:rsidR="00437CA2" w:rsidTr="00437CA2">
        <w:trPr>
          <w:cantSplit/>
        </w:trPr>
        <w:tc>
          <w:tcPr>
            <w:cnfStyle w:val="001000000000" w:firstRow="0" w:lastRow="0" w:firstColumn="1" w:lastColumn="0" w:oddVBand="0" w:evenVBand="0" w:oddHBand="0" w:evenHBand="0" w:firstRowFirstColumn="0" w:firstRowLastColumn="0" w:lastRowFirstColumn="0" w:lastRowLastColumn="0"/>
            <w:tcW w:w="3085" w:type="dxa"/>
          </w:tcPr>
          <w:p w:rsidR="00437CA2" w:rsidRPr="00883125" w:rsidRDefault="00437CA2" w:rsidP="00C52695">
            <w:pPr>
              <w:numPr>
                <w:ilvl w:val="0"/>
                <w:numId w:val="24"/>
              </w:numPr>
            </w:pPr>
            <w:r>
              <w:t>Australian Securities Exchange (ASX) top 20 firms</w:t>
            </w:r>
          </w:p>
        </w:tc>
        <w:tc>
          <w:tcPr>
            <w:tcW w:w="2052" w:type="dxa"/>
          </w:tcPr>
          <w:p w:rsidR="00437CA2" w:rsidRPr="00437CA2" w:rsidRDefault="00437CA2" w:rsidP="00437CA2">
            <w:pPr>
              <w:cnfStyle w:val="000000000000" w:firstRow="0" w:lastRow="0" w:firstColumn="0" w:lastColumn="0" w:oddVBand="0" w:evenVBand="0" w:oddHBand="0" w:evenHBand="0" w:firstRowFirstColumn="0" w:firstRowLastColumn="0" w:lastRowFirstColumn="0" w:lastRowLastColumn="0"/>
            </w:pPr>
            <w:r w:rsidRPr="00883125">
              <w:t>0.</w:t>
            </w:r>
            <w:r w:rsidRPr="00437CA2">
              <w:t>48 to 0.62</w:t>
            </w:r>
            <w:r w:rsidR="00BC11CF">
              <w:rPr>
                <w:rStyle w:val="FootnoteReference"/>
              </w:rPr>
              <w:footnoteReference w:id="30"/>
            </w:r>
          </w:p>
        </w:tc>
        <w:tc>
          <w:tcPr>
            <w:tcW w:w="2052" w:type="dxa"/>
          </w:tcPr>
          <w:p w:rsidR="00437CA2" w:rsidRPr="00437CA2" w:rsidRDefault="00437CA2" w:rsidP="00437CA2">
            <w:pPr>
              <w:cnfStyle w:val="000000000000" w:firstRow="0" w:lastRow="0" w:firstColumn="0" w:lastColumn="0" w:oddVBand="0" w:evenVBand="0" w:oddHBand="0" w:evenHBand="0" w:firstRowFirstColumn="0" w:firstRowLastColumn="0" w:lastRowFirstColumn="0" w:lastRowLastColumn="0"/>
            </w:pPr>
            <w:r>
              <w:t>0.83</w:t>
            </w:r>
            <w:r w:rsidRPr="00437CA2">
              <w:rPr>
                <w:rStyle w:val="FootnoteReference"/>
              </w:rPr>
              <w:footnoteReference w:id="31"/>
            </w:r>
          </w:p>
        </w:tc>
        <w:tc>
          <w:tcPr>
            <w:tcW w:w="2053" w:type="dxa"/>
          </w:tcPr>
          <w:p w:rsidR="00437CA2" w:rsidRPr="00437CA2" w:rsidRDefault="00437CA2" w:rsidP="00437CA2">
            <w:pPr>
              <w:cnfStyle w:val="000000000000" w:firstRow="0" w:lastRow="0" w:firstColumn="0" w:lastColumn="0" w:oddVBand="0" w:evenVBand="0" w:oddHBand="0" w:evenHBand="0" w:firstRowFirstColumn="0" w:firstRowLastColumn="0" w:lastRowFirstColumn="0" w:lastRowLastColumn="0"/>
            </w:pPr>
            <w:r>
              <w:t>0.40</w:t>
            </w:r>
            <w:r w:rsidRPr="00437CA2">
              <w:t xml:space="preserve"> to 0.51</w:t>
            </w:r>
            <w:r w:rsidRPr="00437CA2">
              <w:rPr>
                <w:rStyle w:val="FootnoteReference"/>
              </w:rPr>
              <w:footnoteReference w:id="32"/>
            </w:r>
          </w:p>
        </w:tc>
      </w:tr>
    </w:tbl>
    <w:p w:rsidR="00437CA2" w:rsidRPr="00CA67C0" w:rsidRDefault="00437CA2" w:rsidP="00437CA2">
      <w:pPr>
        <w:pStyle w:val="AERtablesource"/>
      </w:pPr>
      <w:r w:rsidRPr="00883125">
        <w:t>Source:</w:t>
      </w:r>
      <w:r w:rsidRPr="00883125">
        <w:tab/>
        <w:t>AER analysis</w:t>
      </w:r>
      <w:r w:rsidRPr="00CA67C0">
        <w:t xml:space="preserve">; Lally, </w:t>
      </w:r>
      <w:r w:rsidRPr="00CA67C0">
        <w:rPr>
          <w:rStyle w:val="AERtextitalic"/>
        </w:rPr>
        <w:t>Gamma and the ACT Decision</w:t>
      </w:r>
      <w:r w:rsidRPr="00CA67C0">
        <w:t>, May 2016, p. 6.</w:t>
      </w:r>
    </w:p>
    <w:p w:rsidR="00437CA2" w:rsidRDefault="00437CA2" w:rsidP="00437CA2">
      <w:r>
        <w:lastRenderedPageBreak/>
        <w:t>Using different distribution rates, tax statistics can potentially provide a range for gamma of 0.34 to 0.51 for the benchmark efficient entity. When Lally's preferred distribution rate is used, this implies a gamma of at least 0.4.</w:t>
      </w:r>
    </w:p>
    <w:p w:rsidR="00437CA2" w:rsidRPr="00243100" w:rsidRDefault="00437CA2" w:rsidP="00437CA2">
      <w:r w:rsidRPr="00243100">
        <w:t xml:space="preserve">In earlier decisions </w:t>
      </w:r>
      <w:r>
        <w:t>we</w:t>
      </w:r>
      <w:r w:rsidRPr="00243100">
        <w:t xml:space="preserve"> did not </w:t>
      </w:r>
      <w:r>
        <w:t>rely on the 0.62</w:t>
      </w:r>
      <w:r w:rsidRPr="00243100">
        <w:t xml:space="preserve"> utilisation rate estimate in the Hathaway 2013 paper.</w:t>
      </w:r>
      <w:r>
        <w:rPr>
          <w:rStyle w:val="FootnoteReference"/>
        </w:rPr>
        <w:footnoteReference w:id="33"/>
      </w:r>
      <w:r w:rsidRPr="00243100">
        <w:t xml:space="preserve"> This is due to the two estimates in Hathaway reflecting two alternative measures of the value of credit</w:t>
      </w:r>
      <w:r>
        <w:t>s</w:t>
      </w:r>
      <w:r w:rsidRPr="00243100">
        <w:t xml:space="preserve"> distributed, which in turn imply two alternative estimate</w:t>
      </w:r>
      <w:r>
        <w:t>s</w:t>
      </w:r>
      <w:r w:rsidRPr="00243100">
        <w:t xml:space="preserve"> of the dist</w:t>
      </w:r>
      <w:r>
        <w:t>ribution rate. The 0.44 and 0.62</w:t>
      </w:r>
      <w:r w:rsidRPr="00243100">
        <w:t xml:space="preserve"> estimates of the utilisation rate correspond to estimates of the distribution rate of around 0.7 and 0.5 respectively.</w:t>
      </w:r>
      <w:r>
        <w:rPr>
          <w:rStyle w:val="FootnoteReference"/>
        </w:rPr>
        <w:footnoteReference w:id="34"/>
      </w:r>
      <w:r w:rsidRPr="00243100">
        <w:t xml:space="preserve"> Hence, since </w:t>
      </w:r>
      <w:r>
        <w:t>we</w:t>
      </w:r>
      <w:r w:rsidRPr="00243100">
        <w:t xml:space="preserve"> used a distribution rate of 0.7 </w:t>
      </w:r>
      <w:r>
        <w:t>for all equity we</w:t>
      </w:r>
      <w:r w:rsidRPr="00243100">
        <w:t xml:space="preserve"> considered it was appr</w:t>
      </w:r>
      <w:r>
        <w:t>opriate to use 0.44 and not 0.62</w:t>
      </w:r>
      <w:r w:rsidRPr="00243100">
        <w:t>. However, this limitation does not apply to Lally</w:t>
      </w:r>
      <w:r>
        <w:t>'s</w:t>
      </w:r>
      <w:r w:rsidRPr="00243100">
        <w:t xml:space="preserve"> analysis, given Lally does not use ATO data to determine the distribution rate. Rather, Lally uses financial statement data for the top 20 listed firm</w:t>
      </w:r>
      <w:r>
        <w:t>s</w:t>
      </w:r>
      <w:r w:rsidRPr="00243100">
        <w:t xml:space="preserve"> to determine </w:t>
      </w:r>
      <w:r>
        <w:t xml:space="preserve">an estimate of </w:t>
      </w:r>
      <w:r w:rsidRPr="00243100">
        <w:t>the distribution rate</w:t>
      </w:r>
      <w:r>
        <w:t xml:space="preserve"> for the benchmark efficient entity</w:t>
      </w:r>
      <w:r w:rsidRPr="00243100">
        <w:t>.</w:t>
      </w:r>
      <w:r w:rsidRPr="00AB0B17">
        <w:rPr>
          <w:rStyle w:val="FootnoteReference"/>
        </w:rPr>
        <w:footnoteReference w:id="35"/>
      </w:r>
      <w:r w:rsidRPr="00243100">
        <w:t xml:space="preserve"> Lally considers the data from financial statements is of high quality given it is audited</w:t>
      </w:r>
      <w:r>
        <w:t xml:space="preserve"> and subject to scrutiny in financial markets</w:t>
      </w:r>
      <w:r w:rsidRPr="00243100">
        <w:t>.</w:t>
      </w:r>
      <w:r w:rsidRPr="00FF4C1C">
        <w:rPr>
          <w:rStyle w:val="FootnoteReference"/>
        </w:rPr>
        <w:footnoteReference w:id="36"/>
      </w:r>
      <w:r w:rsidRPr="00243100">
        <w:t xml:space="preserve"> </w:t>
      </w:r>
      <w:r>
        <w:t>We</w:t>
      </w:r>
      <w:r w:rsidRPr="00243100">
        <w:t xml:space="preserve"> agree there is no inconsistency with combining Lally’s preferred estimate of the </w:t>
      </w:r>
      <w:r>
        <w:t>distribution rate</w:t>
      </w:r>
      <w:r w:rsidRPr="00243100">
        <w:t xml:space="preserve"> with </w:t>
      </w:r>
      <w:r>
        <w:t>an estimate of the</w:t>
      </w:r>
      <w:r w:rsidRPr="00243100">
        <w:t xml:space="preserve"> </w:t>
      </w:r>
      <w:r>
        <w:t>utilisation rates from tax statistics</w:t>
      </w:r>
      <w:r w:rsidRPr="00243100">
        <w:t>.</w:t>
      </w:r>
      <w:r>
        <w:t xml:space="preserve"> This implies the taxation data can support a gamma estimate of at least 0.4 based on Lally's preferred distribution rate estimate of 0.83 and the lower utilisation rate in Hathaway's 2013 paper (of 0.44) updated for current tax statistics to 0.48. Given the uncertainty with the utilisation rate estimate, we also do not consider the taxation statistics would be inconsistent with a higher estimate of gamma than 0.4 for the benchmark efficient entity.</w:t>
      </w:r>
    </w:p>
    <w:p w:rsidR="00492389" w:rsidRDefault="00437CA2" w:rsidP="00437CA2">
      <w:r>
        <w:t>For the reasons explained above (and in section</w:t>
      </w:r>
      <w:r w:rsidR="00AC44F5">
        <w:t xml:space="preserve"> </w:t>
      </w:r>
      <w:r w:rsidR="00AC44F5">
        <w:fldChar w:fldCharType="begin"/>
      </w:r>
      <w:r w:rsidR="00AC44F5">
        <w:instrText xml:space="preserve"> REF _Ref476520062 \r \h </w:instrText>
      </w:r>
      <w:r w:rsidR="00AC44F5">
        <w:fldChar w:fldCharType="separate"/>
      </w:r>
      <w:r w:rsidR="00812A72">
        <w:t>4.4</w:t>
      </w:r>
      <w:r w:rsidR="00AC44F5">
        <w:fldChar w:fldCharType="end"/>
      </w:r>
      <w:r>
        <w:t xml:space="preserve"> and section </w:t>
      </w:r>
      <w:r>
        <w:fldChar w:fldCharType="begin"/>
      </w:r>
      <w:r>
        <w:instrText xml:space="preserve"> REF _Ref402179420 \r \h </w:instrText>
      </w:r>
      <w:r>
        <w:fldChar w:fldCharType="separate"/>
      </w:r>
      <w:r w:rsidR="00812A72">
        <w:t>A.13</w:t>
      </w:r>
      <w:r>
        <w:fldChar w:fldCharType="end"/>
      </w:r>
      <w:r>
        <w:t>), we consider tax statistics do not demonstrate our gamma value of 0.4 is unreasonable.</w:t>
      </w:r>
    </w:p>
    <w:p w:rsidR="00DE563D" w:rsidRPr="001754EE" w:rsidRDefault="000B321F" w:rsidP="001754EE">
      <w:pPr>
        <w:pStyle w:val="Heading2"/>
      </w:pPr>
      <w:bookmarkStart w:id="30" w:name="_Ref477201690"/>
      <w:bookmarkStart w:id="31" w:name="_Toc481061439"/>
      <w:r>
        <w:t>AusNet Services</w:t>
      </w:r>
      <w:r w:rsidR="00415F31" w:rsidRPr="001754EE">
        <w:t>’</w:t>
      </w:r>
      <w:r w:rsidR="00DE563D" w:rsidRPr="001754EE">
        <w:t xml:space="preserve"> </w:t>
      </w:r>
      <w:r w:rsidR="003870A9">
        <w:t xml:space="preserve">revised </w:t>
      </w:r>
      <w:r w:rsidR="00DE563D" w:rsidRPr="001754EE">
        <w:t>proposal</w:t>
      </w:r>
      <w:bookmarkEnd w:id="16"/>
      <w:bookmarkEnd w:id="30"/>
      <w:bookmarkEnd w:id="31"/>
    </w:p>
    <w:p w:rsidR="00437CA2" w:rsidRDefault="00437CA2" w:rsidP="00E750F8">
      <w:pPr>
        <w:numPr>
          <w:ilvl w:val="0"/>
          <w:numId w:val="24"/>
        </w:numPr>
      </w:pPr>
      <w:r>
        <w:t>In its proposal,</w:t>
      </w:r>
      <w:r>
        <w:rPr>
          <w:rStyle w:val="FootnoteReference"/>
        </w:rPr>
        <w:footnoteReference w:id="37"/>
      </w:r>
      <w:r>
        <w:t xml:space="preserve"> </w:t>
      </w:r>
      <w:r w:rsidR="00113F3B">
        <w:t>AusNet Service</w:t>
      </w:r>
      <w:r w:rsidR="003634DD">
        <w:t>s</w:t>
      </w:r>
      <w:r w:rsidR="00D5616B">
        <w:t xml:space="preserve"> has proposed a value of imputation credits of 0.25.</w:t>
      </w:r>
      <w:r w:rsidR="00D85A4C" w:rsidDel="00D85A4C">
        <w:t xml:space="preserve"> </w:t>
      </w:r>
      <w:r w:rsidR="00AC44F5">
        <w:t xml:space="preserve">This being the product of </w:t>
      </w:r>
      <w:r w:rsidR="003634DD">
        <w:t>a</w:t>
      </w:r>
      <w:r w:rsidR="00AC44F5">
        <w:t xml:space="preserve"> distribution rate of 0.7 and </w:t>
      </w:r>
      <w:r w:rsidR="003634DD">
        <w:t xml:space="preserve">a </w:t>
      </w:r>
      <w:r w:rsidR="00AC44F5">
        <w:t>theta (utilisation value) of 0.35.</w:t>
      </w:r>
      <w:r w:rsidR="00AC44F5">
        <w:rPr>
          <w:rStyle w:val="FootnoteReference"/>
        </w:rPr>
        <w:footnoteReference w:id="38"/>
      </w:r>
      <w:r w:rsidR="00490FB7">
        <w:t xml:space="preserve"> </w:t>
      </w:r>
      <w:r w:rsidR="00AC44F5">
        <w:t>AusNet Services submit</w:t>
      </w:r>
      <w:r w:rsidR="00AD585A">
        <w:t>ted</w:t>
      </w:r>
      <w:r w:rsidR="00AC44F5">
        <w:t xml:space="preserve"> this value has recently been upheld by the Australian Competition Tribunal for the second time and reflects the value implied by the most reliable evidence </w:t>
      </w:r>
      <w:r w:rsidR="00AC44F5">
        <w:lastRenderedPageBreak/>
        <w:t>available.</w:t>
      </w:r>
      <w:r w:rsidR="00AC44F5">
        <w:rPr>
          <w:rStyle w:val="FootnoteReference"/>
        </w:rPr>
        <w:footnoteReference w:id="39"/>
      </w:r>
      <w:r w:rsidR="00AC44F5">
        <w:t xml:space="preserve"> AusNet Services consider</w:t>
      </w:r>
      <w:r w:rsidR="00AD35FD">
        <w:t>ed</w:t>
      </w:r>
      <w:r w:rsidR="00AC44F5">
        <w:t xml:space="preserve"> that regulatory certainty is not promoted by the AER continuing to use an approach for gamma which has found to be in error by the Tribunal.</w:t>
      </w:r>
      <w:r w:rsidR="00AC44F5">
        <w:rPr>
          <w:rStyle w:val="FootnoteReference"/>
        </w:rPr>
        <w:footnoteReference w:id="40"/>
      </w:r>
    </w:p>
    <w:p w:rsidR="003979E9" w:rsidRDefault="00437CA2" w:rsidP="00FE55BF">
      <w:r>
        <w:t xml:space="preserve">In support of its submission </w:t>
      </w:r>
      <w:r w:rsidR="00D85A4C">
        <w:t xml:space="preserve">AusNet </w:t>
      </w:r>
      <w:r w:rsidR="003634DD">
        <w:t xml:space="preserve">Services </w:t>
      </w:r>
      <w:r w:rsidR="00D85A4C">
        <w:t>submitted two new reports from Frontier Economic</w:t>
      </w:r>
      <w:r w:rsidR="00146239">
        <w:t xml:space="preserve"> which </w:t>
      </w:r>
      <w:r w:rsidR="003634DD">
        <w:t>concluded</w:t>
      </w:r>
      <w:r w:rsidR="00AD585A">
        <w:t>:</w:t>
      </w:r>
      <w:r w:rsidR="003979E9" w:rsidRPr="003979E9">
        <w:rPr>
          <w:rStyle w:val="FootnoteReference"/>
        </w:rPr>
        <w:t xml:space="preserve"> </w:t>
      </w:r>
      <w:r w:rsidR="003979E9">
        <w:rPr>
          <w:rStyle w:val="FootnoteReference"/>
        </w:rPr>
        <w:footnoteReference w:id="41"/>
      </w:r>
    </w:p>
    <w:p w:rsidR="003979E9" w:rsidRDefault="003634DD" w:rsidP="00E750F8">
      <w:pPr>
        <w:pStyle w:val="AERbulletlistfirststyle"/>
      </w:pPr>
      <w:r>
        <w:t>A</w:t>
      </w:r>
      <w:r w:rsidR="00146239">
        <w:t xml:space="preserve"> theta of 0.35 still remains appropriate when the SFG dividend drop off </w:t>
      </w:r>
      <w:r w:rsidR="00192B61">
        <w:t xml:space="preserve">study </w:t>
      </w:r>
      <w:r w:rsidR="00146239">
        <w:t>is updated for the most recent data.</w:t>
      </w:r>
      <w:r w:rsidR="00146239">
        <w:rPr>
          <w:rStyle w:val="FootnoteReference"/>
        </w:rPr>
        <w:footnoteReference w:id="42"/>
      </w:r>
    </w:p>
    <w:p w:rsidR="00146239" w:rsidRDefault="00146239" w:rsidP="00E750F8">
      <w:pPr>
        <w:pStyle w:val="AERbulletlistfirststyle"/>
      </w:pPr>
      <w:r>
        <w:t>The distribution rate should be set with reference to all equity and it is inappropriate to use a listed equity distribution rate. Frontier considers that the li</w:t>
      </w:r>
      <w:r w:rsidR="00E4542B">
        <w:t>sted equity distribution rate</w:t>
      </w:r>
      <w:r>
        <w:t xml:space="preserve"> does not reflect the BEE as it is </w:t>
      </w:r>
      <w:r w:rsidR="00E4542B">
        <w:t>impacted</w:t>
      </w:r>
      <w:r>
        <w:t xml:space="preserve"> by foreign income. Frontier does not agree with Lally's earlier analysis that </w:t>
      </w:r>
      <w:r w:rsidR="00192B61">
        <w:t xml:space="preserve">firms with higher </w:t>
      </w:r>
      <w:r>
        <w:t xml:space="preserve">foreign income </w:t>
      </w:r>
      <w:r w:rsidR="00192B61">
        <w:t>had</w:t>
      </w:r>
      <w:r>
        <w:t xml:space="preserve"> lower imputation distribution</w:t>
      </w:r>
      <w:r w:rsidR="003634DD">
        <w:t>.</w:t>
      </w:r>
      <w:r w:rsidR="003C692F" w:rsidRPr="003C692F">
        <w:rPr>
          <w:rStyle w:val="FootnoteReference"/>
        </w:rPr>
        <w:footnoteReference w:id="43"/>
      </w:r>
    </w:p>
    <w:p w:rsidR="003C692F" w:rsidRDefault="007D69CB" w:rsidP="00E750F8">
      <w:pPr>
        <w:pStyle w:val="AERbulletlistfirststyle"/>
      </w:pPr>
      <w:r>
        <w:t>Tax statistics produce a reliable estimate for gamma when measured as the ratio of credit redeemed to credits created.</w:t>
      </w:r>
      <w:r w:rsidRPr="007D69CB">
        <w:rPr>
          <w:rStyle w:val="FootnoteReference"/>
        </w:rPr>
        <w:footnoteReference w:id="44"/>
      </w:r>
    </w:p>
    <w:p w:rsidR="009B20EA" w:rsidRDefault="00A11A7C" w:rsidP="007A4EAF">
      <w:r>
        <w:t>In a late submission, AusNet S</w:t>
      </w:r>
      <w:r w:rsidR="00B12938">
        <w:t xml:space="preserve">ervices </w:t>
      </w:r>
      <w:r>
        <w:t>outline</w:t>
      </w:r>
      <w:r w:rsidR="00AD35FD">
        <w:t>d</w:t>
      </w:r>
      <w:r w:rsidR="00B12938">
        <w:t xml:space="preserve"> </w:t>
      </w:r>
      <w:r w:rsidR="005E2E6D">
        <w:t xml:space="preserve">that it is aware of the recent </w:t>
      </w:r>
      <w:r w:rsidR="003634DD">
        <w:t xml:space="preserve">SAPN </w:t>
      </w:r>
      <w:r w:rsidR="005E2E6D">
        <w:t>Tribunal decision. However, AusNet Services submit</w:t>
      </w:r>
      <w:r w:rsidR="00AD35FD">
        <w:t>ted</w:t>
      </w:r>
      <w:r w:rsidR="005E2E6D">
        <w:t xml:space="preserve"> that </w:t>
      </w:r>
      <w:r>
        <w:t xml:space="preserve">the SAPN </w:t>
      </w:r>
      <w:r w:rsidR="005E2E6D">
        <w:t xml:space="preserve">decision is the subject of a judicial review application, including on grounds that the </w:t>
      </w:r>
      <w:r w:rsidR="003634DD">
        <w:t xml:space="preserve">SAPN </w:t>
      </w:r>
      <w:r w:rsidR="005E2E6D">
        <w:t xml:space="preserve">Tribunal did not determine the correct question. Similarly, AusNet </w:t>
      </w:r>
      <w:r>
        <w:t xml:space="preserve">Services </w:t>
      </w:r>
      <w:r w:rsidR="005E2E6D">
        <w:t>recognise</w:t>
      </w:r>
      <w:r w:rsidR="00AD35FD">
        <w:t>d</w:t>
      </w:r>
      <w:r w:rsidR="005E2E6D">
        <w:t xml:space="preserve"> the judicial review application by the AER in respect to the </w:t>
      </w:r>
      <w:r w:rsidR="003634DD">
        <w:t xml:space="preserve">Ausgrid </w:t>
      </w:r>
      <w:r w:rsidR="005E2E6D">
        <w:t>Tribunal's decision remains outstanding.</w:t>
      </w:r>
      <w:r w:rsidR="004423C9">
        <w:rPr>
          <w:rStyle w:val="FootnoteReference"/>
        </w:rPr>
        <w:footnoteReference w:id="45"/>
      </w:r>
    </w:p>
    <w:p w:rsidR="00DE563D" w:rsidRDefault="00DE563D" w:rsidP="001754EE">
      <w:pPr>
        <w:pStyle w:val="Heading2"/>
      </w:pPr>
      <w:bookmarkStart w:id="32" w:name="_Toc403144138"/>
      <w:bookmarkStart w:id="33" w:name="_Toc481061440"/>
      <w:r w:rsidRPr="001754EE">
        <w:t>AER’s</w:t>
      </w:r>
      <w:r>
        <w:t xml:space="preserve"> assessment approach</w:t>
      </w:r>
      <w:bookmarkEnd w:id="32"/>
      <w:bookmarkEnd w:id="33"/>
    </w:p>
    <w:p w:rsidR="00437CA2" w:rsidRPr="00883125" w:rsidRDefault="00437CA2" w:rsidP="00C52695">
      <w:pPr>
        <w:numPr>
          <w:ilvl w:val="0"/>
          <w:numId w:val="24"/>
        </w:numPr>
      </w:pPr>
      <w:r w:rsidRPr="00883125">
        <w:t>In this section we set out the approach we have taken to assessing proposals on the value of imputation credits. This approach includes consideration of:</w:t>
      </w:r>
    </w:p>
    <w:p w:rsidR="00437CA2" w:rsidRPr="00883125" w:rsidRDefault="00437CA2" w:rsidP="00437CA2">
      <w:pPr>
        <w:pStyle w:val="AERbulletlistfirststyle"/>
      </w:pPr>
      <w:r w:rsidRPr="00883125">
        <w:t>the requirements of the NEL/NGL and NER/NGR</w:t>
      </w:r>
    </w:p>
    <w:p w:rsidR="00437CA2" w:rsidRPr="00883125" w:rsidRDefault="00437CA2" w:rsidP="00437CA2">
      <w:pPr>
        <w:pStyle w:val="AERbulletlistfirststyle"/>
      </w:pPr>
      <w:r w:rsidRPr="00883125">
        <w:t>the Guideline</w:t>
      </w:r>
    </w:p>
    <w:p w:rsidR="00437CA2" w:rsidRPr="00883125" w:rsidRDefault="00437CA2" w:rsidP="00437CA2">
      <w:pPr>
        <w:pStyle w:val="AERbulletlistfirststyle"/>
      </w:pPr>
      <w:r w:rsidRPr="00883125">
        <w:t>our definition of the benchmark efficient entity</w:t>
      </w:r>
    </w:p>
    <w:p w:rsidR="00437CA2" w:rsidRPr="00883125" w:rsidRDefault="00437CA2" w:rsidP="00437CA2">
      <w:pPr>
        <w:pStyle w:val="AERbulletlistfirststyle"/>
      </w:pPr>
      <w:r w:rsidRPr="00883125">
        <w:t>interrelationships with other aspects of the decision</w:t>
      </w:r>
    </w:p>
    <w:p w:rsidR="00437CA2" w:rsidRPr="00883125" w:rsidRDefault="00437CA2" w:rsidP="00437CA2">
      <w:pPr>
        <w:pStyle w:val="AERbulletlistfirststyle"/>
      </w:pPr>
      <w:r w:rsidRPr="00883125">
        <w:lastRenderedPageBreak/>
        <w:t>expert reports</w:t>
      </w:r>
    </w:p>
    <w:p w:rsidR="00437CA2" w:rsidRPr="00883125" w:rsidRDefault="00437CA2" w:rsidP="00437CA2">
      <w:pPr>
        <w:pStyle w:val="AERbulletlistfirststyle"/>
      </w:pPr>
      <w:r w:rsidRPr="00883125">
        <w:t>our approach to determining the value of imputation credits.</w:t>
      </w:r>
    </w:p>
    <w:p w:rsidR="00437CA2" w:rsidRPr="00437CA2" w:rsidRDefault="00437CA2" w:rsidP="00437CA2">
      <w:pPr>
        <w:pStyle w:val="Heading3"/>
      </w:pPr>
      <w:bookmarkStart w:id="34" w:name="_Ref400272912"/>
      <w:bookmarkStart w:id="35" w:name="_Ref416802130"/>
      <w:bookmarkStart w:id="36" w:name="_Ref416802459"/>
      <w:bookmarkStart w:id="37" w:name="_Toc451842236"/>
      <w:bookmarkStart w:id="38" w:name="_Toc451938292"/>
      <w:bookmarkStart w:id="39" w:name="_Toc456614275"/>
      <w:bookmarkStart w:id="40" w:name="_Toc462823298"/>
      <w:bookmarkStart w:id="41" w:name="_Toc481061441"/>
      <w:r w:rsidRPr="00883125">
        <w:t xml:space="preserve">Requirements of the </w:t>
      </w:r>
      <w:bookmarkEnd w:id="34"/>
      <w:r w:rsidRPr="00883125">
        <w:t>NEL/NGL and NER/NGR</w:t>
      </w:r>
      <w:bookmarkEnd w:id="35"/>
      <w:bookmarkEnd w:id="36"/>
      <w:bookmarkEnd w:id="37"/>
      <w:bookmarkEnd w:id="38"/>
      <w:bookmarkEnd w:id="39"/>
      <w:bookmarkEnd w:id="40"/>
      <w:bookmarkEnd w:id="41"/>
    </w:p>
    <w:p w:rsidR="00437CA2" w:rsidRPr="00883125" w:rsidRDefault="00437CA2" w:rsidP="00C52695">
      <w:pPr>
        <w:numPr>
          <w:ilvl w:val="0"/>
          <w:numId w:val="24"/>
        </w:numPr>
      </w:pPr>
      <w:r w:rsidRPr="00883125">
        <w:t>The NER/NGR require that the estimated cost of corporate income tax of a service provider for each regulatory year (</w:t>
      </w:r>
      <w:bookmarkStart w:id="42"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42"/>
      <w:r w:rsidRPr="00883125">
        <w:t>) must be estimated in accordance with the following formula:</w:t>
      </w:r>
      <w:r>
        <w:rPr>
          <w:rStyle w:val="FootnoteReference"/>
        </w:rPr>
        <w:footnoteReference w:id="46"/>
      </w:r>
    </w:p>
    <w:p w:rsidR="00437CA2" w:rsidRPr="00883125" w:rsidRDefault="005E2A05" w:rsidP="00C52695">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437CA2" w:rsidRPr="00883125" w:rsidRDefault="00437CA2" w:rsidP="00C52695">
      <w:pPr>
        <w:numPr>
          <w:ilvl w:val="0"/>
          <w:numId w:val="24"/>
        </w:numPr>
      </w:pPr>
      <w:r w:rsidRPr="00883125">
        <w:t>where:</w:t>
      </w:r>
    </w:p>
    <w:p w:rsidR="00437CA2" w:rsidRPr="001D37D5" w:rsidRDefault="005E2A05" w:rsidP="00437CA2">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437CA2" w:rsidRPr="001D37D5">
        <w:t> is an estimate of the taxable income for that regulatory year that would be earned by a benchmark efficient entity as a result of the provision of regulated services if such an entity, rather than the service provider, operated the business of the service provider, such estimate being determined in accordance with the post-tax revenue model.</w:t>
      </w:r>
    </w:p>
    <w:p w:rsidR="00437CA2" w:rsidRPr="001D37D5" w:rsidRDefault="005E2A05" w:rsidP="00437CA2">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437CA2" w:rsidRPr="001D37D5">
        <w:t> is the expected statutory income tax rate for that regulatory year as determined by the AER.</w:t>
      </w:r>
    </w:p>
    <w:p w:rsidR="00437CA2" w:rsidRPr="001D37D5" w:rsidRDefault="00437CA2" w:rsidP="00437CA2">
      <w:pPr>
        <w:pStyle w:val="AERbulletlistfirststyle"/>
      </w:pPr>
      <m:oMath>
        <m:r>
          <w:rPr>
            <w:rFonts w:ascii="Cambria Math" w:hAnsi="Cambria Math"/>
          </w:rPr>
          <m:t>γ</m:t>
        </m:r>
      </m:oMath>
      <w:r w:rsidRPr="001D37D5">
        <w:t> is the value of imputation credits.</w:t>
      </w:r>
    </w:p>
    <w:p w:rsidR="00437CA2" w:rsidRPr="00883125" w:rsidRDefault="00437CA2" w:rsidP="00C52695">
      <w:pPr>
        <w:numPr>
          <w:ilvl w:val="0"/>
          <w:numId w:val="24"/>
        </w:numPr>
      </w:pPr>
      <w:r w:rsidRPr="00883125">
        <w:t xml:space="preserve">Unlike many other aspects of the NER/NGR, there is no specific objective we must achieve for the value of imputation credits and no specific factors we must take into account in estimating it. The </w:t>
      </w:r>
      <w:r>
        <w:t xml:space="preserve">allowed </w:t>
      </w:r>
      <w:r w:rsidRPr="00883125">
        <w:t xml:space="preserve">rate of return objective does not specifically apply to the value of imputation credits. However, the rate of return must be determined on a nominal vanilla basis </w:t>
      </w:r>
      <w:r>
        <w:t xml:space="preserve">that is </w:t>
      </w:r>
      <w:r w:rsidRPr="00883125">
        <w:t xml:space="preserve">consistent with our </w:t>
      </w:r>
      <w:r>
        <w:t xml:space="preserve">estimate of the </w:t>
      </w:r>
      <w:r w:rsidRPr="00883125">
        <w:t>value of imputation credits.</w:t>
      </w:r>
      <w:r w:rsidRPr="00883125">
        <w:rPr>
          <w:rStyle w:val="FootnoteReference"/>
        </w:rPr>
        <w:footnoteReference w:id="47"/>
      </w:r>
    </w:p>
    <w:p w:rsidR="00437CA2" w:rsidRPr="00883125" w:rsidRDefault="00437CA2" w:rsidP="00C52695">
      <w:pPr>
        <w:numPr>
          <w:ilvl w:val="0"/>
          <w:numId w:val="24"/>
        </w:numPr>
      </w:pPr>
      <w:r w:rsidRPr="00883125">
        <w:t>In this context, the conceptual rate of return framework developed by Officer in a 1994 paper informs our approach to interpreting and estimating the value of imputation credits.</w:t>
      </w:r>
      <w:r w:rsidRPr="00883125">
        <w:rPr>
          <w:rStyle w:val="FootnoteReference"/>
        </w:rPr>
        <w:footnoteReference w:id="48"/>
      </w:r>
      <w:r w:rsidRPr="00883125">
        <w:t xml:space="preserve"> This is because:</w:t>
      </w:r>
    </w:p>
    <w:p w:rsidR="00437CA2" w:rsidRPr="001D37D5" w:rsidRDefault="00437CA2" w:rsidP="00437CA2">
      <w:pPr>
        <w:pStyle w:val="AERbulletlistfirststyle"/>
      </w:pPr>
      <w:r w:rsidRPr="00883125">
        <w:t>The NER/NGR's cost of corporate income tax formula (shown above) mirrors Officer's framework for the treatment of imputation credits, including through the use of the parameter denoted by the Greek letter 'gamma'.</w:t>
      </w:r>
      <w:r w:rsidRPr="001D37D5">
        <w:rPr>
          <w:rStyle w:val="FootnoteReference"/>
        </w:rPr>
        <w:footnoteReference w:id="49"/>
      </w:r>
    </w:p>
    <w:p w:rsidR="00437CA2" w:rsidRPr="001D37D5" w:rsidRDefault="00437CA2" w:rsidP="00437CA2">
      <w:pPr>
        <w:pStyle w:val="AERbulletlistfirststyle"/>
      </w:pPr>
      <w:r w:rsidRPr="00883125">
        <w:t>We have received expert advice that Officer's definition of the nominal vanilla rate of return provides the basis for the rate of return framework in the NER/NGR.</w:t>
      </w:r>
      <w:r w:rsidRPr="001D37D5">
        <w:rPr>
          <w:rStyle w:val="FootnoteReference"/>
        </w:rPr>
        <w:footnoteReference w:id="50"/>
      </w:r>
      <w:r w:rsidRPr="001D37D5">
        <w:t xml:space="preserve"> Previous </w:t>
      </w:r>
      <w:r w:rsidRPr="001D37D5">
        <w:lastRenderedPageBreak/>
        <w:t>statements by the consultant for the majority of the service providers', Gray, and their industry association appear to support this consideration:</w:t>
      </w:r>
    </w:p>
    <w:p w:rsidR="00437CA2" w:rsidRPr="00883125" w:rsidRDefault="00437CA2" w:rsidP="00437CA2">
      <w:pPr>
        <w:pStyle w:val="AERbulletlistsecondstyle"/>
      </w:pPr>
      <w:r w:rsidRPr="00883125">
        <w:t>During the AEMC's 2012 rule change process, Gray advised the AEMC that '…there are a number of different WACC formulas that can all be identified as post-tax nominal definitions of WACC. Officer (1994), in the paper that forms the basis for the regulatory rate of return framework, sets out four such definitions…'.</w:t>
      </w:r>
      <w:r w:rsidRPr="00883125">
        <w:rPr>
          <w:rStyle w:val="FootnoteReference"/>
        </w:rPr>
        <w:footnoteReference w:id="51"/>
      </w:r>
    </w:p>
    <w:p w:rsidR="00437CA2" w:rsidRPr="00883125" w:rsidRDefault="00437CA2" w:rsidP="00437CA2">
      <w:pPr>
        <w:pStyle w:val="AERbulletlistsecondstyle"/>
      </w:pPr>
      <w:r w:rsidRPr="00883125">
        <w:t>During the development of the Guideline, the Energy Networks Association (ENA) submitted '[t]he fundamental economic framework in relation to dividend imputation was set out by Officer (1994)…'.</w:t>
      </w:r>
      <w:r w:rsidRPr="00883125">
        <w:rPr>
          <w:rStyle w:val="FootnoteReference"/>
        </w:rPr>
        <w:footnoteReference w:id="52"/>
      </w:r>
      <w:r w:rsidRPr="00883125">
        <w:t xml:space="preserve"> </w:t>
      </w:r>
    </w:p>
    <w:p w:rsidR="00437CA2" w:rsidRPr="00883125" w:rsidRDefault="00437CA2" w:rsidP="00437CA2">
      <w:r w:rsidRPr="00883125">
        <w:t>The NER/NGR require that we determine the rate of return on a nominal vanilla basis that is consistent with our estimate of the value of imputation credits.</w:t>
      </w:r>
      <w:r w:rsidRPr="00883125">
        <w:rPr>
          <w:rStyle w:val="FootnoteReference"/>
        </w:rPr>
        <w:footnoteReference w:id="53"/>
      </w:r>
      <w:r w:rsidRPr="00883125">
        <w:t xml:space="preserve"> The Officer framework provides a means for doing this. It provides a consistent framework for determining the rate of return for a business, which takes into account the value that investors receive from imputation credits.</w:t>
      </w:r>
      <w:r w:rsidRPr="00883125">
        <w:rPr>
          <w:rStyle w:val="FootnoteReference"/>
        </w:rPr>
        <w:footnoteReference w:id="54"/>
      </w:r>
      <w:r w:rsidRPr="00883125">
        <w:t xml:space="preserve"> An important implication of this is that gamma is not a standalone concept or parameter. It is part of a broader framework, and should be interpreted and estimated accordingly.</w:t>
      </w:r>
    </w:p>
    <w:p w:rsidR="00437CA2" w:rsidRPr="00883125" w:rsidRDefault="00437CA2" w:rsidP="00C52695">
      <w:pPr>
        <w:numPr>
          <w:ilvl w:val="0"/>
          <w:numId w:val="24"/>
        </w:numPr>
      </w:pPr>
      <w:r w:rsidRPr="00883125">
        <w:t xml:space="preserve">Consistent with the expert advice we have received, we consider that the Officer framework provides the basis for the rate of return framework in the NER/NGR. We therefore also consider that estimating the value of imputation credits consistent with the Officer framework will best promote the </w:t>
      </w:r>
      <w:r>
        <w:t>National Electricity Objective/National Gas Objective (</w:t>
      </w:r>
      <w:r w:rsidRPr="00883125">
        <w:t>NEO/NGO</w:t>
      </w:r>
      <w:r>
        <w:t>)</w:t>
      </w:r>
      <w:r w:rsidRPr="00787306">
        <w:rPr>
          <w:rStyle w:val="FootnoteReference"/>
        </w:rPr>
        <w:t xml:space="preserve"> </w:t>
      </w:r>
      <w:r w:rsidRPr="00883125">
        <w:rPr>
          <w:rStyle w:val="FootnoteReference"/>
        </w:rPr>
        <w:footnoteReference w:id="55"/>
      </w:r>
      <w:r w:rsidRPr="00883125">
        <w:t xml:space="preserve"> and other requirements of the NER/NGR.</w:t>
      </w:r>
    </w:p>
    <w:p w:rsidR="00437CA2" w:rsidRPr="00883125" w:rsidRDefault="00437CA2" w:rsidP="00C52695">
      <w:pPr>
        <w:numPr>
          <w:ilvl w:val="0"/>
          <w:numId w:val="24"/>
        </w:numPr>
      </w:pPr>
      <w:r w:rsidRPr="00883125">
        <w:t xml:space="preserve">To this end, we have had regard to the differing expert opinions on the proper interpretation of the gamma parameter in the Officer framework. As discussed in section </w:t>
      </w:r>
      <w:r w:rsidRPr="00883125">
        <w:fldChar w:fldCharType="begin"/>
      </w:r>
      <w:r w:rsidRPr="00883125">
        <w:instrText xml:space="preserve"> REF _Ref414028398 \r \h </w:instrText>
      </w:r>
      <w:r w:rsidRPr="00883125">
        <w:fldChar w:fldCharType="separate"/>
      </w:r>
      <w:r w:rsidR="00812A72">
        <w:t>A.7.3</w:t>
      </w:r>
      <w:r w:rsidRPr="00883125">
        <w:fldChar w:fldCharType="end"/>
      </w:r>
      <w:r w:rsidRPr="00883125">
        <w:t>, we accept Handley's expert advice on the Officer framework. An important aspect of this advice is that the framework is on a 'before-personal-tax and before-personal-costs' basis.</w:t>
      </w:r>
      <w:r w:rsidRPr="00883125">
        <w:rPr>
          <w:rStyle w:val="FootnoteReference"/>
        </w:rPr>
        <w:footnoteReference w:id="56"/>
      </w:r>
      <w:r w:rsidRPr="00883125">
        <w:t xml:space="preserve"> That is, 'the </w:t>
      </w:r>
      <w:r w:rsidRPr="00883125">
        <w:lastRenderedPageBreak/>
        <w:t xml:space="preserve">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w:t>
      </w:r>
      <w:r w:rsidRPr="00883125">
        <w:rPr>
          <w:rStyle w:val="FootnoteReference"/>
        </w:rPr>
        <w:footnoteReference w:id="57"/>
      </w:r>
    </w:p>
    <w:p w:rsidR="00437CA2" w:rsidRPr="00883125" w:rsidRDefault="00437CA2" w:rsidP="00C52695">
      <w:pPr>
        <w:numPr>
          <w:ilvl w:val="0"/>
          <w:numId w:val="24"/>
        </w:numPr>
      </w:pPr>
      <w:r w:rsidRPr="00883125">
        <w:t>By determining a value of imputation credits in a manner consistent with the Officer framework, we consider that we are making our decision in a manner that will or is likely to contribute to the achievement of the NEO/NGO.</w:t>
      </w:r>
      <w:r w:rsidRPr="00883125">
        <w:rPr>
          <w:rStyle w:val="FootnoteReference"/>
        </w:rPr>
        <w:footnoteReference w:id="58"/>
      </w:r>
      <w:r w:rsidRPr="00883125">
        <w:t xml:space="preserve"> Further, when exercising </w:t>
      </w:r>
      <w:r>
        <w:t>our</w:t>
      </w:r>
      <w:r w:rsidRPr="00883125">
        <w:t xml:space="preserve"> discretion in making the relevant parts of a decision, we must take into account the </w:t>
      </w:r>
      <w:r>
        <w:t>revenue and pricing principles (</w:t>
      </w:r>
      <w:r w:rsidRPr="00883125">
        <w:t>RPP</w:t>
      </w:r>
      <w:r>
        <w:t>)</w:t>
      </w:r>
      <w:r w:rsidRPr="00883125">
        <w:t>.</w:t>
      </w:r>
      <w:r w:rsidRPr="00883125">
        <w:rPr>
          <w:rStyle w:val="FootnoteReference"/>
        </w:rPr>
        <w:footnoteReference w:id="59"/>
      </w:r>
      <w:r w:rsidRPr="00883125">
        <w:t xml:space="preserve"> The RPP provide, amongst other things, that:</w:t>
      </w:r>
      <w:r w:rsidRPr="00883125">
        <w:rPr>
          <w:rStyle w:val="FootnoteReference"/>
        </w:rPr>
        <w:footnoteReference w:id="60"/>
      </w:r>
    </w:p>
    <w:p w:rsidR="00437CA2" w:rsidRPr="00883125" w:rsidRDefault="00437CA2" w:rsidP="00437CA2">
      <w:pPr>
        <w:pStyle w:val="AERbulletlistfirststyle"/>
      </w:pPr>
      <w:r w:rsidRPr="00883125">
        <w:t>a service provider should be provided with a reasonable opportunity to recover at least the efficient costs the operator incurs providing regulated services and complying with regulatory obligations</w:t>
      </w:r>
    </w:p>
    <w:p w:rsidR="00437CA2" w:rsidRPr="00883125" w:rsidRDefault="00437CA2" w:rsidP="00437CA2">
      <w:pPr>
        <w:pStyle w:val="AERbulletlistfirststyle"/>
      </w:pPr>
      <w:r w:rsidRPr="00883125">
        <w:t xml:space="preserve">a service provider should be provided with effective incentives in order to promote economic efficiency with respect to the regulated services it provides, and </w:t>
      </w:r>
    </w:p>
    <w:p w:rsidR="00437CA2" w:rsidRPr="00883125" w:rsidRDefault="00437CA2" w:rsidP="00437CA2">
      <w:pPr>
        <w:pStyle w:val="AERbulletlistfirststyle"/>
      </w:pPr>
      <w:r w:rsidRPr="00883125">
        <w:t xml:space="preserve">a price, charge or tariff for the provision of a regulated service should allow for a return commensurate with the regulatory and commercial risks involved in providing the regulated service. </w:t>
      </w:r>
    </w:p>
    <w:p w:rsidR="00437CA2" w:rsidRPr="00883125" w:rsidRDefault="00437CA2" w:rsidP="00C52695">
      <w:pPr>
        <w:numPr>
          <w:ilvl w:val="0"/>
          <w:numId w:val="24"/>
        </w:numPr>
      </w:pPr>
      <w:r w:rsidRPr="00883125">
        <w:t xml:space="preserve">Therefore, the value of imputation credits we adopt must ultimately promote the achievement of the NEO/NGO (via its application in the estimated cost of corporate income tax building block) and must take into account the RPP. </w:t>
      </w:r>
    </w:p>
    <w:p w:rsidR="00437CA2" w:rsidRPr="00883125" w:rsidRDefault="00437CA2" w:rsidP="00C52695">
      <w:pPr>
        <w:numPr>
          <w:ilvl w:val="0"/>
          <w:numId w:val="24"/>
        </w:numPr>
      </w:pPr>
      <w:r w:rsidRPr="00883125">
        <w:t>With reference to the language of the RPP, this requires the exercise of our discretion in determining a tax building block (including the exercise of our discretion in determining the adjustment for the value of imputation credits) that is:</w:t>
      </w:r>
    </w:p>
    <w:p w:rsidR="00437CA2" w:rsidRPr="00883125" w:rsidRDefault="00437CA2" w:rsidP="00437CA2">
      <w:pPr>
        <w:pStyle w:val="AERbulletlistfirststyle"/>
      </w:pPr>
      <w:r w:rsidRPr="00883125">
        <w:t>not too low, in that it contributes to providing a reasonable opportunity to recover at least efficient corporate tax costs</w:t>
      </w:r>
    </w:p>
    <w:p w:rsidR="00437CA2" w:rsidRPr="00883125" w:rsidRDefault="00437CA2" w:rsidP="00437CA2">
      <w:pPr>
        <w:pStyle w:val="AERbulletlistfirststyle"/>
      </w:pPr>
      <w:r w:rsidRPr="00883125">
        <w:t>not too high, in that it contributes to a return that is not excessive and is commensurate with the relevant risks.</w:t>
      </w:r>
    </w:p>
    <w:p w:rsidR="00437CA2" w:rsidRDefault="00437CA2" w:rsidP="00C52695">
      <w:pPr>
        <w:numPr>
          <w:ilvl w:val="0"/>
          <w:numId w:val="24"/>
        </w:numPr>
      </w:pPr>
      <w:r w:rsidRPr="00883125">
        <w:t>We consider that finding the right balance is best served by having regard to the merits of the full range of relevant evidence. We explain our consideration of, and reliance upon, the range of relevant evidence in this attachment. We have determined a value of imputation credits that we are satisfied achieves a balance between the opportunity for service providers to recover at least efficient costs but that is commensurate with relevant risks.</w:t>
      </w:r>
    </w:p>
    <w:p w:rsidR="00D414CC" w:rsidRDefault="00D414CC" w:rsidP="00AD585A"/>
    <w:p w:rsidR="00437CA2" w:rsidRPr="00437CA2" w:rsidRDefault="00437CA2" w:rsidP="00437CA2">
      <w:pPr>
        <w:pStyle w:val="Heading3"/>
      </w:pPr>
      <w:bookmarkStart w:id="43" w:name="_Ref401234016"/>
      <w:bookmarkStart w:id="44" w:name="_Toc451842237"/>
      <w:bookmarkStart w:id="45" w:name="_Toc451938293"/>
      <w:bookmarkStart w:id="46" w:name="_Toc456614276"/>
      <w:bookmarkStart w:id="47" w:name="_Toc462823299"/>
      <w:bookmarkStart w:id="48" w:name="_Toc481061442"/>
      <w:r w:rsidRPr="00883125">
        <w:lastRenderedPageBreak/>
        <w:t>Rate of return Guideline</w:t>
      </w:r>
      <w:bookmarkEnd w:id="43"/>
      <w:bookmarkEnd w:id="44"/>
      <w:bookmarkEnd w:id="45"/>
      <w:bookmarkEnd w:id="46"/>
      <w:bookmarkEnd w:id="47"/>
      <w:bookmarkEnd w:id="48"/>
    </w:p>
    <w:p w:rsidR="00437CA2" w:rsidRPr="00883125" w:rsidRDefault="00437CA2" w:rsidP="00C52695">
      <w:pPr>
        <w:numPr>
          <w:ilvl w:val="0"/>
          <w:numId w:val="24"/>
        </w:numPr>
      </w:pPr>
      <w:r w:rsidRPr="00883125">
        <w:t>In December 2013, we published the Guideline which is available on our website.</w:t>
      </w:r>
      <w:r w:rsidRPr="00883125">
        <w:rPr>
          <w:rStyle w:val="FootnoteReference"/>
        </w:rPr>
        <w:footnoteReference w:id="61"/>
      </w:r>
      <w:r w:rsidRPr="00883125">
        <w:t xml:space="preserve"> Within it we specified:</w:t>
      </w:r>
      <w:r w:rsidRPr="00883125">
        <w:rPr>
          <w:rStyle w:val="FootnoteReference"/>
        </w:rPr>
        <w:footnoteReference w:id="62"/>
      </w:r>
    </w:p>
    <w:p w:rsidR="00437CA2" w:rsidRPr="001D37D5" w:rsidRDefault="00437CA2" w:rsidP="00437CA2">
      <w:pPr>
        <w:pStyle w:val="AERbulletlistfirststyle"/>
      </w:pPr>
      <w:r>
        <w:t>t</w:t>
      </w:r>
      <w:r w:rsidRPr="001D37D5">
        <w:t>he methodologies we propose to use to estimate the allowed rate of return (derived from the expected return on equity and the return on debt) for electricity and gas network service providers</w:t>
      </w:r>
    </w:p>
    <w:p w:rsidR="00437CA2" w:rsidRPr="001D37D5" w:rsidRDefault="00437CA2" w:rsidP="00437CA2">
      <w:pPr>
        <w:pStyle w:val="AERbulletlistfirststyle"/>
      </w:pPr>
      <w:r>
        <w:t>t</w:t>
      </w:r>
      <w:r w:rsidRPr="001D37D5">
        <w:t>he method we propose to use to estimate the value of imputation credits</w:t>
      </w:r>
    </w:p>
    <w:p w:rsidR="00437CA2" w:rsidRPr="001D37D5" w:rsidRDefault="00437CA2" w:rsidP="00437CA2">
      <w:pPr>
        <w:pStyle w:val="AERbulletlistfirststyle"/>
      </w:pPr>
      <w:r>
        <w:t>h</w:t>
      </w:r>
      <w:r w:rsidRPr="001D37D5">
        <w:t>ow these methods will result in an allowed return on equity and return on debt which we are satisfied achieve the allowed rate of return objective.</w:t>
      </w:r>
    </w:p>
    <w:p w:rsidR="00437CA2" w:rsidRPr="00883125" w:rsidRDefault="00437CA2" w:rsidP="00C52695">
      <w:pPr>
        <w:numPr>
          <w:ilvl w:val="0"/>
          <w:numId w:val="24"/>
        </w:numPr>
      </w:pPr>
      <w:r w:rsidRPr="00883125">
        <w:t>In the Guideline we also set out the estimation methods, financial models, market data and other evidence that we propose to take into account in estimating the expected return on equity, return on debt and the value of imputation credits.</w:t>
      </w:r>
      <w:r w:rsidRPr="00883125">
        <w:rPr>
          <w:rStyle w:val="FootnoteReference"/>
        </w:rPr>
        <w:footnoteReference w:id="63"/>
      </w:r>
      <w:r w:rsidRPr="00883125">
        <w:t xml:space="preserve"> We discuss our development of the Guideline in detail in </w:t>
      </w:r>
      <w:r w:rsidR="00F143A3">
        <w:t>attachment 3 of this decision.</w:t>
      </w:r>
    </w:p>
    <w:p w:rsidR="00437CA2" w:rsidRPr="00883125" w:rsidRDefault="00437CA2" w:rsidP="00C52695">
      <w:pPr>
        <w:numPr>
          <w:ilvl w:val="0"/>
          <w:numId w:val="24"/>
        </w:numPr>
      </w:pPr>
      <w:r w:rsidRPr="00883125">
        <w:t>The Guideline is not binding in determining the value of imputation credits. However, should we decide to depart from the Guideline we must provide reasons for doing so.</w:t>
      </w:r>
      <w:r w:rsidRPr="00883125">
        <w:rPr>
          <w:rStyle w:val="FootnoteReference"/>
        </w:rPr>
        <w:footnoteReference w:id="64"/>
      </w:r>
      <w:r w:rsidRPr="00883125">
        <w:t xml:space="preserve"> Equally, it is open to service providers to propose departures from the Guideline, so long as they provide reasons.</w:t>
      </w:r>
      <w:r w:rsidRPr="00883125">
        <w:rPr>
          <w:rStyle w:val="FootnoteReference"/>
        </w:rPr>
        <w:footnoteReference w:id="65"/>
      </w:r>
      <w:r w:rsidRPr="00883125">
        <w:t xml:space="preserve"> </w:t>
      </w:r>
    </w:p>
    <w:p w:rsidR="00437CA2" w:rsidRPr="00611EC0" w:rsidRDefault="00437CA2" w:rsidP="00611EC0">
      <w:pPr>
        <w:pStyle w:val="Heading3"/>
      </w:pPr>
      <w:bookmarkStart w:id="49" w:name="_Ref404065332"/>
      <w:bookmarkStart w:id="50" w:name="_Toc451842238"/>
      <w:bookmarkStart w:id="51" w:name="_Toc451938294"/>
      <w:bookmarkStart w:id="52" w:name="_Toc456614277"/>
      <w:bookmarkStart w:id="53" w:name="_Toc462823300"/>
      <w:bookmarkStart w:id="54" w:name="_Toc481061443"/>
      <w:r w:rsidRPr="00611EC0">
        <w:t>Definition of a benchmark efficient entity</w:t>
      </w:r>
      <w:bookmarkEnd w:id="49"/>
      <w:bookmarkEnd w:id="50"/>
      <w:bookmarkEnd w:id="51"/>
      <w:bookmarkEnd w:id="52"/>
      <w:bookmarkEnd w:id="53"/>
      <w:bookmarkEnd w:id="54"/>
    </w:p>
    <w:p w:rsidR="00437CA2" w:rsidRPr="00883125" w:rsidRDefault="00437CA2" w:rsidP="00C52695">
      <w:pPr>
        <w:numPr>
          <w:ilvl w:val="0"/>
          <w:numId w:val="24"/>
        </w:numPr>
      </w:pPr>
      <w:r w:rsidRPr="00883125">
        <w:t xml:space="preserve">As shown in section </w:t>
      </w:r>
      <w:r w:rsidRPr="00883125">
        <w:fldChar w:fldCharType="begin"/>
      </w:r>
      <w:r w:rsidRPr="00883125">
        <w:instrText xml:space="preserve"> REF _Ref400272912 \r \h </w:instrText>
      </w:r>
      <w:r w:rsidRPr="00883125">
        <w:fldChar w:fldCharType="separate"/>
      </w:r>
      <w:r w:rsidR="00812A72">
        <w:t>4.3.1</w:t>
      </w:r>
      <w:r w:rsidRPr="00883125">
        <w:fldChar w:fldCharType="end"/>
      </w:r>
      <w:r w:rsidRPr="00883125">
        <w:t xml:space="preserve">, the NER/NGR refer to a 'benchmark efficient entity'. </w:t>
      </w:r>
      <w:r>
        <w:t>W</w:t>
      </w:r>
      <w:r w:rsidRPr="00883125">
        <w:t>e have adopted:</w:t>
      </w:r>
    </w:p>
    <w:p w:rsidR="00437CA2" w:rsidRPr="00883125" w:rsidRDefault="00437CA2" w:rsidP="00437CA2">
      <w:pPr>
        <w:pStyle w:val="AERbulletlistfirststyle"/>
      </w:pPr>
      <w:r w:rsidRPr="00883125">
        <w:t>a single benchmark across gas, electricity, transmission and distribution</w:t>
      </w:r>
    </w:p>
    <w:p w:rsidR="00437CA2" w:rsidRPr="001D37D5" w:rsidRDefault="00437CA2" w:rsidP="00437CA2">
      <w:pPr>
        <w:pStyle w:val="AERbulletlistfirststyle"/>
      </w:pPr>
      <w:r w:rsidRPr="00883125">
        <w:t>a conceptual definition of the benchmark efficient entity as 'a 'pure play', regulated energy network business operating within Australia'.</w:t>
      </w:r>
      <w:r w:rsidRPr="001D37D5">
        <w:rPr>
          <w:rStyle w:val="FootnoteReference"/>
        </w:rPr>
        <w:footnoteReference w:id="66"/>
      </w:r>
    </w:p>
    <w:p w:rsidR="00437CA2" w:rsidRDefault="00437CA2" w:rsidP="00C52695">
      <w:pPr>
        <w:numPr>
          <w:ilvl w:val="0"/>
          <w:numId w:val="24"/>
        </w:numPr>
      </w:pPr>
      <w:r>
        <w:t>We provide a detailed discussion of our definition of a benchmark efficient entity in attachment 3 of this decision. This includes a response to service providers' submissions that a benchmark efficient entity should not be a regulated entity. The definition of a benchmark efficient entity we use for determining the rate of return is identical to the definition we use for determining the value of imputation credits in this decision.</w:t>
      </w:r>
    </w:p>
    <w:p w:rsidR="00437CA2" w:rsidRPr="00FF606F" w:rsidRDefault="00437CA2" w:rsidP="00437CA2">
      <w:r w:rsidRPr="00830E47">
        <w:lastRenderedPageBreak/>
        <w:t xml:space="preserve">However, we discuss one element of the definition in this attachment: 'operating within Australia'. We consider </w:t>
      </w:r>
      <w:r>
        <w:t>the</w:t>
      </w:r>
      <w:r w:rsidRPr="001806B7">
        <w:t xml:space="preserve"> rate of return should be estimated on a basis that is consistent with our estimate of gamma. The rate of return should also be commensurate with the efficient financing costs of a benchmark efficient entity with a similar degree of risk to the relevant service provider in the provision of its regulated services. The degree of risk a service provider faces in the provision of its services is significantly affected by location. This is because the location of a business determines the conditions under which the business operates. This includes the regulatory regime, tax laws, industry structure and broader economic environment that impact the risks faced by the service provider in its provision of regulated services. An additional consideration that is particularly relevant to the value of imputation credits is that we recognise that both domestic and foreign investors participate in the Australian market. That is, we consider that the defined market is an Australian domestic market that recognises the presence of foreign investors to the extent that they invest in the Australian market. This is important for determining a value of imputation credits because typically domestic investors are eligible to utilise imputation credits while foreign investors are not</w:t>
      </w:r>
      <w:r w:rsidRPr="00830E47">
        <w:t>.</w:t>
      </w:r>
    </w:p>
    <w:p w:rsidR="00437CA2" w:rsidRPr="00437CA2" w:rsidRDefault="00437CA2" w:rsidP="00437CA2">
      <w:pPr>
        <w:pStyle w:val="Heading3"/>
      </w:pPr>
      <w:bookmarkStart w:id="55" w:name="_Ref415070818"/>
      <w:bookmarkStart w:id="56" w:name="_Toc451842239"/>
      <w:bookmarkStart w:id="57" w:name="_Toc451938295"/>
      <w:bookmarkStart w:id="58" w:name="_Toc456614278"/>
      <w:bookmarkStart w:id="59" w:name="_Toc462823301"/>
      <w:bookmarkStart w:id="60" w:name="_Toc481061444"/>
      <w:r w:rsidRPr="00883125">
        <w:t>Interrelationships</w:t>
      </w:r>
      <w:bookmarkEnd w:id="55"/>
      <w:bookmarkEnd w:id="56"/>
      <w:bookmarkEnd w:id="57"/>
      <w:bookmarkEnd w:id="58"/>
      <w:bookmarkEnd w:id="59"/>
      <w:bookmarkEnd w:id="60"/>
    </w:p>
    <w:p w:rsidR="00437CA2" w:rsidRPr="00883125" w:rsidRDefault="00437CA2" w:rsidP="00437CA2">
      <w:r w:rsidRPr="00883125">
        <w:t>The NER/NGR recognise that a service provider's allowed revenue does not need to include the value of imputation credits. The NER/NGR adjust for the value of imputation credits via the revenue granted to a service provider to cover its expected tax liability. This form of adjustment recognises that it is the payment of corporate tax which is the source of the imputation credit return to investors.</w:t>
      </w:r>
    </w:p>
    <w:p w:rsidR="00437CA2" w:rsidRPr="00883125" w:rsidRDefault="00437CA2" w:rsidP="00437CA2">
      <w:r w:rsidRPr="00883125">
        <w:t>The CCP</w:t>
      </w:r>
      <w:r w:rsidR="007D69CB">
        <w:t xml:space="preserve"> for the NSW electricity distribution network</w:t>
      </w:r>
      <w:r w:rsidRPr="00883125">
        <w:t xml:space="preserve">'s view suggests that we should take into account the interrelationship with the corporate tax allowance when determining the value of imputation credits. The CCP </w:t>
      </w:r>
      <w:r w:rsidR="007D69CB">
        <w:t xml:space="preserve">for the NSW electricity network </w:t>
      </w:r>
      <w:r w:rsidRPr="00883125">
        <w:t>submitted evidence that our benchmark tax allowance was substantially higher than the corporate tax actually paid by service providers.</w:t>
      </w:r>
      <w:r w:rsidRPr="00883125">
        <w:rPr>
          <w:rStyle w:val="FootnoteReference"/>
        </w:rPr>
        <w:footnoteReference w:id="67"/>
      </w:r>
      <w:r w:rsidRPr="00883125">
        <w:t xml:space="preserve"> The CCP </w:t>
      </w:r>
      <w:r w:rsidR="007D69CB">
        <w:t xml:space="preserve">for the NSW electricity network </w:t>
      </w:r>
      <w:r w:rsidRPr="00883125">
        <w:t>then concluded:</w:t>
      </w:r>
      <w:r w:rsidRPr="00883125">
        <w:rPr>
          <w:rStyle w:val="FootnoteReference"/>
        </w:rPr>
        <w:footnoteReference w:id="68"/>
      </w:r>
    </w:p>
    <w:p w:rsidR="00437CA2" w:rsidRPr="00883125" w:rsidRDefault="00437CA2" w:rsidP="00437CA2">
      <w:pPr>
        <w:pStyle w:val="AERquote"/>
      </w:pPr>
      <w:r w:rsidRPr="00883125">
        <w:t>Regarding gamma, it is difficult for the CCP to support a gamma of 0.5 as being better or worse than 1 or 0 or any number in between, we simply do not know enough about the vagaries of such calculations.  Though the lack of tax paid would suggest a gamma nearer 1 than 0.</w:t>
      </w:r>
    </w:p>
    <w:p w:rsidR="00437CA2" w:rsidRPr="00883125" w:rsidRDefault="00437CA2" w:rsidP="00437CA2">
      <w:r w:rsidRPr="00883125">
        <w:t>We agree with the CCP</w:t>
      </w:r>
      <w:r w:rsidR="007D69CB">
        <w:t xml:space="preserve"> for the NSW electricity network</w:t>
      </w:r>
      <w:r w:rsidRPr="00883125">
        <w:t xml:space="preserve">'s suggestion that it would be reasonable to consider the tax building block as a whole when determining the value of imputation credits. Under this approach, a tendency toward a higher value of imputation </w:t>
      </w:r>
      <w:r w:rsidRPr="00883125">
        <w:lastRenderedPageBreak/>
        <w:t xml:space="preserve">credits (and therefore greater reduction in the tax building block) might be reasonable if the benchmark tax allowance is above the efficient cost of tax. However, in the Guideline and this </w:t>
      </w:r>
      <w:r w:rsidR="00022C1D">
        <w:t>final</w:t>
      </w:r>
      <w:r w:rsidR="00022C1D" w:rsidRPr="00883125">
        <w:t xml:space="preserve"> </w:t>
      </w:r>
      <w:r w:rsidRPr="00883125">
        <w:t>decision our determination of the value of imputation credits is guided by</w:t>
      </w:r>
      <w:r w:rsidRPr="00883125" w:rsidDel="00AF1A4A">
        <w:t xml:space="preserve"> the relevant theoretical framework and </w:t>
      </w:r>
      <w:r w:rsidRPr="00883125">
        <w:t>associated</w:t>
      </w:r>
      <w:r w:rsidRPr="00883125" w:rsidDel="00AF1A4A">
        <w:t xml:space="preserve"> evidence.</w:t>
      </w:r>
    </w:p>
    <w:p w:rsidR="006E09A5" w:rsidRPr="006E09A5" w:rsidRDefault="00437CA2" w:rsidP="006E09A5">
      <w:r w:rsidRPr="00883125">
        <w:t xml:space="preserve">The value of imputation credits is also interrelated with the </w:t>
      </w:r>
      <w:r>
        <w:t>market risk premium (</w:t>
      </w:r>
      <w:r w:rsidRPr="00883125">
        <w:t>MRP</w:t>
      </w:r>
      <w:r>
        <w:t>)</w:t>
      </w:r>
      <w:r w:rsidRPr="00883125">
        <w:t>. As discussed in attachment 3, the definition of the MRP in the S</w:t>
      </w:r>
      <w:r>
        <w:t>harpe-</w:t>
      </w:r>
      <w:r w:rsidRPr="00883125">
        <w:t>L</w:t>
      </w:r>
      <w:r>
        <w:t>intner capital asset pricing model (</w:t>
      </w:r>
      <w:r w:rsidRPr="00883125">
        <w:t>CAPM</w:t>
      </w:r>
      <w:r>
        <w:t>)</w:t>
      </w:r>
      <w:r w:rsidRPr="00883125">
        <w:t xml:space="preserve"> should account for the capitalised value of imputation credits. Accordingly, in our determination of the return on equity in attachment 3 we adjust estimates of the MRP in a manner consistent with our determination of the value of imputation credits in this attachment. This is also required by the NER/NGR.</w:t>
      </w:r>
      <w:r w:rsidRPr="00883125">
        <w:rPr>
          <w:rStyle w:val="FootnoteReference"/>
        </w:rPr>
        <w:footnoteReference w:id="69"/>
      </w:r>
    </w:p>
    <w:p w:rsidR="00437CA2" w:rsidRPr="00437CA2" w:rsidRDefault="00437CA2" w:rsidP="00437CA2">
      <w:pPr>
        <w:pStyle w:val="Heading3"/>
      </w:pPr>
      <w:bookmarkStart w:id="61" w:name="_Toc451842240"/>
      <w:bookmarkStart w:id="62" w:name="_Toc451938296"/>
      <w:bookmarkStart w:id="63" w:name="_Toc456614279"/>
      <w:bookmarkStart w:id="64" w:name="_Toc462823302"/>
      <w:bookmarkStart w:id="65" w:name="_Toc481061445"/>
      <w:r w:rsidRPr="00883125">
        <w:t>Expert reports</w:t>
      </w:r>
      <w:bookmarkEnd w:id="61"/>
      <w:bookmarkEnd w:id="62"/>
      <w:bookmarkEnd w:id="63"/>
      <w:bookmarkEnd w:id="64"/>
      <w:bookmarkEnd w:id="65"/>
    </w:p>
    <w:p w:rsidR="00437CA2" w:rsidRPr="00883125" w:rsidRDefault="00437CA2" w:rsidP="00C52695">
      <w:pPr>
        <w:numPr>
          <w:ilvl w:val="0"/>
          <w:numId w:val="24"/>
        </w:numPr>
      </w:pPr>
      <w:r w:rsidRPr="00883125">
        <w:t>During the development of the Guideline, we commissioned expert advice on the value of imputation credits from Dr Martin Lally of the Victoria University of Wellington.</w:t>
      </w:r>
      <w:r w:rsidRPr="00883125">
        <w:rPr>
          <w:rStyle w:val="FootnoteReference"/>
        </w:rPr>
        <w:footnoteReference w:id="70"/>
      </w:r>
    </w:p>
    <w:p w:rsidR="00437CA2" w:rsidRPr="00883125" w:rsidRDefault="00437CA2" w:rsidP="00C52695">
      <w:pPr>
        <w:numPr>
          <w:ilvl w:val="0"/>
          <w:numId w:val="24"/>
        </w:numPr>
      </w:pPr>
      <w:r w:rsidRPr="00883125">
        <w:t>Since the Guideline, we commissioned further expert advice from Associate Professor John Handley of the University of Melbourne and Dr Martin Lally.</w:t>
      </w:r>
      <w:r w:rsidRPr="00883125">
        <w:rPr>
          <w:rStyle w:val="FootnoteReference"/>
        </w:rPr>
        <w:footnoteReference w:id="71"/>
      </w:r>
      <w:r w:rsidRPr="00883125">
        <w:t xml:space="preserve"> We have also had regard to, among other things:</w:t>
      </w:r>
    </w:p>
    <w:p w:rsidR="00437CA2" w:rsidRPr="001D37D5" w:rsidRDefault="00437CA2" w:rsidP="00437CA2">
      <w:pPr>
        <w:pStyle w:val="AERbulletlistfirststyle"/>
      </w:pPr>
      <w:r w:rsidRPr="00883125">
        <w:t>the May 2014, February 2015,</w:t>
      </w:r>
      <w:r w:rsidRPr="001D37D5">
        <w:t xml:space="preserve"> June 2015</w:t>
      </w:r>
      <w:r w:rsidR="00AD585A">
        <w:t>,</w:t>
      </w:r>
      <w:r w:rsidR="00AD585A" w:rsidRPr="001D37D5">
        <w:t xml:space="preserve"> January</w:t>
      </w:r>
      <w:r w:rsidRPr="001D37D5">
        <w:t xml:space="preserve"> 2016 </w:t>
      </w:r>
      <w:r w:rsidR="009C153C">
        <w:t xml:space="preserve">and September 2016 </w:t>
      </w:r>
      <w:r w:rsidRPr="001D37D5">
        <w:t>reports by Professor Stephen Gray that were commissioned by service providers.</w:t>
      </w:r>
      <w:r w:rsidRPr="001D37D5">
        <w:rPr>
          <w:rStyle w:val="FootnoteReference"/>
        </w:rPr>
        <w:footnoteReference w:id="72"/>
      </w:r>
    </w:p>
    <w:p w:rsidR="00437CA2" w:rsidRPr="001D37D5" w:rsidRDefault="00437CA2" w:rsidP="00437CA2">
      <w:pPr>
        <w:pStyle w:val="AERbulletlistfirststyle"/>
      </w:pPr>
      <w:r w:rsidRPr="00883125">
        <w:t>the March 2015, April 2015 and June 2015 reports by NERA Economic Consulting (NERA) that were commissioned by service providers.</w:t>
      </w:r>
      <w:r w:rsidRPr="001D37D5">
        <w:rPr>
          <w:rStyle w:val="FootnoteReference"/>
        </w:rPr>
        <w:footnoteReference w:id="73"/>
      </w:r>
    </w:p>
    <w:p w:rsidR="00437CA2" w:rsidRPr="001D37D5" w:rsidRDefault="00437CA2" w:rsidP="00437CA2">
      <w:pPr>
        <w:pStyle w:val="AERbulletlistfirststyle"/>
      </w:pPr>
      <w:r w:rsidRPr="00883125">
        <w:t>the November 2013 and March 2014 reports by Associate Professor Lally that were commissioned by the Queensland Competition Authority.</w:t>
      </w:r>
      <w:r w:rsidRPr="001D37D5">
        <w:rPr>
          <w:rStyle w:val="FootnoteReference"/>
        </w:rPr>
        <w:footnoteReference w:id="74"/>
      </w:r>
    </w:p>
    <w:p w:rsidR="00437CA2" w:rsidRPr="001D37D5" w:rsidRDefault="00437CA2" w:rsidP="00437CA2">
      <w:pPr>
        <w:pStyle w:val="AERbulletlistfirststyle"/>
      </w:pPr>
      <w:r w:rsidRPr="00883125">
        <w:lastRenderedPageBreak/>
        <w:t>an October 2013 review of a network rail access undertaking by Professor Michael McKenzie of the University of Liverpool and Associate Professor Graham Partington of the University of Sydney.</w:t>
      </w:r>
      <w:r w:rsidRPr="001D37D5">
        <w:rPr>
          <w:rStyle w:val="FootnoteReference"/>
        </w:rPr>
        <w:footnoteReference w:id="75"/>
      </w:r>
      <w:r w:rsidRPr="001D37D5">
        <w:t xml:space="preserve"> This review was commissioned by the Queensland Resources Council and submitted to the Queensland Competition Authority.</w:t>
      </w:r>
    </w:p>
    <w:p w:rsidR="00437CA2" w:rsidRPr="001D37D5" w:rsidRDefault="00437CA2" w:rsidP="00437CA2">
      <w:pPr>
        <w:pStyle w:val="AERbulletlistfirststyle"/>
      </w:pPr>
      <w:r w:rsidRPr="00883125">
        <w:t>a September 2013 report on tax statistics by Dr. Neville Hathaway that was commissioned by the Energy Networks Association.</w:t>
      </w:r>
      <w:r w:rsidRPr="001D37D5">
        <w:rPr>
          <w:rStyle w:val="FootnoteReference"/>
        </w:rPr>
        <w:footnoteReference w:id="76"/>
      </w:r>
    </w:p>
    <w:p w:rsidR="00437CA2" w:rsidRPr="001D37D5" w:rsidRDefault="00437CA2" w:rsidP="00437CA2">
      <w:pPr>
        <w:pStyle w:val="AERbulletlistfirststyle"/>
      </w:pPr>
      <w:r w:rsidRPr="00883125">
        <w:t>a June 2013 report on the distribution rate by NERA that was commissioned by the Energy Networks Association.</w:t>
      </w:r>
      <w:r w:rsidRPr="001D37D5">
        <w:rPr>
          <w:rStyle w:val="FootnoteReference"/>
        </w:rPr>
        <w:footnoteReference w:id="77"/>
      </w:r>
    </w:p>
    <w:p w:rsidR="00437CA2" w:rsidRPr="00437CA2" w:rsidRDefault="00437CA2" w:rsidP="00437CA2">
      <w:pPr>
        <w:pStyle w:val="Heading3"/>
      </w:pPr>
      <w:bookmarkStart w:id="66" w:name="_Ref415048973"/>
      <w:bookmarkStart w:id="67" w:name="_Toc451842241"/>
      <w:bookmarkStart w:id="68" w:name="_Toc451938297"/>
      <w:bookmarkStart w:id="69" w:name="_Toc456614280"/>
      <w:bookmarkStart w:id="70" w:name="_Toc462823303"/>
      <w:bookmarkStart w:id="71" w:name="_Toc481061446"/>
      <w:r w:rsidRPr="00883125">
        <w:t>Approach to determining the value of imputation credits</w:t>
      </w:r>
      <w:bookmarkEnd w:id="66"/>
      <w:bookmarkEnd w:id="67"/>
      <w:bookmarkEnd w:id="68"/>
      <w:bookmarkEnd w:id="69"/>
      <w:bookmarkEnd w:id="70"/>
      <w:bookmarkEnd w:id="71"/>
    </w:p>
    <w:p w:rsidR="00437CA2" w:rsidRPr="00883125" w:rsidRDefault="00437CA2" w:rsidP="00C52695">
      <w:pPr>
        <w:numPr>
          <w:ilvl w:val="0"/>
          <w:numId w:val="24"/>
        </w:numPr>
      </w:pPr>
      <w:r w:rsidRPr="00883125">
        <w:t>There is no consensus among experts or regulators on the value of imputation credits or the techniques to use to estimate it.</w:t>
      </w:r>
      <w:r w:rsidRPr="00883125">
        <w:rPr>
          <w:rStyle w:val="FootnoteReference"/>
        </w:rPr>
        <w:footnoteReference w:id="78"/>
      </w:r>
      <w:r w:rsidRPr="00883125">
        <w:t xml:space="preserve"> Our approach to determining the value of imputation credits is guided by:</w:t>
      </w:r>
    </w:p>
    <w:p w:rsidR="00437CA2" w:rsidRPr="001D37D5" w:rsidRDefault="00437CA2" w:rsidP="00437CA2">
      <w:pPr>
        <w:pStyle w:val="AERbulletlistfirststyle"/>
      </w:pPr>
      <w:r>
        <w:t>T</w:t>
      </w:r>
      <w:r w:rsidRPr="001D37D5">
        <w:t xml:space="preserve">he requirements of the NER/NGR—see section </w:t>
      </w:r>
      <w:r w:rsidRPr="001D37D5">
        <w:fldChar w:fldCharType="begin"/>
      </w:r>
      <w:r w:rsidRPr="001D37D5">
        <w:instrText xml:space="preserve"> REF _Ref400272912 \r \h </w:instrText>
      </w:r>
      <w:r w:rsidRPr="001D37D5">
        <w:fldChar w:fldCharType="separate"/>
      </w:r>
      <w:r w:rsidR="00812A72">
        <w:t>4.3.1</w:t>
      </w:r>
      <w:r w:rsidRPr="001D37D5">
        <w:fldChar w:fldCharType="end"/>
      </w:r>
      <w:r w:rsidRPr="001D37D5">
        <w:t>.</w:t>
      </w:r>
    </w:p>
    <w:p w:rsidR="00437CA2" w:rsidRPr="001D37D5" w:rsidRDefault="00437CA2" w:rsidP="00437CA2">
      <w:pPr>
        <w:pStyle w:val="AERbulletlistfirststyle"/>
      </w:pPr>
      <w:r>
        <w:t>T</w:t>
      </w:r>
      <w:r w:rsidRPr="001D37D5">
        <w:t>he role of the value of the imputation credits in the revenue building block framework—this suggests that the value of imputation credits is intended to reflect the value of imputation credits to investors in the benchmark efficient entity.</w:t>
      </w:r>
      <w:r w:rsidRPr="001D37D5">
        <w:rPr>
          <w:rStyle w:val="FootnoteReference"/>
        </w:rPr>
        <w:footnoteReference w:id="79"/>
      </w:r>
    </w:p>
    <w:p w:rsidR="00437CA2" w:rsidRPr="001D37D5" w:rsidRDefault="00437CA2" w:rsidP="00437CA2">
      <w:pPr>
        <w:pStyle w:val="AERbulletlistfirststyle"/>
      </w:pPr>
      <w:r>
        <w:t>R</w:t>
      </w:r>
      <w:r w:rsidRPr="001D37D5">
        <w:t>elevant academic literature (Officer)—the framework developed in a 1994 paper by Officer is widely recognised as providing the basis for the value of imputation credits in the building block framework.</w:t>
      </w:r>
      <w:r w:rsidRPr="001D37D5">
        <w:rPr>
          <w:rStyle w:val="FootnoteReference"/>
        </w:rPr>
        <w:footnoteReference w:id="80"/>
      </w:r>
      <w:r w:rsidRPr="001D37D5">
        <w:t xml:space="preserve"> A key implication of Officer's framework is that the value of imputation credits should be estimated on a before-personal-tax and before-personal-costs basis. This is consistent with a rate of return determined on a nominal vanilla (that is, a post-company tax pre-personal tax and costs) basis. Therefore, we view the value of imputation credits as the proportion of company tax returned to investors through the utilisation of imputation credits. </w:t>
      </w:r>
    </w:p>
    <w:p w:rsidR="00437CA2" w:rsidRPr="001D37D5" w:rsidRDefault="00437CA2" w:rsidP="00437CA2">
      <w:pPr>
        <w:pStyle w:val="AERbulletlistfirststyle"/>
      </w:pPr>
      <w:r>
        <w:t>Relevant academic literature (Monkhouse)—t</w:t>
      </w:r>
      <w:r w:rsidRPr="001D37D5">
        <w:t>he work of Monkhouse (and others) extends the Officer framework, and shows that the value of imputation credits can be estimated as the product of two parameters:</w:t>
      </w:r>
    </w:p>
    <w:p w:rsidR="00437CA2" w:rsidRPr="00883125" w:rsidRDefault="00437CA2" w:rsidP="00437CA2">
      <w:pPr>
        <w:pStyle w:val="AERbulletlistsecondstyle"/>
      </w:pPr>
      <w:r w:rsidRPr="00883125">
        <w:t xml:space="preserve">the proportion of imputation credits generated that is distributed to investors (the distribution rate) </w:t>
      </w:r>
    </w:p>
    <w:p w:rsidR="00437CA2" w:rsidRPr="00883125" w:rsidRDefault="00437CA2" w:rsidP="00437CA2">
      <w:pPr>
        <w:pStyle w:val="AERbulletlistsecondstyle"/>
      </w:pPr>
      <w:r w:rsidRPr="00883125">
        <w:lastRenderedPageBreak/>
        <w:t>the utilisation value to investors in the market per dollar of imputation credits distributed (the utilisation rate).</w:t>
      </w:r>
      <w:r w:rsidRPr="00883125">
        <w:rPr>
          <w:rStyle w:val="FootnoteReference"/>
        </w:rPr>
        <w:footnoteReference w:id="81"/>
      </w:r>
      <w:r w:rsidRPr="00883125">
        <w:t xml:space="preserve"> </w:t>
      </w:r>
    </w:p>
    <w:p w:rsidR="00437CA2" w:rsidRPr="00883125" w:rsidRDefault="00437CA2" w:rsidP="00437CA2">
      <w:pPr>
        <w:pStyle w:val="ListContinue"/>
      </w:pPr>
      <w:r w:rsidRPr="00883125">
        <w:t>Consistent with this literature, we determine the value of imputation credits as the product of these two parameters.</w:t>
      </w:r>
    </w:p>
    <w:p w:rsidR="00437CA2" w:rsidRPr="001D37D5" w:rsidRDefault="00437CA2" w:rsidP="00437CA2">
      <w:pPr>
        <w:pStyle w:val="AERbulletlistfirststyle"/>
      </w:pPr>
      <w:r>
        <w:t>A</w:t>
      </w:r>
      <w:r w:rsidRPr="001D37D5">
        <w:t xml:space="preserve"> wide range of relevant evidence—we use this range of evidence to estimate the distribution rate and utilisation rate. In particular:</w:t>
      </w:r>
    </w:p>
    <w:p w:rsidR="00437CA2" w:rsidRDefault="00437CA2" w:rsidP="00437CA2">
      <w:pPr>
        <w:pStyle w:val="AERbulletlistsecondstyle"/>
      </w:pPr>
      <w:r>
        <w:t>Distribution rate—</w:t>
      </w:r>
      <w:r w:rsidRPr="00AD105A">
        <w:t>we place primary reliance</w:t>
      </w:r>
      <w:r>
        <w:t xml:space="preserve"> on the</w:t>
      </w:r>
      <w:r w:rsidRPr="00883125">
        <w:t xml:space="preserve"> widely accepted approach to estimating the distribution rate</w:t>
      </w:r>
      <w:r>
        <w:t xml:space="preserve"> (that is,</w:t>
      </w:r>
      <w:r w:rsidRPr="00883125">
        <w:t xml:space="preserve"> the 'cumulative payout ratio approach'</w:t>
      </w:r>
      <w:r>
        <w:t>). We also have some regard</w:t>
      </w:r>
      <w:r w:rsidRPr="00AD105A">
        <w:t xml:space="preserve"> to Lally's estimate for listed equity from financial reports of the 20 largest listed firms.</w:t>
      </w:r>
      <w:r>
        <w:rPr>
          <w:rStyle w:val="FootnoteReference"/>
        </w:rPr>
        <w:footnoteReference w:id="82"/>
      </w:r>
    </w:p>
    <w:p w:rsidR="00437CA2" w:rsidRPr="00883125" w:rsidRDefault="00437CA2" w:rsidP="00437CA2">
      <w:pPr>
        <w:pStyle w:val="AERbulletlistsecondstyle"/>
      </w:pPr>
      <w:r>
        <w:t>Utilisation rate—unlike the distribution rate,</w:t>
      </w:r>
      <w:r w:rsidRPr="00883125">
        <w:t xml:space="preserve"> there is no single accepted approach to estimating the utilisation rate</w:t>
      </w:r>
      <w:r>
        <w:t>,</w:t>
      </w:r>
      <w:r w:rsidRPr="00883125">
        <w:t xml:space="preserve"> and there is a range of evidence relevant to the utilisation rate. This includes:</w:t>
      </w:r>
    </w:p>
    <w:p w:rsidR="00437CA2" w:rsidRPr="00883125" w:rsidRDefault="00437CA2" w:rsidP="00437CA2">
      <w:pPr>
        <w:pStyle w:val="AERbulletlistthirdstyle"/>
      </w:pPr>
      <w:r w:rsidRPr="00883125">
        <w:t>the proportion of Australian equity held by domestic investors (the 'equity ownership approach')</w:t>
      </w:r>
      <w:r>
        <w:rPr>
          <w:rStyle w:val="FootnoteReference"/>
        </w:rPr>
        <w:footnoteReference w:id="83"/>
      </w:r>
    </w:p>
    <w:p w:rsidR="00437CA2" w:rsidRPr="00883125" w:rsidRDefault="00437CA2" w:rsidP="00437CA2">
      <w:pPr>
        <w:pStyle w:val="AERbulletlistthirdstyle"/>
      </w:pPr>
      <w:r w:rsidRPr="00883125">
        <w:t>the reported value of credits utilised by investors in Australian Taxation Office (ATO) statistics ('tax statistics')</w:t>
      </w:r>
      <w:r>
        <w:rPr>
          <w:rStyle w:val="FootnoteReference"/>
        </w:rPr>
        <w:footnoteReference w:id="84"/>
      </w:r>
    </w:p>
    <w:p w:rsidR="00437CA2" w:rsidRDefault="00437CA2" w:rsidP="00437CA2">
      <w:pPr>
        <w:pStyle w:val="AERbulletlistthirdstyle"/>
      </w:pPr>
      <w:r w:rsidRPr="00883125">
        <w:t>studies that seek to infer from market prices the value to investors of distributed imputation credits ('implied market value studies')</w:t>
      </w:r>
      <w:r>
        <w:t>.</w:t>
      </w:r>
      <w:r>
        <w:rPr>
          <w:rStyle w:val="FootnoteReference"/>
        </w:rPr>
        <w:footnoteReference w:id="85"/>
      </w:r>
    </w:p>
    <w:p w:rsidR="00437CA2" w:rsidRDefault="00437CA2" w:rsidP="00437CA2">
      <w:pPr>
        <w:pStyle w:val="ListContinue3"/>
      </w:pPr>
      <w:r>
        <w:t>We place varying levels of reliance on these sources of evidence (which is supported by Lally).</w:t>
      </w:r>
      <w:r w:rsidRPr="00A316AD">
        <w:rPr>
          <w:rStyle w:val="FootnoteReference"/>
        </w:rPr>
        <w:footnoteReference w:id="86"/>
      </w:r>
      <w:r>
        <w:t xml:space="preserve"> That is:</w:t>
      </w:r>
    </w:p>
    <w:p w:rsidR="00437CA2" w:rsidRDefault="00437CA2" w:rsidP="00437CA2">
      <w:pPr>
        <w:pStyle w:val="AERbulletlistthirdstyle"/>
      </w:pPr>
      <w:r>
        <w:t>we place most reliance on the equity ownership approach because we consider it generates the best estimate of</w:t>
      </w:r>
      <w:r w:rsidRPr="001762B7">
        <w:t xml:space="preserve"> the </w:t>
      </w:r>
      <w:r w:rsidRPr="0005260B">
        <w:t>utilisation value to investors in the market per dollar of imputation credits distributed</w:t>
      </w:r>
    </w:p>
    <w:p w:rsidR="00437CA2" w:rsidRDefault="00437CA2" w:rsidP="00437CA2">
      <w:pPr>
        <w:pStyle w:val="AERbulletlistthirdstyle"/>
      </w:pPr>
      <w:r>
        <w:t>we place less reliance on tax statistics because</w:t>
      </w:r>
      <w:r w:rsidRPr="001762B7">
        <w:t xml:space="preserve"> the</w:t>
      </w:r>
      <w:r>
        <w:t xml:space="preserve"> underlying taxation data</w:t>
      </w:r>
      <w:r w:rsidRPr="001762B7">
        <w:t xml:space="preserve"> </w:t>
      </w:r>
      <w:r>
        <w:t>are unreliable</w:t>
      </w:r>
    </w:p>
    <w:p w:rsidR="00437CA2" w:rsidRDefault="00437CA2" w:rsidP="00437CA2">
      <w:pPr>
        <w:pStyle w:val="AERbulletlistthirdstyle"/>
      </w:pPr>
      <w:r>
        <w:t>we place even less reliance on implied market value studies because</w:t>
      </w:r>
      <w:r w:rsidRPr="00DE7959">
        <w:t xml:space="preserve"> </w:t>
      </w:r>
      <w:r>
        <w:t xml:space="preserve">we consider they have many limitations, including </w:t>
      </w:r>
      <w:r w:rsidRPr="00DE7959">
        <w:t>they do not measure the pre-personal tax and pre-personal cost value of distributed imputation credits</w:t>
      </w:r>
      <w:r>
        <w:t>.</w:t>
      </w:r>
      <w:r>
        <w:rPr>
          <w:rStyle w:val="FootnoteReference"/>
        </w:rPr>
        <w:footnoteReference w:id="87"/>
      </w:r>
      <w:r>
        <w:t xml:space="preserve"> </w:t>
      </w:r>
    </w:p>
    <w:p w:rsidR="00437CA2" w:rsidRDefault="00437CA2" w:rsidP="00437CA2">
      <w:pPr>
        <w:pStyle w:val="ListContinue"/>
      </w:pPr>
      <w:r>
        <w:lastRenderedPageBreak/>
        <w:t xml:space="preserve">Also, when estimating the distribution rate and the utilisation rate there is </w:t>
      </w:r>
      <w:r w:rsidRPr="00A90D90">
        <w:t>no consensus regarding whether evidence and data should be used on all companies and their investors (all equity) or just listed companies and their investors (</w:t>
      </w:r>
      <w:r>
        <w:t>only listed equity</w:t>
      </w:r>
      <w:r w:rsidRPr="00A90D90">
        <w:t>).</w:t>
      </w:r>
      <w:r w:rsidRPr="00A90D90">
        <w:rPr>
          <w:rStyle w:val="FootnoteReference"/>
        </w:rPr>
        <w:footnoteReference w:id="88"/>
      </w:r>
      <w:r w:rsidRPr="00A90D90">
        <w:t xml:space="preserve"> In determining the value of imputation credits, we rely on the results from both approaches.</w:t>
      </w:r>
    </w:p>
    <w:p w:rsidR="00437CA2" w:rsidRPr="00883125" w:rsidRDefault="00437CA2" w:rsidP="00437CA2">
      <w:pPr>
        <w:pStyle w:val="AERbulletlistfirststyle"/>
      </w:pPr>
      <w:r w:rsidRPr="00883125">
        <w:t>the views of experts—experts differ in their interpretations of the:</w:t>
      </w:r>
    </w:p>
    <w:p w:rsidR="00437CA2" w:rsidRPr="00883125" w:rsidRDefault="00437CA2" w:rsidP="00437CA2">
      <w:pPr>
        <w:pStyle w:val="AERbulletlistsecondstyle"/>
      </w:pPr>
      <w:r w:rsidRPr="00883125">
        <w:t>role of the value of imputation credits in the regulatory framework</w:t>
      </w:r>
    </w:p>
    <w:p w:rsidR="00437CA2" w:rsidRPr="00883125" w:rsidRDefault="00437CA2" w:rsidP="00437CA2">
      <w:pPr>
        <w:pStyle w:val="AERbulletlistsecondstyle"/>
      </w:pPr>
      <w:r w:rsidRPr="00883125">
        <w:t>underlying theory and academic literature</w:t>
      </w:r>
    </w:p>
    <w:p w:rsidR="000B321F" w:rsidRDefault="00437CA2" w:rsidP="002C233C">
      <w:pPr>
        <w:pStyle w:val="AERbulletlistsecondstyle"/>
      </w:pPr>
      <w:r w:rsidRPr="00883125">
        <w:t>relevance of different estimation techniques, particularly for the utilisation rate</w:t>
      </w:r>
      <w:r>
        <w:t>.</w:t>
      </w:r>
    </w:p>
    <w:p w:rsidR="00DE563D" w:rsidRPr="008A31CC" w:rsidRDefault="00DE563D" w:rsidP="008A31CC">
      <w:pPr>
        <w:pStyle w:val="Heading2"/>
      </w:pPr>
      <w:bookmarkStart w:id="72" w:name="_Toc403144140"/>
      <w:bookmarkStart w:id="73" w:name="_Ref475371808"/>
      <w:bookmarkStart w:id="74" w:name="_Ref475439085"/>
      <w:bookmarkStart w:id="75" w:name="_Ref475454898"/>
      <w:bookmarkStart w:id="76" w:name="_Ref475456919"/>
      <w:bookmarkStart w:id="77" w:name="_Ref475972971"/>
      <w:bookmarkStart w:id="78" w:name="_Ref476520062"/>
      <w:bookmarkStart w:id="79" w:name="_Ref476520189"/>
      <w:bookmarkStart w:id="80" w:name="_Ref476520204"/>
      <w:bookmarkStart w:id="81" w:name="_Ref476520210"/>
      <w:bookmarkStart w:id="82" w:name="_Ref476520604"/>
      <w:bookmarkStart w:id="83" w:name="_Ref476565842"/>
      <w:bookmarkStart w:id="84" w:name="_Ref476580949"/>
      <w:bookmarkStart w:id="85" w:name="_Ref476580960"/>
      <w:bookmarkStart w:id="86" w:name="_Ref476648777"/>
      <w:bookmarkStart w:id="87" w:name="_Ref476650811"/>
      <w:bookmarkStart w:id="88" w:name="_Ref477216695"/>
      <w:bookmarkStart w:id="89" w:name="_Ref477266198"/>
      <w:bookmarkStart w:id="90" w:name="_Ref477362088"/>
      <w:bookmarkStart w:id="91" w:name="_Ref479785023"/>
      <w:bookmarkStart w:id="92" w:name="_Ref479785029"/>
      <w:bookmarkStart w:id="93" w:name="_Toc481061447"/>
      <w:r w:rsidRPr="008A31CC">
        <w:t>Reasons</w:t>
      </w:r>
      <w:r w:rsidRPr="005271EF">
        <w:t xml:space="preserve"> for </w:t>
      </w:r>
      <w:r w:rsidR="003870A9" w:rsidRPr="005F797E">
        <w:t>final</w:t>
      </w:r>
      <w:r w:rsidRPr="005F797E">
        <w:t xml:space="preserve"> decision</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5F797E">
        <w:t xml:space="preserve"> </w:t>
      </w:r>
    </w:p>
    <w:p w:rsidR="00C52695" w:rsidRPr="005764F6" w:rsidRDefault="00C52695" w:rsidP="00C52695">
      <w:pPr>
        <w:numPr>
          <w:ilvl w:val="0"/>
          <w:numId w:val="24"/>
        </w:numPr>
        <w:rPr>
          <w:rStyle w:val="AERbody"/>
        </w:rPr>
      </w:pPr>
      <w:r w:rsidRPr="005764F6">
        <w:rPr>
          <w:rStyle w:val="AERbody"/>
        </w:rPr>
        <w:t xml:space="preserve">In determining the value of imputation credits, we have considered the full range of evidence before us with regard to its merits (see section </w:t>
      </w:r>
      <w:r w:rsidRPr="005764F6">
        <w:rPr>
          <w:rStyle w:val="AERbody"/>
        </w:rPr>
        <w:fldChar w:fldCharType="begin"/>
      </w:r>
      <w:r w:rsidRPr="005764F6">
        <w:rPr>
          <w:rStyle w:val="AERbody"/>
        </w:rPr>
        <w:instrText xml:space="preserve"> REF _Ref415048973 \r \h  \* MERGEFORMAT </w:instrText>
      </w:r>
      <w:r w:rsidRPr="005764F6">
        <w:rPr>
          <w:rStyle w:val="AERbody"/>
        </w:rPr>
      </w:r>
      <w:r w:rsidRPr="005764F6">
        <w:rPr>
          <w:rStyle w:val="AERbody"/>
        </w:rPr>
        <w:fldChar w:fldCharType="separate"/>
      </w:r>
      <w:r w:rsidR="00812A72">
        <w:rPr>
          <w:rStyle w:val="AERbody"/>
        </w:rPr>
        <w:t>4.3.6</w:t>
      </w:r>
      <w:r w:rsidRPr="005764F6">
        <w:rPr>
          <w:rStyle w:val="AERbody"/>
        </w:rPr>
        <w:fldChar w:fldCharType="end"/>
      </w:r>
      <w:r w:rsidRPr="005764F6">
        <w:rPr>
          <w:rStyle w:val="AERbody"/>
        </w:rPr>
        <w:t xml:space="preserve"> for our approach). We consider that a value of imputation credits of 0.4, selected from within a range of 0.3 to 0.5, is reasonable because:</w:t>
      </w:r>
    </w:p>
    <w:p w:rsidR="00C52695" w:rsidRPr="001D37D5" w:rsidRDefault="00C52695" w:rsidP="00C52695">
      <w:pPr>
        <w:pStyle w:val="AERbulletlistfirststyle"/>
      </w:pPr>
      <w:r w:rsidRPr="005764F6">
        <w:t xml:space="preserve">It </w:t>
      </w:r>
      <w:r w:rsidRPr="001D37D5">
        <w:t>is within the range of values indicated by the evidence, and the relevance of the evidence is supported by the expert opinion of Handley, Lally, and McKenzie and Partington.</w:t>
      </w:r>
    </w:p>
    <w:p w:rsidR="00C52695" w:rsidRPr="001D37D5" w:rsidRDefault="00C52695" w:rsidP="00C52695">
      <w:pPr>
        <w:pStyle w:val="AERbulletlistfirststyle"/>
      </w:pPr>
      <w:r w:rsidRPr="005764F6">
        <w:t xml:space="preserve">It </w:t>
      </w:r>
      <w:r w:rsidRPr="001D37D5">
        <w:t>primarily reflects an estimate of the utilisation rate from the equity ownership approach. Handley considered this the most important approach to estimating the utilisation rate, relative to the alternatives of tax statistics and implied market value studies.</w:t>
      </w:r>
      <w:r w:rsidRPr="001D37D5">
        <w:rPr>
          <w:rStyle w:val="FootnoteReference"/>
        </w:rPr>
        <w:footnoteReference w:id="89"/>
      </w:r>
      <w:r w:rsidRPr="001D37D5">
        <w:t xml:space="preserve"> The equity ownership approach was Lally's second preference after his recommendation for a utilisation rate of 1.</w:t>
      </w:r>
      <w:r w:rsidRPr="001D37D5">
        <w:rPr>
          <w:rStyle w:val="FootnoteReference"/>
        </w:rPr>
        <w:footnoteReference w:id="90"/>
      </w:r>
    </w:p>
    <w:p w:rsidR="00C52695" w:rsidRPr="001D37D5" w:rsidRDefault="00C52695" w:rsidP="00C52695">
      <w:pPr>
        <w:pStyle w:val="AERbulletlistfirststyle"/>
      </w:pPr>
      <w:r w:rsidRPr="005764F6">
        <w:t xml:space="preserve">It </w:t>
      </w:r>
      <w:r w:rsidRPr="001D37D5">
        <w:t>is within the 'preferred' range for the value of imputation credits (0.4 to 0.5) in Handley's September 2014 advice.</w:t>
      </w:r>
      <w:r w:rsidRPr="001D37D5">
        <w:rPr>
          <w:rStyle w:val="FootnoteReference"/>
        </w:rPr>
        <w:footnoteReference w:id="91"/>
      </w:r>
    </w:p>
    <w:p w:rsidR="00C52695" w:rsidRPr="001D37D5" w:rsidRDefault="00C52695" w:rsidP="00C52695">
      <w:pPr>
        <w:pStyle w:val="AERbulletlistfirststyle"/>
      </w:pPr>
      <w:r w:rsidRPr="005764F6">
        <w:lastRenderedPageBreak/>
        <w:t xml:space="preserve">It is </w:t>
      </w:r>
      <w:r w:rsidRPr="001D37D5">
        <w:t>slightly below the Lally's recommended application of the equity ownership approach.</w:t>
      </w:r>
      <w:r w:rsidRPr="001D37D5">
        <w:rPr>
          <w:rStyle w:val="FootnoteReference"/>
        </w:rPr>
        <w:footnoteReference w:id="92"/>
      </w:r>
      <w:r w:rsidRPr="001D37D5">
        <w:t xml:space="preserve"> This suggests a gamma of at least 0.50 based on Lally's preferred estimate of the distribution rate and using the equity ownership data based on all equity (which Lally prefers). </w:t>
      </w:r>
    </w:p>
    <w:p w:rsidR="00C52695" w:rsidRPr="001D37D5" w:rsidRDefault="00C52695" w:rsidP="00C52695">
      <w:pPr>
        <w:pStyle w:val="AERbulletlistfirststyle"/>
      </w:pPr>
      <w:r w:rsidRPr="005764F6">
        <w:t>It is consistent with providing regulatory certainty given it is consistent with the value we used for all regulatory decisions released in 2015</w:t>
      </w:r>
      <w:r>
        <w:t xml:space="preserve"> and 2016.</w:t>
      </w:r>
    </w:p>
    <w:p w:rsidR="00C52695" w:rsidRPr="001D37D5" w:rsidRDefault="00C52695" w:rsidP="00C52695">
      <w:pPr>
        <w:pStyle w:val="AERbulletlistfirststyle"/>
      </w:pPr>
      <w:r w:rsidRPr="005764F6">
        <w:t xml:space="preserve">Based </w:t>
      </w:r>
      <w:r w:rsidRPr="001D37D5">
        <w:t>on the evidence before us at this time, adopting a value of imputation credits that is rounded to one decimal place appropriately reflects the uncertainty and imprecision associated with this parameter. This uncertainty is evident in the range of views and values that have been espoused by experts, and was recognised by Handley and McKenzie and Partington.</w:t>
      </w:r>
      <w:r w:rsidRPr="001D37D5">
        <w:rPr>
          <w:rStyle w:val="FootnoteReference"/>
        </w:rPr>
        <w:footnoteReference w:id="93"/>
      </w:r>
      <w:r w:rsidRPr="001D37D5">
        <w:t xml:space="preserve"> The imprecision of determining the value of imputation credits was emphasised by Handley.</w:t>
      </w:r>
      <w:r w:rsidRPr="001D37D5">
        <w:rPr>
          <w:rStyle w:val="FootnoteReference"/>
        </w:rPr>
        <w:footnoteReference w:id="94"/>
      </w:r>
    </w:p>
    <w:p w:rsidR="00C52695" w:rsidRPr="005764F6" w:rsidRDefault="00C52695" w:rsidP="00C52695">
      <w:pPr>
        <w:numPr>
          <w:ilvl w:val="0"/>
          <w:numId w:val="24"/>
        </w:numPr>
        <w:rPr>
          <w:rStyle w:val="AERbody"/>
        </w:rPr>
      </w:pPr>
      <w:r w:rsidRPr="005764F6">
        <w:rPr>
          <w:rStyle w:val="AERbody"/>
        </w:rPr>
        <w:t>In considering the evidence on the distribution and utilisation rates, we have broadly maintained the approach set out in the Guideline, but have re-examined the relevant evidence and estimates. This re-examination, and new evidence and advice considered since the Guideline, led us to depart from the Guideline value of imputation credits of 0.5. Departures from specific aspects of the Guideline are noted in the discussion of the distribution rate and utilisation rate below.</w:t>
      </w:r>
    </w:p>
    <w:p w:rsidR="00C52695" w:rsidRPr="005764F6" w:rsidRDefault="00C52695" w:rsidP="00C52695">
      <w:pPr>
        <w:numPr>
          <w:ilvl w:val="0"/>
          <w:numId w:val="24"/>
        </w:numPr>
        <w:rPr>
          <w:rStyle w:val="AERbody"/>
        </w:rPr>
      </w:pPr>
      <w:r w:rsidRPr="005764F6">
        <w:rPr>
          <w:rStyle w:val="AERbody"/>
        </w:rPr>
        <w:t xml:space="preserve">Further to the Guideline approach, in this </w:t>
      </w:r>
      <w:r w:rsidR="00120638">
        <w:rPr>
          <w:rStyle w:val="AERbody"/>
        </w:rPr>
        <w:t xml:space="preserve">final </w:t>
      </w:r>
      <w:r w:rsidRPr="005764F6">
        <w:rPr>
          <w:rStyle w:val="AERbody"/>
        </w:rPr>
        <w:t xml:space="preserve">decision we consider we may have regard to evidence from all equity and/or only listed equity. Some experts advocate use of evidence on only listed companies and their investors because they consider it to be more reflective of the benchmark efficient entity and its investors, or because they consider this is consistent with the use of evidence from only listed companies when estimating the MRP. However, there is no consensus on this point. We discuss the issue further in sections </w:t>
      </w:r>
      <w:r w:rsidRPr="005764F6">
        <w:rPr>
          <w:rStyle w:val="AERbody"/>
        </w:rPr>
        <w:fldChar w:fldCharType="begin"/>
      </w:r>
      <w:r w:rsidRPr="005764F6">
        <w:rPr>
          <w:rStyle w:val="AERbody"/>
        </w:rPr>
        <w:instrText xml:space="preserve"> REF _Ref414623120 \r \h </w:instrText>
      </w:r>
      <w:r>
        <w:rPr>
          <w:rStyle w:val="AERbody"/>
        </w:rPr>
        <w:instrText xml:space="preserve"> \* MERGEFORMAT </w:instrText>
      </w:r>
      <w:r w:rsidRPr="005764F6">
        <w:rPr>
          <w:rStyle w:val="AERbody"/>
        </w:rPr>
      </w:r>
      <w:r w:rsidRPr="005764F6">
        <w:rPr>
          <w:rStyle w:val="AERbody"/>
        </w:rPr>
        <w:fldChar w:fldCharType="separate"/>
      </w:r>
      <w:r w:rsidR="00812A72">
        <w:rPr>
          <w:rStyle w:val="AERbody"/>
        </w:rPr>
        <w:t>A.8</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_Ref415068711 \r \h </w:instrText>
      </w:r>
      <w:r>
        <w:rPr>
          <w:rStyle w:val="AERbody"/>
        </w:rPr>
        <w:instrText xml:space="preserve"> \* MERGEFORMAT </w:instrText>
      </w:r>
      <w:r w:rsidRPr="005764F6">
        <w:rPr>
          <w:rStyle w:val="AERbody"/>
        </w:rPr>
      </w:r>
      <w:r w:rsidRPr="005764F6">
        <w:rPr>
          <w:rStyle w:val="AERbody"/>
        </w:rPr>
        <w:fldChar w:fldCharType="separate"/>
      </w:r>
      <w:r w:rsidR="00812A72">
        <w:rPr>
          <w:rStyle w:val="AERbody"/>
        </w:rPr>
        <w:t>A.8.5</w:t>
      </w:r>
      <w:r w:rsidRPr="005764F6">
        <w:rPr>
          <w:rStyle w:val="AERbody"/>
        </w:rPr>
        <w:fldChar w:fldCharType="end"/>
      </w:r>
      <w:r w:rsidRPr="005764F6">
        <w:rPr>
          <w:rStyle w:val="AERbody"/>
        </w:rPr>
        <w:t>. We did not consider this issue in the Guideline.</w:t>
      </w:r>
    </w:p>
    <w:p w:rsidR="00CF4EC3" w:rsidRPr="005764F6" w:rsidRDefault="00CF4EC3" w:rsidP="00DB09A8">
      <w:pPr>
        <w:pStyle w:val="ListParagraph"/>
        <w:numPr>
          <w:ilvl w:val="0"/>
          <w:numId w:val="24"/>
        </w:numPr>
        <w:rPr>
          <w:rStyle w:val="AERbody"/>
        </w:rPr>
      </w:pPr>
      <w:r w:rsidRPr="00CF4EC3">
        <w:t>Lally considered that there is no necessity to combine estimates of the distribution rate and utilisation rate from the same dataset and good reason not for not doing so.</w:t>
      </w:r>
      <w:r w:rsidRPr="00CF4EC3">
        <w:rPr>
          <w:rStyle w:val="FootnoteReference"/>
        </w:rPr>
        <w:footnoteReference w:id="95"/>
      </w:r>
      <w:r w:rsidRPr="00CF4EC3">
        <w:t xml:space="preserve"> </w:t>
      </w:r>
      <w:r w:rsidR="00452BA3">
        <w:t>However, we note given Lally's advice our approach appears to lead to a conservative gamma estimate (in favour of the service provider)</w:t>
      </w:r>
      <w:r w:rsidRPr="00CF4EC3">
        <w:t xml:space="preserve">, as Lally considered that only listed firms should be used to determine the distribution rate and all equity </w:t>
      </w:r>
      <w:r w:rsidR="00A11A7C">
        <w:t xml:space="preserve">firms </w:t>
      </w:r>
      <w:r w:rsidRPr="00CF4EC3">
        <w:t>should be used to estimate the utilisation value which result</w:t>
      </w:r>
      <w:r w:rsidR="00E4542B">
        <w:t>s</w:t>
      </w:r>
      <w:r w:rsidRPr="00CF4EC3">
        <w:t xml:space="preserve"> in a gamma estimate of 0.5</w:t>
      </w:r>
      <w:r>
        <w:t>.</w:t>
      </w:r>
      <w:r w:rsidR="00490FB7">
        <w:t xml:space="preserve"> </w:t>
      </w:r>
      <w:r w:rsidR="00C52695" w:rsidRPr="005764F6">
        <w:rPr>
          <w:rStyle w:val="AERbody"/>
        </w:rPr>
        <w:t xml:space="preserve">Following </w:t>
      </w:r>
      <w:r w:rsidR="00452BA3">
        <w:rPr>
          <w:rStyle w:val="AERbody"/>
        </w:rPr>
        <w:t>Lally's most recent advice</w:t>
      </w:r>
      <w:r w:rsidR="00C52695" w:rsidRPr="005764F6">
        <w:rPr>
          <w:rStyle w:val="AERbody"/>
        </w:rPr>
        <w:t xml:space="preserve"> we </w:t>
      </w:r>
      <w:r w:rsidR="00452BA3">
        <w:rPr>
          <w:rStyle w:val="AERbody"/>
        </w:rPr>
        <w:t>remain of the view</w:t>
      </w:r>
      <w:r w:rsidR="00C52695" w:rsidRPr="005764F6">
        <w:rPr>
          <w:rStyle w:val="AERbody"/>
        </w:rPr>
        <w:t xml:space="preserve"> it </w:t>
      </w:r>
      <w:r w:rsidR="00C52695">
        <w:rPr>
          <w:rStyle w:val="AERbody"/>
        </w:rPr>
        <w:t>is</w:t>
      </w:r>
      <w:r w:rsidR="00C52695" w:rsidRPr="005764F6">
        <w:rPr>
          <w:rStyle w:val="AERbody"/>
        </w:rPr>
        <w:t xml:space="preserve"> not necessary to </w:t>
      </w:r>
      <w:r w:rsidR="00C52695">
        <w:rPr>
          <w:rStyle w:val="AERbody"/>
        </w:rPr>
        <w:t>'</w:t>
      </w:r>
      <w:r w:rsidR="00C52695" w:rsidRPr="005764F6">
        <w:rPr>
          <w:rStyle w:val="AERbody"/>
        </w:rPr>
        <w:t>match</w:t>
      </w:r>
      <w:r w:rsidR="00C52695">
        <w:rPr>
          <w:rStyle w:val="AERbody"/>
        </w:rPr>
        <w:t>'</w:t>
      </w:r>
      <w:r w:rsidR="00C52695" w:rsidRPr="005764F6">
        <w:rPr>
          <w:rStyle w:val="AERbody"/>
        </w:rPr>
        <w:t xml:space="preserve"> estimates of distribution rates and utilisation </w:t>
      </w:r>
      <w:r w:rsidR="00C52695" w:rsidRPr="005764F6">
        <w:rPr>
          <w:rStyle w:val="AERbody"/>
        </w:rPr>
        <w:lastRenderedPageBreak/>
        <w:t>rates based on the dataset used</w:t>
      </w:r>
      <w:r w:rsidR="00C52695">
        <w:rPr>
          <w:rStyle w:val="AERbody"/>
        </w:rPr>
        <w:t xml:space="preserve">; although we </w:t>
      </w:r>
      <w:r w:rsidR="00452BA3">
        <w:rPr>
          <w:rStyle w:val="AERbody"/>
        </w:rPr>
        <w:t>still consider</w:t>
      </w:r>
      <w:r w:rsidR="00C52695">
        <w:rPr>
          <w:rStyle w:val="AERbody"/>
        </w:rPr>
        <w:t xml:space="preserve"> the choice is open to us</w:t>
      </w:r>
      <w:r w:rsidR="00C52695" w:rsidRPr="005764F6">
        <w:rPr>
          <w:rStyle w:val="AERbody"/>
        </w:rPr>
        <w:t xml:space="preserve">. We discuss this further in section 4.4.1 and </w:t>
      </w:r>
      <w:r w:rsidR="00C52695" w:rsidRPr="005764F6">
        <w:rPr>
          <w:rStyle w:val="AERbody"/>
        </w:rPr>
        <w:fldChar w:fldCharType="begin"/>
      </w:r>
      <w:r w:rsidR="00C52695" w:rsidRPr="005764F6">
        <w:rPr>
          <w:rStyle w:val="AERbody"/>
        </w:rPr>
        <w:instrText xml:space="preserve"> REF _Ref403481194 \r \h  \* MERGEFORMAT </w:instrText>
      </w:r>
      <w:r w:rsidR="00C52695" w:rsidRPr="005764F6">
        <w:rPr>
          <w:rStyle w:val="AERbody"/>
        </w:rPr>
      </w:r>
      <w:r w:rsidR="00C52695" w:rsidRPr="005764F6">
        <w:rPr>
          <w:rStyle w:val="AERbody"/>
        </w:rPr>
        <w:fldChar w:fldCharType="separate"/>
      </w:r>
      <w:r w:rsidR="00812A72">
        <w:rPr>
          <w:rStyle w:val="AERbody"/>
        </w:rPr>
        <w:t>A.9.2</w:t>
      </w:r>
      <w:r w:rsidR="00C52695" w:rsidRPr="005764F6">
        <w:rPr>
          <w:rStyle w:val="AERbody"/>
        </w:rPr>
        <w:fldChar w:fldCharType="end"/>
      </w:r>
      <w:r w:rsidR="00C52695" w:rsidRPr="005764F6">
        <w:rPr>
          <w:rStyle w:val="AERbody"/>
        </w:rPr>
        <w:t>.</w:t>
      </w:r>
    </w:p>
    <w:p w:rsidR="00C52695" w:rsidRPr="005764F6" w:rsidRDefault="00C52695" w:rsidP="00C52695">
      <w:pPr>
        <w:rPr>
          <w:rStyle w:val="AERbody"/>
        </w:rPr>
      </w:pPr>
      <w:r w:rsidRPr="005764F6">
        <w:rPr>
          <w:rStyle w:val="AERbody"/>
        </w:rPr>
        <w:t xml:space="preserve">We </w:t>
      </w:r>
      <w:r>
        <w:rPr>
          <w:rStyle w:val="AERbody"/>
        </w:rPr>
        <w:t xml:space="preserve">also </w:t>
      </w:r>
      <w:r w:rsidRPr="005764F6">
        <w:rPr>
          <w:rStyle w:val="AERbody"/>
        </w:rPr>
        <w:t>note that, following his advice, Lally recommended pairing an estimate of the utilisation rate</w:t>
      </w:r>
      <w:r>
        <w:rPr>
          <w:rStyle w:val="AERbody"/>
        </w:rPr>
        <w:t xml:space="preserve"> for all equity</w:t>
      </w:r>
      <w:r w:rsidRPr="005764F6">
        <w:rPr>
          <w:rStyle w:val="AERbody"/>
        </w:rPr>
        <w:t xml:space="preserve"> from the equity ownership approach</w:t>
      </w:r>
      <w:r>
        <w:rPr>
          <w:rStyle w:val="AERbody"/>
        </w:rPr>
        <w:t>,</w:t>
      </w:r>
      <w:r w:rsidRPr="005764F6">
        <w:rPr>
          <w:rStyle w:val="AERbody"/>
        </w:rPr>
        <w:t xml:space="preserve"> with a distribution rate </w:t>
      </w:r>
      <w:r>
        <w:rPr>
          <w:rStyle w:val="AERbody"/>
        </w:rPr>
        <w:t xml:space="preserve">for listed equity </w:t>
      </w:r>
      <w:r w:rsidRPr="005764F6">
        <w:rPr>
          <w:rStyle w:val="AERbody"/>
        </w:rPr>
        <w:t>estimated from the financial statements of the top 20 listed firms (which he considered likely to best reflect the distribution rate of a benchmark efficient entity).</w:t>
      </w:r>
      <w:r w:rsidRPr="005942A6">
        <w:rPr>
          <w:rStyle w:val="FootnoteReference"/>
        </w:rPr>
        <w:footnoteReference w:id="96"/>
      </w:r>
      <w:r w:rsidRPr="005764F6">
        <w:rPr>
          <w:rStyle w:val="AERbody"/>
        </w:rPr>
        <w:t xml:space="preserve"> </w:t>
      </w:r>
    </w:p>
    <w:p w:rsidR="00C52695" w:rsidRPr="005764F6" w:rsidRDefault="00C52695" w:rsidP="00C52695">
      <w:pPr>
        <w:numPr>
          <w:ilvl w:val="0"/>
          <w:numId w:val="24"/>
        </w:numPr>
        <w:rPr>
          <w:rStyle w:val="AERbody"/>
        </w:rPr>
      </w:pPr>
      <w:r w:rsidRPr="005764F6">
        <w:rPr>
          <w:rStyle w:val="AERbody"/>
        </w:rPr>
        <w:t xml:space="preserve">Recognising these considerations,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812A72" w:rsidRPr="00E750F8">
        <w:rPr>
          <w:rStyle w:val="AERbody"/>
        </w:rPr>
        <w:t>table 4</w:t>
      </w:r>
      <w:r w:rsidR="00812A72" w:rsidRPr="00E750F8">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812A72" w:rsidRPr="00E750F8">
        <w:rPr>
          <w:rStyle w:val="AERbody"/>
        </w:rPr>
        <w:t>table 4</w:t>
      </w:r>
      <w:r w:rsidR="00812A72" w:rsidRPr="00E750F8">
        <w:rPr>
          <w:rStyle w:val="AERbody"/>
        </w:rPr>
        <w:noBreakHyphen/>
        <w:t>4</w:t>
      </w:r>
      <w:r w:rsidRPr="005764F6">
        <w:rPr>
          <w:rStyle w:val="AERbody"/>
        </w:rPr>
        <w:fldChar w:fldCharType="end"/>
      </w:r>
      <w:r w:rsidRPr="005764F6">
        <w:rPr>
          <w:rStyle w:val="AERbody"/>
        </w:rPr>
        <w:t xml:space="preserve"> show estimates of the value of imputation credits that arise from internally consistent evidence from all equity and only listed equity.</w:t>
      </w:r>
      <w:r w:rsidRPr="005942A6">
        <w:rPr>
          <w:rStyle w:val="FootnoteReference"/>
        </w:rPr>
        <w:footnoteReference w:id="97"/>
      </w:r>
      <w:r w:rsidRPr="005764F6">
        <w:rPr>
          <w:rStyle w:val="AERbody"/>
        </w:rPr>
        <w:t xml:space="preserve"> It also shows the estimated value of imputation credits from Lally's </w:t>
      </w:r>
      <w:r>
        <w:rPr>
          <w:rStyle w:val="AERbody"/>
        </w:rPr>
        <w:t>recommended</w:t>
      </w:r>
      <w:r w:rsidRPr="005764F6">
        <w:rPr>
          <w:rStyle w:val="AERbody"/>
        </w:rPr>
        <w:t xml:space="preserve"> approach </w:t>
      </w:r>
      <w:r>
        <w:rPr>
          <w:rStyle w:val="AERbody"/>
        </w:rPr>
        <w:t>(see above)</w:t>
      </w:r>
      <w:r w:rsidRPr="005764F6">
        <w:rPr>
          <w:rStyle w:val="AERbody"/>
        </w:rPr>
        <w:t>. These individual sources of evidence allow us to present estimates to two decimal places. However, we consider it reasonable to determine a value of imputation credits to only one decimal place when determining a single value from across this evidence.</w:t>
      </w:r>
    </w:p>
    <w:p w:rsidR="00C52695" w:rsidRPr="00883125" w:rsidRDefault="00C52695" w:rsidP="00C52695">
      <w:pPr>
        <w:pStyle w:val="Caption"/>
      </w:pPr>
      <w:bookmarkStart w:id="94" w:name="_Ref400900366"/>
      <w:bookmarkStart w:id="95" w:name="_Ref400900335"/>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3</w:t>
      </w:r>
      <w:r w:rsidRPr="001D37D5">
        <w:fldChar w:fldCharType="end"/>
      </w:r>
      <w:bookmarkEnd w:id="94"/>
      <w:r w:rsidRPr="00883125">
        <w:tab/>
        <w:t>Estimates of the value of imputation credits—evidence from all equity</w:t>
      </w:r>
      <w:bookmarkEnd w:id="95"/>
    </w:p>
    <w:tbl>
      <w:tblPr>
        <w:tblStyle w:val="AERtable-numbers"/>
        <w:tblW w:w="0" w:type="auto"/>
        <w:tblLook w:val="04A0" w:firstRow="1" w:lastRow="0" w:firstColumn="1" w:lastColumn="0" w:noHBand="0" w:noVBand="1"/>
      </w:tblPr>
      <w:tblGrid>
        <w:gridCol w:w="3085"/>
        <w:gridCol w:w="2052"/>
        <w:gridCol w:w="2052"/>
        <w:gridCol w:w="2053"/>
      </w:tblGrid>
      <w:tr w:rsidR="00C52695"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C52695" w:rsidRPr="00883125" w:rsidRDefault="00C52695" w:rsidP="00C52695">
            <w:pPr>
              <w:numPr>
                <w:ilvl w:val="0"/>
                <w:numId w:val="24"/>
              </w:numPr>
            </w:pPr>
            <w:r w:rsidRPr="00883125">
              <w:t xml:space="preserve">Evidence on utilisation </w:t>
            </w:r>
            <w:r>
              <w:t>rate</w:t>
            </w:r>
          </w:p>
        </w:tc>
        <w:tc>
          <w:tcPr>
            <w:tcW w:w="2052" w:type="dxa"/>
          </w:tcPr>
          <w:p w:rsidR="00C52695" w:rsidRPr="00C52695" w:rsidRDefault="00C52695" w:rsidP="00C52695">
            <w:pPr>
              <w:cnfStyle w:val="100000000000" w:firstRow="1" w:lastRow="0" w:firstColumn="0" w:lastColumn="0" w:oddVBand="0" w:evenVBand="0" w:oddHBand="0" w:evenHBand="0" w:firstRowFirstColumn="0" w:firstRowLastColumn="0" w:lastRowFirstColumn="0" w:lastRowLastColumn="0"/>
            </w:pPr>
            <w:r w:rsidRPr="00883125">
              <w:t xml:space="preserve">Utilisation </w:t>
            </w:r>
            <w:r w:rsidRPr="00C52695">
              <w:t>rate</w:t>
            </w:r>
          </w:p>
        </w:tc>
        <w:tc>
          <w:tcPr>
            <w:tcW w:w="2052" w:type="dxa"/>
          </w:tcPr>
          <w:p w:rsidR="00C52695" w:rsidRPr="00C52695" w:rsidRDefault="00C52695" w:rsidP="00C52695">
            <w:pPr>
              <w:cnfStyle w:val="100000000000" w:firstRow="1" w:lastRow="0" w:firstColumn="0" w:lastColumn="0" w:oddVBand="0" w:evenVBand="0" w:oddHBand="0" w:evenHBand="0" w:firstRowFirstColumn="0" w:firstRowLastColumn="0" w:lastRowFirstColumn="0" w:lastRowLastColumn="0"/>
            </w:pPr>
            <w:r w:rsidRPr="00883125">
              <w:t>Distribution</w:t>
            </w:r>
            <w:r w:rsidRPr="00C52695">
              <w:t xml:space="preserve"> rate</w:t>
            </w:r>
          </w:p>
        </w:tc>
        <w:tc>
          <w:tcPr>
            <w:tcW w:w="2053" w:type="dxa"/>
          </w:tcPr>
          <w:p w:rsidR="00C52695" w:rsidRPr="00C52695" w:rsidRDefault="00C52695" w:rsidP="00C52695">
            <w:p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085" w:type="dxa"/>
          </w:tcPr>
          <w:p w:rsidR="00C52695" w:rsidRPr="00883125" w:rsidRDefault="00C52695" w:rsidP="00C52695">
            <w:pPr>
              <w:numPr>
                <w:ilvl w:val="0"/>
                <w:numId w:val="24"/>
              </w:numPr>
            </w:pPr>
            <w:r w:rsidRPr="00883125">
              <w:t>Equity ownership approach</w:t>
            </w:r>
          </w:p>
        </w:tc>
        <w:tc>
          <w:tcPr>
            <w:tcW w:w="2052"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883125">
              <w:t>0.56 to 0.68</w:t>
            </w:r>
          </w:p>
        </w:tc>
        <w:tc>
          <w:tcPr>
            <w:tcW w:w="205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0.40 to 0.47</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C52695" w:rsidRPr="00C52695" w:rsidRDefault="00C52695" w:rsidP="00C52695">
            <w:r w:rsidRPr="000C3267">
              <w:t xml:space="preserve">Equity ownership approach (Lally recommended distribution </w:t>
            </w:r>
            <w:r w:rsidRPr="00C52695">
              <w:t>rate)</w:t>
            </w:r>
          </w:p>
        </w:tc>
        <w:tc>
          <w:tcPr>
            <w:tcW w:w="2052"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0C3267">
              <w:t>0.56 to 0.68</w:t>
            </w:r>
            <w:r w:rsidR="00BC11CF">
              <w:rPr>
                <w:rStyle w:val="FootnoteReference"/>
              </w:rPr>
              <w:footnoteReference w:id="98"/>
            </w:r>
          </w:p>
        </w:tc>
        <w:tc>
          <w:tcPr>
            <w:tcW w:w="2052"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0C3267">
              <w:t>0.8</w:t>
            </w:r>
            <w:r w:rsidRPr="00C52695">
              <w:t>3</w:t>
            </w:r>
          </w:p>
        </w:tc>
        <w:tc>
          <w:tcPr>
            <w:tcW w:w="2053"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0C3267">
              <w:t>0.4</w:t>
            </w:r>
            <w:r w:rsidRPr="00C52695">
              <w:t>6 to 0.56</w:t>
            </w:r>
            <w:r w:rsidRPr="00C52695">
              <w:rPr>
                <w:rStyle w:val="FootnoteReference"/>
              </w:rPr>
              <w:footnoteReference w:id="99"/>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085" w:type="dxa"/>
          </w:tcPr>
          <w:p w:rsidR="00C52695" w:rsidRPr="00883125" w:rsidRDefault="00C52695" w:rsidP="00C52695">
            <w:pPr>
              <w:numPr>
                <w:ilvl w:val="0"/>
                <w:numId w:val="24"/>
              </w:numPr>
            </w:pPr>
            <w:r w:rsidRPr="00883125">
              <w:t>Tax statistics</w:t>
            </w:r>
          </w:p>
        </w:tc>
        <w:tc>
          <w:tcPr>
            <w:tcW w:w="2052"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883125">
              <w:t>0.48</w:t>
            </w:r>
          </w:p>
        </w:tc>
        <w:tc>
          <w:tcPr>
            <w:tcW w:w="2052"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883125">
              <w:t>0.34</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C52695" w:rsidRPr="00883125" w:rsidRDefault="00C52695" w:rsidP="00C52695">
            <w:pPr>
              <w:numPr>
                <w:ilvl w:val="0"/>
                <w:numId w:val="24"/>
              </w:numPr>
            </w:pPr>
            <w:r w:rsidRPr="00883125">
              <w:t>Tax statistics</w:t>
            </w:r>
            <w:r>
              <w:t xml:space="preserve"> (Lally recommended distribution rate)</w:t>
            </w:r>
          </w:p>
        </w:tc>
        <w:tc>
          <w:tcPr>
            <w:tcW w:w="2052"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t>0.48</w:t>
            </w:r>
          </w:p>
        </w:tc>
        <w:tc>
          <w:tcPr>
            <w:tcW w:w="2052"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t>0.83</w:t>
            </w:r>
          </w:p>
        </w:tc>
        <w:tc>
          <w:tcPr>
            <w:tcW w:w="2053"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t>0.40</w:t>
            </w:r>
          </w:p>
        </w:tc>
      </w:tr>
    </w:tbl>
    <w:p w:rsidR="00C52695" w:rsidRPr="00883125" w:rsidRDefault="00C52695" w:rsidP="00C52695">
      <w:pPr>
        <w:pStyle w:val="AERtablesource"/>
      </w:pPr>
      <w:r w:rsidRPr="00883125">
        <w:t>Source:</w:t>
      </w:r>
      <w:r w:rsidRPr="00883125">
        <w:tab/>
        <w:t>AER analysis</w:t>
      </w:r>
      <w:r>
        <w:t xml:space="preserve">; </w:t>
      </w:r>
      <w:r w:rsidRPr="00712BC2">
        <w:t xml:space="preserve">Lally, </w:t>
      </w:r>
      <w:r>
        <w:rPr>
          <w:rStyle w:val="AERtextitalic"/>
        </w:rPr>
        <w:t>Gamma and the ACT Decision</w:t>
      </w:r>
      <w:r>
        <w:t>, May 2016, p. 6</w:t>
      </w:r>
      <w:r w:rsidRPr="00883125">
        <w:t>.</w:t>
      </w:r>
      <w:bookmarkStart w:id="96" w:name="_Ref400900373"/>
    </w:p>
    <w:p w:rsidR="00C52695" w:rsidRPr="00883125" w:rsidRDefault="00C52695" w:rsidP="00C52695">
      <w:pPr>
        <w:pStyle w:val="Caption"/>
      </w:pPr>
      <w:bookmarkStart w:id="97" w:name="_Ref404072148"/>
      <w:r w:rsidRPr="00883125">
        <w:lastRenderedPageBreak/>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4</w:t>
      </w:r>
      <w:r w:rsidRPr="001D37D5">
        <w:fldChar w:fldCharType="end"/>
      </w:r>
      <w:bookmarkEnd w:id="96"/>
      <w:bookmarkEnd w:id="97"/>
      <w:r w:rsidRPr="00883125">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C52695"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C52695" w:rsidRPr="00883125" w:rsidRDefault="00C52695" w:rsidP="00C52695">
            <w:pPr>
              <w:numPr>
                <w:ilvl w:val="0"/>
                <w:numId w:val="24"/>
              </w:numPr>
            </w:pPr>
            <w:r w:rsidRPr="00883125">
              <w:t xml:space="preserve">Evidence on utilisation </w:t>
            </w:r>
            <w:r>
              <w:t>rate</w:t>
            </w:r>
          </w:p>
        </w:tc>
        <w:tc>
          <w:tcPr>
            <w:tcW w:w="2146"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 xml:space="preserve">Utilisation </w:t>
            </w:r>
            <w:r>
              <w:t>rate</w:t>
            </w:r>
          </w:p>
        </w:tc>
        <w:tc>
          <w:tcPr>
            <w:tcW w:w="2147"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147"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2802" w:type="dxa"/>
          </w:tcPr>
          <w:p w:rsidR="00C52695" w:rsidRPr="00883125" w:rsidRDefault="00C52695" w:rsidP="00C52695">
            <w:pPr>
              <w:numPr>
                <w:ilvl w:val="0"/>
                <w:numId w:val="24"/>
              </w:numPr>
            </w:pPr>
            <w:r w:rsidRPr="00883125">
              <w:t>Equity ownership approach</w:t>
            </w:r>
          </w:p>
        </w:tc>
        <w:tc>
          <w:tcPr>
            <w:tcW w:w="2146"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0.38 to 0.55</w:t>
            </w:r>
          </w:p>
        </w:tc>
        <w:tc>
          <w:tcPr>
            <w:tcW w:w="2147"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883125">
              <w:t>0.75</w:t>
            </w:r>
          </w:p>
        </w:tc>
        <w:tc>
          <w:tcPr>
            <w:tcW w:w="2147"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0.28 to 0.41</w:t>
            </w:r>
            <w:r>
              <w:rPr>
                <w:rStyle w:val="AERsuperscript"/>
              </w:rPr>
              <w:t xml:space="preserve"> (a</w:t>
            </w:r>
            <w:r w:rsidRPr="00883125">
              <w:rPr>
                <w:rStyle w:val="AERsuperscript"/>
              </w:rPr>
              <w:t>)</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top"/>
          </w:tcPr>
          <w:p w:rsidR="00C52695" w:rsidRPr="00C52695" w:rsidRDefault="00C52695" w:rsidP="00C52695">
            <w:r w:rsidRPr="00883125">
              <w:t>Implied market value studies</w:t>
            </w:r>
          </w:p>
          <w:p w:rsidR="00C52695" w:rsidRPr="00C52695" w:rsidRDefault="00C52695" w:rsidP="00C52695">
            <w:pPr>
              <w:rPr>
                <w:rStyle w:val="AERtextitalic"/>
              </w:rPr>
            </w:pPr>
            <w:r w:rsidRPr="00883125">
              <w:rPr>
                <w:rStyle w:val="AERtextitalic"/>
              </w:rPr>
              <w:t>SFG dividend drop off study</w:t>
            </w:r>
          </w:p>
        </w:tc>
        <w:tc>
          <w:tcPr>
            <w:tcW w:w="2146" w:type="dxa"/>
            <w:vAlign w:val="top"/>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t>0 to 1</w:t>
            </w:r>
          </w:p>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rPr>
                <w:rStyle w:val="AERtextitalic"/>
              </w:rPr>
              <w:t>0.35 (0.4)</w:t>
            </w:r>
            <w:r w:rsidRPr="00C52695">
              <w:rPr>
                <w:rStyle w:val="AERsuperscript"/>
              </w:rPr>
              <w:t>(a)</w:t>
            </w:r>
          </w:p>
        </w:tc>
        <w:tc>
          <w:tcPr>
            <w:tcW w:w="2147" w:type="dxa"/>
            <w:vAlign w:val="top"/>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t>0.75</w:t>
            </w:r>
          </w:p>
        </w:tc>
        <w:tc>
          <w:tcPr>
            <w:tcW w:w="2147" w:type="dxa"/>
            <w:vAlign w:val="top"/>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t>0 to 0.75</w:t>
            </w:r>
          </w:p>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rPr>
                <w:rStyle w:val="AERtextitalic"/>
              </w:rPr>
              <w:t xml:space="preserve">0.26 </w:t>
            </w:r>
            <w:r w:rsidRPr="00C52695">
              <w:rPr>
                <w:rStyle w:val="AERtextitalic"/>
              </w:rPr>
              <w:t>(0.30)</w:t>
            </w:r>
            <w:r w:rsidRPr="00C52695">
              <w:rPr>
                <w:rStyle w:val="AERsuperscript"/>
              </w:rPr>
              <w:t>(b)</w:t>
            </w:r>
          </w:p>
        </w:tc>
      </w:tr>
    </w:tbl>
    <w:p w:rsidR="00C52695" w:rsidRPr="00883125" w:rsidRDefault="00C52695" w:rsidP="00C52695">
      <w:pPr>
        <w:pStyle w:val="AERtablesource"/>
      </w:pPr>
      <w:r w:rsidRPr="00883125">
        <w:t>Source:</w:t>
      </w:r>
      <w:r w:rsidRPr="00883125">
        <w:tab/>
        <w:t>AER analysis.</w:t>
      </w:r>
    </w:p>
    <w:p w:rsidR="00C52695" w:rsidRDefault="00C52695" w:rsidP="00C52695">
      <w:pPr>
        <w:pStyle w:val="AERtablesource"/>
      </w:pPr>
      <w:r>
        <w:t>(a)</w:t>
      </w:r>
      <w:r>
        <w:tab/>
        <w:t>We note Lally recommends the utilisation rate from all equity over the utilisation rate from listed equity. However, if his preferred distribution rate was paired with the utilisation rate for listed equity it would give a range for the value of imputation credits of 0.31 to 0.46.</w:t>
      </w:r>
    </w:p>
    <w:p w:rsidR="00C52695" w:rsidRPr="00883125" w:rsidRDefault="00C52695" w:rsidP="00C52695">
      <w:pPr>
        <w:pStyle w:val="AERtablesource"/>
      </w:pPr>
      <w:r w:rsidRPr="00883125">
        <w:t>(</w:t>
      </w:r>
      <w:r>
        <w:t>b</w:t>
      </w:r>
      <w:r w:rsidRPr="00883125">
        <w:t>):</w:t>
      </w:r>
      <w:r w:rsidRPr="00883125">
        <w:tab/>
        <w:t xml:space="preserve">Following the adjustment proposed by Handley and Lally. This adjustment is discussed further in section </w:t>
      </w:r>
      <w:r>
        <w:fldChar w:fldCharType="begin"/>
      </w:r>
      <w:r>
        <w:instrText xml:space="preserve"> REF _Ref415065117 \r \h </w:instrText>
      </w:r>
      <w:r>
        <w:fldChar w:fldCharType="separate"/>
      </w:r>
      <w:r w:rsidR="00812A72">
        <w:t>A.15.4</w:t>
      </w:r>
      <w:r>
        <w:fldChar w:fldCharType="end"/>
      </w:r>
      <w:r w:rsidRPr="00883125">
        <w:t xml:space="preserve">. </w:t>
      </w:r>
    </w:p>
    <w:p w:rsidR="00C52695" w:rsidRPr="005764F6" w:rsidRDefault="00C52695" w:rsidP="00C52695">
      <w:pPr>
        <w:rPr>
          <w:rStyle w:val="AERbody"/>
        </w:rPr>
      </w:pPr>
      <w:r w:rsidRPr="005764F6">
        <w:rPr>
          <w:rStyle w:val="AERbody"/>
        </w:rPr>
        <w:t>Overall, the evidence suggests that a reasonable estimate of the value of imputation credits is within the range 0.3 to 0.5.</w:t>
      </w:r>
      <w:r w:rsidRPr="006D590A">
        <w:rPr>
          <w:rStyle w:val="FootnoteReference"/>
        </w:rPr>
        <w:footnoteReference w:id="100"/>
      </w:r>
      <w:r w:rsidRPr="005764F6">
        <w:rPr>
          <w:rStyle w:val="AERbody"/>
        </w:rPr>
        <w:t xml:space="preserve"> From within these possible ranges, we choose a value for gamma of 0.4 based on the following considerations: </w:t>
      </w:r>
    </w:p>
    <w:p w:rsidR="00C52695" w:rsidRPr="001D37D5" w:rsidRDefault="00C52695" w:rsidP="00C52695">
      <w:pPr>
        <w:pStyle w:val="AERbulletlistfirststyle"/>
      </w:pPr>
      <w:r w:rsidRPr="005764F6">
        <w:t>T</w:t>
      </w:r>
      <w:r w:rsidRPr="001D37D5">
        <w:t>he equity ownership approach, on which we place the most reliance, suggests a value between 0.28 to 0.47 using 'matched' distribution and utilisation rates for all equity and for all listed equity, respectively. This is based on a range of 0.40 and 0.47 when applied to all equity and 0.28 and 0.41 when applied to only all listed equity. The overlap of the different evidence from the equity ownership approach using these 'matched' distribution and utilisation rates suggests a value between 0.40 and 0.41. We also have regard to Lally's recommended approach, which combines the use of an all equity utilisation rate from the equity ownership approach with a distribution rate for listed equity from financial reports of the top 20 listed firms.</w:t>
      </w:r>
    </w:p>
    <w:p w:rsidR="00C52695" w:rsidRPr="001D37D5" w:rsidRDefault="00C52695" w:rsidP="00C52695">
      <w:pPr>
        <w:pStyle w:val="AERbulletlistfirststyle"/>
      </w:pPr>
      <w:r w:rsidRPr="005764F6">
        <w:t>T</w:t>
      </w:r>
      <w:r w:rsidRPr="001D37D5">
        <w:t>he evidence from tax statistics, on which we place less reliance, suggests a value around 0.34 based on a utilisation rate of 0.48 and an economy wide distribution rate of 0.70. This is within the equity ownership approach range of 0.28 to 0.47 using 'matched' data and below the overlap of estimates from listed and all equity of 0.40 to 0.41. The taxation data also suggests a value around 0.40 based on a utilisation rate of 0.48 and Lally's preferred distribution rate for a benchmark efficient entity of 0.83.</w:t>
      </w:r>
    </w:p>
    <w:p w:rsidR="00C52695" w:rsidRPr="001D37D5" w:rsidRDefault="00C52695" w:rsidP="00C52695">
      <w:pPr>
        <w:pStyle w:val="AERbulletlistfirststyle"/>
      </w:pPr>
      <w:r w:rsidRPr="005764F6">
        <w:t>The evidence from implied market value studies, on which we place even less reliance, suggests a value between 0 and 0.75. In particular, SFG's dividend drop off study</w:t>
      </w:r>
      <w:r w:rsidRPr="001D37D5" w:rsidDel="000467B0">
        <w:t xml:space="preserve"> </w:t>
      </w:r>
      <w:r w:rsidRPr="001D37D5">
        <w:t xml:space="preserve">suggests a value of 0.26 or 0.30. This is around the bottom end of the 'matched' equity ownership approach range of 0.28 to 0.47, below the overlap of 0.40 to 0.41, and well below Lally's recommended gamma estimate of at least 0.5. Evidence from implied </w:t>
      </w:r>
      <w:r w:rsidRPr="001D37D5">
        <w:lastRenderedPageBreak/>
        <w:t>market value studies more generally suggests the value could be higher than 0.5 or lower than 0.28.</w:t>
      </w:r>
    </w:p>
    <w:p w:rsidR="00C52695" w:rsidRPr="005764F6" w:rsidRDefault="00C52695" w:rsidP="00C52695">
      <w:pPr>
        <w:rPr>
          <w:rStyle w:val="AERbody"/>
        </w:rPr>
      </w:pPr>
      <w:r w:rsidRPr="005764F6">
        <w:rPr>
          <w:rStyle w:val="AERbody"/>
        </w:rPr>
        <w:t xml:space="preserve">On balance, we have considered it appropriate to continue to apply a value of imputation credits of 0.4 in this </w:t>
      </w:r>
      <w:r w:rsidR="00C4634F">
        <w:rPr>
          <w:rStyle w:val="AERbody"/>
        </w:rPr>
        <w:t xml:space="preserve">final </w:t>
      </w:r>
      <w:r w:rsidRPr="005764F6">
        <w:rPr>
          <w:rStyle w:val="AERbody"/>
        </w:rPr>
        <w:t>decision. We note this is within the range of the overlap if 'matched' utilisation rates and distribution rates for all equity and all listed equity are used (0.40 to 0.41). This is also at the bottom of the range for the paired values from all equity using a distribution rate of 0.7 (range of 0.40 to 0.47). We consider this estimate satisfies the requirements in the NER/NGR.</w:t>
      </w:r>
    </w:p>
    <w:p w:rsidR="00C52695" w:rsidRPr="005764F6" w:rsidRDefault="00C52695" w:rsidP="00C52695">
      <w:pPr>
        <w:rPr>
          <w:rStyle w:val="AERbody"/>
        </w:rPr>
      </w:pPr>
      <w:r w:rsidRPr="005764F6">
        <w:rPr>
          <w:rStyle w:val="AERbody"/>
        </w:rPr>
        <w:t>We consider a gamma value of 0.4 remains appropriate despite Lally's recent advice indicating this might be too low an</w:t>
      </w:r>
      <w:r w:rsidRPr="009C7A7F">
        <w:rPr>
          <w:rStyle w:val="AERbody"/>
        </w:rPr>
        <w:t>d recommending a value of a</w:t>
      </w:r>
      <w:r>
        <w:rPr>
          <w:rStyle w:val="AERbody"/>
        </w:rPr>
        <w:t>t least</w:t>
      </w:r>
      <w:r w:rsidRPr="005764F6">
        <w:rPr>
          <w:rStyle w:val="AERbody"/>
        </w:rPr>
        <w:t xml:space="preserve"> 0.5.</w:t>
      </w:r>
      <w:r w:rsidR="00C4634F">
        <w:rPr>
          <w:rStyle w:val="FootnoteReference"/>
        </w:rPr>
        <w:footnoteReference w:id="101"/>
      </w:r>
      <w:r w:rsidRPr="005764F6">
        <w:rPr>
          <w:rStyle w:val="AERbody"/>
        </w:rPr>
        <w:t xml:space="preserve"> In maintaining the use of a gamma value of 0.4 we have given particular consideration to the desirability of regulatory certainty and predictability. We also note we have used a value of 0.4 for all decisions released in 2015 and </w:t>
      </w:r>
      <w:r>
        <w:rPr>
          <w:rStyle w:val="AERbody"/>
        </w:rPr>
        <w:t>2016</w:t>
      </w:r>
      <w:r w:rsidRPr="005764F6">
        <w:rPr>
          <w:rStyle w:val="AERbody"/>
        </w:rPr>
        <w:t xml:space="preserve">. Given these considerations, we would be reluctant to depart from the value of 0.4 used in our </w:t>
      </w:r>
      <w:r>
        <w:rPr>
          <w:rStyle w:val="AERbody"/>
        </w:rPr>
        <w:t>recent</w:t>
      </w:r>
      <w:r w:rsidRPr="005764F6">
        <w:rPr>
          <w:rStyle w:val="AERbody"/>
        </w:rPr>
        <w:t xml:space="preserve"> decision</w:t>
      </w:r>
      <w:r>
        <w:rPr>
          <w:rStyle w:val="AERbody"/>
        </w:rPr>
        <w:t>s</w:t>
      </w:r>
      <w:r w:rsidRPr="005764F6">
        <w:rPr>
          <w:rStyle w:val="AERbody"/>
        </w:rPr>
        <w:t xml:space="preserve"> without broad stakeholder consultation. We also </w:t>
      </w:r>
      <w:r w:rsidR="008D6237">
        <w:rPr>
          <w:rStyle w:val="AERbody"/>
        </w:rPr>
        <w:t>remain of the view</w:t>
      </w:r>
      <w:r w:rsidRPr="005764F6">
        <w:rPr>
          <w:rStyle w:val="AERbody"/>
        </w:rPr>
        <w:t xml:space="preserve"> Lally's </w:t>
      </w:r>
      <w:r w:rsidR="008D6237">
        <w:rPr>
          <w:rStyle w:val="AERbody"/>
        </w:rPr>
        <w:t>advice does not indicate</w:t>
      </w:r>
      <w:r w:rsidRPr="005764F6">
        <w:rPr>
          <w:rStyle w:val="AERbody"/>
        </w:rPr>
        <w:t xml:space="preserve"> 0.4 is not open to us to choose when exercising our regulatory discretion.</w:t>
      </w:r>
    </w:p>
    <w:p w:rsidR="00C52695" w:rsidRPr="005764F6" w:rsidRDefault="00C52695" w:rsidP="00C52695">
      <w:pPr>
        <w:rPr>
          <w:rStyle w:val="AERbody"/>
        </w:rPr>
      </w:pPr>
      <w:r w:rsidRPr="005764F6">
        <w:rPr>
          <w:rStyle w:val="AERbody"/>
        </w:rPr>
        <w:t>Therefore, we remain of the view that our choice of 0.4 gives appropriate regard to the relative merits of the equity ownership approach, tax statistics and implied market value studies (in particular, SFG’s evidence).</w:t>
      </w:r>
    </w:p>
    <w:p w:rsidR="00C52695" w:rsidRPr="005764F6" w:rsidRDefault="00C52695" w:rsidP="00C52695">
      <w:pPr>
        <w:rPr>
          <w:rStyle w:val="AERbody"/>
        </w:rPr>
      </w:pPr>
      <w:r w:rsidRPr="005764F6">
        <w:rPr>
          <w:rStyle w:val="AERbody"/>
        </w:rPr>
        <w:t xml:space="preserve">In section </w:t>
      </w:r>
      <w:r w:rsidRPr="005764F6">
        <w:rPr>
          <w:rStyle w:val="AERbody"/>
        </w:rPr>
        <w:fldChar w:fldCharType="begin"/>
      </w:r>
      <w:r w:rsidRPr="005764F6">
        <w:rPr>
          <w:rStyle w:val="AERbody"/>
        </w:rPr>
        <w:instrText xml:space="preserve"> REF _Ref415048973 \r \h </w:instrText>
      </w:r>
      <w:r>
        <w:rPr>
          <w:rStyle w:val="AERbody"/>
        </w:rPr>
        <w:instrText xml:space="preserve"> \* MERGEFORMAT </w:instrText>
      </w:r>
      <w:r w:rsidRPr="005764F6">
        <w:rPr>
          <w:rStyle w:val="AERbody"/>
        </w:rPr>
      </w:r>
      <w:r w:rsidRPr="005764F6">
        <w:rPr>
          <w:rStyle w:val="AERbody"/>
        </w:rPr>
        <w:fldChar w:fldCharType="separate"/>
      </w:r>
      <w:r w:rsidR="00812A72">
        <w:rPr>
          <w:rStyle w:val="AERbody"/>
        </w:rPr>
        <w:t>4.3.6</w:t>
      </w:r>
      <w:r w:rsidRPr="005764F6">
        <w:rPr>
          <w:rStyle w:val="AERbody"/>
        </w:rPr>
        <w:fldChar w:fldCharType="end"/>
      </w:r>
      <w:r w:rsidRPr="005764F6">
        <w:rPr>
          <w:rStyle w:val="AERbody"/>
        </w:rPr>
        <w:t xml:space="preserve"> (and in appendix A), we describe the sources of the estimates in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812A72" w:rsidRPr="00E750F8">
        <w:rPr>
          <w:rStyle w:val="AERbody"/>
        </w:rPr>
        <w:t>table 4</w:t>
      </w:r>
      <w:r w:rsidR="00812A72" w:rsidRPr="00E750F8">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812A72" w:rsidRPr="00E750F8">
        <w:rPr>
          <w:rStyle w:val="AERbody"/>
        </w:rPr>
        <w:t>table 4</w:t>
      </w:r>
      <w:r w:rsidR="00812A72" w:rsidRPr="00E750F8">
        <w:rPr>
          <w:rStyle w:val="AERbody"/>
        </w:rPr>
        <w:noBreakHyphen/>
        <w:t>4</w:t>
      </w:r>
      <w:r w:rsidRPr="005764F6">
        <w:rPr>
          <w:rStyle w:val="AERbody"/>
        </w:rPr>
        <w:fldChar w:fldCharType="end"/>
      </w:r>
      <w:r w:rsidRPr="005764F6">
        <w:rPr>
          <w:rStyle w:val="AERbody"/>
        </w:rPr>
        <w:t>, and present our assessment of the underlying evidence. This includes reasons for the relative levels of reliance we place on the underlying sources of evidence.</w:t>
      </w:r>
    </w:p>
    <w:p w:rsidR="00C52695" w:rsidRPr="000C3267" w:rsidRDefault="00DB68C3" w:rsidP="00C52695">
      <w:pPr>
        <w:rPr>
          <w:rStyle w:val="AERbody"/>
        </w:rPr>
      </w:pPr>
      <w:r w:rsidRPr="00DB68C3">
        <w:t>We do not accept the service providers' proposed value of imputation credits of 0.25, calculated as the product of a distribution rate of 0.7 and a utilisati</w:t>
      </w:r>
      <w:r>
        <w:t xml:space="preserve">on </w:t>
      </w:r>
      <w:r w:rsidR="0010651C">
        <w:t>rate</w:t>
      </w:r>
      <w:r>
        <w:t xml:space="preserve"> of 0.35 (see section </w:t>
      </w:r>
      <w:r>
        <w:fldChar w:fldCharType="begin"/>
      </w:r>
      <w:r>
        <w:instrText xml:space="preserve"> REF _Ref477201690 \n \h </w:instrText>
      </w:r>
      <w:r>
        <w:fldChar w:fldCharType="separate"/>
      </w:r>
      <w:r w:rsidR="00812A72">
        <w:t>4.2</w:t>
      </w:r>
      <w:r>
        <w:fldChar w:fldCharType="end"/>
      </w:r>
      <w:r w:rsidRPr="00DB68C3">
        <w:t xml:space="preserve">). </w:t>
      </w:r>
      <w:r w:rsidR="00C52695" w:rsidRPr="005764F6">
        <w:rPr>
          <w:rStyle w:val="AERbody"/>
        </w:rPr>
        <w:t xml:space="preserve">Specifically, we do not accept </w:t>
      </w:r>
      <w:r w:rsidR="00C52695">
        <w:rPr>
          <w:rStyle w:val="AERbody"/>
        </w:rPr>
        <w:t xml:space="preserve">the recent </w:t>
      </w:r>
      <w:r>
        <w:rPr>
          <w:rStyle w:val="AERbody"/>
        </w:rPr>
        <w:t xml:space="preserve">Ausgrid </w:t>
      </w:r>
      <w:r w:rsidR="00C52695">
        <w:rPr>
          <w:rStyle w:val="AERbody"/>
        </w:rPr>
        <w:t xml:space="preserve">Tribunals decision that </w:t>
      </w:r>
      <w:r w:rsidR="00C52695" w:rsidRPr="005764F6">
        <w:rPr>
          <w:rStyle w:val="AERbody"/>
        </w:rPr>
        <w:t>the</w:t>
      </w:r>
      <w:r w:rsidR="00C52695">
        <w:rPr>
          <w:rStyle w:val="AERbody"/>
        </w:rPr>
        <w:t xml:space="preserve"> estimated</w:t>
      </w:r>
      <w:r w:rsidR="00C52695" w:rsidRPr="005764F6">
        <w:rPr>
          <w:rStyle w:val="AERbody"/>
        </w:rPr>
        <w:t xml:space="preserve"> utilisation rate of 0.35</w:t>
      </w:r>
      <w:r w:rsidR="00C52695">
        <w:rPr>
          <w:rStyle w:val="AERbody"/>
        </w:rPr>
        <w:t xml:space="preserve"> from the SFG dividend drop off study should be used to estimate gamma</w:t>
      </w:r>
      <w:r w:rsidR="00C52695" w:rsidRPr="005764F6">
        <w:rPr>
          <w:rStyle w:val="AERbody"/>
        </w:rPr>
        <w:t>. This is because we do not consider it appropriate to rely exclusively on implied market value studies (or SFG's single dividend drop off study). This position is supported by a number of experts.</w:t>
      </w:r>
      <w:r w:rsidR="00C52695" w:rsidRPr="006D590A">
        <w:rPr>
          <w:rStyle w:val="FootnoteReference"/>
        </w:rPr>
        <w:footnoteReference w:id="102"/>
      </w:r>
      <w:r w:rsidR="00C52695" w:rsidRPr="000C3267">
        <w:rPr>
          <w:rStyle w:val="AERbody"/>
        </w:rPr>
        <w:t xml:space="preserve"> The South Australian Centre for Economic Studies suggested that dividend drop off studies be disregarded entirely.</w:t>
      </w:r>
      <w:r w:rsidR="00C52695" w:rsidRPr="006D590A">
        <w:rPr>
          <w:rStyle w:val="FootnoteReference"/>
        </w:rPr>
        <w:footnoteReference w:id="103"/>
      </w:r>
      <w:r w:rsidR="00C52695" w:rsidRPr="000C3267">
        <w:rPr>
          <w:rStyle w:val="AERbody"/>
        </w:rPr>
        <w:t xml:space="preserve"> </w:t>
      </w:r>
    </w:p>
    <w:p w:rsidR="00C52695" w:rsidRPr="00883125" w:rsidRDefault="00C52695" w:rsidP="00C52695">
      <w:pPr>
        <w:numPr>
          <w:ilvl w:val="0"/>
          <w:numId w:val="24"/>
        </w:numPr>
      </w:pPr>
      <w:r w:rsidRPr="00883125">
        <w:lastRenderedPageBreak/>
        <w:t>Even if we were to rely solely on the estimate of the utilisation rate of 0.35 from SFG's study, we consider that a value of imputation credits of 0.25 is unreasonable. This is because:</w:t>
      </w:r>
    </w:p>
    <w:p w:rsidR="00C52695" w:rsidRPr="001D37D5" w:rsidRDefault="00C52695" w:rsidP="00C52695">
      <w:pPr>
        <w:pStyle w:val="AERbulletlistfirststyle"/>
      </w:pPr>
      <w:r w:rsidRPr="005764F6">
        <w:t>Handley and Lally advised that the proper use of this estimate of the utilisation rate requires its adjustment to 0.4. We agree with this adjustment which is required to correct for the incorrect post</w:t>
      </w:r>
      <w:r>
        <w:t>-company pre-personal</w:t>
      </w:r>
      <w:r w:rsidRPr="001D37D5">
        <w:t xml:space="preserve"> tax valuation of cash dividends from SFG's study, which will also be expected to be reflected in the estimated utilisation rate. In the post-tax Officer framework underlying the NER/NGR, one dollar of dividends distributed to the investor is worth one dollar to investors post (company) tax</w:t>
      </w:r>
      <w:r>
        <w:t xml:space="preserve"> (pre-personal tax)</w:t>
      </w:r>
      <w:r w:rsidRPr="001D37D5">
        <w:t>. This is clear from Officer's definition of after tax net cash flows consistent with the post-tax vanilla WACC in formula (12) of his 1994 paper.</w:t>
      </w:r>
      <w:r w:rsidRPr="001D37D5">
        <w:rPr>
          <w:rStyle w:val="FootnoteReference"/>
        </w:rPr>
        <w:footnoteReference w:id="104"/>
      </w:r>
      <w:r w:rsidRPr="001D37D5">
        <w:t xml:space="preserve"> The incorrect post </w:t>
      </w:r>
      <w:r>
        <w:t xml:space="preserve">(company) </w:t>
      </w:r>
      <w:r w:rsidRPr="001D37D5">
        <w:t>tax</w:t>
      </w:r>
      <w:r>
        <w:t xml:space="preserve"> (pre-personal tax)</w:t>
      </w:r>
      <w:r w:rsidRPr="001D37D5">
        <w:t xml:space="preserve"> valuation of dividends (that will also be reflected in the estimated utilisation rate) is most likely due to differential personal taxes on dividends and capital gains which impact dividend drop off studies.</w:t>
      </w:r>
    </w:p>
    <w:p w:rsidR="00C52695" w:rsidRPr="001D37D5" w:rsidRDefault="00C52695" w:rsidP="00C52695">
      <w:pPr>
        <w:pStyle w:val="AERbulletlistfirststyle"/>
      </w:pPr>
      <w:r w:rsidRPr="00883125">
        <w:t xml:space="preserve">This is an estimate of the utilisation rate of investors in only listed equity, and therefore </w:t>
      </w:r>
      <w:r w:rsidRPr="001D37D5">
        <w:t>we remain of the view it should be paired with either an estimate of the distribution rate from only listed equity using the cumulative payout approach (that is, 0.75); or Lally's estimate for only listed equity estimated using the top 2</w:t>
      </w:r>
      <w:r w:rsidR="00DD0283">
        <w:t>0 listed firms (that is, 0.83).</w:t>
      </w:r>
    </w:p>
    <w:p w:rsidR="00C52695" w:rsidRDefault="00C52695" w:rsidP="00C52695">
      <w:pPr>
        <w:numPr>
          <w:ilvl w:val="0"/>
          <w:numId w:val="24"/>
        </w:numPr>
      </w:pPr>
      <w:r w:rsidRPr="00883125">
        <w:t>Therefore, even if</w:t>
      </w:r>
      <w:r>
        <w:t xml:space="preserve"> dividend drop off studies can be used to determine the utilisation rate</w:t>
      </w:r>
      <w:r w:rsidRPr="00883125">
        <w:t xml:space="preserve">, it yields a value of imputation credits of </w:t>
      </w:r>
      <w:r>
        <w:t xml:space="preserve">at least </w:t>
      </w:r>
      <w:r w:rsidRPr="00883125">
        <w:t>0.30 (0.4 x 0.75) rather than 0.25. However, with regard to the discussion above, our estimated value of imputation credits is higher than 0.30.</w:t>
      </w:r>
      <w:r>
        <w:t xml:space="preserve"> We also note we do not consider even the adjusted value from SFG's dividend drop off study is a reliable estimate of the utilisation rate for the reasons discussed in this decision (see section </w:t>
      </w:r>
      <w:r>
        <w:fldChar w:fldCharType="begin"/>
      </w:r>
      <w:r>
        <w:instrText xml:space="preserve"> REF _Ref450761230 \r \h </w:instrText>
      </w:r>
      <w:r>
        <w:fldChar w:fldCharType="separate"/>
      </w:r>
      <w:r w:rsidR="00812A72">
        <w:t>4.4.1</w:t>
      </w:r>
      <w:r>
        <w:fldChar w:fldCharType="end"/>
      </w:r>
      <w:r>
        <w:t>).</w:t>
      </w:r>
    </w:p>
    <w:p w:rsidR="00C52695" w:rsidRPr="000C3267" w:rsidRDefault="00C52695" w:rsidP="00C52695">
      <w:pPr>
        <w:numPr>
          <w:ilvl w:val="0"/>
          <w:numId w:val="24"/>
        </w:numPr>
        <w:rPr>
          <w:rStyle w:val="AERbody"/>
        </w:rPr>
      </w:pPr>
      <w:r w:rsidRPr="000C3267">
        <w:rPr>
          <w:rStyle w:val="AERbody"/>
        </w:rPr>
        <w:t xml:space="preserve">We remain of the view that limited reliance should be placed on market based studies. These studies are influenced by differential personal taxes and are determined by the marginal investor that is trading around the ex-dividend date. We consider market based studies are unlikely to provide an appropriate estimate for the utilisation rate. Therefore, given the data reliability issues with tax statistics, we consider the equity ownership approach provides the best estimate for the proportion of distributed imputation credits that are expected to be used to offset investor personal tax (that is, the utilisation rate). This is due to local investors effectively fully valuing distributed imputation credit at their face value </w:t>
      </w:r>
      <w:r w:rsidRPr="000C3267">
        <w:rPr>
          <w:rStyle w:val="AERbody"/>
        </w:rPr>
        <w:lastRenderedPageBreak/>
        <w:t>on a</w:t>
      </w:r>
      <w:r>
        <w:rPr>
          <w:rStyle w:val="AERbody"/>
        </w:rPr>
        <w:t xml:space="preserve"> post-company</w:t>
      </w:r>
      <w:r w:rsidRPr="000C3267">
        <w:rPr>
          <w:rStyle w:val="AERbody"/>
        </w:rPr>
        <w:t xml:space="preserve"> pre-personal tax and pre-personal costs basis.</w:t>
      </w:r>
      <w:r w:rsidRPr="005764F6">
        <w:rPr>
          <w:rStyle w:val="FootnoteReference"/>
        </w:rPr>
        <w:footnoteReference w:id="105"/>
      </w:r>
      <w:r w:rsidRPr="000C3267">
        <w:rPr>
          <w:rStyle w:val="AERbody"/>
        </w:rPr>
        <w:t xml:space="preserve"> We remain of the view the 45 day holding rule does not be have a material impact on the utilisation of imputation credits by otherwise eligible (that is, domestic) investors.</w:t>
      </w:r>
    </w:p>
    <w:p w:rsidR="00C52695" w:rsidRPr="00E43EA2" w:rsidRDefault="00490FB7" w:rsidP="00D979B2">
      <w:r>
        <w:t xml:space="preserve">In </w:t>
      </w:r>
      <w:r w:rsidR="00C52695" w:rsidRPr="00E43EA2">
        <w:t xml:space="preserve">section </w:t>
      </w:r>
      <w:r w:rsidR="00C52695" w:rsidRPr="00E43EA2">
        <w:fldChar w:fldCharType="begin"/>
      </w:r>
      <w:r w:rsidR="00C52695" w:rsidRPr="00E43EA2">
        <w:instrText xml:space="preserve"> REF _Ref451240961 \r \h </w:instrText>
      </w:r>
      <w:r w:rsidR="00C52695" w:rsidRPr="00E43EA2">
        <w:fldChar w:fldCharType="separate"/>
      </w:r>
      <w:r w:rsidR="00812A72">
        <w:t>4.4.3</w:t>
      </w:r>
      <w:r w:rsidR="00C52695" w:rsidRPr="00E43EA2">
        <w:fldChar w:fldCharType="end"/>
      </w:r>
      <w:r w:rsidR="00C52695" w:rsidRPr="00E43EA2">
        <w:t xml:space="preserve"> (and appendix A) we </w:t>
      </w:r>
      <w:r w:rsidR="00C52695">
        <w:t>address</w:t>
      </w:r>
      <w:r w:rsidR="00C52695" w:rsidRPr="00E43EA2">
        <w:t xml:space="preserve"> </w:t>
      </w:r>
      <w:r w:rsidR="00AE6459">
        <w:t xml:space="preserve">AusNet Services' </w:t>
      </w:r>
      <w:r w:rsidR="00C52695" w:rsidRPr="00E43EA2">
        <w:t xml:space="preserve">proposal in more detail. We also </w:t>
      </w:r>
      <w:r w:rsidR="00C52695">
        <w:t>address</w:t>
      </w:r>
      <w:r w:rsidR="00C52695" w:rsidRPr="00E43EA2">
        <w:t xml:space="preserve"> other service providers</w:t>
      </w:r>
      <w:r w:rsidR="00C52695">
        <w:t>'</w:t>
      </w:r>
      <w:r w:rsidR="00C52695" w:rsidRPr="00E43EA2">
        <w:t xml:space="preserve"> proposals</w:t>
      </w:r>
      <w:r w:rsidR="00AE6459">
        <w:t xml:space="preserve"> submitted prior to AusNet Services' proposal and at the same time AusNet Services' submitted its proposal.</w:t>
      </w:r>
    </w:p>
    <w:p w:rsidR="00C52695" w:rsidRPr="00C52695" w:rsidRDefault="00C52695" w:rsidP="00C52695">
      <w:pPr>
        <w:pStyle w:val="Heading3"/>
      </w:pPr>
      <w:bookmarkStart w:id="98" w:name="_Ref450761230"/>
      <w:bookmarkStart w:id="99" w:name="_Toc451842243"/>
      <w:bookmarkStart w:id="100" w:name="_Toc451938299"/>
      <w:bookmarkStart w:id="101" w:name="_Toc456614282"/>
      <w:bookmarkStart w:id="102" w:name="_Toc462823305"/>
      <w:bookmarkStart w:id="103" w:name="_Toc481061448"/>
      <w:r>
        <w:t>Evidence underlying our estimate of the value of imputation credits</w:t>
      </w:r>
      <w:bookmarkEnd w:id="98"/>
      <w:bookmarkEnd w:id="99"/>
      <w:bookmarkEnd w:id="100"/>
      <w:bookmarkEnd w:id="101"/>
      <w:bookmarkEnd w:id="102"/>
      <w:bookmarkEnd w:id="103"/>
    </w:p>
    <w:p w:rsidR="00C52695" w:rsidRDefault="00C52695" w:rsidP="00C52695">
      <w:r>
        <w:t>This section discusses the distribution rate and utilisation rate (or value) in more detail. More specifically, it describes our approach to estimating these sub-parameters of the value of imputation credits. This includes reasons for the relative levels of reliance we place on the underlying sources of evidence (for the utilisation rate in particular).</w:t>
      </w:r>
    </w:p>
    <w:p w:rsidR="00C52695" w:rsidRDefault="00C52695" w:rsidP="007F6EED">
      <w:pPr>
        <w:pStyle w:val="HeadingBoldItalic"/>
      </w:pPr>
      <w:bookmarkStart w:id="104" w:name="_Toc456614283"/>
      <w:bookmarkStart w:id="105" w:name="_Toc481056655"/>
      <w:bookmarkStart w:id="106" w:name="_Toc481061449"/>
      <w:r>
        <w:t>The distribution rate</w:t>
      </w:r>
      <w:bookmarkEnd w:id="104"/>
      <w:bookmarkEnd w:id="105"/>
      <w:bookmarkEnd w:id="106"/>
    </w:p>
    <w:p w:rsidR="00C52695" w:rsidRDefault="00C52695" w:rsidP="00C52695">
      <w:r w:rsidRPr="00883125">
        <w:t>The distribution rate is the proportion of imputation credits generated by the benchmark efficient entity that is distributed to investors.</w:t>
      </w:r>
      <w:r w:rsidRPr="00883125">
        <w:rPr>
          <w:rStyle w:val="FootnoteReference"/>
        </w:rPr>
        <w:footnoteReference w:id="106"/>
      </w:r>
      <w:r w:rsidRPr="00883125">
        <w:t xml:space="preserve"> We consider</w:t>
      </w:r>
      <w:r>
        <w:t>:</w:t>
      </w:r>
    </w:p>
    <w:p w:rsidR="00C52695" w:rsidRPr="001D37D5" w:rsidRDefault="00C52695" w:rsidP="00C52695">
      <w:pPr>
        <w:pStyle w:val="AERbulletlistfirststyle"/>
      </w:pPr>
      <w:r w:rsidRPr="00856171">
        <w:t xml:space="preserve">an estimate of 0.75 for the distribution rate is </w:t>
      </w:r>
      <w:r w:rsidRPr="001D37D5">
        <w:t>reasonable when considering estimates of the utilisation rate tha</w:t>
      </w:r>
      <w:r w:rsidR="00DD0283">
        <w:t>t relate to only listed equity.</w:t>
      </w:r>
    </w:p>
    <w:p w:rsidR="00C52695" w:rsidRPr="001D37D5" w:rsidRDefault="00C52695" w:rsidP="00C52695">
      <w:pPr>
        <w:pStyle w:val="AERbulletlistfirststyle"/>
      </w:pPr>
      <w:r w:rsidRPr="00856171">
        <w:t xml:space="preserve">an estimate of 0.7 for the distribution rate is </w:t>
      </w:r>
      <w:r w:rsidRPr="001D37D5">
        <w:t xml:space="preserve">reasonable when considering estimates of the utilisation </w:t>
      </w:r>
      <w:r w:rsidR="00DD0283">
        <w:t>rate that relate to all equity.</w:t>
      </w:r>
    </w:p>
    <w:p w:rsidR="00C52695" w:rsidRDefault="00C52695" w:rsidP="00C52695">
      <w:pPr>
        <w:numPr>
          <w:ilvl w:val="0"/>
          <w:numId w:val="24"/>
        </w:numPr>
      </w:pPr>
      <w:r>
        <w:t>Whether an estimate of the distribution rate will result in a reasonable estimate of the gamma value for a benchmark efficient entity depends on what is considered the best estimate of the utilisation rate (and if this should be based on all equity or a subset) and what is considered the best estimate of the distribution rate for a benchmark efficient entity. We note Lally effectively considers both 'matched' estimates will be too low given what he considers to be the best estimate of the market wide utilisation rate (of around 0.6) and the appropriate (firm specific) estimate of the distribution rate for a benchmark efficient entity (of 0.83).</w:t>
      </w:r>
      <w:r>
        <w:rPr>
          <w:rStyle w:val="FootnoteReference"/>
        </w:rPr>
        <w:footnoteReference w:id="107"/>
      </w:r>
    </w:p>
    <w:p w:rsidR="00C52695" w:rsidRPr="00883125" w:rsidRDefault="00C52695" w:rsidP="00C52695">
      <w:pPr>
        <w:numPr>
          <w:ilvl w:val="0"/>
          <w:numId w:val="24"/>
        </w:numPr>
      </w:pPr>
      <w:r w:rsidRPr="00883125">
        <w:t xml:space="preserve">Consistent with the Guideline, we estimate the distribution rate using the 'cumulative payout ratio approach', which uses data from the ATO on the accounts used by companies to track </w:t>
      </w:r>
      <w:r w:rsidRPr="00883125">
        <w:lastRenderedPageBreak/>
        <w:t>their stocks of imputation credits ('franking account balances').</w:t>
      </w:r>
      <w:r w:rsidRPr="00AE6B35">
        <w:rPr>
          <w:rStyle w:val="FootnoteReference"/>
        </w:rPr>
        <w:footnoteReference w:id="108"/>
      </w:r>
      <w:r w:rsidRPr="00AE6B35">
        <w:t xml:space="preserve"> </w:t>
      </w:r>
      <w:r w:rsidRPr="00883125">
        <w:t>We use the cumulative payout ratio approach because it:</w:t>
      </w:r>
    </w:p>
    <w:p w:rsidR="00C52695" w:rsidRPr="00883125" w:rsidRDefault="00C52695" w:rsidP="00C52695">
      <w:pPr>
        <w:pStyle w:val="AERbulletlistfirststyle"/>
      </w:pPr>
      <w:r w:rsidRPr="00883125">
        <w:t>uses long-term, published data</w:t>
      </w:r>
    </w:p>
    <w:p w:rsidR="00C52695" w:rsidRPr="001D37D5" w:rsidRDefault="00C52695" w:rsidP="00C52695">
      <w:pPr>
        <w:pStyle w:val="AERbulletlistfirststyle"/>
      </w:pPr>
      <w:r w:rsidRPr="00883125">
        <w:t>is supported by the service providers, Gray (for SFG), Handley, and McKenzie and Partington</w:t>
      </w:r>
      <w:r w:rsidRPr="001D37D5">
        <w:rPr>
          <w:rStyle w:val="FootnoteReference"/>
        </w:rPr>
        <w:footnoteReference w:id="109"/>
      </w:r>
    </w:p>
    <w:p w:rsidR="00C52695" w:rsidRPr="00883125" w:rsidRDefault="00C52695" w:rsidP="00C52695">
      <w:pPr>
        <w:pStyle w:val="AERbulletlistfirststyle"/>
      </w:pPr>
      <w:r w:rsidRPr="00883125">
        <w:t>is simple and intuitive.</w:t>
      </w:r>
    </w:p>
    <w:p w:rsidR="00C52695" w:rsidRPr="00856171" w:rsidRDefault="00C52695" w:rsidP="00C52695">
      <w:r w:rsidRPr="00AE6B35">
        <w:t xml:space="preserve">Using this approach, NERA estimated a distribution rate across </w:t>
      </w:r>
      <w:r w:rsidRPr="00E82D06">
        <w:rPr>
          <w:rStyle w:val="AERtextunderline"/>
        </w:rPr>
        <w:t>all equity</w:t>
      </w:r>
      <w:r w:rsidRPr="00856171">
        <w:t xml:space="preserve"> of 0.7 for the period 1987 to 2011.</w:t>
      </w:r>
      <w:r w:rsidRPr="00856171">
        <w:rPr>
          <w:rStyle w:val="FootnoteReference"/>
        </w:rPr>
        <w:footnoteReference w:id="110"/>
      </w:r>
      <w:r w:rsidRPr="00856171">
        <w:t xml:space="preserve"> Hathaway found a similar estimate for the period 2004 to 2011.</w:t>
      </w:r>
      <w:r w:rsidRPr="00856171">
        <w:rPr>
          <w:rStyle w:val="FootnoteReference"/>
        </w:rPr>
        <w:footnoteReference w:id="111"/>
      </w:r>
      <w:r w:rsidRPr="00856171">
        <w:t xml:space="preserve"> We relied on these estimates in the Guideline and the decisions released in 2014. We consider that updated analysis of the ATO data to the 2012 tax year by NERA and Handley indicates that 0.7 remains a reasonable estimate of the distribution rate over all equity.</w:t>
      </w:r>
      <w:r w:rsidRPr="00856171">
        <w:rPr>
          <w:rStyle w:val="FootnoteReference"/>
        </w:rPr>
        <w:footnoteReference w:id="112"/>
      </w:r>
      <w:r w:rsidRPr="00856171">
        <w:t xml:space="preserve"> </w:t>
      </w:r>
    </w:p>
    <w:p w:rsidR="00C52695" w:rsidRPr="00856171" w:rsidRDefault="00C52695" w:rsidP="00C52695">
      <w:r w:rsidRPr="00883125">
        <w:t xml:space="preserve">Gray </w:t>
      </w:r>
      <w:r w:rsidRPr="00856171">
        <w:t xml:space="preserve">(for Frontier) updated the ATO data up to 2012-13 and found that the payout ratio for all equity latest year is </w:t>
      </w:r>
      <w:r w:rsidR="00490FB7">
        <w:t>0.64</w:t>
      </w:r>
      <w:r w:rsidRPr="00856171">
        <w:t xml:space="preserve"> and the cumulative ratio is </w:t>
      </w:r>
      <w:r w:rsidR="00490FB7">
        <w:t>0.67</w:t>
      </w:r>
      <w:r w:rsidRPr="00856171">
        <w:t>.</w:t>
      </w:r>
      <w:r w:rsidRPr="00856171">
        <w:rPr>
          <w:rStyle w:val="FootnoteReference"/>
        </w:rPr>
        <w:footnoteReference w:id="113"/>
      </w:r>
      <w:r w:rsidRPr="00856171">
        <w:t xml:space="preserve"> However, recognising the volatility in the data Frontier considered that 0.7 distribution rate still remained appropriate for all equity.</w:t>
      </w:r>
      <w:r w:rsidRPr="00856171">
        <w:rPr>
          <w:rStyle w:val="FootnoteReference"/>
        </w:rPr>
        <w:footnoteReference w:id="114"/>
      </w:r>
      <w:r w:rsidRPr="00856171">
        <w:t xml:space="preserve"> We have updated this data to 2014 and find the cumulative payout ratio for listed equity is 0.75 and for all equity is 0.68. However, we remain of the view that a distribution rate of 0.7 is appropriate for all equity.</w:t>
      </w:r>
    </w:p>
    <w:p w:rsidR="00C52695" w:rsidRPr="00883125" w:rsidRDefault="00C52695" w:rsidP="00C52695">
      <w:pPr>
        <w:numPr>
          <w:ilvl w:val="0"/>
          <w:numId w:val="24"/>
        </w:numPr>
      </w:pPr>
      <w:r w:rsidRPr="00883125">
        <w:t xml:space="preserve">Also using this approach, Handley estimated a distribution rate across only </w:t>
      </w:r>
      <w:r w:rsidRPr="00E82D06">
        <w:rPr>
          <w:rStyle w:val="AERtextunderline"/>
        </w:rPr>
        <w:t>listed equity</w:t>
      </w:r>
      <w:r w:rsidRPr="00883125">
        <w:t xml:space="preserve"> of 0.8 for the period 1987 to 2011.</w:t>
      </w:r>
      <w:r w:rsidRPr="00883125">
        <w:rPr>
          <w:rStyle w:val="FootnoteReference"/>
        </w:rPr>
        <w:footnoteReference w:id="115"/>
      </w:r>
      <w:r w:rsidRPr="00883125">
        <w:t xml:space="preserve"> We found a similar estimate for the period 2004 to 2011.</w:t>
      </w:r>
      <w:r w:rsidRPr="00883125">
        <w:rPr>
          <w:rStyle w:val="FootnoteReference"/>
        </w:rPr>
        <w:footnoteReference w:id="116"/>
      </w:r>
      <w:r w:rsidRPr="00883125">
        <w:t xml:space="preserve"> We relied on these estimates in the decisions we released in November 2014 and April 2015. Updated analysis of the ATO data to the 2012 tax year by NERA and Handley indicates that the distribution rate over only listed equity has fallen slightly.</w:t>
      </w:r>
      <w:r w:rsidRPr="00883125">
        <w:rPr>
          <w:rStyle w:val="FootnoteReference"/>
        </w:rPr>
        <w:footnoteReference w:id="117"/>
      </w:r>
      <w:r w:rsidRPr="00883125">
        <w:t xml:space="preserve"> In this </w:t>
      </w:r>
      <w:r w:rsidR="001362F0">
        <w:t xml:space="preserve">final </w:t>
      </w:r>
      <w:r w:rsidRPr="00883125">
        <w:t xml:space="preserve">decision following a further update incorporating 2013 and 2014 data we consider an </w:t>
      </w:r>
      <w:r w:rsidRPr="00883125">
        <w:lastRenderedPageBreak/>
        <w:t xml:space="preserve">appropriate estimate of the distribution rate over only listed equity is 0.75. This is slightly lower than the value of 0.77 we used in </w:t>
      </w:r>
      <w:r>
        <w:t xml:space="preserve">our </w:t>
      </w:r>
      <w:r w:rsidRPr="00883125">
        <w:t>October and November 2015 decisions.</w:t>
      </w:r>
    </w:p>
    <w:p w:rsidR="00C52695" w:rsidRDefault="00C52695" w:rsidP="00C52695">
      <w:pPr>
        <w:pStyle w:val="AERbulletlistfirststyle"/>
        <w:numPr>
          <w:ilvl w:val="0"/>
          <w:numId w:val="24"/>
        </w:numPr>
      </w:pPr>
      <w:r w:rsidRPr="00883125">
        <w:t>A distribution rate across only listed equity was not presented in the Guideline. However, as set out above, we now consider</w:t>
      </w:r>
      <w:r>
        <w:t xml:space="preserve"> i</w:t>
      </w:r>
      <w:r w:rsidRPr="00883125">
        <w:t>t is open to us to have regard to evidence from all equity and/or only listed equity</w:t>
      </w:r>
      <w:r>
        <w:t xml:space="preserve"> (see section </w:t>
      </w:r>
      <w:r>
        <w:fldChar w:fldCharType="begin"/>
      </w:r>
      <w:r>
        <w:instrText xml:space="preserve"> REF _Ref450765039 \r \h </w:instrText>
      </w:r>
      <w:r>
        <w:fldChar w:fldCharType="separate"/>
      </w:r>
      <w:r w:rsidR="00812A72">
        <w:t>A.9.2</w:t>
      </w:r>
      <w:r>
        <w:fldChar w:fldCharType="end"/>
      </w:r>
      <w:r>
        <w:t>)</w:t>
      </w:r>
      <w:r w:rsidRPr="00883125">
        <w:t>.</w:t>
      </w:r>
      <w:r>
        <w:t xml:space="preserve"> We consider estimates of the distribution rate from listed equity and all equity are reasonably consistent with a benchmark efficient entity given the difficulties associated with choosing a representative dataset (see section </w:t>
      </w:r>
      <w:r>
        <w:fldChar w:fldCharType="begin"/>
      </w:r>
      <w:r>
        <w:instrText xml:space="preserve"> REF _Ref401133206 \r \h </w:instrText>
      </w:r>
      <w:r>
        <w:fldChar w:fldCharType="separate"/>
      </w:r>
      <w:r w:rsidR="00812A72">
        <w:t>A.10</w:t>
      </w:r>
      <w:r>
        <w:fldChar w:fldCharType="end"/>
      </w:r>
      <w:r>
        <w:t>).</w:t>
      </w:r>
      <w:r>
        <w:rPr>
          <w:rStyle w:val="FootnoteReference"/>
        </w:rPr>
        <w:footnoteReference w:id="118"/>
      </w:r>
      <w:r>
        <w:t xml:space="preserve"> </w:t>
      </w:r>
    </w:p>
    <w:p w:rsidR="00C52695" w:rsidRDefault="00C52695" w:rsidP="00C52695">
      <w:pPr>
        <w:pStyle w:val="AERbulletlistfirststyle"/>
        <w:numPr>
          <w:ilvl w:val="0"/>
          <w:numId w:val="24"/>
        </w:numPr>
      </w:pPr>
      <w:r>
        <w:t>Lally agrees that when estimating the distribution rate for a benchmark efficient entity, practical</w:t>
      </w:r>
      <w:r w:rsidRPr="000E7689">
        <w:t xml:space="preserve"> considerations </w:t>
      </w:r>
      <w:r>
        <w:t>indicate</w:t>
      </w:r>
      <w:r w:rsidRPr="000E7689">
        <w:t xml:space="preserve"> the use of sector-wide data.</w:t>
      </w:r>
      <w:r>
        <w:t xml:space="preserve"> He recommends a listed equity distribution rate estimated from financial statements of the top 20 listed firms, stating that:</w:t>
      </w:r>
      <w:r>
        <w:rPr>
          <w:rStyle w:val="FootnoteReference"/>
        </w:rPr>
        <w:footnoteReference w:id="119"/>
      </w:r>
    </w:p>
    <w:p w:rsidR="00C52695" w:rsidRPr="001D37D5" w:rsidRDefault="00C52695" w:rsidP="00C52695">
      <w:pPr>
        <w:pStyle w:val="AERquote"/>
      </w:pPr>
      <w:r w:rsidRPr="00A660BD">
        <w:t>Furthermore, since privately-owned regulated businesses in Australia are typically listed firms or subsidiaries of listed firms, the appropriate set of firms to use to estimate the distribution rate of regulated businesses would seem to be listed firms.</w:t>
      </w:r>
    </w:p>
    <w:p w:rsidR="00C52695" w:rsidRPr="00663AD0" w:rsidRDefault="00C52695" w:rsidP="00C52695">
      <w:pPr>
        <w:pStyle w:val="AERbulletlistfirststyle"/>
        <w:numPr>
          <w:ilvl w:val="0"/>
          <w:numId w:val="24"/>
        </w:numPr>
        <w:rPr>
          <w:rStyle w:val="AERtexthighlight"/>
        </w:rPr>
      </w:pPr>
      <w:r>
        <w:t xml:space="preserve">Lally also </w:t>
      </w:r>
      <w:r w:rsidRPr="005764F6">
        <w:t xml:space="preserve">considered </w:t>
      </w:r>
      <w:r w:rsidR="00CF4EC3">
        <w:t xml:space="preserve">that there is no necessity to combine </w:t>
      </w:r>
      <w:r w:rsidR="00CF4EC3" w:rsidRPr="001D37D5">
        <w:t>estimates of the distribution rate and utilisation rate from the same dataset</w:t>
      </w:r>
      <w:r w:rsidR="00CF4EC3">
        <w:t xml:space="preserve"> and good reason not for not doing so</w:t>
      </w:r>
      <w:r w:rsidRPr="005764F6">
        <w:t>.</w:t>
      </w:r>
      <w:r w:rsidR="00CF4EC3">
        <w:rPr>
          <w:rStyle w:val="FootnoteReference"/>
        </w:rPr>
        <w:footnoteReference w:id="120"/>
      </w:r>
      <w:r w:rsidRPr="005764F6">
        <w:t xml:space="preserve"> This is because, even though the distribution rate may be estimated using market-wide data, it is, in principle, a firm-specific parameter. On the other hand, the utilisation rate is a market-wide parameter.</w:t>
      </w:r>
      <w:r w:rsidRPr="00757350">
        <w:rPr>
          <w:rStyle w:val="FootnoteReference"/>
        </w:rPr>
        <w:footnoteReference w:id="121"/>
      </w:r>
      <w:r w:rsidRPr="005764F6">
        <w:t xml:space="preserve"> Following this, </w:t>
      </w:r>
      <w:r w:rsidR="009A643F">
        <w:t xml:space="preserve">Lally's most recent advice </w:t>
      </w:r>
      <w:r w:rsidRPr="005764F6">
        <w:t xml:space="preserve">we </w:t>
      </w:r>
      <w:r w:rsidR="009A643F">
        <w:t xml:space="preserve">remain of the view </w:t>
      </w:r>
      <w:r w:rsidRPr="005764F6">
        <w:t>it is not necessary to 'match' estimates of distribution rates and utilisation rates based on the dataset used</w:t>
      </w:r>
      <w:r>
        <w:rPr>
          <w:rStyle w:val="AERbody"/>
        </w:rPr>
        <w:t xml:space="preserve">; although we </w:t>
      </w:r>
      <w:r w:rsidR="009A643F">
        <w:rPr>
          <w:rStyle w:val="AERbody"/>
        </w:rPr>
        <w:t xml:space="preserve">still consider </w:t>
      </w:r>
      <w:r>
        <w:rPr>
          <w:rStyle w:val="AERbody"/>
        </w:rPr>
        <w:t>the choice is open to us</w:t>
      </w:r>
      <w:r w:rsidRPr="00E64E9B">
        <w:rPr>
          <w:rStyle w:val="AERbody"/>
        </w:rPr>
        <w:t>.</w:t>
      </w:r>
      <w:r>
        <w:t xml:space="preserve"> While we principally maintain our previous approach (as is open to us), we also have some regard to </w:t>
      </w:r>
      <w:r w:rsidRPr="005764F6">
        <w:t>Lally</w:t>
      </w:r>
      <w:r>
        <w:t>'s preferred approach</w:t>
      </w:r>
      <w:r w:rsidRPr="005764F6">
        <w:t xml:space="preserve"> (which </w:t>
      </w:r>
      <w:r>
        <w:t>combines an all equity utilisation rate from the equity ownership approach with a distribution rate for listed equity from financial reports of the top 20 listed firms</w:t>
      </w:r>
      <w:r w:rsidRPr="005764F6">
        <w:t>).</w:t>
      </w:r>
      <w:r w:rsidRPr="00757350">
        <w:rPr>
          <w:rStyle w:val="FootnoteReference"/>
        </w:rPr>
        <w:footnoteReference w:id="122"/>
      </w:r>
      <w:r w:rsidR="00B428E3">
        <w:t xml:space="preserve"> We note that using Lally's preferred approach results in a significantly higher gamma estimate than 0.4.</w:t>
      </w:r>
      <w:r w:rsidR="00CF4EC3">
        <w:rPr>
          <w:rStyle w:val="FootnoteReference"/>
        </w:rPr>
        <w:footnoteReference w:id="123"/>
      </w:r>
      <w:r w:rsidR="00B428E3">
        <w:t xml:space="preserve"> While we have given this limited weight, Lally's advice does provide further support for our view that our use of gamma value of 0.4 should result in an overall return (inclusive of the value of imputation credits) that is (at least) sufficient to compensate AusNet Services investors.</w:t>
      </w:r>
      <w:r w:rsidRPr="00663AD0">
        <w:rPr>
          <w:rStyle w:val="AERtexthighlight"/>
        </w:rPr>
        <w:t xml:space="preserve"> </w:t>
      </w:r>
    </w:p>
    <w:p w:rsidR="00C52695" w:rsidRDefault="00C52695" w:rsidP="00C52695">
      <w:r w:rsidRPr="00883125">
        <w:t>We discuss our approach to estimating the distribution rate further in section</w:t>
      </w:r>
      <w:r>
        <w:t>s</w:t>
      </w:r>
      <w:r w:rsidRPr="00883125">
        <w:t xml:space="preserve"> </w:t>
      </w:r>
      <w:r>
        <w:fldChar w:fldCharType="begin"/>
      </w:r>
      <w:r>
        <w:instrText xml:space="preserve"> REF _Ref414623120 \r \h </w:instrText>
      </w:r>
      <w:r>
        <w:fldChar w:fldCharType="separate"/>
      </w:r>
      <w:r w:rsidR="00812A72">
        <w:t>A.8</w:t>
      </w:r>
      <w:r>
        <w:fldChar w:fldCharType="end"/>
      </w:r>
      <w:r>
        <w:t xml:space="preserve"> and </w:t>
      </w:r>
      <w:r>
        <w:fldChar w:fldCharType="begin"/>
      </w:r>
      <w:r>
        <w:instrText xml:space="preserve"> REF _Ref415068711 \r \h </w:instrText>
      </w:r>
      <w:r>
        <w:fldChar w:fldCharType="separate"/>
      </w:r>
      <w:r w:rsidR="00812A72">
        <w:t>A.8.5</w:t>
      </w:r>
      <w:r>
        <w:fldChar w:fldCharType="end"/>
      </w:r>
      <w:r w:rsidRPr="00883125">
        <w:t>.</w:t>
      </w:r>
    </w:p>
    <w:p w:rsidR="007F6EED" w:rsidRDefault="007F6EED" w:rsidP="00C52695"/>
    <w:p w:rsidR="007F6EED" w:rsidRDefault="007F6EED" w:rsidP="00C52695"/>
    <w:p w:rsidR="00C52695" w:rsidRPr="00856171" w:rsidRDefault="00C52695" w:rsidP="007F6EED">
      <w:pPr>
        <w:pStyle w:val="HeadingBoldItalic"/>
      </w:pPr>
      <w:bookmarkStart w:id="107" w:name="_Toc456614284"/>
      <w:bookmarkStart w:id="108" w:name="_Toc481056656"/>
      <w:bookmarkStart w:id="109" w:name="_Toc481061450"/>
      <w:r>
        <w:lastRenderedPageBreak/>
        <w:t>The utilisation</w:t>
      </w:r>
      <w:r w:rsidRPr="00856171">
        <w:t xml:space="preserve"> rate</w:t>
      </w:r>
      <w:bookmarkEnd w:id="107"/>
      <w:bookmarkEnd w:id="108"/>
      <w:bookmarkEnd w:id="109"/>
      <w:r w:rsidRPr="00856171">
        <w:t xml:space="preserve"> </w:t>
      </w:r>
    </w:p>
    <w:p w:rsidR="00C52695" w:rsidRPr="00883125" w:rsidRDefault="00C52695" w:rsidP="00C52695">
      <w:pPr>
        <w:numPr>
          <w:ilvl w:val="0"/>
          <w:numId w:val="24"/>
        </w:numPr>
      </w:pPr>
      <w:r w:rsidRPr="00883125">
        <w:t>We understand the utilisation rate to be the utilisation value to investors in the market per dollar of imputation credits distributed.</w:t>
      </w:r>
      <w:r>
        <w:rPr>
          <w:rStyle w:val="FootnoteReference"/>
        </w:rPr>
        <w:footnoteReference w:id="124"/>
      </w:r>
      <w:r w:rsidRPr="00883125">
        <w:t xml:space="preserve"> In the Monkhouse framework,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w:t>
      </w:r>
      <w:r w:rsidRPr="00883125">
        <w:rPr>
          <w:rStyle w:val="FootnoteReference"/>
        </w:rPr>
        <w:footnoteReference w:id="125"/>
      </w:r>
      <w:r w:rsidRPr="00883125">
        <w:t xml:space="preserve"> Therefore, we consider that eligible investors have a utilisation rate of 1. Conversely, ‘ineligible’ investors cannot utilise imputation credits and have a utilisation rate of 0. It follows that the utilisation rate reflects the extent to which investors can utilise the imputation credits they receive to reduce their tax or obtain a refund. </w:t>
      </w:r>
    </w:p>
    <w:p w:rsidR="00C52695" w:rsidRPr="00883125" w:rsidRDefault="00C52695" w:rsidP="00C52695">
      <w:pPr>
        <w:pStyle w:val="AERbulletlistfirststyle"/>
        <w:numPr>
          <w:ilvl w:val="0"/>
          <w:numId w:val="24"/>
        </w:numPr>
      </w:pPr>
      <w:r>
        <w:t>This means</w:t>
      </w:r>
      <w:r w:rsidRPr="00883125">
        <w:t xml:space="preserve"> imputation credits expected to be utilised should be valued at full face value on a</w:t>
      </w:r>
      <w:r>
        <w:t xml:space="preserve"> post-company</w:t>
      </w:r>
      <w:r w:rsidRPr="00883125">
        <w:t xml:space="preserve"> pre-personal tax basis. Valuing imputation credits at face value is consistent with how all inputs into the allowed rate of return are estimated. For example, the yield on debt is calculated where the face value of coupon payments and face value of the principal is used to determine the yield to maturity. Similarly, the face value of dividends are used to calculate the MRP under the historical average approach and in the dividend growth model. </w:t>
      </w:r>
    </w:p>
    <w:p w:rsidR="00C52695" w:rsidRPr="00883125" w:rsidRDefault="00C52695" w:rsidP="00C52695">
      <w:pPr>
        <w:numPr>
          <w:ilvl w:val="0"/>
          <w:numId w:val="24"/>
        </w:numPr>
      </w:pPr>
      <w:r>
        <w:t>The</w:t>
      </w:r>
      <w:r w:rsidRPr="00856171">
        <w:t xml:space="preserve"> </w:t>
      </w:r>
      <w:r>
        <w:t xml:space="preserve">implied </w:t>
      </w:r>
      <w:r w:rsidRPr="00856171">
        <w:t xml:space="preserve">market </w:t>
      </w:r>
      <w:r>
        <w:t xml:space="preserve">value </w:t>
      </w:r>
      <w:r w:rsidRPr="00856171">
        <w:t>studies that value dividends and imputation credits around the ex-dividend date are influenced by different personal tax treatment of capital gains and dividend income. These estimates are neither pre- nor post- personal tax estimates</w:t>
      </w:r>
      <w:r w:rsidR="000421CC">
        <w:t xml:space="preserve"> due to differential taxes</w:t>
      </w:r>
      <w:r w:rsidRPr="00856171">
        <w:t xml:space="preserve">. </w:t>
      </w:r>
      <w:r w:rsidR="000421CC">
        <w:t>Our consultant supports that market value studies need to be adjusted to correct for the biases in the estimates (likely to be principally driven by differential taxation).</w:t>
      </w:r>
      <w:r w:rsidR="0010651C">
        <w:rPr>
          <w:rStyle w:val="FootnoteReference"/>
        </w:rPr>
        <w:footnoteReference w:id="126"/>
      </w:r>
      <w:r w:rsidR="000421CC">
        <w:t xml:space="preserve"> As a result, w</w:t>
      </w:r>
      <w:r w:rsidR="000421CC" w:rsidRPr="00856171">
        <w:t xml:space="preserve">e </w:t>
      </w:r>
      <w:r w:rsidRPr="00856171">
        <w:t xml:space="preserve">do not consider this is appropriate </w:t>
      </w:r>
      <w:r w:rsidR="000421CC">
        <w:t xml:space="preserve">to use implied market value studies to estimate the utilisation value </w:t>
      </w:r>
      <w:r w:rsidRPr="00856171">
        <w:t>given our post (corporate) tax regulatory framework based on Officer 1994.</w:t>
      </w:r>
      <w:r w:rsidRPr="00856171">
        <w:rPr>
          <w:rStyle w:val="FootnoteReference"/>
        </w:rPr>
        <w:footnoteReference w:id="127"/>
      </w:r>
      <w:r w:rsidRPr="00856171">
        <w:t xml:space="preserve"> What is relevant is the cost that is imposed on a benchmark efficient entity. This is the cost before personal taxes and personal transaction costs are incurred. The face value of the imputation credit is the pre-personal tax value and personal tax is levied on this estimate.</w:t>
      </w:r>
      <w:r>
        <w:rPr>
          <w:rStyle w:val="FootnoteReference"/>
        </w:rPr>
        <w:footnoteReference w:id="128"/>
      </w:r>
    </w:p>
    <w:p w:rsidR="00C52695" w:rsidRPr="00883125" w:rsidRDefault="00C52695" w:rsidP="00C52695">
      <w:pPr>
        <w:numPr>
          <w:ilvl w:val="0"/>
          <w:numId w:val="24"/>
        </w:numPr>
      </w:pPr>
      <w:r w:rsidRPr="00883125">
        <w:t>Consistent with the Guideline, when estimating the utilisation rate we place:</w:t>
      </w:r>
    </w:p>
    <w:p w:rsidR="00C52695" w:rsidRPr="00883125" w:rsidRDefault="00C52695" w:rsidP="00C52695">
      <w:pPr>
        <w:pStyle w:val="AERbulletlistfirststyle"/>
      </w:pPr>
      <w:r w:rsidRPr="00883125">
        <w:t>significant reliance upon the equity ownership approach</w:t>
      </w:r>
    </w:p>
    <w:p w:rsidR="00C52695" w:rsidRPr="00883125" w:rsidRDefault="00C52695" w:rsidP="00C52695">
      <w:pPr>
        <w:pStyle w:val="AERbulletlistfirststyle"/>
      </w:pPr>
      <w:r w:rsidRPr="00883125">
        <w:t>some reliance upon tax statistics</w:t>
      </w:r>
    </w:p>
    <w:p w:rsidR="00C52695" w:rsidRPr="001D37D5" w:rsidRDefault="00C52695" w:rsidP="00C52695">
      <w:pPr>
        <w:pStyle w:val="AERbulletlistfirststyle"/>
      </w:pPr>
      <w:r w:rsidRPr="00883125">
        <w:t>less reliance upon implied market value studies.</w:t>
      </w:r>
    </w:p>
    <w:p w:rsidR="00C52695" w:rsidRPr="00883125" w:rsidRDefault="00C52695" w:rsidP="00C52695">
      <w:r>
        <w:lastRenderedPageBreak/>
        <w:t>This weighting is supported by Lally.</w:t>
      </w:r>
      <w:r>
        <w:rPr>
          <w:rStyle w:val="FootnoteReference"/>
        </w:rPr>
        <w:footnoteReference w:id="129"/>
      </w:r>
      <w:r w:rsidR="000421CC">
        <w:t xml:space="preserve"> The SAPN Tribunal also considered the AER did not err, nor was it unreasonable, in giving most weight to the "utilisation" approach.</w:t>
      </w:r>
      <w:r w:rsidR="00254FC7">
        <w:rPr>
          <w:rStyle w:val="FootnoteReference"/>
        </w:rPr>
        <w:footnoteReference w:id="130"/>
      </w:r>
    </w:p>
    <w:p w:rsidR="00C52695" w:rsidRDefault="00C52695" w:rsidP="00C52695">
      <w:pPr>
        <w:numPr>
          <w:ilvl w:val="0"/>
          <w:numId w:val="24"/>
        </w:numPr>
      </w:pPr>
      <w:r w:rsidRPr="00883125">
        <w:t>The results from th</w:t>
      </w:r>
      <w:r>
        <w:t>e</w:t>
      </w:r>
      <w:r w:rsidRPr="00883125">
        <w:t xml:space="preserve">se classes of evidence are summarised in </w:t>
      </w:r>
      <w:r w:rsidRPr="00883125">
        <w:fldChar w:fldCharType="begin"/>
      </w:r>
      <w:r w:rsidRPr="00883125">
        <w:instrText xml:space="preserve"> REF  _Ref400900366 \* Lower \h </w:instrText>
      </w:r>
      <w:r w:rsidRPr="00883125">
        <w:fldChar w:fldCharType="separate"/>
      </w:r>
      <w:r w:rsidR="00812A72" w:rsidRPr="00883125">
        <w:t xml:space="preserve">table </w:t>
      </w:r>
      <w:r w:rsidR="00812A72">
        <w:rPr>
          <w:noProof/>
        </w:rPr>
        <w:t>4</w:t>
      </w:r>
      <w:r w:rsidR="00812A72">
        <w:noBreakHyphen/>
      </w:r>
      <w:r w:rsidR="00812A72">
        <w:rPr>
          <w:noProof/>
        </w:rPr>
        <w:t>3</w:t>
      </w:r>
      <w:r w:rsidRPr="00883125">
        <w:fldChar w:fldCharType="end"/>
      </w:r>
      <w:r w:rsidRPr="00883125">
        <w:t xml:space="preserve"> and </w:t>
      </w:r>
      <w:r w:rsidRPr="00883125">
        <w:fldChar w:fldCharType="begin"/>
      </w:r>
      <w:r w:rsidRPr="00883125">
        <w:instrText xml:space="preserve"> REF  _Ref404072148 \* Lower \h </w:instrText>
      </w:r>
      <w:r w:rsidRPr="00883125">
        <w:fldChar w:fldCharType="separate"/>
      </w:r>
      <w:r w:rsidR="00812A72" w:rsidRPr="00883125">
        <w:t xml:space="preserve">table </w:t>
      </w:r>
      <w:r w:rsidR="00812A72">
        <w:rPr>
          <w:noProof/>
        </w:rPr>
        <w:t>4</w:t>
      </w:r>
      <w:r w:rsidR="00812A72">
        <w:noBreakHyphen/>
      </w:r>
      <w:r w:rsidR="00812A72">
        <w:rPr>
          <w:noProof/>
        </w:rPr>
        <w:t>4</w:t>
      </w:r>
      <w:r w:rsidRPr="00883125">
        <w:fldChar w:fldCharType="end"/>
      </w:r>
      <w:r w:rsidRPr="00883125">
        <w:t>.</w:t>
      </w:r>
      <w:r>
        <w:t xml:space="preserve"> </w:t>
      </w:r>
      <w:r w:rsidRPr="00883125">
        <w:t>The relative importance that we assign to each approach is supported by Handley and Lally, while McKenzie and Partington's report for the Queensland Resources Council suggested that having regard to all of these approaches is reasonable.</w:t>
      </w:r>
      <w:r w:rsidRPr="00883125">
        <w:rPr>
          <w:rStyle w:val="FootnoteReference"/>
        </w:rPr>
        <w:footnoteReference w:id="131"/>
      </w:r>
      <w:r w:rsidRPr="00883125">
        <w:t xml:space="preserve"> We discuss each approach in the sections below.</w:t>
      </w:r>
      <w:r w:rsidRPr="00883125">
        <w:rPr>
          <w:rStyle w:val="FootnoteReference"/>
        </w:rPr>
        <w:footnoteReference w:id="132"/>
      </w:r>
      <w:r w:rsidRPr="00883125">
        <w:t xml:space="preserve"> We depart from the Guideline by not relying upon the 'conceptual goalposts approach'.</w:t>
      </w:r>
    </w:p>
    <w:p w:rsidR="00C52695" w:rsidRDefault="00C52695" w:rsidP="00C52695">
      <w:pPr>
        <w:numPr>
          <w:ilvl w:val="0"/>
          <w:numId w:val="24"/>
        </w:numPr>
      </w:pPr>
      <w:r w:rsidRPr="00883125">
        <w:t xml:space="preserve">We discuss our interpretation and definition of the utilisation rate further in sections </w:t>
      </w:r>
      <w:r w:rsidRPr="00883125">
        <w:fldChar w:fldCharType="begin"/>
      </w:r>
      <w:r w:rsidRPr="00883125">
        <w:instrText xml:space="preserve"> REF _Ref400965182 \r \h </w:instrText>
      </w:r>
      <w:r w:rsidRPr="00883125">
        <w:fldChar w:fldCharType="separate"/>
      </w:r>
      <w:r w:rsidR="00812A72">
        <w:t>A.6</w:t>
      </w:r>
      <w:r w:rsidRPr="00883125">
        <w:fldChar w:fldCharType="end"/>
      </w:r>
      <w:r w:rsidRPr="00883125">
        <w:t xml:space="preserve"> and </w:t>
      </w:r>
      <w:r w:rsidRPr="00883125">
        <w:fldChar w:fldCharType="begin"/>
      </w:r>
      <w:r w:rsidRPr="00883125">
        <w:instrText xml:space="preserve"> REF _Ref414623120 \r \h </w:instrText>
      </w:r>
      <w:r w:rsidRPr="00883125">
        <w:fldChar w:fldCharType="separate"/>
      </w:r>
      <w:r w:rsidR="00812A72">
        <w:t>A.8</w:t>
      </w:r>
      <w:r w:rsidRPr="00883125">
        <w:fldChar w:fldCharType="end"/>
      </w:r>
      <w:r w:rsidRPr="00883125">
        <w:t xml:space="preserve">. </w:t>
      </w:r>
    </w:p>
    <w:p w:rsidR="00C52695" w:rsidRPr="00856171" w:rsidRDefault="00C52695" w:rsidP="00C52695">
      <w:pPr>
        <w:pStyle w:val="HeadingBoldItalic"/>
      </w:pPr>
      <w:bookmarkStart w:id="110" w:name="_Toc456614285"/>
      <w:bookmarkStart w:id="111" w:name="_Toc481056657"/>
      <w:bookmarkStart w:id="112" w:name="_Toc481061451"/>
      <w:r>
        <w:t>The equity ownership approach</w:t>
      </w:r>
      <w:bookmarkEnd w:id="110"/>
      <w:bookmarkEnd w:id="111"/>
      <w:bookmarkEnd w:id="112"/>
    </w:p>
    <w:p w:rsidR="00C52695" w:rsidRPr="00883125" w:rsidRDefault="00C52695" w:rsidP="00C52695">
      <w:pPr>
        <w:numPr>
          <w:ilvl w:val="0"/>
          <w:numId w:val="24"/>
        </w:numPr>
      </w:pPr>
      <w:r w:rsidRPr="00883125">
        <w:t>We consider that the value-weighted proportion of domestic investors in the Australian equity market is a reasonable estimate of the utilisation rate. This is because, in general, domestic investors are eligible to utilise imputation credits and foreign investors are not. Moreover, as discussed above, we consider that eligible investors have a utilisation rate of 1 because each dollar of imputation credit received by these investors can be fully returned to them in the form of a reduction in tax payable or a refund. On a pre-personal tax basis</w:t>
      </w:r>
      <w:r>
        <w:t>,</w:t>
      </w:r>
      <w:r w:rsidRPr="00883125">
        <w:t xml:space="preserve"> one dollar of imputation credits reduces an eligible investor's tax bill by one dollar. We refer to this approach as the 'equity ownership approach', and we use data from the National Accounts of the Australian Bureau of Statistics (ABS) to estimate the domestic ownership share.</w:t>
      </w:r>
      <w:r w:rsidRPr="00883125">
        <w:rPr>
          <w:rStyle w:val="FootnoteReference"/>
        </w:rPr>
        <w:footnoteReference w:id="133"/>
      </w:r>
    </w:p>
    <w:p w:rsidR="00C52695" w:rsidRPr="00883125" w:rsidRDefault="00C52695" w:rsidP="00C52695">
      <w:pPr>
        <w:numPr>
          <w:ilvl w:val="0"/>
          <w:numId w:val="24"/>
        </w:numPr>
      </w:pPr>
      <w:r w:rsidRPr="00883125">
        <w:t>We place significant reliance upon the equity ownership approach when considering estimates of the utilisation rate. This is because:</w:t>
      </w:r>
    </w:p>
    <w:p w:rsidR="00C52695" w:rsidRPr="00883125" w:rsidRDefault="00C52695" w:rsidP="00C52695">
      <w:pPr>
        <w:pStyle w:val="AERbulletlistfirststyle"/>
      </w:pPr>
      <w:r w:rsidRPr="00883125">
        <w:t>it is well aligned with the definition of the utilisation rate in the Monkhouse framework</w:t>
      </w:r>
    </w:p>
    <w:p w:rsidR="00C52695" w:rsidRPr="00883125" w:rsidRDefault="00C52695" w:rsidP="00C52695">
      <w:pPr>
        <w:pStyle w:val="AERbulletlistfirststyle"/>
      </w:pPr>
      <w:r w:rsidRPr="00883125">
        <w:t>it employs a relatively simple and intuitive methodology</w:t>
      </w:r>
    </w:p>
    <w:p w:rsidR="00C52695" w:rsidRPr="00883125" w:rsidRDefault="00C52695" w:rsidP="00C52695">
      <w:pPr>
        <w:pStyle w:val="AERbulletlistfirststyle"/>
      </w:pPr>
      <w:r w:rsidRPr="00883125">
        <w:t>it uses a reliable and transparent source of data</w:t>
      </w:r>
    </w:p>
    <w:p w:rsidR="00C52695" w:rsidRPr="001D37D5" w:rsidRDefault="00C52695" w:rsidP="00C52695">
      <w:pPr>
        <w:pStyle w:val="AERbulletlistfirststyle"/>
      </w:pPr>
      <w:r w:rsidRPr="00883125">
        <w:t>it provides estimates of the utilisation rate for investors in both all equity and only listed equity</w:t>
      </w:r>
      <w:r w:rsidR="00AD35FD">
        <w:t>.</w:t>
      </w:r>
    </w:p>
    <w:p w:rsidR="00C52695" w:rsidRDefault="00C52695" w:rsidP="00C52695">
      <w:r>
        <w:lastRenderedPageBreak/>
        <w:t>We recognise</w:t>
      </w:r>
      <w:r w:rsidRPr="00883125">
        <w:t xml:space="preserve"> the equity ownership approach </w:t>
      </w:r>
      <w:r>
        <w:t>does not take into account</w:t>
      </w:r>
      <w:r w:rsidRPr="00883125">
        <w:t xml:space="preserve"> </w:t>
      </w:r>
      <w:r>
        <w:t>the existence of</w:t>
      </w:r>
      <w:r w:rsidRPr="00883125">
        <w:t xml:space="preserve"> some </w:t>
      </w:r>
      <w:r>
        <w:t>domestic</w:t>
      </w:r>
      <w:r w:rsidRPr="00883125">
        <w:t xml:space="preserve"> investors </w:t>
      </w:r>
      <w:r>
        <w:t>that</w:t>
      </w:r>
      <w:r w:rsidRPr="00883125">
        <w:t xml:space="preserve"> do not hold their shares for 45 days at risk over the ex-dividend date</w:t>
      </w:r>
      <w:r>
        <w:t xml:space="preserve"> (the 45 day rule)</w:t>
      </w:r>
      <w:r w:rsidRPr="00883125">
        <w:t>.</w:t>
      </w:r>
      <w:r w:rsidRPr="00883125">
        <w:rPr>
          <w:rStyle w:val="FootnoteReference"/>
        </w:rPr>
        <w:footnoteReference w:id="134"/>
      </w:r>
      <w:r w:rsidRPr="00883125">
        <w:t xml:space="preserve"> </w:t>
      </w:r>
      <w:r>
        <w:t xml:space="preserve">However, we consider it is unlikely </w:t>
      </w:r>
      <w:r w:rsidRPr="00883125">
        <w:t>to have a material impact on the utilisation of imputation credits</w:t>
      </w:r>
      <w:r>
        <w:t xml:space="preserve"> by domestic</w:t>
      </w:r>
      <w:r w:rsidRPr="00883125">
        <w:t xml:space="preserve"> investors</w:t>
      </w:r>
      <w:r>
        <w:t xml:space="preserve">. Importantly, </w:t>
      </w:r>
      <w:r w:rsidRPr="00883125">
        <w:t xml:space="preserve">no data has been presented that </w:t>
      </w:r>
      <w:r>
        <w:t>demonstrates a material impact</w:t>
      </w:r>
      <w:r w:rsidRPr="00883125">
        <w:t>.</w:t>
      </w:r>
    </w:p>
    <w:p w:rsidR="00C52695" w:rsidRDefault="00C52695" w:rsidP="00C52695">
      <w:r>
        <w:t xml:space="preserve">We also recognise the equity ownership approach produces a range of estimates of the utilisation rate, and the upper end of this range is higher than the estimate produced from tax statistics (see discussion under 'Tax statistics' below). However, we do not consider this means the equity ownership approach is incorrect. This is because tax statistics, like the equity ownership approach, produce an estimate of the utilisation rate. These estimates are uncertain and dependent on the quality of the underlying data (this is a particular issue for tax statistics). As such, </w:t>
      </w:r>
      <w:r w:rsidRPr="00883125">
        <w:t>the true (unknown) value could be higher or lower.</w:t>
      </w:r>
      <w:r>
        <w:t xml:space="preserve"> Following this, we do not consider </w:t>
      </w:r>
      <w:r w:rsidRPr="00883125">
        <w:t xml:space="preserve">the 45 day rule explains the difference in utilisation </w:t>
      </w:r>
      <w:r>
        <w:t>rate</w:t>
      </w:r>
      <w:r w:rsidRPr="00883125">
        <w:t xml:space="preserve"> </w:t>
      </w:r>
      <w:r>
        <w:t>estimates between</w:t>
      </w:r>
      <w:r w:rsidRPr="00883125">
        <w:t xml:space="preserve"> tax statistics and the equity ownership approach.</w:t>
      </w:r>
      <w:r w:rsidRPr="00E92A90">
        <w:t xml:space="preserve"> </w:t>
      </w:r>
      <w:r w:rsidRPr="00883125">
        <w:t>We consider the difference is likely drive</w:t>
      </w:r>
      <w:r>
        <w:t>n</w:t>
      </w:r>
      <w:r w:rsidRPr="00883125">
        <w:t xml:space="preserve"> by estimation error in the taxation data</w:t>
      </w:r>
      <w:r>
        <w:t>. This view is supported by Lally.</w:t>
      </w:r>
      <w:r>
        <w:rPr>
          <w:rStyle w:val="FootnoteReference"/>
        </w:rPr>
        <w:footnoteReference w:id="135"/>
      </w:r>
      <w:r w:rsidRPr="004F21F7">
        <w:t xml:space="preserve"> </w:t>
      </w:r>
      <w:r>
        <w:t>We also note Lally's statement that:</w:t>
      </w:r>
      <w:r>
        <w:rPr>
          <w:rStyle w:val="FootnoteReference"/>
        </w:rPr>
        <w:footnoteReference w:id="136"/>
      </w:r>
    </w:p>
    <w:p w:rsidR="00C52695" w:rsidRPr="00883125" w:rsidRDefault="00C52695" w:rsidP="00C52695">
      <w:pPr>
        <w:pStyle w:val="AERquote"/>
      </w:pPr>
      <w:r w:rsidRPr="004F21F7">
        <w:t>Thus, if foreign investors are recognized and absent any information on the terms other than the value weights on the RHS of equation (8), the equity ownership approach is not an upper bound on theta but an unbiased estimate.</w:t>
      </w:r>
    </w:p>
    <w:p w:rsidR="00C52695" w:rsidRPr="00883125" w:rsidRDefault="00C52695" w:rsidP="00C52695">
      <w:pPr>
        <w:numPr>
          <w:ilvl w:val="0"/>
          <w:numId w:val="24"/>
        </w:numPr>
      </w:pPr>
      <w:r w:rsidRPr="00883125">
        <w:t>We consider that a reasonable estimate for the utilisation rate from the equity ownership approach is between:</w:t>
      </w:r>
    </w:p>
    <w:p w:rsidR="00C52695" w:rsidRPr="00883125" w:rsidRDefault="00C52695" w:rsidP="00C52695">
      <w:pPr>
        <w:pStyle w:val="AERbulletlistfirststyle"/>
      </w:pPr>
      <w:r w:rsidRPr="00883125">
        <w:t>0.56 and 0.68, if all equity is considered</w:t>
      </w:r>
    </w:p>
    <w:p w:rsidR="00C52695" w:rsidRPr="00883125" w:rsidRDefault="00C52695" w:rsidP="00C52695">
      <w:pPr>
        <w:pStyle w:val="AERbulletlistfirststyle"/>
      </w:pPr>
      <w:r w:rsidRPr="00883125">
        <w:t>0.38 and 0.55, if only listed equity is considered.</w:t>
      </w:r>
    </w:p>
    <w:p w:rsidR="00C52695" w:rsidRDefault="00C52695" w:rsidP="00C52695">
      <w:r w:rsidRPr="00883125">
        <w:t xml:space="preserve">This differs from the Guideline. In the Guideline, we considered that the equity ownership approach supported a utilisation rate between 0.7 and 0.8. Since the Guideline's publication, we have examined more closely the relevant data from the National Accounts. This has allowed us to update and refine our estimates. </w:t>
      </w:r>
    </w:p>
    <w:p w:rsidR="00C52695" w:rsidRDefault="00C52695" w:rsidP="00C52695">
      <w:r w:rsidRPr="00883125">
        <w:t xml:space="preserve">We describe our application of the equity ownership approach and our re-examination of this source of evidence since the Guideline in detail in section </w:t>
      </w:r>
      <w:r w:rsidRPr="00883125">
        <w:fldChar w:fldCharType="begin"/>
      </w:r>
      <w:r w:rsidRPr="00883125">
        <w:instrText xml:space="preserve"> REF _Ref415049811 \r \h </w:instrText>
      </w:r>
      <w:r w:rsidRPr="00883125">
        <w:fldChar w:fldCharType="separate"/>
      </w:r>
      <w:r w:rsidR="00812A72">
        <w:t>A.12</w:t>
      </w:r>
      <w:r w:rsidRPr="00883125">
        <w:fldChar w:fldCharType="end"/>
      </w:r>
      <w:r w:rsidRPr="00883125">
        <w:t>.</w:t>
      </w:r>
    </w:p>
    <w:p w:rsidR="00C52695" w:rsidRPr="00856171" w:rsidRDefault="00C52695" w:rsidP="00C52695">
      <w:pPr>
        <w:pStyle w:val="HeadingBoldItalic"/>
      </w:pPr>
      <w:bookmarkStart w:id="113" w:name="_Toc456614286"/>
      <w:bookmarkStart w:id="114" w:name="_Toc481056658"/>
      <w:bookmarkStart w:id="115" w:name="_Toc481061452"/>
      <w:r>
        <w:t>Tax statistics</w:t>
      </w:r>
      <w:bookmarkEnd w:id="113"/>
      <w:bookmarkEnd w:id="114"/>
      <w:bookmarkEnd w:id="115"/>
    </w:p>
    <w:p w:rsidR="00C52695" w:rsidRPr="00883125" w:rsidRDefault="00C52695" w:rsidP="00C52695">
      <w:pPr>
        <w:numPr>
          <w:ilvl w:val="0"/>
          <w:numId w:val="24"/>
        </w:numPr>
      </w:pPr>
      <w:r w:rsidRPr="00883125">
        <w:t xml:space="preserve">The ATO publishes aggregate statistics on the tax returns submitted by individuals, superannuation funds and companies, as well as on the imputation credits refunded to </w:t>
      </w:r>
      <w:r w:rsidRPr="00883125">
        <w:lastRenderedPageBreak/>
        <w:t>certain income tax exempt entities (for example, charities).</w:t>
      </w:r>
      <w:r w:rsidRPr="00883125">
        <w:rPr>
          <w:rStyle w:val="FootnoteReference"/>
        </w:rPr>
        <w:footnoteReference w:id="137"/>
      </w:r>
      <w:r w:rsidRPr="00883125">
        <w:t xml:space="preserve"> In theory,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the reported value of credits utilised divided by the reported value of credits distributed is an estimate of the utilisation rate</w:t>
      </w:r>
      <w:r>
        <w:t>.</w:t>
      </w:r>
    </w:p>
    <w:p w:rsidR="00C52695" w:rsidRDefault="00C52695" w:rsidP="00C52695">
      <w:pPr>
        <w:numPr>
          <w:ilvl w:val="0"/>
          <w:numId w:val="24"/>
        </w:numPr>
      </w:pPr>
      <w:r w:rsidRPr="00883125">
        <w:t>We have had regard to tax statistics when considering estimates of the utilisation rate. We place a degree of reliance upon tax statistics that is less than that placed upon the equity ownership approach, but which is more than that placed on implied market value studies. Our position on tax statistics is consistent with the advice from Handley and Lally. Handley considered tax statistics to be the second most important approach to estimating the utilisation rate after the equity ownership approach.</w:t>
      </w:r>
      <w:r w:rsidRPr="00883125">
        <w:rPr>
          <w:rStyle w:val="FootnoteReference"/>
        </w:rPr>
        <w:footnoteReference w:id="138"/>
      </w:r>
      <w:r w:rsidRPr="00883125">
        <w:t xml:space="preserve"> Lally considered that the tax statistics approach lacks precision, and he did not prefer it to the equity ownership approach.</w:t>
      </w:r>
      <w:r w:rsidRPr="00883125">
        <w:rPr>
          <w:rStyle w:val="FootnoteReference"/>
        </w:rPr>
        <w:footnoteReference w:id="139"/>
      </w:r>
      <w:r w:rsidRPr="00883125">
        <w:t xml:space="preserve"> However, Lally still preferred tax statistics to implied market value studies.</w:t>
      </w:r>
      <w:r w:rsidRPr="00883125">
        <w:rPr>
          <w:rStyle w:val="FootnoteReference"/>
        </w:rPr>
        <w:footnoteReference w:id="140"/>
      </w:r>
    </w:p>
    <w:p w:rsidR="00C52695" w:rsidRPr="00883125" w:rsidRDefault="00C52695" w:rsidP="00C52695">
      <w:pPr>
        <w:numPr>
          <w:ilvl w:val="0"/>
          <w:numId w:val="24"/>
        </w:numPr>
      </w:pPr>
      <w:r w:rsidRPr="00883125">
        <w:t>We have placed less reliance upon tax statistics compared with the equity ownership approach because we consider that tax statistics have a number of limitations:</w:t>
      </w:r>
    </w:p>
    <w:p w:rsidR="00C52695" w:rsidRPr="001D37D5" w:rsidRDefault="00C52695" w:rsidP="00C52695">
      <w:pPr>
        <w:pStyle w:val="AERbulletlistfirststyle"/>
      </w:pPr>
      <w:r w:rsidRPr="00883125">
        <w:t>There are residual concerns regarding the data. While Hathaway considered that the amounts of tax paid and credits utilised can be concluded ‘with some confidence’ and that they are ‘unlikely to be in major error’</w:t>
      </w:r>
      <w:r w:rsidRPr="001D37D5">
        <w:t>. Hathaway also identified a significant discrepancy associated with the tracking of imputation credits in the data that led him to 'urge all caution in using ATO statistics for any estimates of parameters concerned with [imputation] credits'.</w:t>
      </w:r>
      <w:r w:rsidRPr="001D37D5">
        <w:rPr>
          <w:rStyle w:val="FootnoteReference"/>
        </w:rPr>
        <w:footnoteReference w:id="141"/>
      </w:r>
    </w:p>
    <w:p w:rsidR="00C52695" w:rsidRPr="00883125" w:rsidRDefault="00C52695" w:rsidP="00C52695">
      <w:pPr>
        <w:pStyle w:val="AERbulletlistfirststyle"/>
      </w:pPr>
      <w:r w:rsidRPr="00883125">
        <w:t>They do not reflect the amount of credits refunded to individuals that do not have to fill out a tax return.</w:t>
      </w:r>
    </w:p>
    <w:p w:rsidR="00C52695" w:rsidRPr="001D37D5" w:rsidRDefault="00C52695" w:rsidP="00C52695">
      <w:pPr>
        <w:pStyle w:val="AERbulletlistfirststyle"/>
      </w:pPr>
      <w:r w:rsidRPr="00883125">
        <w:t>They might not reflect the amount of credits refunded to certain types of entities.</w:t>
      </w:r>
      <w:r w:rsidRPr="001D37D5">
        <w:rPr>
          <w:rStyle w:val="FootnoteReference"/>
        </w:rPr>
        <w:footnoteReference w:id="142"/>
      </w:r>
      <w:r w:rsidRPr="001D37D5">
        <w:t xml:space="preserve"> </w:t>
      </w:r>
    </w:p>
    <w:p w:rsidR="00C52695" w:rsidRPr="001D37D5" w:rsidRDefault="00C52695" w:rsidP="00C52695">
      <w:pPr>
        <w:pStyle w:val="AERbulletlistfirststyle"/>
      </w:pPr>
      <w:r w:rsidRPr="00883125">
        <w:lastRenderedPageBreak/>
        <w:t>They do not provide estimates of the utilisation rate for investors in only listed equity. Handley suggested that evidence from listed equity is more relevant to the benchmark efficient entity.</w:t>
      </w:r>
      <w:r w:rsidRPr="001D37D5">
        <w:rPr>
          <w:rStyle w:val="FootnoteReference"/>
        </w:rPr>
        <w:footnoteReference w:id="143"/>
      </w:r>
    </w:p>
    <w:p w:rsidR="00C52695" w:rsidRPr="001D37D5" w:rsidRDefault="00C52695" w:rsidP="00C52695">
      <w:pPr>
        <w:pStyle w:val="AERbulletlistfirststyle"/>
      </w:pPr>
      <w:r w:rsidRPr="005764F6">
        <w:t>Lally</w:t>
      </w:r>
      <w:r w:rsidR="008802AB">
        <w:t xml:space="preserve"> </w:t>
      </w:r>
      <w:r w:rsidRPr="005764F6">
        <w:t xml:space="preserve">considered tax statistics </w:t>
      </w:r>
      <w:r w:rsidRPr="001D37D5">
        <w:t>based estimates of the utilisation rate are unreliable and potentially biased.</w:t>
      </w:r>
      <w:r w:rsidRPr="001D37D5">
        <w:rPr>
          <w:rStyle w:val="FootnoteReference"/>
        </w:rPr>
        <w:footnoteReference w:id="144"/>
      </w:r>
    </w:p>
    <w:p w:rsidR="00C52695" w:rsidRPr="00883125" w:rsidRDefault="00C52695" w:rsidP="00C52695">
      <w:pPr>
        <w:numPr>
          <w:ilvl w:val="0"/>
          <w:numId w:val="24"/>
        </w:numPr>
      </w:pPr>
      <w:r w:rsidRPr="00883125">
        <w:t>With regard to Hathaway's analysis, in the draft decisions released in 2014 we considered that tax statistics supported an estimate of the utilisation rate between 0.4 and 0.6.</w:t>
      </w:r>
      <w:r w:rsidRPr="00883125">
        <w:rPr>
          <w:rStyle w:val="FootnoteReference"/>
        </w:rPr>
        <w:footnoteReference w:id="145"/>
      </w:r>
      <w:r w:rsidRPr="00883125">
        <w:t xml:space="preserve"> However, we also recognised in the draft decisions </w:t>
      </w:r>
      <w:r>
        <w:t xml:space="preserve">released in 2014 </w:t>
      </w:r>
      <w:r w:rsidRPr="00883125">
        <w:t>that our estimate of the distribution rate (0.7) implied that we should adopt a utilisation rate of around 0.43 from within this range for consistency. This differs from the Guideline, in which we considered that tax statistics supported an estimate of the utilisation rate between 0.4 and 0.8.</w:t>
      </w:r>
    </w:p>
    <w:p w:rsidR="00C52695" w:rsidRPr="00883125" w:rsidRDefault="00C52695" w:rsidP="00C52695">
      <w:pPr>
        <w:numPr>
          <w:ilvl w:val="0"/>
          <w:numId w:val="24"/>
        </w:numPr>
      </w:pPr>
      <w:r w:rsidRPr="00883125">
        <w:t>Since the Guideline, we have continued to examine this evidence. We now consider that greater reliance should be placed upon estimates that are:</w:t>
      </w:r>
    </w:p>
    <w:p w:rsidR="00C52695" w:rsidRPr="001D37D5" w:rsidRDefault="00C52695" w:rsidP="00C52695">
      <w:pPr>
        <w:pStyle w:val="AERbulletlistfirststyle"/>
      </w:pPr>
      <w:r w:rsidRPr="00883125">
        <w:t>derived from post-2004 data, consistent with Hathaway's findings that the ATO statistics are subject to a number of issues prior to 2004</w:t>
      </w:r>
      <w:r w:rsidRPr="001D37D5">
        <w:rPr>
          <w:rStyle w:val="FootnoteReference"/>
        </w:rPr>
        <w:footnoteReference w:id="146"/>
      </w:r>
    </w:p>
    <w:p w:rsidR="00C52695" w:rsidRPr="001D37D5" w:rsidRDefault="00C52695" w:rsidP="00C52695">
      <w:pPr>
        <w:pStyle w:val="AERbulletlistfirststyle"/>
      </w:pPr>
      <w:r w:rsidRPr="00883125">
        <w:t>consistent with our estimates of the distribution rate</w:t>
      </w:r>
      <w:r w:rsidRPr="001D37D5">
        <w:t xml:space="preserve">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w:t>
      </w:r>
      <w:r w:rsidRPr="001D37D5">
        <w:rPr>
          <w:rStyle w:val="FootnoteReference"/>
        </w:rPr>
        <w:footnoteReference w:id="147"/>
      </w:r>
      <w:r w:rsidRPr="001D37D5">
        <w:t xml:space="preserve"> </w:t>
      </w:r>
    </w:p>
    <w:p w:rsidR="00C52695" w:rsidRPr="00856171" w:rsidRDefault="00C52695" w:rsidP="00C52695">
      <w:r w:rsidRPr="00883125">
        <w:t xml:space="preserve">In this </w:t>
      </w:r>
      <w:r w:rsidR="00447094">
        <w:t xml:space="preserve">final </w:t>
      </w:r>
      <w:r w:rsidRPr="00856171">
        <w:t>decision, we have regard to NERA's updated analysis of the ATO data to the 2012 tax year.</w:t>
      </w:r>
      <w:r w:rsidRPr="00856171">
        <w:rPr>
          <w:rStyle w:val="FootnoteReference"/>
        </w:rPr>
        <w:footnoteReference w:id="148"/>
      </w:r>
      <w:r w:rsidRPr="00856171">
        <w:t xml:space="preserve"> This analysis supports a distribution rate of 0.7 and a utilisation rate of 0.45. Using updated ATO data to the 2012-13 year, Gray (for Frontier) has estimated a slightly higher utilisation rate of 0.46 for the period 2004 to 2013. Our analysis uses updated ATO data up to 2013-14 and estimates a slightly higher utilisation rate of 0.48 for the period 2004 to 2014.</w:t>
      </w:r>
    </w:p>
    <w:p w:rsidR="00651429" w:rsidRDefault="00C52695" w:rsidP="00C52695">
      <w:r>
        <w:t>We consider</w:t>
      </w:r>
      <w:r w:rsidRPr="00856171">
        <w:t xml:space="preserve"> tax statistics are a valid method for estimating a point estimate of the utilisation </w:t>
      </w:r>
      <w:r>
        <w:t>rate</w:t>
      </w:r>
      <w:r w:rsidRPr="00856171">
        <w:t xml:space="preserve">. However, we consider it provides a less reliable estimate of the utilisation </w:t>
      </w:r>
      <w:r>
        <w:t>rate</w:t>
      </w:r>
      <w:r w:rsidRPr="00856171">
        <w:t xml:space="preserve"> than the equity ownership approach (see discussion under 'Equity ownership approach' above). This is because there are issues with the underlying taxation data. As explained above, we consider the</w:t>
      </w:r>
      <w:r>
        <w:t>re are issues with the</w:t>
      </w:r>
      <w:r w:rsidRPr="00856171">
        <w:t xml:space="preserve"> </w:t>
      </w:r>
      <w:r>
        <w:t xml:space="preserve">underlying taxation data </w:t>
      </w:r>
      <w:r w:rsidRPr="00856171">
        <w:t xml:space="preserve">and experts </w:t>
      </w:r>
      <w:r>
        <w:t>consider it to be unreliable</w:t>
      </w:r>
      <w:r w:rsidRPr="00856171">
        <w:t>.</w:t>
      </w:r>
      <w:r w:rsidRPr="00F17E04">
        <w:t xml:space="preserve"> </w:t>
      </w:r>
      <w:r w:rsidR="00651429">
        <w:t xml:space="preserve">We note that Frontier has submitted that gamma can be estimate reliably from tax </w:t>
      </w:r>
      <w:r w:rsidR="00651429">
        <w:lastRenderedPageBreak/>
        <w:t>statistics as the ratio of credits redeemed to credit credits created.</w:t>
      </w:r>
      <w:r w:rsidR="0010651C">
        <w:rPr>
          <w:rStyle w:val="FootnoteReference"/>
        </w:rPr>
        <w:footnoteReference w:id="149"/>
      </w:r>
      <w:r w:rsidR="00651429">
        <w:t xml:space="preserve"> However, after </w:t>
      </w:r>
      <w:r w:rsidR="006418BE">
        <w:t>reviewing</w:t>
      </w:r>
      <w:r w:rsidR="00651429">
        <w:t xml:space="preserve"> the Hathaway paper and </w:t>
      </w:r>
      <w:r w:rsidR="00447949">
        <w:t xml:space="preserve">Lally's </w:t>
      </w:r>
      <w:r w:rsidR="00651429">
        <w:t xml:space="preserve">advice, we are not convinced. This is further discussed in section </w:t>
      </w:r>
      <w:r w:rsidR="00651429">
        <w:fldChar w:fldCharType="begin"/>
      </w:r>
      <w:r w:rsidR="00651429">
        <w:instrText xml:space="preserve"> REF _Ref402179420 \r \h </w:instrText>
      </w:r>
      <w:r w:rsidR="00651429">
        <w:fldChar w:fldCharType="separate"/>
      </w:r>
      <w:r w:rsidR="00812A72">
        <w:t>A.13</w:t>
      </w:r>
      <w:r w:rsidR="00651429">
        <w:fldChar w:fldCharType="end"/>
      </w:r>
      <w:r w:rsidR="00651429">
        <w:t>.</w:t>
      </w:r>
    </w:p>
    <w:p w:rsidR="00C52695" w:rsidRPr="00856171" w:rsidRDefault="00C52695" w:rsidP="00C52695">
      <w:r>
        <w:t>Nevertheless, h</w:t>
      </w:r>
      <w:r w:rsidRPr="00F17E04">
        <w:t>aving regard to the potential data limitations and alternate estimates, the evidence from tax statistics is not inconsistent with the evidence from the equity ownership approach. We also note</w:t>
      </w:r>
      <w:r>
        <w:t xml:space="preserve"> that </w:t>
      </w:r>
      <w:r w:rsidRPr="00F17E04">
        <w:t>an estimate of gamma of approximately 0.4 is obtained when combining a utilisation rate of 0.48 (</w:t>
      </w:r>
      <w:r>
        <w:t>consistent with</w:t>
      </w:r>
      <w:r w:rsidRPr="00F17E04">
        <w:t xml:space="preserve"> FAB data) with Lally's preferred estimate of the distribution rate for a benchmark efficient entity of 0.83</w:t>
      </w:r>
      <w:r>
        <w:t>.</w:t>
      </w:r>
    </w:p>
    <w:p w:rsidR="00C52695" w:rsidRDefault="00C52695" w:rsidP="00C52695">
      <w:r w:rsidRPr="00883125">
        <w:t xml:space="preserve">We discuss our revised </w:t>
      </w:r>
      <w:r>
        <w:t xml:space="preserve">(post-Guideline) </w:t>
      </w:r>
      <w:r w:rsidRPr="00883125">
        <w:t xml:space="preserve">consideration of tax statistics in more detail in section </w:t>
      </w:r>
      <w:r w:rsidRPr="00883125">
        <w:fldChar w:fldCharType="begin"/>
      </w:r>
      <w:r w:rsidRPr="00883125">
        <w:instrText xml:space="preserve"> REF _Ref402179420 \r \h </w:instrText>
      </w:r>
      <w:r w:rsidRPr="00883125">
        <w:fldChar w:fldCharType="separate"/>
      </w:r>
      <w:r w:rsidR="00812A72">
        <w:t>A.13</w:t>
      </w:r>
      <w:r w:rsidRPr="00883125">
        <w:fldChar w:fldCharType="end"/>
      </w:r>
      <w:r w:rsidRPr="00883125">
        <w:t>.</w:t>
      </w:r>
    </w:p>
    <w:p w:rsidR="00C52695" w:rsidRPr="00856171" w:rsidRDefault="00C52695" w:rsidP="00C52695">
      <w:pPr>
        <w:pStyle w:val="HeadingBoldItalic"/>
      </w:pPr>
      <w:bookmarkStart w:id="116" w:name="_Toc456614287"/>
      <w:bookmarkStart w:id="117" w:name="_Toc481056659"/>
      <w:bookmarkStart w:id="118" w:name="_Toc481061453"/>
      <w:r>
        <w:t>Implied market value studies</w:t>
      </w:r>
      <w:bookmarkEnd w:id="116"/>
      <w:bookmarkEnd w:id="117"/>
      <w:bookmarkEnd w:id="118"/>
    </w:p>
    <w:p w:rsidR="00C52695" w:rsidRPr="00883125" w:rsidRDefault="00C52695" w:rsidP="00C52695">
      <w:pPr>
        <w:numPr>
          <w:ilvl w:val="0"/>
          <w:numId w:val="24"/>
        </w:numPr>
      </w:pPr>
      <w:r w:rsidRPr="00883125">
        <w:t xml:space="preserve">Implied market value studies seek to infer from market prices the value of distributed imputation credits. A wide range of such studies have been conducted over time, employing a variety of techniques. A common type of implied market value study are dividend drop off studies. These studies compare the price of a security with and without the entitlement to a dividend. Econometric techniques are then used to infer the value of the imputation credits attached to these dividends. We discuss the different types of implied market value study in section </w:t>
      </w:r>
      <w:r w:rsidRPr="00883125">
        <w:fldChar w:fldCharType="begin"/>
      </w:r>
      <w:r w:rsidRPr="00883125">
        <w:instrText xml:space="preserve"> REF _Ref402791521 \r \h </w:instrText>
      </w:r>
      <w:r w:rsidRPr="00883125">
        <w:fldChar w:fldCharType="separate"/>
      </w:r>
      <w:r w:rsidR="00812A72">
        <w:t>A.15.1</w:t>
      </w:r>
      <w:r w:rsidRPr="00883125">
        <w:fldChar w:fldCharType="end"/>
      </w:r>
      <w:r w:rsidRPr="00883125">
        <w:t>.</w:t>
      </w:r>
    </w:p>
    <w:p w:rsidR="00C52695" w:rsidRPr="00883125" w:rsidRDefault="00C52695" w:rsidP="00C52695">
      <w:pPr>
        <w:numPr>
          <w:ilvl w:val="0"/>
          <w:numId w:val="24"/>
        </w:numPr>
      </w:pPr>
      <w:r w:rsidRPr="00883125">
        <w:t>We consider that the equity ownership approach and tax statistics provide more direct and simpler evidence on the utilisation rate than implied market value studies. Handley supported this view; he noted that dividend drop off studies are the most relevant class of implied market value study, but considered them less important to estimating the utilisation rate than the equity ownership approach and tax statistics.</w:t>
      </w:r>
      <w:r w:rsidRPr="00883125">
        <w:rPr>
          <w:rStyle w:val="FootnoteReference"/>
        </w:rPr>
        <w:footnoteReference w:id="150"/>
      </w:r>
      <w:r w:rsidRPr="00883125">
        <w:t xml:space="preserve"> Lally identified a number of issues with using market prices to estimate the utilisation rate and, therefore, preferred the equity ownership approach.</w:t>
      </w:r>
      <w:r w:rsidRPr="00883125">
        <w:rPr>
          <w:rStyle w:val="FootnoteReference"/>
        </w:rPr>
        <w:footnoteReference w:id="151"/>
      </w:r>
      <w:r>
        <w:t xml:space="preserve"> Lally preferred both the equity ownership approach and tax statistics to dividend drop off studies.</w:t>
      </w:r>
      <w:r>
        <w:rPr>
          <w:rStyle w:val="FootnoteReference"/>
        </w:rPr>
        <w:footnoteReference w:id="152"/>
      </w:r>
    </w:p>
    <w:p w:rsidR="00C52695" w:rsidRPr="00883125" w:rsidRDefault="00C52695" w:rsidP="00C52695">
      <w:pPr>
        <w:numPr>
          <w:ilvl w:val="0"/>
          <w:numId w:val="24"/>
        </w:numPr>
      </w:pPr>
      <w:r w:rsidRPr="00883125">
        <w:t>We also consider that these studies can be subject to a number of limitations. The limitations of implied market value studies can include:</w:t>
      </w:r>
    </w:p>
    <w:p w:rsidR="00C52695" w:rsidRPr="00883125" w:rsidRDefault="00C52695" w:rsidP="00C52695">
      <w:pPr>
        <w:pStyle w:val="AERbulletlistfirststyle"/>
      </w:pPr>
      <w:r w:rsidRPr="00883125">
        <w:t>These studies can produce nonsensical estimates of the utilisation rate; that is, greater than one or less than zero.</w:t>
      </w:r>
    </w:p>
    <w:p w:rsidR="00C52695" w:rsidRPr="00883125" w:rsidRDefault="00C52695" w:rsidP="00C52695">
      <w:pPr>
        <w:pStyle w:val="AERbulletlistfirststyle"/>
      </w:pPr>
      <w:r w:rsidRPr="00883125">
        <w:lastRenderedPageBreak/>
        <w:t xml:space="preserve">The results of these studies can be influenced by factors, such as differential personal taxes and risk, which are not relevant to the utilisation rate. The utilisation rate should be estimated on a </w:t>
      </w:r>
      <w:r>
        <w:t xml:space="preserve">post-company </w:t>
      </w:r>
      <w:r w:rsidRPr="00883125">
        <w:t>pre-personal tax basis consistent with the allowed rate of return parameters and the post (corporate) tax framework in the NER/NGR.</w:t>
      </w:r>
    </w:p>
    <w:p w:rsidR="00C52695" w:rsidRPr="001D37D5" w:rsidRDefault="00C52695" w:rsidP="00C52695">
      <w:pPr>
        <w:pStyle w:val="AERbulletlistfirststyle"/>
      </w:pPr>
      <w:r w:rsidRPr="00883125">
        <w:t>The results of these studies might not be reflective of the value of imputation credits to investors in the market as a whole. For instance, in dividend drop off studies the value of imputation credits is determined by the marginal investor that trade around the ex-dividend date.</w:t>
      </w:r>
      <w:r w:rsidRPr="001D37D5">
        <w:rPr>
          <w:rStyle w:val="FootnoteReference"/>
        </w:rPr>
        <w:footnoteReference w:id="153"/>
      </w:r>
      <w:r w:rsidRPr="001D37D5">
        <w:t xml:space="preserve"> There is no reason to assume this reflects the value that long term investors who provide capital to a benchmark efficient entity place on imputation credits in aggregate. There is also no reason to assume this value will show what proportion of company tax is a prepayment of personal tax.</w:t>
      </w:r>
      <w:r w:rsidRPr="001D37D5">
        <w:rPr>
          <w:rStyle w:val="FootnoteReference"/>
        </w:rPr>
        <w:footnoteReference w:id="154"/>
      </w:r>
    </w:p>
    <w:p w:rsidR="00C52695" w:rsidRPr="00883125" w:rsidRDefault="00C52695" w:rsidP="00C52695">
      <w:pPr>
        <w:pStyle w:val="AERbulletlistfirststyle"/>
      </w:pPr>
      <w:r w:rsidRPr="00883125">
        <w:t>These studies can be data intensive and employ complex and sometimes problematic estimation methodologies.</w:t>
      </w:r>
    </w:p>
    <w:p w:rsidR="00C52695" w:rsidRPr="00883125" w:rsidRDefault="00C52695" w:rsidP="00C52695">
      <w:pPr>
        <w:pStyle w:val="AERbulletlistfirststyle"/>
      </w:pPr>
      <w:r w:rsidRPr="00883125">
        <w:t>Regarding dividend drop off studies, it is only the value of the combined package of dividends and imputation credits that can be observed in the market. However, there is no consensus among experts on how to separate the value to the market of dividends from the value to the market of imputation credits (this is referred to as the 'allocation problem').</w:t>
      </w:r>
    </w:p>
    <w:p w:rsidR="00DA5171" w:rsidRDefault="00AA7999" w:rsidP="00DA5171">
      <w:pPr>
        <w:numPr>
          <w:ilvl w:val="0"/>
          <w:numId w:val="24"/>
        </w:numPr>
      </w:pPr>
      <w:r>
        <w:t>Lally</w:t>
      </w:r>
      <w:r w:rsidR="00682278">
        <w:t>,</w:t>
      </w:r>
      <w:r>
        <w:t xml:space="preserve"> in his </w:t>
      </w:r>
      <w:r w:rsidR="00DA5171">
        <w:t xml:space="preserve">most </w:t>
      </w:r>
      <w:r>
        <w:t xml:space="preserve">recent </w:t>
      </w:r>
      <w:r w:rsidR="00682278">
        <w:t>report,</w:t>
      </w:r>
      <w:r>
        <w:t xml:space="preserve"> has outlined eleven concerns with the SFG dividend drop off study and many of these concerns </w:t>
      </w:r>
      <w:r w:rsidR="00254FC7">
        <w:t>generally apply to all dividend-</w:t>
      </w:r>
      <w:r>
        <w:t>drop off studies.</w:t>
      </w:r>
      <w:r>
        <w:rPr>
          <w:rStyle w:val="FootnoteReference"/>
        </w:rPr>
        <w:footnoteReference w:id="155"/>
      </w:r>
    </w:p>
    <w:p w:rsidR="00C52695" w:rsidRDefault="00C52695" w:rsidP="00C52695">
      <w:pPr>
        <w:numPr>
          <w:ilvl w:val="0"/>
          <w:numId w:val="24"/>
        </w:numPr>
      </w:pPr>
      <w:r w:rsidRPr="00883125">
        <w:t xml:space="preserve">The limitations of dividend drop off studies are discussed in more detail in section </w:t>
      </w:r>
      <w:r>
        <w:fldChar w:fldCharType="begin"/>
      </w:r>
      <w:r>
        <w:instrText xml:space="preserve"> REF _Ref451242641 \r \h </w:instrText>
      </w:r>
      <w:r>
        <w:fldChar w:fldCharType="separate"/>
      </w:r>
      <w:r w:rsidR="00812A72">
        <w:t>A.15</w:t>
      </w:r>
      <w:r>
        <w:fldChar w:fldCharType="end"/>
      </w:r>
      <w:r w:rsidRPr="00883125">
        <w:t>.</w:t>
      </w:r>
      <w:r w:rsidRPr="00375E4D">
        <w:t xml:space="preserve"> </w:t>
      </w:r>
      <w:r>
        <w:t>However, we note here the following statement from Lally:</w:t>
      </w:r>
      <w:r>
        <w:rPr>
          <w:rStyle w:val="FootnoteReference"/>
        </w:rPr>
        <w:footnoteReference w:id="156"/>
      </w:r>
    </w:p>
    <w:p w:rsidR="00C52695" w:rsidRPr="00883125" w:rsidRDefault="00C52695" w:rsidP="00C52695">
      <w:pPr>
        <w:pStyle w:val="AERquote"/>
      </w:pPr>
      <w:r w:rsidRPr="00375E4D">
        <w:t xml:space="preserve">In respect of dividend drop-off studies, my views on the merits of this approach appear in Lally (2013, section 3.5) and they are highly adverse.  In particular, the results from such studies are subject to considerable statistical uncertainty, to the tax positions and transactions costs incurred by arbitrageurs who may be quite unrepresentative of investors in general, the contentious question of which model to use, data filtering rules, deletion of outliers, the choice of the “tuning constant” in robust regression models, the wide divergence in results from other types of studies using market evidence, the wide range of evidence on anomalous behaviour around </w:t>
      </w:r>
      <w:r w:rsidRPr="00375E4D">
        <w:lastRenderedPageBreak/>
        <w:t>ex-days, and the need to correct the estimated coefficient on imputation credits for the difference in the tax rate on capital gains and dividends.</w:t>
      </w:r>
    </w:p>
    <w:p w:rsidR="00C52695" w:rsidRPr="00883125" w:rsidRDefault="00C52695" w:rsidP="00C52695">
      <w:pPr>
        <w:numPr>
          <w:ilvl w:val="0"/>
          <w:numId w:val="24"/>
        </w:numPr>
      </w:pPr>
      <w:r>
        <w:t>I</w:t>
      </w:r>
      <w:r w:rsidRPr="00883125">
        <w:t xml:space="preserve">n section </w:t>
      </w:r>
      <w:r w:rsidRPr="00883125">
        <w:fldChar w:fldCharType="begin"/>
      </w:r>
      <w:r w:rsidRPr="00883125">
        <w:instrText xml:space="preserve"> REF _Ref403482459 \r \h </w:instrText>
      </w:r>
      <w:r w:rsidRPr="00883125">
        <w:fldChar w:fldCharType="separate"/>
      </w:r>
      <w:r w:rsidR="00812A72">
        <w:t>A.15.2</w:t>
      </w:r>
      <w:r w:rsidRPr="00883125">
        <w:fldChar w:fldCharType="end"/>
      </w:r>
      <w:r>
        <w:t>, w</w:t>
      </w:r>
      <w:r w:rsidRPr="00883125">
        <w:t xml:space="preserve">e summarise the available </w:t>
      </w:r>
      <w:r>
        <w:t xml:space="preserve">implied market value </w:t>
      </w:r>
      <w:r w:rsidRPr="00883125">
        <w:t>studies and their results. Opinion on the merits of the various studies differs:</w:t>
      </w:r>
    </w:p>
    <w:p w:rsidR="00C52695" w:rsidRPr="001D37D5" w:rsidRDefault="00C52695" w:rsidP="00C52695">
      <w:pPr>
        <w:pStyle w:val="AERbulletlistfirststyle"/>
      </w:pPr>
      <w:r w:rsidRPr="00883125">
        <w:t>Gray (for SFG) considered that implied market value studies should be relied upon exclusively when estimating the (after-personal-tax and after-personal-costs) utilisation rate. Moreover, he considered that dividend drop off studies should be preferred to alternative market studies. In Gray's view, there is no reasonable basis for adopting an estimate from dividend drop off analysis above the 0.35 estimate from SFG's study.</w:t>
      </w:r>
      <w:r w:rsidRPr="001D37D5">
        <w:rPr>
          <w:rStyle w:val="FootnoteReference"/>
        </w:rPr>
        <w:footnoteReference w:id="157"/>
      </w:r>
    </w:p>
    <w:p w:rsidR="00C52695" w:rsidRPr="001D37D5" w:rsidRDefault="00C52695" w:rsidP="00C52695">
      <w:pPr>
        <w:pStyle w:val="AERbulletlistfirststyle"/>
      </w:pPr>
      <w:r w:rsidRPr="00883125">
        <w:t>The Economic Regulation Authority of Western Australia (ERA) conducted its own dividend drop off study and concluded that a reasonable estimate is between 0.35 and 0.55.</w:t>
      </w:r>
      <w:r w:rsidRPr="001D37D5">
        <w:rPr>
          <w:rStyle w:val="FootnoteReference"/>
        </w:rPr>
        <w:footnoteReference w:id="158"/>
      </w:r>
    </w:p>
    <w:p w:rsidR="00C52695" w:rsidRPr="001D37D5" w:rsidRDefault="00C52695" w:rsidP="00C52695">
      <w:pPr>
        <w:pStyle w:val="AERbulletlistfirststyle"/>
      </w:pPr>
      <w:r w:rsidRPr="00883125">
        <w:t>Lally concurred with the view that implied market value studies 'warrant low weight', but suggested that some studies are more useful than others based on their characteristics.</w:t>
      </w:r>
      <w:r w:rsidRPr="001D37D5">
        <w:rPr>
          <w:rStyle w:val="FootnoteReference"/>
        </w:rPr>
        <w:footnoteReference w:id="159"/>
      </w:r>
      <w:r w:rsidRPr="001D37D5">
        <w:t xml:space="preserve"> Lally also raised a number of issues in relation to SFG's dividend drop off study.</w:t>
      </w:r>
      <w:r w:rsidRPr="001D37D5">
        <w:rPr>
          <w:rStyle w:val="FootnoteReference"/>
        </w:rPr>
        <w:footnoteReference w:id="160"/>
      </w:r>
      <w:r w:rsidRPr="001D37D5">
        <w:t xml:space="preserve"> Lally </w:t>
      </w:r>
      <w:r w:rsidR="00682278">
        <w:t>considers</w:t>
      </w:r>
      <w:r w:rsidRPr="001D37D5">
        <w:t xml:space="preserve"> that 'minimal weight' should be placed on dividend drop off studies.</w:t>
      </w:r>
      <w:r w:rsidRPr="001D37D5">
        <w:rPr>
          <w:rStyle w:val="FootnoteReference"/>
        </w:rPr>
        <w:footnoteReference w:id="161"/>
      </w:r>
    </w:p>
    <w:p w:rsidR="00C52695" w:rsidRPr="001D37D5" w:rsidRDefault="00C52695" w:rsidP="00C52695">
      <w:pPr>
        <w:pStyle w:val="AERbulletlistfirststyle"/>
      </w:pPr>
      <w:r w:rsidRPr="00883125">
        <w:t>McKenzie and Partington considered that there is no obvious manner in which to weigh the results from various studies based on their characteristics. They observed that a simple average of the results from a reasonably comprehensive sample of studies suggests an estimate of the utilisation rate of 0.53. They also noted that their own studies suggest a significantly higher estimate of 0.83.</w:t>
      </w:r>
      <w:r w:rsidRPr="001D37D5">
        <w:rPr>
          <w:rStyle w:val="FootnoteReference"/>
        </w:rPr>
        <w:footnoteReference w:id="162"/>
      </w:r>
    </w:p>
    <w:p w:rsidR="00C52695" w:rsidRPr="001D37D5" w:rsidRDefault="00C52695" w:rsidP="00C52695">
      <w:pPr>
        <w:pStyle w:val="AERbulletlistfirststyle"/>
      </w:pPr>
      <w:r w:rsidRPr="00883125">
        <w:t>Gray (for Frontier) expressed concerns that the reintroduction of pre-2000 and low quality studies is an error, and that it is also an error to assume all market value studies are of uniform relevance and quality.</w:t>
      </w:r>
      <w:r w:rsidRPr="001D37D5">
        <w:rPr>
          <w:rStyle w:val="FootnoteReference"/>
        </w:rPr>
        <w:footnoteReference w:id="163"/>
      </w:r>
    </w:p>
    <w:p w:rsidR="00C52695" w:rsidRPr="005764F6" w:rsidRDefault="00C52695" w:rsidP="00C52695">
      <w:pPr>
        <w:rPr>
          <w:rStyle w:val="AERbody"/>
        </w:rPr>
      </w:pPr>
      <w:r w:rsidRPr="005764F6">
        <w:rPr>
          <w:rStyle w:val="AERbody"/>
        </w:rPr>
        <w:t xml:space="preserve">A further issue regarding implied market value studies is the appropriate interpretation of their results. Handley and Lally both advised that in the rate of return framework investors are assumed to value one dollar of dividends at one dollar (on a </w:t>
      </w:r>
      <w:r>
        <w:rPr>
          <w:rStyle w:val="AERbody"/>
        </w:rPr>
        <w:t xml:space="preserve">post-company </w:t>
      </w:r>
      <w:r w:rsidRPr="005764F6">
        <w:rPr>
          <w:rStyle w:val="AERbody"/>
        </w:rPr>
        <w:t xml:space="preserve">pre-personal-tax basis). This is certainly true of how the MRP is estimated, where the face value of </w:t>
      </w:r>
      <w:r w:rsidRPr="005764F6">
        <w:rPr>
          <w:rStyle w:val="AERbody"/>
        </w:rPr>
        <w:lastRenderedPageBreak/>
        <w:t>historically distributed dividends and historical capital gains are used. However, the results of implied market value studies can reflect certain factors that suggest that investors value one dollar of dividends at less than one dollar (such as differential personal taxes on dividends and capital gains). Moreover, any such factors will affect these studies' results for investors' valuation of imputation credits. Handley and Lally advised that the desired estimate of the utilisation rate should exclude the effect of these factors.</w:t>
      </w:r>
      <w:r w:rsidRPr="00CC0A37">
        <w:rPr>
          <w:rStyle w:val="FootnoteReference"/>
        </w:rPr>
        <w:footnoteReference w:id="164"/>
      </w:r>
      <w:r w:rsidRPr="005764F6">
        <w:rPr>
          <w:rStyle w:val="AERbody"/>
        </w:rPr>
        <w:t xml:space="preserve"> To remove the effect, they advised that the estimate of the utilisation rate from a given study can be divided by investors' estimated valuation of dividends from the same study.</w:t>
      </w:r>
      <w:r w:rsidRPr="00CC0A37">
        <w:rPr>
          <w:rStyle w:val="FootnoteReference"/>
        </w:rPr>
        <w:footnoteReference w:id="165"/>
      </w:r>
      <w:r w:rsidRPr="005764F6">
        <w:rPr>
          <w:rStyle w:val="AERbody"/>
        </w:rPr>
        <w:t xml:space="preserve"> Therefore, Handley and Lally advised that the 0.35 estimate from SFG's dividend drop off study should in fact be interpreted as an estimate of around 0.4.</w:t>
      </w:r>
    </w:p>
    <w:p w:rsidR="00C52695" w:rsidRDefault="00C52695" w:rsidP="00C52695">
      <w:pPr>
        <w:numPr>
          <w:ilvl w:val="0"/>
          <w:numId w:val="24"/>
        </w:numPr>
      </w:pPr>
      <w:r>
        <w:t>In light of this, we consider</w:t>
      </w:r>
      <w:r w:rsidRPr="00883125">
        <w:t xml:space="preserve"> </w:t>
      </w:r>
      <w:r>
        <w:t>implied market value</w:t>
      </w:r>
      <w:r w:rsidRPr="00883125">
        <w:t xml:space="preserve"> studies</w:t>
      </w:r>
      <w:r>
        <w:t>, if they are to be used at all,</w:t>
      </w:r>
      <w:r w:rsidRPr="00883125">
        <w:t xml:space="preserve"> need to be adjusted for the incorrect estimates of the </w:t>
      </w:r>
      <w:r>
        <w:t xml:space="preserve">post-company pre-personal tax </w:t>
      </w:r>
      <w:r w:rsidRPr="00883125">
        <w:t>value of cash dividends which would expect to also result in an incorrect estimate of the value of imputation credits. This is likely correcting for the effect on the observed drop of</w:t>
      </w:r>
      <w:r>
        <w:t>f</w:t>
      </w:r>
      <w:r w:rsidRPr="00883125">
        <w:t xml:space="preserve"> ratio of differential personal taxes between income and capital gains</w:t>
      </w:r>
      <w:r>
        <w:t xml:space="preserve"> (see section </w:t>
      </w:r>
      <w:r>
        <w:fldChar w:fldCharType="begin"/>
      </w:r>
      <w:r>
        <w:instrText xml:space="preserve"> REF _Ref435171205 \r \h </w:instrText>
      </w:r>
      <w:r>
        <w:fldChar w:fldCharType="separate"/>
      </w:r>
      <w:r w:rsidR="00812A72">
        <w:t>A.15.3</w:t>
      </w:r>
      <w:r>
        <w:fldChar w:fldCharType="end"/>
      </w:r>
      <w:r>
        <w:t>)</w:t>
      </w:r>
      <w:r w:rsidRPr="00883125">
        <w:t>. This limitation does not apply to other market parameters in the allowed rate of return framework.</w:t>
      </w:r>
      <w:r>
        <w:t xml:space="preserve"> We also consider that, even when adjusted, we should place limited reliance on estimates of the utilisation rate from implied market value studies because of </w:t>
      </w:r>
      <w:r w:rsidRPr="00883125">
        <w:t>residual concerns about these studies and what they are measuring.</w:t>
      </w:r>
    </w:p>
    <w:p w:rsidR="00C52695" w:rsidRPr="00883125" w:rsidRDefault="00C52695" w:rsidP="00C52695">
      <w:pPr>
        <w:numPr>
          <w:ilvl w:val="0"/>
          <w:numId w:val="24"/>
        </w:numPr>
      </w:pPr>
      <w:r w:rsidRPr="00883125">
        <w:t>In light of the differing views on these studies and the range of estimates they produce, we consider that implied market value studies provide limited guidance. In the Guideline, we considered that implied market value studies supported an estimate of the utilisation rate between 0 and 0.5. This range was determined with regard to a range of studies, with higher regard given to those studies that:</w:t>
      </w:r>
    </w:p>
    <w:p w:rsidR="00C52695" w:rsidRPr="00883125" w:rsidRDefault="00C52695" w:rsidP="00C52695">
      <w:pPr>
        <w:pStyle w:val="AERbulletlistfirststyle"/>
      </w:pPr>
      <w:r w:rsidRPr="00883125">
        <w:t>used longer data periods</w:t>
      </w:r>
    </w:p>
    <w:p w:rsidR="00C52695" w:rsidRPr="00883125" w:rsidRDefault="00C52695" w:rsidP="00C52695">
      <w:pPr>
        <w:pStyle w:val="AERbulletlistfirststyle"/>
      </w:pPr>
      <w:r w:rsidRPr="00883125">
        <w:t>used data since 2000, when the change in tax law entitled eligible investors to a refund of credits that exceeded their tax liability</w:t>
      </w:r>
    </w:p>
    <w:p w:rsidR="00C52695" w:rsidRPr="00883125" w:rsidRDefault="00C52695" w:rsidP="00C52695">
      <w:pPr>
        <w:pStyle w:val="AERbulletlistfirststyle"/>
      </w:pPr>
      <w:r w:rsidRPr="00883125">
        <w:t>encompassed the breadth of the market instead of just selected firms, and</w:t>
      </w:r>
    </w:p>
    <w:p w:rsidR="00C52695" w:rsidRPr="00883125" w:rsidRDefault="00C52695" w:rsidP="00C52695">
      <w:pPr>
        <w:pStyle w:val="AERbulletlistfirststyle"/>
      </w:pPr>
      <w:r w:rsidRPr="00883125">
        <w:t>appeared to use more reasonable and robust econometric treatments.</w:t>
      </w:r>
    </w:p>
    <w:p w:rsidR="00C52695" w:rsidRPr="00883125" w:rsidRDefault="00C52695" w:rsidP="00C52695">
      <w:pPr>
        <w:numPr>
          <w:ilvl w:val="0"/>
          <w:numId w:val="24"/>
        </w:numPr>
      </w:pPr>
      <w:r w:rsidRPr="00883125">
        <w:t xml:space="preserve">However, in this </w:t>
      </w:r>
      <w:r w:rsidR="005F224E">
        <w:t xml:space="preserve">final </w:t>
      </w:r>
      <w:r w:rsidRPr="00883125">
        <w:t xml:space="preserve">decision we recognise that experts advocate both broader and narrower assessments of the evidence from implied market value studies. McKenzie and </w:t>
      </w:r>
      <w:r w:rsidRPr="00883125">
        <w:lastRenderedPageBreak/>
        <w:t>Partington considered it reasonable to have regard to a range of studies, including those that produced estimates above 0.5.</w:t>
      </w:r>
      <w:r w:rsidRPr="00883125">
        <w:rPr>
          <w:rStyle w:val="FootnoteReference"/>
        </w:rPr>
        <w:footnoteReference w:id="166"/>
      </w:r>
      <w:r w:rsidRPr="00883125">
        <w:t xml:space="preserve"> In Gray's view (for SFG), there is no reasonable basis for adopting an estimate from dividend drop off analysis above the 0.35 estimate from SFG's study.</w:t>
      </w:r>
      <w:r w:rsidRPr="00883125">
        <w:rPr>
          <w:rStyle w:val="FootnoteReference"/>
        </w:rPr>
        <w:footnoteReference w:id="167"/>
      </w:r>
      <w:r w:rsidRPr="00883125">
        <w:t xml:space="preserve"> It appears that Gray (for Frontier) continues to hold this view.</w:t>
      </w:r>
      <w:r w:rsidRPr="00883125">
        <w:rPr>
          <w:rStyle w:val="FootnoteReference"/>
        </w:rPr>
        <w:footnoteReference w:id="168"/>
      </w:r>
    </w:p>
    <w:p w:rsidR="00C52695" w:rsidRPr="00883125" w:rsidRDefault="00C52695" w:rsidP="00C52695">
      <w:pPr>
        <w:numPr>
          <w:ilvl w:val="0"/>
          <w:numId w:val="24"/>
        </w:numPr>
      </w:pPr>
      <w:r w:rsidRPr="00883125">
        <w:t xml:space="preserve">Ultimately, as discussed in section </w:t>
      </w:r>
      <w:r w:rsidRPr="00883125">
        <w:fldChar w:fldCharType="begin"/>
      </w:r>
      <w:r w:rsidRPr="00883125">
        <w:instrText xml:space="preserve"> REF _Ref414624721 \r \h </w:instrText>
      </w:r>
      <w:r w:rsidRPr="00883125">
        <w:fldChar w:fldCharType="separate"/>
      </w:r>
      <w:r w:rsidR="00812A72">
        <w:t>A.15.5</w:t>
      </w:r>
      <w:r w:rsidRPr="00883125">
        <w:fldChar w:fldCharType="end"/>
      </w:r>
      <w:r>
        <w:t>,</w:t>
      </w:r>
      <w:r w:rsidRPr="00883125">
        <w:t xml:space="preserve"> estimates from implied market value studies and the level of reliance we place on them (including SFG's dividend drop off study) do not give us cause to move from the estimate of the value of imputation credits that we determine with regard to evidence from the equity ownership approach and tax statistics. In response to Gray's comments (for Frontier) on our consideration of "pre-2000 and low-quality studies"</w:t>
      </w:r>
      <w:r w:rsidRPr="00883125">
        <w:rPr>
          <w:rStyle w:val="FootnoteReference"/>
        </w:rPr>
        <w:footnoteReference w:id="169"/>
      </w:r>
      <w:r>
        <w:t xml:space="preserve"> </w:t>
      </w:r>
      <w:r w:rsidRPr="00883125">
        <w:t>we note that our having regard to more studies since the Guideline, including those that use pre 2000 data and those that estimate a value for theta between 0.5 and 1, was not material to our decision to set gamma at 0.4, and that we have had particular regard to SFG's dividend drop of</w:t>
      </w:r>
      <w:r w:rsidR="00DD0283">
        <w:t>f study in making our decision.</w:t>
      </w:r>
    </w:p>
    <w:p w:rsidR="00C52695" w:rsidRDefault="00C52695" w:rsidP="00C52695">
      <w:r>
        <w:t>We discuss our consideration of implied market value studies in detail in section A.15.</w:t>
      </w:r>
    </w:p>
    <w:p w:rsidR="00C52695" w:rsidRPr="00C52695" w:rsidRDefault="00C52695" w:rsidP="00C52695">
      <w:pPr>
        <w:pStyle w:val="Heading3"/>
      </w:pPr>
      <w:bookmarkStart w:id="119" w:name="_Ref451240961"/>
      <w:bookmarkStart w:id="120" w:name="_Ref451816460"/>
      <w:bookmarkStart w:id="121" w:name="_Toc451842244"/>
      <w:bookmarkStart w:id="122" w:name="_Toc451938300"/>
      <w:bookmarkStart w:id="123" w:name="_Toc456614288"/>
      <w:bookmarkStart w:id="124" w:name="_Toc462823306"/>
      <w:bookmarkStart w:id="125" w:name="_Toc481061454"/>
      <w:r>
        <w:t>Response to submissions by stakeholders</w:t>
      </w:r>
      <w:bookmarkEnd w:id="119"/>
      <w:bookmarkEnd w:id="120"/>
      <w:bookmarkEnd w:id="121"/>
      <w:bookmarkEnd w:id="122"/>
      <w:bookmarkEnd w:id="123"/>
      <w:bookmarkEnd w:id="124"/>
      <w:bookmarkEnd w:id="125"/>
    </w:p>
    <w:p w:rsidR="00C52695" w:rsidRDefault="00C52695" w:rsidP="00C52695">
      <w:r>
        <w:t xml:space="preserve">In section </w:t>
      </w:r>
      <w:r>
        <w:fldChar w:fldCharType="begin"/>
      </w:r>
      <w:r>
        <w:instrText xml:space="preserve"> REF _Ref415070393 \r \h </w:instrText>
      </w:r>
      <w:r>
        <w:fldChar w:fldCharType="separate"/>
      </w:r>
      <w:r w:rsidR="00812A72">
        <w:t>A.4</w:t>
      </w:r>
      <w:r>
        <w:fldChar w:fldCharType="end"/>
      </w:r>
      <w:r>
        <w:t xml:space="preserve">, we set out the key issues raised by </w:t>
      </w:r>
      <w:r w:rsidR="005F224E">
        <w:t>AusNet Services'</w:t>
      </w:r>
      <w:r>
        <w:t xml:space="preserve">, as well as the key issues raised by other service providers we have assessed recently (post-Guideline). The key issues raised are broadly consistent across the service providers. </w:t>
      </w:r>
    </w:p>
    <w:p w:rsidR="00C52695" w:rsidRPr="00E43EA2" w:rsidRDefault="00C52695" w:rsidP="00C52695">
      <w:pPr>
        <w:pStyle w:val="ListParagraph"/>
        <w:numPr>
          <w:ilvl w:val="0"/>
          <w:numId w:val="24"/>
        </w:numPr>
      </w:pPr>
      <w:r w:rsidRPr="00E43EA2">
        <w:fldChar w:fldCharType="begin"/>
      </w:r>
      <w:r w:rsidRPr="00E43EA2">
        <w:instrText xml:space="preserve"> REF _Ref450761546 \h </w:instrText>
      </w:r>
      <w:r w:rsidRPr="00E43EA2">
        <w:fldChar w:fldCharType="separate"/>
      </w:r>
      <w:r w:rsidR="00812A72">
        <w:t xml:space="preserve">Table </w:t>
      </w:r>
      <w:r w:rsidR="00812A72">
        <w:rPr>
          <w:noProof/>
        </w:rPr>
        <w:t>4</w:t>
      </w:r>
      <w:r w:rsidR="00812A72" w:rsidRPr="00856171">
        <w:noBreakHyphen/>
      </w:r>
      <w:r w:rsidR="00812A72">
        <w:rPr>
          <w:noProof/>
        </w:rPr>
        <w:t>5</w:t>
      </w:r>
      <w:r w:rsidRPr="00E43EA2">
        <w:fldChar w:fldCharType="end"/>
      </w:r>
      <w:r w:rsidRPr="00E43EA2">
        <w:t xml:space="preserve"> sets out the key issues raised by</w:t>
      </w:r>
      <w:r>
        <w:t xml:space="preserve"> </w:t>
      </w:r>
      <w:r w:rsidR="005F224E">
        <w:t xml:space="preserve">AusNet Services' </w:t>
      </w:r>
      <w:r>
        <w:t>and other</w:t>
      </w:r>
      <w:r w:rsidRPr="00E43EA2">
        <w:t xml:space="preserve"> service providers in their recent proposals. We also provide a summary of our response and a reference</w:t>
      </w:r>
      <w:r w:rsidR="00DD0283">
        <w:t xml:space="preserve"> to our more detailed response.</w:t>
      </w:r>
    </w:p>
    <w:p w:rsidR="00C52695" w:rsidRPr="00856171" w:rsidRDefault="00C52695" w:rsidP="00C52695">
      <w:pPr>
        <w:pStyle w:val="Caption"/>
      </w:pPr>
      <w:bookmarkStart w:id="126" w:name="_Ref450761546"/>
      <w:r>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rsidRPr="00856171">
        <w:noBreakHyphen/>
      </w:r>
      <w:r w:rsidRPr="001D37D5">
        <w:fldChar w:fldCharType="begin"/>
      </w:r>
      <w:r>
        <w:instrText xml:space="preserve"> SEQ Table \* ARABIC \s 1 </w:instrText>
      </w:r>
      <w:r w:rsidRPr="001D37D5">
        <w:fldChar w:fldCharType="separate"/>
      </w:r>
      <w:r w:rsidR="00812A72">
        <w:rPr>
          <w:noProof/>
        </w:rPr>
        <w:t>5</w:t>
      </w:r>
      <w:r w:rsidRPr="001D37D5">
        <w:fldChar w:fldCharType="end"/>
      </w:r>
      <w:bookmarkEnd w:id="126"/>
      <w:r w:rsidRPr="00856171">
        <w:tab/>
        <w:t>Key issues raised by service providers</w:t>
      </w:r>
    </w:p>
    <w:tbl>
      <w:tblPr>
        <w:tblStyle w:val="AERtable-text0"/>
        <w:tblW w:w="0" w:type="auto"/>
        <w:tblLook w:val="04A0" w:firstRow="1" w:lastRow="0" w:firstColumn="1" w:lastColumn="0" w:noHBand="0" w:noVBand="1"/>
      </w:tblPr>
      <w:tblGrid>
        <w:gridCol w:w="3652"/>
        <w:gridCol w:w="4394"/>
        <w:gridCol w:w="851"/>
      </w:tblGrid>
      <w:tr w:rsidR="00C52695" w:rsidTr="006425B8">
        <w:trPr>
          <w:cnfStyle w:val="100000000000" w:firstRow="1" w:lastRow="0" w:firstColumn="0" w:lastColumn="0" w:oddVBand="0" w:evenVBand="0" w:oddHBand="0" w:evenHBand="0" w:firstRowFirstColumn="0" w:firstRowLastColumn="0" w:lastRowFirstColumn="0" w:lastRowLastColumn="0"/>
          <w:tblHeader/>
        </w:trPr>
        <w:tc>
          <w:tcPr>
            <w:tcW w:w="3652" w:type="dxa"/>
          </w:tcPr>
          <w:p w:rsidR="00C52695" w:rsidRPr="00C52695" w:rsidRDefault="00C52695" w:rsidP="00C52695">
            <w:r>
              <w:t>Issue</w:t>
            </w:r>
          </w:p>
        </w:tc>
        <w:tc>
          <w:tcPr>
            <w:tcW w:w="4394" w:type="dxa"/>
          </w:tcPr>
          <w:p w:rsidR="00C52695" w:rsidRPr="00C52695" w:rsidRDefault="00C52695" w:rsidP="00C52695">
            <w:r>
              <w:t>Summary of response</w:t>
            </w:r>
          </w:p>
        </w:tc>
        <w:tc>
          <w:tcPr>
            <w:tcW w:w="851" w:type="dxa"/>
          </w:tcPr>
          <w:p w:rsidR="00C52695" w:rsidRPr="00C52695" w:rsidRDefault="00C52695" w:rsidP="00C52695">
            <w:r>
              <w:t>S</w:t>
            </w:r>
            <w:r w:rsidRPr="00C52695">
              <w:t>ection</w:t>
            </w:r>
          </w:p>
        </w:tc>
      </w:tr>
      <w:tr w:rsidR="00C52695" w:rsidTr="006425B8">
        <w:tc>
          <w:tcPr>
            <w:tcW w:w="3652" w:type="dxa"/>
          </w:tcPr>
          <w:p w:rsidR="00C52695" w:rsidRPr="00C52695" w:rsidRDefault="00C52695" w:rsidP="00C52695">
            <w:pPr>
              <w:rPr>
                <w:rStyle w:val="Strong"/>
              </w:rPr>
            </w:pPr>
            <w:r w:rsidRPr="00E82D06">
              <w:rPr>
                <w:rStyle w:val="Strong"/>
              </w:rPr>
              <w:t xml:space="preserve">Conceptual </w:t>
            </w:r>
            <w:r w:rsidRPr="00C52695">
              <w:rPr>
                <w:rStyle w:val="Strong"/>
              </w:rPr>
              <w:t>framework</w:t>
            </w:r>
          </w:p>
        </w:tc>
        <w:tc>
          <w:tcPr>
            <w:tcW w:w="4394" w:type="dxa"/>
          </w:tcPr>
          <w:p w:rsidR="00C52695" w:rsidRDefault="00C52695" w:rsidP="00C52695"/>
        </w:tc>
        <w:tc>
          <w:tcPr>
            <w:tcW w:w="851" w:type="dxa"/>
          </w:tcPr>
          <w:p w:rsidR="00C52695" w:rsidRDefault="00C52695" w:rsidP="00C52695"/>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 xml:space="preserve">Our </w:t>
            </w:r>
            <w:r w:rsidRPr="00C52695">
              <w:t xml:space="preserve">conceptual approach to gamma, redefining it as the value of imputation credits that are available for redemption, is inconsistent with the concept of gamma in the Officer framework for the WACC and inconsistent with the requirements of the NGR/NER and the NGO/NEO. It is also inconsistent with the </w:t>
            </w:r>
            <w:r w:rsidRPr="00C52695">
              <w:lastRenderedPageBreak/>
              <w:t>objective of ensuring a market rate of return on equity.</w:t>
            </w:r>
            <w:r w:rsidRPr="00C52695">
              <w:rPr>
                <w:rStyle w:val="FootnoteReference"/>
              </w:rPr>
              <w:footnoteReference w:id="170"/>
            </w:r>
            <w:r w:rsidRPr="00C52695">
              <w:t xml:space="preserve"> Frontier considers that theta should be measured as value and not the utilisation of imputation credits.</w:t>
            </w:r>
            <w:r w:rsidRPr="00C52695">
              <w:rPr>
                <w:rStyle w:val="FootnoteReference"/>
              </w:rPr>
              <w:footnoteReference w:id="171"/>
            </w:r>
            <w:r w:rsidRPr="00C52695">
              <w:t xml:space="preserve"> Frontier considers that if gamma is set anything other than value of imputation credits to investors, investors will be either over or under compensated.</w:t>
            </w:r>
            <w:r w:rsidRPr="00C52695">
              <w:rPr>
                <w:rStyle w:val="FootnoteReference"/>
              </w:rPr>
              <w:footnoteReference w:id="172"/>
            </w:r>
          </w:p>
          <w:p w:rsidR="00C52695" w:rsidRPr="00C52695" w:rsidRDefault="00C52695" w:rsidP="00C52695">
            <w:r>
              <w:t xml:space="preserve">The </w:t>
            </w:r>
            <w:r w:rsidR="00C062AF">
              <w:t xml:space="preserve">Ausgrid </w:t>
            </w:r>
            <w:r>
              <w:t>Tribunal considered</w:t>
            </w:r>
            <w:r w:rsidRPr="00C52695">
              <w:t xml:space="preserve"> the equity ownership and tax statistics approaches to estimating the utilisation rate ignore factors which reduce the value of imputation credits to shareholders below the face value. As a result, it considered these approaches are inconsistent with a proper interpretation of the Officer framework.</w:t>
            </w:r>
            <w:r w:rsidRPr="00C52695">
              <w:rPr>
                <w:rStyle w:val="FootnoteReference"/>
              </w:rPr>
              <w:footnoteReference w:id="173"/>
            </w:r>
          </w:p>
        </w:tc>
        <w:tc>
          <w:tcPr>
            <w:tcW w:w="4394" w:type="dxa"/>
          </w:tcPr>
          <w:p w:rsidR="00C52695" w:rsidRPr="00C52695" w:rsidRDefault="00C52695" w:rsidP="00C52695">
            <w:r w:rsidRPr="00365D40">
              <w:lastRenderedPageBreak/>
              <w:t xml:space="preserve">We have not redefined gamma as the value of imputation credits available for redemption. Rather, our conceptual approach considers </w:t>
            </w:r>
            <w:r w:rsidRPr="00C52695">
              <w:t xml:space="preserve">imputation credits should be valued on a post-company tax basis, before the impact of personal taxes and transaction costs. This corresponds to valuing imputation credits utilised by eligible investors at their face value and is consistent with the Officer framework. Based </w:t>
            </w:r>
            <w:r w:rsidRPr="00C52695">
              <w:lastRenderedPageBreak/>
              <w:t xml:space="preserve">on this, we consider gamma to be equal to the product of the distribution rate and the utilisation rate to investors in the market per dollar of credits distributed (the 'utilisation rate'). </w:t>
            </w:r>
          </w:p>
          <w:p w:rsidR="00C52695" w:rsidRPr="00C52695" w:rsidRDefault="00C52695" w:rsidP="00C52695">
            <w:r>
              <w:t xml:space="preserve">The equity ownership approach and tax statistics are consistent with our conceptual approach. They value </w:t>
            </w:r>
            <w:r w:rsidRPr="00C52695">
              <w:t>imputation credits expected to be utilised (the utilisation rate) at full face value on a pre-personal tax and costs basis. Conversely, estimates of the utilisation rate from implied market value studies are influenced by different personal tax treatment of capital gains and dividend income.</w:t>
            </w:r>
          </w:p>
          <w:p w:rsidR="00C52695" w:rsidRPr="00C52695" w:rsidRDefault="00C52695" w:rsidP="00C52695">
            <w:r>
              <w:t>Also, v</w:t>
            </w:r>
            <w:r w:rsidRPr="00C52695">
              <w:t>aluing imputation credits at face value is consistent with how all inputs into the allowed rate of return are estimated.</w:t>
            </w:r>
          </w:p>
          <w:p w:rsidR="00C52695" w:rsidRPr="00C52695" w:rsidRDefault="00C52695" w:rsidP="00C52695">
            <w:r>
              <w:t>In regards to the 'factors', w</w:t>
            </w:r>
            <w:r w:rsidRPr="00C52695">
              <w:t>e have received advice from Handley on these factors. We consider such factors are either immaterial or should not be accounted for when estimating the properly defined utilisation rate.</w:t>
            </w:r>
          </w:p>
        </w:tc>
        <w:tc>
          <w:tcPr>
            <w:tcW w:w="851" w:type="dxa"/>
          </w:tcPr>
          <w:p w:rsidR="005E2393" w:rsidRDefault="00DC1EEF" w:rsidP="00C52695">
            <w:r>
              <w:lastRenderedPageBreak/>
              <w:fldChar w:fldCharType="begin"/>
            </w:r>
            <w:r>
              <w:instrText xml:space="preserve"> REF _Ref476564330 \r \h </w:instrText>
            </w:r>
            <w:r>
              <w:fldChar w:fldCharType="separate"/>
            </w:r>
            <w:r w:rsidR="00812A72">
              <w:t>4.1</w:t>
            </w:r>
            <w:r>
              <w:fldChar w:fldCharType="end"/>
            </w:r>
          </w:p>
          <w:p w:rsidR="00C52695" w:rsidRPr="00C52695" w:rsidRDefault="00C52695" w:rsidP="00C52695">
            <w:r w:rsidRPr="00C52695">
              <w:fldChar w:fldCharType="begin"/>
            </w:r>
            <w:r w:rsidRPr="00C52695">
              <w:instrText xml:space="preserve"> REF _Ref416802130 \r \h </w:instrText>
            </w:r>
            <w:r w:rsidRPr="00C52695">
              <w:fldChar w:fldCharType="separate"/>
            </w:r>
            <w:r w:rsidR="00812A72">
              <w:t>4.3.1</w:t>
            </w:r>
            <w:r w:rsidRPr="00C52695">
              <w:fldChar w:fldCharType="end"/>
            </w:r>
          </w:p>
          <w:p w:rsidR="00C52695" w:rsidRPr="00C52695" w:rsidRDefault="00C52695" w:rsidP="00C52695">
            <w:r w:rsidRPr="00C52695">
              <w:fldChar w:fldCharType="begin"/>
            </w:r>
            <w:r w:rsidRPr="00C52695">
              <w:instrText xml:space="preserve"> REF _Ref415144114 \r \h </w:instrText>
            </w:r>
            <w:r w:rsidRPr="00C52695">
              <w:fldChar w:fldCharType="separate"/>
            </w:r>
            <w:r w:rsidR="00812A72">
              <w:t>A.5</w:t>
            </w:r>
            <w:r w:rsidRPr="00C52695">
              <w:fldChar w:fldCharType="end"/>
            </w:r>
          </w:p>
          <w:p w:rsidR="00C52695" w:rsidRPr="00C52695" w:rsidRDefault="00C52695" w:rsidP="00C52695">
            <w:r w:rsidRPr="00C52695">
              <w:fldChar w:fldCharType="begin"/>
            </w:r>
            <w:r w:rsidRPr="00C52695">
              <w:instrText xml:space="preserve"> REF _Ref400965182 \r \h </w:instrText>
            </w:r>
            <w:r w:rsidRPr="00C52695">
              <w:fldChar w:fldCharType="separate"/>
            </w:r>
            <w:r w:rsidR="00812A72">
              <w:t>A.6</w:t>
            </w:r>
            <w:r w:rsidRPr="00C52695">
              <w:fldChar w:fldCharType="end"/>
            </w:r>
          </w:p>
          <w:p w:rsidR="00C52695" w:rsidRPr="00C52695" w:rsidRDefault="00C52695" w:rsidP="00C52695">
            <w:r w:rsidRPr="00C52695">
              <w:lastRenderedPageBreak/>
              <w:fldChar w:fldCharType="begin"/>
            </w:r>
            <w:r w:rsidRPr="00C52695">
              <w:instrText xml:space="preserve"> REF _Ref451789926 \r \h </w:instrText>
            </w:r>
            <w:r w:rsidRPr="00C52695">
              <w:fldChar w:fldCharType="separate"/>
            </w:r>
            <w:r w:rsidR="00812A72">
              <w:t>A.7</w:t>
            </w:r>
            <w:r w:rsidRPr="00C52695">
              <w:fldChar w:fldCharType="end"/>
            </w:r>
          </w:p>
          <w:p w:rsidR="00C52695" w:rsidRPr="00C52695" w:rsidRDefault="00C52695" w:rsidP="00C52695">
            <w:r w:rsidRPr="00C52695">
              <w:fldChar w:fldCharType="begin"/>
            </w:r>
            <w:r w:rsidRPr="00C52695">
              <w:instrText xml:space="preserve"> REF _Ref414623120 \r \h </w:instrText>
            </w:r>
            <w:r w:rsidRPr="00C52695">
              <w:fldChar w:fldCharType="separate"/>
            </w:r>
            <w:r w:rsidR="00812A72">
              <w:t>A.8</w:t>
            </w:r>
            <w:r w:rsidRPr="00C52695">
              <w:fldChar w:fldCharType="end"/>
            </w:r>
          </w:p>
        </w:tc>
      </w:tr>
      <w:tr w:rsidR="00C52695" w:rsidTr="006425B8">
        <w:tc>
          <w:tcPr>
            <w:tcW w:w="3652" w:type="dxa"/>
          </w:tcPr>
          <w:p w:rsidR="00C52695" w:rsidRPr="00C52695" w:rsidRDefault="00C52695" w:rsidP="00C52695">
            <w:pPr>
              <w:rPr>
                <w:rStyle w:val="Strong"/>
              </w:rPr>
            </w:pPr>
            <w:r w:rsidRPr="00E82D06">
              <w:rPr>
                <w:rStyle w:val="Strong"/>
              </w:rPr>
              <w:lastRenderedPageBreak/>
              <w:t>Distribution rate</w:t>
            </w:r>
          </w:p>
        </w:tc>
        <w:tc>
          <w:tcPr>
            <w:tcW w:w="4394" w:type="dxa"/>
          </w:tcPr>
          <w:p w:rsidR="00C52695" w:rsidRDefault="00C52695" w:rsidP="00C52695"/>
        </w:tc>
        <w:tc>
          <w:tcPr>
            <w:tcW w:w="851" w:type="dxa"/>
          </w:tcPr>
          <w:p w:rsidR="00C52695" w:rsidRDefault="00C52695" w:rsidP="00C52695"/>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It is appropriate to use an all equity based estimate of the distribution rate.</w:t>
            </w:r>
            <w:r w:rsidRPr="00C52695">
              <w:rPr>
                <w:rStyle w:val="FootnoteReference"/>
              </w:rPr>
              <w:footnoteReference w:id="174"/>
            </w:r>
            <w:r w:rsidRPr="00C52695">
              <w:t xml:space="preserve"> The </w:t>
            </w:r>
            <w:r w:rsidRPr="00C52695">
              <w:lastRenderedPageBreak/>
              <w:t>distribution rate for listed equity is likely to be a poor proxy for a benchmark efficient entity.</w:t>
            </w:r>
            <w:r w:rsidRPr="00C52695">
              <w:rPr>
                <w:rStyle w:val="FootnoteReference"/>
              </w:rPr>
              <w:footnoteReference w:id="175"/>
            </w:r>
          </w:p>
          <w:p w:rsidR="00C52695" w:rsidRPr="00C52695" w:rsidRDefault="00C52695" w:rsidP="00C52695">
            <w:r w:rsidRPr="00692B72">
              <w:t xml:space="preserve">The </w:t>
            </w:r>
            <w:r w:rsidR="008F4235">
              <w:t xml:space="preserve">Ausgrid </w:t>
            </w:r>
            <w:r w:rsidRPr="00692B72">
              <w:t>Tribunal considered we provided insufficient</w:t>
            </w:r>
            <w:r w:rsidRPr="00C52695">
              <w:t xml:space="preserve"> reasoning for introducing listed equity distribution rate.</w:t>
            </w:r>
            <w:r w:rsidRPr="00C52695">
              <w:rPr>
                <w:rStyle w:val="FootnoteReference"/>
              </w:rPr>
              <w:footnoteReference w:id="176"/>
            </w:r>
          </w:p>
        </w:tc>
        <w:tc>
          <w:tcPr>
            <w:tcW w:w="4394" w:type="dxa"/>
          </w:tcPr>
          <w:p w:rsidR="00C52695" w:rsidRPr="00C52695" w:rsidRDefault="00C52695" w:rsidP="00C52695">
            <w:r>
              <w:lastRenderedPageBreak/>
              <w:t xml:space="preserve">We consider the use of a </w:t>
            </w:r>
            <w:r w:rsidRPr="00C52695">
              <w:t xml:space="preserve">distribution rate for listed equity is open to us and reasonably reflective of a benchmark </w:t>
            </w:r>
            <w:r w:rsidRPr="00C52695">
              <w:lastRenderedPageBreak/>
              <w:t>efficient entity given the difficulties associated with choosing a representative dataset. Lally also recommends distribution rate based on listed equity for a benchmark efficient entity, although he estimates this using financial statements of the top 20 listed firms.</w:t>
            </w:r>
          </w:p>
          <w:p w:rsidR="00C52695" w:rsidRPr="00C52695" w:rsidRDefault="00C52695" w:rsidP="00C52695">
            <w:r>
              <w:t>Further, w</w:t>
            </w:r>
            <w:r w:rsidRPr="00C52695">
              <w:t xml:space="preserve">e consider it is inappropriate to focus on individual elements of a benchmark efficient entity, such as foreign income and foreign ownership. Instead, we consider a benchmark efficient entity should be assessed holistically. When determining gamma for a benchmark efficient entity, what is relevant is how it generates and distributes imputation credits. We also note that if we estimated a distribution rate strictly in accordance with our benchmark definition we would use only the firms we regulate, or an observable set of similar firms. </w:t>
            </w:r>
          </w:p>
          <w:p w:rsidR="00C52695" w:rsidRPr="00C52695" w:rsidRDefault="00C52695" w:rsidP="00C52695">
            <w:r w:rsidRPr="000076F2">
              <w:t>Finally, it is not clear that foreign income results in a higher imputation payout ratio. In fact, Lally's analysis suggests the opposite.</w:t>
            </w:r>
          </w:p>
        </w:tc>
        <w:tc>
          <w:tcPr>
            <w:tcW w:w="851" w:type="dxa"/>
          </w:tcPr>
          <w:p w:rsidR="00C52695" w:rsidRPr="00C52695" w:rsidRDefault="00C52695" w:rsidP="00C52695">
            <w:r w:rsidRPr="00C52695">
              <w:lastRenderedPageBreak/>
              <w:fldChar w:fldCharType="begin"/>
            </w:r>
            <w:r w:rsidRPr="00C52695">
              <w:instrText xml:space="preserve"> REF _Ref450761230 \r \h </w:instrText>
            </w:r>
            <w:r w:rsidRPr="00C52695">
              <w:fldChar w:fldCharType="separate"/>
            </w:r>
            <w:r w:rsidR="00812A72">
              <w:t>4.4.1</w:t>
            </w:r>
            <w:r w:rsidRPr="00C52695">
              <w:fldChar w:fldCharType="end"/>
            </w:r>
          </w:p>
          <w:p w:rsidR="00C52695" w:rsidRPr="00C52695" w:rsidRDefault="00C52695" w:rsidP="00C52695">
            <w:r w:rsidRPr="00C52695">
              <w:fldChar w:fldCharType="begin"/>
            </w:r>
            <w:r w:rsidRPr="00C52695">
              <w:instrText xml:space="preserve"> REF _Ref401133206 \r \h </w:instrText>
            </w:r>
            <w:r w:rsidRPr="00C52695">
              <w:fldChar w:fldCharType="separate"/>
            </w:r>
            <w:r w:rsidR="00812A72">
              <w:t>A.10</w:t>
            </w:r>
            <w:r w:rsidRPr="00C52695">
              <w:fldChar w:fldCharType="end"/>
            </w:r>
          </w:p>
        </w:tc>
      </w:tr>
      <w:tr w:rsidR="00C52695" w:rsidTr="006425B8">
        <w:tc>
          <w:tcPr>
            <w:tcW w:w="3652" w:type="dxa"/>
          </w:tcPr>
          <w:p w:rsidR="00C52695" w:rsidRPr="00C52695" w:rsidRDefault="00C52695" w:rsidP="00C52695">
            <w:r>
              <w:lastRenderedPageBreak/>
              <w:t>Estimates of the utilisation rate from listed equity (all equity) do not have to be paired with estimates of the distribution rate from listed equity (all equity).</w:t>
            </w:r>
            <w:r w:rsidRPr="00C52695">
              <w:rPr>
                <w:rStyle w:val="FootnoteReference"/>
              </w:rPr>
              <w:footnoteReference w:id="177"/>
            </w:r>
            <w:r w:rsidRPr="00C52695">
              <w:t xml:space="preserve"> </w:t>
            </w:r>
          </w:p>
        </w:tc>
        <w:tc>
          <w:tcPr>
            <w:tcW w:w="4394" w:type="dxa"/>
          </w:tcPr>
          <w:p w:rsidR="00C52695" w:rsidRPr="00C52695" w:rsidRDefault="002110F5" w:rsidP="00357F78">
            <w:r>
              <w:t>W</w:t>
            </w:r>
            <w:r w:rsidR="00C52695" w:rsidRPr="00C52695">
              <w:t>e consider it is not essential to 'match' estimates of distribution rates and utilisation rates based on the dataset used; although we note the choice is open to us. While we primarily rely on 'matched' estimates, we also have regard to Lally's preferred estimate based on an all equity utilisation rate from the equity ownership approach and a distribution rate for listed equity from financial reports of the top 20 listed firms.</w:t>
            </w:r>
            <w:r>
              <w:t xml:space="preserve"> Lally considered there is good reason not to match datasets.</w:t>
            </w:r>
            <w:r w:rsidR="003B47A6">
              <w:rPr>
                <w:rStyle w:val="FootnoteReference"/>
              </w:rPr>
              <w:footnoteReference w:id="178"/>
            </w:r>
            <w:r>
              <w:t xml:space="preserve"> However</w:t>
            </w:r>
            <w:r w:rsidR="00357F78">
              <w:t xml:space="preserve">, we note given Lally's advice our approach appears to lead to a </w:t>
            </w:r>
            <w:r w:rsidR="00357F78">
              <w:lastRenderedPageBreak/>
              <w:t xml:space="preserve">conservative gamma estimate (in favour of the service provider), as Lally's </w:t>
            </w:r>
            <w:r>
              <w:t xml:space="preserve">preferred gamma estimate </w:t>
            </w:r>
            <w:r w:rsidR="00357F78">
              <w:t>is</w:t>
            </w:r>
            <w:r>
              <w:t xml:space="preserve"> 0.5.</w:t>
            </w:r>
            <w:r w:rsidR="00CC480F">
              <w:rPr>
                <w:rStyle w:val="FootnoteReference"/>
              </w:rPr>
              <w:footnoteReference w:id="179"/>
            </w:r>
          </w:p>
        </w:tc>
        <w:tc>
          <w:tcPr>
            <w:tcW w:w="851" w:type="dxa"/>
          </w:tcPr>
          <w:p w:rsidR="00C52695" w:rsidRPr="00C52695" w:rsidRDefault="00C52695" w:rsidP="00C52695">
            <w:r w:rsidRPr="00C52695">
              <w:lastRenderedPageBreak/>
              <w:fldChar w:fldCharType="begin"/>
            </w:r>
            <w:r w:rsidRPr="00C52695">
              <w:instrText xml:space="preserve"> REF _Ref450761230 \r \h </w:instrText>
            </w:r>
            <w:r w:rsidRPr="00C52695">
              <w:fldChar w:fldCharType="separate"/>
            </w:r>
            <w:r w:rsidR="00812A72">
              <w:t>4.4.1</w:t>
            </w:r>
            <w:r w:rsidRPr="00C52695">
              <w:fldChar w:fldCharType="end"/>
            </w:r>
          </w:p>
          <w:p w:rsidR="00C52695" w:rsidRPr="00C52695" w:rsidRDefault="00C52695" w:rsidP="00C52695">
            <w:r w:rsidRPr="00C52695">
              <w:fldChar w:fldCharType="begin"/>
            </w:r>
            <w:r w:rsidRPr="00C52695">
              <w:instrText xml:space="preserve"> REF _Ref451790065 \r \h </w:instrText>
            </w:r>
            <w:r w:rsidRPr="00C52695">
              <w:fldChar w:fldCharType="separate"/>
            </w:r>
            <w:r w:rsidR="00812A72">
              <w:t>A.9</w:t>
            </w:r>
            <w:r w:rsidRPr="00C52695">
              <w:fldChar w:fldCharType="end"/>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pPr>
              <w:rPr>
                <w:rStyle w:val="Strong"/>
              </w:rPr>
            </w:pPr>
            <w:r w:rsidRPr="00E82D06">
              <w:rPr>
                <w:rStyle w:val="Strong"/>
              </w:rPr>
              <w:lastRenderedPageBreak/>
              <w:t>Utilisation rate</w:t>
            </w:r>
          </w:p>
        </w:tc>
        <w:tc>
          <w:tcPr>
            <w:tcW w:w="4394" w:type="dxa"/>
          </w:tcPr>
          <w:p w:rsidR="00C52695" w:rsidRDefault="00C52695" w:rsidP="00C52695"/>
        </w:tc>
        <w:tc>
          <w:tcPr>
            <w:tcW w:w="851" w:type="dxa"/>
          </w:tcPr>
          <w:p w:rsidR="00C52695" w:rsidRDefault="00C52695" w:rsidP="00C52695"/>
        </w:tc>
      </w:tr>
      <w:tr w:rsidR="00C52695" w:rsidTr="006425B8">
        <w:tc>
          <w:tcPr>
            <w:tcW w:w="3652" w:type="dxa"/>
          </w:tcPr>
          <w:p w:rsidR="00C52695" w:rsidRPr="00C52695" w:rsidRDefault="00C52695" w:rsidP="00C52695">
            <w:r w:rsidRPr="006B5C23">
              <w:rPr>
                <w:rStyle w:val="AERtextitalic"/>
              </w:rPr>
              <w:t>Equity ownership approach</w:t>
            </w:r>
          </w:p>
        </w:tc>
        <w:tc>
          <w:tcPr>
            <w:tcW w:w="4394" w:type="dxa"/>
          </w:tcPr>
          <w:p w:rsidR="00C52695" w:rsidRDefault="00C52695" w:rsidP="00C52695"/>
        </w:tc>
        <w:tc>
          <w:tcPr>
            <w:tcW w:w="851" w:type="dxa"/>
          </w:tcPr>
          <w:p w:rsidR="00C52695" w:rsidRDefault="00C52695" w:rsidP="00C52695"/>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The equity ownership approach overstates the utilisation rate (</w:t>
            </w:r>
            <w:r w:rsidRPr="00C52695">
              <w:t>relative to an upper bound based on tax statistics).</w:t>
            </w:r>
            <w:r w:rsidRPr="00C52695">
              <w:rPr>
                <w:rStyle w:val="FootnoteReference"/>
              </w:rPr>
              <w:footnoteReference w:id="180"/>
            </w:r>
            <w:r w:rsidRPr="00C52695">
              <w:t xml:space="preserve"> </w:t>
            </w:r>
          </w:p>
          <w:p w:rsidR="00C52695" w:rsidRPr="00C52695" w:rsidRDefault="00C52695" w:rsidP="00C52695">
            <w:pPr>
              <w:rPr>
                <w:rStyle w:val="AERtextitalic"/>
              </w:rPr>
            </w:pPr>
            <w:r>
              <w:t>The</w:t>
            </w:r>
            <w:r w:rsidR="008F4235">
              <w:t xml:space="preserve"> Ausgrid</w:t>
            </w:r>
            <w:r>
              <w:t xml:space="preserve"> Tribunal consider</w:t>
            </w:r>
            <w:r w:rsidRPr="00C52695">
              <w:t>ed this shows there are investors who we assume are eligible to redeem imputation credits but, for whatever reasons, either cannot redeem them or attribute so little value to the credits that they do not utilise them. In particular, there are investors who hold shares for less than 45 days.</w:t>
            </w:r>
            <w:r w:rsidRPr="00C52695">
              <w:rPr>
                <w:rStyle w:val="FootnoteReference"/>
              </w:rPr>
              <w:footnoteReference w:id="181"/>
            </w:r>
          </w:p>
        </w:tc>
        <w:tc>
          <w:tcPr>
            <w:tcW w:w="4394" w:type="dxa"/>
          </w:tcPr>
          <w:p w:rsidR="00C52695" w:rsidRPr="00C52695" w:rsidRDefault="00C52695" w:rsidP="00C52695">
            <w:r>
              <w:t xml:space="preserve">We do not consider the estimate of the utilisation rate from tax statistics is an upper bound (see </w:t>
            </w:r>
            <w:r w:rsidRPr="00C52695">
              <w:t xml:space="preserve">response under 'Tax statistics'). </w:t>
            </w:r>
          </w:p>
          <w:p w:rsidR="00C52695" w:rsidRPr="00C52695" w:rsidRDefault="00C52695" w:rsidP="00C52695">
            <w:r>
              <w:t>We consider the 45 day rule</w:t>
            </w:r>
            <w:r w:rsidRPr="00C52695">
              <w:t xml:space="preserve"> is unlikely to have a material impact on the utilisation of imputation credits by domestic investors, and no data has been presented that demonstrates a material impact. As such, we do not consider the 45 day rule explains the difference in utilisation rate estimates between tax statistics and the equity ownership approach. We consider the difference is likely driven by estimation error in the taxation data. Lally considers the most obvious explanation for the difference is the estimate of the redemption rate from tax statistics used by the AER is too low.</w:t>
            </w:r>
            <w:r w:rsidRPr="00C52695">
              <w:rPr>
                <w:rStyle w:val="FootnoteReference"/>
              </w:rPr>
              <w:footnoteReference w:id="182"/>
            </w:r>
          </w:p>
          <w:p w:rsidR="00C52695" w:rsidRPr="00C52695" w:rsidRDefault="00C52695" w:rsidP="00C52695">
            <w:r>
              <w:t>We use an estimate of the utilisation rate below the top of the range from the equity ownership approach.</w:t>
            </w:r>
          </w:p>
        </w:tc>
        <w:tc>
          <w:tcPr>
            <w:tcW w:w="851" w:type="dxa"/>
          </w:tcPr>
          <w:p w:rsidR="00C52695" w:rsidRPr="00C52695" w:rsidRDefault="00C52695" w:rsidP="00C52695">
            <w:r w:rsidRPr="00C52695">
              <w:fldChar w:fldCharType="begin"/>
            </w:r>
            <w:r w:rsidRPr="00C52695">
              <w:instrText xml:space="preserve"> REF _Ref450761230 \r \h </w:instrText>
            </w:r>
            <w:r w:rsidRPr="00C52695">
              <w:fldChar w:fldCharType="separate"/>
            </w:r>
            <w:r w:rsidR="00812A72">
              <w:t>4.4.1</w:t>
            </w:r>
            <w:r w:rsidRPr="00C52695">
              <w:fldChar w:fldCharType="end"/>
            </w:r>
          </w:p>
          <w:p w:rsidR="00C52695" w:rsidRPr="00C52695" w:rsidRDefault="00C52695" w:rsidP="00C52695">
            <w:r w:rsidRPr="00C52695">
              <w:fldChar w:fldCharType="begin"/>
            </w:r>
            <w:r w:rsidRPr="00C52695">
              <w:instrText xml:space="preserve"> REF _Ref415049811 \r \h </w:instrText>
            </w:r>
            <w:r w:rsidRPr="00C52695">
              <w:fldChar w:fldCharType="separate"/>
            </w:r>
            <w:r w:rsidR="00812A72">
              <w:t>A.12</w:t>
            </w:r>
            <w:r w:rsidRPr="00C52695">
              <w:fldChar w:fldCharType="end"/>
            </w:r>
          </w:p>
          <w:p w:rsidR="00C52695" w:rsidRPr="00C52695" w:rsidRDefault="00C52695" w:rsidP="00C52695">
            <w:r w:rsidRPr="00C52695">
              <w:fldChar w:fldCharType="begin"/>
            </w:r>
            <w:r w:rsidRPr="00C52695">
              <w:instrText xml:space="preserve"> REF _Ref450298682 \r \h </w:instrText>
            </w:r>
            <w:r w:rsidRPr="00C52695">
              <w:fldChar w:fldCharType="separate"/>
            </w:r>
            <w:r w:rsidR="00812A72">
              <w:t>A.14</w:t>
            </w:r>
            <w:r w:rsidRPr="00C52695">
              <w:fldChar w:fldCharType="end"/>
            </w:r>
          </w:p>
          <w:p w:rsidR="00C52695" w:rsidRPr="00C52695" w:rsidRDefault="00C52695" w:rsidP="00C52695">
            <w:r w:rsidRPr="00C52695">
              <w:fldChar w:fldCharType="begin"/>
            </w:r>
            <w:r w:rsidRPr="00C52695">
              <w:instrText xml:space="preserve"> REF _Ref414099389 \r \h </w:instrText>
            </w:r>
            <w:r w:rsidRPr="00C52695">
              <w:fldChar w:fldCharType="separate"/>
            </w:r>
            <w:r w:rsidR="00812A72">
              <w:t>A.8.3</w:t>
            </w:r>
            <w:r w:rsidRPr="00C52695">
              <w:fldChar w:fldCharType="end"/>
            </w:r>
          </w:p>
        </w:tc>
      </w:tr>
      <w:tr w:rsidR="00C52695" w:rsidTr="006425B8">
        <w:tc>
          <w:tcPr>
            <w:tcW w:w="3652" w:type="dxa"/>
          </w:tcPr>
          <w:p w:rsidR="00C52695" w:rsidRPr="00C52695" w:rsidRDefault="00C52695" w:rsidP="00C52695">
            <w:r>
              <w:t>T</w:t>
            </w:r>
            <w:r w:rsidRPr="00C52695">
              <w:t>he equity ownership approach is inconsistent with the proper interpretation of the Officer framework.</w:t>
            </w:r>
            <w:r w:rsidRPr="00C52695">
              <w:rPr>
                <w:rStyle w:val="FootnoteReference"/>
              </w:rPr>
              <w:footnoteReference w:id="183"/>
            </w:r>
          </w:p>
          <w:p w:rsidR="00C52695" w:rsidRPr="00C52695" w:rsidRDefault="00C52695" w:rsidP="00C52695">
            <w:r>
              <w:t xml:space="preserve">The equity ownership approach does not </w:t>
            </w:r>
            <w:r w:rsidRPr="00C52695">
              <w:t>reflect factors which affect investors' valuation of imputation credits (below their full face value).</w:t>
            </w:r>
            <w:r w:rsidRPr="00C52695">
              <w:rPr>
                <w:rStyle w:val="FootnoteReference"/>
              </w:rPr>
              <w:footnoteReference w:id="184"/>
            </w:r>
          </w:p>
        </w:tc>
        <w:tc>
          <w:tcPr>
            <w:tcW w:w="4394" w:type="dxa"/>
          </w:tcPr>
          <w:p w:rsidR="00C52695" w:rsidRPr="00C52695" w:rsidRDefault="00C52695" w:rsidP="00C52695">
            <w:r>
              <w:t>See response under 'Conceptual framework'</w:t>
            </w:r>
            <w:r w:rsidRPr="00C52695">
              <w:t xml:space="preserve">. </w:t>
            </w:r>
          </w:p>
        </w:tc>
        <w:tc>
          <w:tcPr>
            <w:tcW w:w="851" w:type="dxa"/>
          </w:tcPr>
          <w:p w:rsidR="00C52695" w:rsidRPr="00C52695" w:rsidRDefault="00C52695" w:rsidP="00C52695">
            <w:r w:rsidRPr="00C52695">
              <w:fldChar w:fldCharType="begin"/>
            </w:r>
            <w:r w:rsidRPr="00C52695">
              <w:instrText xml:space="preserve"> REF _Ref414099389 \r \h </w:instrText>
            </w:r>
            <w:r w:rsidRPr="00C52695">
              <w:fldChar w:fldCharType="separate"/>
            </w:r>
            <w:r w:rsidR="00812A72">
              <w:t>A.8.3</w:t>
            </w:r>
            <w:r w:rsidRPr="00C52695">
              <w:fldChar w:fldCharType="end"/>
            </w:r>
          </w:p>
          <w:p w:rsidR="00C52695" w:rsidRPr="00C52695" w:rsidRDefault="00C52695" w:rsidP="00C52695">
            <w:r w:rsidRPr="00C52695">
              <w:fldChar w:fldCharType="begin"/>
            </w:r>
            <w:r w:rsidRPr="00C52695">
              <w:instrText xml:space="preserve"> REF _Ref415049811 \r \h </w:instrText>
            </w:r>
            <w:r w:rsidRPr="00C52695">
              <w:fldChar w:fldCharType="separate"/>
            </w:r>
            <w:r w:rsidR="00812A72">
              <w:t>A.12</w:t>
            </w:r>
            <w:r w:rsidRPr="00C52695">
              <w:fldChar w:fldCharType="end"/>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lastRenderedPageBreak/>
              <w:t>The equity ownership approach can only be used informatively</w:t>
            </w:r>
            <w:r w:rsidRPr="00C52695">
              <w:t xml:space="preserve"> as an upper bound or as a check on other estimates (like tax statistics).</w:t>
            </w:r>
            <w:r w:rsidRPr="00C52695">
              <w:rPr>
                <w:rStyle w:val="FootnoteReference"/>
              </w:rPr>
              <w:footnoteReference w:id="185"/>
            </w:r>
          </w:p>
        </w:tc>
        <w:tc>
          <w:tcPr>
            <w:tcW w:w="4394" w:type="dxa"/>
          </w:tcPr>
          <w:p w:rsidR="00C52695" w:rsidRPr="00C52695" w:rsidRDefault="00C52695" w:rsidP="00C52695">
            <w:r>
              <w:t>The equity ownership approach (and tax statistics) can</w:t>
            </w:r>
            <w:r w:rsidRPr="00C52695">
              <w:t xml:space="preserve"> used to generate a point estimate of the utilisation rate.</w:t>
            </w:r>
            <w:r w:rsidRPr="00C52695">
              <w:tab/>
            </w:r>
          </w:p>
        </w:tc>
        <w:tc>
          <w:tcPr>
            <w:tcW w:w="851" w:type="dxa"/>
          </w:tcPr>
          <w:p w:rsidR="005E2393" w:rsidRDefault="00F07197" w:rsidP="00C52695">
            <w:r>
              <w:fldChar w:fldCharType="begin"/>
            </w:r>
            <w:r>
              <w:instrText xml:space="preserve"> REF _Ref476520604 \r \h </w:instrText>
            </w:r>
            <w:r>
              <w:fldChar w:fldCharType="separate"/>
            </w:r>
            <w:r w:rsidR="00812A72">
              <w:t>4.4</w:t>
            </w:r>
            <w:r>
              <w:fldChar w:fldCharType="end"/>
            </w:r>
          </w:p>
          <w:p w:rsidR="00C52695" w:rsidRPr="00C52695" w:rsidRDefault="00C52695" w:rsidP="00C52695">
            <w:r w:rsidRPr="00C52695">
              <w:fldChar w:fldCharType="begin"/>
            </w:r>
            <w:r w:rsidRPr="00C52695">
              <w:instrText xml:space="preserve"> REF _Ref415049811 \r \h </w:instrText>
            </w:r>
            <w:r w:rsidRPr="00C52695">
              <w:fldChar w:fldCharType="separate"/>
            </w:r>
            <w:r w:rsidR="00812A72">
              <w:t>A.12</w:t>
            </w:r>
            <w:r w:rsidRPr="00C52695">
              <w:fldChar w:fldCharType="end"/>
            </w:r>
          </w:p>
        </w:tc>
      </w:tr>
      <w:tr w:rsidR="00C52695" w:rsidTr="006425B8">
        <w:tc>
          <w:tcPr>
            <w:tcW w:w="3652" w:type="dxa"/>
          </w:tcPr>
          <w:p w:rsidR="00C52695" w:rsidRPr="00C52695" w:rsidRDefault="00C52695" w:rsidP="00C52695">
            <w:r>
              <w:t>The equity ownership approach estimate of the utilisation rate should be based on listed equity</w:t>
            </w:r>
            <w:r w:rsidRPr="00C52695">
              <w:t>.</w:t>
            </w:r>
            <w:r w:rsidRPr="00C52695">
              <w:rPr>
                <w:rStyle w:val="FootnoteReference"/>
              </w:rPr>
              <w:footnoteReference w:id="186"/>
            </w:r>
          </w:p>
        </w:tc>
        <w:tc>
          <w:tcPr>
            <w:tcW w:w="4394" w:type="dxa"/>
          </w:tcPr>
          <w:p w:rsidR="00C52695" w:rsidRPr="00C52695" w:rsidRDefault="00C52695" w:rsidP="00C52695">
            <w:r>
              <w:t>We consider utilisation rates from the equity ownership approach based on listed equity and all equity.</w:t>
            </w:r>
          </w:p>
        </w:tc>
        <w:tc>
          <w:tcPr>
            <w:tcW w:w="851" w:type="dxa"/>
          </w:tcPr>
          <w:p w:rsidR="00C52695" w:rsidRPr="00C52695" w:rsidRDefault="00C52695" w:rsidP="00C52695">
            <w:r w:rsidRPr="00C52695">
              <w:fldChar w:fldCharType="begin"/>
            </w:r>
            <w:r w:rsidRPr="00C52695">
              <w:instrText xml:space="preserve"> REF _Ref401048631 \r \h </w:instrText>
            </w:r>
            <w:r w:rsidRPr="00C52695">
              <w:fldChar w:fldCharType="separate"/>
            </w:r>
            <w:r w:rsidR="00812A72">
              <w:t>A.9.1</w:t>
            </w:r>
            <w:r w:rsidRPr="00C52695">
              <w:fldChar w:fldCharType="end"/>
            </w:r>
          </w:p>
          <w:p w:rsidR="00C52695" w:rsidRPr="00C52695" w:rsidRDefault="00C52695" w:rsidP="00C52695">
            <w:r w:rsidRPr="00C52695">
              <w:fldChar w:fldCharType="begin"/>
            </w:r>
            <w:r w:rsidRPr="00C52695">
              <w:instrText xml:space="preserve"> REF _Ref415049811 \r \h </w:instrText>
            </w:r>
            <w:r w:rsidRPr="00C52695">
              <w:fldChar w:fldCharType="separate"/>
            </w:r>
            <w:r w:rsidR="00812A72">
              <w:t>A.12</w:t>
            </w:r>
            <w:r w:rsidRPr="00C52695">
              <w:fldChar w:fldCharType="end"/>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O</w:t>
            </w:r>
            <w:r w:rsidRPr="00C52695">
              <w:t>nly the most recent point estimates of the equity ownership share are relevant.</w:t>
            </w:r>
            <w:r w:rsidRPr="00C52695">
              <w:rPr>
                <w:rStyle w:val="FootnoteReference"/>
              </w:rPr>
              <w:footnoteReference w:id="187"/>
            </w:r>
          </w:p>
        </w:tc>
        <w:tc>
          <w:tcPr>
            <w:tcW w:w="4394" w:type="dxa"/>
          </w:tcPr>
          <w:p w:rsidR="00C52695" w:rsidRPr="00C52695" w:rsidRDefault="00C52695" w:rsidP="00C52695">
            <w:r w:rsidRPr="005B650B">
              <w:t xml:space="preserve">We disagree. Given that the series exhibits considerable volatility, we </w:t>
            </w:r>
            <w:r w:rsidRPr="00C52695">
              <w:t xml:space="preserve">consider it is reasonable to not rely solely on the most recent point estimate. Similarly, we estimate an MRP (for the return on equity) that reflects prevailing market conditions using a historical series of excess returns. </w:t>
            </w:r>
          </w:p>
        </w:tc>
        <w:tc>
          <w:tcPr>
            <w:tcW w:w="851" w:type="dxa"/>
          </w:tcPr>
          <w:p w:rsidR="00C52695" w:rsidRPr="00C52695" w:rsidRDefault="00C52695" w:rsidP="00C52695">
            <w:r w:rsidRPr="00C52695">
              <w:fldChar w:fldCharType="begin"/>
            </w:r>
            <w:r w:rsidRPr="00C52695">
              <w:instrText xml:space="preserve"> REF _Ref415049811 \r \h </w:instrText>
            </w:r>
            <w:r w:rsidRPr="00C52695">
              <w:fldChar w:fldCharType="separate"/>
            </w:r>
            <w:r w:rsidR="00812A72">
              <w:t>A.12</w:t>
            </w:r>
            <w:r w:rsidRPr="00C52695">
              <w:fldChar w:fldCharType="end"/>
            </w:r>
          </w:p>
        </w:tc>
      </w:tr>
      <w:tr w:rsidR="00C52695" w:rsidTr="006425B8">
        <w:tc>
          <w:tcPr>
            <w:tcW w:w="3652" w:type="dxa"/>
          </w:tcPr>
          <w:p w:rsidR="00C52695" w:rsidRPr="00C52695" w:rsidRDefault="00C52695" w:rsidP="00C52695">
            <w:r w:rsidRPr="006B5C23">
              <w:rPr>
                <w:rStyle w:val="AERtextitalic"/>
              </w:rPr>
              <w:t>Tax statistics</w:t>
            </w:r>
          </w:p>
        </w:tc>
        <w:tc>
          <w:tcPr>
            <w:tcW w:w="4394" w:type="dxa"/>
          </w:tcPr>
          <w:p w:rsidR="00C52695" w:rsidRDefault="00C52695" w:rsidP="00C52695"/>
        </w:tc>
        <w:tc>
          <w:tcPr>
            <w:tcW w:w="851" w:type="dxa"/>
          </w:tcPr>
          <w:p w:rsidR="00C52695" w:rsidRDefault="00C52695" w:rsidP="00C52695"/>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 xml:space="preserve">Tax statistics are inconsistent with the </w:t>
            </w:r>
            <w:r w:rsidRPr="00C52695">
              <w:t>proper interpretation of the Officer framework</w:t>
            </w:r>
            <w:r w:rsidRPr="00C52695">
              <w:rPr>
                <w:rStyle w:val="FootnoteReference"/>
              </w:rPr>
              <w:footnoteReference w:id="188"/>
            </w:r>
          </w:p>
          <w:p w:rsidR="00C52695" w:rsidRPr="00C52695" w:rsidRDefault="00C52695" w:rsidP="00C52695">
            <w:r>
              <w:lastRenderedPageBreak/>
              <w:t>Tax statistics do</w:t>
            </w:r>
            <w:r w:rsidRPr="00C52695">
              <w:t xml:space="preserve"> not reflect factors which affect investors' valuation of imputation credits (below their full face value).</w:t>
            </w:r>
            <w:r w:rsidRPr="00C52695">
              <w:rPr>
                <w:rStyle w:val="FootnoteReference"/>
              </w:rPr>
              <w:footnoteReference w:id="189"/>
            </w:r>
          </w:p>
        </w:tc>
        <w:tc>
          <w:tcPr>
            <w:tcW w:w="4394" w:type="dxa"/>
          </w:tcPr>
          <w:p w:rsidR="00C52695" w:rsidRPr="00C52695" w:rsidRDefault="00C52695" w:rsidP="00C52695">
            <w:r>
              <w:lastRenderedPageBreak/>
              <w:t xml:space="preserve">See </w:t>
            </w:r>
            <w:r w:rsidRPr="00C52695">
              <w:t>response under 'Conceptual framework'.</w:t>
            </w:r>
          </w:p>
        </w:tc>
        <w:tc>
          <w:tcPr>
            <w:tcW w:w="851" w:type="dxa"/>
          </w:tcPr>
          <w:p w:rsidR="005E2393" w:rsidRDefault="002D1212" w:rsidP="00C52695">
            <w:r>
              <w:fldChar w:fldCharType="begin"/>
            </w:r>
            <w:r>
              <w:instrText xml:space="preserve"> REF _Ref476324220 \r \h </w:instrText>
            </w:r>
            <w:r>
              <w:fldChar w:fldCharType="separate"/>
            </w:r>
            <w:r w:rsidR="00812A72">
              <w:t>4.1</w:t>
            </w:r>
            <w:r>
              <w:fldChar w:fldCharType="end"/>
            </w:r>
          </w:p>
          <w:p w:rsidR="00C52695" w:rsidRPr="00C52695" w:rsidRDefault="00C52695" w:rsidP="00C52695">
            <w:r w:rsidRPr="00C52695">
              <w:fldChar w:fldCharType="begin"/>
            </w:r>
            <w:r w:rsidRPr="00C52695">
              <w:instrText xml:space="preserve"> REF _Ref414099389 \r \h </w:instrText>
            </w:r>
            <w:r w:rsidRPr="00C52695">
              <w:fldChar w:fldCharType="separate"/>
            </w:r>
            <w:r w:rsidR="00812A72">
              <w:t>A.8.3</w:t>
            </w:r>
            <w:r w:rsidRPr="00C52695">
              <w:fldChar w:fldCharType="end"/>
            </w:r>
          </w:p>
          <w:p w:rsidR="00C52695" w:rsidRPr="00C52695" w:rsidRDefault="00C52695" w:rsidP="00C52695">
            <w:r w:rsidRPr="00C52695">
              <w:lastRenderedPageBreak/>
              <w:fldChar w:fldCharType="begin"/>
            </w:r>
            <w:r w:rsidRPr="00C52695">
              <w:instrText xml:space="preserve"> REF _Ref402179420 \r \h </w:instrText>
            </w:r>
            <w:r w:rsidRPr="00C52695">
              <w:fldChar w:fldCharType="separate"/>
            </w:r>
            <w:r w:rsidR="00812A72">
              <w:t>A.13</w:t>
            </w:r>
            <w:r w:rsidRPr="00C52695">
              <w:fldChar w:fldCharType="end"/>
            </w:r>
          </w:p>
        </w:tc>
      </w:tr>
      <w:tr w:rsidR="00C52695" w:rsidTr="006425B8">
        <w:tc>
          <w:tcPr>
            <w:tcW w:w="3652" w:type="dxa"/>
          </w:tcPr>
          <w:p w:rsidR="00C52695" w:rsidRPr="00C52695" w:rsidRDefault="00C52695" w:rsidP="00C52695">
            <w:pPr>
              <w:rPr>
                <w:rStyle w:val="AERtextitalic"/>
              </w:rPr>
            </w:pPr>
            <w:r>
              <w:lastRenderedPageBreak/>
              <w:t>Tax statistics can only provide an upper bound for the estimate of</w:t>
            </w:r>
            <w:r w:rsidRPr="00C52695">
              <w:t xml:space="preserve"> the utilisation rate.</w:t>
            </w:r>
            <w:r w:rsidRPr="00C52695">
              <w:rPr>
                <w:rStyle w:val="FootnoteReference"/>
              </w:rPr>
              <w:footnoteReference w:id="190"/>
            </w:r>
          </w:p>
        </w:tc>
        <w:tc>
          <w:tcPr>
            <w:tcW w:w="4394" w:type="dxa"/>
          </w:tcPr>
          <w:p w:rsidR="00C52695" w:rsidRPr="00C52695" w:rsidRDefault="00C52695" w:rsidP="00C52695">
            <w:r>
              <w:t>We do not consider t</w:t>
            </w:r>
            <w:r w:rsidRPr="00C52695">
              <w:t>ax statistics provide an upper bound estimate. An upper bound is a value above which the true value cannot exceed.</w:t>
            </w:r>
            <w:r w:rsidRPr="00C52695">
              <w:rPr>
                <w:rStyle w:val="FootnoteReference"/>
              </w:rPr>
              <w:footnoteReference w:id="191"/>
            </w:r>
          </w:p>
          <w:p w:rsidR="00C52695" w:rsidRPr="00C52695" w:rsidRDefault="00C52695" w:rsidP="00C52695">
            <w:r w:rsidRPr="00C70506">
              <w:t xml:space="preserve">Rather, tax statistics provide one point estimate for the </w:t>
            </w:r>
            <w:r w:rsidRPr="00C52695">
              <w:t>utilisation rate. This estimate is, by definition, uncertain and dependant on the quality of the underlying data. As such, the true (unknown) value could be higher or lower. Importantly, the quality of the underlying taxation data is poor and experts consider it to be unreliable. Lally considers the tax statistic used by us is not an upper bound.</w:t>
            </w:r>
            <w:r w:rsidRPr="00C52695">
              <w:rPr>
                <w:rStyle w:val="FootnoteReference"/>
              </w:rPr>
              <w:footnoteReference w:id="192"/>
            </w:r>
          </w:p>
        </w:tc>
        <w:tc>
          <w:tcPr>
            <w:tcW w:w="851" w:type="dxa"/>
          </w:tcPr>
          <w:p w:rsidR="00C52695" w:rsidRPr="00C52695" w:rsidRDefault="00C52695" w:rsidP="00C52695">
            <w:r w:rsidRPr="00C52695">
              <w:fldChar w:fldCharType="begin"/>
            </w:r>
            <w:r w:rsidRPr="00C52695">
              <w:instrText xml:space="preserve"> REF _Ref450761230 \r \h </w:instrText>
            </w:r>
            <w:r w:rsidRPr="00C52695">
              <w:fldChar w:fldCharType="separate"/>
            </w:r>
            <w:r w:rsidR="00812A72">
              <w:t>4.4.1</w:t>
            </w:r>
            <w:r w:rsidRPr="00C52695">
              <w:fldChar w:fldCharType="end"/>
            </w:r>
          </w:p>
          <w:p w:rsidR="00C52695" w:rsidRPr="00C52695" w:rsidRDefault="00C52695" w:rsidP="00C52695">
            <w:r w:rsidRPr="00C52695">
              <w:fldChar w:fldCharType="begin"/>
            </w:r>
            <w:r w:rsidRPr="00C52695">
              <w:instrText xml:space="preserve"> REF _Ref402179420 \r \h </w:instrText>
            </w:r>
            <w:r w:rsidRPr="00C52695">
              <w:fldChar w:fldCharType="separate"/>
            </w:r>
            <w:r w:rsidR="00812A72">
              <w:t>A.13</w:t>
            </w:r>
            <w:r w:rsidRPr="00C52695">
              <w:fldChar w:fldCharType="end"/>
            </w:r>
          </w:p>
        </w:tc>
      </w:tr>
      <w:tr w:rsidR="004E5CF9"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4E5CF9" w:rsidRDefault="0010651C" w:rsidP="0010651C">
            <w:r>
              <w:t>T</w:t>
            </w:r>
            <w:r w:rsidR="004E5CF9">
              <w:t xml:space="preserve">ax statistics </w:t>
            </w:r>
            <w:r>
              <w:t xml:space="preserve">can estimate </w:t>
            </w:r>
            <w:r w:rsidR="004E5CF9">
              <w:t xml:space="preserve">gamma </w:t>
            </w:r>
            <w:r>
              <w:t>reliably as</w:t>
            </w:r>
            <w:r w:rsidR="004E5CF9">
              <w:t xml:space="preserve"> the ratio of credits redeemed to credits created.</w:t>
            </w:r>
            <w:r w:rsidR="00094970">
              <w:rPr>
                <w:rStyle w:val="FootnoteReference"/>
              </w:rPr>
              <w:footnoteReference w:id="193"/>
            </w:r>
          </w:p>
        </w:tc>
        <w:tc>
          <w:tcPr>
            <w:tcW w:w="4394" w:type="dxa"/>
          </w:tcPr>
          <w:p w:rsidR="004E5CF9" w:rsidRDefault="00094970" w:rsidP="00CC480F">
            <w:r>
              <w:t xml:space="preserve">We do not agree and consistent with Hathaway's </w:t>
            </w:r>
            <w:r w:rsidR="00CC480F">
              <w:t>paper,</w:t>
            </w:r>
            <w:r>
              <w:t xml:space="preserve"> </w:t>
            </w:r>
            <w:r w:rsidR="00F45579">
              <w:t xml:space="preserve">we consider </w:t>
            </w:r>
            <w:r>
              <w:t xml:space="preserve">that caution should be exercised </w:t>
            </w:r>
            <w:r w:rsidR="00F45579">
              <w:t>when</w:t>
            </w:r>
            <w:r>
              <w:t xml:space="preserve"> using ATO statistics </w:t>
            </w:r>
            <w:r w:rsidR="00F45579">
              <w:t xml:space="preserve">to estimate </w:t>
            </w:r>
            <w:r>
              <w:t xml:space="preserve">any </w:t>
            </w:r>
            <w:r w:rsidR="00F45579">
              <w:t>parameter</w:t>
            </w:r>
            <w:r>
              <w:t xml:space="preserve"> </w:t>
            </w:r>
            <w:r w:rsidR="00F45579">
              <w:t>associated</w:t>
            </w:r>
            <w:r>
              <w:t xml:space="preserve"> with franking credits.</w:t>
            </w:r>
          </w:p>
        </w:tc>
        <w:tc>
          <w:tcPr>
            <w:tcW w:w="851" w:type="dxa"/>
          </w:tcPr>
          <w:p w:rsidR="004E5CF9" w:rsidRPr="00C52695" w:rsidRDefault="004E5CF9" w:rsidP="00C52695">
            <w:r w:rsidRPr="004E5CF9">
              <w:fldChar w:fldCharType="begin"/>
            </w:r>
            <w:r w:rsidRPr="004E5CF9">
              <w:instrText xml:space="preserve"> REF _Ref402179420 \r \h </w:instrText>
            </w:r>
            <w:r w:rsidRPr="004E5CF9">
              <w:fldChar w:fldCharType="separate"/>
            </w:r>
            <w:r w:rsidR="00812A72">
              <w:t>A.13</w:t>
            </w:r>
            <w:r w:rsidRPr="004E5CF9">
              <w:fldChar w:fldCharType="end"/>
            </w:r>
          </w:p>
        </w:tc>
      </w:tr>
      <w:tr w:rsidR="00C52695" w:rsidTr="006425B8">
        <w:tc>
          <w:tcPr>
            <w:tcW w:w="3652" w:type="dxa"/>
          </w:tcPr>
          <w:p w:rsidR="00C52695" w:rsidRPr="00C52695" w:rsidRDefault="00C52695" w:rsidP="00C52695">
            <w:r w:rsidRPr="006B5C23">
              <w:rPr>
                <w:rStyle w:val="AERtextitalic"/>
              </w:rPr>
              <w:t>Implied market value studies</w:t>
            </w:r>
          </w:p>
        </w:tc>
        <w:tc>
          <w:tcPr>
            <w:tcW w:w="4394" w:type="dxa"/>
          </w:tcPr>
          <w:p w:rsidR="00C52695" w:rsidRDefault="00C52695" w:rsidP="00C52695"/>
        </w:tc>
        <w:tc>
          <w:tcPr>
            <w:tcW w:w="851" w:type="dxa"/>
          </w:tcPr>
          <w:p w:rsidR="00C52695" w:rsidRDefault="00C52695" w:rsidP="00C52695"/>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lastRenderedPageBreak/>
              <w:t>W</w:t>
            </w:r>
            <w:r w:rsidRPr="00C52695">
              <w:t>e should rely more on estimates of the utilisation rate from implied market value studies as they are direct evidence on the value of imputation credits to investors.</w:t>
            </w:r>
            <w:r w:rsidRPr="00C52695">
              <w:rPr>
                <w:rStyle w:val="FootnoteReference"/>
              </w:rPr>
              <w:footnoteReference w:id="194"/>
            </w:r>
            <w:r w:rsidRPr="00C52695">
              <w:t xml:space="preserve"> </w:t>
            </w:r>
            <w:r w:rsidR="002A5A14">
              <w:t>I</w:t>
            </w:r>
            <w:r w:rsidR="002A5A14" w:rsidRPr="00C52695">
              <w:t xml:space="preserve">f </w:t>
            </w:r>
            <w:r w:rsidRPr="00C52695">
              <w:t>the value interpretation is adopted, gamma must be estimated with a market based approach.</w:t>
            </w:r>
            <w:r w:rsidRPr="00C52695">
              <w:rPr>
                <w:rStyle w:val="FootnoteReference"/>
              </w:rPr>
              <w:footnoteReference w:id="195"/>
            </w:r>
          </w:p>
          <w:p w:rsidR="00C52695" w:rsidRPr="00C52695" w:rsidRDefault="00C52695" w:rsidP="00C52695">
            <w:pPr>
              <w:rPr>
                <w:rStyle w:val="AERtextitalic"/>
              </w:rPr>
            </w:pPr>
            <w:r>
              <w:t>T</w:t>
            </w:r>
            <w:r w:rsidRPr="00C52695">
              <w:t xml:space="preserve">he </w:t>
            </w:r>
            <w:r w:rsidR="00001B62">
              <w:t xml:space="preserve">Ausgrid </w:t>
            </w:r>
            <w:r w:rsidRPr="00C52695">
              <w:t>Tribunal considered implied market value studies are best placed to capture the considerations investors make in determining the utilisation rate (or the worth of imputation credits to them).</w:t>
            </w:r>
            <w:r w:rsidRPr="00C52695">
              <w:rPr>
                <w:rStyle w:val="FootnoteReference"/>
              </w:rPr>
              <w:footnoteReference w:id="196"/>
            </w:r>
          </w:p>
        </w:tc>
        <w:tc>
          <w:tcPr>
            <w:tcW w:w="4394" w:type="dxa"/>
          </w:tcPr>
          <w:p w:rsidR="00C52695" w:rsidRPr="00C52695" w:rsidRDefault="00C52695" w:rsidP="00C52695">
            <w:r>
              <w:t xml:space="preserve">See </w:t>
            </w:r>
            <w:r w:rsidRPr="00C52695">
              <w:t>response under 'Conceptual framework'.</w:t>
            </w:r>
          </w:p>
          <w:p w:rsidR="00C52695" w:rsidRPr="00C52695" w:rsidRDefault="00C52695" w:rsidP="00C52695">
            <w:r>
              <w:t>E</w:t>
            </w:r>
            <w:r w:rsidRPr="00C52695">
              <w:t>ven when adjusted for the impacts of differential personal taxation, we consider limited reliance should be placed on the results of these studies. This is because these studies have a range of limitations, including that they do not clearly measure the utilisation value to long term investors.</w:t>
            </w:r>
          </w:p>
          <w:p w:rsidR="00C52695" w:rsidRPr="00C52695" w:rsidRDefault="00C52695" w:rsidP="00C52695">
            <w:r>
              <w:t>We consider m</w:t>
            </w:r>
            <w:r w:rsidRPr="00C52695">
              <w:t>arket value studies do not provide a post-company pre-personal tax estimate of the utilisation rate unless they are corrected for the impact of differential personal taxation on capital gains and dividend income. Without this adjustment they are inconsistent with the Officer framework.</w:t>
            </w:r>
          </w:p>
          <w:p w:rsidR="00C52695" w:rsidRDefault="00C52695" w:rsidP="00C52695"/>
        </w:tc>
        <w:tc>
          <w:tcPr>
            <w:tcW w:w="851" w:type="dxa"/>
          </w:tcPr>
          <w:p w:rsidR="00C52695" w:rsidRPr="00C52695" w:rsidRDefault="00C52695" w:rsidP="00C52695">
            <w:r w:rsidRPr="00C52695">
              <w:fldChar w:fldCharType="begin"/>
            </w:r>
            <w:r w:rsidRPr="00C52695">
              <w:instrText xml:space="preserve"> REF _Ref450761230 \r \h </w:instrText>
            </w:r>
            <w:r w:rsidRPr="00C52695">
              <w:fldChar w:fldCharType="separate"/>
            </w:r>
            <w:r w:rsidR="00812A72">
              <w:t>4.4.1</w:t>
            </w:r>
            <w:r w:rsidRPr="00C52695">
              <w:fldChar w:fldCharType="end"/>
            </w:r>
          </w:p>
          <w:p w:rsidR="00C52695" w:rsidRPr="00C52695" w:rsidRDefault="00C52695" w:rsidP="00C52695">
            <w:r>
              <w:t>A.15</w:t>
            </w:r>
          </w:p>
        </w:tc>
      </w:tr>
      <w:tr w:rsidR="00C52695" w:rsidTr="006425B8">
        <w:tc>
          <w:tcPr>
            <w:tcW w:w="3652" w:type="dxa"/>
          </w:tcPr>
          <w:p w:rsidR="00C52695" w:rsidRPr="00C52695" w:rsidRDefault="005A67B5" w:rsidP="00C52695">
            <w:r>
              <w:t>We</w:t>
            </w:r>
            <w:r w:rsidR="00C52695" w:rsidRPr="00C52695">
              <w:t xml:space="preserve"> should exclusively rely on SFG's study, which suggests a best estimate of 0.35 for the utilisation rate.</w:t>
            </w:r>
            <w:r w:rsidR="00C52695" w:rsidRPr="00C52695">
              <w:rPr>
                <w:rStyle w:val="FootnoteReference"/>
              </w:rPr>
              <w:footnoteReference w:id="197"/>
            </w:r>
          </w:p>
        </w:tc>
        <w:tc>
          <w:tcPr>
            <w:tcW w:w="4394" w:type="dxa"/>
          </w:tcPr>
          <w:p w:rsidR="00C52695" w:rsidRPr="00C52695" w:rsidRDefault="00C52695" w:rsidP="00C52695">
            <w:r>
              <w:t>See response to '</w:t>
            </w:r>
            <w:r w:rsidRPr="00C52695">
              <w:t>We should rely more on estimates of the utilisation rate from implied market value studies'.</w:t>
            </w:r>
          </w:p>
          <w:p w:rsidR="00C52695" w:rsidRPr="00C52695" w:rsidRDefault="00C52695" w:rsidP="00C52695">
            <w:r>
              <w:t>W</w:t>
            </w:r>
            <w:r w:rsidRPr="00C52695">
              <w:t xml:space="preserve">e do not consider it appropriate to rely exclusively on implied market value studies (or SFG's single dividend drop off study). Even if we were to rely solely on SFG's study, we consider it does not support a gamma of 0.25. This is because the estimate of the utilisation rate requires an adjustment for factors that suggest investors value a dollar of dividends at less than one dollar. </w:t>
            </w:r>
          </w:p>
        </w:tc>
        <w:tc>
          <w:tcPr>
            <w:tcW w:w="851" w:type="dxa"/>
          </w:tcPr>
          <w:p w:rsidR="00C52695" w:rsidRPr="00C52695" w:rsidRDefault="00C52695" w:rsidP="00C52695">
            <w:r>
              <w:t>4.4</w:t>
            </w:r>
          </w:p>
          <w:p w:rsidR="00C52695" w:rsidRPr="00C52695" w:rsidRDefault="00C52695" w:rsidP="00C52695">
            <w:r>
              <w:t>4.4.1</w:t>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T</w:t>
            </w:r>
            <w:r w:rsidRPr="00C52695">
              <w:t xml:space="preserve">he use of implied market value studies to estimate the utilisation rate (and thus gamma) is </w:t>
            </w:r>
            <w:r w:rsidRPr="00C52695">
              <w:lastRenderedPageBreak/>
              <w:t>consistent with the approach to estimating other rate of return parameters.</w:t>
            </w:r>
            <w:r w:rsidRPr="00C52695">
              <w:rPr>
                <w:rStyle w:val="FootnoteReference"/>
              </w:rPr>
              <w:footnoteReference w:id="198"/>
            </w:r>
          </w:p>
        </w:tc>
        <w:tc>
          <w:tcPr>
            <w:tcW w:w="4394" w:type="dxa"/>
          </w:tcPr>
          <w:p w:rsidR="00C52695" w:rsidRPr="00C52695" w:rsidRDefault="00C52695" w:rsidP="00C52695">
            <w:r>
              <w:lastRenderedPageBreak/>
              <w:t xml:space="preserve">We disagree. See </w:t>
            </w:r>
            <w:r w:rsidRPr="00C52695">
              <w:t>response under 'Conceptual framework'.</w:t>
            </w:r>
          </w:p>
        </w:tc>
        <w:tc>
          <w:tcPr>
            <w:tcW w:w="851" w:type="dxa"/>
          </w:tcPr>
          <w:p w:rsidR="00C52695" w:rsidRPr="00C52695" w:rsidRDefault="00C52695" w:rsidP="00C52695">
            <w:r w:rsidRPr="00C52695">
              <w:fldChar w:fldCharType="begin"/>
            </w:r>
            <w:r w:rsidRPr="00C52695">
              <w:instrText xml:space="preserve"> REF _Ref450298425 \r \h </w:instrText>
            </w:r>
            <w:r w:rsidRPr="00C52695">
              <w:fldChar w:fldCharType="separate"/>
            </w:r>
            <w:r w:rsidR="00812A72">
              <w:t>A.8.2</w:t>
            </w:r>
            <w:r w:rsidRPr="00C52695">
              <w:fldChar w:fldCharType="end"/>
            </w:r>
          </w:p>
          <w:p w:rsidR="00C52695" w:rsidRPr="00C52695" w:rsidRDefault="00C52695" w:rsidP="00C52695">
            <w:r>
              <w:t>A.15</w:t>
            </w:r>
          </w:p>
        </w:tc>
      </w:tr>
      <w:tr w:rsidR="00C52695" w:rsidTr="006425B8">
        <w:tc>
          <w:tcPr>
            <w:tcW w:w="3652" w:type="dxa"/>
          </w:tcPr>
          <w:p w:rsidR="00C52695" w:rsidRPr="00C52695" w:rsidRDefault="00C52695" w:rsidP="00C52695">
            <w:r>
              <w:lastRenderedPageBreak/>
              <w:t xml:space="preserve">Under our conceptual approach to gamma, the appropriate adjustment to </w:t>
            </w:r>
            <w:r w:rsidRPr="00C52695">
              <w:t>the results of SFG's study results in a gamma of 0.3. However, this adjustment is not necessary because our conceptual approach is incorrect.</w:t>
            </w:r>
            <w:r w:rsidRPr="00C52695">
              <w:rPr>
                <w:rStyle w:val="FootnoteReference"/>
              </w:rPr>
              <w:footnoteReference w:id="199"/>
            </w:r>
          </w:p>
        </w:tc>
        <w:tc>
          <w:tcPr>
            <w:tcW w:w="4394" w:type="dxa"/>
          </w:tcPr>
          <w:p w:rsidR="00C52695" w:rsidRPr="00C52695" w:rsidRDefault="00C52695" w:rsidP="00C52695">
            <w:r>
              <w:t xml:space="preserve">See </w:t>
            </w:r>
            <w:r w:rsidRPr="00C52695">
              <w:t>response under 'Conceptual framework'.</w:t>
            </w:r>
          </w:p>
          <w:p w:rsidR="00C52695" w:rsidRPr="00C52695" w:rsidRDefault="00C52695" w:rsidP="00C52695">
            <w:r>
              <w:t xml:space="preserve">We </w:t>
            </w:r>
            <w:r w:rsidRPr="00C52695">
              <w:t>disagree and consider the Handley/Lally adjustment is necessary.</w:t>
            </w:r>
          </w:p>
        </w:tc>
        <w:tc>
          <w:tcPr>
            <w:tcW w:w="851" w:type="dxa"/>
          </w:tcPr>
          <w:p w:rsidR="00C52695" w:rsidRPr="00C52695" w:rsidRDefault="00C52695" w:rsidP="00C52695">
            <w:r w:rsidRPr="00C52695">
              <w:fldChar w:fldCharType="begin"/>
            </w:r>
            <w:r w:rsidRPr="00C52695">
              <w:instrText xml:space="preserve"> REF _Ref450761230 \r \h </w:instrText>
            </w:r>
            <w:r w:rsidRPr="00C52695">
              <w:fldChar w:fldCharType="separate"/>
            </w:r>
            <w:r w:rsidR="00812A72">
              <w:t>4.4.1</w:t>
            </w:r>
            <w:r w:rsidRPr="00C52695">
              <w:fldChar w:fldCharType="end"/>
            </w:r>
          </w:p>
          <w:p w:rsidR="00C52695" w:rsidRPr="00C52695" w:rsidRDefault="00C52695" w:rsidP="00C52695">
            <w:r>
              <w:t>A.15</w:t>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S</w:t>
            </w:r>
            <w:r w:rsidRPr="00C52695">
              <w:t>everal of the limitations that we have identified as applying to implied market value studies do not apply to SFG's study, which has not been assessed individually on its merits.</w:t>
            </w:r>
            <w:r w:rsidRPr="00C52695">
              <w:rPr>
                <w:rStyle w:val="FootnoteReference"/>
              </w:rPr>
              <w:footnoteReference w:id="200"/>
            </w:r>
          </w:p>
        </w:tc>
        <w:tc>
          <w:tcPr>
            <w:tcW w:w="4394" w:type="dxa"/>
          </w:tcPr>
          <w:p w:rsidR="00C52695" w:rsidRPr="00C52695" w:rsidRDefault="00C52695" w:rsidP="00C52695">
            <w:r>
              <w:t>We consider the key limitations that apply to implied market value studies also apply to SFG's study.</w:t>
            </w:r>
          </w:p>
        </w:tc>
        <w:tc>
          <w:tcPr>
            <w:tcW w:w="851" w:type="dxa"/>
          </w:tcPr>
          <w:p w:rsidR="00C52695" w:rsidRPr="00C52695" w:rsidRDefault="00C52695" w:rsidP="00C52695">
            <w:r>
              <w:t>A.15</w:t>
            </w:r>
          </w:p>
        </w:tc>
      </w:tr>
      <w:tr w:rsidR="00C52695" w:rsidTr="006425B8">
        <w:tc>
          <w:tcPr>
            <w:tcW w:w="3652" w:type="dxa"/>
          </w:tcPr>
          <w:p w:rsidR="00C52695" w:rsidRPr="00C52695" w:rsidRDefault="00C52695" w:rsidP="00C52695">
            <w:r>
              <w:t xml:space="preserve">Instead of adjusting the estimate of the utilisation rate (theta) to correct for </w:t>
            </w:r>
            <w:r w:rsidRPr="00C52695">
              <w:t>the apparent incorrect valuation of cash dividends, the appropriate response is not to adjust the theta estimate. Rather it is to adjust the allowed return on equity.</w:t>
            </w:r>
            <w:r w:rsidRPr="00C52695">
              <w:rPr>
                <w:rStyle w:val="FootnoteReference"/>
              </w:rPr>
              <w:footnoteReference w:id="201"/>
            </w:r>
          </w:p>
        </w:tc>
        <w:tc>
          <w:tcPr>
            <w:tcW w:w="4394" w:type="dxa"/>
          </w:tcPr>
          <w:p w:rsidR="00001B62" w:rsidRDefault="00C52695" w:rsidP="00C52695">
            <w:r w:rsidRPr="00C80AFF">
              <w:t>We consider that such an adjustment to the allowed return on equity would not be appropriate. The post-co</w:t>
            </w:r>
            <w:r w:rsidRPr="00C52695">
              <w:t>mpany tax and pre-personal tax required return on the equities market is reflective of the face value of dividends paid in the market, not a higher amount. We also note the equities market sets equilibrium prices based on the expected post-company pre-personal tax returns to shareholders (post-tax dividends, post-tax capital gains and post-tax imputation credits).</w:t>
            </w:r>
          </w:p>
          <w:p w:rsidR="00C52695" w:rsidRPr="00C52695" w:rsidRDefault="00001B62" w:rsidP="00001B62">
            <w:r>
              <w:t>Lally considers that if dividend drop</w:t>
            </w:r>
            <w:r w:rsidR="007B3CAB">
              <w:t>-</w:t>
            </w:r>
            <w:r>
              <w:t>off studies produce an estimate of cash dividends of less than one</w:t>
            </w:r>
            <w:r w:rsidR="001A0EE0">
              <w:t>,</w:t>
            </w:r>
            <w:r>
              <w:t xml:space="preserve"> this implies that shareholders do not value dividends as highly as </w:t>
            </w:r>
            <w:r>
              <w:lastRenderedPageBreak/>
              <w:t>capital gain and this does not suggest that revenue should be increased.</w:t>
            </w:r>
            <w:r w:rsidRPr="00BF2DCE">
              <w:rPr>
                <w:rStyle w:val="FootnoteReference"/>
              </w:rPr>
              <w:footnoteReference w:id="202"/>
            </w:r>
          </w:p>
        </w:tc>
        <w:tc>
          <w:tcPr>
            <w:tcW w:w="851" w:type="dxa"/>
          </w:tcPr>
          <w:p w:rsidR="00C52695" w:rsidRDefault="00001B62" w:rsidP="00C52695">
            <w:r w:rsidRPr="00001B62">
              <w:lastRenderedPageBreak/>
              <w:fldChar w:fldCharType="begin"/>
            </w:r>
            <w:r w:rsidRPr="00001B62">
              <w:instrText xml:space="preserve"> REF _Ref435171205 \r \h </w:instrText>
            </w:r>
            <w:r w:rsidRPr="00001B62">
              <w:fldChar w:fldCharType="separate"/>
            </w:r>
            <w:r w:rsidR="00812A72">
              <w:t>A.15.3</w:t>
            </w:r>
            <w:r w:rsidRPr="00001B62">
              <w:fldChar w:fldCharType="end"/>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rsidRPr="006B5C23">
              <w:rPr>
                <w:rStyle w:val="Strong"/>
              </w:rPr>
              <w:lastRenderedPageBreak/>
              <w:t>Other</w:t>
            </w:r>
          </w:p>
        </w:tc>
        <w:tc>
          <w:tcPr>
            <w:tcW w:w="4394" w:type="dxa"/>
          </w:tcPr>
          <w:p w:rsidR="00C52695" w:rsidRDefault="00C52695" w:rsidP="00C52695"/>
        </w:tc>
        <w:tc>
          <w:tcPr>
            <w:tcW w:w="851" w:type="dxa"/>
          </w:tcPr>
          <w:p w:rsidR="00C52695" w:rsidRDefault="00C52695" w:rsidP="00C52695"/>
        </w:tc>
      </w:tr>
      <w:tr w:rsidR="00C52695" w:rsidTr="006425B8">
        <w:tc>
          <w:tcPr>
            <w:tcW w:w="3652" w:type="dxa"/>
          </w:tcPr>
          <w:p w:rsidR="00C52695" w:rsidRPr="00C52695" w:rsidRDefault="00C52695" w:rsidP="00C52695">
            <w:r w:rsidRPr="00E82D06">
              <w:t>There is an inconsistency between the corporate income tax and the allowed rate of return.</w:t>
            </w:r>
            <w:r w:rsidRPr="00C52695">
              <w:rPr>
                <w:rStyle w:val="FootnoteReference"/>
              </w:rPr>
              <w:footnoteReference w:id="203"/>
            </w:r>
          </w:p>
        </w:tc>
        <w:tc>
          <w:tcPr>
            <w:tcW w:w="4394" w:type="dxa"/>
          </w:tcPr>
          <w:p w:rsidR="00C52695" w:rsidRPr="00C52695" w:rsidRDefault="00C52695" w:rsidP="00C52695">
            <w:r>
              <w:t>We disagree. We discuss this</w:t>
            </w:r>
            <w:r w:rsidRPr="00C52695">
              <w:t xml:space="preserve"> in detail in section C.6 of Attachment 3.</w:t>
            </w:r>
          </w:p>
        </w:tc>
        <w:tc>
          <w:tcPr>
            <w:tcW w:w="851" w:type="dxa"/>
          </w:tcPr>
          <w:p w:rsidR="00C52695" w:rsidRDefault="00C52695" w:rsidP="00C52695"/>
        </w:tc>
      </w:tr>
    </w:tbl>
    <w:p w:rsidR="00C52695" w:rsidRDefault="00C52695" w:rsidP="00C52695">
      <w:pPr>
        <w:pStyle w:val="AERtablesource"/>
      </w:pPr>
      <w:r>
        <w:t>Source:</w:t>
      </w:r>
      <w:r>
        <w:tab/>
        <w:t>AER analysis; service providers' initial and revised proposals; Tribunal decisions.</w:t>
      </w:r>
    </w:p>
    <w:p w:rsidR="00C52695" w:rsidRPr="00883125" w:rsidRDefault="00C52695" w:rsidP="00C52695">
      <w:r>
        <w:t>We have also received a number of submissions on gamma from consumer representatives. These are</w:t>
      </w:r>
      <w:r w:rsidRPr="00031E20">
        <w:t xml:space="preserve"> </w:t>
      </w:r>
      <w:r w:rsidRPr="00883125">
        <w:t>summarised below:</w:t>
      </w:r>
    </w:p>
    <w:p w:rsidR="00C52695" w:rsidRPr="001D37D5" w:rsidRDefault="00C52695" w:rsidP="00C52695">
      <w:pPr>
        <w:pStyle w:val="AERbulletlistfirststyle"/>
      </w:pPr>
      <w:r w:rsidRPr="00883125">
        <w:t xml:space="preserve">The CCP </w:t>
      </w:r>
      <w:r w:rsidR="007D69CB">
        <w:t xml:space="preserve">for the NSW electricity networks </w:t>
      </w:r>
      <w:r w:rsidRPr="00883125">
        <w:t>expressed a view that suggests we should take into account the interrelationship with the corporate tax allowance when determining the value of imputation credits.</w:t>
      </w:r>
      <w:r w:rsidRPr="001D37D5">
        <w:rPr>
          <w:rStyle w:val="FootnoteReference"/>
        </w:rPr>
        <w:footnoteReference w:id="204"/>
      </w:r>
      <w:r w:rsidRPr="001D37D5">
        <w:t xml:space="preserve"> We address this in section </w:t>
      </w:r>
      <w:r w:rsidRPr="001D37D5">
        <w:fldChar w:fldCharType="begin"/>
      </w:r>
      <w:r w:rsidRPr="001D37D5">
        <w:instrText xml:space="preserve"> REF _Ref415070818 \r \h </w:instrText>
      </w:r>
      <w:r w:rsidRPr="001D37D5">
        <w:fldChar w:fldCharType="separate"/>
      </w:r>
      <w:r w:rsidR="00812A72">
        <w:t>4.3.4</w:t>
      </w:r>
      <w:r w:rsidRPr="001D37D5">
        <w:fldChar w:fldCharType="end"/>
      </w:r>
      <w:r w:rsidRPr="001D37D5">
        <w:t>.</w:t>
      </w:r>
    </w:p>
    <w:p w:rsidR="00C52695" w:rsidRPr="001D37D5" w:rsidRDefault="00C52695" w:rsidP="00C52695">
      <w:pPr>
        <w:pStyle w:val="AERbulletlistfirststyle"/>
      </w:pPr>
      <w:r w:rsidRPr="00883125">
        <w:t>The Public Interest Advocacy Centre (PIAC) submitted that the Australian Competition Tribunal's decision in 2011 to rely on an estimate of the utilisation rate from the 2011 version of SFG's dividend drop off study should not be viewed as permanently determinative.</w:t>
      </w:r>
      <w:r w:rsidRPr="001D37D5">
        <w:rPr>
          <w:rStyle w:val="FootnoteReference"/>
        </w:rPr>
        <w:footnoteReference w:id="205"/>
      </w:r>
      <w:r w:rsidRPr="001D37D5">
        <w:t xml:space="preserve"> We agree with these comments in light of the Tribunal's finding that:</w:t>
      </w:r>
      <w:r w:rsidRPr="001D37D5">
        <w:rPr>
          <w:rStyle w:val="FootnoteReference"/>
        </w:rPr>
        <w:footnoteReference w:id="206"/>
      </w:r>
    </w:p>
    <w:p w:rsidR="00C52695" w:rsidRPr="00883125" w:rsidRDefault="00C52695" w:rsidP="00C52695">
      <w:pPr>
        <w:pStyle w:val="AERquote"/>
      </w:pPr>
      <w:r w:rsidRPr="00883125">
        <w:t>Further, the Tribunal notes that estimation of a parameter such as gamma [the value of imputation credits] is necessarily, and desirably, an ongoing intellectual and empirical endeavour. Its decision in these proceedings is based on the material before it.</w:t>
      </w:r>
    </w:p>
    <w:p w:rsidR="00C52695" w:rsidRPr="001D37D5" w:rsidRDefault="00C52695" w:rsidP="00C52695">
      <w:pPr>
        <w:pStyle w:val="AERbulletlistfirststyle"/>
      </w:pPr>
      <w:r w:rsidRPr="00883125">
        <w:t>PIAC also submitted that our draft decisions adequately set out the reasons for departing from the value of imputation credits in the Guideline.</w:t>
      </w:r>
      <w:r w:rsidRPr="001D37D5">
        <w:rPr>
          <w:rStyle w:val="FootnoteReference"/>
        </w:rPr>
        <w:footnoteReference w:id="207"/>
      </w:r>
    </w:p>
    <w:p w:rsidR="00C52695" w:rsidRPr="001D37D5" w:rsidRDefault="00C52695" w:rsidP="00C52695">
      <w:pPr>
        <w:pStyle w:val="AERbulletlistfirststyle"/>
      </w:pPr>
      <w:r w:rsidRPr="00883125">
        <w:t xml:space="preserve">The Energy Markets Reform Forum (EMRF) submitted that our estimates of the utilisation and distribution rates are lower (and, therefore more favourable to service providers) than those relevant to a pure play energy network (which is the benchmark </w:t>
      </w:r>
      <w:r w:rsidRPr="00883125">
        <w:lastRenderedPageBreak/>
        <w:t>efficient entity for setting the rate of return).</w:t>
      </w:r>
      <w:r w:rsidRPr="001D37D5">
        <w:rPr>
          <w:rStyle w:val="FootnoteReference"/>
        </w:rPr>
        <w:footnoteReference w:id="208"/>
      </w:r>
      <w:r w:rsidRPr="001D37D5">
        <w:t xml:space="preserve"> The EMRF also submitted that we should consider actual industry practices when determining the value of imputation credits—for example, the EMRF submitted that none of APA Group, Envestra Limited (pre-sale) or JGN's parent company had balances in their franking accounts.</w:t>
      </w:r>
      <w:r w:rsidRPr="001D37D5">
        <w:rPr>
          <w:rStyle w:val="FootnoteReference"/>
        </w:rPr>
        <w:footnoteReference w:id="209"/>
      </w:r>
      <w:r w:rsidRPr="001D37D5">
        <w:t xml:space="preserve"> To clarify, we have interpreted and estimated the value of imputation credits consistently with Officer's 1994 paper and related literature, such as Monkhouse. Under this literature, the utilisation rate is a market-wide parameter and the distribution rate is a firm specific parameter. We estimate the utilisation rate on a market-wide basis. Although the distribution rate is a firm specific parameter, we estimate it on a market-wide basis also and our reasons for doing so are set out in the Guideline.</w:t>
      </w:r>
      <w:r w:rsidRPr="001D37D5">
        <w:rPr>
          <w:rStyle w:val="FootnoteReference"/>
        </w:rPr>
        <w:footnoteReference w:id="210"/>
      </w:r>
    </w:p>
    <w:p w:rsidR="00C52695" w:rsidRPr="001D37D5" w:rsidRDefault="00C52695" w:rsidP="00C52695">
      <w:pPr>
        <w:pStyle w:val="AERbulletlistfirststyle"/>
      </w:pPr>
      <w:r w:rsidRPr="00883125">
        <w:t>The South Australian Council of Social Service (SACOSS) submitted, based on advice received from the South Australian Centre for Economic Studies that evidence was emerging for a value of imputation credits lower than the 0.5 in the Guideline.</w:t>
      </w:r>
      <w:r w:rsidRPr="001D37D5">
        <w:rPr>
          <w:rStyle w:val="FootnoteReference"/>
        </w:rPr>
        <w:footnoteReference w:id="211"/>
      </w:r>
      <w:r w:rsidRPr="001D37D5">
        <w:t xml:space="preserve"> SACOSS supported a value of imputation credits of at least 0.4. In a subsequent submission on the AER's preliminary decision for SA Power Networks</w:t>
      </w:r>
      <w:r w:rsidR="00DD0283">
        <w:t>,</w:t>
      </w:r>
      <w:r w:rsidRPr="001D37D5">
        <w:t xml:space="preserve"> SACOSS supported the AER's decision to use the lower estimate of gamma than in the rate of return guideline, although noting its preferred estimate was for a gamma of 0.36. However, given the AER is reporting gamma to one decimal place SACOSS acknowledged that its preferred estimate of 0.36 concurs with the AER's estimate of 0.4 to one decimal place.</w:t>
      </w:r>
      <w:r w:rsidRPr="001D37D5">
        <w:rPr>
          <w:rStyle w:val="FootnoteReference"/>
        </w:rPr>
        <w:footnoteReference w:id="212"/>
      </w:r>
    </w:p>
    <w:p w:rsidR="00C52695" w:rsidRPr="001D37D5" w:rsidRDefault="00C52695" w:rsidP="00C52695">
      <w:pPr>
        <w:pStyle w:val="AERbulletlistfirststyle"/>
      </w:pPr>
      <w:r w:rsidRPr="00883125">
        <w:t>The Energy Consumers Coalition of South Australia (ECCSA) considered that the service providers (who had submitted regulatory proposals to us in 2014) submitted no new evidence to change our conclusions in the Guideline regarding the value of imputation credits.</w:t>
      </w:r>
      <w:r w:rsidRPr="001D37D5">
        <w:rPr>
          <w:rStyle w:val="FootnoteReference"/>
        </w:rPr>
        <w:footnoteReference w:id="213"/>
      </w:r>
      <w:r w:rsidRPr="001D37D5">
        <w:t xml:space="preserve"> We set out in this decision how and why we have departed from the Guideline. In a subsequent submission on the AER's preliminary decision the ECCSA submitted that 'the AER has moved to a conservative position on the issue of gamma to the detriment of consumers' and it appeared 'the AER has based its assessment on lower utilisation and distribution rates than would otherwise be the case for a pure play energy network which is the benchmark entity for setting the WACC.</w:t>
      </w:r>
      <w:r w:rsidRPr="001D37D5">
        <w:rPr>
          <w:rStyle w:val="FootnoteReference"/>
        </w:rPr>
        <w:footnoteReference w:id="214"/>
      </w:r>
    </w:p>
    <w:p w:rsidR="00C52695" w:rsidRPr="001D37D5" w:rsidRDefault="00C52695" w:rsidP="00C52695">
      <w:pPr>
        <w:pStyle w:val="AERbulletlistfirststyle"/>
      </w:pPr>
      <w:r w:rsidRPr="00883125">
        <w:lastRenderedPageBreak/>
        <w:t xml:space="preserve">In a submission on </w:t>
      </w:r>
      <w:r w:rsidRPr="001D37D5">
        <w:t>our draft decision for Australian Gas Networks, the ECCSA consider that imposing an assumption that the benchmark entity would frank its dividend to the market average is a conservative assumption.</w:t>
      </w:r>
      <w:r w:rsidRPr="001D37D5">
        <w:rPr>
          <w:rStyle w:val="FootnoteReference"/>
        </w:rPr>
        <w:footnoteReference w:id="215"/>
      </w:r>
      <w:r w:rsidRPr="001D37D5">
        <w:t xml:space="preserve"> The AER considers that the benchmark selected to estimate gamma is appropriate. In section </w:t>
      </w:r>
      <w:r w:rsidRPr="001D37D5">
        <w:fldChar w:fldCharType="begin"/>
      </w:r>
      <w:r w:rsidRPr="001D37D5">
        <w:instrText xml:space="preserve"> REF _Ref403481194 \r \h </w:instrText>
      </w:r>
      <w:r w:rsidRPr="001D37D5">
        <w:fldChar w:fldCharType="separate"/>
      </w:r>
      <w:r w:rsidR="00812A72">
        <w:t>A.9.2</w:t>
      </w:r>
      <w:r w:rsidRPr="001D37D5">
        <w:fldChar w:fldCharType="end"/>
      </w:r>
      <w:r w:rsidRPr="001D37D5">
        <w:t xml:space="preserve"> and section </w:t>
      </w:r>
      <w:r w:rsidRPr="001D37D5">
        <w:fldChar w:fldCharType="begin"/>
      </w:r>
      <w:r w:rsidRPr="001D37D5">
        <w:instrText xml:space="preserve"> REF _Ref414289334 \r \h </w:instrText>
      </w:r>
      <w:r w:rsidRPr="001D37D5">
        <w:fldChar w:fldCharType="separate"/>
      </w:r>
      <w:r w:rsidR="00812A72">
        <w:t>A.10.1</w:t>
      </w:r>
      <w:r w:rsidRPr="001D37D5">
        <w:fldChar w:fldCharType="end"/>
      </w:r>
      <w:r w:rsidRPr="001D37D5">
        <w:t>, the AER considers that benchmark should be assessed holistically. Further, the ECCSA stated that it is inappropriate to reward offshore investors in energy networks by providing extra revenue when they have made a conscious decision to invest even though they gain no benefit from imputation.</w:t>
      </w:r>
      <w:r w:rsidRPr="001D37D5">
        <w:rPr>
          <w:rStyle w:val="FootnoteReference"/>
        </w:rPr>
        <w:footnoteReference w:id="216"/>
      </w:r>
      <w:r w:rsidRPr="001D37D5">
        <w:t xml:space="preserve"> In response, the AER considers that gamma and the return on equity are estimated on a consistent basis.</w:t>
      </w:r>
    </w:p>
    <w:p w:rsidR="00C52695" w:rsidRPr="001D37D5" w:rsidRDefault="00C52695" w:rsidP="00C52695">
      <w:pPr>
        <w:pStyle w:val="AERbulletlistfirststyle"/>
      </w:pPr>
      <w:r w:rsidRPr="00883125">
        <w:t>The Queensland Council of Social Service (QCOSS) submitted a 'more even-handed and consistent approach' would be a value of imputation credits of 0.5 as per the Guideline.</w:t>
      </w:r>
      <w:r w:rsidRPr="001D37D5">
        <w:rPr>
          <w:rStyle w:val="FootnoteReference"/>
        </w:rPr>
        <w:footnoteReference w:id="217"/>
      </w:r>
      <w:r w:rsidRPr="001D37D5">
        <w:t xml:space="preserve"> QCOSS had regard to a recent decision by the Queensland Competition Authority for a value of 0.47. We set out in this decision why we consider 0.4 to be the best estimate from within the range 0.3 to 0.5.</w:t>
      </w:r>
    </w:p>
    <w:p w:rsidR="00C52695" w:rsidRPr="001D37D5" w:rsidRDefault="00C52695" w:rsidP="00C52695">
      <w:pPr>
        <w:pStyle w:val="AERbulletlistfirststyle"/>
      </w:pPr>
      <w:r w:rsidRPr="00883125">
        <w:t>The Alliance of Electricity Consumers (the Alliance) employed a value of imputation credits of 0.25 in its estimation of an efficient rate of return.</w:t>
      </w:r>
      <w:r w:rsidRPr="001D37D5">
        <w:rPr>
          <w:rStyle w:val="FootnoteReference"/>
        </w:rPr>
        <w:footnoteReference w:id="218"/>
      </w:r>
      <w:r w:rsidRPr="001D37D5">
        <w:t xml:space="preserve"> However, the Alliance provided no discussion or justification for the use of this estimate. Regardless, the Alliance submitted that the appropriate rate of return was 3.76 per cent, which is less than half the rate of return typically proposed by the service providers.</w:t>
      </w:r>
    </w:p>
    <w:p w:rsidR="00C52695" w:rsidRDefault="00C52695" w:rsidP="00C52695">
      <w:pPr>
        <w:pStyle w:val="AERbulletlistfirststyle"/>
      </w:pPr>
      <w:r w:rsidRPr="00883125">
        <w:t>UnitingCare Australia supported our value for gamma, if a value for gamma is necessary.</w:t>
      </w:r>
      <w:r w:rsidRPr="001D37D5">
        <w:rPr>
          <w:rStyle w:val="FootnoteReference"/>
        </w:rPr>
        <w:footnoteReference w:id="219"/>
      </w:r>
      <w:bookmarkStart w:id="127" w:name="_Toc450119234"/>
      <w:bookmarkStart w:id="128" w:name="_Toc450119396"/>
      <w:bookmarkStart w:id="129" w:name="_Toc450119236"/>
      <w:bookmarkStart w:id="130" w:name="_Toc450119398"/>
      <w:bookmarkStart w:id="131" w:name="_Toc450119239"/>
      <w:bookmarkStart w:id="132" w:name="_Toc450119401"/>
      <w:bookmarkEnd w:id="127"/>
      <w:bookmarkEnd w:id="128"/>
      <w:bookmarkEnd w:id="129"/>
      <w:bookmarkEnd w:id="130"/>
      <w:bookmarkEnd w:id="131"/>
      <w:bookmarkEnd w:id="132"/>
    </w:p>
    <w:p w:rsidR="00C52695" w:rsidRDefault="00C52695" w:rsidP="00C52695">
      <w:pPr>
        <w:pStyle w:val="AERbulletlistfirststyle"/>
      </w:pPr>
      <w:r>
        <w:t xml:space="preserve">The CCP </w:t>
      </w:r>
      <w:r w:rsidR="003B47A6">
        <w:t xml:space="preserve">for AusNet Service Transmission </w:t>
      </w:r>
      <w:r>
        <w:t>sees no clear reason for a further downward departure from the guideline gamma estimate of 0.5.</w:t>
      </w:r>
      <w:r>
        <w:rPr>
          <w:rStyle w:val="FootnoteReference"/>
        </w:rPr>
        <w:footnoteReference w:id="220"/>
      </w:r>
      <w:r>
        <w:t xml:space="preserve"> Their view is that gamma should be at least 0.5 because a higher gamma better meets the NEO and given the imprecision around estimating this input in the revenue calculation.</w:t>
      </w:r>
      <w:r>
        <w:rPr>
          <w:rStyle w:val="FootnoteReference"/>
        </w:rPr>
        <w:footnoteReference w:id="221"/>
      </w:r>
      <w:r>
        <w:t xml:space="preserve"> We agree that estimating gamma is an imprecise exercise. However, we consider that a gamma estimate of 0.4 meets the requirement of the NEO.</w:t>
      </w:r>
    </w:p>
    <w:p w:rsidR="00C52695" w:rsidRPr="007E0D5C" w:rsidRDefault="00C52695" w:rsidP="00C52695">
      <w:pPr>
        <w:pStyle w:val="AERbulletlistfirststyle"/>
      </w:pPr>
      <w:r w:rsidRPr="007E0D5C">
        <w:lastRenderedPageBreak/>
        <w:t xml:space="preserve">Tasmanian Counsel of Social Service (TasCOSS) </w:t>
      </w:r>
      <w:r w:rsidR="00DD0283">
        <w:t>believes</w:t>
      </w:r>
      <w:r w:rsidRPr="007E0D5C">
        <w:t xml:space="preserve"> </w:t>
      </w:r>
      <w:r>
        <w:t xml:space="preserve">that gamma should be set consistently with </w:t>
      </w:r>
      <w:r w:rsidRPr="007E0D5C">
        <w:t>the AER's rate of return guideline which was developed by the independent regulator after broad consultation and consideration.</w:t>
      </w:r>
      <w:r w:rsidRPr="007E0D5C">
        <w:rPr>
          <w:rStyle w:val="FootnoteReference"/>
        </w:rPr>
        <w:footnoteReference w:id="222"/>
      </w:r>
      <w:r w:rsidRPr="007E0D5C">
        <w:t xml:space="preserve"> Further, the Tasmanian Small Business Council has strong reservations about the AER's decision to depart from its own guideline in moving </w:t>
      </w:r>
      <w:r w:rsidRPr="00A96789">
        <w:t xml:space="preserve">its gamma estimate </w:t>
      </w:r>
      <w:r w:rsidRPr="007E0D5C">
        <w:t xml:space="preserve">down to 0.4 from </w:t>
      </w:r>
      <w:r>
        <w:t xml:space="preserve">the </w:t>
      </w:r>
      <w:r w:rsidRPr="007E0D5C">
        <w:t xml:space="preserve">0.5 </w:t>
      </w:r>
      <w:r>
        <w:t xml:space="preserve">value </w:t>
      </w:r>
      <w:r w:rsidRPr="007E0D5C">
        <w:t>it originally set.</w:t>
      </w:r>
      <w:r w:rsidRPr="007E0D5C">
        <w:rPr>
          <w:rStyle w:val="FootnoteReference"/>
        </w:rPr>
        <w:footnoteReference w:id="223"/>
      </w:r>
      <w:r w:rsidRPr="007E0D5C">
        <w:t xml:space="preserve"> However, the AER considers there is persuasive evidence to move away from the 0.5 gamma estimate in the rate of return guideline</w:t>
      </w:r>
      <w:r>
        <w:t>, as set out in this chapter</w:t>
      </w:r>
      <w:r w:rsidRPr="007E0D5C">
        <w:t>. The AER considers that a gamma of 0.4 is currently appropriate.</w:t>
      </w:r>
    </w:p>
    <w:p w:rsidR="00C52695" w:rsidRPr="00C52695" w:rsidRDefault="00C52695" w:rsidP="00C52695">
      <w:pPr>
        <w:pStyle w:val="AERbulletlistfirststyle"/>
      </w:pPr>
      <w:r w:rsidRPr="007E0D5C">
        <w:t>The CCP</w:t>
      </w:r>
      <w:r w:rsidR="005E2393">
        <w:t>4</w:t>
      </w:r>
      <w:r w:rsidRPr="007E0D5C">
        <w:t xml:space="preserve"> </w:t>
      </w:r>
      <w:r w:rsidR="007D69CB">
        <w:t xml:space="preserve">for TasNetworks </w:t>
      </w:r>
      <w:r w:rsidR="00DD0283">
        <w:t>considered</w:t>
      </w:r>
      <w:r w:rsidRPr="007E0D5C">
        <w:t xml:space="preserve"> the AER guideline </w:t>
      </w:r>
      <w:r w:rsidRPr="00C52695">
        <w:t>should be applied in respect to gamma, especially as gamma only has value where there are shareholders subject to the Commonwealth tax on business profits. For regulated businesses that are government owned and not subject to this tax, setting gamma at a level lower than unity merely increases the revenue to these businesses with little legitimate basis and therefore this is an unnecessary cost that is being transferred to consumers.</w:t>
      </w:r>
      <w:r w:rsidRPr="00C52695">
        <w:rPr>
          <w:rStyle w:val="FootnoteReference"/>
        </w:rPr>
        <w:footnoteReference w:id="224"/>
      </w:r>
      <w:r w:rsidRPr="00C52695">
        <w:t xml:space="preserve"> </w:t>
      </w:r>
      <w:r w:rsidR="00452BA3">
        <w:t>I</w:t>
      </w:r>
      <w:r w:rsidR="00CC480F">
        <w:t xml:space="preserve">n </w:t>
      </w:r>
      <w:r w:rsidR="00452BA3">
        <w:t>its</w:t>
      </w:r>
      <w:r w:rsidR="00CC480F">
        <w:t xml:space="preserve"> submission on the AER draft decision and TasNetworks revised proposal, the CCP</w:t>
      </w:r>
      <w:r w:rsidR="005E2393">
        <w:t>4</w:t>
      </w:r>
      <w:r w:rsidR="00CC480F">
        <w:t xml:space="preserve"> for TasNetworks continues to hold this view.</w:t>
      </w:r>
      <w:r w:rsidR="00CC480F">
        <w:rPr>
          <w:rStyle w:val="FootnoteReference"/>
        </w:rPr>
        <w:footnoteReference w:id="225"/>
      </w:r>
      <w:r w:rsidR="00CC480F">
        <w:t xml:space="preserve"> </w:t>
      </w:r>
      <w:r w:rsidRPr="00C52695">
        <w:t>The AER does not agree and considers there should a single benchmark for the rate of return for the reasons set out in Attachment 3 to this decision. The requirement to estimate gamma consistently with the rate of return means gamma should be determined based on the same single benchmark.</w:t>
      </w:r>
    </w:p>
    <w:p w:rsidR="001A13F8" w:rsidRDefault="001A13F8" w:rsidP="00B01A20">
      <w:pPr>
        <w:pStyle w:val="AERbulletlistfirststyle"/>
      </w:pPr>
      <w:r>
        <w:t xml:space="preserve">The CCP for AusNet Services' Transmission considers there is no correct value for gamma and there is </w:t>
      </w:r>
      <w:r w:rsidR="000E71C3">
        <w:t>considerable</w:t>
      </w:r>
      <w:r>
        <w:t xml:space="preserve"> </w:t>
      </w:r>
      <w:r w:rsidR="000E71C3">
        <w:t xml:space="preserve">imprecision around estimating </w:t>
      </w:r>
      <w:r w:rsidR="00EE209C">
        <w:t>it</w:t>
      </w:r>
      <w:r w:rsidR="000E71C3">
        <w:t xml:space="preserve">. The CCP for AusNet Services' </w:t>
      </w:r>
      <w:r w:rsidR="00EE209C">
        <w:t xml:space="preserve">Transmission </w:t>
      </w:r>
      <w:r w:rsidR="000E71C3">
        <w:t>considers the AER's approach is more robust than the methodology sought by the regulated businesses and that the AER should not buy into technical arguments from the regulated businesses that contain many debateable assumptions.</w:t>
      </w:r>
      <w:r w:rsidR="000E71C3">
        <w:rPr>
          <w:rStyle w:val="FootnoteReference"/>
        </w:rPr>
        <w:footnoteReference w:id="226"/>
      </w:r>
      <w:r w:rsidR="000E71C3">
        <w:t xml:space="preserve"> </w:t>
      </w:r>
      <w:r w:rsidR="00EE209C">
        <w:t>We agree</w:t>
      </w:r>
      <w:r w:rsidR="000E71C3">
        <w:t xml:space="preserve"> that gamma is a parameter that is imprecise to measure. </w:t>
      </w:r>
      <w:r w:rsidR="00EE209C">
        <w:t>We have</w:t>
      </w:r>
      <w:r w:rsidR="000E71C3">
        <w:t xml:space="preserve"> assesse</w:t>
      </w:r>
      <w:r w:rsidR="00C4561A">
        <w:t>d</w:t>
      </w:r>
      <w:r w:rsidR="000E71C3">
        <w:t xml:space="preserve"> the regulated businesses submission</w:t>
      </w:r>
      <w:r w:rsidR="009528C0">
        <w:t>s and overall consider</w:t>
      </w:r>
      <w:r w:rsidR="000E71C3">
        <w:t xml:space="preserve"> a gamma estimate of 0.4 </w:t>
      </w:r>
      <w:r w:rsidR="001A0EE0">
        <w:t xml:space="preserve">still </w:t>
      </w:r>
      <w:r w:rsidR="000E71C3">
        <w:t>remains appropriate</w:t>
      </w:r>
      <w:r w:rsidR="00B01A20">
        <w:t>.</w:t>
      </w:r>
    </w:p>
    <w:p w:rsidR="00B01A20" w:rsidRDefault="00C43D62" w:rsidP="00B01A20">
      <w:pPr>
        <w:pStyle w:val="AERbulletlistfirststyle"/>
      </w:pPr>
      <w:r>
        <w:t xml:space="preserve">The CCP4 (Headberry) for TasNetworks considers that the AER's gamma estimate is conservative and it </w:t>
      </w:r>
      <w:r w:rsidR="00116542">
        <w:t>should be reassessed in the next guideline review in the next 2 years. Given this</w:t>
      </w:r>
      <w:r w:rsidR="00850EA5">
        <w:t>,</w:t>
      </w:r>
      <w:r w:rsidR="00116542">
        <w:t xml:space="preserve"> the current guideline estimate should apply to TasNetworks.</w:t>
      </w:r>
      <w:r w:rsidR="00116542">
        <w:rPr>
          <w:rStyle w:val="FootnoteReference"/>
        </w:rPr>
        <w:footnoteReference w:id="227"/>
      </w:r>
      <w:r w:rsidR="00116542">
        <w:t xml:space="preserve"> We do not agree as we have moved away from the guidelines gamma estimate of 0.5. </w:t>
      </w:r>
      <w:r w:rsidR="00116542">
        <w:lastRenderedPageBreak/>
        <w:t>Reassessing the evidence before us since the guideline review, we consider a gamma estimate of 0.4 is appropriate.</w:t>
      </w:r>
    </w:p>
    <w:p w:rsidR="00857430" w:rsidRDefault="00857430" w:rsidP="00B01A20">
      <w:pPr>
        <w:pStyle w:val="AERbulletlistfirststyle"/>
      </w:pPr>
      <w:r>
        <w:t xml:space="preserve">The </w:t>
      </w:r>
      <w:r w:rsidR="00452BA3" w:rsidRPr="007E0D5C">
        <w:t xml:space="preserve">Tasmanian Small Business Council </w:t>
      </w:r>
      <w:r>
        <w:t>supports the AER's gamma estimate of 0.4, and notes that this value has been set with extensive and wide ranging consultation. It believes the 0.4 gamma value should stand unless it is overturned by the eventual outcome of the appeals process.</w:t>
      </w:r>
      <w:r>
        <w:rPr>
          <w:rStyle w:val="FootnoteReference"/>
        </w:rPr>
        <w:footnoteReference w:id="228"/>
      </w:r>
      <w:r>
        <w:t xml:space="preserve"> The CCP</w:t>
      </w:r>
      <w:r w:rsidR="005E2393">
        <w:t>4</w:t>
      </w:r>
      <w:r>
        <w:t xml:space="preserve"> (Headberry) </w:t>
      </w:r>
      <w:r w:rsidR="005E2393">
        <w:t xml:space="preserve">for Powerlink </w:t>
      </w:r>
      <w:r>
        <w:t>notes that despite the SAPN Tribunal upholding the 0.</w:t>
      </w:r>
      <w:r w:rsidR="00452BA3">
        <w:t>4</w:t>
      </w:r>
      <w:r>
        <w:t xml:space="preserve"> gamma estimate, Powerlink expresses a desire to benefit from a lower gamma estimate if this is the result of the Full Federal Court.</w:t>
      </w:r>
      <w:r w:rsidR="00F439A9">
        <w:rPr>
          <w:rStyle w:val="FootnoteReference"/>
        </w:rPr>
        <w:footnoteReference w:id="229"/>
      </w:r>
      <w:r>
        <w:t xml:space="preserve"> At the time </w:t>
      </w:r>
      <w:r w:rsidR="00BF378B">
        <w:t>we released</w:t>
      </w:r>
      <w:r>
        <w:t xml:space="preserve"> </w:t>
      </w:r>
      <w:r w:rsidR="00BF378B">
        <w:t>this final decision, the outcome of both Full Federal Court decisions was unknown. As a result, we have been unable to incorporate the Full Federal Court</w:t>
      </w:r>
      <w:r w:rsidR="00922C6D">
        <w:t>'</w:t>
      </w:r>
      <w:r w:rsidR="00BF378B">
        <w:t xml:space="preserve">s decision in this final decision. Further, we </w:t>
      </w:r>
      <w:r w:rsidR="00913303">
        <w:t>consider</w:t>
      </w:r>
      <w:r w:rsidR="00BF378B">
        <w:t xml:space="preserve"> it is inappropriate to adjust the total revenue for the service providers within the access arrangement (either via cost pass through or x-factor mechanism) for the </w:t>
      </w:r>
      <w:r w:rsidR="00664394">
        <w:t>outcome of the Full Federal Court decision on gamma.</w:t>
      </w:r>
    </w:p>
    <w:p w:rsidR="00C52695" w:rsidRPr="00021F98" w:rsidRDefault="00C52695" w:rsidP="00021F98">
      <w:pPr>
        <w:pStyle w:val="Heading7"/>
      </w:pPr>
      <w:bookmarkStart w:id="133" w:name="_Toc436049441"/>
      <w:bookmarkStart w:id="134" w:name="_Toc451842245"/>
      <w:bookmarkStart w:id="135" w:name="_Toc451938301"/>
      <w:bookmarkStart w:id="136" w:name="_Toc456614289"/>
      <w:bookmarkStart w:id="137" w:name="_Toc462823307"/>
      <w:bookmarkStart w:id="138" w:name="_Toc481061455"/>
      <w:r w:rsidRPr="00021F98">
        <w:lastRenderedPageBreak/>
        <w:t>Value of imputation credits: Detailed analysis</w:t>
      </w:r>
      <w:bookmarkEnd w:id="133"/>
      <w:bookmarkEnd w:id="134"/>
      <w:bookmarkEnd w:id="135"/>
      <w:bookmarkEnd w:id="136"/>
      <w:bookmarkEnd w:id="137"/>
      <w:bookmarkEnd w:id="138"/>
    </w:p>
    <w:p w:rsidR="00C52695" w:rsidRPr="00883125" w:rsidRDefault="00C52695" w:rsidP="00C52695">
      <w:r w:rsidRPr="00883125">
        <w:t>In attachment 4, we set out our decision on the value of imputation credits</w:t>
      </w:r>
      <w:r>
        <w:t xml:space="preserve"> (gamma)</w:t>
      </w:r>
      <w:r w:rsidRPr="00883125">
        <w:t>—which is to adopt a value of 0.4—and our key reasons for that view. We also indicated the position submitted to us by the service providers and briefly set out our consideration of that position. In this appendix, we set out further supporting material for our decision on the value of imputation credits. We also respond in more detail to the position submitted to us by the service providers.</w:t>
      </w:r>
    </w:p>
    <w:p w:rsidR="00664394" w:rsidRDefault="00001B62" w:rsidP="00C52695">
      <w:pPr>
        <w:numPr>
          <w:ilvl w:val="0"/>
          <w:numId w:val="24"/>
        </w:numPr>
      </w:pPr>
      <w:r>
        <w:t>AusNet Service</w:t>
      </w:r>
      <w:r w:rsidR="001A0EE0">
        <w:t>s</w:t>
      </w:r>
      <w:r>
        <w:t xml:space="preserve"> has proposed a value of imputation credits of 0.25.</w:t>
      </w:r>
      <w:r>
        <w:rPr>
          <w:rStyle w:val="FootnoteReference"/>
        </w:rPr>
        <w:footnoteReference w:id="230"/>
      </w:r>
      <w:r w:rsidDel="00D85A4C">
        <w:t xml:space="preserve"> </w:t>
      </w:r>
      <w:r>
        <w:t xml:space="preserve">This being the product of </w:t>
      </w:r>
      <w:r w:rsidR="001A0EE0">
        <w:t>a</w:t>
      </w:r>
      <w:r>
        <w:t xml:space="preserve"> distribution rate of 0.7 and </w:t>
      </w:r>
      <w:r w:rsidR="00F45579">
        <w:t xml:space="preserve">a </w:t>
      </w:r>
      <w:r>
        <w:t>theta (utilisation value) of 0.35.</w:t>
      </w:r>
      <w:r>
        <w:rPr>
          <w:rStyle w:val="FootnoteReference"/>
        </w:rPr>
        <w:footnoteReference w:id="231"/>
      </w:r>
      <w:r w:rsidR="00815596">
        <w:t xml:space="preserve"> </w:t>
      </w:r>
      <w:r>
        <w:t>AusNet Services submits this value has recently been upheld by the Australian Competition Tribunal for the second time and reflects the value implied by the most reliable evidence available.</w:t>
      </w:r>
      <w:r>
        <w:rPr>
          <w:rStyle w:val="FootnoteReference"/>
        </w:rPr>
        <w:footnoteReference w:id="232"/>
      </w:r>
      <w:r>
        <w:t xml:space="preserve"> In support of its submission AusNet </w:t>
      </w:r>
      <w:r w:rsidR="001A0EE0">
        <w:t xml:space="preserve">Services has </w:t>
      </w:r>
      <w:r>
        <w:t xml:space="preserve">submitted two new </w:t>
      </w:r>
      <w:r w:rsidR="001A0EE0">
        <w:t xml:space="preserve">consulting </w:t>
      </w:r>
      <w:r>
        <w:t>reports from Frontier Economics.</w:t>
      </w:r>
      <w:r>
        <w:rPr>
          <w:rStyle w:val="FootnoteReference"/>
        </w:rPr>
        <w:footnoteReference w:id="233"/>
      </w:r>
    </w:p>
    <w:p w:rsidR="00C52695" w:rsidRPr="00883125" w:rsidRDefault="00C52695" w:rsidP="00C52695">
      <w:r w:rsidRPr="00883125">
        <w:t xml:space="preserve">Consistent with our </w:t>
      </w:r>
      <w:r>
        <w:t>recent 2016</w:t>
      </w:r>
      <w:r w:rsidRPr="00883125">
        <w:t xml:space="preserve"> decision</w:t>
      </w:r>
      <w:r>
        <w:t>s</w:t>
      </w:r>
      <w:r w:rsidRPr="00883125">
        <w:t xml:space="preserve">, in </w:t>
      </w:r>
      <w:r w:rsidR="00180C78">
        <w:t xml:space="preserve">this </w:t>
      </w:r>
      <w:r w:rsidR="00332BB9">
        <w:t>final</w:t>
      </w:r>
      <w:r w:rsidR="00332BB9" w:rsidRPr="00883125">
        <w:t xml:space="preserve"> </w:t>
      </w:r>
      <w:r w:rsidRPr="00883125">
        <w:t>decision we have adopted a value of 0.4 for gamma. We remain of the view 0.4 is appropriate having given careful consideration</w:t>
      </w:r>
      <w:r w:rsidR="001453E4">
        <w:t xml:space="preserve"> to all the material before us.</w:t>
      </w:r>
    </w:p>
    <w:p w:rsidR="00C52695" w:rsidRDefault="00C52695" w:rsidP="00C52695">
      <w:r>
        <w:t>This appendix is structured under the following headings:</w:t>
      </w:r>
    </w:p>
    <w:p w:rsidR="00C52695" w:rsidRPr="001D37D5" w:rsidRDefault="00C52695" w:rsidP="00C52695">
      <w:pPr>
        <w:pStyle w:val="AERbulletlistfirststyle"/>
      </w:pPr>
      <w:r>
        <w:t>expert views</w:t>
      </w:r>
      <w:r w:rsidRPr="001D37D5">
        <w:t xml:space="preserve"> on the value of imputation credits</w:t>
      </w:r>
      <w:r w:rsidRPr="001D37D5" w:rsidDel="00BD4879">
        <w:t xml:space="preserve"> </w:t>
      </w:r>
    </w:p>
    <w:p w:rsidR="00C52695" w:rsidRPr="001D37D5" w:rsidRDefault="00C52695" w:rsidP="00C52695">
      <w:pPr>
        <w:pStyle w:val="AERbulletlistfirststyle"/>
      </w:pPr>
      <w:r>
        <w:t xml:space="preserve">the </w:t>
      </w:r>
      <w:r w:rsidRPr="001D37D5">
        <w:t>value of imputation credits used by other regulators</w:t>
      </w:r>
      <w:r w:rsidRPr="001D37D5" w:rsidDel="00BD4879">
        <w:t xml:space="preserve"> </w:t>
      </w:r>
    </w:p>
    <w:p w:rsidR="00C52695" w:rsidRPr="001D37D5" w:rsidRDefault="00C52695" w:rsidP="00C52695">
      <w:pPr>
        <w:pStyle w:val="AERbulletlistfirststyle"/>
      </w:pPr>
      <w:r>
        <w:t xml:space="preserve">previous </w:t>
      </w:r>
      <w:r w:rsidRPr="001D37D5">
        <w:t>Australian Competition Tribunal (Tribunal) considerations</w:t>
      </w:r>
    </w:p>
    <w:p w:rsidR="00C52695" w:rsidRPr="001D37D5" w:rsidRDefault="00C52695" w:rsidP="00C52695">
      <w:pPr>
        <w:pStyle w:val="AERbulletlistfirststyle"/>
      </w:pPr>
      <w:r>
        <w:t>key</w:t>
      </w:r>
      <w:r w:rsidRPr="001D37D5" w:rsidDel="00BD4879">
        <w:t xml:space="preserve"> </w:t>
      </w:r>
      <w:r w:rsidRPr="001D37D5">
        <w:t>concerns of the service providers</w:t>
      </w:r>
      <w:r w:rsidRPr="001D37D5" w:rsidDel="00BD4879">
        <w:t xml:space="preserve"> </w:t>
      </w:r>
    </w:p>
    <w:p w:rsidR="00C52695" w:rsidRPr="001D37D5" w:rsidRDefault="00C52695" w:rsidP="00C52695">
      <w:pPr>
        <w:pStyle w:val="AERbulletlistfirststyle"/>
      </w:pPr>
      <w:r>
        <w:t xml:space="preserve">the </w:t>
      </w:r>
      <w:r w:rsidRPr="001D37D5">
        <w:t>role of the value of imputation credits in the regulatory framework</w:t>
      </w:r>
      <w:r w:rsidRPr="001D37D5" w:rsidDel="00BD4879">
        <w:t xml:space="preserve"> </w:t>
      </w:r>
    </w:p>
    <w:p w:rsidR="00C52695" w:rsidRPr="001D37D5" w:rsidRDefault="00C52695" w:rsidP="00C52695">
      <w:pPr>
        <w:pStyle w:val="AERbulletlistfirststyle"/>
      </w:pPr>
      <w:r>
        <w:t xml:space="preserve">the </w:t>
      </w:r>
      <w:r w:rsidRPr="001D37D5">
        <w:t>conceptual framework for the value of imputation credits</w:t>
      </w:r>
      <w:r w:rsidRPr="001D37D5" w:rsidDel="00BD4879">
        <w:t xml:space="preserve"> </w:t>
      </w:r>
    </w:p>
    <w:p w:rsidR="00C52695" w:rsidRPr="001D37D5" w:rsidRDefault="00C52695" w:rsidP="00C52695">
      <w:pPr>
        <w:pStyle w:val="AERbulletlistfirststyle"/>
      </w:pPr>
      <w:r>
        <w:t xml:space="preserve">Professor Stephen Gray's (Gray's) </w:t>
      </w:r>
      <w:r w:rsidRPr="001D37D5">
        <w:t>comments on the conceptual framework</w:t>
      </w:r>
    </w:p>
    <w:p w:rsidR="00C52695" w:rsidRPr="001D37D5" w:rsidRDefault="00C52695" w:rsidP="00C52695">
      <w:pPr>
        <w:pStyle w:val="AERbulletlistfirststyle"/>
      </w:pPr>
      <w:r>
        <w:t>further</w:t>
      </w:r>
      <w:r w:rsidRPr="001D37D5" w:rsidDel="00BD4879">
        <w:t xml:space="preserve"> </w:t>
      </w:r>
      <w:r w:rsidRPr="001D37D5">
        <w:t>issues relating to the utilisation rate</w:t>
      </w:r>
      <w:r w:rsidRPr="001D37D5" w:rsidDel="00BD4879">
        <w:t xml:space="preserve"> </w:t>
      </w:r>
    </w:p>
    <w:p w:rsidR="00C52695" w:rsidRPr="001D37D5" w:rsidRDefault="00C52695" w:rsidP="00C52695">
      <w:pPr>
        <w:pStyle w:val="AERbulletlistfirststyle"/>
      </w:pPr>
      <w:r>
        <w:lastRenderedPageBreak/>
        <w:t xml:space="preserve">estimation </w:t>
      </w:r>
      <w:r w:rsidRPr="001D37D5">
        <w:t>approach considerations</w:t>
      </w:r>
      <w:r w:rsidRPr="001D37D5" w:rsidDel="00BD4879">
        <w:t xml:space="preserve"> </w:t>
      </w:r>
    </w:p>
    <w:p w:rsidR="00C52695" w:rsidRPr="001D37D5" w:rsidRDefault="00C52695" w:rsidP="00C52695">
      <w:pPr>
        <w:pStyle w:val="AERbulletlistfirststyle"/>
      </w:pPr>
      <w:r>
        <w:t xml:space="preserve">estimating </w:t>
      </w:r>
      <w:r w:rsidRPr="001D37D5">
        <w:t>the distribution rate</w:t>
      </w:r>
    </w:p>
    <w:p w:rsidR="00C52695" w:rsidRPr="001D37D5" w:rsidRDefault="00C52695" w:rsidP="00C52695">
      <w:pPr>
        <w:pStyle w:val="AERbulletlistfirststyle"/>
      </w:pPr>
      <w:r>
        <w:t xml:space="preserve">application </w:t>
      </w:r>
      <w:r w:rsidRPr="001D37D5">
        <w:t>of rate of return criteria to evidence on the utilisation rate</w:t>
      </w:r>
    </w:p>
    <w:p w:rsidR="00C52695" w:rsidRPr="001D37D5" w:rsidRDefault="00C52695" w:rsidP="00C52695">
      <w:pPr>
        <w:pStyle w:val="AERbulletlistfirststyle"/>
      </w:pPr>
      <w:r>
        <w:t xml:space="preserve">the </w:t>
      </w:r>
      <w:r w:rsidRPr="001D37D5">
        <w:t>equity ownership approach</w:t>
      </w:r>
    </w:p>
    <w:p w:rsidR="00C52695" w:rsidRPr="001D37D5" w:rsidRDefault="00C52695" w:rsidP="00C52695">
      <w:pPr>
        <w:pStyle w:val="AERbulletlistfirststyle"/>
      </w:pPr>
      <w:r>
        <w:t>tax statistics</w:t>
      </w:r>
    </w:p>
    <w:p w:rsidR="00C52695" w:rsidRPr="001D37D5" w:rsidRDefault="00C52695" w:rsidP="00C52695">
      <w:pPr>
        <w:pStyle w:val="AERbulletlistfirststyle"/>
      </w:pPr>
      <w:r>
        <w:t xml:space="preserve">the </w:t>
      </w:r>
      <w:r w:rsidRPr="001D37D5">
        <w:t>difference between equity ownership approach and tax statistics</w:t>
      </w:r>
    </w:p>
    <w:p w:rsidR="00C52695" w:rsidRDefault="00C52695" w:rsidP="00C52695">
      <w:pPr>
        <w:pStyle w:val="AERbulletlistfirststyle"/>
      </w:pPr>
      <w:r w:rsidRPr="00B27BE5">
        <w:t>implied market value studies</w:t>
      </w:r>
    </w:p>
    <w:p w:rsidR="00547DB6" w:rsidRPr="00B27BE5" w:rsidRDefault="00AD35FD" w:rsidP="00C52695">
      <w:pPr>
        <w:pStyle w:val="AERbulletlistfirststyle"/>
      </w:pPr>
      <w:r>
        <w:t>r</w:t>
      </w:r>
      <w:r w:rsidR="00547DB6">
        <w:t>evised consideration of the conceptual goalposts approach</w:t>
      </w:r>
      <w:r>
        <w:t>.</w:t>
      </w:r>
    </w:p>
    <w:p w:rsidR="00C52695" w:rsidRPr="00883125" w:rsidRDefault="00C52695" w:rsidP="00C52695">
      <w:pPr>
        <w:pStyle w:val="Heading8"/>
      </w:pPr>
      <w:bookmarkStart w:id="139" w:name="_Ref414621676"/>
      <w:bookmarkStart w:id="140" w:name="_Toc436049442"/>
      <w:bookmarkStart w:id="141" w:name="_Toc451842246"/>
      <w:bookmarkStart w:id="142" w:name="_Toc451938302"/>
      <w:bookmarkStart w:id="143" w:name="_Toc456614290"/>
      <w:bookmarkStart w:id="144" w:name="_Toc462823308"/>
      <w:bookmarkStart w:id="145" w:name="_Toc481061456"/>
      <w:r w:rsidRPr="00883125">
        <w:t>Expert views on the value of imputation credits</w:t>
      </w:r>
      <w:bookmarkEnd w:id="139"/>
      <w:bookmarkEnd w:id="140"/>
      <w:bookmarkEnd w:id="141"/>
      <w:bookmarkEnd w:id="142"/>
      <w:bookmarkEnd w:id="143"/>
      <w:bookmarkEnd w:id="144"/>
      <w:bookmarkEnd w:id="145"/>
    </w:p>
    <w:p w:rsidR="00C52695" w:rsidRDefault="00C52695" w:rsidP="00C52695">
      <w:r w:rsidRPr="00883125">
        <w:t xml:space="preserve">We, other regulators, service providers and consumer representatives have commissioned expert advice on the value of imputation credits from a range of experts in the context of a number of regulatory processes. These expert reports demonstrate that there is no consensus among experts on either the value of imputation credits (particularly for the utilisation rate parameter), nor on the techniques to estimate it. </w:t>
      </w:r>
      <w:r w:rsidRPr="00883125">
        <w:fldChar w:fldCharType="begin"/>
      </w:r>
      <w:r w:rsidRPr="00883125">
        <w:instrText xml:space="preserve"> REF _Ref400609043 \h </w:instrText>
      </w:r>
      <w:r w:rsidRPr="00883125">
        <w:fldChar w:fldCharType="separate"/>
      </w:r>
      <w:r w:rsidR="00812A72" w:rsidRPr="00883125">
        <w:t xml:space="preserve">Table </w:t>
      </w:r>
      <w:r w:rsidR="00812A72">
        <w:rPr>
          <w:noProof/>
        </w:rPr>
        <w:t>4</w:t>
      </w:r>
      <w:r w:rsidR="00812A72">
        <w:noBreakHyphen/>
      </w:r>
      <w:r w:rsidR="00812A72">
        <w:rPr>
          <w:noProof/>
        </w:rPr>
        <w:t>6</w:t>
      </w:r>
      <w:r w:rsidRPr="00883125">
        <w:fldChar w:fldCharType="end"/>
      </w:r>
      <w:r w:rsidRPr="00883125">
        <w:t xml:space="preserve"> summarises recent expert advice of which we are aware. We have considered the advice from each of these experts in forming our position on the value of imputation credits. For this decision </w:t>
      </w:r>
      <w:r>
        <w:t>we have</w:t>
      </w:r>
      <w:r w:rsidRPr="00883125">
        <w:t xml:space="preserve"> considered the new expert report </w:t>
      </w:r>
      <w:r>
        <w:t>submitted by several</w:t>
      </w:r>
      <w:r w:rsidRPr="00883125">
        <w:t xml:space="preserve"> </w:t>
      </w:r>
      <w:r>
        <w:t>service provider</w:t>
      </w:r>
      <w:r w:rsidRPr="00883125">
        <w:t>s</w:t>
      </w:r>
      <w:r>
        <w:t xml:space="preserve"> in January 2016 and </w:t>
      </w:r>
      <w:r w:rsidR="0036034D">
        <w:t>September 2016</w:t>
      </w:r>
      <w:r>
        <w:t>.</w:t>
      </w:r>
      <w:r>
        <w:rPr>
          <w:rStyle w:val="FootnoteReference"/>
        </w:rPr>
        <w:footnoteReference w:id="234"/>
      </w:r>
      <w:r>
        <w:t xml:space="preserve"> We</w:t>
      </w:r>
      <w:r w:rsidRPr="00883125">
        <w:t xml:space="preserve"> </w:t>
      </w:r>
      <w:r>
        <w:t>have</w:t>
      </w:r>
      <w:r w:rsidRPr="00883125">
        <w:t xml:space="preserve"> </w:t>
      </w:r>
      <w:r>
        <w:t xml:space="preserve">also </w:t>
      </w:r>
      <w:r w:rsidRPr="00883125">
        <w:t>commissioned expert advice</w:t>
      </w:r>
      <w:r>
        <w:t xml:space="preserve"> from Lally</w:t>
      </w:r>
      <w:r w:rsidRPr="00883125">
        <w:t>.</w:t>
      </w:r>
      <w:r>
        <w:rPr>
          <w:rStyle w:val="FootnoteReference"/>
        </w:rPr>
        <w:footnoteReference w:id="235"/>
      </w:r>
      <w:r w:rsidRPr="00883125">
        <w:t xml:space="preserve"> We consider the new expert report</w:t>
      </w:r>
      <w:r w:rsidR="00332BB9">
        <w:t>s</w:t>
      </w:r>
      <w:r w:rsidRPr="00883125">
        <w:t xml:space="preserve"> do not provide new evidence to justify a departure from the position we adopted in the decisions we released in </w:t>
      </w:r>
      <w:r w:rsidR="00332BB9">
        <w:t>2016</w:t>
      </w:r>
      <w:r w:rsidRPr="00883125">
        <w:t>.</w:t>
      </w:r>
    </w:p>
    <w:p w:rsidR="00AD35FD" w:rsidRDefault="00AD35FD" w:rsidP="00C52695"/>
    <w:p w:rsidR="00AD35FD" w:rsidRDefault="00AD35FD" w:rsidP="00C52695"/>
    <w:p w:rsidR="00AD35FD" w:rsidRDefault="00AD35FD" w:rsidP="00C52695"/>
    <w:p w:rsidR="00AD35FD" w:rsidRPr="00883125" w:rsidRDefault="00AD35FD" w:rsidP="00C52695"/>
    <w:p w:rsidR="00C52695" w:rsidRPr="00883125" w:rsidRDefault="00C52695" w:rsidP="00C52695">
      <w:pPr>
        <w:pStyle w:val="Caption"/>
      </w:pPr>
      <w:bookmarkStart w:id="146" w:name="_Ref400609043"/>
      <w:r w:rsidRPr="00883125">
        <w:lastRenderedPageBreak/>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6</w:t>
      </w:r>
      <w:r w:rsidRPr="001D37D5">
        <w:fldChar w:fldCharType="end"/>
      </w:r>
      <w:bookmarkEnd w:id="146"/>
      <w:r w:rsidRPr="00883125">
        <w:tab/>
        <w:t>Summary of expert views on the value of imputation credits</w:t>
      </w:r>
    </w:p>
    <w:tbl>
      <w:tblPr>
        <w:tblStyle w:val="AERtable-text0"/>
        <w:tblW w:w="0" w:type="auto"/>
        <w:tblLook w:val="04A0" w:firstRow="1" w:lastRow="0" w:firstColumn="1" w:lastColumn="0" w:noHBand="0" w:noVBand="1"/>
      </w:tblPr>
      <w:tblGrid>
        <w:gridCol w:w="1562"/>
        <w:gridCol w:w="2560"/>
        <w:gridCol w:w="2560"/>
        <w:gridCol w:w="2560"/>
      </w:tblGrid>
      <w:tr w:rsidR="00C52695" w:rsidTr="006425B8">
        <w:trPr>
          <w:cnfStyle w:val="100000000000" w:firstRow="1" w:lastRow="0" w:firstColumn="0" w:lastColumn="0" w:oddVBand="0" w:evenVBand="0" w:oddHBand="0" w:evenHBand="0" w:firstRowFirstColumn="0" w:firstRowLastColumn="0" w:lastRowFirstColumn="0" w:lastRowLastColumn="0"/>
          <w:cantSplit/>
          <w:tblHeader/>
        </w:trPr>
        <w:tc>
          <w:tcPr>
            <w:tcW w:w="1562" w:type="dxa"/>
          </w:tcPr>
          <w:p w:rsidR="00C52695" w:rsidRPr="00883125" w:rsidRDefault="00C52695" w:rsidP="00C52695">
            <w:pPr>
              <w:numPr>
                <w:ilvl w:val="0"/>
                <w:numId w:val="24"/>
              </w:numPr>
            </w:pPr>
            <w:r w:rsidRPr="00883125">
              <w:t>Expert</w:t>
            </w:r>
          </w:p>
        </w:tc>
        <w:tc>
          <w:tcPr>
            <w:tcW w:w="2560" w:type="dxa"/>
          </w:tcPr>
          <w:p w:rsidR="00C52695" w:rsidRPr="00883125" w:rsidRDefault="00C52695" w:rsidP="00C52695">
            <w:pPr>
              <w:numPr>
                <w:ilvl w:val="0"/>
                <w:numId w:val="24"/>
              </w:numPr>
            </w:pPr>
            <w:r w:rsidRPr="00883125">
              <w:t>Distribution rate</w:t>
            </w:r>
          </w:p>
        </w:tc>
        <w:tc>
          <w:tcPr>
            <w:tcW w:w="2560" w:type="dxa"/>
          </w:tcPr>
          <w:p w:rsidR="00C52695" w:rsidRPr="00883125" w:rsidRDefault="00C52695" w:rsidP="00C52695">
            <w:pPr>
              <w:numPr>
                <w:ilvl w:val="0"/>
                <w:numId w:val="24"/>
              </w:numPr>
            </w:pPr>
            <w:r w:rsidRPr="00883125">
              <w:t>Utilisation rate</w:t>
            </w:r>
          </w:p>
        </w:tc>
        <w:tc>
          <w:tcPr>
            <w:tcW w:w="2560" w:type="dxa"/>
          </w:tcPr>
          <w:p w:rsidR="00C52695" w:rsidRPr="00883125" w:rsidRDefault="00C52695" w:rsidP="00C52695">
            <w:pPr>
              <w:numPr>
                <w:ilvl w:val="0"/>
                <w:numId w:val="24"/>
              </w:numPr>
            </w:pPr>
            <w:r w:rsidRPr="00883125">
              <w:t>Value of imputation credits</w:t>
            </w:r>
          </w:p>
        </w:tc>
      </w:tr>
      <w:tr w:rsidR="00C52695" w:rsidTr="006425B8">
        <w:trPr>
          <w:cantSplit/>
        </w:trPr>
        <w:tc>
          <w:tcPr>
            <w:tcW w:w="1562" w:type="dxa"/>
          </w:tcPr>
          <w:p w:rsidR="00C52695" w:rsidRPr="00883125" w:rsidRDefault="00C52695" w:rsidP="00C52695">
            <w:pPr>
              <w:numPr>
                <w:ilvl w:val="0"/>
                <w:numId w:val="24"/>
              </w:numPr>
            </w:pPr>
            <w:r>
              <w:t>Lally (2016</w:t>
            </w:r>
            <w:r w:rsidR="0036034D">
              <w:t>a, 2017</w:t>
            </w:r>
            <w:r>
              <w:t>)</w:t>
            </w:r>
            <w:r>
              <w:rPr>
                <w:rStyle w:val="FootnoteReference"/>
              </w:rPr>
              <w:footnoteReference w:id="236"/>
            </w:r>
          </w:p>
        </w:tc>
        <w:tc>
          <w:tcPr>
            <w:tcW w:w="2560" w:type="dxa"/>
          </w:tcPr>
          <w:p w:rsidR="00C52695" w:rsidRPr="00883125" w:rsidRDefault="00C52695" w:rsidP="00C52695">
            <w:pPr>
              <w:numPr>
                <w:ilvl w:val="0"/>
                <w:numId w:val="24"/>
              </w:numPr>
              <w:rPr>
                <w:rStyle w:val="Strong"/>
              </w:rPr>
            </w:pPr>
            <w:r>
              <w:rPr>
                <w:rStyle w:val="Strong"/>
              </w:rPr>
              <w:t xml:space="preserve">At least </w:t>
            </w:r>
            <w:r w:rsidRPr="00883125">
              <w:rPr>
                <w:rStyle w:val="Strong"/>
              </w:rPr>
              <w:t>0.8</w:t>
            </w:r>
            <w:r>
              <w:rPr>
                <w:rStyle w:val="Strong"/>
              </w:rPr>
              <w:t>3</w:t>
            </w:r>
            <w:r w:rsidRPr="00883125">
              <w:t xml:space="preserve"> using the financial statements of 20 largest ASX-listed companies</w:t>
            </w:r>
          </w:p>
        </w:tc>
        <w:tc>
          <w:tcPr>
            <w:tcW w:w="2560" w:type="dxa"/>
          </w:tcPr>
          <w:p w:rsidR="00C52695" w:rsidRPr="00883125" w:rsidRDefault="00C52695" w:rsidP="00C52695">
            <w:pPr>
              <w:numPr>
                <w:ilvl w:val="0"/>
                <w:numId w:val="24"/>
              </w:numPr>
              <w:rPr>
                <w:rStyle w:val="Strong"/>
              </w:rPr>
            </w:pPr>
            <w:r>
              <w:rPr>
                <w:rStyle w:val="Strong"/>
              </w:rPr>
              <w:t>At least 0</w:t>
            </w:r>
            <w:r w:rsidRPr="00883125">
              <w:rPr>
                <w:rStyle w:val="Strong"/>
              </w:rPr>
              <w:t>.</w:t>
            </w:r>
            <w:r>
              <w:rPr>
                <w:rStyle w:val="Strong"/>
              </w:rPr>
              <w:t>6</w:t>
            </w:r>
            <w:r w:rsidRPr="00883125">
              <w:t xml:space="preserve">, </w:t>
            </w:r>
            <w:r>
              <w:t xml:space="preserve">using the all equity estimate of local equity ownership </w:t>
            </w:r>
          </w:p>
        </w:tc>
        <w:tc>
          <w:tcPr>
            <w:tcW w:w="2560" w:type="dxa"/>
          </w:tcPr>
          <w:p w:rsidR="00C52695" w:rsidRPr="00C52695" w:rsidRDefault="00C52695" w:rsidP="00C52695">
            <w:pPr>
              <w:rPr>
                <w:rStyle w:val="Strong"/>
              </w:rPr>
            </w:pPr>
            <w:r>
              <w:rPr>
                <w:rStyle w:val="Strong"/>
              </w:rPr>
              <w:t>At least 0.5</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1562" w:type="dxa"/>
          </w:tcPr>
          <w:p w:rsidR="00C52695" w:rsidRPr="00883125" w:rsidRDefault="00C52695" w:rsidP="00C52695">
            <w:pPr>
              <w:numPr>
                <w:ilvl w:val="0"/>
                <w:numId w:val="24"/>
              </w:numPr>
            </w:pPr>
            <w:r w:rsidRPr="00883125">
              <w:t>Lally (2013a, 2013b, 2014)</w:t>
            </w:r>
            <w:r w:rsidRPr="00883125">
              <w:rPr>
                <w:rStyle w:val="FootnoteReference"/>
              </w:rPr>
              <w:footnoteReference w:id="237"/>
            </w:r>
          </w:p>
        </w:tc>
        <w:tc>
          <w:tcPr>
            <w:tcW w:w="2560" w:type="dxa"/>
          </w:tcPr>
          <w:p w:rsidR="00C52695" w:rsidRPr="00883125" w:rsidRDefault="00C52695" w:rsidP="00C52695">
            <w:pPr>
              <w:numPr>
                <w:ilvl w:val="0"/>
                <w:numId w:val="24"/>
              </w:numPr>
            </w:pPr>
            <w:r w:rsidRPr="00883125">
              <w:rPr>
                <w:rStyle w:val="Strong"/>
              </w:rPr>
              <w:t>0.84</w:t>
            </w:r>
            <w:r w:rsidRPr="00883125">
              <w:t xml:space="preserve"> using the financial statements of 20 largest ASX-listed companies</w:t>
            </w:r>
          </w:p>
        </w:tc>
        <w:tc>
          <w:tcPr>
            <w:tcW w:w="2560" w:type="dxa"/>
          </w:tcPr>
          <w:p w:rsidR="00C52695" w:rsidRPr="00883125" w:rsidRDefault="00C52695" w:rsidP="00C52695">
            <w:pPr>
              <w:numPr>
                <w:ilvl w:val="0"/>
                <w:numId w:val="24"/>
              </w:numPr>
            </w:pPr>
            <w:r w:rsidRPr="00883125">
              <w:rPr>
                <w:rStyle w:val="Strong"/>
              </w:rPr>
              <w:t>1.0</w:t>
            </w:r>
            <w:r w:rsidRPr="00883125">
              <w:t>, based on assumption that all investors in the Officer CAPM are domestic investors</w:t>
            </w:r>
          </w:p>
          <w:p w:rsidR="00C52695" w:rsidRPr="00883125" w:rsidRDefault="00C52695" w:rsidP="00C52695">
            <w:pPr>
              <w:numPr>
                <w:ilvl w:val="0"/>
                <w:numId w:val="24"/>
              </w:numPr>
            </w:pPr>
            <w:r w:rsidRPr="00883125">
              <w:t>0.54 to 0.7, using equity ownership as second preference</w:t>
            </w:r>
          </w:p>
        </w:tc>
        <w:tc>
          <w:tcPr>
            <w:tcW w:w="2560" w:type="dxa"/>
          </w:tcPr>
          <w:p w:rsidR="00C52695" w:rsidRPr="00C52695" w:rsidRDefault="00C52695" w:rsidP="00C52695">
            <w:pPr>
              <w:rPr>
                <w:rStyle w:val="Strong"/>
              </w:rPr>
            </w:pPr>
            <w:r w:rsidRPr="00883125">
              <w:rPr>
                <w:rStyle w:val="Strong"/>
              </w:rPr>
              <w:t>0.84</w:t>
            </w:r>
          </w:p>
          <w:p w:rsidR="00C52695" w:rsidRPr="00C52695" w:rsidRDefault="00C52695" w:rsidP="00C52695">
            <w:pPr>
              <w:rPr>
                <w:rStyle w:val="Strong"/>
              </w:rPr>
            </w:pPr>
            <w:r w:rsidRPr="00883125">
              <w:t xml:space="preserve">0.45 to 0.59 using second preference utilisation </w:t>
            </w:r>
            <w:r w:rsidRPr="00C52695">
              <w:t>rate</w:t>
            </w:r>
          </w:p>
        </w:tc>
      </w:tr>
      <w:tr w:rsidR="00C52695" w:rsidTr="006425B8">
        <w:trPr>
          <w:cantSplit/>
        </w:trPr>
        <w:tc>
          <w:tcPr>
            <w:tcW w:w="1562" w:type="dxa"/>
          </w:tcPr>
          <w:p w:rsidR="00C52695" w:rsidRPr="00883125" w:rsidRDefault="00C52695" w:rsidP="00C52695">
            <w:pPr>
              <w:numPr>
                <w:ilvl w:val="0"/>
                <w:numId w:val="24"/>
              </w:numPr>
            </w:pPr>
            <w:r w:rsidRPr="00883125">
              <w:t>McKenzie and Partington (2013)</w:t>
            </w:r>
            <w:r w:rsidRPr="00883125">
              <w:rPr>
                <w:rStyle w:val="FootnoteReference"/>
              </w:rPr>
              <w:footnoteReference w:id="238"/>
            </w:r>
          </w:p>
        </w:tc>
        <w:tc>
          <w:tcPr>
            <w:tcW w:w="2560" w:type="dxa"/>
          </w:tcPr>
          <w:p w:rsidR="00C52695" w:rsidRPr="00883125" w:rsidRDefault="00C52695" w:rsidP="00C52695">
            <w:pPr>
              <w:numPr>
                <w:ilvl w:val="0"/>
                <w:numId w:val="24"/>
              </w:numPr>
            </w:pPr>
            <w:r w:rsidRPr="00883125">
              <w:rPr>
                <w:rStyle w:val="Strong"/>
              </w:rPr>
              <w:t>0.7</w:t>
            </w:r>
            <w:r w:rsidRPr="00883125">
              <w:t>, using cumulative payout ratio approach over all equity</w:t>
            </w:r>
          </w:p>
        </w:tc>
        <w:tc>
          <w:tcPr>
            <w:tcW w:w="2560" w:type="dxa"/>
          </w:tcPr>
          <w:p w:rsidR="00C52695" w:rsidRPr="00883125" w:rsidRDefault="00C52695" w:rsidP="00C52695">
            <w:pPr>
              <w:numPr>
                <w:ilvl w:val="0"/>
                <w:numId w:val="24"/>
              </w:numPr>
            </w:pPr>
            <w:r w:rsidRPr="00883125">
              <w:rPr>
                <w:rStyle w:val="Strong"/>
              </w:rPr>
              <w:t>None recommended</w:t>
            </w:r>
            <w:r w:rsidRPr="00883125">
              <w:t>, although estimates considered included 0.7 from AER draft rate of return Guideline approach, 0.53 from average of implied market value studies and 0.83 from average of McKenzie and Partington's implied market value studies</w:t>
            </w:r>
          </w:p>
        </w:tc>
        <w:tc>
          <w:tcPr>
            <w:tcW w:w="2560" w:type="dxa"/>
          </w:tcPr>
          <w:p w:rsidR="00C52695" w:rsidRPr="00C52695" w:rsidRDefault="00C52695" w:rsidP="00C52695">
            <w:pPr>
              <w:rPr>
                <w:rStyle w:val="Strong"/>
              </w:rPr>
            </w:pPr>
            <w:r w:rsidRPr="001A60DE">
              <w:t>Evidence not compelling enough to depart from</w:t>
            </w:r>
            <w:r w:rsidRPr="00C52695">
              <w:rPr>
                <w:rStyle w:val="Strong"/>
              </w:rPr>
              <w:t xml:space="preserve"> 0.5</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1562" w:type="dxa"/>
          </w:tcPr>
          <w:p w:rsidR="00C52695" w:rsidRPr="00883125" w:rsidRDefault="00C52695" w:rsidP="00C52695">
            <w:pPr>
              <w:numPr>
                <w:ilvl w:val="0"/>
                <w:numId w:val="24"/>
              </w:numPr>
            </w:pPr>
            <w:r w:rsidRPr="00883125">
              <w:t>Handley (2014)</w:t>
            </w:r>
            <w:r w:rsidRPr="00883125">
              <w:rPr>
                <w:rStyle w:val="FootnoteReference"/>
              </w:rPr>
              <w:footnoteReference w:id="239"/>
            </w:r>
          </w:p>
        </w:tc>
        <w:tc>
          <w:tcPr>
            <w:tcW w:w="2560" w:type="dxa"/>
          </w:tcPr>
          <w:p w:rsidR="00C52695" w:rsidRPr="00883125" w:rsidRDefault="00C52695" w:rsidP="00C52695">
            <w:pPr>
              <w:numPr>
                <w:ilvl w:val="0"/>
                <w:numId w:val="24"/>
              </w:numPr>
            </w:pPr>
            <w:r w:rsidRPr="00883125">
              <w:rPr>
                <w:rStyle w:val="Strong"/>
              </w:rPr>
              <w:t>0.8</w:t>
            </w:r>
            <w:r w:rsidRPr="00883125">
              <w:t xml:space="preserve">, using cumulative payout ratio approach over only listed equity </w:t>
            </w:r>
          </w:p>
        </w:tc>
        <w:tc>
          <w:tcPr>
            <w:tcW w:w="2560" w:type="dxa"/>
          </w:tcPr>
          <w:p w:rsidR="00C52695" w:rsidRPr="00883125" w:rsidRDefault="00C52695" w:rsidP="00C52695">
            <w:pPr>
              <w:numPr>
                <w:ilvl w:val="0"/>
                <w:numId w:val="24"/>
              </w:numPr>
            </w:pPr>
            <w:r w:rsidRPr="00883125">
              <w:rPr>
                <w:rStyle w:val="Strong"/>
              </w:rPr>
              <w:t>0.5 to 0.6</w:t>
            </w:r>
            <w:r w:rsidRPr="00883125">
              <w:t>, with regard to (in order of importance) equity ownership approach, tax statistics and dividend drop off studies</w:t>
            </w:r>
          </w:p>
        </w:tc>
        <w:tc>
          <w:tcPr>
            <w:tcW w:w="2560" w:type="dxa"/>
          </w:tcPr>
          <w:p w:rsidR="00C52695" w:rsidRPr="00883125" w:rsidRDefault="00C52695" w:rsidP="00C52695">
            <w:pPr>
              <w:numPr>
                <w:ilvl w:val="0"/>
                <w:numId w:val="24"/>
              </w:numPr>
              <w:rPr>
                <w:rStyle w:val="Strong"/>
              </w:rPr>
            </w:pPr>
            <w:r w:rsidRPr="00883125">
              <w:rPr>
                <w:rStyle w:val="Strong"/>
              </w:rPr>
              <w:t>0.4 to 0.5</w:t>
            </w:r>
          </w:p>
        </w:tc>
      </w:tr>
      <w:tr w:rsidR="00C52695" w:rsidTr="006425B8">
        <w:trPr>
          <w:cantSplit/>
        </w:trPr>
        <w:tc>
          <w:tcPr>
            <w:tcW w:w="1562" w:type="dxa"/>
          </w:tcPr>
          <w:p w:rsidR="00C52695" w:rsidRPr="00883125" w:rsidRDefault="00C52695" w:rsidP="00C52695">
            <w:pPr>
              <w:numPr>
                <w:ilvl w:val="0"/>
                <w:numId w:val="24"/>
              </w:numPr>
            </w:pPr>
            <w:r w:rsidRPr="00883125">
              <w:t>SACES (2015)</w:t>
            </w:r>
            <w:r w:rsidRPr="00883125">
              <w:rPr>
                <w:rStyle w:val="FootnoteReference"/>
              </w:rPr>
              <w:footnoteReference w:id="240"/>
            </w:r>
          </w:p>
        </w:tc>
        <w:tc>
          <w:tcPr>
            <w:tcW w:w="2560" w:type="dxa"/>
          </w:tcPr>
          <w:p w:rsidR="00C52695" w:rsidRPr="00C52695" w:rsidRDefault="00C52695" w:rsidP="00C52695">
            <w:pPr>
              <w:rPr>
                <w:rStyle w:val="Strong"/>
              </w:rPr>
            </w:pPr>
            <w:r w:rsidRPr="00883125">
              <w:rPr>
                <w:rStyle w:val="Strong"/>
              </w:rPr>
              <w:t>0.8</w:t>
            </w:r>
            <w:r w:rsidRPr="00C52695">
              <w:t>, using cumulative payout ratio approach over only listed equity</w:t>
            </w:r>
          </w:p>
        </w:tc>
        <w:tc>
          <w:tcPr>
            <w:tcW w:w="2560" w:type="dxa"/>
          </w:tcPr>
          <w:p w:rsidR="00C52695" w:rsidRPr="00883125" w:rsidRDefault="00C52695" w:rsidP="00C52695">
            <w:pPr>
              <w:numPr>
                <w:ilvl w:val="0"/>
                <w:numId w:val="24"/>
              </w:numPr>
              <w:rPr>
                <w:rStyle w:val="Strong"/>
              </w:rPr>
            </w:pPr>
            <w:r w:rsidRPr="00883125">
              <w:rPr>
                <w:rStyle w:val="Strong"/>
              </w:rPr>
              <w:t>0.45</w:t>
            </w:r>
            <w:r w:rsidRPr="00883125">
              <w:t>, using the average of the estimate from tax statistics (0.43) and the refined domestic ownership share of only listed equity (0.46)</w:t>
            </w:r>
          </w:p>
        </w:tc>
        <w:tc>
          <w:tcPr>
            <w:tcW w:w="2560" w:type="dxa"/>
          </w:tcPr>
          <w:p w:rsidR="00C52695" w:rsidRPr="00883125" w:rsidRDefault="00C52695" w:rsidP="00C52695">
            <w:pPr>
              <w:numPr>
                <w:ilvl w:val="0"/>
                <w:numId w:val="24"/>
              </w:numPr>
              <w:rPr>
                <w:rStyle w:val="Strong"/>
              </w:rPr>
            </w:pPr>
            <w:r w:rsidRPr="00883125">
              <w:rPr>
                <w:rStyle w:val="Strong"/>
              </w:rPr>
              <w:t>0.36</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1562" w:type="dxa"/>
          </w:tcPr>
          <w:p w:rsidR="00C52695" w:rsidRPr="00883125" w:rsidRDefault="00C52695" w:rsidP="00C52695">
            <w:pPr>
              <w:numPr>
                <w:ilvl w:val="0"/>
                <w:numId w:val="24"/>
              </w:numPr>
            </w:pPr>
            <w:r w:rsidRPr="00883125">
              <w:t>CEG (2014)</w:t>
            </w:r>
            <w:r w:rsidRPr="00883125">
              <w:rPr>
                <w:rStyle w:val="FootnoteReference"/>
              </w:rPr>
              <w:footnoteReference w:id="241"/>
            </w:r>
          </w:p>
        </w:tc>
        <w:tc>
          <w:tcPr>
            <w:tcW w:w="2560" w:type="dxa"/>
          </w:tcPr>
          <w:p w:rsidR="00C52695" w:rsidRPr="00883125" w:rsidRDefault="00C52695" w:rsidP="00C52695">
            <w:pPr>
              <w:numPr>
                <w:ilvl w:val="0"/>
                <w:numId w:val="24"/>
              </w:numPr>
            </w:pPr>
            <w:r w:rsidRPr="00883125">
              <w:rPr>
                <w:rStyle w:val="Strong"/>
              </w:rPr>
              <w:t>0.7</w:t>
            </w:r>
            <w:r w:rsidRPr="00883125">
              <w:t>, using cumulative payout ratio approach over all equity</w:t>
            </w:r>
          </w:p>
        </w:tc>
        <w:tc>
          <w:tcPr>
            <w:tcW w:w="2560" w:type="dxa"/>
          </w:tcPr>
          <w:p w:rsidR="00C52695" w:rsidRPr="00883125" w:rsidRDefault="00C52695" w:rsidP="00C52695">
            <w:pPr>
              <w:numPr>
                <w:ilvl w:val="0"/>
                <w:numId w:val="24"/>
              </w:numPr>
            </w:pPr>
            <w:r w:rsidRPr="00883125">
              <w:rPr>
                <w:rStyle w:val="Strong"/>
              </w:rPr>
              <w:t>0.35</w:t>
            </w:r>
            <w:r w:rsidRPr="00883125">
              <w:t>, based on SFG's dividend drop off study</w:t>
            </w:r>
          </w:p>
        </w:tc>
        <w:tc>
          <w:tcPr>
            <w:tcW w:w="2560" w:type="dxa"/>
          </w:tcPr>
          <w:p w:rsidR="00C52695" w:rsidRPr="00883125" w:rsidRDefault="00C52695" w:rsidP="00C52695">
            <w:pPr>
              <w:numPr>
                <w:ilvl w:val="0"/>
                <w:numId w:val="24"/>
              </w:numPr>
              <w:rPr>
                <w:rStyle w:val="Strong"/>
              </w:rPr>
            </w:pPr>
            <w:r w:rsidRPr="00883125">
              <w:rPr>
                <w:rStyle w:val="Strong"/>
              </w:rPr>
              <w:t>0.25</w:t>
            </w:r>
          </w:p>
        </w:tc>
      </w:tr>
      <w:tr w:rsidR="00C52695" w:rsidTr="006425B8">
        <w:trPr>
          <w:cantSplit/>
        </w:trPr>
        <w:tc>
          <w:tcPr>
            <w:tcW w:w="1562" w:type="dxa"/>
          </w:tcPr>
          <w:p w:rsidR="00C52695" w:rsidRPr="00883125" w:rsidRDefault="00C52695" w:rsidP="00C52695">
            <w:pPr>
              <w:numPr>
                <w:ilvl w:val="0"/>
                <w:numId w:val="24"/>
              </w:numPr>
            </w:pPr>
            <w:r w:rsidRPr="00883125">
              <w:t>Gray (for SFG) (2015)</w:t>
            </w:r>
            <w:r w:rsidRPr="00883125">
              <w:rPr>
                <w:rStyle w:val="FootnoteReference"/>
              </w:rPr>
              <w:footnoteReference w:id="242"/>
            </w:r>
          </w:p>
        </w:tc>
        <w:tc>
          <w:tcPr>
            <w:tcW w:w="2560" w:type="dxa"/>
          </w:tcPr>
          <w:p w:rsidR="00C52695" w:rsidRPr="00883125" w:rsidRDefault="00C52695" w:rsidP="00C52695">
            <w:pPr>
              <w:numPr>
                <w:ilvl w:val="0"/>
                <w:numId w:val="24"/>
              </w:numPr>
            </w:pPr>
            <w:r w:rsidRPr="00883125">
              <w:rPr>
                <w:rStyle w:val="Strong"/>
              </w:rPr>
              <w:t>0.7</w:t>
            </w:r>
            <w:r w:rsidRPr="00883125">
              <w:t>, using cumulative payout ratio approach over all equity</w:t>
            </w:r>
          </w:p>
        </w:tc>
        <w:tc>
          <w:tcPr>
            <w:tcW w:w="2560" w:type="dxa"/>
          </w:tcPr>
          <w:p w:rsidR="00C52695" w:rsidRPr="00883125" w:rsidRDefault="00C52695" w:rsidP="00C52695">
            <w:pPr>
              <w:numPr>
                <w:ilvl w:val="0"/>
                <w:numId w:val="24"/>
              </w:numPr>
            </w:pPr>
            <w:r w:rsidRPr="00883125">
              <w:rPr>
                <w:rStyle w:val="Strong"/>
              </w:rPr>
              <w:t>0.35</w:t>
            </w:r>
            <w:r w:rsidRPr="00883125">
              <w:t>, based on SFG's dividend drop off study</w:t>
            </w:r>
          </w:p>
        </w:tc>
        <w:tc>
          <w:tcPr>
            <w:tcW w:w="2560" w:type="dxa"/>
          </w:tcPr>
          <w:p w:rsidR="00C52695" w:rsidRPr="00883125" w:rsidRDefault="00C52695" w:rsidP="00C52695">
            <w:pPr>
              <w:numPr>
                <w:ilvl w:val="0"/>
                <w:numId w:val="24"/>
              </w:numPr>
              <w:rPr>
                <w:rStyle w:val="Strong"/>
              </w:rPr>
            </w:pPr>
            <w:r w:rsidRPr="00883125">
              <w:rPr>
                <w:rStyle w:val="Strong"/>
              </w:rPr>
              <w:t>0.25</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1562" w:type="dxa"/>
          </w:tcPr>
          <w:p w:rsidR="00C52695" w:rsidRPr="00883125" w:rsidRDefault="00C52695" w:rsidP="00C52695">
            <w:pPr>
              <w:numPr>
                <w:ilvl w:val="0"/>
                <w:numId w:val="24"/>
              </w:numPr>
            </w:pPr>
            <w:r w:rsidRPr="00883125">
              <w:lastRenderedPageBreak/>
              <w:t>Gray (for Frontier) (2015</w:t>
            </w:r>
            <w:r w:rsidR="00BB2B15">
              <w:t>, 2016</w:t>
            </w:r>
            <w:r w:rsidRPr="00883125">
              <w:t>)</w:t>
            </w:r>
            <w:r w:rsidRPr="00883125">
              <w:rPr>
                <w:rStyle w:val="FootnoteReference"/>
              </w:rPr>
              <w:footnoteReference w:id="243"/>
            </w:r>
          </w:p>
        </w:tc>
        <w:tc>
          <w:tcPr>
            <w:tcW w:w="2560" w:type="dxa"/>
          </w:tcPr>
          <w:p w:rsidR="00C52695" w:rsidRPr="00C52695" w:rsidRDefault="00C52695" w:rsidP="00C52695">
            <w:pPr>
              <w:rPr>
                <w:rStyle w:val="Strong"/>
              </w:rPr>
            </w:pPr>
            <w:r w:rsidRPr="00883125">
              <w:rPr>
                <w:rStyle w:val="Strong"/>
              </w:rPr>
              <w:t>0.7</w:t>
            </w:r>
            <w:r w:rsidRPr="00C52695">
              <w:t>, using cumulative payout ratio approach over all equity, or alternatively using an estimate of the payout ratio for listed equity excluding the 20 largest firms.</w:t>
            </w:r>
          </w:p>
        </w:tc>
        <w:tc>
          <w:tcPr>
            <w:tcW w:w="2560" w:type="dxa"/>
          </w:tcPr>
          <w:p w:rsidR="00C52695" w:rsidRPr="00C52695" w:rsidRDefault="00C52695" w:rsidP="00C52695">
            <w:pPr>
              <w:rPr>
                <w:rStyle w:val="Strong"/>
              </w:rPr>
            </w:pPr>
            <w:r w:rsidRPr="00883125">
              <w:rPr>
                <w:rStyle w:val="Strong"/>
              </w:rPr>
              <w:t>0.35</w:t>
            </w:r>
            <w:r w:rsidRPr="00C52695">
              <w:t>, based on SFG's dividend drop off study</w:t>
            </w:r>
          </w:p>
        </w:tc>
        <w:tc>
          <w:tcPr>
            <w:tcW w:w="2560" w:type="dxa"/>
          </w:tcPr>
          <w:p w:rsidR="00C52695" w:rsidRPr="00883125" w:rsidRDefault="00C52695" w:rsidP="00C52695">
            <w:pPr>
              <w:numPr>
                <w:ilvl w:val="0"/>
                <w:numId w:val="24"/>
              </w:numPr>
              <w:rPr>
                <w:rStyle w:val="Strong"/>
              </w:rPr>
            </w:pPr>
            <w:r w:rsidRPr="00883125">
              <w:rPr>
                <w:rStyle w:val="Strong"/>
              </w:rPr>
              <w:t>0.25</w:t>
            </w:r>
          </w:p>
        </w:tc>
      </w:tr>
    </w:tbl>
    <w:p w:rsidR="00C52695" w:rsidRPr="00883125" w:rsidRDefault="00C52695" w:rsidP="00C52695">
      <w:pPr>
        <w:pStyle w:val="AERtablesource"/>
      </w:pPr>
      <w:r w:rsidRPr="00883125">
        <w:t>Source:</w:t>
      </w:r>
      <w:r w:rsidRPr="00883125">
        <w:tab/>
        <w:t>As specified in table.</w:t>
      </w:r>
    </w:p>
    <w:p w:rsidR="00C52695" w:rsidRPr="00883125" w:rsidRDefault="00C52695" w:rsidP="00C52695">
      <w:pPr>
        <w:numPr>
          <w:ilvl w:val="0"/>
          <w:numId w:val="24"/>
        </w:numPr>
      </w:pPr>
      <w:r w:rsidRPr="00883125">
        <w:t xml:space="preserve">In summary: </w:t>
      </w:r>
    </w:p>
    <w:p w:rsidR="00C52695" w:rsidRPr="001D37D5" w:rsidRDefault="00C52695" w:rsidP="00187D9E">
      <w:pPr>
        <w:pStyle w:val="AERbulletlistfirststyle"/>
      </w:pPr>
      <w:r w:rsidRPr="00883125">
        <w:t xml:space="preserve">A distribution rate of 0.7 estimated using the cumulative payout ratio approach is most commonly accepted. We describe this approach in section </w:t>
      </w:r>
      <w:r w:rsidRPr="001D37D5">
        <w:fldChar w:fldCharType="begin"/>
      </w:r>
      <w:r w:rsidRPr="001D37D5">
        <w:instrText xml:space="preserve"> REF _Ref415126827 \r \h </w:instrText>
      </w:r>
      <w:r w:rsidRPr="001D37D5">
        <w:fldChar w:fldCharType="separate"/>
      </w:r>
      <w:r w:rsidR="00812A72">
        <w:t>A.10.2</w:t>
      </w:r>
      <w:r w:rsidRPr="001D37D5">
        <w:fldChar w:fldCharType="end"/>
      </w:r>
      <w:r w:rsidRPr="001D37D5">
        <w:t xml:space="preserve">. However, Handley considers that this approach should be applied to only listed equity, and this produces a higher estimate of the distribution rate. The South Australian Centre for Economic Studies (SACES) accepts Handley's approach. Lally </w:t>
      </w:r>
      <w:r w:rsidR="00187D9E">
        <w:t xml:space="preserve">considers </w:t>
      </w:r>
      <w:r w:rsidR="008919F2">
        <w:t xml:space="preserve">there is no necessity to combine </w:t>
      </w:r>
      <w:r w:rsidR="008919F2" w:rsidRPr="001D37D5">
        <w:t>estimates of the distribution rate and utilisation rate from the same dataset</w:t>
      </w:r>
      <w:r w:rsidR="008919F2">
        <w:t xml:space="preserve"> and good reason not for not doing so.</w:t>
      </w:r>
      <w:r w:rsidR="008919F2">
        <w:rPr>
          <w:rStyle w:val="FootnoteReference"/>
        </w:rPr>
        <w:footnoteReference w:id="244"/>
      </w:r>
      <w:r w:rsidR="008919F2">
        <w:t xml:space="preserve"> </w:t>
      </w:r>
      <w:r w:rsidR="00452BA3">
        <w:t>However, we note given Lally's advice our approach appears to lead to a conservative gamma estimate (in favour of the service provider)</w:t>
      </w:r>
      <w:r w:rsidR="00187D9E">
        <w:t>, as</w:t>
      </w:r>
      <w:r w:rsidR="00452BA3" w:rsidRPr="00CF4EC3">
        <w:t xml:space="preserve"> Lally considered that only listed firms should be used to determine the distribution rate and all equity </w:t>
      </w:r>
      <w:r w:rsidR="00452BA3">
        <w:t xml:space="preserve">firms </w:t>
      </w:r>
      <w:r w:rsidR="00452BA3" w:rsidRPr="00CF4EC3">
        <w:t>should be used to estimate the utilisation value which result</w:t>
      </w:r>
      <w:r w:rsidR="00452BA3">
        <w:t>s</w:t>
      </w:r>
      <w:r w:rsidR="00452BA3" w:rsidRPr="00CF4EC3">
        <w:t xml:space="preserve"> in a gamma estimate of 0.5</w:t>
      </w:r>
      <w:r w:rsidR="00452BA3">
        <w:t>.</w:t>
      </w:r>
      <w:r w:rsidR="00922C6D">
        <w:t xml:space="preserve"> </w:t>
      </w:r>
      <w:r w:rsidRPr="001D37D5">
        <w:t>Lally considers the best estimate of the distribution rate for a benchmark efficient entity is 0.83, calculated using the financial statements of the 20 largest ASX-listed companies.</w:t>
      </w:r>
    </w:p>
    <w:p w:rsidR="00C52695" w:rsidRPr="001D37D5" w:rsidRDefault="00C52695" w:rsidP="00C52695">
      <w:pPr>
        <w:pStyle w:val="AERbulletlistfirststyle"/>
      </w:pPr>
      <w:r w:rsidRPr="00883125">
        <w:t>There is no widely accepted utilisation rate or method for estimating it. The recommended values for the utilisation rate range from 0.35 to 1</w:t>
      </w:r>
      <w:r w:rsidRPr="001D37D5">
        <w:t xml:space="preserve">.0. </w:t>
      </w:r>
    </w:p>
    <w:p w:rsidR="00C52695" w:rsidRPr="00883125" w:rsidRDefault="00C52695" w:rsidP="00C52695">
      <w:pPr>
        <w:pStyle w:val="AERbulletlistfirststyle"/>
      </w:pPr>
      <w:r w:rsidRPr="00883125">
        <w:t>Only CEG, SFG, and Gray (for SFG and Frontier), rely exclusively on the SFG dividend drop off study when estimating the utilisation rate. Handley and McKenzie and Partington rely on a range of evidence. SACES gives equal weight to the equity ownership approach and tax statistics. Lally prefers a conceptual approach, but his second preference is the equity ownership approach.</w:t>
      </w:r>
    </w:p>
    <w:p w:rsidR="00C52695" w:rsidRPr="001D37D5" w:rsidRDefault="00C52695" w:rsidP="00C52695">
      <w:pPr>
        <w:pStyle w:val="AERbulletlistfirststyle"/>
      </w:pPr>
      <w:r w:rsidRPr="00883125">
        <w:t>As a result of the differing approaches, particularly to the utilisation rate, the range of estimates of the value of imputation credits is 0.25 to 0.8</w:t>
      </w:r>
      <w:r w:rsidRPr="001D37D5">
        <w:t>3.</w:t>
      </w:r>
    </w:p>
    <w:p w:rsidR="00C52695" w:rsidRPr="00883125" w:rsidRDefault="00C52695" w:rsidP="00C52695">
      <w:r w:rsidRPr="00883125">
        <w:t>Conceptually, the value of imputation credits must be between 0 and 1. Accordingly</w:t>
      </w:r>
      <w:r>
        <w:t>,</w:t>
      </w:r>
      <w:r w:rsidRPr="00883125">
        <w:t xml:space="preserve"> the range of recommended estimates from 0.25 to 0.8</w:t>
      </w:r>
      <w:r>
        <w:t>3</w:t>
      </w:r>
      <w:r w:rsidRPr="00883125">
        <w:t xml:space="preserve">, which spans most of the possible range for the value of imputation credits, highlights the lack of consensus among experts. Our </w:t>
      </w:r>
      <w:r w:rsidR="00DB750D">
        <w:t>final</w:t>
      </w:r>
      <w:r w:rsidR="00DB750D" w:rsidRPr="00883125">
        <w:t xml:space="preserve"> </w:t>
      </w:r>
      <w:r w:rsidRPr="00883125">
        <w:lastRenderedPageBreak/>
        <w:t>decision value of imputation credits of 0.4 sits in the lower half of the range recommended by experts, which is more favourable to service providers.</w:t>
      </w:r>
    </w:p>
    <w:p w:rsidR="00C52695" w:rsidRPr="00883125" w:rsidRDefault="00C52695" w:rsidP="00C52695">
      <w:pPr>
        <w:pStyle w:val="Heading8"/>
      </w:pPr>
      <w:bookmarkStart w:id="147" w:name="_Toc450119245"/>
      <w:bookmarkStart w:id="148" w:name="_Toc450119407"/>
      <w:bookmarkStart w:id="149" w:name="_Ref414621875"/>
      <w:bookmarkStart w:id="150" w:name="_Toc436049443"/>
      <w:bookmarkStart w:id="151" w:name="_Toc451842247"/>
      <w:bookmarkStart w:id="152" w:name="_Toc451938303"/>
      <w:bookmarkStart w:id="153" w:name="_Toc456614291"/>
      <w:bookmarkStart w:id="154" w:name="_Toc462823309"/>
      <w:bookmarkStart w:id="155" w:name="_Toc481061457"/>
      <w:bookmarkEnd w:id="147"/>
      <w:bookmarkEnd w:id="148"/>
      <w:r w:rsidRPr="00883125">
        <w:t>The value of imputation credits used by other regulators</w:t>
      </w:r>
      <w:bookmarkEnd w:id="149"/>
      <w:bookmarkEnd w:id="150"/>
      <w:bookmarkEnd w:id="151"/>
      <w:bookmarkEnd w:id="152"/>
      <w:bookmarkEnd w:id="153"/>
      <w:bookmarkEnd w:id="154"/>
      <w:bookmarkEnd w:id="155"/>
    </w:p>
    <w:p w:rsidR="00DB750D" w:rsidRDefault="00C52695" w:rsidP="00C52695">
      <w:r w:rsidRPr="00883125">
        <w:t>Australian regulators have applied a wide range of approaches to estimate the value of imputation credits, resulting in varied outcomes.</w:t>
      </w:r>
      <w:r w:rsidR="00DB750D">
        <w:t xml:space="preserve"> </w:t>
      </w:r>
      <w:r w:rsidR="00DB750D">
        <w:fldChar w:fldCharType="begin"/>
      </w:r>
      <w:r w:rsidR="00DB750D">
        <w:instrText xml:space="preserve"> REF _Ref477212377 \h </w:instrText>
      </w:r>
      <w:r w:rsidR="00DB750D">
        <w:fldChar w:fldCharType="separate"/>
      </w:r>
      <w:r w:rsidR="00812A72" w:rsidRPr="00883125">
        <w:t xml:space="preserve">Table </w:t>
      </w:r>
      <w:r w:rsidR="00812A72">
        <w:rPr>
          <w:noProof/>
        </w:rPr>
        <w:t>4</w:t>
      </w:r>
      <w:r w:rsidR="00812A72">
        <w:noBreakHyphen/>
      </w:r>
      <w:r w:rsidR="00812A72">
        <w:rPr>
          <w:noProof/>
        </w:rPr>
        <w:t>7</w:t>
      </w:r>
      <w:r w:rsidR="00DB750D">
        <w:fldChar w:fldCharType="end"/>
      </w:r>
      <w:r w:rsidRPr="00883125">
        <w:t xml:space="preserve"> summarises some recent regulatory decisions on the value of imputation credits. While these decisions have not directly informed our position on the value of imputation credits, they indicate that there is no conceptual or practical consensus amongst Australian regulators.</w:t>
      </w:r>
      <w:bookmarkStart w:id="156" w:name="_Ref401082422"/>
    </w:p>
    <w:p w:rsidR="00C52695" w:rsidRPr="00883125" w:rsidRDefault="00DB750D" w:rsidP="00C52695">
      <w:pPr>
        <w:pStyle w:val="Caption"/>
      </w:pPr>
      <w:r>
        <w:br w:type="column"/>
      </w:r>
      <w:bookmarkStart w:id="157" w:name="_Ref477212377"/>
      <w:r w:rsidR="00C52695" w:rsidRPr="00883125">
        <w:lastRenderedPageBreak/>
        <w:t xml:space="preserve">Table </w:t>
      </w:r>
      <w:r w:rsidR="00C52695" w:rsidRPr="001D37D5">
        <w:fldChar w:fldCharType="begin"/>
      </w:r>
      <w:r w:rsidR="00C52695">
        <w:instrText xml:space="preserve"> STYLEREF 1 \s </w:instrText>
      </w:r>
      <w:r w:rsidR="00C52695" w:rsidRPr="001D37D5">
        <w:fldChar w:fldCharType="separate"/>
      </w:r>
      <w:r w:rsidR="00812A72">
        <w:rPr>
          <w:noProof/>
        </w:rPr>
        <w:t>4</w:t>
      </w:r>
      <w:r w:rsidR="00C52695" w:rsidRPr="001D37D5">
        <w:fldChar w:fldCharType="end"/>
      </w:r>
      <w:r w:rsidR="00C52695">
        <w:noBreakHyphen/>
      </w:r>
      <w:r w:rsidR="00C52695" w:rsidRPr="001D37D5">
        <w:fldChar w:fldCharType="begin"/>
      </w:r>
      <w:r w:rsidR="00C52695">
        <w:instrText xml:space="preserve"> SEQ Table \* ARABIC \s 1 </w:instrText>
      </w:r>
      <w:r w:rsidR="00C52695" w:rsidRPr="001D37D5">
        <w:fldChar w:fldCharType="separate"/>
      </w:r>
      <w:r w:rsidR="00812A72">
        <w:rPr>
          <w:noProof/>
        </w:rPr>
        <w:t>7</w:t>
      </w:r>
      <w:r w:rsidR="00C52695" w:rsidRPr="001D37D5">
        <w:fldChar w:fldCharType="end"/>
      </w:r>
      <w:bookmarkEnd w:id="156"/>
      <w:bookmarkEnd w:id="157"/>
      <w:r w:rsidR="00C52695" w:rsidRPr="00883125">
        <w:tab/>
        <w:t>Australian regulators' approaches to the value of imputation credits</w:t>
      </w:r>
    </w:p>
    <w:tbl>
      <w:tblPr>
        <w:tblStyle w:val="AERtable-numbers"/>
        <w:tblW w:w="9242" w:type="dxa"/>
        <w:tblLayout w:type="fixed"/>
        <w:tblLook w:val="04A0" w:firstRow="1" w:lastRow="0" w:firstColumn="1" w:lastColumn="0" w:noHBand="0" w:noVBand="1"/>
      </w:tblPr>
      <w:tblGrid>
        <w:gridCol w:w="1101"/>
        <w:gridCol w:w="1842"/>
        <w:gridCol w:w="709"/>
        <w:gridCol w:w="1768"/>
        <w:gridCol w:w="1911"/>
        <w:gridCol w:w="1911"/>
      </w:tblGrid>
      <w:tr w:rsidR="00C52695" w:rsidTr="006425B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1" w:type="dxa"/>
          </w:tcPr>
          <w:p w:rsidR="00C52695" w:rsidRPr="00883125" w:rsidRDefault="00C52695" w:rsidP="00C52695">
            <w:pPr>
              <w:numPr>
                <w:ilvl w:val="0"/>
                <w:numId w:val="24"/>
              </w:numPr>
            </w:pPr>
            <w:r w:rsidRPr="00883125">
              <w:t>Regulator</w:t>
            </w:r>
          </w:p>
        </w:tc>
        <w:tc>
          <w:tcPr>
            <w:tcW w:w="1842"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Form of adoption</w:t>
            </w:r>
          </w:p>
        </w:tc>
        <w:tc>
          <w:tcPr>
            <w:tcW w:w="709"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Year</w:t>
            </w:r>
          </w:p>
        </w:tc>
        <w:tc>
          <w:tcPr>
            <w:tcW w:w="1768"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1911"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Utilisation rate</w:t>
            </w:r>
          </w:p>
        </w:tc>
        <w:tc>
          <w:tcPr>
            <w:tcW w:w="1911"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1101" w:type="dxa"/>
          </w:tcPr>
          <w:p w:rsidR="00C52695" w:rsidRPr="00C52695" w:rsidRDefault="00C52695" w:rsidP="00C52695">
            <w:r w:rsidRPr="00883125">
              <w:t>IPART</w:t>
            </w:r>
            <w:r w:rsidRPr="00C52695">
              <w:rPr>
                <w:rStyle w:val="FootnoteReference"/>
              </w:rPr>
              <w:footnoteReference w:id="245"/>
            </w:r>
          </w:p>
        </w:tc>
        <w:tc>
          <w:tcPr>
            <w:tcW w:w="1842" w:type="dxa"/>
          </w:tcPr>
          <w:p w:rsidR="00C52695" w:rsidRPr="00883125" w:rsidRDefault="00664394" w:rsidP="00C52695">
            <w:pPr>
              <w:numPr>
                <w:ilvl w:val="0"/>
                <w:numId w:val="24"/>
              </w:numPr>
              <w:cnfStyle w:val="000000000000" w:firstRow="0" w:lastRow="0" w:firstColumn="0" w:lastColumn="0" w:oddVBand="0" w:evenVBand="0" w:oddHBand="0" w:evenHBand="0" w:firstRowFirstColumn="0" w:firstRowLastColumn="0" w:lastRowFirstColumn="0" w:lastRowLastColumn="0"/>
            </w:pPr>
            <w:r>
              <w:t>Sydney Desalination Plant Review of Prices</w:t>
            </w:r>
          </w:p>
        </w:tc>
        <w:tc>
          <w:tcPr>
            <w:tcW w:w="709" w:type="dxa"/>
          </w:tcPr>
          <w:p w:rsidR="00C52695" w:rsidRPr="00883125" w:rsidRDefault="00664394" w:rsidP="00664394">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w:t>
            </w:r>
            <w:r>
              <w:t>7</w:t>
            </w:r>
          </w:p>
        </w:tc>
        <w:tc>
          <w:tcPr>
            <w:tcW w:w="1768"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0.7</w:t>
            </w:r>
            <w:r w:rsidRPr="00883125">
              <w:t>, using cumulative payout ratio approach</w:t>
            </w:r>
          </w:p>
        </w:tc>
        <w:tc>
          <w:tcPr>
            <w:tcW w:w="1911"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0.35</w:t>
            </w:r>
            <w:r w:rsidRPr="00883125">
              <w:t>, using 2011 version of SFG dividend drop off study</w:t>
            </w:r>
          </w:p>
        </w:tc>
        <w:tc>
          <w:tcPr>
            <w:tcW w:w="1911"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rPr>
                <w:rStyle w:val="Strong"/>
              </w:rPr>
            </w:pPr>
            <w:r w:rsidRPr="00883125">
              <w:rPr>
                <w:rStyle w:val="Strong"/>
              </w:rPr>
              <w:t>0.25</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C52695" w:rsidRPr="00C52695" w:rsidRDefault="00C52695" w:rsidP="00C52695">
            <w:r w:rsidRPr="00883125">
              <w:t>ESC</w:t>
            </w:r>
            <w:r w:rsidRPr="00C52695">
              <w:rPr>
                <w:rStyle w:val="AERsuperscript"/>
              </w:rPr>
              <w:footnoteReference w:id="246"/>
            </w:r>
          </w:p>
        </w:tc>
        <w:tc>
          <w:tcPr>
            <w:tcW w:w="1842" w:type="dxa"/>
          </w:tcPr>
          <w:p w:rsidR="00C52695" w:rsidRPr="00883125" w:rsidRDefault="006D36C8" w:rsidP="00C52695">
            <w:pPr>
              <w:numPr>
                <w:ilvl w:val="0"/>
                <w:numId w:val="24"/>
              </w:numPr>
              <w:cnfStyle w:val="000000010000" w:firstRow="0" w:lastRow="0" w:firstColumn="0" w:lastColumn="0" w:oddVBand="0" w:evenVBand="0" w:oddHBand="0" w:evenHBand="1" w:firstRowFirstColumn="0" w:firstRowLastColumn="0" w:lastRowFirstColumn="0" w:lastRowLastColumn="0"/>
            </w:pPr>
            <w:r>
              <w:t>Melbourne Water 2016-17</w:t>
            </w:r>
          </w:p>
        </w:tc>
        <w:tc>
          <w:tcPr>
            <w:tcW w:w="709"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201</w:t>
            </w:r>
            <w:r>
              <w:t>6</w:t>
            </w:r>
          </w:p>
        </w:tc>
        <w:tc>
          <w:tcPr>
            <w:tcW w:w="1768"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t>N/A</w:t>
            </w:r>
          </w:p>
        </w:tc>
        <w:tc>
          <w:tcPr>
            <w:tcW w:w="1911"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t>N/A</w:t>
            </w:r>
          </w:p>
        </w:tc>
        <w:tc>
          <w:tcPr>
            <w:tcW w:w="1911"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rPr>
                <w:rStyle w:val="Strong"/>
              </w:rPr>
              <w:t>0.5</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1101" w:type="dxa"/>
          </w:tcPr>
          <w:p w:rsidR="00C52695" w:rsidRPr="00C52695" w:rsidRDefault="00C52695" w:rsidP="00C52695">
            <w:r w:rsidRPr="00883125">
              <w:t>QCA</w:t>
            </w:r>
            <w:r w:rsidRPr="00C52695">
              <w:rPr>
                <w:rStyle w:val="FootnoteReference"/>
              </w:rPr>
              <w:footnoteReference w:id="247"/>
            </w:r>
            <w:r w:rsidRPr="00C52695">
              <w:t xml:space="preserve">  </w:t>
            </w:r>
          </w:p>
        </w:tc>
        <w:tc>
          <w:tcPr>
            <w:tcW w:w="1842" w:type="dxa"/>
          </w:tcPr>
          <w:p w:rsidR="00C52695" w:rsidRPr="00883125" w:rsidRDefault="009A78E0" w:rsidP="00C52695">
            <w:pPr>
              <w:numPr>
                <w:ilvl w:val="0"/>
                <w:numId w:val="24"/>
              </w:numPr>
              <w:cnfStyle w:val="000000000000" w:firstRow="0" w:lastRow="0" w:firstColumn="0" w:lastColumn="0" w:oddVBand="0" w:evenVBand="0" w:oddHBand="0" w:evenHBand="0" w:firstRowFirstColumn="0" w:firstRowLastColumn="0" w:lastRowFirstColumn="0" w:lastRowLastColumn="0"/>
            </w:pPr>
            <w:r>
              <w:t xml:space="preserve">Dalrymple Bay Coal Terminal access undertaking </w:t>
            </w:r>
          </w:p>
        </w:tc>
        <w:tc>
          <w:tcPr>
            <w:tcW w:w="709"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w:t>
            </w:r>
            <w:r>
              <w:t>6</w:t>
            </w:r>
          </w:p>
        </w:tc>
        <w:tc>
          <w:tcPr>
            <w:tcW w:w="1768"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0.84</w:t>
            </w:r>
            <w:r w:rsidRPr="00883125">
              <w:t>, using</w:t>
            </w:r>
            <w:r>
              <w:t xml:space="preserve"> Lally's approach of using data sourced directly from companies' financial statements in their annual reports</w:t>
            </w:r>
          </w:p>
        </w:tc>
        <w:tc>
          <w:tcPr>
            <w:tcW w:w="1911"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0.56</w:t>
            </w:r>
            <w:r w:rsidRPr="00883125">
              <w:t>, based primarily on the domestic ownership share of listed equity</w:t>
            </w:r>
          </w:p>
        </w:tc>
        <w:tc>
          <w:tcPr>
            <w:tcW w:w="1911"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rPr>
                <w:rStyle w:val="Strong"/>
              </w:rPr>
            </w:pPr>
            <w:r w:rsidRPr="00883125">
              <w:rPr>
                <w:rStyle w:val="Strong"/>
              </w:rPr>
              <w:t>0.47</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C52695" w:rsidRPr="00883125" w:rsidRDefault="00C52695" w:rsidP="00C52695">
            <w:pPr>
              <w:numPr>
                <w:ilvl w:val="0"/>
                <w:numId w:val="24"/>
              </w:numPr>
            </w:pPr>
            <w:r w:rsidRPr="00883125">
              <w:t>ERA</w:t>
            </w:r>
            <w:r w:rsidRPr="00883125">
              <w:rPr>
                <w:rStyle w:val="FootnoteReference"/>
              </w:rPr>
              <w:footnoteReference w:id="248"/>
            </w:r>
            <w:r w:rsidRPr="00883125">
              <w:t xml:space="preserve">  </w:t>
            </w:r>
          </w:p>
        </w:tc>
        <w:tc>
          <w:tcPr>
            <w:tcW w:w="1842"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t>Proposed Revisions to the Access Arrangement for the Dampier to Bunbury National Gas Pipeline 2016-30, final decision</w:t>
            </w:r>
            <w:r w:rsidRPr="00883125">
              <w:t xml:space="preserve"> </w:t>
            </w:r>
          </w:p>
        </w:tc>
        <w:tc>
          <w:tcPr>
            <w:tcW w:w="709"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201</w:t>
            </w:r>
            <w:r>
              <w:t>6</w:t>
            </w:r>
          </w:p>
        </w:tc>
        <w:tc>
          <w:tcPr>
            <w:tcW w:w="1768"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w:t>
            </w:r>
            <w:r>
              <w:rPr>
                <w:rStyle w:val="Strong"/>
              </w:rPr>
              <w:t>7 to 0.8</w:t>
            </w:r>
          </w:p>
        </w:tc>
        <w:tc>
          <w:tcPr>
            <w:tcW w:w="1911"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w:t>
            </w:r>
            <w:r>
              <w:rPr>
                <w:rStyle w:val="Strong"/>
              </w:rPr>
              <w:t>35 to 0.69</w:t>
            </w:r>
            <w:r w:rsidRPr="00883125">
              <w:t>, most weight</w:t>
            </w:r>
            <w:r>
              <w:t xml:space="preserve"> placed on the equity ownership approach which supports a utilisation rate of 0.47 to 0.59 and gamma estimate of 0.38 to 0.41</w:t>
            </w:r>
          </w:p>
        </w:tc>
        <w:tc>
          <w:tcPr>
            <w:tcW w:w="1911"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w:t>
            </w:r>
            <w:r>
              <w:rPr>
                <w:rStyle w:val="Strong"/>
              </w:rPr>
              <w:t>4</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1101" w:type="dxa"/>
          </w:tcPr>
          <w:p w:rsidR="00C52695" w:rsidRPr="00883125" w:rsidRDefault="00C52695" w:rsidP="00C52695">
            <w:pPr>
              <w:numPr>
                <w:ilvl w:val="0"/>
                <w:numId w:val="24"/>
              </w:numPr>
            </w:pPr>
            <w:r w:rsidRPr="00883125">
              <w:t>ACCC</w:t>
            </w:r>
            <w:r w:rsidRPr="00883125">
              <w:rPr>
                <w:rStyle w:val="FootnoteReference"/>
              </w:rPr>
              <w:footnoteReference w:id="249"/>
            </w:r>
            <w:r w:rsidRPr="00883125">
              <w:t xml:space="preserve"> </w:t>
            </w:r>
          </w:p>
        </w:tc>
        <w:tc>
          <w:tcPr>
            <w:tcW w:w="184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t>Australian Postal Corporation 2015 Price Notification</w:t>
            </w:r>
          </w:p>
        </w:tc>
        <w:tc>
          <w:tcPr>
            <w:tcW w:w="709"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2015</w:t>
            </w:r>
          </w:p>
        </w:tc>
        <w:tc>
          <w:tcPr>
            <w:tcW w:w="1768"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N/A</w:t>
            </w:r>
          </w:p>
        </w:tc>
        <w:tc>
          <w:tcPr>
            <w:tcW w:w="1911"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N/A</w:t>
            </w:r>
          </w:p>
        </w:tc>
        <w:tc>
          <w:tcPr>
            <w:tcW w:w="1911"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0.4</w:t>
            </w:r>
            <w:r w:rsidRPr="00883125">
              <w:t>, set for consistency with previous ACCC</w:t>
            </w:r>
            <w:r>
              <w:t xml:space="preserve"> and AER </w:t>
            </w:r>
            <w:r w:rsidRPr="00883125">
              <w:t>decisions</w:t>
            </w:r>
          </w:p>
        </w:tc>
      </w:tr>
    </w:tbl>
    <w:p w:rsidR="00C52695" w:rsidRPr="00883125" w:rsidRDefault="00C52695" w:rsidP="00C52695">
      <w:pPr>
        <w:pStyle w:val="AERtablesource"/>
      </w:pPr>
      <w:r w:rsidRPr="00883125">
        <w:t>Source:</w:t>
      </w:r>
      <w:r w:rsidRPr="00883125">
        <w:tab/>
        <w:t>As specified in table.</w:t>
      </w:r>
    </w:p>
    <w:p w:rsidR="00C52695" w:rsidRPr="00883125" w:rsidRDefault="00C52695" w:rsidP="00C52695">
      <w:r w:rsidRPr="00883125">
        <w:t xml:space="preserve">Conceptually, the value of imputation credits must be between 0 and 1. The range of values adopted by Australian regulators is from 0.25 to 0.5. This range is narrower than the range of estimates recommended by experts (from 0.25 to 0.84), but it is still quite wide. This highlights the lack of consensus among regulators on the value of imputation credits. Given </w:t>
      </w:r>
      <w:r w:rsidRPr="00883125">
        <w:lastRenderedPageBreak/>
        <w:t xml:space="preserve">the lack of consensus among experts, this is perhaps not surprising. Our </w:t>
      </w:r>
      <w:r w:rsidR="00180C78">
        <w:t>final</w:t>
      </w:r>
      <w:r w:rsidR="00180C78" w:rsidRPr="00883125">
        <w:t xml:space="preserve"> </w:t>
      </w:r>
      <w:r w:rsidRPr="00883125">
        <w:t>decision value of imputation credits of 0.4 sits within the range adopted by regulators.</w:t>
      </w:r>
    </w:p>
    <w:p w:rsidR="00C52695" w:rsidRPr="00883125" w:rsidRDefault="00C52695" w:rsidP="00C52695">
      <w:pPr>
        <w:pStyle w:val="Heading8"/>
      </w:pPr>
      <w:bookmarkStart w:id="158" w:name="_Toc436049444"/>
      <w:bookmarkStart w:id="159" w:name="_Toc451842248"/>
      <w:bookmarkStart w:id="160" w:name="_Toc451938304"/>
      <w:bookmarkStart w:id="161" w:name="_Toc456614292"/>
      <w:bookmarkStart w:id="162" w:name="_Toc462823310"/>
      <w:bookmarkStart w:id="163" w:name="_Toc481061458"/>
      <w:r w:rsidRPr="00883125">
        <w:t>Previous Australian Competition Tribunal considerations</w:t>
      </w:r>
      <w:bookmarkEnd w:id="158"/>
      <w:bookmarkEnd w:id="159"/>
      <w:bookmarkEnd w:id="160"/>
      <w:bookmarkEnd w:id="161"/>
      <w:bookmarkEnd w:id="162"/>
      <w:bookmarkEnd w:id="163"/>
    </w:p>
    <w:p w:rsidR="00C52695" w:rsidRPr="00883125" w:rsidRDefault="00C52695" w:rsidP="00C52695">
      <w:pPr>
        <w:numPr>
          <w:ilvl w:val="0"/>
          <w:numId w:val="24"/>
        </w:numPr>
      </w:pPr>
      <w:r w:rsidRPr="00883125">
        <w:t xml:space="preserve">The Australian Competition Tribunal has considered in detail the value of imputation credits (gamma) in </w:t>
      </w:r>
      <w:r w:rsidR="006425B8">
        <w:t>five</w:t>
      </w:r>
      <w:r w:rsidR="006425B8" w:rsidRPr="00883125">
        <w:t xml:space="preserve"> </w:t>
      </w:r>
      <w:r w:rsidRPr="00883125">
        <w:t>proceedings since 2010, relating to applications by:</w:t>
      </w:r>
    </w:p>
    <w:p w:rsidR="006425B8" w:rsidRDefault="00F7230D" w:rsidP="006425B8">
      <w:pPr>
        <w:pStyle w:val="AERbulletlistfirststyle"/>
      </w:pPr>
      <w:r>
        <w:t>SA Power Networks</w:t>
      </w:r>
    </w:p>
    <w:p w:rsidR="00C52695" w:rsidRPr="00F7230D" w:rsidRDefault="00C52695" w:rsidP="006425B8">
      <w:pPr>
        <w:pStyle w:val="AERbulletlistfirststyle"/>
        <w:rPr>
          <w:rStyle w:val="CommentReference"/>
          <w:sz w:val="22"/>
          <w:szCs w:val="22"/>
        </w:rPr>
      </w:pPr>
      <w:r w:rsidRPr="002614DB">
        <w:t xml:space="preserve">ActewAGL Distribution, Ausgrid, Endeavour Energy, Essential Energy and Jemena Gas </w:t>
      </w:r>
      <w:r w:rsidRPr="006425B8">
        <w:t>Networks</w:t>
      </w:r>
      <w:r w:rsidRPr="00C52695" w:rsidDel="00C2259D">
        <w:rPr>
          <w:rStyle w:val="CommentReference"/>
        </w:rPr>
        <w:t xml:space="preserve"> </w:t>
      </w:r>
    </w:p>
    <w:p w:rsidR="00C52695" w:rsidRPr="00883125" w:rsidRDefault="00C52695" w:rsidP="00C52695">
      <w:pPr>
        <w:pStyle w:val="AERbulletlistfirststyle"/>
      </w:pPr>
      <w:r w:rsidRPr="00883125">
        <w:t>Energex Limited</w:t>
      </w:r>
    </w:p>
    <w:p w:rsidR="00C52695" w:rsidRPr="00883125" w:rsidRDefault="00C52695" w:rsidP="00C52695">
      <w:pPr>
        <w:pStyle w:val="AERbulletlistfirststyle"/>
      </w:pPr>
      <w:r w:rsidRPr="00883125">
        <w:t>DBNGP (WA) Transmission Pty Ltd, and</w:t>
      </w:r>
    </w:p>
    <w:p w:rsidR="00C52695" w:rsidRPr="00883125" w:rsidRDefault="00C52695" w:rsidP="00C52695">
      <w:pPr>
        <w:pStyle w:val="AERbulletlistfirststyle"/>
      </w:pPr>
      <w:r w:rsidRPr="00883125">
        <w:t>WA Gas Networks Pty Ltd.</w:t>
      </w:r>
    </w:p>
    <w:p w:rsidR="00C52695" w:rsidRDefault="00C52695" w:rsidP="00C52695">
      <w:pPr>
        <w:numPr>
          <w:ilvl w:val="0"/>
          <w:numId w:val="24"/>
        </w:numPr>
      </w:pPr>
      <w:r w:rsidRPr="00883125">
        <w:t>The Tribunal's comments in each case referred to the lack of expert consensus regarding the value of imputation credits and the scope that existed for future assessments of the evidence. We discuss these comments further in the sections below.</w:t>
      </w:r>
    </w:p>
    <w:p w:rsidR="00F7230D" w:rsidRPr="00883125" w:rsidRDefault="00F7230D" w:rsidP="00F7230D">
      <w:pPr>
        <w:pStyle w:val="Heading9"/>
      </w:pPr>
      <w:bookmarkStart w:id="164" w:name="_Toc481061459"/>
      <w:r>
        <w:t>SA Power Networks</w:t>
      </w:r>
      <w:bookmarkEnd w:id="164"/>
    </w:p>
    <w:p w:rsidR="00893A37" w:rsidRDefault="00EE4781" w:rsidP="004B237A">
      <w:r w:rsidRPr="00883125">
        <w:t xml:space="preserve">In </w:t>
      </w:r>
      <w:r>
        <w:t>October</w:t>
      </w:r>
      <w:r w:rsidRPr="00883125">
        <w:t xml:space="preserve"> 2015 we released our final decisions for </w:t>
      </w:r>
      <w:r>
        <w:t>SA Power Networks</w:t>
      </w:r>
      <w:r w:rsidR="006B645D">
        <w:t xml:space="preserve">, where </w:t>
      </w:r>
      <w:r w:rsidRPr="00883125">
        <w:t>we adopted a gamma estimate of 0.4.</w:t>
      </w:r>
      <w:r w:rsidR="006B645D">
        <w:t xml:space="preserve"> The </w:t>
      </w:r>
      <w:r w:rsidR="00096A14">
        <w:t xml:space="preserve">SAPN </w:t>
      </w:r>
      <w:r w:rsidR="006B645D">
        <w:t>Tribunal upheld the AER's decision</w:t>
      </w:r>
      <w:r w:rsidR="00EC7124">
        <w:t>.</w:t>
      </w:r>
      <w:r w:rsidR="006B645D">
        <w:t xml:space="preserve"> </w:t>
      </w:r>
      <w:r w:rsidR="001E0C22" w:rsidRPr="008F5D24">
        <w:t xml:space="preserve">In reaching its position, the </w:t>
      </w:r>
      <w:r w:rsidR="00096A14">
        <w:t xml:space="preserve">SAPN </w:t>
      </w:r>
      <w:r w:rsidR="001E0C22" w:rsidRPr="008F5D24">
        <w:t xml:space="preserve">Tribunal expressed views on the important factors in its decision. The </w:t>
      </w:r>
      <w:r w:rsidR="00096A14">
        <w:t xml:space="preserve">SAPN </w:t>
      </w:r>
      <w:r w:rsidR="001E0C22" w:rsidRPr="008F5D24">
        <w:t>Tribunal</w:t>
      </w:r>
      <w:r w:rsidR="00913303">
        <w:t>'</w:t>
      </w:r>
      <w:r w:rsidR="001E0C22" w:rsidRPr="008F5D24">
        <w:t xml:space="preserve">s views </w:t>
      </w:r>
      <w:r w:rsidR="009528C0">
        <w:t>are</w:t>
      </w:r>
      <w:r w:rsidR="001E0C22" w:rsidRPr="008F5D24">
        <w:t xml:space="preserve"> summarised in </w:t>
      </w:r>
      <w:r w:rsidR="001E0C22" w:rsidRPr="001E0C22">
        <w:fldChar w:fldCharType="begin"/>
      </w:r>
      <w:r w:rsidR="001E0C22" w:rsidRPr="001E0C22">
        <w:instrText xml:space="preserve"> REF  _Ref450040370 \* Lower \h  \* MERGEFORMAT </w:instrText>
      </w:r>
      <w:r w:rsidR="001E0C22" w:rsidRPr="001E0C22">
        <w:fldChar w:fldCharType="separate"/>
      </w:r>
      <w:r w:rsidR="00812A72" w:rsidRPr="005764F6">
        <w:t xml:space="preserve">table </w:t>
      </w:r>
      <w:r w:rsidR="00812A72">
        <w:t>4</w:t>
      </w:r>
      <w:r w:rsidR="00812A72" w:rsidRPr="005764F6">
        <w:noBreakHyphen/>
      </w:r>
      <w:r w:rsidR="00812A72">
        <w:t>9</w:t>
      </w:r>
      <w:r w:rsidR="001E0C22" w:rsidRPr="001E0C22">
        <w:fldChar w:fldCharType="end"/>
      </w:r>
      <w:r w:rsidR="00AB2A83">
        <w:t xml:space="preserve"> below.</w:t>
      </w:r>
    </w:p>
    <w:p w:rsidR="00893A37" w:rsidRPr="00883125" w:rsidRDefault="00893A37" w:rsidP="00BB71EE"/>
    <w:p w:rsidR="00BB71EE" w:rsidRPr="00883125" w:rsidRDefault="00BB71EE" w:rsidP="00BB71EE">
      <w:pPr>
        <w:sectPr w:rsidR="00BB71EE" w:rsidRPr="00883125" w:rsidSect="006425B8">
          <w:footerReference w:type="even" r:id="rId15"/>
          <w:footerReference w:type="default" r:id="rId16"/>
          <w:pgSz w:w="11906" w:h="16838"/>
          <w:pgMar w:top="1440" w:right="1440" w:bottom="1440" w:left="1440" w:header="708" w:footer="708" w:gutter="0"/>
          <w:pgNumType w:chapStyle="1"/>
          <w:cols w:space="708"/>
          <w:docGrid w:linePitch="360"/>
        </w:sectPr>
      </w:pPr>
    </w:p>
    <w:p w:rsidR="00E05498" w:rsidRPr="005764F6" w:rsidRDefault="00E05498" w:rsidP="00E05498">
      <w:pPr>
        <w:pStyle w:val="Tabletitle"/>
      </w:pPr>
      <w:bookmarkStart w:id="165" w:name="_Ref478471962"/>
      <w:r w:rsidRPr="005764F6">
        <w:lastRenderedPageBreak/>
        <w:t xml:space="preserve">Table </w:t>
      </w:r>
      <w:r w:rsidRPr="00CA67C0">
        <w:fldChar w:fldCharType="begin"/>
      </w:r>
      <w:r>
        <w:instrText xml:space="preserve"> STYLEREF 1 \s </w:instrText>
      </w:r>
      <w:r w:rsidRPr="00CA67C0">
        <w:fldChar w:fldCharType="separate"/>
      </w:r>
      <w:r w:rsidR="00812A72">
        <w:rPr>
          <w:noProof/>
        </w:rPr>
        <w:t>4</w:t>
      </w:r>
      <w:r w:rsidRPr="00CA67C0">
        <w:fldChar w:fldCharType="end"/>
      </w:r>
      <w:r w:rsidRPr="005764F6">
        <w:noBreakHyphen/>
      </w:r>
      <w:r w:rsidRPr="00CA67C0">
        <w:fldChar w:fldCharType="begin"/>
      </w:r>
      <w:r>
        <w:instrText xml:space="preserve"> SEQ Table \* ARABIC \s 1 </w:instrText>
      </w:r>
      <w:r w:rsidRPr="00CA67C0">
        <w:fldChar w:fldCharType="separate"/>
      </w:r>
      <w:r w:rsidR="00812A72">
        <w:rPr>
          <w:noProof/>
        </w:rPr>
        <w:t>8</w:t>
      </w:r>
      <w:r w:rsidRPr="00CA67C0">
        <w:fldChar w:fldCharType="end"/>
      </w:r>
      <w:bookmarkEnd w:id="165"/>
      <w:r w:rsidRPr="005764F6">
        <w:tab/>
        <w:t xml:space="preserve">Australian Competition Tribunal's observations on imputation credits in </w:t>
      </w:r>
      <w:r>
        <w:t xml:space="preserve">SA Power Networks </w:t>
      </w:r>
      <w:r w:rsidRPr="005764F6">
        <w:t>matter</w:t>
      </w:r>
    </w:p>
    <w:tbl>
      <w:tblPr>
        <w:tblStyle w:val="AERtable-text0"/>
        <w:tblW w:w="5000" w:type="pct"/>
        <w:tblLook w:val="04A0" w:firstRow="1" w:lastRow="0" w:firstColumn="1" w:lastColumn="0" w:noHBand="0" w:noVBand="1"/>
      </w:tblPr>
      <w:tblGrid>
        <w:gridCol w:w="2205"/>
        <w:gridCol w:w="11969"/>
      </w:tblGrid>
      <w:tr w:rsidR="0055269A" w:rsidTr="00E750F8">
        <w:trPr>
          <w:cnfStyle w:val="100000000000" w:firstRow="1" w:lastRow="0" w:firstColumn="0" w:lastColumn="0" w:oddVBand="0" w:evenVBand="0" w:oddHBand="0" w:evenHBand="0" w:firstRowFirstColumn="0" w:firstRowLastColumn="0" w:lastRowFirstColumn="0" w:lastRowLastColumn="0"/>
          <w:tblHeader/>
        </w:trPr>
        <w:tc>
          <w:tcPr>
            <w:tcW w:w="778" w:type="pct"/>
          </w:tcPr>
          <w:p w:rsidR="0055269A" w:rsidRPr="00E05498" w:rsidRDefault="0055269A" w:rsidP="00E05498">
            <w:r w:rsidRPr="00883125">
              <w:t>Issue</w:t>
            </w:r>
          </w:p>
        </w:tc>
        <w:tc>
          <w:tcPr>
            <w:tcW w:w="4222" w:type="pct"/>
          </w:tcPr>
          <w:p w:rsidR="0055269A" w:rsidRPr="00E05498" w:rsidRDefault="0055269A" w:rsidP="00E05498">
            <w:r w:rsidRPr="00883125">
              <w:t>Tribunal comments</w:t>
            </w:r>
          </w:p>
        </w:tc>
      </w:tr>
      <w:tr w:rsidR="0055269A" w:rsidTr="00E750F8">
        <w:tc>
          <w:tcPr>
            <w:tcW w:w="778" w:type="pct"/>
          </w:tcPr>
          <w:p w:rsidR="0055269A" w:rsidRPr="00883125" w:rsidRDefault="0055269A" w:rsidP="00E05498">
            <w:r>
              <w:t>Transaction costs</w:t>
            </w:r>
          </w:p>
        </w:tc>
        <w:tc>
          <w:tcPr>
            <w:tcW w:w="4222" w:type="pct"/>
          </w:tcPr>
          <w:p w:rsidR="0055269A" w:rsidRPr="006C6D7F" w:rsidRDefault="005A64FC" w:rsidP="006C6D7F">
            <w:r>
              <w:t>T</w:t>
            </w:r>
            <w:r w:rsidR="0055269A" w:rsidRPr="006C6D7F">
              <w:t>ime value of money</w:t>
            </w:r>
            <w:r>
              <w:t>:</w:t>
            </w:r>
            <w:r w:rsidR="0055269A" w:rsidRPr="006C6D7F">
              <w:t xml:space="preserve"> the Tribunal considered that it might hold for some investors, but would appear to imply logically that such investors will also discount the tax costs associated with any taxes yet to be paid on dividends.</w:t>
            </w:r>
            <w:r w:rsidR="0055269A" w:rsidRPr="006C6D7F">
              <w:rPr>
                <w:rStyle w:val="FootnoteReference"/>
              </w:rPr>
              <w:footnoteReference w:id="250"/>
            </w:r>
            <w:r w:rsidR="0055269A" w:rsidRPr="006C6D7F">
              <w:t xml:space="preserve"> In any case, the Tribunal considered that the relatively short time lags and the current low discount rates would suggest the time value of money effect is likely to be small.</w:t>
            </w:r>
            <w:r w:rsidR="0055269A" w:rsidRPr="006C6D7F">
              <w:rPr>
                <w:rStyle w:val="FootnoteReference"/>
              </w:rPr>
              <w:t xml:space="preserve"> </w:t>
            </w:r>
            <w:r w:rsidR="0055269A" w:rsidRPr="006C6D7F">
              <w:rPr>
                <w:rStyle w:val="FootnoteReference"/>
              </w:rPr>
              <w:footnoteReference w:id="251"/>
            </w:r>
            <w:r w:rsidR="0055269A" w:rsidRPr="006C6D7F">
              <w:t xml:space="preserve"> </w:t>
            </w:r>
          </w:p>
          <w:p w:rsidR="0055269A" w:rsidRPr="006C6D7F" w:rsidRDefault="005A64FC" w:rsidP="006C6D7F">
            <w:r>
              <w:t xml:space="preserve">45 day rule: </w:t>
            </w:r>
            <w:r w:rsidR="0055269A" w:rsidRPr="006C6D7F">
              <w:t>the Tribunal considered that the evidence presented to it about the reliability of tax statistics suggested the materiality of this point is hard to judge</w:t>
            </w:r>
            <w:r w:rsidR="009528C0">
              <w:t>.</w:t>
            </w:r>
            <w:r w:rsidR="0055269A" w:rsidRPr="006C6D7F">
              <w:rPr>
                <w:rStyle w:val="FootnoteReference"/>
              </w:rPr>
              <w:t xml:space="preserve"> </w:t>
            </w:r>
            <w:r w:rsidR="0055269A" w:rsidRPr="006C6D7F">
              <w:rPr>
                <w:rStyle w:val="FootnoteReference"/>
              </w:rPr>
              <w:footnoteReference w:id="252"/>
            </w:r>
            <w:r w:rsidR="0055269A" w:rsidRPr="006C6D7F">
              <w:t xml:space="preserve"> </w:t>
            </w:r>
          </w:p>
          <w:p w:rsidR="0055269A" w:rsidRPr="007B43C4" w:rsidRDefault="005A64FC" w:rsidP="007B43C4">
            <w:r>
              <w:t>P</w:t>
            </w:r>
            <w:r w:rsidR="0055269A" w:rsidRPr="007B43C4">
              <w:t>ortfolio effects</w:t>
            </w:r>
            <w:r>
              <w:t>:</w:t>
            </w:r>
            <w:r w:rsidR="0055269A" w:rsidRPr="007B43C4">
              <w:t xml:space="preserve"> the Tribunal considered that there is a well-documented “home-bias” in investor portfolios (found internationally generally regardless of tax systems), implying incomplete diversification benefits, the extent to which this is an additional factor of significant materiality is unclear.</w:t>
            </w:r>
            <w:r w:rsidR="0055269A" w:rsidRPr="007B43C4">
              <w:rPr>
                <w:rStyle w:val="FootnoteReference"/>
              </w:rPr>
              <w:footnoteReference w:id="253"/>
            </w:r>
          </w:p>
          <w:p w:rsidR="0055269A" w:rsidRPr="00E05498" w:rsidRDefault="005A64FC" w:rsidP="005A64FC">
            <w:r>
              <w:t>P</w:t>
            </w:r>
            <w:r w:rsidR="0055269A" w:rsidRPr="00ED4EF3">
              <w:t>ersonal costs</w:t>
            </w:r>
            <w:r>
              <w:t>:</w:t>
            </w:r>
            <w:r w:rsidR="0055269A" w:rsidRPr="00ED4EF3">
              <w:t xml:space="preserve"> the Tribunal </w:t>
            </w:r>
            <w:r w:rsidR="0055269A" w:rsidRPr="00424391">
              <w:t>is of the view that while some investors do experience investor level (personal) costs in dealing in equities, these can vary substa</w:t>
            </w:r>
            <w:r w:rsidR="0055269A">
              <w:t>ntially across investor groups.</w:t>
            </w:r>
            <w:r w:rsidR="0055269A" w:rsidRPr="00424391">
              <w:t xml:space="preserve"> It is thus not clear what effect such costs will have on equity market prices or on the need to adjust estimates for implied values of franking credits drawn from shareholder distribution or tax statistics.</w:t>
            </w:r>
            <w:r w:rsidR="0055269A" w:rsidRPr="007B43C4">
              <w:rPr>
                <w:rStyle w:val="FootnoteReference"/>
              </w:rPr>
              <w:footnoteReference w:id="254"/>
            </w:r>
          </w:p>
        </w:tc>
      </w:tr>
      <w:tr w:rsidR="0055269A" w:rsidTr="00E750F8">
        <w:trPr>
          <w:cnfStyle w:val="000000010000" w:firstRow="0" w:lastRow="0" w:firstColumn="0" w:lastColumn="0" w:oddVBand="0" w:evenVBand="0" w:oddHBand="0" w:evenHBand="1" w:firstRowFirstColumn="0" w:firstRowLastColumn="0" w:lastRowFirstColumn="0" w:lastRowLastColumn="0"/>
        </w:trPr>
        <w:tc>
          <w:tcPr>
            <w:tcW w:w="778" w:type="pct"/>
          </w:tcPr>
          <w:p w:rsidR="0055269A" w:rsidRPr="00E05498" w:rsidRDefault="0055269A" w:rsidP="00E05498">
            <w:r w:rsidRPr="00883125">
              <w:t>Equity ownership approach</w:t>
            </w:r>
          </w:p>
        </w:tc>
        <w:tc>
          <w:tcPr>
            <w:tcW w:w="4222" w:type="pct"/>
          </w:tcPr>
          <w:p w:rsidR="0055269A" w:rsidRPr="001F50E5" w:rsidRDefault="0055269A" w:rsidP="001F50E5">
            <w:r w:rsidRPr="007A336C">
              <w:t>The</w:t>
            </w:r>
            <w:r w:rsidRPr="001F50E5">
              <w:t xml:space="preserve"> equity ownership approach does not produce an upper bound if it is believed that stock prices are determined by some marginal investor.</w:t>
            </w:r>
            <w:r w:rsidRPr="001F50E5">
              <w:rPr>
                <w:rStyle w:val="FootnoteReference"/>
              </w:rPr>
              <w:footnoteReference w:id="255"/>
            </w:r>
            <w:r w:rsidRPr="001F50E5">
              <w:t xml:space="preserve"> Even if the average investor perspective is taken, there may be other relevant factors, not adequately captured in theoretical models, which preclude an interpretation as an upper bound.</w:t>
            </w:r>
            <w:r w:rsidRPr="001F50E5">
              <w:rPr>
                <w:rStyle w:val="FootnoteReference"/>
              </w:rPr>
              <w:footnoteReference w:id="256"/>
            </w:r>
          </w:p>
          <w:p w:rsidR="0055269A" w:rsidRPr="001F50E5" w:rsidRDefault="0055269A" w:rsidP="001F50E5">
            <w:r w:rsidRPr="007A336C">
              <w:t xml:space="preserve">While the </w:t>
            </w:r>
            <w:r w:rsidRPr="001F50E5">
              <w:t xml:space="preserve">Tribunal recognises the need for analysis of historical data to reduce uncertainty surrounding current figures, it would expect that sound reasons would be provided for using figures significantly different from the current value given that </w:t>
            </w:r>
            <w:r w:rsidR="00E119AC">
              <w:t>current value</w:t>
            </w:r>
            <w:r w:rsidRPr="001F50E5">
              <w:t xml:space="preserve"> is c</w:t>
            </w:r>
            <w:r>
              <w:t>lose to the historical average</w:t>
            </w:r>
            <w:r w:rsidRPr="001F50E5">
              <w:t>.</w:t>
            </w:r>
            <w:r w:rsidRPr="001F50E5">
              <w:rPr>
                <w:rStyle w:val="FootnoteReference"/>
              </w:rPr>
              <w:footnoteReference w:id="257"/>
            </w:r>
          </w:p>
          <w:p w:rsidR="0055269A" w:rsidRPr="00E05498" w:rsidRDefault="0055269A" w:rsidP="00942BBE">
            <w:r w:rsidRPr="006D64E7">
              <w:t xml:space="preserve">The Tribunal </w:t>
            </w:r>
            <w:r w:rsidRPr="00942BBE">
              <w:t xml:space="preserve">does not find that the AER erred or that its decision was unreasonable in considering historical data on domestic equity ownership shares for both listed </w:t>
            </w:r>
            <w:r w:rsidRPr="00942BBE">
              <w:lastRenderedPageBreak/>
              <w:t>and all companies.</w:t>
            </w:r>
            <w:r w:rsidRPr="00942BBE">
              <w:rPr>
                <w:rStyle w:val="FootnoteReference"/>
              </w:rPr>
              <w:footnoteReference w:id="258"/>
            </w:r>
          </w:p>
        </w:tc>
      </w:tr>
      <w:tr w:rsidR="0055269A" w:rsidRPr="00B45BDD" w:rsidTr="00E750F8">
        <w:tc>
          <w:tcPr>
            <w:tcW w:w="778" w:type="pct"/>
          </w:tcPr>
          <w:p w:rsidR="0055269A" w:rsidRPr="00E05498" w:rsidRDefault="0055269A" w:rsidP="00E05498">
            <w:r w:rsidRPr="00883125">
              <w:lastRenderedPageBreak/>
              <w:t>Tax statistic estimates</w:t>
            </w:r>
          </w:p>
        </w:tc>
        <w:tc>
          <w:tcPr>
            <w:tcW w:w="4222" w:type="pct"/>
          </w:tcPr>
          <w:p w:rsidR="0055269A" w:rsidRPr="0088743A" w:rsidRDefault="0055269A" w:rsidP="0088743A">
            <w:r w:rsidRPr="00FF0F25">
              <w:t>T</w:t>
            </w:r>
            <w:r w:rsidRPr="0088743A">
              <w:t>he Tribunal considered that if a marginal price-setting investor perspective is taken, the average utilisation rate implies nothing about va</w:t>
            </w:r>
            <w:r>
              <w:t>luation by a marginal investor.</w:t>
            </w:r>
            <w:r w:rsidR="00E119AC">
              <w:t xml:space="preserve"> However, i</w:t>
            </w:r>
            <w:r w:rsidRPr="0088743A">
              <w:t xml:space="preserve">f an average investor perspective is taken, </w:t>
            </w:r>
            <w:r w:rsidR="00E119AC" w:rsidRPr="0088743A">
              <w:t>the redemption rate figure from tax statistics is not an upper bound for the utilisation rate, but rather a noisy estimate.</w:t>
            </w:r>
            <w:r w:rsidR="00E119AC" w:rsidRPr="00E119AC">
              <w:rPr>
                <w:rStyle w:val="FootnoteReference"/>
              </w:rPr>
              <w:footnoteReference w:id="259"/>
            </w:r>
          </w:p>
          <w:p w:rsidR="0055269A" w:rsidRPr="00E05498" w:rsidRDefault="0055269A" w:rsidP="00112F3A">
            <w:r w:rsidRPr="00C96FA2">
              <w:t>In regards to whether redemption rates reflect the value of imputation credits to investors, the Tribunal has noted that experts are dividend on the issue and had found no reason to accept that the interpretation by the AER is incorrect.</w:t>
            </w:r>
            <w:r w:rsidRPr="0088743A">
              <w:rPr>
                <w:rStyle w:val="FootnoteReference"/>
              </w:rPr>
              <w:footnoteReference w:id="260"/>
            </w:r>
          </w:p>
        </w:tc>
      </w:tr>
      <w:tr w:rsidR="0055269A" w:rsidRPr="00B45BDD" w:rsidTr="00E750F8">
        <w:trPr>
          <w:cnfStyle w:val="000000010000" w:firstRow="0" w:lastRow="0" w:firstColumn="0" w:lastColumn="0" w:oddVBand="0" w:evenVBand="0" w:oddHBand="0" w:evenHBand="1" w:firstRowFirstColumn="0" w:firstRowLastColumn="0" w:lastRowFirstColumn="0" w:lastRowLastColumn="0"/>
        </w:trPr>
        <w:tc>
          <w:tcPr>
            <w:tcW w:w="778" w:type="pct"/>
          </w:tcPr>
          <w:p w:rsidR="0055269A" w:rsidRPr="00E05498" w:rsidRDefault="0055269A" w:rsidP="00E05498">
            <w:r w:rsidRPr="00883125">
              <w:t>The conceptual basis for dividend drop off studies</w:t>
            </w:r>
          </w:p>
        </w:tc>
        <w:tc>
          <w:tcPr>
            <w:tcW w:w="4222" w:type="pct"/>
          </w:tcPr>
          <w:p w:rsidR="0055269A" w:rsidRDefault="0055269A" w:rsidP="00246DAF">
            <w:pPr>
              <w:rPr>
                <w:highlight w:val="cyan"/>
              </w:rPr>
            </w:pPr>
            <w:r w:rsidRPr="00C96FA2">
              <w:t>The Tribunal is of the view that while dividend drop-off studies may convey some information about tax parameters and valuation of their consequences for the set(s) of investors determining stock prices around the ex-div date, there are too many other confounding factors to place sole, or even, major weight on such studies for the estimation of the value of franking credits in the context of the PTRM</w:t>
            </w:r>
            <w:r>
              <w:t>.</w:t>
            </w:r>
            <w:r w:rsidRPr="0088743A">
              <w:rPr>
                <w:rStyle w:val="FootnoteReference"/>
              </w:rPr>
              <w:footnoteReference w:id="261"/>
            </w:r>
          </w:p>
          <w:p w:rsidR="0055269A" w:rsidRPr="00D65957" w:rsidRDefault="0055269A" w:rsidP="00D65957">
            <w:r w:rsidRPr="00122670">
              <w:t xml:space="preserve">However, </w:t>
            </w:r>
            <w:r w:rsidRPr="00D65957">
              <w:t>the fundamental issue is whether valid tax related valuation parameters can be reliably inferred f</w:t>
            </w:r>
            <w:r w:rsidR="004B0B95">
              <w:t xml:space="preserve">rom such statistical results. </w:t>
            </w:r>
            <w:r w:rsidRPr="00D65957">
              <w:t>Because of the weight of expert evidence questioning that such inferences can be reliably drawn, and the AER reliance on that evidence in forming a judgement, the Tribunal does not believe it needs to address those other crit</w:t>
            </w:r>
            <w:r w:rsidR="004B0B95">
              <w:t xml:space="preserve">icisms. </w:t>
            </w:r>
            <w:r w:rsidRPr="00D65957">
              <w:t>The uncertainty associated with drawing conclusions about the value of imputation credits from any existing drop-off study (no matter how well specified and conducted) was sufficient for the AER to make a judgement to accord limited weight to this</w:t>
            </w:r>
            <w:r w:rsidR="004B0B95">
              <w:t xml:space="preserve"> type of evidence.</w:t>
            </w:r>
            <w:r w:rsidRPr="00D65957">
              <w:t xml:space="preserve"> Consequently, the Tribunal does not agree that the AER erred or was unreasonable in placing less weight on dividend drop-off studies in the estimation of the value of gamma.</w:t>
            </w:r>
            <w:r w:rsidRPr="00D65957">
              <w:rPr>
                <w:rStyle w:val="FootnoteReference"/>
              </w:rPr>
              <w:footnoteReference w:id="262"/>
            </w:r>
          </w:p>
          <w:p w:rsidR="0055269A" w:rsidRPr="00E05498" w:rsidRDefault="0055269A" w:rsidP="00D65957">
            <w:r w:rsidRPr="00122670">
              <w:t>The Tribunal also questions whether the existence of the 45-day rule (which voids imputation credits from short-term trading around the ex-div date) impedes the ability of dividend drop-off studies to inform on the value of imputation credits.</w:t>
            </w:r>
            <w:r w:rsidRPr="00D65957">
              <w:rPr>
                <w:rStyle w:val="FootnoteReference"/>
              </w:rPr>
              <w:footnoteReference w:id="263"/>
            </w:r>
          </w:p>
        </w:tc>
      </w:tr>
      <w:tr w:rsidR="0055269A" w:rsidRPr="00B45BDD" w:rsidTr="00E750F8">
        <w:tc>
          <w:tcPr>
            <w:tcW w:w="778" w:type="pct"/>
          </w:tcPr>
          <w:p w:rsidR="0055269A" w:rsidRPr="00883125" w:rsidRDefault="0055269A" w:rsidP="0060460E">
            <w:r>
              <w:t>Weighting different approaches</w:t>
            </w:r>
          </w:p>
        </w:tc>
        <w:tc>
          <w:tcPr>
            <w:tcW w:w="4222" w:type="pct"/>
          </w:tcPr>
          <w:p w:rsidR="0055269A" w:rsidRPr="00D65957" w:rsidRDefault="0055269A" w:rsidP="00D65957">
            <w:r w:rsidRPr="00122670">
              <w:t xml:space="preserve">The Tribunal </w:t>
            </w:r>
            <w:r w:rsidRPr="00D65957">
              <w:t>considers that different theoretical models, all of which are simplifications of reality, with different strengths and weaknesses, and with different degrees of support among experts, may</w:t>
            </w:r>
            <w:r w:rsidR="004B0B95">
              <w:t xml:space="preserve"> suggest differing approaches. </w:t>
            </w:r>
            <w:r w:rsidRPr="00D65957">
              <w:t>Judgement about the weight to be given to alternative approaches would then be required, with resulting consequences for judgements about the subsequent issues.</w:t>
            </w:r>
            <w:r w:rsidRPr="00D65957">
              <w:rPr>
                <w:rStyle w:val="FootnoteReference"/>
              </w:rPr>
              <w:footnoteReference w:id="264"/>
            </w:r>
          </w:p>
          <w:p w:rsidR="0055269A" w:rsidRPr="00332686" w:rsidRDefault="0055269A" w:rsidP="00332686">
            <w:r w:rsidRPr="00350A7B">
              <w:lastRenderedPageBreak/>
              <w:t>T</w:t>
            </w:r>
            <w:r w:rsidRPr="00332686">
              <w:t xml:space="preserve">he Tribunal is of the view that the AER did not err, nor was unreasonable, in giving most weight </w:t>
            </w:r>
            <w:r w:rsidR="004B0B95">
              <w:t xml:space="preserve">to the “utilisation” approach. </w:t>
            </w:r>
            <w:r w:rsidRPr="00332686">
              <w:t>It considered the range of alternative approaches, recognised the diversity of views of experts on their merits (both theoretical and empirica</w:t>
            </w:r>
            <w:r w:rsidR="004B0B95">
              <w:t xml:space="preserve">l), and made a judgement call. </w:t>
            </w:r>
            <w:r w:rsidRPr="00332686">
              <w:t>In doing so, it demonstrated responsiveness to the empirical evidence in lowering its estimate of gamma from 0.5 as proposed in its ROR Guidelines to a value of 0.4.</w:t>
            </w:r>
            <w:r w:rsidRPr="00332686">
              <w:rPr>
                <w:rStyle w:val="FootnoteReference"/>
              </w:rPr>
              <w:footnoteReference w:id="265"/>
            </w:r>
          </w:p>
          <w:p w:rsidR="0055269A" w:rsidRPr="00E05498" w:rsidRDefault="0055269A" w:rsidP="003F3CEB">
            <w:r w:rsidRPr="000831E2">
              <w:t xml:space="preserve">In the face of significant uncertainty, the approach by the AER of considering a range of approaches to estimating gamma and applying different weights to those approaches is, the Tribunal believes, </w:t>
            </w:r>
            <w:r w:rsidR="004B0B95">
              <w:t xml:space="preserve">appropriate. </w:t>
            </w:r>
            <w:r w:rsidRPr="000831E2">
              <w:t>It is clear that some experts would apply different weights to the alternative types of evidence, and that some support the AER’s relative</w:t>
            </w:r>
            <w:r w:rsidR="004B0B95">
              <w:t xml:space="preserve"> ranking while others disagree.</w:t>
            </w:r>
            <w:r w:rsidRPr="000831E2">
              <w:t xml:space="preserve"> In particular, some would accord much higher weight to results of divid</w:t>
            </w:r>
            <w:r w:rsidR="004B0B95">
              <w:t>end drop-off studies.</w:t>
            </w:r>
            <w:r w:rsidRPr="000831E2">
              <w:t xml:space="preserve"> The Tribunal has noted the arguments about the problems of deriving reliable tax-related parameters such as investor valuation of imputation credits from drop-off parameters, and is of the view that the AER did not err in forming the judgement it did regarding weight to give to different forms of evidence.</w:t>
            </w:r>
            <w:r w:rsidRPr="000831E2">
              <w:rPr>
                <w:rStyle w:val="FootnoteReference"/>
              </w:rPr>
              <w:footnoteReference w:id="266"/>
            </w:r>
          </w:p>
        </w:tc>
      </w:tr>
      <w:tr w:rsidR="0055269A" w:rsidTr="00E750F8">
        <w:trPr>
          <w:cnfStyle w:val="000000010000" w:firstRow="0" w:lastRow="0" w:firstColumn="0" w:lastColumn="0" w:oddVBand="0" w:evenVBand="0" w:oddHBand="0" w:evenHBand="1" w:firstRowFirstColumn="0" w:firstRowLastColumn="0" w:lastRowFirstColumn="0" w:lastRowLastColumn="0"/>
        </w:trPr>
        <w:tc>
          <w:tcPr>
            <w:tcW w:w="778" w:type="pct"/>
          </w:tcPr>
          <w:p w:rsidR="0055269A" w:rsidRDefault="0055269A" w:rsidP="00E05498">
            <w:r>
              <w:lastRenderedPageBreak/>
              <w:t>Listed equity vs. all equity measures</w:t>
            </w:r>
          </w:p>
        </w:tc>
        <w:tc>
          <w:tcPr>
            <w:tcW w:w="4222" w:type="pct"/>
          </w:tcPr>
          <w:p w:rsidR="0055269A" w:rsidRPr="004D6623" w:rsidRDefault="0055269A" w:rsidP="004D6623">
            <w:pPr>
              <w:rPr>
                <w:highlight w:val="yellow"/>
              </w:rPr>
            </w:pPr>
            <w:r w:rsidRPr="007B51E6">
              <w:t>There is no compelling reason which has been advanced to believe that the “average” unlisted company is any better or worse than the “average” listed c</w:t>
            </w:r>
            <w:r w:rsidR="004B0B95">
              <w:t xml:space="preserve">ompany as a proxy for the BEE. </w:t>
            </w:r>
            <w:r w:rsidRPr="007B51E6">
              <w:t>Consequently the Tribunal does not believe that the AER made an error or was unreasonable or incorrectly exercised its discretion in considering estimates of distribution rates for listed entities.</w:t>
            </w:r>
            <w:r w:rsidRPr="000831E2">
              <w:rPr>
                <w:rStyle w:val="FootnoteReference"/>
              </w:rPr>
              <w:footnoteReference w:id="267"/>
            </w:r>
          </w:p>
          <w:p w:rsidR="0055269A" w:rsidRPr="008648BF" w:rsidRDefault="0055269A" w:rsidP="00582254">
            <w:pPr>
              <w:rPr>
                <w:highlight w:val="cyan"/>
              </w:rPr>
            </w:pPr>
            <w:r w:rsidRPr="002E14E7">
              <w:t>The Tribunal is willing to accept that there might be different proxies better suited to estimation of different characteri</w:t>
            </w:r>
            <w:r w:rsidR="004B0B95">
              <w:t xml:space="preserve">stics of the hypothetical BEE. </w:t>
            </w:r>
            <w:r w:rsidRPr="002E14E7">
              <w:t>Nevertheless, the Tribunal has not been presented with convincing evidence that the listed equity data should not have been considered by the AER.</w:t>
            </w:r>
            <w:r w:rsidRPr="000831E2">
              <w:rPr>
                <w:rStyle w:val="FootnoteReference"/>
              </w:rPr>
              <w:footnoteReference w:id="268"/>
            </w:r>
          </w:p>
        </w:tc>
      </w:tr>
      <w:tr w:rsidR="0055269A" w:rsidTr="00E750F8">
        <w:tc>
          <w:tcPr>
            <w:tcW w:w="778" w:type="pct"/>
          </w:tcPr>
          <w:p w:rsidR="0055269A" w:rsidRPr="00883125" w:rsidRDefault="0055269A" w:rsidP="00E05498">
            <w:r>
              <w:t>Marginal investor vs. average investor</w:t>
            </w:r>
          </w:p>
        </w:tc>
        <w:tc>
          <w:tcPr>
            <w:tcW w:w="4222" w:type="pct"/>
          </w:tcPr>
          <w:p w:rsidR="0055269A" w:rsidRPr="001E51E2" w:rsidRDefault="0055269A" w:rsidP="001E51E2">
            <w:r w:rsidRPr="00FC66FD">
              <w:t>The marginal investor is not the</w:t>
            </w:r>
            <w:r w:rsidR="004B0B95">
              <w:t xml:space="preserve"> same as the average investor. </w:t>
            </w:r>
            <w:r w:rsidRPr="00FC66FD">
              <w:t>The proportion of tax credits used in aggregate (i.e. the average utilisation) provides no information about the value of tax cre</w:t>
            </w:r>
            <w:r w:rsidR="004B0B95">
              <w:t xml:space="preserve">dits to the marginal investor. </w:t>
            </w:r>
            <w:r w:rsidRPr="001E51E2">
              <w:t>Hence, contrary to the arguments advanced, the usage of tax credits is not an upper bound on the market value of tax credits – if that is set by some “marginal investor”.</w:t>
            </w:r>
            <w:r w:rsidRPr="001E51E2">
              <w:rPr>
                <w:rStyle w:val="FootnoteReference"/>
              </w:rPr>
              <w:footnoteReference w:id="269"/>
            </w:r>
          </w:p>
          <w:p w:rsidR="0055269A" w:rsidRDefault="0055269A" w:rsidP="001E51E2">
            <w:r w:rsidRPr="00FC66FD">
              <w:t>Alternatively, if the market value is set by some “average” investor, an estimate for the average investor of the tax payment consequences of imputation credits distributed has relevance.  As argued by SAPN, the value estimated in this way may be an upper bound due to a number of value-red</w:t>
            </w:r>
            <w:r w:rsidRPr="001E51E2">
              <w:t>ucing factors.</w:t>
            </w:r>
            <w:r w:rsidRPr="001E51E2">
              <w:rPr>
                <w:rStyle w:val="FootnoteReference"/>
              </w:rPr>
              <w:footnoteReference w:id="270"/>
            </w:r>
          </w:p>
        </w:tc>
      </w:tr>
      <w:tr w:rsidR="0055269A" w:rsidTr="00E750F8">
        <w:trPr>
          <w:cnfStyle w:val="000000010000" w:firstRow="0" w:lastRow="0" w:firstColumn="0" w:lastColumn="0" w:oddVBand="0" w:evenVBand="0" w:oddHBand="0" w:evenHBand="1" w:firstRowFirstColumn="0" w:firstRowLastColumn="0" w:lastRowFirstColumn="0" w:lastRowLastColumn="0"/>
        </w:trPr>
        <w:tc>
          <w:tcPr>
            <w:tcW w:w="778" w:type="pct"/>
          </w:tcPr>
          <w:p w:rsidR="0055269A" w:rsidRPr="00E05498" w:rsidRDefault="0055269A" w:rsidP="00E05498">
            <w:r w:rsidRPr="00883125">
              <w:t>The need to re-evaluate gamma</w:t>
            </w:r>
          </w:p>
        </w:tc>
        <w:tc>
          <w:tcPr>
            <w:tcW w:w="4222" w:type="pct"/>
          </w:tcPr>
          <w:p w:rsidR="0055269A" w:rsidRPr="00716BBE" w:rsidRDefault="0055269A" w:rsidP="00716BBE">
            <w:pPr>
              <w:rPr>
                <w:highlight w:val="cyan"/>
              </w:rPr>
            </w:pPr>
            <w:r w:rsidRPr="0025548E">
              <w:t xml:space="preserve">This Tribunal determined that despite the </w:t>
            </w:r>
            <w:r w:rsidRPr="00716BBE">
              <w:t>AER seeking a review of the Ausgrid Tribunal decision to the Full Federal Court, it was appropriate for it to hear the SAPN review rather than leave the matter to be determined conditional on the outcome of the hearing of the F</w:t>
            </w:r>
            <w:r w:rsidR="00642B2F">
              <w:t>ull Court of the Federal Court.</w:t>
            </w:r>
            <w:r w:rsidRPr="00716BBE">
              <w:t xml:space="preserve"> The Tribunal has a legislative </w:t>
            </w:r>
            <w:r w:rsidRPr="00716BBE">
              <w:lastRenderedPageBreak/>
              <w:t>responsibility to hear and determine the review (within a statutorily delineated period of time), and should proceed accordingly.</w:t>
            </w:r>
            <w:r w:rsidRPr="00716BBE">
              <w:rPr>
                <w:rStyle w:val="FootnoteReference"/>
              </w:rPr>
              <w:footnoteReference w:id="271"/>
            </w:r>
          </w:p>
          <w:p w:rsidR="0055269A" w:rsidRPr="00716BBE" w:rsidRDefault="0055269A" w:rsidP="00716BBE">
            <w:r w:rsidRPr="0025548E">
              <w:t>T</w:t>
            </w:r>
            <w:r w:rsidRPr="00716BBE">
              <w:t>he function of the Tribunal is a reviewer of decisions, and is</w:t>
            </w:r>
            <w:r w:rsidR="00642B2F">
              <w:t xml:space="preserve"> not a primary decision-maker. </w:t>
            </w:r>
            <w:r w:rsidRPr="00716BBE">
              <w:t>The Tribunal has a responsibility to determine individual cases based upon the evidence and arguments put before it.</w:t>
            </w:r>
            <w:r w:rsidRPr="00716BBE">
              <w:rPr>
                <w:rStyle w:val="FootnoteReference"/>
              </w:rPr>
              <w:t xml:space="preserve"> </w:t>
            </w:r>
            <w:r w:rsidRPr="00716BBE">
              <w:rPr>
                <w:rStyle w:val="FootnoteReference"/>
              </w:rPr>
              <w:footnoteReference w:id="272"/>
            </w:r>
          </w:p>
          <w:p w:rsidR="0055269A" w:rsidRPr="002E14E7" w:rsidRDefault="0055269A" w:rsidP="00716BBE">
            <w:r w:rsidRPr="0025548E">
              <w:t>The Tribunal recognises that this decision is the converse of that made by a differently constitute</w:t>
            </w:r>
            <w:r w:rsidR="00642B2F">
              <w:t>d Tribunal in the Ausgrid case.</w:t>
            </w:r>
            <w:r w:rsidRPr="0025548E">
              <w:t xml:space="preserve"> The reason f</w:t>
            </w:r>
            <w:r w:rsidR="00642B2F">
              <w:t xml:space="preserve">or this difference is </w:t>
            </w:r>
            <w:r w:rsidR="00922C6D">
              <w:t>twofold</w:t>
            </w:r>
            <w:r w:rsidR="00642B2F">
              <w:t xml:space="preserve">. </w:t>
            </w:r>
            <w:r w:rsidRPr="0025548E">
              <w:t>First, submissions in this hearing gave greater attention to the theoretical underpinnings of the PTRM and “vanilla WACC” framework.</w:t>
            </w:r>
            <w:r w:rsidR="00642B2F">
              <w:t xml:space="preserve"> </w:t>
            </w:r>
            <w:r w:rsidRPr="0025548E">
              <w:t>Secondly, this Tribunal is of the view that the dividend drop-off evidence should be viewed in the context of the theoretical model underpinning it, and that there are significant uncertainties associated with extracting reliable evidence about tax-related parameters (such as gamma) from such studies.</w:t>
            </w:r>
            <w:r w:rsidRPr="0025548E">
              <w:rPr>
                <w:rStyle w:val="FootnoteReference"/>
              </w:rPr>
              <w:footnoteReference w:id="273"/>
            </w:r>
          </w:p>
          <w:p w:rsidR="0055269A" w:rsidRPr="00E05498" w:rsidRDefault="0055269A" w:rsidP="00716BBE"/>
        </w:tc>
      </w:tr>
    </w:tbl>
    <w:p w:rsidR="00E05498" w:rsidRPr="00883125" w:rsidRDefault="00E05498" w:rsidP="00E05498">
      <w:pPr>
        <w:pStyle w:val="AERtablesource"/>
      </w:pPr>
      <w:r w:rsidRPr="00883125">
        <w:lastRenderedPageBreak/>
        <w:t xml:space="preserve">Source: </w:t>
      </w:r>
      <w:r w:rsidRPr="00883125">
        <w:tab/>
        <w:t>As specified in table.</w:t>
      </w:r>
    </w:p>
    <w:p w:rsidR="00747591" w:rsidRDefault="00747591" w:rsidP="00716BBE"/>
    <w:p w:rsidR="00747591" w:rsidRDefault="00747591" w:rsidP="00716BBE">
      <w:pPr>
        <w:sectPr w:rsidR="00747591" w:rsidSect="00E47334">
          <w:footerReference w:type="even" r:id="rId17"/>
          <w:footerReference w:type="default" r:id="rId18"/>
          <w:pgSz w:w="16838" w:h="11906" w:orient="landscape"/>
          <w:pgMar w:top="1440" w:right="1440" w:bottom="1440" w:left="1440" w:header="709" w:footer="709" w:gutter="0"/>
          <w:pgNumType w:chapStyle="1"/>
          <w:cols w:space="708"/>
          <w:docGrid w:linePitch="360"/>
        </w:sectPr>
      </w:pPr>
    </w:p>
    <w:p w:rsidR="00716BBE" w:rsidRDefault="00716BBE" w:rsidP="00716BBE">
      <w:r>
        <w:lastRenderedPageBreak/>
        <w:t xml:space="preserve">We note that SA Power Networks has appealed the </w:t>
      </w:r>
      <w:r w:rsidR="00096A14">
        <w:t xml:space="preserve">SAPN </w:t>
      </w:r>
      <w:r>
        <w:t xml:space="preserve">Tribunal's decision to the Full Federal Court. SA Power Networks appealed the decision on </w:t>
      </w:r>
      <w:r w:rsidR="003C5E38">
        <w:t xml:space="preserve">a range of </w:t>
      </w:r>
      <w:r w:rsidR="000D7F98">
        <w:t>grounds including</w:t>
      </w:r>
      <w:r>
        <w:t xml:space="preserve"> that </w:t>
      </w:r>
      <w:r w:rsidR="000D7F98">
        <w:t>it</w:t>
      </w:r>
      <w:r>
        <w:t xml:space="preserve"> consider</w:t>
      </w:r>
      <w:r w:rsidR="000D7F98">
        <w:t>s</w:t>
      </w:r>
      <w:r>
        <w:t xml:space="preserve"> the </w:t>
      </w:r>
      <w:r w:rsidR="00096A14">
        <w:t xml:space="preserve">SAPN </w:t>
      </w:r>
      <w:r>
        <w:t xml:space="preserve">Tribunal </w:t>
      </w:r>
      <w:r w:rsidR="003C5E38">
        <w:t>acted on an incorrect construction of the words "the value of imputation credits" in cl 6.5.3 of the NER</w:t>
      </w:r>
      <w:r>
        <w:t xml:space="preserve">. The AER will </w:t>
      </w:r>
      <w:r w:rsidR="008D0C4A">
        <w:t xml:space="preserve">participate in </w:t>
      </w:r>
      <w:r w:rsidR="00C84AEE">
        <w:t>this</w:t>
      </w:r>
      <w:r w:rsidR="008D0C4A">
        <w:t xml:space="preserve"> hearing as the second respondent and will c</w:t>
      </w:r>
      <w:r w:rsidR="00C84AEE">
        <w:t>onsider any</w:t>
      </w:r>
      <w:r w:rsidR="008D0C4A">
        <w:t xml:space="preserve"> decision by the Full Federal Court </w:t>
      </w:r>
      <w:r w:rsidR="00C84AEE">
        <w:t>in due course</w:t>
      </w:r>
      <w:r w:rsidR="008D0C4A">
        <w:t>.</w:t>
      </w:r>
      <w:r w:rsidR="00C84AEE">
        <w:t xml:space="preserve"> The SAPN Full Federal Court appeal hearing is currently scheduled to commence on 1 May 2017.</w:t>
      </w:r>
      <w:r w:rsidR="008D0C4A">
        <w:t xml:space="preserve"> </w:t>
      </w:r>
    </w:p>
    <w:p w:rsidR="00747591" w:rsidRPr="00E750F8" w:rsidRDefault="00E8071F" w:rsidP="00E8071F">
      <w:pPr>
        <w:rPr>
          <w:rStyle w:val="AERtexthighlight"/>
        </w:rPr>
      </w:pPr>
      <w:r>
        <w:t>The SAPN Tribunal's key finding was the AER was not in error. This applied to all key areas of the gamma decision as noted in the table above.</w:t>
      </w:r>
    </w:p>
    <w:p w:rsidR="00C52695" w:rsidRPr="00883125" w:rsidRDefault="00C52695" w:rsidP="00C52695">
      <w:pPr>
        <w:pStyle w:val="Heading9"/>
      </w:pPr>
      <w:bookmarkStart w:id="166" w:name="_Ref451813952"/>
      <w:bookmarkStart w:id="167" w:name="_Toc456614293"/>
      <w:bookmarkStart w:id="168" w:name="_Toc462823311"/>
      <w:bookmarkStart w:id="169" w:name="_Toc481061460"/>
      <w:r w:rsidRPr="00883125">
        <w:t>ActewAGL Distribution, Ausgrid, Endeavour Energy, Essential Energy and Jemena Gas Networks</w:t>
      </w:r>
      <w:bookmarkEnd w:id="166"/>
      <w:bookmarkEnd w:id="167"/>
      <w:bookmarkEnd w:id="168"/>
      <w:bookmarkEnd w:id="169"/>
      <w:r w:rsidRPr="00883125">
        <w:t xml:space="preserve"> </w:t>
      </w:r>
    </w:p>
    <w:p w:rsidR="00C52695" w:rsidRPr="00883125" w:rsidRDefault="00C52695" w:rsidP="00C52695">
      <w:r w:rsidRPr="00883125">
        <w:t>In April and June 2015 we released our final decisions for ActewAGL Distribution, Ausgrid, Endeavour Energy, Essential Energy and Jemena Gas Networks. In these decisions, we adopted a gamma estimate of 0.4.</w:t>
      </w:r>
    </w:p>
    <w:p w:rsidR="00C52695" w:rsidRPr="00B27BE5" w:rsidRDefault="00C52695" w:rsidP="00C52695">
      <w:r w:rsidRPr="00883125">
        <w:t xml:space="preserve">ActewAGL Distribution, Ausgrid, Endeavour Energy, Essential Energy and Jemena Gas Networks </w:t>
      </w:r>
      <w:r w:rsidRPr="00B27BE5">
        <w:t>successfully sought review of these final decisions by the Australian Competition Tribunal.</w:t>
      </w:r>
      <w:r>
        <w:rPr>
          <w:rStyle w:val="FootnoteReference"/>
        </w:rPr>
        <w:footnoteReference w:id="274"/>
      </w:r>
      <w:r w:rsidRPr="00B27BE5">
        <w:t xml:space="preserve"> The</w:t>
      </w:r>
      <w:r w:rsidR="00C25A56">
        <w:t xml:space="preserve"> Ausgrid</w:t>
      </w:r>
      <w:r w:rsidRPr="00B27BE5">
        <w:t xml:space="preserve"> Tribunal set aside </w:t>
      </w:r>
      <w:r>
        <w:t>our</w:t>
      </w:r>
      <w:r w:rsidRPr="00B27BE5">
        <w:t xml:space="preserve"> decision</w:t>
      </w:r>
      <w:r>
        <w:t>s</w:t>
      </w:r>
      <w:r w:rsidRPr="00B27BE5">
        <w:t xml:space="preserve"> and </w:t>
      </w:r>
      <w:r>
        <w:t>has</w:t>
      </w:r>
      <w:r w:rsidRPr="00B27BE5">
        <w:t xml:space="preserve"> remitted the matter back to </w:t>
      </w:r>
      <w:r>
        <w:t>us</w:t>
      </w:r>
      <w:r w:rsidRPr="00B27BE5">
        <w:t xml:space="preserve"> to remake the decision using a gamma value of 0.25. </w:t>
      </w:r>
      <w:r>
        <w:t>T</w:t>
      </w:r>
      <w:r w:rsidRPr="00B27BE5">
        <w:t xml:space="preserve">he </w:t>
      </w:r>
      <w:r w:rsidR="00C25A56">
        <w:t xml:space="preserve">Ausgrid </w:t>
      </w:r>
      <w:r>
        <w:t>T</w:t>
      </w:r>
      <w:r w:rsidRPr="00B27BE5">
        <w:t>ribunal considered the appropriate distribution rate to use is 0.7 based on a value from all equity</w:t>
      </w:r>
      <w:r>
        <w:t>. It also</w:t>
      </w:r>
      <w:r w:rsidRPr="00B27BE5">
        <w:t xml:space="preserve"> considered it was appropriate to use market based studies to solely estimate the value of distributed imputation credits (</w:t>
      </w:r>
      <w:r>
        <w:t xml:space="preserve">also known as the utilisation rate, </w:t>
      </w:r>
      <w:r w:rsidRPr="00B27BE5">
        <w:t>or theta).</w:t>
      </w:r>
    </w:p>
    <w:p w:rsidR="00747591" w:rsidRDefault="00C52695" w:rsidP="00C52695">
      <w:r w:rsidRPr="008F5D24">
        <w:t xml:space="preserve">In reaching its position, the </w:t>
      </w:r>
      <w:r w:rsidR="00C25A56">
        <w:t xml:space="preserve">Ausgrid </w:t>
      </w:r>
      <w:r w:rsidRPr="008F5D24">
        <w:t>Tribunal expressed views on the important factors in its decisions. The</w:t>
      </w:r>
      <w:r w:rsidR="00C25A56">
        <w:t xml:space="preserve"> Ausgrid</w:t>
      </w:r>
      <w:r w:rsidRPr="008F5D24">
        <w:t xml:space="preserve"> Tribunals views and our initial response is summarised in </w:t>
      </w:r>
      <w:r w:rsidRPr="00C43CF0">
        <w:fldChar w:fldCharType="begin"/>
      </w:r>
      <w:r w:rsidRPr="008F5D24">
        <w:instrText xml:space="preserve"> REF  _Ref450040370 \* Lower \h  \* MERGEFORMAT </w:instrText>
      </w:r>
      <w:r w:rsidRPr="00C43CF0">
        <w:fldChar w:fldCharType="separate"/>
      </w:r>
      <w:r w:rsidR="00812A72" w:rsidRPr="005764F6">
        <w:t xml:space="preserve">table </w:t>
      </w:r>
      <w:r w:rsidR="00812A72">
        <w:t>4</w:t>
      </w:r>
      <w:r w:rsidR="00812A72" w:rsidRPr="005764F6">
        <w:noBreakHyphen/>
      </w:r>
      <w:r w:rsidR="00812A72">
        <w:t>9</w:t>
      </w:r>
      <w:r w:rsidRPr="00C43CF0">
        <w:fldChar w:fldCharType="end"/>
      </w:r>
      <w:r w:rsidRPr="008F5D24">
        <w:t xml:space="preserve"> below. However, we note that at this time, we have not completed the remittal of our final decisions for the above-mentioned service providers</w:t>
      </w:r>
      <w:r w:rsidR="00E30CB4">
        <w:t xml:space="preserve"> and have appealed the decision to the Full Federal Court. The appeal was heard in October 2016 and the decision is reserved.</w:t>
      </w:r>
    </w:p>
    <w:p w:rsidR="00747591" w:rsidRDefault="00747591" w:rsidP="00C52695"/>
    <w:p w:rsidR="00747591" w:rsidRDefault="00747591" w:rsidP="00C52695">
      <w:pPr>
        <w:sectPr w:rsidR="00747591" w:rsidSect="00E750F8">
          <w:pgSz w:w="11906" w:h="16838"/>
          <w:pgMar w:top="1440" w:right="1440" w:bottom="1440" w:left="1440" w:header="709" w:footer="709" w:gutter="0"/>
          <w:pgNumType w:chapStyle="1"/>
          <w:cols w:space="708"/>
          <w:docGrid w:linePitch="360"/>
        </w:sectPr>
      </w:pPr>
    </w:p>
    <w:p w:rsidR="00C52695" w:rsidRPr="005764F6" w:rsidRDefault="00C52695" w:rsidP="00C52695">
      <w:pPr>
        <w:pStyle w:val="Tabletitle"/>
      </w:pPr>
      <w:bookmarkStart w:id="170" w:name="_Ref450040370"/>
      <w:r w:rsidRPr="005764F6">
        <w:lastRenderedPageBreak/>
        <w:t xml:space="preserve">Table </w:t>
      </w:r>
      <w:r w:rsidRPr="00CA67C0">
        <w:fldChar w:fldCharType="begin"/>
      </w:r>
      <w:r>
        <w:instrText xml:space="preserve"> STYLEREF 1 \s </w:instrText>
      </w:r>
      <w:r w:rsidRPr="00CA67C0">
        <w:fldChar w:fldCharType="separate"/>
      </w:r>
      <w:r w:rsidR="00812A72">
        <w:rPr>
          <w:noProof/>
        </w:rPr>
        <w:t>4</w:t>
      </w:r>
      <w:r w:rsidRPr="00CA67C0">
        <w:fldChar w:fldCharType="end"/>
      </w:r>
      <w:r w:rsidRPr="005764F6">
        <w:noBreakHyphen/>
      </w:r>
      <w:r w:rsidRPr="00CA67C0">
        <w:fldChar w:fldCharType="begin"/>
      </w:r>
      <w:r>
        <w:instrText xml:space="preserve"> SEQ Table \* ARABIC \s 1 </w:instrText>
      </w:r>
      <w:r w:rsidRPr="00CA67C0">
        <w:fldChar w:fldCharType="separate"/>
      </w:r>
      <w:r w:rsidR="00812A72">
        <w:rPr>
          <w:noProof/>
        </w:rPr>
        <w:t>9</w:t>
      </w:r>
      <w:r w:rsidRPr="00CA67C0">
        <w:fldChar w:fldCharType="end"/>
      </w:r>
      <w:bookmarkEnd w:id="170"/>
      <w:r w:rsidRPr="005764F6">
        <w:tab/>
        <w:t>Australian Competition Tribunal's observations on imputation credits in ActewAGL Distribution, Ausgrid, Endeavour Energy, Essential Energy and Jemena Gas Networks matter</w:t>
      </w:r>
    </w:p>
    <w:tbl>
      <w:tblPr>
        <w:tblStyle w:val="AERtable-text0"/>
        <w:tblW w:w="5000" w:type="pct"/>
        <w:tblLook w:val="04A0" w:firstRow="1" w:lastRow="0" w:firstColumn="1" w:lastColumn="0" w:noHBand="0" w:noVBand="1"/>
      </w:tblPr>
      <w:tblGrid>
        <w:gridCol w:w="2222"/>
        <w:gridCol w:w="6438"/>
        <w:gridCol w:w="5514"/>
      </w:tblGrid>
      <w:tr w:rsidR="00C52695" w:rsidTr="006425B8">
        <w:trPr>
          <w:cnfStyle w:val="100000000000" w:firstRow="1" w:lastRow="0" w:firstColumn="0" w:lastColumn="0" w:oddVBand="0" w:evenVBand="0" w:oddHBand="0" w:evenHBand="0" w:firstRowFirstColumn="0" w:firstRowLastColumn="0" w:lastRowFirstColumn="0" w:lastRowLastColumn="0"/>
          <w:tblHeader/>
        </w:trPr>
        <w:tc>
          <w:tcPr>
            <w:tcW w:w="784" w:type="pct"/>
          </w:tcPr>
          <w:p w:rsidR="00C52695" w:rsidRPr="00C52695" w:rsidRDefault="00C52695" w:rsidP="00C52695">
            <w:r w:rsidRPr="00883125">
              <w:t>Issue</w:t>
            </w:r>
          </w:p>
        </w:tc>
        <w:tc>
          <w:tcPr>
            <w:tcW w:w="2271" w:type="pct"/>
          </w:tcPr>
          <w:p w:rsidR="00C52695" w:rsidRPr="00C52695" w:rsidRDefault="00C52695" w:rsidP="00C52695">
            <w:r w:rsidRPr="00883125">
              <w:t>Tribunal comments</w:t>
            </w:r>
          </w:p>
        </w:tc>
        <w:tc>
          <w:tcPr>
            <w:tcW w:w="1945" w:type="pct"/>
          </w:tcPr>
          <w:p w:rsidR="00C52695" w:rsidRPr="00C52695" w:rsidRDefault="00C52695" w:rsidP="00C52695">
            <w:r w:rsidRPr="00883125">
              <w:t xml:space="preserve">AER </w:t>
            </w:r>
            <w:r w:rsidRPr="00C52695">
              <w:t>initial comments</w:t>
            </w:r>
          </w:p>
        </w:tc>
      </w:tr>
      <w:tr w:rsidR="00C52695" w:rsidTr="006425B8">
        <w:tc>
          <w:tcPr>
            <w:tcW w:w="784" w:type="pct"/>
          </w:tcPr>
          <w:p w:rsidR="00C52695" w:rsidRPr="00C52695" w:rsidRDefault="00C52695" w:rsidP="00C52695">
            <w:r w:rsidRPr="00883125">
              <w:t>The conceptual framework for gamma</w:t>
            </w:r>
          </w:p>
        </w:tc>
        <w:tc>
          <w:tcPr>
            <w:tcW w:w="2271" w:type="pct"/>
          </w:tcPr>
          <w:p w:rsidR="00C52695" w:rsidRPr="00C52695" w:rsidRDefault="00C52695" w:rsidP="00C52695">
            <w:r w:rsidRPr="00883125">
              <w:t xml:space="preserve">By placing </w:t>
            </w:r>
            <w:r w:rsidRPr="00C52695">
              <w:t>most reliance on the equity ownership approach and effectively defining the utilisation value as the proportion of distributed imputation credits available for redemption, the AER has adopted a conceptual approach to gamma that redefines it as the value of imputation credits that are available for redemption.</w:t>
            </w:r>
            <w:r w:rsidRPr="00C52695">
              <w:rPr>
                <w:rStyle w:val="FootnoteReference"/>
              </w:rPr>
              <w:footnoteReference w:id="275"/>
            </w:r>
            <w:r w:rsidRPr="00C52695">
              <w:t xml:space="preserve"> This is inconsistent with the concept of gamma in the Officer Framework for the WACC which underlines the Rules, and with the objective of ensuring a market rate of return on equity by making an adjustment to the revenue allowance for taxation to account for imputation credits.</w:t>
            </w:r>
            <w:r w:rsidRPr="00C52695">
              <w:rPr>
                <w:rStyle w:val="FootnoteReference"/>
              </w:rPr>
              <w:footnoteReference w:id="276"/>
            </w:r>
          </w:p>
          <w:p w:rsidR="00C52695" w:rsidRPr="00C52695" w:rsidRDefault="00C52695" w:rsidP="00C52695">
            <w:r w:rsidRPr="00883125">
              <w:t xml:space="preserve">It </w:t>
            </w:r>
            <w:r w:rsidRPr="00C52695">
              <w:t>did not accept the AER's approach that imputation credits are values at their claimable amount or face value. The value is not what can be claimed or utilised, but what is claimed or utilised as demonstrated by the behaviour of the shareholder recipients of the imputation credits.</w:t>
            </w:r>
            <w:r w:rsidRPr="00C52695">
              <w:rPr>
                <w:rStyle w:val="FootnoteReference"/>
              </w:rPr>
              <w:footnoteReference w:id="277"/>
            </w:r>
          </w:p>
          <w:p w:rsidR="00C52695" w:rsidRPr="00C52695" w:rsidRDefault="00C52695" w:rsidP="00C52695">
            <w:r w:rsidRPr="00883125">
              <w:t xml:space="preserve">Handley's extension of the Officer Framework does not appear to present an empirically robust and internally consistent explanation for the link </w:t>
            </w:r>
            <w:r w:rsidRPr="00C52695">
              <w:t>between the existence of imputation credits and the applicability of the vanilla WACC.</w:t>
            </w:r>
            <w:r w:rsidRPr="00C52695">
              <w:rPr>
                <w:rStyle w:val="FootnoteReference"/>
              </w:rPr>
              <w:footnoteReference w:id="278"/>
            </w:r>
          </w:p>
        </w:tc>
        <w:tc>
          <w:tcPr>
            <w:tcW w:w="1945" w:type="pct"/>
          </w:tcPr>
          <w:p w:rsidR="00C52695" w:rsidRPr="00C52695" w:rsidRDefault="00C52695" w:rsidP="00C52695">
            <w:r w:rsidRPr="00883125">
              <w:t>In developing the Guideline, we re-evaluated the conceptual framework for the value of imputation credits</w:t>
            </w:r>
            <w:r w:rsidRPr="00C52695">
              <w:t xml:space="preserve"> in consultation with stakeholders. In making this </w:t>
            </w:r>
            <w:r w:rsidR="00E57D43">
              <w:t>final</w:t>
            </w:r>
            <w:r w:rsidR="00E57D43" w:rsidRPr="00C52695">
              <w:t xml:space="preserve"> </w:t>
            </w:r>
            <w:r w:rsidRPr="00C52695">
              <w:t xml:space="preserve">decision, we have built on this re-evaluation. We discuss the role of the value of imputation credits and the underlying conceptual framework in sections </w:t>
            </w:r>
            <w:r w:rsidRPr="00C52695">
              <w:fldChar w:fldCharType="begin"/>
            </w:r>
            <w:r w:rsidRPr="00C52695">
              <w:instrText xml:space="preserve"> REF _Ref415144114 \r \h  \* MERGEFORMAT </w:instrText>
            </w:r>
            <w:r w:rsidRPr="00C52695">
              <w:fldChar w:fldCharType="separate"/>
            </w:r>
            <w:r w:rsidR="00812A72">
              <w:t>A.5</w:t>
            </w:r>
            <w:r w:rsidRPr="00C52695">
              <w:fldChar w:fldCharType="end"/>
            </w:r>
            <w:r w:rsidRPr="00C52695">
              <w:t xml:space="preserve"> and </w:t>
            </w:r>
            <w:r w:rsidRPr="00C52695">
              <w:fldChar w:fldCharType="begin"/>
            </w:r>
            <w:r w:rsidRPr="00C52695">
              <w:instrText xml:space="preserve"> REF _Ref400965182 \r \h  \* MERGEFORMAT </w:instrText>
            </w:r>
            <w:r w:rsidRPr="00C52695">
              <w:fldChar w:fldCharType="separate"/>
            </w:r>
            <w:r w:rsidR="00812A72">
              <w:t>A.6</w:t>
            </w:r>
            <w:r w:rsidRPr="00C52695">
              <w:fldChar w:fldCharType="end"/>
            </w:r>
            <w:r w:rsidRPr="00C52695">
              <w:t>.</w:t>
            </w:r>
          </w:p>
          <w:p w:rsidR="00C52695" w:rsidRPr="00C52695" w:rsidRDefault="00C52695" w:rsidP="00C52695">
            <w:r>
              <w:t>We</w:t>
            </w:r>
            <w:r w:rsidRPr="00C52695">
              <w:t xml:space="preserve"> consider the face value of imputation credits is the most appropriate measure and is consistent with the Officer framework. We consider market values only where it is appropriate to do so and some other parameters used by us are also based on face values. For instance, when estimating the MRP we use the face value of dividends. Similarly, when estimating the yield to maturity for the return on debt and the risk free rate, the face value of the coupon payment and the face value of the principal is used.</w:t>
            </w:r>
          </w:p>
          <w:p w:rsidR="00C52695" w:rsidRPr="00C52695" w:rsidRDefault="00C52695" w:rsidP="00C52695">
            <w:r w:rsidRPr="00883125">
              <w:t xml:space="preserve">The </w:t>
            </w:r>
            <w:r w:rsidRPr="00C52695">
              <w:t>Officer framework is based on a post-company tax and pre-personal tax framework. In order to be consistent with the Officer framework, all parameters need to be estimated on a pre-personal tax basis. The face value of imputation credits, dividends and debt coupon payments are the pre-personal tax values as personal tax rates are levied on these values. Similarly, the returns calculated from the market values of equity prices and debt prices are pre-personal tax values as the personal capital gains tax is levied on these returns.</w:t>
            </w:r>
          </w:p>
          <w:p w:rsidR="00C52695" w:rsidRPr="00C52695" w:rsidRDefault="00C52695" w:rsidP="00C52695">
            <w:r w:rsidRPr="00883125">
              <w:t>However, t</w:t>
            </w:r>
            <w:r w:rsidRPr="00C52695">
              <w:t>he dividend drop off imputation credit estimate is neither a pre-</w:t>
            </w:r>
            <w:r w:rsidRPr="00C52695">
              <w:lastRenderedPageBreak/>
              <w:t xml:space="preserve">personal tax nor a post-personal tax estimate. As a result, this estimate (absent adjustment) cannot be used at all in our regulatory context as it is inconsistent with the post-tax Officer framework. This is further discussed in section </w:t>
            </w:r>
            <w:r w:rsidRPr="00C52695">
              <w:fldChar w:fldCharType="begin"/>
            </w:r>
            <w:r w:rsidRPr="00C52695">
              <w:instrText xml:space="preserve"> REF _Ref435171205 \r \h  \* MERGEFORMAT </w:instrText>
            </w:r>
            <w:r w:rsidRPr="00C52695">
              <w:fldChar w:fldCharType="separate"/>
            </w:r>
            <w:r w:rsidR="00812A72">
              <w:t>A.15.3</w:t>
            </w:r>
            <w:r w:rsidRPr="00C52695">
              <w:fldChar w:fldCharType="end"/>
            </w:r>
            <w:r w:rsidRPr="00C52695">
              <w:t>.</w:t>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784" w:type="pct"/>
          </w:tcPr>
          <w:p w:rsidR="00C52695" w:rsidRPr="00C52695" w:rsidRDefault="00C52695" w:rsidP="00C52695">
            <w:r w:rsidRPr="00883125">
              <w:lastRenderedPageBreak/>
              <w:t>The distribution rate (payout ratio)</w:t>
            </w:r>
          </w:p>
        </w:tc>
        <w:tc>
          <w:tcPr>
            <w:tcW w:w="2271" w:type="pct"/>
          </w:tcPr>
          <w:p w:rsidR="00C52695" w:rsidRPr="00C52695" w:rsidRDefault="00C52695" w:rsidP="00C52695">
            <w:r w:rsidRPr="00883125">
              <w:t>There is insufficient explanation for introducing the distribution rate for only listed equity.</w:t>
            </w:r>
            <w:r w:rsidRPr="00C52695">
              <w:rPr>
                <w:rStyle w:val="FootnoteReference"/>
              </w:rPr>
              <w:footnoteReference w:id="279"/>
            </w:r>
          </w:p>
        </w:tc>
        <w:tc>
          <w:tcPr>
            <w:tcW w:w="1945" w:type="pct"/>
          </w:tcPr>
          <w:p w:rsidR="00C52695" w:rsidRPr="00C52695" w:rsidRDefault="00C52695" w:rsidP="00C52695">
            <w:r w:rsidRPr="00B31DF2">
              <w:t>As discussed in section</w:t>
            </w:r>
            <w:r w:rsidRPr="00C52695">
              <w:t xml:space="preserve"> </w:t>
            </w:r>
            <w:r w:rsidR="00747414">
              <w:fldChar w:fldCharType="begin"/>
            </w:r>
            <w:r w:rsidR="00747414">
              <w:instrText xml:space="preserve"> REF _Ref476580960 \r \h </w:instrText>
            </w:r>
            <w:r w:rsidR="00747414">
              <w:fldChar w:fldCharType="separate"/>
            </w:r>
            <w:r w:rsidR="00812A72">
              <w:t>4.4</w:t>
            </w:r>
            <w:r w:rsidR="00747414">
              <w:fldChar w:fldCharType="end"/>
            </w:r>
            <w:r w:rsidRPr="00C52695">
              <w:t xml:space="preserve"> of attachment 4 and section </w:t>
            </w:r>
            <w:r w:rsidRPr="00C52695">
              <w:fldChar w:fldCharType="begin"/>
            </w:r>
            <w:r w:rsidRPr="00C52695">
              <w:instrText xml:space="preserve"> REF _Ref401133206 \r \h </w:instrText>
            </w:r>
            <w:r w:rsidRPr="00C52695">
              <w:fldChar w:fldCharType="separate"/>
            </w:r>
            <w:r w:rsidR="00812A72">
              <w:t>A.10</w:t>
            </w:r>
            <w:r w:rsidRPr="00C52695">
              <w:fldChar w:fldCharType="end"/>
            </w:r>
            <w:r w:rsidRPr="00C52695">
              <w:t xml:space="preserve"> of this appendix, we consider the use of a distribution rate for listed equity is open to us and reasonably reflective of a benchmark efficient entity given the difficulties associated with choosing a representative dataset.</w:t>
            </w:r>
            <w:r w:rsidRPr="00C52695">
              <w:rPr>
                <w:rStyle w:val="FootnoteReference"/>
              </w:rPr>
              <w:footnoteReference w:id="280"/>
            </w:r>
            <w:r w:rsidRPr="00C52695">
              <w:t xml:space="preserve"> Lally also recommends distribution rate based on listed equity for a benchmark efficient entity, although he estimates this using financial statements of the top 20 listed firms.</w:t>
            </w:r>
            <w:r w:rsidRPr="00C52695">
              <w:rPr>
                <w:rStyle w:val="FootnoteReference"/>
              </w:rPr>
              <w:footnoteReference w:id="281"/>
            </w:r>
          </w:p>
          <w:p w:rsidR="00C52695" w:rsidRPr="00C52695" w:rsidRDefault="00C52695" w:rsidP="00E8071F">
            <w:r w:rsidRPr="00B31DF2">
              <w:t>As discussed in section</w:t>
            </w:r>
            <w:r w:rsidRPr="00C52695">
              <w:t xml:space="preserve"> </w:t>
            </w:r>
            <w:r w:rsidR="00747414">
              <w:fldChar w:fldCharType="begin"/>
            </w:r>
            <w:r w:rsidR="00747414">
              <w:instrText xml:space="preserve"> REF _Ref476580949 \r \h </w:instrText>
            </w:r>
            <w:r w:rsidR="00747414">
              <w:fldChar w:fldCharType="separate"/>
            </w:r>
            <w:r w:rsidR="00812A72">
              <w:t>4.4</w:t>
            </w:r>
            <w:r w:rsidR="00747414">
              <w:fldChar w:fldCharType="end"/>
            </w:r>
            <w:r w:rsidR="00EC4C53">
              <w:t xml:space="preserve"> </w:t>
            </w:r>
            <w:r w:rsidRPr="00C52695">
              <w:t xml:space="preserve">of attachment 4 and section </w:t>
            </w:r>
            <w:r w:rsidRPr="00C52695">
              <w:fldChar w:fldCharType="begin"/>
            </w:r>
            <w:r w:rsidRPr="00C52695">
              <w:instrText xml:space="preserve"> REF _Ref450299300 \r \h </w:instrText>
            </w:r>
            <w:r w:rsidRPr="00C52695">
              <w:fldChar w:fldCharType="separate"/>
            </w:r>
            <w:r w:rsidR="00812A72">
              <w:t>A.9.2</w:t>
            </w:r>
            <w:r w:rsidRPr="00C52695">
              <w:fldChar w:fldCharType="end"/>
            </w:r>
            <w:r w:rsidRPr="00C52695">
              <w:t xml:space="preserve"> of this appendix, </w:t>
            </w:r>
            <w:r w:rsidR="00E8071F">
              <w:t xml:space="preserve">Lally considers there is no necessity to combine </w:t>
            </w:r>
            <w:r w:rsidR="00E8071F" w:rsidRPr="001D37D5">
              <w:t>estimates of the distribution rate and utilisation rate from the same dataset</w:t>
            </w:r>
            <w:r w:rsidR="00E8071F">
              <w:t xml:space="preserve"> and good reason not for not doing so</w:t>
            </w:r>
            <w:r w:rsidR="00EC4C53">
              <w:t>.</w:t>
            </w:r>
            <w:r w:rsidR="00E8071F">
              <w:rPr>
                <w:rStyle w:val="FootnoteReference"/>
              </w:rPr>
              <w:footnoteReference w:id="282"/>
            </w:r>
            <w:r w:rsidR="00E8071F">
              <w:t xml:space="preserve"> However, </w:t>
            </w:r>
            <w:r w:rsidR="00452BA3">
              <w:t xml:space="preserve">we note given Lally's advice </w:t>
            </w:r>
            <w:r w:rsidR="00E8071F">
              <w:t xml:space="preserve">our approach </w:t>
            </w:r>
            <w:r w:rsidR="00452BA3">
              <w:t xml:space="preserve">appears </w:t>
            </w:r>
            <w:r w:rsidR="00E8071F">
              <w:t xml:space="preserve">to </w:t>
            </w:r>
            <w:r w:rsidR="00452BA3">
              <w:t xml:space="preserve">lead to a </w:t>
            </w:r>
            <w:r w:rsidR="00E8071F">
              <w:t>conservative gamma estimate</w:t>
            </w:r>
            <w:r w:rsidR="00452BA3">
              <w:t xml:space="preserve"> (in favour of the service provider)</w:t>
            </w:r>
            <w:r w:rsidR="00E8071F">
              <w:t xml:space="preserve">, as Lally considers only listed firms should be used to determine the distribution rate and all equity should be used to estimate the utilisation value which results in a gamma estimate of 0.5. </w:t>
            </w:r>
            <w:r w:rsidRPr="00C52695">
              <w:t>While we primarily rely on 'matched' estimates, we also have regard to Lally's preferred estimate based on an all equity utilisation rate from the equity ownership approach and a distribution rate for listed equity from financial reports of the top 20 listed firms.</w:t>
            </w:r>
            <w:r w:rsidRPr="00C52695">
              <w:rPr>
                <w:rStyle w:val="FootnoteReference"/>
              </w:rPr>
              <w:footnoteReference w:id="283"/>
            </w:r>
          </w:p>
        </w:tc>
      </w:tr>
      <w:tr w:rsidR="00C52695" w:rsidTr="006425B8">
        <w:tc>
          <w:tcPr>
            <w:tcW w:w="784" w:type="pct"/>
          </w:tcPr>
          <w:p w:rsidR="00C52695" w:rsidRPr="00C52695" w:rsidRDefault="00C52695" w:rsidP="00C52695">
            <w:r w:rsidRPr="00883125">
              <w:t>Equity ownership approach</w:t>
            </w:r>
          </w:p>
        </w:tc>
        <w:tc>
          <w:tcPr>
            <w:tcW w:w="2271" w:type="pct"/>
          </w:tcPr>
          <w:p w:rsidR="00C52695" w:rsidRPr="00C52695" w:rsidRDefault="00C52695" w:rsidP="00C52695">
            <w:r w:rsidRPr="00883125">
              <w:t xml:space="preserve">To the extent that the equity ownership approach indicates that theta is above the </w:t>
            </w:r>
            <w:r w:rsidRPr="00C52695">
              <w:lastRenderedPageBreak/>
              <w:t>amount specified through tax statistics, it is apparent that there are investors who the AER assume are eligible to redeem imputation credits but, for whatever reasons, either cannot redeem them or attribute so little value to the credits that they do not utilise them.</w:t>
            </w:r>
            <w:r w:rsidRPr="00C52695">
              <w:rPr>
                <w:rStyle w:val="FootnoteReference"/>
              </w:rPr>
              <w:footnoteReference w:id="284"/>
            </w:r>
          </w:p>
          <w:p w:rsidR="00C52695" w:rsidRPr="00C52695" w:rsidRDefault="00C52695" w:rsidP="00C52695">
            <w:r w:rsidRPr="00883125">
              <w:t>There are investors who hold shares for less than 45 days. The issue is not whether such a class exists, but the size of that class and the extent to which the value of imputation credits is lower as a result of domestic shareholders being unable to use them.</w:t>
            </w:r>
            <w:r w:rsidRPr="00C52695">
              <w:rPr>
                <w:rStyle w:val="FootnoteReference"/>
              </w:rPr>
              <w:footnoteReference w:id="285"/>
            </w:r>
          </w:p>
          <w:p w:rsidR="00C52695" w:rsidRPr="00C52695" w:rsidRDefault="00C52695" w:rsidP="00C52695">
            <w:r w:rsidRPr="00883125">
              <w:t>The equity ownership approach overstates the redemption rates and would only be useful a further check on other estimates.</w:t>
            </w:r>
            <w:r w:rsidRPr="00C52695">
              <w:rPr>
                <w:rStyle w:val="FootnoteReference"/>
              </w:rPr>
              <w:footnoteReference w:id="286"/>
            </w:r>
          </w:p>
          <w:p w:rsidR="00C52695" w:rsidRPr="00C52695" w:rsidRDefault="00C52695" w:rsidP="00C52695">
            <w:r w:rsidRPr="00883125">
              <w:t>The AER's equity ownership and tax statistics approaches makes no attempt to assess the value of imputation credits to shareholders and ignores the likely existent of factors, such as the 45 day rule, which, across all eligible shareholders, reduce the value of imputation credits to those shareholders below the "face" value assumed by the AER. As a result, these approaches are inconsistent with a proper interpretation of the Officer Framework underlying 2 .5.3 of the NEL.</w:t>
            </w:r>
            <w:r w:rsidRPr="00C52695">
              <w:rPr>
                <w:rStyle w:val="FootnoteReference"/>
              </w:rPr>
              <w:footnoteReference w:id="287"/>
            </w:r>
          </w:p>
        </w:tc>
        <w:tc>
          <w:tcPr>
            <w:tcW w:w="1945" w:type="pct"/>
          </w:tcPr>
          <w:p w:rsidR="00C52695" w:rsidRPr="00C52695" w:rsidRDefault="00C52695" w:rsidP="00C52695">
            <w:r>
              <w:lastRenderedPageBreak/>
              <w:t>We</w:t>
            </w:r>
            <w:r w:rsidRPr="00C52695">
              <w:t xml:space="preserve"> consider the equity ownership approach remains the best method to </w:t>
            </w:r>
            <w:r w:rsidRPr="00C52695">
              <w:lastRenderedPageBreak/>
              <w:t>estimate the utilisation rate. We do not consider the difference between the equity ownership approach and tax statistics is due to the 45 day holding rule and Lally agrees with this.</w:t>
            </w:r>
            <w:r w:rsidRPr="00C52695">
              <w:rPr>
                <w:rStyle w:val="FootnoteReference"/>
              </w:rPr>
              <w:footnoteReference w:id="288"/>
            </w:r>
            <w:r w:rsidRPr="00C52695">
              <w:t xml:space="preserve"> Instead, we consider the difference in the utilisation rate is likely driven by the unreliability in the taxation data underlying the tax statistics estimate. Lally considers the most obvious explanation for the difference is the estimate of the redemption rate from tax statistics used by the AER is too low.</w:t>
            </w:r>
            <w:r w:rsidRPr="00C52695">
              <w:rPr>
                <w:rStyle w:val="FootnoteReference"/>
              </w:rPr>
              <w:footnoteReference w:id="289"/>
            </w:r>
            <w:r w:rsidRPr="00C52695">
              <w:t xml:space="preserve"> However we note that, regardless of any issues of taxation data reliability, an estimate of gamma of approximately 0.4 is obtained when combining a utilisation rate of 0.48 (consistent with FAB data) with Lally's preferred estimate of the distribution rate for a benchmark efficient entity of 0.83.</w:t>
            </w:r>
            <w:r w:rsidRPr="00C52695">
              <w:rPr>
                <w:rStyle w:val="FootnoteReference"/>
              </w:rPr>
              <w:footnoteReference w:id="290"/>
            </w:r>
          </w:p>
          <w:p w:rsidR="00C52695" w:rsidRPr="00C52695" w:rsidRDefault="00C52695" w:rsidP="00C52695">
            <w:r>
              <w:t>We</w:t>
            </w:r>
            <w:r w:rsidRPr="00C52695">
              <w:t xml:space="preserve"> remain of the view that the 45 day rule does not have a material impact on the utilisation rate. This is supported by Lally.</w:t>
            </w:r>
            <w:r w:rsidRPr="00C52695">
              <w:rPr>
                <w:rStyle w:val="FootnoteReference"/>
              </w:rPr>
              <w:footnoteReference w:id="291"/>
            </w:r>
            <w:r w:rsidRPr="00C52695">
              <w:t xml:space="preserve"> We have not been presented with any data that would suggest the 45 day rule is having any impact on the utilisation of imputation credits. </w:t>
            </w:r>
          </w:p>
          <w:p w:rsidR="00C52695" w:rsidRPr="00C52695" w:rsidRDefault="00C52695" w:rsidP="00C52695">
            <w:r>
              <w:t>We</w:t>
            </w:r>
            <w:r w:rsidRPr="00C52695">
              <w:t xml:space="preserve"> consider that on a post-company pre-personal tax basis, investors that are eligible to receive imputation credits value them at their full face value. A dollar face value of imputation credits reduces eligible investor's tax liabilities by one dollar. The face value of the imputation credit is the post-</w:t>
            </w:r>
            <w:r w:rsidRPr="00C52695">
              <w:lastRenderedPageBreak/>
              <w:t>company pre-personal tax value of the imputation credit.</w:t>
            </w:r>
          </w:p>
        </w:tc>
      </w:tr>
      <w:tr w:rsidR="00C52695" w:rsidRPr="00B45BDD" w:rsidTr="006425B8">
        <w:trPr>
          <w:cnfStyle w:val="000000010000" w:firstRow="0" w:lastRow="0" w:firstColumn="0" w:lastColumn="0" w:oddVBand="0" w:evenVBand="0" w:oddHBand="0" w:evenHBand="1" w:firstRowFirstColumn="0" w:firstRowLastColumn="0" w:lastRowFirstColumn="0" w:lastRowLastColumn="0"/>
        </w:trPr>
        <w:tc>
          <w:tcPr>
            <w:tcW w:w="784" w:type="pct"/>
          </w:tcPr>
          <w:p w:rsidR="00C52695" w:rsidRPr="00C52695" w:rsidRDefault="00C52695" w:rsidP="00C52695">
            <w:r w:rsidRPr="00883125">
              <w:lastRenderedPageBreak/>
              <w:t>Tax statistic estimates</w:t>
            </w:r>
          </w:p>
        </w:tc>
        <w:tc>
          <w:tcPr>
            <w:tcW w:w="2271" w:type="pct"/>
          </w:tcPr>
          <w:p w:rsidR="00C52695" w:rsidRPr="00C52695" w:rsidRDefault="00C52695" w:rsidP="00C52695">
            <w:r w:rsidRPr="00883125">
              <w:t xml:space="preserve">Tax statistics can only </w:t>
            </w:r>
            <w:r w:rsidRPr="00C52695">
              <w:t>provide an upper bound on the estimate of theta.</w:t>
            </w:r>
            <w:r w:rsidRPr="00C52695">
              <w:rPr>
                <w:rStyle w:val="FootnoteReference"/>
              </w:rPr>
              <w:footnoteReference w:id="292"/>
            </w:r>
          </w:p>
          <w:p w:rsidR="00C52695" w:rsidRPr="00C52695" w:rsidRDefault="00C52695" w:rsidP="00C52695">
            <w:r w:rsidRPr="00883125">
              <w:t xml:space="preserve">The value of theta produced by taxation statistics is evidence that Australian investors do not value </w:t>
            </w:r>
            <w:r w:rsidRPr="00C52695">
              <w:t>imputation credits at their face value, because they may be unable to use them.</w:t>
            </w:r>
            <w:r w:rsidRPr="00C52695">
              <w:rPr>
                <w:rStyle w:val="FootnoteReference"/>
              </w:rPr>
              <w:footnoteReference w:id="293"/>
            </w:r>
          </w:p>
          <w:p w:rsidR="00C52695" w:rsidRPr="00C52695" w:rsidRDefault="00C52695" w:rsidP="00C52695">
            <w:r w:rsidRPr="00883125">
              <w:t>The ATO data relied by Hathaway has since been acknowledged by Hathaway to be of some concern.</w:t>
            </w:r>
            <w:r w:rsidRPr="00C52695">
              <w:rPr>
                <w:rStyle w:val="FootnoteReference"/>
              </w:rPr>
              <w:footnoteReference w:id="294"/>
            </w:r>
          </w:p>
        </w:tc>
        <w:tc>
          <w:tcPr>
            <w:tcW w:w="1945" w:type="pct"/>
          </w:tcPr>
          <w:p w:rsidR="00C52695" w:rsidRPr="00C52695" w:rsidRDefault="00C52695" w:rsidP="00C52695">
            <w:r w:rsidRPr="00883125">
              <w:t xml:space="preserve">Handley advised that his previous comments regarding the use of tax statistics being an 'upper bound' were misinterpreted in these proceedings. Handley confirmed that tax statistics can be used to produce a point estimate of the utilisation </w:t>
            </w:r>
            <w:r w:rsidRPr="00C52695">
              <w:t xml:space="preserve">rate. We discussed Handley's views in section A.6.1 of the draft/preliminary decisions. We discuss the use of tax statistics more broadly in section </w:t>
            </w:r>
            <w:r w:rsidRPr="00C52695">
              <w:fldChar w:fldCharType="begin"/>
            </w:r>
            <w:r w:rsidRPr="00C52695">
              <w:instrText xml:space="preserve"> REF _Ref402179420 \r \h  \* MERGEFORMAT </w:instrText>
            </w:r>
            <w:r w:rsidRPr="00C52695">
              <w:fldChar w:fldCharType="separate"/>
            </w:r>
            <w:r w:rsidR="00812A72">
              <w:t>A.13</w:t>
            </w:r>
            <w:r w:rsidRPr="00C52695">
              <w:fldChar w:fldCharType="end"/>
            </w:r>
            <w:r w:rsidRPr="00C52695">
              <w:t xml:space="preserve"> of this appendix.</w:t>
            </w:r>
          </w:p>
          <w:p w:rsidR="00C52695" w:rsidRPr="00C52695" w:rsidRDefault="00C52695" w:rsidP="00C52695">
            <w:r>
              <w:t xml:space="preserve">Lally advised that the correct tax statistic </w:t>
            </w:r>
            <w:r w:rsidRPr="00C52695">
              <w:t>is upward biased as it is expected local investors would tilt their shareholding towards stock with high imputation credit yields. However, he considers that given the taxation data reliability issues and the fact that we select the lower of the two possible tax statistic estimates (0.45 vs. 0.62), the tax statistic estimate we use (updated to 0.48 in this decision) is not an upper bound.</w:t>
            </w:r>
            <w:r w:rsidRPr="00C52695">
              <w:rPr>
                <w:rStyle w:val="FootnoteReference"/>
              </w:rPr>
              <w:footnoteReference w:id="295"/>
            </w:r>
            <w:r w:rsidRPr="00C52695">
              <w:t xml:space="preserve"> Ultimately, we consider any uncertain estimate is not an upper bound. Moreover, even if we do use an estimate of the utilisation rate of 0.48 from tax statistics (consistent with FAB data), this results in an estimate for gamma of approximately 0.4 when combined with Lally's preferred distribution rate of 0.83 for a benchmark efficient entity.</w:t>
            </w:r>
          </w:p>
          <w:p w:rsidR="00C52695" w:rsidRPr="00C52695" w:rsidRDefault="00C52695" w:rsidP="00C52695">
            <w:r w:rsidRPr="00FF12F1">
              <w:t>Having regard to the potential data limitations and alternate estimates, the evidence from tax statistics is not inconsistent with the evidence from the equity ownership approach, but we place less reliance upon it.</w:t>
            </w:r>
            <w:r w:rsidRPr="00C52695">
              <w:t xml:space="preserve"> </w:t>
            </w:r>
          </w:p>
          <w:p w:rsidR="00C52695" w:rsidRPr="00C52695" w:rsidRDefault="00C52695" w:rsidP="00C52695">
            <w:r>
              <w:t>We do</w:t>
            </w:r>
            <w:r w:rsidRPr="00C52695">
              <w:t xml:space="preserve"> not consider the utilisation rate produced by taxation statistics is evidence that Australian investors do not value imputation credits at their face value. Rather we consider the evidence demonstrates there are </w:t>
            </w:r>
            <w:r w:rsidRPr="00C52695">
              <w:lastRenderedPageBreak/>
              <w:t>potential data reliability issues with tax statistics. The Tribunal itself has acknowledged concerns with the ATO data.</w:t>
            </w:r>
            <w:r w:rsidRPr="00C52695">
              <w:rPr>
                <w:rStyle w:val="FootnoteReference"/>
              </w:rPr>
              <w:footnoteReference w:id="296"/>
            </w:r>
          </w:p>
        </w:tc>
      </w:tr>
      <w:tr w:rsidR="00C52695" w:rsidRPr="00B45BDD" w:rsidTr="006425B8">
        <w:tc>
          <w:tcPr>
            <w:tcW w:w="784" w:type="pct"/>
          </w:tcPr>
          <w:p w:rsidR="00C52695" w:rsidRPr="00C52695" w:rsidRDefault="00C52695" w:rsidP="00C52695">
            <w:r w:rsidRPr="00883125">
              <w:lastRenderedPageBreak/>
              <w:t>The conceptual basis for dividend drop off studies</w:t>
            </w:r>
          </w:p>
        </w:tc>
        <w:tc>
          <w:tcPr>
            <w:tcW w:w="2271" w:type="pct"/>
          </w:tcPr>
          <w:p w:rsidR="00C52695" w:rsidRPr="00C52695" w:rsidRDefault="00C52695" w:rsidP="00C52695">
            <w:r>
              <w:t>O</w:t>
            </w:r>
            <w:r w:rsidRPr="00C52695">
              <w:t>f the various methodologies for estimating gamma employed by the AER, market value studies are best placed to capture the considerations that investors make in determining the worth of imputation credits to them.</w:t>
            </w:r>
            <w:r w:rsidRPr="00C52695">
              <w:rPr>
                <w:rStyle w:val="FootnoteReference"/>
              </w:rPr>
              <w:footnoteReference w:id="297"/>
            </w:r>
          </w:p>
          <w:p w:rsidR="00C52695" w:rsidRPr="00C52695" w:rsidRDefault="00C52695" w:rsidP="00C52695">
            <w:r w:rsidRPr="00883125">
              <w:t>The AER could have excluded earlier market based studies that were not relevant, such as the studies that were conducted on pre 2000 data.</w:t>
            </w:r>
            <w:r w:rsidRPr="00C52695">
              <w:rPr>
                <w:rStyle w:val="FootnoteReference"/>
              </w:rPr>
              <w:footnoteReference w:id="298"/>
            </w:r>
          </w:p>
          <w:p w:rsidR="00C52695" w:rsidRPr="00C52695" w:rsidRDefault="00C52695" w:rsidP="00C52695">
            <w:r w:rsidRPr="00883125">
              <w:t xml:space="preserve">That the econometric issues identified in market based studies is at odds with the AER's </w:t>
            </w:r>
            <w:r w:rsidRPr="00C52695">
              <w:t>reliance on economic modelling in other aspects of its determinations.</w:t>
            </w:r>
            <w:r w:rsidRPr="00C52695">
              <w:rPr>
                <w:rStyle w:val="FootnoteReference"/>
              </w:rPr>
              <w:footnoteReference w:id="299"/>
            </w:r>
          </w:p>
          <w:p w:rsidR="00C52695" w:rsidRPr="00C52695" w:rsidRDefault="00C52695" w:rsidP="00C52695">
            <w:r w:rsidRPr="00883125">
              <w:t xml:space="preserve">The best estimate derived by the updated SFG study is 0.35 and it </w:t>
            </w:r>
            <w:r w:rsidRPr="00C52695">
              <w:t xml:space="preserve">is incorrect for the AER to </w:t>
            </w:r>
            <w:r w:rsidR="00AD585A" w:rsidRPr="00C52695">
              <w:t>adjust</w:t>
            </w:r>
            <w:r w:rsidRPr="00C52695">
              <w:t xml:space="preserve"> the SFG study for factors, such as differential personal taxes and risk.</w:t>
            </w:r>
            <w:r w:rsidRPr="00C52695">
              <w:rPr>
                <w:rStyle w:val="FootnoteReference"/>
              </w:rPr>
              <w:footnoteReference w:id="300"/>
            </w:r>
          </w:p>
          <w:p w:rsidR="00C52695" w:rsidRPr="00C52695" w:rsidRDefault="00C52695" w:rsidP="00C52695">
            <w:r w:rsidRPr="00883125">
              <w:t>The SFG 2013 Study represents one point of view. As in a number of instances in these matters, there are conflicting expert views. Without the benefit of learning further from the experts, the Tribunal (like the AER) is faced with the selection between competing views.</w:t>
            </w:r>
            <w:r w:rsidRPr="00C52695">
              <w:rPr>
                <w:rStyle w:val="FootnoteReference"/>
              </w:rPr>
              <w:footnoteReference w:id="301"/>
            </w:r>
          </w:p>
        </w:tc>
        <w:tc>
          <w:tcPr>
            <w:tcW w:w="1945" w:type="pct"/>
          </w:tcPr>
          <w:p w:rsidR="00C52695" w:rsidRPr="00C52695" w:rsidRDefault="00C52695" w:rsidP="00C52695">
            <w:r w:rsidRPr="00883125">
              <w:t xml:space="preserve">The limitations of dividend drop off studies have been widely identified—we provide a selection of comments from academics and regulators in section </w:t>
            </w:r>
            <w:r w:rsidRPr="00C52695">
              <w:fldChar w:fldCharType="begin"/>
            </w:r>
            <w:r w:rsidRPr="00C52695">
              <w:instrText xml:space="preserve"> REF _Ref451266265 \r \h  \* MERGEFORMAT </w:instrText>
            </w:r>
            <w:r w:rsidRPr="00C52695">
              <w:fldChar w:fldCharType="separate"/>
            </w:r>
            <w:r w:rsidR="00812A72">
              <w:t>A.15</w:t>
            </w:r>
            <w:r w:rsidRPr="00C52695">
              <w:fldChar w:fldCharType="end"/>
            </w:r>
            <w:r w:rsidRPr="00C52695">
              <w:t xml:space="preserve"> and </w:t>
            </w:r>
            <w:r w:rsidRPr="00C52695">
              <w:fldChar w:fldCharType="begin"/>
            </w:r>
            <w:r w:rsidRPr="00C52695">
              <w:instrText xml:space="preserve"> REF _Ref450761230 \r \h </w:instrText>
            </w:r>
            <w:r w:rsidRPr="00C52695">
              <w:fldChar w:fldCharType="separate"/>
            </w:r>
            <w:r w:rsidR="00812A72">
              <w:t>4.4.1</w:t>
            </w:r>
            <w:r w:rsidRPr="00C52695">
              <w:fldChar w:fldCharType="end"/>
            </w:r>
            <w:r w:rsidRPr="00C52695">
              <w:t>. Moreover, both Handley and Lally advised that other approaches to estimating the utilisation rate should be preferred. Handley and Lally also advised that, without adjustment, dividend drop off studies produce downwards-biased estimates of the utilisation rate.</w:t>
            </w:r>
          </w:p>
          <w:p w:rsidR="00C52695" w:rsidRPr="00C52695" w:rsidRDefault="00C52695" w:rsidP="00C52695">
            <w:r w:rsidRPr="00883125">
              <w:t xml:space="preserve">The issue with dividend </w:t>
            </w:r>
            <w:r w:rsidRPr="00C52695">
              <w:t>drop off estimates of the utilisation rate (or value) is that they do not produce a post</w:t>
            </w:r>
            <w:r w:rsidR="00E57D43">
              <w:t xml:space="preserve"> </w:t>
            </w:r>
            <w:r w:rsidRPr="00C52695">
              <w:t xml:space="preserve">(company) tax (pre-personal tax) estimate and therefore do not produce estimates consistent with the Officer post-tax framework. The dividend drop off estimate is influenced by differential personal taxes, given that investor value capital gains more than dividend income due preferential tax treatment of capital gains. Further, dividend drop off studies reflect the value of the marginal investor and not the value of aggregate long term investors in regulated utilities. This is further discussed in section </w:t>
            </w:r>
            <w:r w:rsidRPr="00C52695">
              <w:fldChar w:fldCharType="begin"/>
            </w:r>
            <w:r w:rsidRPr="00C52695">
              <w:instrText xml:space="preserve"> REF _Ref435171205 \r \h  \* MERGEFORMAT </w:instrText>
            </w:r>
            <w:r w:rsidRPr="00C52695">
              <w:fldChar w:fldCharType="separate"/>
            </w:r>
            <w:r w:rsidR="00812A72">
              <w:t>A.15.3</w:t>
            </w:r>
            <w:r w:rsidRPr="00C52695">
              <w:fldChar w:fldCharType="end"/>
            </w:r>
            <w:r w:rsidRPr="00C52695">
              <w:t>.</w:t>
            </w:r>
          </w:p>
          <w:p w:rsidR="00C52695" w:rsidRPr="00C52695" w:rsidRDefault="00C52695" w:rsidP="00C52695">
            <w:r w:rsidRPr="00883125">
              <w:t xml:space="preserve">The </w:t>
            </w:r>
            <w:r w:rsidRPr="00C52695">
              <w:t>utilisation value estimate from dividend drop off studies is neither a pre- nor post-personal tax estimate. The pre-personal tax estimate of the utilisation value is the face value of imputation credits. The personal tax is levied on the face value of imputation credits (levied on gross dividend).</w:t>
            </w:r>
          </w:p>
        </w:tc>
      </w:tr>
      <w:tr w:rsidR="00C52695" w:rsidRPr="00B45BDD" w:rsidTr="006425B8">
        <w:trPr>
          <w:cnfStyle w:val="000000010000" w:firstRow="0" w:lastRow="0" w:firstColumn="0" w:lastColumn="0" w:oddVBand="0" w:evenVBand="0" w:oddHBand="0" w:evenHBand="1" w:firstRowFirstColumn="0" w:firstRowLastColumn="0" w:lastRowFirstColumn="0" w:lastRowLastColumn="0"/>
        </w:trPr>
        <w:tc>
          <w:tcPr>
            <w:tcW w:w="784" w:type="pct"/>
          </w:tcPr>
          <w:p w:rsidR="00C52695" w:rsidRPr="00C52695" w:rsidRDefault="00C52695" w:rsidP="00C52695">
            <w:r w:rsidRPr="00883125">
              <w:t xml:space="preserve">Consistency of allowed rate </w:t>
            </w:r>
            <w:r w:rsidRPr="00883125">
              <w:lastRenderedPageBreak/>
              <w:t>of return parameters</w:t>
            </w:r>
          </w:p>
        </w:tc>
        <w:tc>
          <w:tcPr>
            <w:tcW w:w="2271" w:type="pct"/>
          </w:tcPr>
          <w:p w:rsidR="00C52695" w:rsidRPr="00C52695" w:rsidRDefault="00C52695" w:rsidP="00C52695">
            <w:r w:rsidRPr="00883125">
              <w:lastRenderedPageBreak/>
              <w:t xml:space="preserve">The AER's reasoning ignores the fact that other parameters in the WACC </w:t>
            </w:r>
            <w:r w:rsidRPr="00C52695">
              <w:t xml:space="preserve">calculation </w:t>
            </w:r>
            <w:r w:rsidRPr="00C52695">
              <w:lastRenderedPageBreak/>
              <w:t>are market values that already incorporate the effects of the difference in investors' tax position and transaction costs'.</w:t>
            </w:r>
            <w:r w:rsidRPr="00C52695">
              <w:rPr>
                <w:rStyle w:val="FootnoteReference"/>
              </w:rPr>
              <w:footnoteReference w:id="302"/>
            </w:r>
            <w:r w:rsidRPr="00C52695">
              <w:t xml:space="preserve"> There is no inconsistency between the use of market studies to estimate the value of imputation credits and the method used to calculate other parameters of the cost of debt and equity from market data.</w:t>
            </w:r>
            <w:r w:rsidRPr="00C52695">
              <w:rPr>
                <w:rStyle w:val="FootnoteReference"/>
              </w:rPr>
              <w:footnoteReference w:id="303"/>
            </w:r>
            <w:r w:rsidRPr="00C52695">
              <w:t xml:space="preserve"> The Tribunal consider that return on equity is derived from market prices of government bonds (the risk free rate) and from the market prices of shares (beta and MRP).</w:t>
            </w:r>
            <w:r w:rsidRPr="00C52695">
              <w:rPr>
                <w:rStyle w:val="FootnoteReference"/>
              </w:rPr>
              <w:footnoteReference w:id="304"/>
            </w:r>
            <w:r w:rsidRPr="00C52695">
              <w:t xml:space="preserve"> The cost of debt is calculated by reference to bond yields which are derived directly from traded market prices.</w:t>
            </w:r>
            <w:r w:rsidRPr="00C52695">
              <w:rPr>
                <w:rStyle w:val="FootnoteReference"/>
              </w:rPr>
              <w:footnoteReference w:id="305"/>
            </w:r>
            <w:r w:rsidRPr="00C52695">
              <w:t xml:space="preserve"> These market prices reflect every consideration that investors make in determining the worth of shares to them and that the bond prices, and the yields that are derived from them, reflect every consideration that investors make in determining the worth of the asset to them, including "personal costs".</w:t>
            </w:r>
            <w:r w:rsidRPr="00C52695">
              <w:rPr>
                <w:rStyle w:val="FootnoteReference"/>
              </w:rPr>
              <w:footnoteReference w:id="306"/>
            </w:r>
          </w:p>
        </w:tc>
        <w:tc>
          <w:tcPr>
            <w:tcW w:w="1945" w:type="pct"/>
          </w:tcPr>
          <w:p w:rsidR="00C52695" w:rsidRPr="00C52695" w:rsidRDefault="00C52695" w:rsidP="00C52695">
            <w:r w:rsidRPr="00B27BE5">
              <w:lastRenderedPageBreak/>
              <w:t xml:space="preserve">The market value of imputation credits is inferred from dividend drop off </w:t>
            </w:r>
            <w:r w:rsidRPr="00B27BE5">
              <w:lastRenderedPageBreak/>
              <w:t>studies which measure the dividend drop off ratio. The value of imputation credits from dividend drop off studies is influenced by differential personal taxation of dividend income and capital gains. It reflects investor's preference for capital gains over dividend income given the preferential tax treatment of capital gains in Australia. As such, it does not reflect a post-</w:t>
            </w:r>
            <w:r w:rsidRPr="00C52695">
              <w:t>company pre-personal tax value consistent with the framework in the NER/NGR based on Officer's work.</w:t>
            </w:r>
          </w:p>
          <w:p w:rsidR="00C52695" w:rsidRPr="00C52695" w:rsidRDefault="00C52695" w:rsidP="00C52695">
            <w:r>
              <w:t>We</w:t>
            </w:r>
            <w:r w:rsidRPr="00C52695">
              <w:t xml:space="preserve"> consider all parameters in the WACC are calculated on a consistent basis. In the WACC we use both market values (equity and debt prices) and face values (dividends, imputation credits, debt coupons, debt principal). We use the face value for imputation credits because this value is a post (company) tax (pre-personal tax) value and is internally consistent with all other allowed rate of return parameters. We note personal tax is levied on the face value of imputation credits (levied on gross dividends). </w:t>
            </w:r>
          </w:p>
        </w:tc>
      </w:tr>
      <w:tr w:rsidR="00C52695" w:rsidTr="006425B8">
        <w:tc>
          <w:tcPr>
            <w:tcW w:w="784" w:type="pct"/>
          </w:tcPr>
          <w:p w:rsidR="00C52695" w:rsidRPr="00C52695" w:rsidRDefault="00C52695" w:rsidP="00C52695">
            <w:r w:rsidRPr="00883125">
              <w:lastRenderedPageBreak/>
              <w:t>The need to re-evaluate gamma</w:t>
            </w:r>
          </w:p>
        </w:tc>
        <w:tc>
          <w:tcPr>
            <w:tcW w:w="2271" w:type="pct"/>
          </w:tcPr>
          <w:p w:rsidR="00C52695" w:rsidRPr="00C52695" w:rsidRDefault="00C52695" w:rsidP="00C52695">
            <w:r w:rsidRPr="00883125">
              <w:t xml:space="preserve">Changes to the NER and the NEL allow </w:t>
            </w:r>
            <w:r w:rsidRPr="00C52695">
              <w:t>the AER greater flexibility to adopt a more sophisticated approach to the cost of capital than previously envisaged by the NER and the NEL.</w:t>
            </w:r>
            <w:r w:rsidRPr="00C52695">
              <w:rPr>
                <w:rStyle w:val="FootnoteReference"/>
              </w:rPr>
              <w:footnoteReference w:id="307"/>
            </w:r>
            <w:r w:rsidRPr="00C52695">
              <w:t xml:space="preserve"> It is appropriate that the AER should use that additional flexibility to seek advice on alternatives to the Officer Framework that better define the impact of imputation credits on the cost of capital.</w:t>
            </w:r>
            <w:r w:rsidRPr="00C52695">
              <w:rPr>
                <w:rStyle w:val="FootnoteReference"/>
              </w:rPr>
              <w:footnoteReference w:id="308"/>
            </w:r>
          </w:p>
          <w:p w:rsidR="00C52695" w:rsidRPr="00C52695" w:rsidRDefault="00C52695" w:rsidP="00C52695">
            <w:r w:rsidRPr="00883125">
              <w:t xml:space="preserve">Suggested that given the New Zealand High Court decision financial modelling may not yet have produced a workable version of a CAPM that incorporates a generalised </w:t>
            </w:r>
            <w:r w:rsidRPr="00883125">
              <w:lastRenderedPageBreak/>
              <w:t>treatment of imputation credits, in which case the AER would necessarily have to make judgements about whether and how to modify the methodology in the RoR Guidelines for factors subsequently raise in advice it received from experts.</w:t>
            </w:r>
            <w:r w:rsidRPr="00C52695">
              <w:rPr>
                <w:rStyle w:val="FootnoteReference"/>
              </w:rPr>
              <w:footnoteReference w:id="309"/>
            </w:r>
          </w:p>
          <w:p w:rsidR="00C52695" w:rsidRPr="00C52695" w:rsidRDefault="00C52695" w:rsidP="00C52695">
            <w:r w:rsidRPr="00883125">
              <w:t xml:space="preserve">Experts present no consistently coherent CAPM framework for the </w:t>
            </w:r>
            <w:r w:rsidRPr="00C52695">
              <w:t>assessment of the components of the cost of capital. There are models with disputed applicability which may or may not be consistent with the application of a vanilla WACC.</w:t>
            </w:r>
            <w:r w:rsidRPr="00C52695">
              <w:rPr>
                <w:rStyle w:val="FootnoteReference"/>
              </w:rPr>
              <w:footnoteReference w:id="310"/>
            </w:r>
          </w:p>
        </w:tc>
        <w:tc>
          <w:tcPr>
            <w:tcW w:w="1945" w:type="pct"/>
          </w:tcPr>
          <w:p w:rsidR="00C52695" w:rsidRPr="00C52695" w:rsidRDefault="00C52695" w:rsidP="00022C1D">
            <w:r>
              <w:lastRenderedPageBreak/>
              <w:t>We</w:t>
            </w:r>
            <w:r w:rsidRPr="00C52695">
              <w:t xml:space="preserve"> remain of the view that Officer Framework remains appropriate for the current </w:t>
            </w:r>
            <w:r w:rsidR="00022C1D">
              <w:t>final</w:t>
            </w:r>
            <w:r w:rsidR="00022C1D" w:rsidRPr="00C52695">
              <w:t xml:space="preserve"> </w:t>
            </w:r>
            <w:r w:rsidRPr="00C52695">
              <w:t>decision. We consider our application of the Officer Framework will lead to an overall rate of return (inclusive of the value of imputation credits) that is commensurate with the efficient financing costs of a benchmark efficient entity in the provision of regulated services.</w:t>
            </w:r>
          </w:p>
        </w:tc>
      </w:tr>
    </w:tbl>
    <w:p w:rsidR="00C52695" w:rsidRPr="00883125" w:rsidRDefault="00C52695" w:rsidP="00C52695">
      <w:pPr>
        <w:pStyle w:val="AERtablesource"/>
      </w:pPr>
      <w:r w:rsidRPr="00883125">
        <w:lastRenderedPageBreak/>
        <w:t xml:space="preserve">Source: </w:t>
      </w:r>
      <w:r w:rsidRPr="00883125">
        <w:tab/>
        <w:t>As specified in table.</w:t>
      </w:r>
    </w:p>
    <w:p w:rsidR="00DD71F3" w:rsidRDefault="00DD71F3" w:rsidP="00DD71F3"/>
    <w:p w:rsidR="00797A7F" w:rsidRPr="00883125" w:rsidRDefault="00797A7F" w:rsidP="00C52695"/>
    <w:p w:rsidR="00C52695" w:rsidRPr="00883125" w:rsidRDefault="00C52695" w:rsidP="00C52695">
      <w:pPr>
        <w:sectPr w:rsidR="00C52695" w:rsidRPr="00883125" w:rsidSect="006425B8">
          <w:pgSz w:w="16838" w:h="11906" w:orient="landscape"/>
          <w:pgMar w:top="1440" w:right="1440" w:bottom="1440" w:left="1440" w:header="709" w:footer="709" w:gutter="0"/>
          <w:pgNumType w:chapStyle="1"/>
          <w:cols w:space="708"/>
          <w:docGrid w:linePitch="360"/>
        </w:sectPr>
      </w:pPr>
    </w:p>
    <w:p w:rsidR="00C52695" w:rsidRPr="00883125" w:rsidRDefault="00C52695" w:rsidP="00C52695">
      <w:pPr>
        <w:pStyle w:val="Heading9"/>
      </w:pPr>
      <w:r>
        <w:lastRenderedPageBreak/>
        <w:t xml:space="preserve"> </w:t>
      </w:r>
      <w:bookmarkStart w:id="171" w:name="_Toc456614294"/>
      <w:bookmarkStart w:id="172" w:name="_Toc462823312"/>
      <w:bookmarkStart w:id="173" w:name="_Toc481061461"/>
      <w:r w:rsidRPr="00883125">
        <w:t>Energex</w:t>
      </w:r>
      <w:bookmarkEnd w:id="171"/>
      <w:bookmarkEnd w:id="172"/>
      <w:bookmarkEnd w:id="173"/>
    </w:p>
    <w:p w:rsidR="00C52695" w:rsidRPr="00883125" w:rsidRDefault="00C52695" w:rsidP="00C52695">
      <w:pPr>
        <w:numPr>
          <w:ilvl w:val="0"/>
          <w:numId w:val="24"/>
        </w:numPr>
      </w:pPr>
      <w:r w:rsidRPr="00883125">
        <w:t>In our 2009 industry wide review of rate of return parameters (the 2009 WACC review), we adopted a gamma of 0.65.</w:t>
      </w:r>
      <w:r w:rsidRPr="00883125">
        <w:rPr>
          <w:rStyle w:val="FootnoteReference"/>
        </w:rPr>
        <w:footnoteReference w:id="311"/>
      </w:r>
      <w:r w:rsidRPr="00883125">
        <w:t xml:space="preserve"> In 2009, we applied this value in the Queensland and South Australian electricity distribution determinations. Energex and Ergon successfully sought review of this decision by the Australian Competition Tribunal. The </w:t>
      </w:r>
      <w:r w:rsidR="00C25A56">
        <w:t xml:space="preserve">Energex </w:t>
      </w:r>
      <w:r w:rsidRPr="00883125">
        <w:t>Tribunal set the distribution rate to 0.7 and initiated a dividend drop off study from SFG to estimate the utilisation rate. The</w:t>
      </w:r>
      <w:r w:rsidR="00C25A56">
        <w:t xml:space="preserve"> Energex</w:t>
      </w:r>
      <w:r w:rsidRPr="00883125">
        <w:t xml:space="preserve"> Tribunal adopted SFG's recommendation that the utilisation rate be set at 0.35. This resulted in a gamma of 0.25. </w:t>
      </w:r>
    </w:p>
    <w:p w:rsidR="00C52695" w:rsidRPr="00883125" w:rsidRDefault="00C52695" w:rsidP="00C52695">
      <w:r w:rsidRPr="00883125">
        <w:t xml:space="preserve">In reaching its position, the </w:t>
      </w:r>
      <w:r w:rsidR="00C25A56">
        <w:t xml:space="preserve">Energex </w:t>
      </w:r>
      <w:r w:rsidRPr="00883125">
        <w:t xml:space="preserve">Tribunal expressed views on the important factors in its decisions. This included areas where the </w:t>
      </w:r>
      <w:r w:rsidR="00C25A56">
        <w:t xml:space="preserve">Energex </w:t>
      </w:r>
      <w:r w:rsidRPr="00883125">
        <w:t xml:space="preserve">Tribunal felt its understanding was incomplete, as summarised in </w:t>
      </w:r>
      <w:r w:rsidRPr="00883125">
        <w:fldChar w:fldCharType="begin"/>
      </w:r>
      <w:r w:rsidRPr="00883125">
        <w:instrText xml:space="preserve"> REF  _Ref400609646 \* Lower \h  \* MERGEFORMAT </w:instrText>
      </w:r>
      <w:r w:rsidRPr="00883125">
        <w:fldChar w:fldCharType="separate"/>
      </w:r>
      <w:r w:rsidR="00812A72" w:rsidRPr="00883125">
        <w:t xml:space="preserve">table </w:t>
      </w:r>
      <w:r w:rsidR="00812A72">
        <w:t>4</w:t>
      </w:r>
      <w:r w:rsidR="00812A72">
        <w:noBreakHyphen/>
        <w:t>10</w:t>
      </w:r>
      <w:r w:rsidRPr="00883125">
        <w:fldChar w:fldCharType="end"/>
      </w:r>
      <w:r w:rsidRPr="00883125">
        <w:t xml:space="preserve"> below. We have carefully considered these views.</w:t>
      </w:r>
    </w:p>
    <w:p w:rsidR="00C52695" w:rsidRPr="00883125" w:rsidRDefault="00C52695" w:rsidP="00C52695"/>
    <w:p w:rsidR="00C52695" w:rsidRPr="00883125" w:rsidRDefault="00C52695" w:rsidP="00C52695">
      <w:pPr>
        <w:sectPr w:rsidR="00C52695" w:rsidRPr="00883125" w:rsidSect="006425B8">
          <w:pgSz w:w="11906" w:h="16838"/>
          <w:pgMar w:top="1440" w:right="1440" w:bottom="1440" w:left="1440" w:header="708" w:footer="708" w:gutter="0"/>
          <w:pgNumType w:chapStyle="1"/>
          <w:cols w:space="708"/>
          <w:docGrid w:linePitch="360"/>
        </w:sectPr>
      </w:pPr>
    </w:p>
    <w:p w:rsidR="00C52695" w:rsidRPr="00883125" w:rsidRDefault="00C52695" w:rsidP="00C52695"/>
    <w:p w:rsidR="00C52695" w:rsidRPr="00883125" w:rsidRDefault="00C52695" w:rsidP="00C52695">
      <w:pPr>
        <w:pStyle w:val="Caption"/>
      </w:pPr>
      <w:bookmarkStart w:id="174" w:name="_Ref400609646"/>
      <w:bookmarkStart w:id="175" w:name="_Ref401260171"/>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10</w:t>
      </w:r>
      <w:r w:rsidRPr="001D37D5">
        <w:fldChar w:fldCharType="end"/>
      </w:r>
      <w:bookmarkEnd w:id="174"/>
      <w:r w:rsidRPr="00883125">
        <w:tab/>
        <w:t>Australian Competition Tribunal's observations on imputation credits</w:t>
      </w:r>
      <w:bookmarkEnd w:id="175"/>
      <w:r w:rsidRPr="00883125">
        <w:t xml:space="preserve"> in Energex matter</w:t>
      </w:r>
    </w:p>
    <w:tbl>
      <w:tblPr>
        <w:tblStyle w:val="AERtable-text0"/>
        <w:tblW w:w="5000" w:type="pct"/>
        <w:tblLook w:val="04A0" w:firstRow="1" w:lastRow="0" w:firstColumn="1" w:lastColumn="0" w:noHBand="0" w:noVBand="1"/>
      </w:tblPr>
      <w:tblGrid>
        <w:gridCol w:w="2222"/>
        <w:gridCol w:w="6438"/>
        <w:gridCol w:w="5514"/>
      </w:tblGrid>
      <w:tr w:rsidR="00C52695" w:rsidTr="006425B8">
        <w:trPr>
          <w:cnfStyle w:val="100000000000" w:firstRow="1" w:lastRow="0" w:firstColumn="0" w:lastColumn="0" w:oddVBand="0" w:evenVBand="0" w:oddHBand="0" w:evenHBand="0" w:firstRowFirstColumn="0" w:firstRowLastColumn="0" w:lastRowFirstColumn="0" w:lastRowLastColumn="0"/>
          <w:tblHeader/>
        </w:trPr>
        <w:tc>
          <w:tcPr>
            <w:tcW w:w="784" w:type="pct"/>
          </w:tcPr>
          <w:p w:rsidR="00C52695" w:rsidRPr="00C52695" w:rsidRDefault="00C52695" w:rsidP="00C52695">
            <w:r w:rsidRPr="00883125">
              <w:t>Issue</w:t>
            </w:r>
          </w:p>
        </w:tc>
        <w:tc>
          <w:tcPr>
            <w:tcW w:w="2271" w:type="pct"/>
          </w:tcPr>
          <w:p w:rsidR="00C52695" w:rsidRPr="00C52695" w:rsidRDefault="00C52695" w:rsidP="00C52695">
            <w:r w:rsidRPr="00883125">
              <w:t>Tribunal comments</w:t>
            </w:r>
          </w:p>
        </w:tc>
        <w:tc>
          <w:tcPr>
            <w:tcW w:w="1945" w:type="pct"/>
          </w:tcPr>
          <w:p w:rsidR="00C52695" w:rsidRPr="00C52695" w:rsidRDefault="00C52695" w:rsidP="00C52695">
            <w:r w:rsidRPr="00883125">
              <w:t>AER comments</w:t>
            </w:r>
          </w:p>
        </w:tc>
      </w:tr>
      <w:tr w:rsidR="00C52695" w:rsidTr="006425B8">
        <w:tc>
          <w:tcPr>
            <w:tcW w:w="784" w:type="pct"/>
          </w:tcPr>
          <w:p w:rsidR="00C52695" w:rsidRPr="00C52695" w:rsidRDefault="00C52695" w:rsidP="00C52695">
            <w:r w:rsidRPr="00883125">
              <w:t>The conceptual framework for gamma</w:t>
            </w:r>
          </w:p>
        </w:tc>
        <w:tc>
          <w:tcPr>
            <w:tcW w:w="2271" w:type="pct"/>
          </w:tcPr>
          <w:p w:rsidR="00C52695" w:rsidRPr="00C52695" w:rsidRDefault="00C52695" w:rsidP="00C52695">
            <w:r w:rsidRPr="00883125">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C52695" w:rsidRPr="00C52695" w:rsidRDefault="00C52695" w:rsidP="00C52695">
            <w:r w:rsidRPr="00883125">
              <w:t>The Tribunal would be assisted in its consideration of the issues before it if the AER were to provide relevant extrinsic material explaining:</w:t>
            </w:r>
          </w:p>
          <w:p w:rsidR="00C52695" w:rsidRPr="00C52695" w:rsidRDefault="00C52695" w:rsidP="00C52695">
            <w:r w:rsidRPr="00883125">
              <w:t>(a) the rationale for including the gamma component in the formula for calculating the estimated cost of corporate income tax; and</w:t>
            </w:r>
          </w:p>
          <w:p w:rsidR="00C52695" w:rsidRPr="00C52695" w:rsidRDefault="00C52695" w:rsidP="00C52695">
            <w:r w:rsidRPr="00883125">
              <w:t>(b) how it relates to the rest of the building blocks, especially the rate of return (cl 6.4.3(a) and cl 6.5.2(b) of the Rules)."</w:t>
            </w:r>
            <w:r w:rsidRPr="00C52695">
              <w:rPr>
                <w:rStyle w:val="FootnoteReference"/>
              </w:rPr>
              <w:footnoteReference w:id="312"/>
            </w:r>
          </w:p>
        </w:tc>
        <w:tc>
          <w:tcPr>
            <w:tcW w:w="1945" w:type="pct"/>
          </w:tcPr>
          <w:p w:rsidR="00C52695" w:rsidRPr="00C52695" w:rsidRDefault="00C52695" w:rsidP="00C52695">
            <w:r w:rsidRPr="00883125">
              <w:t xml:space="preserve">In developing the Guideline, we re-evaluated the conceptual framework for the value of imputation credits. In making this </w:t>
            </w:r>
            <w:r w:rsidR="00022C1D">
              <w:t>final</w:t>
            </w:r>
            <w:r w:rsidR="00022C1D" w:rsidRPr="00C52695">
              <w:t xml:space="preserve"> </w:t>
            </w:r>
            <w:r w:rsidRPr="00C52695">
              <w:t xml:space="preserve">decision, we have built on this re-evaluation. We discuss the role of the value of imputation credits and the underlying conceptual framework in sections </w:t>
            </w:r>
            <w:r w:rsidRPr="00C52695">
              <w:fldChar w:fldCharType="begin"/>
            </w:r>
            <w:r w:rsidRPr="00C52695">
              <w:instrText xml:space="preserve"> REF _Ref415144114 \r \h  \* MERGEFORMAT </w:instrText>
            </w:r>
            <w:r w:rsidRPr="00C52695">
              <w:fldChar w:fldCharType="separate"/>
            </w:r>
            <w:r w:rsidR="00812A72">
              <w:t>A.5</w:t>
            </w:r>
            <w:r w:rsidRPr="00C52695">
              <w:fldChar w:fldCharType="end"/>
            </w:r>
            <w:r w:rsidRPr="00C52695">
              <w:t xml:space="preserve"> and </w:t>
            </w:r>
            <w:r w:rsidRPr="00C52695">
              <w:fldChar w:fldCharType="begin"/>
            </w:r>
            <w:r w:rsidRPr="00C52695">
              <w:instrText xml:space="preserve"> REF _Ref400965182 \r \h  \* MERGEFORMAT </w:instrText>
            </w:r>
            <w:r w:rsidRPr="00C52695">
              <w:fldChar w:fldCharType="separate"/>
            </w:r>
            <w:r w:rsidR="00812A72">
              <w:t>A.6</w:t>
            </w:r>
            <w:r w:rsidRPr="00C52695">
              <w:fldChar w:fldCharType="end"/>
            </w:r>
            <w:r w:rsidRPr="00C52695">
              <w:t>.</w:t>
            </w:r>
          </w:p>
          <w:p w:rsidR="00C52695" w:rsidRPr="00C52695" w:rsidRDefault="00C52695" w:rsidP="00C52695">
            <w:r>
              <w:t xml:space="preserve">Also see our response above in section </w:t>
            </w:r>
            <w:r w:rsidRPr="00C52695">
              <w:fldChar w:fldCharType="begin"/>
            </w:r>
            <w:r w:rsidRPr="00C52695">
              <w:instrText xml:space="preserve"> REF _Ref451813952 \r \h </w:instrText>
            </w:r>
            <w:r w:rsidRPr="00C52695">
              <w:fldChar w:fldCharType="separate"/>
            </w:r>
            <w:r w:rsidR="00812A72">
              <w:t>A.3.2</w:t>
            </w:r>
            <w:r w:rsidRPr="00C52695">
              <w:fldChar w:fldCharType="end"/>
            </w:r>
            <w:r w:rsidRPr="00C52695">
              <w:t xml:space="preserve"> under ' The conceptual framework for gamma'.</w:t>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784" w:type="pct"/>
          </w:tcPr>
          <w:p w:rsidR="00C52695" w:rsidRPr="00C52695" w:rsidRDefault="00C52695" w:rsidP="00C52695">
            <w:r w:rsidRPr="00883125">
              <w:t>The distribution rate (payout ratio)</w:t>
            </w:r>
          </w:p>
        </w:tc>
        <w:tc>
          <w:tcPr>
            <w:tcW w:w="2271" w:type="pct"/>
          </w:tcPr>
          <w:p w:rsidR="00C52695" w:rsidRPr="00C52695" w:rsidRDefault="00C52695" w:rsidP="00C52695">
            <w:r w:rsidRPr="00883125">
              <w:t xml:space="preserve">"…there is [was] no empirical evidence currently available supporting </w:t>
            </w:r>
            <w:r w:rsidRPr="00C52695">
              <w:t>a distribution ratio higher than 0.70."</w:t>
            </w:r>
            <w:r w:rsidRPr="00C52695">
              <w:rPr>
                <w:rStyle w:val="FootnoteReference"/>
              </w:rPr>
              <w:footnoteReference w:id="313"/>
            </w:r>
          </w:p>
        </w:tc>
        <w:tc>
          <w:tcPr>
            <w:tcW w:w="1945" w:type="pct"/>
          </w:tcPr>
          <w:p w:rsidR="00C52695" w:rsidRPr="00C52695" w:rsidRDefault="00C52695" w:rsidP="00C52695">
            <w:r w:rsidRPr="00883125">
              <w:t xml:space="preserve">As discussed in </w:t>
            </w:r>
            <w:r w:rsidRPr="00C52695">
              <w:t xml:space="preserve">section </w:t>
            </w:r>
            <w:r w:rsidRPr="00C52695">
              <w:fldChar w:fldCharType="begin"/>
            </w:r>
            <w:r w:rsidRPr="00C52695">
              <w:instrText xml:space="preserve"> REF _Ref401133206 \r \h  \* MERGEFORMAT </w:instrText>
            </w:r>
            <w:r w:rsidRPr="00C52695">
              <w:fldChar w:fldCharType="separate"/>
            </w:r>
            <w:r w:rsidR="00812A72">
              <w:t>A.10</w:t>
            </w:r>
            <w:r w:rsidRPr="00C52695">
              <w:fldChar w:fldCharType="end"/>
            </w:r>
            <w:r w:rsidRPr="00C52695">
              <w:t xml:space="preserve"> of this appendix, we consider that a distribution rate of 0.7 across all equity and a distribution rate of 0.75 for listed equity is appropriate for a benchmark efficient entity. Lally also finds a distribution rate of 0.83 for listed equity estimated from financial reports of the largest 20 listed companies.</w:t>
            </w:r>
          </w:p>
          <w:p w:rsidR="00C52695" w:rsidRPr="00C52695" w:rsidRDefault="00C52695" w:rsidP="00C52695">
            <w:r>
              <w:t xml:space="preserve">Also see </w:t>
            </w:r>
            <w:r w:rsidRPr="00C52695">
              <w:t xml:space="preserve">our response above in section </w:t>
            </w:r>
            <w:r w:rsidRPr="00C52695">
              <w:fldChar w:fldCharType="begin"/>
            </w:r>
            <w:r w:rsidRPr="00C52695">
              <w:instrText xml:space="preserve"> REF _Ref451813952 \r \h </w:instrText>
            </w:r>
            <w:r w:rsidRPr="00C52695">
              <w:fldChar w:fldCharType="separate"/>
            </w:r>
            <w:r w:rsidR="00812A72">
              <w:t>A.3.2</w:t>
            </w:r>
            <w:r w:rsidRPr="00C52695">
              <w:fldChar w:fldCharType="end"/>
            </w:r>
            <w:r w:rsidRPr="00C52695">
              <w:t xml:space="preserve"> under 'The distribution rate (payout ratio)'. </w:t>
            </w:r>
          </w:p>
        </w:tc>
      </w:tr>
      <w:tr w:rsidR="00C52695" w:rsidRPr="00B45BDD" w:rsidTr="006425B8">
        <w:tc>
          <w:tcPr>
            <w:tcW w:w="784" w:type="pct"/>
          </w:tcPr>
          <w:p w:rsidR="00C52695" w:rsidRPr="00C52695" w:rsidRDefault="00C52695" w:rsidP="00C52695">
            <w:r w:rsidRPr="00883125">
              <w:lastRenderedPageBreak/>
              <w:t>Tax statistic estimates</w:t>
            </w:r>
          </w:p>
        </w:tc>
        <w:tc>
          <w:tcPr>
            <w:tcW w:w="2271" w:type="pct"/>
          </w:tcPr>
          <w:p w:rsidR="00C52695" w:rsidRPr="00C52695" w:rsidRDefault="00C52695" w:rsidP="00C52695">
            <w:r w:rsidRPr="00883125">
              <w:t>"The AER accepted that utilisation rates derived from tax statistics provide an upper bound on possible values of theta. Setting aside the manner in which the AER derived a value from the tax statistics study, it correctly considered that information from a tax statistics study was relevant. However, its relevance could only be related to the fact that it was an upper bound. No estimate that exceeded a genuine upper bound could be correct. Thus the appropriate way to use the tax statistics figure was as a check."</w:t>
            </w:r>
            <w:r w:rsidRPr="00C52695">
              <w:rPr>
                <w:rStyle w:val="FootnoteReference"/>
              </w:rPr>
              <w:footnoteReference w:id="314"/>
            </w:r>
          </w:p>
          <w:p w:rsidR="00C52695" w:rsidRPr="00C52695" w:rsidRDefault="00C52695" w:rsidP="00C52695">
            <w:r w:rsidRPr="00883125">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C52695" w:rsidRPr="00C52695" w:rsidRDefault="00C52695" w:rsidP="00C52695">
            <w:r w:rsidRPr="00883125">
              <w:t xml:space="preserve">- estimates from dividend drop-off studies are very imprecise and of questionable reliability; </w:t>
            </w:r>
          </w:p>
          <w:p w:rsidR="00C52695" w:rsidRPr="00C52695" w:rsidRDefault="00C52695" w:rsidP="00C52695">
            <w:r w:rsidRPr="00883125">
              <w:t xml:space="preserve">- such studies are likely to produce downwardly-biased estimates of theta; and </w:t>
            </w:r>
          </w:p>
          <w:p w:rsidR="00C52695" w:rsidRPr="00C52695" w:rsidRDefault="00C52695" w:rsidP="00C52695">
            <w:r w:rsidRPr="00883125">
              <w:t>- taxation studies do not give an upper bound to theta.</w:t>
            </w:r>
          </w:p>
          <w:p w:rsidR="00C52695" w:rsidRPr="00C52695" w:rsidRDefault="00C52695" w:rsidP="00C52695">
            <w:r w:rsidRPr="00883125">
              <w:t>By way of background, the Tribunal in earlier reasons noted</w:t>
            </w:r>
            <w:r w:rsidRPr="00C52695">
              <w:t xml:space="preserve">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C52695" w:rsidRPr="00C52695" w:rsidRDefault="00C52695" w:rsidP="00C52695">
            <w:r w:rsidRPr="00883125">
              <w:t xml:space="preserve">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w:t>
            </w:r>
            <w:r w:rsidRPr="00883125">
              <w:lastRenderedPageBreak/>
              <w:t>opportunity, and perhaps cause, to investigate further. It has not sought to do so in these proceedings."</w:t>
            </w:r>
            <w:r w:rsidRPr="00C52695">
              <w:rPr>
                <w:rStyle w:val="FootnoteReference"/>
              </w:rPr>
              <w:footnoteReference w:id="315"/>
            </w:r>
          </w:p>
        </w:tc>
        <w:tc>
          <w:tcPr>
            <w:tcW w:w="1945" w:type="pct"/>
          </w:tcPr>
          <w:p w:rsidR="00C52695" w:rsidRPr="00C52695" w:rsidRDefault="00C52695" w:rsidP="00C52695">
            <w:r w:rsidRPr="00883125">
              <w:lastRenderedPageBreak/>
              <w:t xml:space="preserve">Handley advised that his previous comments regarding the use of tax statistics being an 'upper bound' were misinterpreted in these proceedings. Handley confirmed that tax statistics can be used to produce a point estimate of the utilisation rate. We discussed Handley's views in section A.6.1 of </w:t>
            </w:r>
            <w:r w:rsidRPr="00C52695">
              <w:t xml:space="preserve">our draft/preliminary decisions. We discuss the use of tax statistics more broadly in section </w:t>
            </w:r>
            <w:r w:rsidRPr="00C52695">
              <w:fldChar w:fldCharType="begin"/>
            </w:r>
            <w:r w:rsidRPr="00C52695">
              <w:instrText xml:space="preserve"> REF _Ref402179420 \r \h  \* MERGEFORMAT </w:instrText>
            </w:r>
            <w:r w:rsidRPr="00C52695">
              <w:fldChar w:fldCharType="separate"/>
            </w:r>
            <w:r w:rsidR="00812A72">
              <w:t>A.13</w:t>
            </w:r>
            <w:r w:rsidRPr="00C52695">
              <w:fldChar w:fldCharType="end"/>
            </w:r>
            <w:r w:rsidRPr="00C52695">
              <w:t xml:space="preserve"> of this appendix.</w:t>
            </w:r>
          </w:p>
          <w:p w:rsidR="00C52695" w:rsidRPr="00C52695" w:rsidRDefault="00C52695" w:rsidP="00C52695">
            <w:r>
              <w:t>Also</w:t>
            </w:r>
            <w:r w:rsidRPr="00C52695">
              <w:t xml:space="preserve"> see our response above in section </w:t>
            </w:r>
            <w:r w:rsidRPr="00C52695">
              <w:fldChar w:fldCharType="begin"/>
            </w:r>
            <w:r w:rsidRPr="00C52695">
              <w:instrText xml:space="preserve"> REF _Ref451813952 \r \h </w:instrText>
            </w:r>
            <w:r w:rsidRPr="00C52695">
              <w:fldChar w:fldCharType="separate"/>
            </w:r>
            <w:r w:rsidR="00812A72">
              <w:t>A.3.2</w:t>
            </w:r>
            <w:r w:rsidRPr="00C52695">
              <w:fldChar w:fldCharType="end"/>
            </w:r>
            <w:r w:rsidRPr="00C52695">
              <w:t xml:space="preserve"> under 'Tax statistic estimates'.</w:t>
            </w:r>
          </w:p>
          <w:p w:rsidR="00C52695" w:rsidRPr="00B27BE5" w:rsidRDefault="00C52695" w:rsidP="00C52695"/>
        </w:tc>
      </w:tr>
      <w:tr w:rsidR="00C52695" w:rsidRPr="00B45BDD" w:rsidTr="006425B8">
        <w:trPr>
          <w:cnfStyle w:val="000000010000" w:firstRow="0" w:lastRow="0" w:firstColumn="0" w:lastColumn="0" w:oddVBand="0" w:evenVBand="0" w:oddHBand="0" w:evenHBand="1" w:firstRowFirstColumn="0" w:firstRowLastColumn="0" w:lastRowFirstColumn="0" w:lastRowLastColumn="0"/>
        </w:trPr>
        <w:tc>
          <w:tcPr>
            <w:tcW w:w="784" w:type="pct"/>
          </w:tcPr>
          <w:p w:rsidR="00C52695" w:rsidRPr="00C52695" w:rsidRDefault="00C52695" w:rsidP="00C52695">
            <w:r w:rsidRPr="00883125">
              <w:lastRenderedPageBreak/>
              <w:t>The conceptual basis for dividend drop off studies</w:t>
            </w:r>
          </w:p>
        </w:tc>
        <w:tc>
          <w:tcPr>
            <w:tcW w:w="2271" w:type="pct"/>
          </w:tcPr>
          <w:p w:rsidR="00C52695" w:rsidRPr="00C52695" w:rsidRDefault="00C52695" w:rsidP="00C52695">
            <w:r w:rsidRPr="00883125">
              <w:t>"The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dividend drop-off studies.</w:t>
            </w:r>
          </w:p>
          <w:p w:rsidR="00C52695" w:rsidRPr="00C52695" w:rsidRDefault="00C52695" w:rsidP="00C52695">
            <w:r w:rsidRPr="00883125">
              <w:t xml:space="preserve">However, SIRCA's March 2011 report does not resolve these issues and </w:t>
            </w:r>
            <w:r w:rsidRPr="00C52695">
              <w:t>the AER has provided no conclusions of its own."</w:t>
            </w:r>
            <w:r w:rsidRPr="00C52695">
              <w:rPr>
                <w:rStyle w:val="FootnoteReference"/>
              </w:rPr>
              <w:footnoteReference w:id="316"/>
            </w:r>
          </w:p>
        </w:tc>
        <w:tc>
          <w:tcPr>
            <w:tcW w:w="1945" w:type="pct"/>
          </w:tcPr>
          <w:p w:rsidR="00C52695" w:rsidRPr="00C52695" w:rsidRDefault="00C52695" w:rsidP="00C52695">
            <w:r w:rsidRPr="00883125">
              <w:t xml:space="preserve">The limitations of dividend drop off studies have been widely identified since these proceedings—we provide a selection of comments from academics and regulators in section </w:t>
            </w:r>
            <w:r w:rsidRPr="00C52695">
              <w:fldChar w:fldCharType="begin"/>
            </w:r>
            <w:r w:rsidRPr="00C52695">
              <w:instrText xml:space="preserve"> REF _Ref451267181 \r \h  \* MERGEFORMAT </w:instrText>
            </w:r>
            <w:r w:rsidRPr="00C52695">
              <w:fldChar w:fldCharType="separate"/>
            </w:r>
            <w:r w:rsidR="00812A72">
              <w:t>A.15</w:t>
            </w:r>
            <w:r w:rsidRPr="00C52695">
              <w:fldChar w:fldCharType="end"/>
            </w:r>
            <w:r w:rsidRPr="00C52695">
              <w:t>. Moreover, both Handley and Lally advised that other approaches to estimating the utilisation rate should be preferred. Handley and Lally also advised that, without adjustment, dividend drop off studies produce downwards-biased estimates of the utilisation rate.</w:t>
            </w:r>
          </w:p>
          <w:p w:rsidR="00C52695" w:rsidRPr="00C52695" w:rsidRDefault="00C52695" w:rsidP="00C52695">
            <w:r>
              <w:t>Also</w:t>
            </w:r>
            <w:r w:rsidRPr="00C52695">
              <w:t xml:space="preserve"> see our response above in section </w:t>
            </w:r>
            <w:r w:rsidRPr="00C52695">
              <w:fldChar w:fldCharType="begin"/>
            </w:r>
            <w:r w:rsidRPr="00C52695">
              <w:instrText xml:space="preserve"> REF _Ref451813952 \r \h </w:instrText>
            </w:r>
            <w:r w:rsidRPr="00C52695">
              <w:fldChar w:fldCharType="separate"/>
            </w:r>
            <w:r w:rsidR="00812A72">
              <w:t>A.3.2</w:t>
            </w:r>
            <w:r w:rsidRPr="00C52695">
              <w:fldChar w:fldCharType="end"/>
            </w:r>
            <w:r w:rsidRPr="00C52695">
              <w:t xml:space="preserve"> under 'The conceptual basis for dividend drop off studies '.</w:t>
            </w:r>
          </w:p>
        </w:tc>
      </w:tr>
      <w:tr w:rsidR="00C52695" w:rsidTr="006425B8">
        <w:tc>
          <w:tcPr>
            <w:tcW w:w="784" w:type="pct"/>
          </w:tcPr>
          <w:p w:rsidR="00C52695" w:rsidRPr="00C52695" w:rsidRDefault="00C52695" w:rsidP="00C52695">
            <w:r w:rsidRPr="00883125">
              <w:t>The need to re-evaluate gamma</w:t>
            </w:r>
          </w:p>
        </w:tc>
        <w:tc>
          <w:tcPr>
            <w:tcW w:w="2271" w:type="pct"/>
          </w:tcPr>
          <w:p w:rsidR="00C52695" w:rsidRPr="00C52695" w:rsidRDefault="00C52695" w:rsidP="00C52695">
            <w:r w:rsidRPr="00883125">
              <w:t>"Further, the Tribunal notes that estimation of a parameter such as gamma is necessarily, and desirably, an ongoing intellectual and empirical endeavour. Its decision in these proceedings is based on the material before it.”</w:t>
            </w:r>
            <w:r w:rsidRPr="00C52695">
              <w:rPr>
                <w:rStyle w:val="FootnoteReference"/>
              </w:rPr>
              <w:footnoteReference w:id="317"/>
            </w:r>
          </w:p>
        </w:tc>
        <w:tc>
          <w:tcPr>
            <w:tcW w:w="1945" w:type="pct"/>
          </w:tcPr>
          <w:p w:rsidR="00C52695" w:rsidRPr="00C52695" w:rsidRDefault="00C52695" w:rsidP="00C52695">
            <w:r w:rsidRPr="00883125">
              <w:t xml:space="preserve">Consistent with this comment, we have not sought to apply the Tribunal's previous considerations in this </w:t>
            </w:r>
            <w:r w:rsidR="0085480B">
              <w:t>final</w:t>
            </w:r>
            <w:r w:rsidR="0085480B" w:rsidRPr="00C52695">
              <w:t xml:space="preserve"> </w:t>
            </w:r>
            <w:r w:rsidRPr="00C52695">
              <w:t xml:space="preserve">decision. Instead, we adopt a value of imputation credits that is based on our assessment of the merits of the evidence before us, which includes a large amount of material that was not before the Tribunal in these proceedings. </w:t>
            </w:r>
          </w:p>
          <w:p w:rsidR="00C52695" w:rsidRPr="00C52695" w:rsidRDefault="00C52695" w:rsidP="00C52695">
            <w:r>
              <w:t>Also</w:t>
            </w:r>
            <w:r w:rsidRPr="00C52695">
              <w:t xml:space="preserve"> see our response above in section </w:t>
            </w:r>
            <w:r w:rsidRPr="00C52695">
              <w:fldChar w:fldCharType="begin"/>
            </w:r>
            <w:r w:rsidRPr="00C52695">
              <w:instrText xml:space="preserve"> REF _Ref451813952 \r \h </w:instrText>
            </w:r>
            <w:r w:rsidRPr="00C52695">
              <w:fldChar w:fldCharType="separate"/>
            </w:r>
            <w:r w:rsidR="00812A72">
              <w:t>A.3.2</w:t>
            </w:r>
            <w:r w:rsidRPr="00C52695">
              <w:fldChar w:fldCharType="end"/>
            </w:r>
            <w:r w:rsidRPr="00C52695">
              <w:t xml:space="preserve"> under 'The need to re-evaluate gamma '.</w:t>
            </w:r>
          </w:p>
        </w:tc>
      </w:tr>
    </w:tbl>
    <w:p w:rsidR="00C52695" w:rsidRPr="00883125" w:rsidRDefault="00C52695" w:rsidP="00C52695">
      <w:pPr>
        <w:pStyle w:val="AERtablesource"/>
      </w:pPr>
      <w:r w:rsidRPr="00883125">
        <w:t xml:space="preserve">Source: </w:t>
      </w:r>
      <w:r w:rsidRPr="00883125">
        <w:tab/>
        <w:t>As specified in table.</w:t>
      </w:r>
    </w:p>
    <w:p w:rsidR="00C52695" w:rsidRPr="00883125" w:rsidRDefault="00C52695" w:rsidP="00C52695">
      <w:pPr>
        <w:numPr>
          <w:ilvl w:val="0"/>
          <w:numId w:val="24"/>
        </w:numPr>
        <w:sectPr w:rsidR="00C52695" w:rsidRPr="00883125" w:rsidSect="006425B8">
          <w:pgSz w:w="16838" w:h="11906" w:orient="landscape"/>
          <w:pgMar w:top="1440" w:right="1440" w:bottom="1440" w:left="1440" w:header="708" w:footer="708" w:gutter="0"/>
          <w:pgNumType w:chapStyle="1"/>
          <w:cols w:space="708"/>
          <w:docGrid w:linePitch="360"/>
        </w:sectPr>
      </w:pPr>
    </w:p>
    <w:p w:rsidR="00C52695" w:rsidRPr="00883125" w:rsidRDefault="00C52695" w:rsidP="00C52695">
      <w:pPr>
        <w:numPr>
          <w:ilvl w:val="0"/>
          <w:numId w:val="24"/>
        </w:numPr>
      </w:pPr>
      <w:r w:rsidRPr="00883125">
        <w:lastRenderedPageBreak/>
        <w:t>During the Guideline process, service providers frequently proposed a value of imputation credits of 0.25 and referenced the Tribunal decision</w:t>
      </w:r>
      <w:r>
        <w:t xml:space="preserve"> for Energex</w:t>
      </w:r>
      <w:r w:rsidRPr="00883125">
        <w:t xml:space="preserve"> in support of this.</w:t>
      </w:r>
      <w:r w:rsidRPr="00883125">
        <w:rPr>
          <w:rStyle w:val="FootnoteReference"/>
        </w:rPr>
        <w:footnoteReference w:id="318"/>
      </w:r>
      <w:r w:rsidRPr="00883125">
        <w:t xml:space="preserve"> However, the last quote from the </w:t>
      </w:r>
      <w:r w:rsidR="00C25A56">
        <w:t xml:space="preserve">Energex </w:t>
      </w:r>
      <w:r w:rsidRPr="00883125">
        <w:t xml:space="preserve">Tribunal demonstrates that it did not intend for its decision to be determinative of the appropriate estimation technique for gamma, and certainly not on a permanent basis. In the Guideline, we also made this point. Service providers with current proposals no longer refer to the </w:t>
      </w:r>
      <w:r w:rsidR="00C25A56">
        <w:t xml:space="preserve">Energex </w:t>
      </w:r>
      <w:r w:rsidRPr="00883125">
        <w:t xml:space="preserve">Tribunal's decision as if it were precedent. Rather, they propose a value of imputation credits, and reasons for that value, which are consistent with the </w:t>
      </w:r>
      <w:r w:rsidR="00C25A56">
        <w:t xml:space="preserve">Energex </w:t>
      </w:r>
      <w:r w:rsidRPr="00883125">
        <w:t>Tribunal decision. However, the service providers consider that the problematic estimation methodologies and the currency of the underlying data that apply to other dividend drop off studies does not apply to the SFG study.</w:t>
      </w:r>
      <w:r w:rsidRPr="00883125">
        <w:rPr>
          <w:rStyle w:val="FootnoteReference"/>
        </w:rPr>
        <w:footnoteReference w:id="319"/>
      </w:r>
      <w:r w:rsidRPr="00883125">
        <w:t xml:space="preserve"> </w:t>
      </w:r>
      <w:r>
        <w:t>We do</w:t>
      </w:r>
      <w:r w:rsidRPr="00883125">
        <w:t xml:space="preserve"> not agree for the reasons outlined in section </w:t>
      </w:r>
      <w:r>
        <w:fldChar w:fldCharType="begin"/>
      </w:r>
      <w:r>
        <w:instrText xml:space="preserve"> REF _Ref451267267 \r \h </w:instrText>
      </w:r>
      <w:r>
        <w:fldChar w:fldCharType="separate"/>
      </w:r>
      <w:r w:rsidR="00812A72">
        <w:t>A.15</w:t>
      </w:r>
      <w:r>
        <w:fldChar w:fldCharType="end"/>
      </w:r>
      <w:r w:rsidRPr="00883125">
        <w:t>.</w:t>
      </w:r>
    </w:p>
    <w:p w:rsidR="00C52695" w:rsidRPr="00883125" w:rsidRDefault="00C52695" w:rsidP="00C52695">
      <w:pPr>
        <w:numPr>
          <w:ilvl w:val="0"/>
          <w:numId w:val="24"/>
        </w:numPr>
      </w:pPr>
      <w:r w:rsidRPr="00883125">
        <w:t>Both during the Guideline development process and this determination process, we have considered the previous Tribunal decision</w:t>
      </w:r>
      <w:r>
        <w:t xml:space="preserve"> for Energex</w:t>
      </w:r>
      <w:r w:rsidRPr="00883125">
        <w:t xml:space="preserve"> carefully in forming our view on the value of imputation credits. For the reasons expressed in this appendix and attachment 4 we have come to a different position. This is consistent with the </w:t>
      </w:r>
      <w:r w:rsidR="00C25A56">
        <w:t xml:space="preserve">Energex </w:t>
      </w:r>
      <w:r w:rsidRPr="00883125">
        <w:t>Tribunal's expectation that the value of imputation credits is 'necessarily, and desirably, an ongoing intellectual and empirical endeavour'.</w:t>
      </w:r>
    </w:p>
    <w:p w:rsidR="00C52695" w:rsidRPr="00883125" w:rsidRDefault="00C52695" w:rsidP="00C52695">
      <w:pPr>
        <w:pStyle w:val="Heading9"/>
      </w:pPr>
      <w:bookmarkStart w:id="176" w:name="_Toc456614295"/>
      <w:bookmarkStart w:id="177" w:name="_Toc462823313"/>
      <w:bookmarkStart w:id="178" w:name="_Toc481061462"/>
      <w:r w:rsidRPr="00883125">
        <w:t>DBNGP and WA Gas Networks</w:t>
      </w:r>
      <w:bookmarkEnd w:id="176"/>
      <w:bookmarkEnd w:id="177"/>
      <w:bookmarkEnd w:id="178"/>
    </w:p>
    <w:p w:rsidR="00C52695" w:rsidRPr="00883125" w:rsidRDefault="00C52695" w:rsidP="00C52695">
      <w:pPr>
        <w:numPr>
          <w:ilvl w:val="0"/>
          <w:numId w:val="24"/>
        </w:numPr>
      </w:pPr>
      <w:r w:rsidRPr="00883125">
        <w:t>In 2012, Dampier to Bunbury Natural Gas Pipeline (DBNGP) sought Tribunal review of the ERA's decision to adopt a value of imputation credits of 0.25. In upholding the ERA's value, the Tribunal again emphasised the lack of consensus on an appropriate value and the fact that determining a value for gamma is continually being refined:</w:t>
      </w:r>
      <w:r w:rsidRPr="00883125">
        <w:rPr>
          <w:rStyle w:val="FootnoteReference"/>
        </w:rPr>
        <w:footnoteReference w:id="320"/>
      </w:r>
    </w:p>
    <w:p w:rsidR="00C52695" w:rsidRPr="00883125" w:rsidRDefault="00C52695" w:rsidP="00C52695">
      <w:pPr>
        <w:pStyle w:val="AERquote"/>
      </w:pPr>
      <w:r w:rsidRPr="00883125">
        <w:t xml:space="preserve">171 </w:t>
      </w:r>
      <w:r w:rsidRPr="00883125">
        <w:tab/>
        <w:t>Determining the appropriate values of F [the distribution rate] 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C52695" w:rsidRPr="00883125" w:rsidRDefault="00C52695" w:rsidP="00C52695">
      <w:pPr>
        <w:pStyle w:val="AERquote"/>
      </w:pPr>
      <w:r w:rsidRPr="00883125">
        <w:lastRenderedPageBreak/>
        <w:t>…</w:t>
      </w:r>
    </w:p>
    <w:p w:rsidR="00C52695" w:rsidRPr="00883125" w:rsidRDefault="00C52695" w:rsidP="00C52695">
      <w:pPr>
        <w:pStyle w:val="AERquote"/>
      </w:pPr>
      <w:r w:rsidRPr="00883125">
        <w:t xml:space="preserve">210 </w:t>
      </w:r>
      <w:r w:rsidRPr="00883125">
        <w:tab/>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C52695" w:rsidRPr="00883125" w:rsidRDefault="00C52695" w:rsidP="00C52695">
      <w:pPr>
        <w:pStyle w:val="AERquote"/>
      </w:pPr>
      <w:r w:rsidRPr="00883125">
        <w:t xml:space="preserve">211 </w:t>
      </w:r>
      <w:r w:rsidRPr="00883125">
        <w:tab/>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C52695" w:rsidRPr="00883125" w:rsidRDefault="00C52695" w:rsidP="00C52695">
      <w:pPr>
        <w:pStyle w:val="AERquote"/>
      </w:pPr>
      <w:r w:rsidRPr="00883125">
        <w:t xml:space="preserve">214 </w:t>
      </w:r>
      <w:r w:rsidRPr="00883125">
        <w:tab/>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C52695" w:rsidRPr="00883125" w:rsidRDefault="00C52695" w:rsidP="00C52695">
      <w:r w:rsidRPr="00883125">
        <w:t>The Tribunal made similar comments in the earlier WA Gas Networks matter.</w:t>
      </w:r>
      <w:r w:rsidRPr="00883125">
        <w:rPr>
          <w:rStyle w:val="FootnoteReference"/>
        </w:rPr>
        <w:footnoteReference w:id="321"/>
      </w:r>
    </w:p>
    <w:p w:rsidR="00C52695" w:rsidRPr="00883125" w:rsidRDefault="00C52695" w:rsidP="00C52695">
      <w:pPr>
        <w:pStyle w:val="Heading8"/>
      </w:pPr>
      <w:bookmarkStart w:id="179" w:name="_Ref415070393"/>
      <w:bookmarkStart w:id="180" w:name="_Toc436049445"/>
      <w:bookmarkStart w:id="181" w:name="_Toc451842249"/>
      <w:bookmarkStart w:id="182" w:name="_Toc451938305"/>
      <w:bookmarkStart w:id="183" w:name="_Toc456614296"/>
      <w:bookmarkStart w:id="184" w:name="_Toc462823314"/>
      <w:bookmarkStart w:id="185" w:name="_Toc481061463"/>
      <w:r w:rsidRPr="00883125">
        <w:t>Key concerns of the service providers</w:t>
      </w:r>
      <w:bookmarkEnd w:id="179"/>
      <w:bookmarkEnd w:id="180"/>
      <w:bookmarkEnd w:id="181"/>
      <w:bookmarkEnd w:id="182"/>
      <w:bookmarkEnd w:id="183"/>
      <w:bookmarkEnd w:id="184"/>
      <w:bookmarkEnd w:id="185"/>
    </w:p>
    <w:p w:rsidR="00D04AA1" w:rsidRDefault="00DC1EEF" w:rsidP="00C52695">
      <w:r>
        <w:t xml:space="preserve">Since the rate of return guideline we have </w:t>
      </w:r>
      <w:r w:rsidR="00E21E18">
        <w:t xml:space="preserve">effectively </w:t>
      </w:r>
      <w:r>
        <w:t xml:space="preserve">reviewed </w:t>
      </w:r>
      <w:r w:rsidR="00F809D6">
        <w:t>four</w:t>
      </w:r>
      <w:r>
        <w:t xml:space="preserve"> tranches of submissions from the regulated businesses</w:t>
      </w:r>
      <w:r w:rsidR="00E21E18">
        <w:t xml:space="preserve"> and other related stakeholder submissions</w:t>
      </w:r>
      <w:r>
        <w:t xml:space="preserve">. </w:t>
      </w:r>
      <w:r w:rsidR="00E30CB4">
        <w:t>These tranches related to common gamma decision in AER decisions released in May and June 2015</w:t>
      </w:r>
      <w:r w:rsidR="00AD35FD">
        <w:t>,</w:t>
      </w:r>
      <w:r w:rsidR="00E30CB4">
        <w:rPr>
          <w:rStyle w:val="FootnoteReference"/>
        </w:rPr>
        <w:footnoteReference w:id="322"/>
      </w:r>
      <w:r w:rsidR="00E30CB4">
        <w:t xml:space="preserve"> October and November 2015</w:t>
      </w:r>
      <w:r w:rsidR="00AD35FD">
        <w:t>,</w:t>
      </w:r>
      <w:r w:rsidR="00E30CB4">
        <w:rPr>
          <w:rStyle w:val="FootnoteReference"/>
        </w:rPr>
        <w:footnoteReference w:id="323"/>
      </w:r>
      <w:r w:rsidR="00E30CB4">
        <w:t xml:space="preserve"> May 2016</w:t>
      </w:r>
      <w:r w:rsidR="00E30CB4">
        <w:rPr>
          <w:rStyle w:val="FootnoteReference"/>
        </w:rPr>
        <w:footnoteReference w:id="324"/>
      </w:r>
      <w:r w:rsidR="00E30CB4">
        <w:t xml:space="preserve"> and </w:t>
      </w:r>
      <w:r w:rsidR="008D7509">
        <w:t>the current decisions</w:t>
      </w:r>
      <w:r w:rsidR="00AD35FD">
        <w:t>.</w:t>
      </w:r>
      <w:r w:rsidR="00E30CB4">
        <w:rPr>
          <w:rStyle w:val="FootnoteReference"/>
        </w:rPr>
        <w:footnoteReference w:id="325"/>
      </w:r>
      <w:r w:rsidR="00E30CB4">
        <w:t xml:space="preserve"> </w:t>
      </w:r>
      <w:r>
        <w:t xml:space="preserve">Below we </w:t>
      </w:r>
      <w:r>
        <w:lastRenderedPageBreak/>
        <w:t xml:space="preserve">highlight the key concerns raised by regulated businesses in </w:t>
      </w:r>
      <w:r w:rsidR="00D04AA1">
        <w:t xml:space="preserve">each </w:t>
      </w:r>
      <w:r>
        <w:t xml:space="preserve">tranche of submissions. Overall most businesses submit that gamma should be set </w:t>
      </w:r>
      <w:r w:rsidR="00D04AA1">
        <w:t>to 0.25 based on a 0.</w:t>
      </w:r>
      <w:r w:rsidR="00E21E18">
        <w:t>3</w:t>
      </w:r>
      <w:r w:rsidR="00D04AA1">
        <w:t xml:space="preserve">5 utilisation value </w:t>
      </w:r>
      <w:r w:rsidR="00E21E18">
        <w:t xml:space="preserve">from </w:t>
      </w:r>
      <w:r w:rsidR="00D04AA1">
        <w:t>the SFG dividend drop off study and a 0.7 all equity distribution rate</w:t>
      </w:r>
      <w:r w:rsidR="00E21E18">
        <w:t xml:space="preserve"> based on franking account balance data from the Australian Taxation Office</w:t>
      </w:r>
      <w:r w:rsidR="00D04AA1">
        <w:t xml:space="preserve">. </w:t>
      </w:r>
    </w:p>
    <w:p w:rsidR="008E3F2C" w:rsidRDefault="00E21E18" w:rsidP="00C52695">
      <w:r>
        <w:t>T</w:t>
      </w:r>
      <w:r w:rsidR="004D45D1">
        <w:t>wo</w:t>
      </w:r>
      <w:r w:rsidR="00D04AA1">
        <w:t xml:space="preserve"> businesses</w:t>
      </w:r>
      <w:r>
        <w:t xml:space="preserve">, </w:t>
      </w:r>
      <w:r w:rsidR="00C94140">
        <w:t>TasNetworks</w:t>
      </w:r>
      <w:r w:rsidR="00922C6D">
        <w:t>,</w:t>
      </w:r>
      <w:r>
        <w:t xml:space="preserve"> </w:t>
      </w:r>
      <w:r w:rsidR="004D45D1">
        <w:t xml:space="preserve">and </w:t>
      </w:r>
      <w:r w:rsidR="00C94140">
        <w:t>Powerlink</w:t>
      </w:r>
      <w:r w:rsidR="004D45D1">
        <w:t xml:space="preserve"> in these </w:t>
      </w:r>
      <w:r w:rsidR="005F4F09">
        <w:t>proposals</w:t>
      </w:r>
      <w:r w:rsidR="00D04AA1">
        <w:t xml:space="preserve"> submitted a gamma estimate of 0.4</w:t>
      </w:r>
      <w:r w:rsidR="00C845C2">
        <w:t>,</w:t>
      </w:r>
      <w:r w:rsidR="00D04AA1">
        <w:t xml:space="preserve"> consistent with the AER's earlier decisions.</w:t>
      </w:r>
      <w:r>
        <w:rPr>
          <w:rStyle w:val="FootnoteReference"/>
        </w:rPr>
        <w:footnoteReference w:id="326"/>
      </w:r>
    </w:p>
    <w:p w:rsidR="008E3F2C" w:rsidRDefault="008E3F2C" w:rsidP="00E750F8">
      <w:pPr>
        <w:pStyle w:val="Heading9"/>
      </w:pPr>
      <w:bookmarkStart w:id="186" w:name="_Toc481061464"/>
      <w:r>
        <w:t>Ausgrid, Endeavour Energy, Essential Energy, ActewAGL, TransGrid, Directlink, Jemena Gas Networks</w:t>
      </w:r>
      <w:bookmarkEnd w:id="186"/>
    </w:p>
    <w:p w:rsidR="00C52695" w:rsidRPr="00883125" w:rsidRDefault="00C52695" w:rsidP="00C52695">
      <w:r w:rsidRPr="00883125">
        <w:t>In their revised proposals, Ausgrid, Endeavour Energy, Essential Energy, ActewAGL, TransGrid, Directlink and Jemena Gas Networks directly raised eight key concerns with our draft decisions released in 2014, which they characterised as errors.</w:t>
      </w:r>
      <w:r w:rsidRPr="00883125">
        <w:rPr>
          <w:rStyle w:val="FootnoteReference"/>
        </w:rPr>
        <w:footnoteReference w:id="327"/>
      </w:r>
      <w:r w:rsidRPr="00883125">
        <w:t xml:space="preserve"> Below we set out each of these and identify where we have responded to each of these eight key concerns in this </w:t>
      </w:r>
      <w:r w:rsidR="00022C1D">
        <w:t>final</w:t>
      </w:r>
      <w:r w:rsidR="00022C1D" w:rsidRPr="00883125">
        <w:t xml:space="preserve"> </w:t>
      </w:r>
      <w:r w:rsidRPr="00883125">
        <w:t>decision.</w:t>
      </w:r>
    </w:p>
    <w:p w:rsidR="00C52695" w:rsidRPr="001D37D5" w:rsidRDefault="00C52695" w:rsidP="00C52695">
      <w:pPr>
        <w:pStyle w:val="AERbulletlistfirststyle"/>
      </w:pPr>
      <w:r w:rsidRPr="00883125">
        <w:rPr>
          <w:rStyle w:val="AERtextitalic"/>
        </w:rPr>
        <w:t>Our definition of the utilisation rate is conceptually incorrect and inconsistent with the requirements of the NER/NGR</w:t>
      </w:r>
      <w:r w:rsidRPr="001D37D5">
        <w:t xml:space="preserve">—our understanding of the utilisation rate (and the value of imputation credits more broadly) is discussed in sections </w:t>
      </w:r>
      <w:r w:rsidRPr="001D37D5">
        <w:fldChar w:fldCharType="begin"/>
      </w:r>
      <w:r w:rsidRPr="001D37D5">
        <w:instrText xml:space="preserve"> REF _Ref416802459 \r \h </w:instrText>
      </w:r>
      <w:r w:rsidRPr="001D37D5">
        <w:fldChar w:fldCharType="separate"/>
      </w:r>
      <w:r w:rsidR="00812A72">
        <w:t>4.3.1</w:t>
      </w:r>
      <w:r w:rsidRPr="001D37D5">
        <w:fldChar w:fldCharType="end"/>
      </w:r>
      <w:r w:rsidRPr="001D37D5">
        <w:t xml:space="preserve">, </w:t>
      </w:r>
      <w:r w:rsidRPr="001D37D5">
        <w:fldChar w:fldCharType="begin"/>
      </w:r>
      <w:r w:rsidRPr="001D37D5">
        <w:instrText xml:space="preserve"> REF _Ref415048973 \r \h </w:instrText>
      </w:r>
      <w:r w:rsidRPr="001D37D5">
        <w:fldChar w:fldCharType="separate"/>
      </w:r>
      <w:r w:rsidR="00812A72">
        <w:t>4.3.6</w:t>
      </w:r>
      <w:r w:rsidRPr="001D37D5">
        <w:fldChar w:fldCharType="end"/>
      </w:r>
      <w:r w:rsidRPr="001D37D5">
        <w:t>,</w:t>
      </w:r>
      <w:r w:rsidRPr="001D37D5">
        <w:fldChar w:fldCharType="begin"/>
      </w:r>
      <w:r w:rsidRPr="001D37D5">
        <w:instrText xml:space="preserve"> REF _Ref415144114 \r \h </w:instrText>
      </w:r>
      <w:r w:rsidRPr="001D37D5">
        <w:fldChar w:fldCharType="separate"/>
      </w:r>
      <w:r w:rsidR="00812A72">
        <w:t>A.5</w:t>
      </w:r>
      <w:r w:rsidRPr="001D37D5">
        <w:fldChar w:fldCharType="end"/>
      </w:r>
      <w:r w:rsidRPr="001D37D5">
        <w:t xml:space="preserve">, </w:t>
      </w:r>
      <w:r w:rsidRPr="001D37D5">
        <w:fldChar w:fldCharType="begin"/>
      </w:r>
      <w:r w:rsidRPr="001D37D5">
        <w:instrText xml:space="preserve"> REF _Ref400965182 \r \h </w:instrText>
      </w:r>
      <w:r w:rsidRPr="001D37D5">
        <w:fldChar w:fldCharType="separate"/>
      </w:r>
      <w:r w:rsidR="00812A72">
        <w:t>A.6</w:t>
      </w:r>
      <w:r w:rsidRPr="001D37D5">
        <w:fldChar w:fldCharType="end"/>
      </w:r>
      <w:r w:rsidRPr="001D37D5">
        <w:t xml:space="preserve">, and </w:t>
      </w:r>
      <w:r w:rsidRPr="001D37D5">
        <w:fldChar w:fldCharType="begin"/>
      </w:r>
      <w:r w:rsidRPr="001D37D5">
        <w:instrText xml:space="preserve"> REF _Ref414282622 \r \h </w:instrText>
      </w:r>
      <w:r w:rsidRPr="001D37D5">
        <w:fldChar w:fldCharType="separate"/>
      </w:r>
      <w:r w:rsidR="00812A72">
        <w:t>A.7</w:t>
      </w:r>
      <w:r w:rsidRPr="001D37D5">
        <w:fldChar w:fldCharType="end"/>
      </w:r>
      <w:r w:rsidRPr="001D37D5">
        <w:t>. As shown there, our understanding is consistent with the theoretical framework that underpins the NER/NGR and is supported by expert advice from Handley and Lally.</w:t>
      </w:r>
    </w:p>
    <w:p w:rsidR="00C52695" w:rsidRPr="001D37D5" w:rsidRDefault="00C52695" w:rsidP="00C52695">
      <w:pPr>
        <w:pStyle w:val="AERbulletlistfirststyle"/>
      </w:pPr>
      <w:r w:rsidRPr="00883125">
        <w:t xml:space="preserve">We incorrectly use equity ownership rates as direct evidence of the value of distributed imputation credits—given our understanding of the utilisation rate, we set out in section </w:t>
      </w:r>
      <w:r w:rsidRPr="001D37D5">
        <w:fldChar w:fldCharType="begin"/>
      </w:r>
      <w:r w:rsidRPr="001D37D5">
        <w:instrText xml:space="preserve"> REF _Ref415049811 \r \h </w:instrText>
      </w:r>
      <w:r w:rsidRPr="001D37D5">
        <w:fldChar w:fldCharType="separate"/>
      </w:r>
      <w:r w:rsidR="00812A72">
        <w:t>A.12</w:t>
      </w:r>
      <w:r w:rsidRPr="001D37D5">
        <w:fldChar w:fldCharType="end"/>
      </w:r>
      <w:r w:rsidRPr="001D37D5">
        <w:t xml:space="preserve"> why the equity ownership approach provides a reasonable estimate.</w:t>
      </w:r>
    </w:p>
    <w:p w:rsidR="00C52695" w:rsidRPr="001D37D5" w:rsidRDefault="00C52695" w:rsidP="00C52695">
      <w:pPr>
        <w:pStyle w:val="AERbulletlistfirststyle"/>
      </w:pPr>
      <w:r w:rsidRPr="00883125">
        <w:t xml:space="preserve">The ranges we used for the equity ownership rate were not supported by the evidence in the draft decisions—as discussed in section </w:t>
      </w:r>
      <w:r w:rsidRPr="001D37D5">
        <w:fldChar w:fldCharType="begin"/>
      </w:r>
      <w:r w:rsidRPr="001D37D5">
        <w:instrText xml:space="preserve"> REF _Ref415049811 \r \h </w:instrText>
      </w:r>
      <w:r w:rsidRPr="001D37D5">
        <w:fldChar w:fldCharType="separate"/>
      </w:r>
      <w:r w:rsidR="00812A72">
        <w:t>A.12</w:t>
      </w:r>
      <w:r w:rsidRPr="001D37D5">
        <w:fldChar w:fldCharType="end"/>
      </w:r>
      <w:r w:rsidRPr="001D37D5">
        <w:t xml:space="preserve">, the service providers who raised this did not recognise that our ranges were based on the evidence from two alternative </w:t>
      </w:r>
      <w:r w:rsidRPr="001D37D5">
        <w:lastRenderedPageBreak/>
        <w:t xml:space="preserve">applications of the equity ownership approach. In this </w:t>
      </w:r>
      <w:r w:rsidR="00DE3646">
        <w:t xml:space="preserve">final </w:t>
      </w:r>
      <w:r w:rsidRPr="001D37D5">
        <w:t>decision, our ranges are primarily based on the application that was deemed more relevant by Handley, although we also have regard to the range for all equity implied by Lally's recommended estimate for the distribution rate and particularly his preferred point estimate for gamma of at least 0.5.</w:t>
      </w:r>
    </w:p>
    <w:p w:rsidR="00C52695" w:rsidRPr="001D37D5" w:rsidRDefault="00C52695" w:rsidP="00C52695">
      <w:pPr>
        <w:pStyle w:val="AERbulletlistfirststyle"/>
      </w:pPr>
      <w:r w:rsidRPr="00883125">
        <w:t xml:space="preserve">We incorrectly use tax statistics as direct evidence of the value of distributed imputation credits—given our understanding of the utilisation rate, we set out in section </w:t>
      </w:r>
      <w:r w:rsidRPr="001D37D5">
        <w:fldChar w:fldCharType="begin"/>
      </w:r>
      <w:r w:rsidRPr="001D37D5">
        <w:instrText xml:space="preserve"> REF _Ref402179420 \r \h </w:instrText>
      </w:r>
      <w:r w:rsidRPr="001D37D5">
        <w:fldChar w:fldCharType="separate"/>
      </w:r>
      <w:r w:rsidR="00812A72">
        <w:t>A.13</w:t>
      </w:r>
      <w:r w:rsidRPr="001D37D5">
        <w:fldChar w:fldCharType="end"/>
      </w:r>
      <w:r w:rsidRPr="001D37D5">
        <w:t xml:space="preserve"> why tax statistics provide a valid, albeit uncertain, estimate.</w:t>
      </w:r>
    </w:p>
    <w:p w:rsidR="00C52695" w:rsidRPr="001D37D5" w:rsidRDefault="00C52695" w:rsidP="00C52695">
      <w:pPr>
        <w:pStyle w:val="AERbulletlistfirststyle"/>
      </w:pPr>
      <w:r w:rsidRPr="00883125">
        <w:t xml:space="preserve">We incorrectly conclude that implied market value studies reflect factors that are not relevant to estimating the utilisation rate—given our understanding of the utilisation rate, we set out in sections </w:t>
      </w:r>
      <w:r w:rsidRPr="001D37D5">
        <w:fldChar w:fldCharType="begin"/>
      </w:r>
      <w:r w:rsidRPr="001D37D5">
        <w:instrText xml:space="preserve"> REF _Ref415065117 \r \h </w:instrText>
      </w:r>
      <w:r w:rsidRPr="001D37D5">
        <w:fldChar w:fldCharType="separate"/>
      </w:r>
      <w:r w:rsidR="00812A72">
        <w:t>A.15.4</w:t>
      </w:r>
      <w:r w:rsidRPr="001D37D5">
        <w:fldChar w:fldCharType="end"/>
      </w:r>
      <w:r w:rsidRPr="001D37D5">
        <w:t xml:space="preserve"> and </w:t>
      </w:r>
      <w:r w:rsidRPr="001D37D5">
        <w:fldChar w:fldCharType="begin"/>
      </w:r>
      <w:r w:rsidRPr="001D37D5">
        <w:instrText xml:space="preserve"> REF _Ref414624721 \r \h </w:instrText>
      </w:r>
      <w:r w:rsidRPr="001D37D5">
        <w:fldChar w:fldCharType="separate"/>
      </w:r>
      <w:r w:rsidR="00812A72">
        <w:t>A.15.5</w:t>
      </w:r>
      <w:r w:rsidRPr="001D37D5">
        <w:fldChar w:fldCharType="end"/>
      </w:r>
      <w:r w:rsidRPr="001D37D5">
        <w:t xml:space="preserve"> why the results of implied market value studies can reflect factors that are not relevant to the utilisation rate.</w:t>
      </w:r>
    </w:p>
    <w:p w:rsidR="00C52695" w:rsidRPr="001D37D5" w:rsidRDefault="00C52695" w:rsidP="00C52695">
      <w:pPr>
        <w:pStyle w:val="AERbulletlistfirststyle"/>
      </w:pPr>
      <w:r w:rsidRPr="00883125">
        <w:t>We erred by considering implied market value studies in a general manner rather than considering the merits of SFG's dividend drop off study—in section</w:t>
      </w:r>
      <w:r w:rsidRPr="001D37D5">
        <w:t xml:space="preserve">s </w:t>
      </w:r>
      <w:r w:rsidRPr="001D37D5">
        <w:fldChar w:fldCharType="begin"/>
      </w:r>
      <w:r w:rsidRPr="001D37D5">
        <w:instrText xml:space="preserve"> REF _Ref450761230 \r \h </w:instrText>
      </w:r>
      <w:r w:rsidRPr="001D37D5">
        <w:fldChar w:fldCharType="separate"/>
      </w:r>
      <w:r w:rsidR="00812A72">
        <w:t>4.4.1</w:t>
      </w:r>
      <w:r w:rsidRPr="001D37D5">
        <w:fldChar w:fldCharType="end"/>
      </w:r>
      <w:r w:rsidRPr="001D37D5">
        <w:t xml:space="preserve"> and </w:t>
      </w:r>
      <w:r w:rsidRPr="001D37D5">
        <w:fldChar w:fldCharType="begin"/>
      </w:r>
      <w:r w:rsidRPr="001D37D5">
        <w:instrText xml:space="preserve"> REF _Ref451267696 \r \h </w:instrText>
      </w:r>
      <w:r w:rsidRPr="001D37D5">
        <w:fldChar w:fldCharType="separate"/>
      </w:r>
      <w:r w:rsidR="00812A72">
        <w:t>A.15</w:t>
      </w:r>
      <w:r w:rsidRPr="001D37D5">
        <w:fldChar w:fldCharType="end"/>
      </w:r>
      <w:r w:rsidRPr="001D37D5">
        <w:t xml:space="preserve"> we set out a list of limitations that can apply to implied market value studies, and in section </w:t>
      </w:r>
      <w:r w:rsidRPr="001D37D5">
        <w:fldChar w:fldCharType="begin"/>
      </w:r>
      <w:r w:rsidRPr="001D37D5">
        <w:instrText xml:space="preserve"> REF _Ref414624721 \r \h </w:instrText>
      </w:r>
      <w:r w:rsidRPr="001D37D5">
        <w:fldChar w:fldCharType="separate"/>
      </w:r>
      <w:r w:rsidR="00812A72">
        <w:t>A.15.5</w:t>
      </w:r>
      <w:r w:rsidRPr="001D37D5">
        <w:fldChar w:fldCharType="end"/>
      </w:r>
      <w:r w:rsidRPr="001D37D5">
        <w:t xml:space="preserve"> we conclude that that there is reasonable evidence to suggest that several of these limitations apply to SFG's dividend drop off study. In sections </w:t>
      </w:r>
      <w:r w:rsidRPr="001D37D5">
        <w:fldChar w:fldCharType="begin"/>
      </w:r>
      <w:r w:rsidRPr="001D37D5">
        <w:instrText xml:space="preserve"> REF _Ref450761230 \r \h </w:instrText>
      </w:r>
      <w:r w:rsidRPr="001D37D5">
        <w:fldChar w:fldCharType="separate"/>
      </w:r>
      <w:r w:rsidR="00812A72">
        <w:t>4.4.1</w:t>
      </w:r>
      <w:r w:rsidRPr="001D37D5">
        <w:fldChar w:fldCharType="end"/>
      </w:r>
      <w:r w:rsidRPr="001D37D5">
        <w:t xml:space="preserve">and </w:t>
      </w:r>
      <w:r w:rsidRPr="001D37D5">
        <w:fldChar w:fldCharType="begin"/>
      </w:r>
      <w:r w:rsidRPr="001D37D5">
        <w:instrText xml:space="preserve"> REF _Ref451267729 \r \h </w:instrText>
      </w:r>
      <w:r w:rsidRPr="001D37D5">
        <w:fldChar w:fldCharType="separate"/>
      </w:r>
      <w:r w:rsidR="00812A72">
        <w:t>A.15</w:t>
      </w:r>
      <w:r w:rsidRPr="001D37D5">
        <w:fldChar w:fldCharType="end"/>
      </w:r>
      <w:r w:rsidRPr="001D37D5">
        <w:t xml:space="preserve"> we also refer to the issues raised by Lally in relation to SFG's dividend drop off study, and McKenzie and Partington's view that there is no obvious manner in which to weigh the results from various implied market value studies based on their characteristics. In section </w:t>
      </w:r>
      <w:r w:rsidRPr="001D37D5">
        <w:fldChar w:fldCharType="begin"/>
      </w:r>
      <w:r w:rsidRPr="001D37D5">
        <w:instrText xml:space="preserve"> REF _Ref451267750 \r \h </w:instrText>
      </w:r>
      <w:r w:rsidRPr="001D37D5">
        <w:fldChar w:fldCharType="separate"/>
      </w:r>
      <w:r w:rsidR="00812A72">
        <w:t>A.15</w:t>
      </w:r>
      <w:r w:rsidRPr="001D37D5">
        <w:fldChar w:fldCharType="end"/>
      </w:r>
      <w:r w:rsidRPr="001D37D5">
        <w:t xml:space="preserve"> we set out statements from experts and other regulators on the limitations of dividend drop off studies. All but one of these statements occurred after the development of SFG's dividend drop off study.</w:t>
      </w:r>
    </w:p>
    <w:p w:rsidR="00C52695" w:rsidRPr="001D37D5" w:rsidRDefault="00C52695" w:rsidP="00C52695">
      <w:pPr>
        <w:pStyle w:val="AERbulletlistfirststyle"/>
      </w:pPr>
      <w:r w:rsidRPr="00883125">
        <w:t xml:space="preserve">It was neither necessary nor appropriate for us to identify a distribution rate for only listed equity—in sections </w:t>
      </w:r>
      <w:r w:rsidRPr="001D37D5">
        <w:fldChar w:fldCharType="begin"/>
      </w:r>
      <w:r w:rsidRPr="001D37D5">
        <w:instrText xml:space="preserve"> REF _Ref451790065 \r \h </w:instrText>
      </w:r>
      <w:r w:rsidRPr="001D37D5">
        <w:fldChar w:fldCharType="separate"/>
      </w:r>
      <w:r w:rsidR="00812A72">
        <w:t>A.9</w:t>
      </w:r>
      <w:r w:rsidRPr="001D37D5">
        <w:fldChar w:fldCharType="end"/>
      </w:r>
      <w:r w:rsidRPr="001D37D5">
        <w:t xml:space="preserve"> and </w:t>
      </w:r>
      <w:r w:rsidRPr="001D37D5">
        <w:fldChar w:fldCharType="begin"/>
      </w:r>
      <w:r w:rsidRPr="001D37D5">
        <w:instrText xml:space="preserve"> REF _Ref414289334 \r \h </w:instrText>
      </w:r>
      <w:r w:rsidRPr="001D37D5">
        <w:fldChar w:fldCharType="separate"/>
      </w:r>
      <w:r w:rsidR="00812A72">
        <w:t>A.10.1</w:t>
      </w:r>
      <w:r w:rsidRPr="001D37D5">
        <w:fldChar w:fldCharType="end"/>
      </w:r>
      <w:r w:rsidR="00922C6D">
        <w:t xml:space="preserve"> this is further discussed.</w:t>
      </w:r>
    </w:p>
    <w:p w:rsidR="00C52695" w:rsidRPr="001D37D5" w:rsidRDefault="00C52695" w:rsidP="00C52695">
      <w:pPr>
        <w:pStyle w:val="AERbulletlistfirststyle"/>
      </w:pPr>
      <w:r w:rsidRPr="00883125">
        <w:t xml:space="preserve">Our ultimate conclusion as to the value of imputation credits was inconsistent with the evidence presented in </w:t>
      </w:r>
      <w:r w:rsidRPr="001D37D5">
        <w:t xml:space="preserve">our recent decisions—as set out in section </w:t>
      </w:r>
      <w:r w:rsidR="008E3F2C">
        <w:fldChar w:fldCharType="begin"/>
      </w:r>
      <w:r w:rsidR="008E3F2C">
        <w:instrText xml:space="preserve"> REF _Ref476565842 \r \h </w:instrText>
      </w:r>
      <w:r w:rsidR="008E3F2C">
        <w:fldChar w:fldCharType="separate"/>
      </w:r>
      <w:r w:rsidR="00812A72">
        <w:t>4.4</w:t>
      </w:r>
      <w:r w:rsidR="008E3F2C">
        <w:fldChar w:fldCharType="end"/>
      </w:r>
      <w:r w:rsidRPr="001D37D5">
        <w:t>, the evidence presented in this</w:t>
      </w:r>
      <w:r>
        <w:t xml:space="preserve"> </w:t>
      </w:r>
      <w:r w:rsidR="00DE3646">
        <w:t>final</w:t>
      </w:r>
      <w:r w:rsidR="00DE3646" w:rsidRPr="001D37D5">
        <w:t xml:space="preserve"> </w:t>
      </w:r>
      <w:r w:rsidRPr="001D37D5">
        <w:t>decision suggests that a reasonable estimate for the value of imputation credits is within the range 0.3 to 0.5. Our estimate of 0.4 is within this range.</w:t>
      </w:r>
    </w:p>
    <w:p w:rsidR="008E3F2C" w:rsidRPr="008E3F2C" w:rsidRDefault="008E3F2C" w:rsidP="008E3F2C">
      <w:pPr>
        <w:pStyle w:val="Heading9"/>
      </w:pPr>
      <w:bookmarkStart w:id="187" w:name="_Toc481061465"/>
      <w:r>
        <w:t>SA Power Networks, Ergon Energy, Energex</w:t>
      </w:r>
      <w:bookmarkEnd w:id="187"/>
    </w:p>
    <w:p w:rsidR="00C52695" w:rsidRPr="00883125" w:rsidRDefault="00C52695" w:rsidP="00C52695">
      <w:pPr>
        <w:rPr>
          <w:rStyle w:val="AERbody"/>
        </w:rPr>
      </w:pPr>
      <w:r w:rsidRPr="00883125">
        <w:rPr>
          <w:rStyle w:val="AERbody"/>
        </w:rPr>
        <w:t>In the revised regulatory proposals of SA Power Networks, Ergon</w:t>
      </w:r>
      <w:r>
        <w:rPr>
          <w:rStyle w:val="AERbody"/>
        </w:rPr>
        <w:t xml:space="preserve"> Energy</w:t>
      </w:r>
      <w:r w:rsidRPr="00883125">
        <w:rPr>
          <w:rStyle w:val="AERbody"/>
        </w:rPr>
        <w:t xml:space="preserve">, and </w:t>
      </w:r>
      <w:r>
        <w:rPr>
          <w:rStyle w:val="AERbody"/>
        </w:rPr>
        <w:t>Energex submitted in July 2015</w:t>
      </w:r>
      <w:r w:rsidRPr="00883125">
        <w:rPr>
          <w:rStyle w:val="AERbody"/>
        </w:rPr>
        <w:t>, two issues were raised as the key issues in dispute.</w:t>
      </w:r>
      <w:r w:rsidRPr="00883125">
        <w:rPr>
          <w:rStyle w:val="FootnoteReference"/>
        </w:rPr>
        <w:footnoteReference w:id="328"/>
      </w:r>
      <w:r w:rsidRPr="00883125">
        <w:rPr>
          <w:rStyle w:val="AERbody"/>
        </w:rPr>
        <w:t xml:space="preserve"> These issues were also raised in Gray's June 2015 report (for Frontier</w:t>
      </w:r>
      <w:r w:rsidR="00C845C2">
        <w:rPr>
          <w:rStyle w:val="AERbody"/>
        </w:rPr>
        <w:t>)</w:t>
      </w:r>
      <w:r>
        <w:rPr>
          <w:rStyle w:val="AERbody"/>
        </w:rPr>
        <w:t>. These issues are</w:t>
      </w:r>
      <w:r w:rsidRPr="00883125">
        <w:rPr>
          <w:rStyle w:val="AERbody"/>
        </w:rPr>
        <w:t>:</w:t>
      </w:r>
    </w:p>
    <w:p w:rsidR="00C52695" w:rsidRPr="001D37D5" w:rsidRDefault="00C52695" w:rsidP="00C52695">
      <w:pPr>
        <w:pStyle w:val="AERbulletlistfirststyle"/>
      </w:pPr>
      <w:r w:rsidRPr="005764F6">
        <w:lastRenderedPageBreak/>
        <w:t>The first key point of difference is conceptually whether theta should be interpreted as the value of distributed credits, or the redemption proportion. The service providers consider that if their value interpretation is adopted then you must use estimates that measure the value of distributed credits (such as dividend drop-off studies).</w:t>
      </w:r>
      <w:r w:rsidRPr="00424DF1">
        <w:rPr>
          <w:rStyle w:val="FootnoteReference"/>
        </w:rPr>
        <w:footnoteReference w:id="329"/>
      </w:r>
      <w:r w:rsidRPr="001D37D5">
        <w:t xml:space="preserve"> In sections </w:t>
      </w:r>
      <w:r w:rsidRPr="001D37D5">
        <w:fldChar w:fldCharType="begin"/>
      </w:r>
      <w:r w:rsidRPr="001D37D5">
        <w:instrText xml:space="preserve"> REF _Ref415144114 \r \h  \* MERGEFORMAT </w:instrText>
      </w:r>
      <w:r w:rsidRPr="001D37D5">
        <w:fldChar w:fldCharType="separate"/>
      </w:r>
      <w:r w:rsidR="00812A72">
        <w:t>A.5</w:t>
      </w:r>
      <w:r w:rsidRPr="001D37D5">
        <w:fldChar w:fldCharType="end"/>
      </w:r>
      <w:r w:rsidRPr="001D37D5">
        <w:t xml:space="preserve"> and </w:t>
      </w:r>
      <w:r w:rsidRPr="001D37D5">
        <w:fldChar w:fldCharType="begin"/>
      </w:r>
      <w:r w:rsidRPr="001D37D5">
        <w:instrText xml:space="preserve"> REF _Ref401748758 \r \h  \* MERGEFORMAT </w:instrText>
      </w:r>
      <w:r w:rsidRPr="001D37D5">
        <w:fldChar w:fldCharType="separate"/>
      </w:r>
      <w:r w:rsidR="00812A72">
        <w:t>A.8.1</w:t>
      </w:r>
      <w:r w:rsidRPr="001D37D5">
        <w:fldChar w:fldCharType="end"/>
      </w:r>
      <w:r w:rsidRPr="001D37D5">
        <w:t xml:space="preserve"> we explain why we consider the proportion of imputation credits distributed to shareholders eligible to utilise them is an appropriate measure of the value of imputation credits before personal taxes and transaction costs.</w:t>
      </w:r>
    </w:p>
    <w:p w:rsidR="00C52695" w:rsidRPr="001D37D5" w:rsidRDefault="00C52695" w:rsidP="00C52695">
      <w:pPr>
        <w:pStyle w:val="AERbulletlistfirststyle"/>
      </w:pPr>
      <w:r w:rsidRPr="005764F6">
        <w:t>The second key point of difference concerns the set of comparator businesses that should be used when estimating a benchmark distribution rate.</w:t>
      </w:r>
      <w:r w:rsidRPr="001D37D5">
        <w:rPr>
          <w:rStyle w:val="FootnoteReference"/>
        </w:rPr>
        <w:footnoteReference w:id="330"/>
      </w:r>
      <w:r w:rsidRPr="001D37D5">
        <w:t xml:space="preserve"> The service providers consider: firstly, we are incorrect to consider the same set of firms need to be used to estimate the distribution rate and to estimate the value of imputation credits; and secondly, we are incorrect to use a distribution rate from all listed equity of around 0.8</w:t>
      </w:r>
      <w:r w:rsidRPr="001D37D5">
        <w:rPr>
          <w:rStyle w:val="FootnoteReference"/>
        </w:rPr>
        <w:footnoteReference w:id="331"/>
      </w:r>
      <w:r w:rsidRPr="001D37D5">
        <w:t xml:space="preserve"> given our benchmark efficient network operator is a pure play wholly domestic business that is not necessarily stock market listed. We respond to these views in sections </w:t>
      </w:r>
      <w:r w:rsidRPr="001D37D5">
        <w:fldChar w:fldCharType="begin"/>
      </w:r>
      <w:r w:rsidRPr="001D37D5">
        <w:instrText xml:space="preserve"> REF _Ref451790065 \r \h  \* MERGEFORMAT </w:instrText>
      </w:r>
      <w:r w:rsidRPr="001D37D5">
        <w:fldChar w:fldCharType="separate"/>
      </w:r>
      <w:r w:rsidR="00812A72">
        <w:t>A.9</w:t>
      </w:r>
      <w:r w:rsidRPr="001D37D5">
        <w:fldChar w:fldCharType="end"/>
      </w:r>
      <w:r w:rsidRPr="001D37D5">
        <w:t xml:space="preserve"> and </w:t>
      </w:r>
      <w:r w:rsidRPr="001D37D5">
        <w:fldChar w:fldCharType="begin"/>
      </w:r>
      <w:r w:rsidRPr="001D37D5">
        <w:instrText xml:space="preserve"> REF _Ref401133206 \r \h  \* MERGEFORMAT </w:instrText>
      </w:r>
      <w:r w:rsidRPr="001D37D5">
        <w:fldChar w:fldCharType="separate"/>
      </w:r>
      <w:r w:rsidR="00812A72">
        <w:t>A.10</w:t>
      </w:r>
      <w:r w:rsidRPr="001D37D5">
        <w:fldChar w:fldCharType="end"/>
      </w:r>
      <w:r w:rsidRPr="001D37D5">
        <w:t>.</w:t>
      </w:r>
    </w:p>
    <w:p w:rsidR="00C52695" w:rsidRPr="00883125" w:rsidRDefault="00C52695" w:rsidP="00C52695">
      <w:pPr>
        <w:rPr>
          <w:rStyle w:val="AERbody"/>
        </w:rPr>
      </w:pPr>
      <w:r w:rsidRPr="00883125">
        <w:rPr>
          <w:rStyle w:val="AERbody"/>
        </w:rPr>
        <w:t xml:space="preserve">We note that both of these points of difference were considered in our decisions released in April and June 2015 and also considered by Handley who supported our approach. </w:t>
      </w:r>
      <w:r>
        <w:rPr>
          <w:rStyle w:val="AERbody"/>
        </w:rPr>
        <w:t>We also note Lally's advice recommends a distribution rate for listed equity estimated from the financial reports of the top 20 listed firms. It also implies matching distribution and utilisation rates based on the dataset used is likely to result in an underestimate of gamma (given his recommended values for the distribution rate and utilisation rate).</w:t>
      </w:r>
      <w:r>
        <w:rPr>
          <w:rStyle w:val="FootnoteReference"/>
        </w:rPr>
        <w:footnoteReference w:id="332"/>
      </w:r>
      <w:r>
        <w:rPr>
          <w:rStyle w:val="AERbody"/>
        </w:rPr>
        <w:t xml:space="preserve"> </w:t>
      </w:r>
    </w:p>
    <w:p w:rsidR="00F809D6" w:rsidRPr="00F809D6" w:rsidRDefault="00651C88" w:rsidP="00F809D6">
      <w:pPr>
        <w:pStyle w:val="Heading9"/>
      </w:pPr>
      <w:bookmarkStart w:id="188" w:name="_Toc481061466"/>
      <w:r>
        <w:t>Australian Gas Networks, ActewAGL, AusNet Services, CitiPower, Jemena Electricity, United Energy, Powercor</w:t>
      </w:r>
      <w:bookmarkEnd w:id="188"/>
    </w:p>
    <w:p w:rsidR="00651C88" w:rsidRPr="00651C88" w:rsidRDefault="00651C88" w:rsidP="00651C88">
      <w:pPr>
        <w:rPr>
          <w:rStyle w:val="AERbody"/>
        </w:rPr>
      </w:pPr>
      <w:r w:rsidRPr="00651C88">
        <w:rPr>
          <w:rStyle w:val="AERbody"/>
        </w:rPr>
        <w:t xml:space="preserve">In the revised regulatory proposals of </w:t>
      </w:r>
      <w:r>
        <w:rPr>
          <w:rStyle w:val="AERbody"/>
        </w:rPr>
        <w:t xml:space="preserve">Australian Gas Network, ActewAGL, AusNet Services, CitiPower, Jemena Electricity, United Energy and Powercor, </w:t>
      </w:r>
      <w:r w:rsidRPr="00651C88">
        <w:rPr>
          <w:rStyle w:val="AERbody"/>
        </w:rPr>
        <w:t>a number of key 'second order' differences of view have been identified:</w:t>
      </w:r>
    </w:p>
    <w:p w:rsidR="00651C88" w:rsidRPr="00651C88" w:rsidRDefault="00651C88" w:rsidP="00651C88">
      <w:pPr>
        <w:pStyle w:val="AERbulletlistfirststyle"/>
      </w:pPr>
      <w:r w:rsidRPr="00651C88">
        <w:t>A redemption rate study can only provide an upper bound for estimating theta.</w:t>
      </w:r>
      <w:r w:rsidRPr="00651C88">
        <w:rPr>
          <w:rStyle w:val="FootnoteReference"/>
        </w:rPr>
        <w:footnoteReference w:id="333"/>
      </w:r>
      <w:r w:rsidRPr="00651C88">
        <w:t xml:space="preserve"> In section </w:t>
      </w:r>
      <w:r w:rsidRPr="00651C88">
        <w:fldChar w:fldCharType="begin"/>
      </w:r>
      <w:r w:rsidRPr="00651C88">
        <w:instrText xml:space="preserve"> REF _Ref414099389 \r \h  \* MERGEFORMAT </w:instrText>
      </w:r>
      <w:r w:rsidRPr="00651C88">
        <w:fldChar w:fldCharType="separate"/>
      </w:r>
      <w:r w:rsidR="00812A72">
        <w:t>A.8.3</w:t>
      </w:r>
      <w:r w:rsidRPr="00651C88">
        <w:fldChar w:fldCharType="end"/>
      </w:r>
      <w:r w:rsidR="00922C6D">
        <w:t xml:space="preserve"> we consider this further.</w:t>
      </w:r>
    </w:p>
    <w:p w:rsidR="00651C88" w:rsidRPr="00651C88" w:rsidRDefault="00651C88" w:rsidP="00651C88">
      <w:pPr>
        <w:pStyle w:val="AERbulletlistfirststyle"/>
      </w:pPr>
      <w:r w:rsidRPr="00651C88">
        <w:lastRenderedPageBreak/>
        <w:t>The criticisms of Gray and Hall's dividend drop-off work is not reasonable.</w:t>
      </w:r>
      <w:r w:rsidRPr="00651C88">
        <w:rPr>
          <w:rStyle w:val="FootnoteReference"/>
        </w:rPr>
        <w:footnoteReference w:id="334"/>
      </w:r>
      <w:r w:rsidRPr="00651C88">
        <w:t xml:space="preserve"> We discuss the limitations of dividend drop off studies and which of these apply to the SFG dividend drop off study in section </w:t>
      </w:r>
      <w:r w:rsidRPr="00651C88">
        <w:fldChar w:fldCharType="begin"/>
      </w:r>
      <w:r w:rsidRPr="00651C88">
        <w:instrText xml:space="preserve"> REF _Ref414624721 \r \h  \* MERGEFORMAT </w:instrText>
      </w:r>
      <w:r w:rsidRPr="00651C88">
        <w:fldChar w:fldCharType="separate"/>
      </w:r>
      <w:r w:rsidR="00812A72">
        <w:t>A.15.5</w:t>
      </w:r>
      <w:r w:rsidRPr="00651C88">
        <w:fldChar w:fldCharType="end"/>
      </w:r>
      <w:r w:rsidRPr="00651C88">
        <w:t>.</w:t>
      </w:r>
    </w:p>
    <w:p w:rsidR="00651C88" w:rsidRPr="00651C88" w:rsidRDefault="00651C88" w:rsidP="00651C88">
      <w:pPr>
        <w:rPr>
          <w:rStyle w:val="AERbody"/>
        </w:rPr>
      </w:pPr>
      <w:r w:rsidRPr="00651C88">
        <w:rPr>
          <w:rStyle w:val="AERbody"/>
        </w:rPr>
        <w:t>We note the primary and second order differences of view identified above d</w:t>
      </w:r>
      <w:r w:rsidR="005F4F09">
        <w:rPr>
          <w:rStyle w:val="AERbody"/>
        </w:rPr>
        <w:t>id</w:t>
      </w:r>
      <w:r w:rsidRPr="00651C88">
        <w:rPr>
          <w:rStyle w:val="AERbody"/>
        </w:rPr>
        <w:t xml:space="preserve"> not appear to be new issues and largely overlap</w:t>
      </w:r>
      <w:r w:rsidR="005F4F09">
        <w:rPr>
          <w:rStyle w:val="AERbody"/>
        </w:rPr>
        <w:t>ped</w:t>
      </w:r>
      <w:r w:rsidRPr="00651C88">
        <w:rPr>
          <w:rStyle w:val="AERbody"/>
        </w:rPr>
        <w:t xml:space="preserve"> with the eight key concerns that service providers ha</w:t>
      </w:r>
      <w:r w:rsidR="005F4F09">
        <w:rPr>
          <w:rStyle w:val="AERbody"/>
        </w:rPr>
        <w:t>d</w:t>
      </w:r>
      <w:r w:rsidRPr="00651C88">
        <w:rPr>
          <w:rStyle w:val="AERbody"/>
        </w:rPr>
        <w:t xml:space="preserve"> raised previously. Having considered the</w:t>
      </w:r>
      <w:r w:rsidR="005F4F09">
        <w:rPr>
          <w:rStyle w:val="AERbody"/>
        </w:rPr>
        <w:t>se</w:t>
      </w:r>
      <w:r w:rsidRPr="00651C88">
        <w:rPr>
          <w:rStyle w:val="AERbody"/>
        </w:rPr>
        <w:t xml:space="preserve"> revised proposals</w:t>
      </w:r>
      <w:r w:rsidR="005F4F09">
        <w:rPr>
          <w:rStyle w:val="AERbody"/>
        </w:rPr>
        <w:t xml:space="preserve"> and</w:t>
      </w:r>
      <w:r w:rsidRPr="00651C88">
        <w:rPr>
          <w:rStyle w:val="AERbody"/>
        </w:rPr>
        <w:t xml:space="preserve"> the new experts' reports since our 2015 JGN decision, we remain</w:t>
      </w:r>
      <w:r w:rsidR="005F4F09">
        <w:rPr>
          <w:rStyle w:val="AERbody"/>
        </w:rPr>
        <w:t>ed</w:t>
      </w:r>
      <w:r w:rsidRPr="00651C88">
        <w:rPr>
          <w:rStyle w:val="AERbody"/>
        </w:rPr>
        <w:t xml:space="preserve"> of the view that a gamma value of 0.4 </w:t>
      </w:r>
      <w:r w:rsidR="005F4F09">
        <w:rPr>
          <w:rStyle w:val="AERbody"/>
        </w:rPr>
        <w:t>wa</w:t>
      </w:r>
      <w:r w:rsidRPr="00651C88">
        <w:rPr>
          <w:rStyle w:val="AERbody"/>
        </w:rPr>
        <w:t>s appropriate.</w:t>
      </w:r>
    </w:p>
    <w:p w:rsidR="00651C88" w:rsidRPr="00651C88" w:rsidRDefault="00651C88" w:rsidP="00651C88">
      <w:r w:rsidRPr="00651C88">
        <w:t>In their revised proposals, these service providers ha</w:t>
      </w:r>
      <w:r w:rsidR="005F4F09">
        <w:t>d</w:t>
      </w:r>
      <w:r w:rsidRPr="00651C88">
        <w:t xml:space="preserve"> broadly not submitted anything new. Besides a new report by Frontier Economics, which presented no substantive new arguments, the</w:t>
      </w:r>
      <w:r w:rsidR="005F4F09">
        <w:t>se</w:t>
      </w:r>
      <w:r w:rsidRPr="00651C88">
        <w:t xml:space="preserve"> service providers submitted essentially the same arguments that were considered in our decisions released in October and November 2015. Overall the</w:t>
      </w:r>
      <w:r w:rsidR="005F4F09">
        <w:t>se</w:t>
      </w:r>
      <w:r w:rsidRPr="00651C88">
        <w:t xml:space="preserve"> service providers propose a gamma estimate of 0.25 which is based on a 0.35 utilisation rate from the SFG dividend drop off study and an all equity distribution rate of 0.7.</w:t>
      </w:r>
      <w:r w:rsidRPr="00651C88">
        <w:rPr>
          <w:rStyle w:val="FootnoteReference"/>
        </w:rPr>
        <w:footnoteReference w:id="335"/>
      </w:r>
      <w:r w:rsidRPr="00651C88">
        <w:t xml:space="preserve"> </w:t>
      </w:r>
    </w:p>
    <w:p w:rsidR="00651C88" w:rsidRPr="00651C88" w:rsidRDefault="00651C88" w:rsidP="00651C88">
      <w:r w:rsidRPr="00651C88">
        <w:t xml:space="preserve">As a high level summary of the revised proposals, </w:t>
      </w:r>
      <w:r w:rsidR="005F4F09">
        <w:t xml:space="preserve">these </w:t>
      </w:r>
      <w:r w:rsidRPr="00651C88">
        <w:t>service providers submitted:</w:t>
      </w:r>
    </w:p>
    <w:p w:rsidR="00651C88" w:rsidRPr="00651C88" w:rsidRDefault="00651C88" w:rsidP="00651C88">
      <w:pPr>
        <w:pStyle w:val="AERbulletlistfirststyle"/>
        <w:rPr>
          <w:rStyle w:val="AERtexthighlight"/>
        </w:rPr>
      </w:pPr>
      <w:r w:rsidRPr="00651C88">
        <w:t>our approach to estimating gamma is premised on an incorrect interpretation of the NGR</w:t>
      </w:r>
      <w:r w:rsidRPr="00651C88">
        <w:rPr>
          <w:rStyle w:val="FootnoteReference"/>
        </w:rPr>
        <w:footnoteReference w:id="336"/>
      </w:r>
    </w:p>
    <w:p w:rsidR="00651C88" w:rsidRPr="00651C88" w:rsidRDefault="00651C88" w:rsidP="00651C88">
      <w:pPr>
        <w:pStyle w:val="AERbulletlistfirststyle"/>
        <w:rPr>
          <w:rStyle w:val="AERtexthighlight"/>
        </w:rPr>
      </w:pPr>
      <w:r w:rsidRPr="00651C88">
        <w:t>both the equity ownership value and taxation statistics can be no more than an upper bound for the utilisation rate</w:t>
      </w:r>
      <w:r w:rsidRPr="00651C88">
        <w:rPr>
          <w:rStyle w:val="FootnoteReference"/>
        </w:rPr>
        <w:footnoteReference w:id="337"/>
      </w:r>
    </w:p>
    <w:p w:rsidR="00651C88" w:rsidRPr="00651C88" w:rsidRDefault="00651C88" w:rsidP="00651C88">
      <w:pPr>
        <w:pStyle w:val="AERbulletlistfirststyle"/>
        <w:rPr>
          <w:rStyle w:val="AERtexthighlight"/>
        </w:rPr>
      </w:pPr>
      <w:r w:rsidRPr="00651C88">
        <w:lastRenderedPageBreak/>
        <w:t>market value studies are direct evidence of the value of imputation credits to investors—we have erred in concluding that market value studies reflect factors such as differential personal taxes and risk which are not relevant to the task of measuring the utilisation rate</w:t>
      </w:r>
      <w:r w:rsidRPr="00651C88">
        <w:rPr>
          <w:rStyle w:val="FootnoteReference"/>
        </w:rPr>
        <w:footnoteReference w:id="338"/>
      </w:r>
    </w:p>
    <w:p w:rsidR="00651C88" w:rsidRPr="00651C88" w:rsidRDefault="00651C88" w:rsidP="00651C88">
      <w:pPr>
        <w:pStyle w:val="AERbulletlistfirststyle"/>
        <w:rPr>
          <w:rStyle w:val="AERtexthighlight"/>
        </w:rPr>
      </w:pPr>
      <w:r w:rsidRPr="00651C88">
        <w:t>we incorrectly assume that estimates of the utilisation rate from listed equity (all equity) can only be combined with estimates distribution rate from listed equity (all equity)</w:t>
      </w:r>
      <w:r w:rsidRPr="00651C88">
        <w:rPr>
          <w:rStyle w:val="FootnoteReference"/>
        </w:rPr>
        <w:footnoteReference w:id="339"/>
      </w:r>
      <w:r w:rsidRPr="00651C88">
        <w:rPr>
          <w:rStyle w:val="AERtexthighlight"/>
        </w:rPr>
        <w:t xml:space="preserve"> </w:t>
      </w:r>
    </w:p>
    <w:p w:rsidR="00651C88" w:rsidRDefault="00651C88" w:rsidP="00651C88">
      <w:pPr>
        <w:pStyle w:val="AERbulletlistfirststyle"/>
      </w:pPr>
      <w:r w:rsidRPr="00651C88">
        <w:t>under our interpretation of the NGR, our gamma estimate cannot be supported as the pre-personal cost estimate of the utilisation rate is approximately 0.3.</w:t>
      </w:r>
      <w:r w:rsidRPr="00651C88">
        <w:rPr>
          <w:rStyle w:val="FootnoteReference"/>
        </w:rPr>
        <w:footnoteReference w:id="340"/>
      </w:r>
    </w:p>
    <w:p w:rsidR="00DE3646" w:rsidRDefault="00B64DFC" w:rsidP="00E750F8">
      <w:pPr>
        <w:pStyle w:val="AERbulletlistfirststyle"/>
      </w:pPr>
      <w:r>
        <w:t>These point</w:t>
      </w:r>
      <w:r w:rsidR="00B330D7">
        <w:t>s</w:t>
      </w:r>
      <w:r>
        <w:t xml:space="preserve"> largely</w:t>
      </w:r>
      <w:r w:rsidR="00B330D7">
        <w:t xml:space="preserve"> reflect</w:t>
      </w:r>
      <w:r>
        <w:t xml:space="preserve"> the same</w:t>
      </w:r>
      <w:r w:rsidR="00B330D7">
        <w:t xml:space="preserve"> issues that were submitted</w:t>
      </w:r>
      <w:r>
        <w:t xml:space="preserve"> by regulated businesses in earlier regulatory proposals.</w:t>
      </w:r>
    </w:p>
    <w:p w:rsidR="00DE3646" w:rsidRDefault="00DE3646" w:rsidP="00DE3646">
      <w:pPr>
        <w:pStyle w:val="Heading9"/>
      </w:pPr>
      <w:bookmarkStart w:id="189" w:name="_Toc481061467"/>
      <w:r w:rsidRPr="00DE3646">
        <w:t xml:space="preserve">AusNet </w:t>
      </w:r>
      <w:r>
        <w:t>Transmission, TasNetworks</w:t>
      </w:r>
      <w:r w:rsidR="00EB0238">
        <w:t>, Powerlink</w:t>
      </w:r>
      <w:bookmarkEnd w:id="189"/>
    </w:p>
    <w:p w:rsidR="009900E7" w:rsidRPr="009900E7" w:rsidRDefault="009900E7" w:rsidP="00B330D7">
      <w:pPr>
        <w:rPr>
          <w:rStyle w:val="AERbody"/>
        </w:rPr>
      </w:pPr>
      <w:r w:rsidRPr="009900E7">
        <w:rPr>
          <w:rStyle w:val="AERbody"/>
        </w:rPr>
        <w:t>In the revised regulatory pr</w:t>
      </w:r>
      <w:r w:rsidR="00D7360C">
        <w:rPr>
          <w:rStyle w:val="AERbody"/>
        </w:rPr>
        <w:t>oposals of AusNet Transmission</w:t>
      </w:r>
      <w:r w:rsidRPr="009900E7">
        <w:rPr>
          <w:rStyle w:val="AERbody"/>
        </w:rPr>
        <w:t>, TasNetworks and Powerlink</w:t>
      </w:r>
      <w:r w:rsidR="005F4F09">
        <w:rPr>
          <w:rStyle w:val="AERbody"/>
        </w:rPr>
        <w:t xml:space="preserve"> we are considering currently</w:t>
      </w:r>
      <w:r w:rsidRPr="009900E7">
        <w:rPr>
          <w:rStyle w:val="AERbody"/>
        </w:rPr>
        <w:t xml:space="preserve">, </w:t>
      </w:r>
      <w:r w:rsidR="00231EA7">
        <w:t>three</w:t>
      </w:r>
      <w:r w:rsidRPr="009900E7">
        <w:rPr>
          <w:rStyle w:val="AERbody"/>
        </w:rPr>
        <w:t xml:space="preserve"> issues were raised as the key issues in dispute. These issues were also raised in the two Frontier reports submitted in September 2016.</w:t>
      </w:r>
      <w:r w:rsidR="00AC43D6">
        <w:rPr>
          <w:rStyle w:val="FootnoteReference"/>
        </w:rPr>
        <w:footnoteReference w:id="341"/>
      </w:r>
      <w:r w:rsidRPr="009900E7">
        <w:rPr>
          <w:rStyle w:val="AERbody"/>
        </w:rPr>
        <w:t xml:space="preserve"> These issues are:</w:t>
      </w:r>
    </w:p>
    <w:p w:rsidR="006C23B4" w:rsidRDefault="00AC43D6" w:rsidP="00231EA7">
      <w:pPr>
        <w:pStyle w:val="AERbulletlistfirststyle"/>
      </w:pPr>
      <w:r>
        <w:t xml:space="preserve">That using the most recent </w:t>
      </w:r>
      <w:r w:rsidR="00C4792B">
        <w:t xml:space="preserve">available </w:t>
      </w:r>
      <w:r>
        <w:t>data, dividend drop off studies still suggests a theta estimate of 0.35 remains appropriate.</w:t>
      </w:r>
      <w:r w:rsidR="00747414">
        <w:rPr>
          <w:rStyle w:val="FootnoteReference"/>
        </w:rPr>
        <w:footnoteReference w:id="342"/>
      </w:r>
      <w:r>
        <w:t xml:space="preserve"> </w:t>
      </w:r>
      <w:r w:rsidR="0085480B" w:rsidRPr="00E21E18">
        <w:rPr>
          <w:rStyle w:val="AERtexthighlight"/>
          <w:shd w:val="clear" w:color="auto" w:fill="auto"/>
        </w:rPr>
        <w:t xml:space="preserve">Lally has reviewed the updated SFG dividend </w:t>
      </w:r>
      <w:r w:rsidR="0085480B" w:rsidRPr="00E21E18">
        <w:rPr>
          <w:rStyle w:val="AERtexthighlight"/>
          <w:shd w:val="clear" w:color="auto" w:fill="auto"/>
        </w:rPr>
        <w:lastRenderedPageBreak/>
        <w:t xml:space="preserve">drop off estimate and </w:t>
      </w:r>
      <w:r w:rsidR="0085480B" w:rsidRPr="00E750F8">
        <w:rPr>
          <w:rStyle w:val="AERbody"/>
        </w:rPr>
        <w:t xml:space="preserve">considers </w:t>
      </w:r>
      <w:r w:rsidR="00A828D8" w:rsidRPr="00E750F8">
        <w:rPr>
          <w:rStyle w:val="AERbody"/>
        </w:rPr>
        <w:t>there are</w:t>
      </w:r>
      <w:r w:rsidR="0085480B" w:rsidRPr="00E21E18">
        <w:rPr>
          <w:rStyle w:val="AERtexthighlight"/>
          <w:shd w:val="clear" w:color="auto" w:fill="auto"/>
        </w:rPr>
        <w:t xml:space="preserve"> eleven </w:t>
      </w:r>
      <w:r w:rsidR="0085480B" w:rsidRPr="00590C66">
        <w:rPr>
          <w:rStyle w:val="AERtexthighlight"/>
          <w:shd w:val="clear" w:color="auto" w:fill="auto"/>
        </w:rPr>
        <w:t>issues that apply to the stu</w:t>
      </w:r>
      <w:r w:rsidR="0085480B" w:rsidRPr="005F4F09">
        <w:rPr>
          <w:rStyle w:val="AERtexthighlight"/>
          <w:shd w:val="clear" w:color="auto" w:fill="auto"/>
        </w:rPr>
        <w:t>dy.</w:t>
      </w:r>
      <w:r w:rsidR="00D7360C">
        <w:rPr>
          <w:rStyle w:val="FootnoteReference"/>
        </w:rPr>
        <w:footnoteReference w:id="343"/>
      </w:r>
      <w:r w:rsidR="0085480B" w:rsidRPr="005F4F09">
        <w:rPr>
          <w:rStyle w:val="AERtexthighlight"/>
          <w:shd w:val="clear" w:color="auto" w:fill="auto"/>
        </w:rPr>
        <w:t xml:space="preserve"> This is further discussed in section </w:t>
      </w:r>
      <w:r w:rsidR="0085480B" w:rsidRPr="005F4F09">
        <w:rPr>
          <w:rStyle w:val="AERtexthighlight"/>
          <w:shd w:val="clear" w:color="auto" w:fill="auto"/>
        </w:rPr>
        <w:fldChar w:fldCharType="begin"/>
      </w:r>
      <w:r w:rsidR="0085480B" w:rsidRPr="00CD04C8">
        <w:rPr>
          <w:rStyle w:val="AERtexthighlight"/>
          <w:shd w:val="clear" w:color="auto" w:fill="auto"/>
        </w:rPr>
        <w:instrText xml:space="preserve"> REF _Ref403482459 \r \h </w:instrText>
      </w:r>
      <w:r w:rsidR="00AF1BD9">
        <w:rPr>
          <w:rStyle w:val="AERtexthighlight"/>
          <w:shd w:val="clear" w:color="auto" w:fill="auto"/>
        </w:rPr>
        <w:instrText xml:space="preserve"> \* MERGEFORMAT </w:instrText>
      </w:r>
      <w:r w:rsidR="0085480B" w:rsidRPr="005F4F09">
        <w:rPr>
          <w:rStyle w:val="AERtexthighlight"/>
          <w:shd w:val="clear" w:color="auto" w:fill="auto"/>
        </w:rPr>
      </w:r>
      <w:r w:rsidR="0085480B" w:rsidRPr="005F4F09">
        <w:rPr>
          <w:rStyle w:val="AERtexthighlight"/>
          <w:shd w:val="clear" w:color="auto" w:fill="auto"/>
        </w:rPr>
        <w:fldChar w:fldCharType="separate"/>
      </w:r>
      <w:r w:rsidR="00812A72">
        <w:rPr>
          <w:rStyle w:val="AERtexthighlight"/>
          <w:shd w:val="clear" w:color="auto" w:fill="auto"/>
        </w:rPr>
        <w:t>A.15.2</w:t>
      </w:r>
      <w:r w:rsidR="0085480B" w:rsidRPr="005F4F09">
        <w:rPr>
          <w:rStyle w:val="AERtexthighlight"/>
          <w:shd w:val="clear" w:color="auto" w:fill="auto"/>
        </w:rPr>
        <w:fldChar w:fldCharType="end"/>
      </w:r>
      <w:r w:rsidR="0085480B" w:rsidRPr="005F4F09">
        <w:rPr>
          <w:rStyle w:val="AERtexthighlight"/>
          <w:shd w:val="clear" w:color="auto" w:fill="auto"/>
        </w:rPr>
        <w:t>.</w:t>
      </w:r>
    </w:p>
    <w:p w:rsidR="00747414" w:rsidRDefault="00C4792B" w:rsidP="006C23B4">
      <w:pPr>
        <w:pStyle w:val="AERbulletlistfirststyle"/>
      </w:pPr>
      <w:r>
        <w:t>Gamma can be directly estimated reliably from tax statistics as the ratio of credits redeemed to credits created.</w:t>
      </w:r>
      <w:r>
        <w:rPr>
          <w:rStyle w:val="FootnoteReference"/>
        </w:rPr>
        <w:footnoteReference w:id="344"/>
      </w:r>
      <w:r w:rsidR="0085480B">
        <w:t xml:space="preserve"> The AER does not agree and considers caution should be exercised with using tax statistics to estimate any parameters associated with </w:t>
      </w:r>
      <w:r w:rsidR="00A828D8">
        <w:t xml:space="preserve">the value of </w:t>
      </w:r>
      <w:r w:rsidR="0085480B">
        <w:t xml:space="preserve">imputation credits. This is further discussed in section </w:t>
      </w:r>
      <w:r w:rsidR="0085480B">
        <w:fldChar w:fldCharType="begin"/>
      </w:r>
      <w:r w:rsidR="0085480B">
        <w:instrText xml:space="preserve"> REF _Ref402179420 \r \h </w:instrText>
      </w:r>
      <w:r w:rsidR="0085480B">
        <w:fldChar w:fldCharType="separate"/>
      </w:r>
      <w:r w:rsidR="00812A72">
        <w:t>A.13</w:t>
      </w:r>
      <w:r w:rsidR="0085480B">
        <w:fldChar w:fldCharType="end"/>
      </w:r>
      <w:r w:rsidR="0085480B">
        <w:t>.</w:t>
      </w:r>
    </w:p>
    <w:p w:rsidR="006C23B4" w:rsidRDefault="0025680D" w:rsidP="006C23B4">
      <w:pPr>
        <w:pStyle w:val="AERbulletlistfirststyle"/>
      </w:pPr>
      <w:r>
        <w:t>Dr Lally's analysis o</w:t>
      </w:r>
      <w:r w:rsidR="00403CF0">
        <w:t>n the seven largest</w:t>
      </w:r>
      <w:r w:rsidR="00A828D8">
        <w:t xml:space="preserve"> </w:t>
      </w:r>
      <w:r w:rsidR="00403CF0">
        <w:t xml:space="preserve">firms </w:t>
      </w:r>
      <w:r w:rsidR="00A828D8">
        <w:t xml:space="preserve">listed on the Australian Stock Exchange </w:t>
      </w:r>
      <w:r w:rsidR="00403CF0">
        <w:t xml:space="preserve">which demonstrated that firms with more foreign income have a smaller imputation credit distribution rate </w:t>
      </w:r>
      <w:r w:rsidR="00747414">
        <w:t>is flawed as:</w:t>
      </w:r>
    </w:p>
    <w:p w:rsidR="00747414" w:rsidRDefault="00747414" w:rsidP="00D414CC">
      <w:pPr>
        <w:pStyle w:val="ListNumber3"/>
      </w:pPr>
      <w:r>
        <w:t>The relevant question is whether large multinationals have higher imputation credit distribution rates than other firms.</w:t>
      </w:r>
      <w:r>
        <w:rPr>
          <w:rStyle w:val="FootnoteReference"/>
        </w:rPr>
        <w:footnoteReference w:id="345"/>
      </w:r>
    </w:p>
    <w:p w:rsidR="00747414" w:rsidRPr="006C23B4" w:rsidRDefault="00747414" w:rsidP="00D414CC">
      <w:pPr>
        <w:pStyle w:val="ListNumber3"/>
      </w:pPr>
      <w:r>
        <w:t>The analysis does not control for the difference in dividend payout ratios.</w:t>
      </w:r>
      <w:r>
        <w:rPr>
          <w:rStyle w:val="FootnoteReference"/>
        </w:rPr>
        <w:footnoteReference w:id="346"/>
      </w:r>
    </w:p>
    <w:p w:rsidR="00DE3646" w:rsidRDefault="00A828D8" w:rsidP="00E750F8">
      <w:pPr>
        <w:pStyle w:val="AERbulletlistfirststyle"/>
        <w:numPr>
          <w:ilvl w:val="0"/>
          <w:numId w:val="0"/>
        </w:numPr>
        <w:ind w:left="357"/>
        <w:rPr>
          <w:rStyle w:val="AERbody"/>
        </w:rPr>
      </w:pPr>
      <w:r>
        <w:rPr>
          <w:rStyle w:val="AERbody"/>
        </w:rPr>
        <w:t xml:space="preserve">Dr </w:t>
      </w:r>
      <w:r w:rsidR="00AF1BD9" w:rsidRPr="00E750F8">
        <w:rPr>
          <w:rStyle w:val="AERbody"/>
        </w:rPr>
        <w:t xml:space="preserve">Lally </w:t>
      </w:r>
      <w:r>
        <w:rPr>
          <w:rStyle w:val="AERbody"/>
        </w:rPr>
        <w:t xml:space="preserve">has reviewed this criticism and </w:t>
      </w:r>
      <w:r w:rsidR="00AF1BD9" w:rsidRPr="00E750F8">
        <w:rPr>
          <w:rStyle w:val="AERbody"/>
        </w:rPr>
        <w:t>does not agree</w:t>
      </w:r>
      <w:r>
        <w:rPr>
          <w:rStyle w:val="AERbody"/>
        </w:rPr>
        <w:t>.</w:t>
      </w:r>
      <w:r w:rsidR="00AF1BD9" w:rsidRPr="00E750F8">
        <w:rPr>
          <w:rStyle w:val="AERbody"/>
        </w:rPr>
        <w:t xml:space="preserve"> </w:t>
      </w:r>
      <w:r>
        <w:rPr>
          <w:rStyle w:val="AERbody"/>
        </w:rPr>
        <w:t>Dr Lally</w:t>
      </w:r>
      <w:r w:rsidR="00AF1BD9" w:rsidRPr="00E750F8">
        <w:rPr>
          <w:rStyle w:val="AERbody"/>
        </w:rPr>
        <w:t xml:space="preserve"> has </w:t>
      </w:r>
      <w:r>
        <w:rPr>
          <w:rStyle w:val="AERbody"/>
        </w:rPr>
        <w:t>provided further explanation on why his analysis shows</w:t>
      </w:r>
      <w:r w:rsidR="00AF1BD9" w:rsidRPr="00E750F8">
        <w:rPr>
          <w:rStyle w:val="AERbody"/>
        </w:rPr>
        <w:t xml:space="preserve"> that foreign income </w:t>
      </w:r>
      <w:r>
        <w:rPr>
          <w:rStyle w:val="AERbody"/>
        </w:rPr>
        <w:t xml:space="preserve">can be associated with a </w:t>
      </w:r>
      <w:r w:rsidR="00AF1BD9" w:rsidRPr="00E750F8">
        <w:rPr>
          <w:rStyle w:val="AERbody"/>
        </w:rPr>
        <w:t xml:space="preserve">lower imputation </w:t>
      </w:r>
      <w:r>
        <w:rPr>
          <w:rStyle w:val="AERbody"/>
        </w:rPr>
        <w:t xml:space="preserve">credit </w:t>
      </w:r>
      <w:r w:rsidR="00AF1BD9" w:rsidRPr="00E750F8">
        <w:rPr>
          <w:rStyle w:val="AERbody"/>
        </w:rPr>
        <w:t>distribution</w:t>
      </w:r>
      <w:r>
        <w:rPr>
          <w:rStyle w:val="AERbody"/>
        </w:rPr>
        <w:t xml:space="preserve"> rate</w:t>
      </w:r>
      <w:r w:rsidR="00AF1BD9" w:rsidRPr="00E750F8">
        <w:rPr>
          <w:rStyle w:val="AERbody"/>
        </w:rPr>
        <w:t>.</w:t>
      </w:r>
      <w:r>
        <w:rPr>
          <w:rStyle w:val="FootnoteReference"/>
        </w:rPr>
        <w:footnoteReference w:id="347"/>
      </w:r>
      <w:r w:rsidR="00AF1BD9" w:rsidRPr="00E750F8">
        <w:rPr>
          <w:rStyle w:val="AERbody"/>
        </w:rPr>
        <w:t xml:space="preserve"> Further, Lally considers that there is no need to control for the dividend payout ratios and what is important is the overall amount of imputation credits that are distributed by businesses.</w:t>
      </w:r>
      <w:r>
        <w:rPr>
          <w:rStyle w:val="FootnoteReference"/>
        </w:rPr>
        <w:footnoteReference w:id="348"/>
      </w:r>
      <w:r w:rsidR="00AF1BD9" w:rsidRPr="00E750F8">
        <w:rPr>
          <w:rStyle w:val="AERbody"/>
        </w:rPr>
        <w:t xml:space="preserve"> This is further discussed in section </w:t>
      </w:r>
      <w:r w:rsidR="00AF1BD9" w:rsidRPr="00E750F8">
        <w:rPr>
          <w:rStyle w:val="AERbody"/>
        </w:rPr>
        <w:fldChar w:fldCharType="begin"/>
      </w:r>
      <w:r w:rsidR="00AF1BD9" w:rsidRPr="00E750F8">
        <w:rPr>
          <w:rStyle w:val="AERbody"/>
        </w:rPr>
        <w:instrText xml:space="preserve"> REF _Ref414289334 \r \h </w:instrText>
      </w:r>
      <w:r w:rsidR="00AF1BD9">
        <w:rPr>
          <w:rStyle w:val="AERbody"/>
        </w:rPr>
        <w:instrText xml:space="preserve"> \* MERGEFORMAT </w:instrText>
      </w:r>
      <w:r w:rsidR="00AF1BD9" w:rsidRPr="00E750F8">
        <w:rPr>
          <w:rStyle w:val="AERbody"/>
        </w:rPr>
      </w:r>
      <w:r w:rsidR="00AF1BD9" w:rsidRPr="00E750F8">
        <w:rPr>
          <w:rStyle w:val="AERbody"/>
        </w:rPr>
        <w:fldChar w:fldCharType="separate"/>
      </w:r>
      <w:r w:rsidR="00812A72">
        <w:rPr>
          <w:rStyle w:val="AERbody"/>
        </w:rPr>
        <w:t>A.10.1</w:t>
      </w:r>
      <w:r w:rsidR="00AF1BD9" w:rsidRPr="00E750F8">
        <w:rPr>
          <w:rStyle w:val="AERbody"/>
        </w:rPr>
        <w:fldChar w:fldCharType="end"/>
      </w:r>
      <w:r w:rsidR="00AF1BD9" w:rsidRPr="00E750F8">
        <w:rPr>
          <w:rStyle w:val="AERbody"/>
        </w:rPr>
        <w:t>.</w:t>
      </w:r>
    </w:p>
    <w:p w:rsidR="00C52695" w:rsidRPr="00883125" w:rsidRDefault="00C52695" w:rsidP="00C52695">
      <w:pPr>
        <w:pStyle w:val="Heading8"/>
      </w:pPr>
      <w:bookmarkStart w:id="190" w:name="_Ref415144114"/>
      <w:bookmarkStart w:id="191" w:name="_Toc436049446"/>
      <w:bookmarkStart w:id="192" w:name="_Toc451842251"/>
      <w:bookmarkStart w:id="193" w:name="_Toc451938306"/>
      <w:bookmarkStart w:id="194" w:name="_Toc456614297"/>
      <w:bookmarkStart w:id="195" w:name="_Toc462823315"/>
      <w:bookmarkStart w:id="196" w:name="_Toc481061468"/>
      <w:r w:rsidRPr="00883125">
        <w:t>The role of the value of imputation credits in the regulatory framework</w:t>
      </w:r>
      <w:bookmarkEnd w:id="190"/>
      <w:bookmarkEnd w:id="191"/>
      <w:bookmarkEnd w:id="192"/>
      <w:bookmarkEnd w:id="193"/>
      <w:bookmarkEnd w:id="194"/>
      <w:bookmarkEnd w:id="195"/>
      <w:bookmarkEnd w:id="196"/>
    </w:p>
    <w:p w:rsidR="00C52695" w:rsidRPr="00883125" w:rsidRDefault="00C52695" w:rsidP="00C52695">
      <w:pPr>
        <w:numPr>
          <w:ilvl w:val="0"/>
          <w:numId w:val="24"/>
        </w:numPr>
      </w:pPr>
      <w:r w:rsidRPr="00883125">
        <w:t>To explain the role of the value of imputation credits in the NER/NGR, we must consider:</w:t>
      </w:r>
    </w:p>
    <w:p w:rsidR="00C52695" w:rsidRPr="00883125" w:rsidRDefault="00C52695" w:rsidP="00C52695">
      <w:pPr>
        <w:pStyle w:val="AERbulletlistfirststyle"/>
      </w:pPr>
      <w:r w:rsidRPr="00883125">
        <w:t>the 'building block' revenue framework in the NER/NGR, and</w:t>
      </w:r>
    </w:p>
    <w:p w:rsidR="00C52695" w:rsidRPr="00883125" w:rsidRDefault="00C52695" w:rsidP="00C52695">
      <w:pPr>
        <w:pStyle w:val="AERbulletlistfirststyle"/>
      </w:pPr>
      <w:r w:rsidRPr="00883125">
        <w:t>the construction of the tax building block.</w:t>
      </w:r>
    </w:p>
    <w:p w:rsidR="00C52695" w:rsidRPr="00883125" w:rsidRDefault="00C52695" w:rsidP="00C52695">
      <w:pPr>
        <w:pStyle w:val="Heading9"/>
      </w:pPr>
      <w:bookmarkStart w:id="197" w:name="_Toc456614298"/>
      <w:bookmarkStart w:id="198" w:name="_Toc462823316"/>
      <w:bookmarkStart w:id="199" w:name="_Toc481061469"/>
      <w:r w:rsidRPr="00883125">
        <w:t>The building block framework</w:t>
      </w:r>
      <w:bookmarkEnd w:id="197"/>
      <w:bookmarkEnd w:id="198"/>
      <w:bookmarkEnd w:id="199"/>
    </w:p>
    <w:p w:rsidR="00C52695" w:rsidRPr="00883125" w:rsidRDefault="00C52695" w:rsidP="00C52695">
      <w:pPr>
        <w:numPr>
          <w:ilvl w:val="0"/>
          <w:numId w:val="24"/>
        </w:numPr>
      </w:pPr>
      <w:r w:rsidRPr="00883125">
        <w:t xml:space="preserve">Under the NER/NGR, we employ a building block framework to estimate revenue for service providers. The building block framework sets out how to estimate the various components </w:t>
      </w:r>
      <w:r w:rsidRPr="00883125">
        <w:lastRenderedPageBreak/>
        <w:t>(that is, 'building blocks') that make up a total revenue allowance.</w:t>
      </w:r>
      <w:r w:rsidRPr="00883125">
        <w:rPr>
          <w:rStyle w:val="FootnoteReference"/>
        </w:rPr>
        <w:footnoteReference w:id="349"/>
      </w:r>
      <w:r w:rsidRPr="00883125">
        <w:t xml:space="preserve"> The function of this building block revenue estimate is to determine the revenue that a service provider requires to:</w:t>
      </w:r>
    </w:p>
    <w:p w:rsidR="00C52695" w:rsidRPr="00883125" w:rsidRDefault="00C52695" w:rsidP="00C52695">
      <w:pPr>
        <w:pStyle w:val="AERbulletlistfirststyle"/>
      </w:pPr>
      <w:r w:rsidRPr="00883125">
        <w:t>fund its operating expenses.</w:t>
      </w:r>
    </w:p>
    <w:p w:rsidR="00C52695" w:rsidRPr="00883125" w:rsidRDefault="00C52695" w:rsidP="00C52695">
      <w:pPr>
        <w:pStyle w:val="AERbulletlistfirststyle"/>
      </w:pPr>
      <w:r w:rsidRPr="00883125">
        <w:t>achieve adequate returns to raise debt and equity in order to finance its capital investments. This is made up of a rate of return on capital to compensate investors for the risks of investment. It also includes a return of capital (depreciation), which gradually returns the initial principal of the investment, and subsequent investments, back to investors.</w:t>
      </w:r>
    </w:p>
    <w:p w:rsidR="00C52695" w:rsidRPr="00883125" w:rsidRDefault="00C52695" w:rsidP="00C52695">
      <w:pPr>
        <w:pStyle w:val="AERbulletlistfirststyle"/>
      </w:pPr>
      <w:r w:rsidRPr="00883125">
        <w:t>pay its tax liability.</w:t>
      </w:r>
    </w:p>
    <w:p w:rsidR="00C52695" w:rsidRPr="00883125" w:rsidRDefault="00C52695" w:rsidP="00C52695">
      <w:pPr>
        <w:pStyle w:val="AERbulletlistfirststyle"/>
      </w:pPr>
      <w:r w:rsidRPr="00883125">
        <w:t>reflect any revenue increments or decrements from incentive mechanisms in the design of the regulatory regime.</w:t>
      </w:r>
    </w:p>
    <w:p w:rsidR="00C52695" w:rsidRPr="00883125" w:rsidRDefault="00C52695" w:rsidP="00C52695">
      <w:pPr>
        <w:numPr>
          <w:ilvl w:val="0"/>
          <w:numId w:val="24"/>
        </w:numPr>
      </w:pPr>
      <w:r w:rsidRPr="00883125">
        <w:t xml:space="preserve">Importantly, the building block framework is intended to compensate the service provider (and its investors) only for costs incurred by the service provider and not by its investors; that is, the framework is on a </w:t>
      </w:r>
      <w:r>
        <w:t xml:space="preserve">post-company </w:t>
      </w:r>
      <w:r w:rsidRPr="00883125">
        <w:t>before-personal-tax and before-personal-costs basis. Handley described this consideration as follows:</w:t>
      </w:r>
      <w:r w:rsidRPr="00883125">
        <w:rPr>
          <w:rStyle w:val="FootnoteReference"/>
        </w:rPr>
        <w:footnoteReference w:id="350"/>
      </w:r>
    </w:p>
    <w:p w:rsidR="00C52695" w:rsidRPr="00883125" w:rsidRDefault="00C52695" w:rsidP="00C52695">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C52695" w:rsidRPr="00883125" w:rsidRDefault="00C52695" w:rsidP="00C52695">
      <w:pPr>
        <w:pStyle w:val="AERquote"/>
      </w:pPr>
      <w:r w:rsidRPr="00883125">
        <w:t>…</w:t>
      </w:r>
    </w:p>
    <w:p w:rsidR="00C52695" w:rsidRPr="00883125" w:rsidRDefault="00C52695" w:rsidP="00C52695">
      <w:pPr>
        <w:pStyle w:val="AERquote"/>
      </w:pPr>
      <w:r w:rsidRPr="00883125">
        <w:t>The regulatory WACC framework is an after-company-before-personal-tax framework which requires explicit modelling of cash flows and returns after allowing for company tax but avoids most of the complications associated with having to model personal taxes - one complication which remains of course, is gamma. If one wanted to explicitly model personal taxes then an after-company-after-personal-tax WACC framework could be used instead.</w:t>
      </w:r>
    </w:p>
    <w:p w:rsidR="00C52695" w:rsidRPr="00883125" w:rsidRDefault="00C52695" w:rsidP="00C52695">
      <w:r w:rsidRPr="00883125">
        <w:lastRenderedPageBreak/>
        <w:t xml:space="preserve">In particular, Handley advised that the Officer framework provides the basis for the building block framework in the NER/NGR, and that the before-personal-tax and before-personal-costs interpretation is consistent with Officer. Handley's advice on these matters is discussed in more detail in sections </w:t>
      </w:r>
      <w:r w:rsidRPr="00883125">
        <w:fldChar w:fldCharType="begin"/>
      </w:r>
      <w:r w:rsidRPr="00883125">
        <w:instrText xml:space="preserve"> REF _Ref400965182 \r \h </w:instrText>
      </w:r>
      <w:r w:rsidRPr="00883125">
        <w:fldChar w:fldCharType="separate"/>
      </w:r>
      <w:r w:rsidR="00812A72">
        <w:t>A.6</w:t>
      </w:r>
      <w:r w:rsidRPr="00883125">
        <w:fldChar w:fldCharType="end"/>
      </w:r>
      <w:r w:rsidRPr="00883125">
        <w:t xml:space="preserve">, </w:t>
      </w:r>
      <w:r w:rsidRPr="00883125">
        <w:fldChar w:fldCharType="begin"/>
      </w:r>
      <w:r w:rsidRPr="00883125">
        <w:instrText xml:space="preserve"> REF _Ref414028398 \r \h </w:instrText>
      </w:r>
      <w:r w:rsidRPr="00883125">
        <w:fldChar w:fldCharType="separate"/>
      </w:r>
      <w:r w:rsidR="00812A72">
        <w:t>A.7.3</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812A72">
        <w:t>A.8.1</w:t>
      </w:r>
      <w:r w:rsidRPr="00883125">
        <w:fldChar w:fldCharType="end"/>
      </w:r>
      <w:r w:rsidRPr="00883125">
        <w:t>.</w:t>
      </w:r>
    </w:p>
    <w:p w:rsidR="00C52695" w:rsidRPr="00883125" w:rsidRDefault="00C52695" w:rsidP="00C52695">
      <w:pPr>
        <w:rPr>
          <w:rStyle w:val="AERbody"/>
        </w:rPr>
      </w:pPr>
      <w:r w:rsidRPr="00883125">
        <w:rPr>
          <w:rStyle w:val="AERbody"/>
        </w:rPr>
        <w:t>In response to a number of service providers</w:t>
      </w:r>
      <w:r>
        <w:rPr>
          <w:rStyle w:val="AERbody"/>
        </w:rPr>
        <w:t>' view</w:t>
      </w:r>
      <w:r w:rsidRPr="00883125">
        <w:rPr>
          <w:rStyle w:val="AERbody"/>
        </w:rPr>
        <w:t xml:space="preserve"> that </w:t>
      </w:r>
      <w:r>
        <w:rPr>
          <w:rStyle w:val="AERbody"/>
        </w:rPr>
        <w:t>we</w:t>
      </w:r>
      <w:r w:rsidRPr="00883125">
        <w:rPr>
          <w:rStyle w:val="AERbody"/>
        </w:rPr>
        <w:t xml:space="preserve"> prefers </w:t>
      </w:r>
      <w:r>
        <w:rPr>
          <w:rStyle w:val="AERbody"/>
        </w:rPr>
        <w:t>our</w:t>
      </w:r>
      <w:r w:rsidRPr="00883125">
        <w:rPr>
          <w:rStyle w:val="AERbody"/>
        </w:rPr>
        <w:t xml:space="preserve"> conceptual valuation relative to a market mechanism derived value, and </w:t>
      </w:r>
      <w:r>
        <w:rPr>
          <w:rStyle w:val="AERbody"/>
        </w:rPr>
        <w:t xml:space="preserve">their </w:t>
      </w:r>
      <w:r w:rsidRPr="00883125">
        <w:rPr>
          <w:rStyle w:val="AERbody"/>
        </w:rPr>
        <w:t xml:space="preserve">concerns around </w:t>
      </w:r>
      <w:r>
        <w:rPr>
          <w:rStyle w:val="AERbody"/>
        </w:rPr>
        <w:t>our</w:t>
      </w:r>
      <w:r w:rsidRPr="00883125">
        <w:rPr>
          <w:rStyle w:val="AERbody"/>
        </w:rPr>
        <w:t xml:space="preserve"> definition of gamma, we note:</w:t>
      </w:r>
    </w:p>
    <w:p w:rsidR="00C52695" w:rsidRPr="001D37D5" w:rsidRDefault="00C52695" w:rsidP="00C52695">
      <w:pPr>
        <w:pStyle w:val="AERbulletlistfirststyle"/>
      </w:pPr>
      <w:r w:rsidRPr="005764F6">
        <w:t>There is no market for imputation credits and therefore there is no directly observable market price</w:t>
      </w:r>
      <w:r w:rsidRPr="001D37D5">
        <w:t>.</w:t>
      </w:r>
      <w:r w:rsidRPr="001D37D5">
        <w:rPr>
          <w:rStyle w:val="FootnoteReference"/>
        </w:rPr>
        <w:footnoteReference w:id="351"/>
      </w:r>
      <w:r w:rsidRPr="001D37D5">
        <w:t xml:space="preserve"> This is also discussed below in section </w:t>
      </w:r>
      <w:r w:rsidRPr="001D37D5">
        <w:fldChar w:fldCharType="begin"/>
      </w:r>
      <w:r w:rsidRPr="001D37D5">
        <w:instrText xml:space="preserve"> REF _Ref435171205 \r \h  \* MERGEFORMAT </w:instrText>
      </w:r>
      <w:r w:rsidRPr="001D37D5">
        <w:fldChar w:fldCharType="separate"/>
      </w:r>
      <w:r w:rsidR="00812A72">
        <w:t>A.15.3</w:t>
      </w:r>
      <w:r w:rsidRPr="001D37D5">
        <w:fldChar w:fldCharType="end"/>
      </w:r>
      <w:r w:rsidRPr="001D37D5">
        <w:t>.</w:t>
      </w:r>
    </w:p>
    <w:p w:rsidR="00C52695" w:rsidRPr="005764F6" w:rsidRDefault="00C52695" w:rsidP="00C52695">
      <w:pPr>
        <w:pStyle w:val="AERbulletlistfirststyle"/>
      </w:pPr>
      <w:r w:rsidRPr="005764F6">
        <w:t>The value of imputation credits as estimated through a dividend drop off study:</w:t>
      </w:r>
    </w:p>
    <w:p w:rsidR="00C52695" w:rsidRPr="005764F6" w:rsidRDefault="00C52695" w:rsidP="00C52695">
      <w:pPr>
        <w:pStyle w:val="AERbulletlistsecondstyle"/>
      </w:pPr>
      <w:r w:rsidRPr="005764F6">
        <w:t>is not a post company tax value before personal taxes and personal transaction costs (particularly demonstrated where the study estimates a value for cash dividends materially below their face value as the SFG study does)</w:t>
      </w:r>
    </w:p>
    <w:p w:rsidR="00C52695" w:rsidRPr="005764F6" w:rsidRDefault="00C52695" w:rsidP="00C52695">
      <w:pPr>
        <w:pStyle w:val="AERbulletlistsecondstyle"/>
      </w:pPr>
      <w:r w:rsidRPr="005764F6">
        <w:t xml:space="preserve">is not necessarily consistent with the estimate of the return on equity and return on debt which are estimated required returns </w:t>
      </w:r>
      <w:r>
        <w:t xml:space="preserve">after company taxes </w:t>
      </w:r>
      <w:r w:rsidRPr="005764F6">
        <w:t>before personal taxes and personal transaction costs (particularly demonstrated where the study estimates a value for cash dividends materially below their face value as the SFG study does)</w:t>
      </w:r>
    </w:p>
    <w:p w:rsidR="00C52695" w:rsidRPr="005764F6" w:rsidRDefault="00C52695" w:rsidP="00C52695">
      <w:pPr>
        <w:pStyle w:val="AERbulletlistsecondstyle"/>
      </w:pPr>
      <w:r w:rsidRPr="005764F6">
        <w:t>is not clearly measuring a value to long term investors supplying capital to the benchmark efficient entity (even where adjusted for adjusted for differential tax impacts)</w:t>
      </w:r>
    </w:p>
    <w:p w:rsidR="00C52695" w:rsidRPr="005764F6" w:rsidRDefault="00C52695" w:rsidP="00C52695">
      <w:pPr>
        <w:pStyle w:val="AERbulletlistsecondstyle"/>
      </w:pPr>
      <w:r w:rsidRPr="005764F6">
        <w:t xml:space="preserve">is subject to significant uncertainty. </w:t>
      </w:r>
    </w:p>
    <w:p w:rsidR="00C52695" w:rsidRPr="001D37D5" w:rsidRDefault="00C52695" w:rsidP="00C52695">
      <w:pPr>
        <w:pStyle w:val="AERbulletlistfirststyle"/>
        <w:rPr>
          <w:rStyle w:val="AERbody"/>
        </w:rPr>
      </w:pPr>
      <w:r w:rsidRPr="00883125">
        <w:rPr>
          <w:rStyle w:val="AERbody"/>
        </w:rPr>
        <w:t xml:space="preserve">A number of limitations of these studies are discussed further in sections </w:t>
      </w:r>
      <w:r w:rsidRPr="001D37D5">
        <w:rPr>
          <w:rStyle w:val="AERbody"/>
        </w:rPr>
        <w:fldChar w:fldCharType="begin"/>
      </w:r>
      <w:r w:rsidRPr="001D37D5">
        <w:rPr>
          <w:rStyle w:val="AERbody"/>
        </w:rPr>
        <w:instrText xml:space="preserve"> REF _Ref415065117 \r \h </w:instrText>
      </w:r>
      <w:r w:rsidRPr="001D37D5">
        <w:rPr>
          <w:rStyle w:val="AERbody"/>
        </w:rPr>
      </w:r>
      <w:r w:rsidRPr="001D37D5">
        <w:rPr>
          <w:rStyle w:val="AERbody"/>
        </w:rPr>
        <w:fldChar w:fldCharType="separate"/>
      </w:r>
      <w:r w:rsidR="00812A72">
        <w:rPr>
          <w:rStyle w:val="AERbody"/>
        </w:rPr>
        <w:t>A.15.4</w:t>
      </w:r>
      <w:r w:rsidRPr="001D37D5">
        <w:rPr>
          <w:rStyle w:val="AERbody"/>
        </w:rPr>
        <w:fldChar w:fldCharType="end"/>
      </w:r>
      <w:r w:rsidRPr="001D37D5">
        <w:rPr>
          <w:rStyle w:val="AERbody"/>
        </w:rPr>
        <w:t xml:space="preserve"> and </w:t>
      </w:r>
      <w:r w:rsidRPr="001D37D5">
        <w:rPr>
          <w:rStyle w:val="AERbody"/>
        </w:rPr>
        <w:fldChar w:fldCharType="begin"/>
      </w:r>
      <w:r w:rsidRPr="001D37D5">
        <w:rPr>
          <w:rStyle w:val="AERbody"/>
        </w:rPr>
        <w:instrText xml:space="preserve"> REF _Ref414624721 \r \h </w:instrText>
      </w:r>
      <w:r w:rsidRPr="001D37D5">
        <w:rPr>
          <w:rStyle w:val="AERbody"/>
        </w:rPr>
      </w:r>
      <w:r w:rsidRPr="001D37D5">
        <w:rPr>
          <w:rStyle w:val="AERbody"/>
        </w:rPr>
        <w:fldChar w:fldCharType="separate"/>
      </w:r>
      <w:r w:rsidR="00812A72">
        <w:rPr>
          <w:rStyle w:val="AERbody"/>
        </w:rPr>
        <w:t>A.15.5</w:t>
      </w:r>
      <w:r w:rsidRPr="001D37D5">
        <w:rPr>
          <w:rStyle w:val="AERbody"/>
        </w:rPr>
        <w:fldChar w:fldCharType="end"/>
      </w:r>
      <w:r w:rsidRPr="001D37D5">
        <w:rPr>
          <w:rStyle w:val="AERbody"/>
        </w:rPr>
        <w:t>.</w:t>
      </w:r>
    </w:p>
    <w:p w:rsidR="00C52695" w:rsidRPr="001D37D5" w:rsidRDefault="00C52695" w:rsidP="00C52695">
      <w:pPr>
        <w:pStyle w:val="AERbulletlistfirststyle"/>
        <w:rPr>
          <w:rStyle w:val="AERtexthighlight"/>
        </w:rPr>
      </w:pPr>
      <w:r>
        <w:t>Our</w:t>
      </w:r>
      <w:r w:rsidRPr="001D37D5">
        <w:t xml:space="preserve"> definition of the utilisation value is consistent with Officer Framework underpinning the rules that uses a post-tax Vanilla WACC, is consistent with the way we estimate the required return on equity, and is supported by Handley. Lally also considers our approach to imputation credits is consistent with the post-tax framework in the NER/NGR.</w:t>
      </w:r>
      <w:r w:rsidRPr="001D37D5">
        <w:rPr>
          <w:rStyle w:val="FootnoteReference"/>
        </w:rPr>
        <w:footnoteReference w:id="352"/>
      </w:r>
      <w:r w:rsidRPr="001D37D5">
        <w:rPr>
          <w:rStyle w:val="AERtexthighlight"/>
        </w:rPr>
        <w:t xml:space="preserve"> </w:t>
      </w:r>
    </w:p>
    <w:p w:rsidR="00C52695" w:rsidRPr="001D37D5" w:rsidRDefault="00C52695" w:rsidP="00C52695">
      <w:pPr>
        <w:pStyle w:val="AERbulletlistfirststyle"/>
        <w:rPr>
          <w:rStyle w:val="AERtexthighlight"/>
        </w:rPr>
      </w:pPr>
      <w:r w:rsidRPr="00857C5F">
        <w:t xml:space="preserve">The explicit recognition that this is a pre personal taxes and pre personal transaction costs value is simply explicit recognition of something implicit in the Officer Vanilla WACC framework. This framework determines the required return to the company (i.e. </w:t>
      </w:r>
      <w:r w:rsidRPr="00857C5F">
        <w:lastRenderedPageBreak/>
        <w:t>before personal taxes and personal transaction costs are incurred) consistent with the definition of the after-tax net cash flows set out in Officer.</w:t>
      </w:r>
      <w:r w:rsidRPr="001D37D5">
        <w:rPr>
          <w:rStyle w:val="FootnoteReference"/>
        </w:rPr>
        <w:footnoteReference w:id="353"/>
      </w:r>
    </w:p>
    <w:p w:rsidR="00C52695" w:rsidRPr="001D37D5" w:rsidRDefault="00C52695" w:rsidP="00C52695">
      <w:pPr>
        <w:pStyle w:val="AERbulletlistfirststyle"/>
        <w:rPr>
          <w:rStyle w:val="AERtexthighlight"/>
        </w:rPr>
      </w:pPr>
      <w:r w:rsidRPr="00857C5F">
        <w:t>Our</w:t>
      </w:r>
      <w:r w:rsidRPr="001D37D5">
        <w:t xml:space="preserve"> definition is consistent with the 'value' concept in the rules given the rules are requiring the AER to estimate a post-tax nominal Vanilla WACC consistent with Officer formula (12) in his 1994 paper, which as stated by Officer is one particular definition of "a company's after-tax cost of capital (WACC)" and "is determined by the definition used of after-tax operating income or really after-tax net cash flows".</w:t>
      </w:r>
      <w:r w:rsidRPr="001D37D5">
        <w:rPr>
          <w:rStyle w:val="FootnoteReference"/>
        </w:rPr>
        <w:footnoteReference w:id="354"/>
      </w:r>
      <w:r w:rsidRPr="001D37D5">
        <w:t xml:space="preserve"> As these after-tax net cash flows are at the company level they are before personal taxes and personal transaction costs. This is supported by the advice of Handley and Lally.</w:t>
      </w:r>
      <w:r w:rsidRPr="001D37D5">
        <w:rPr>
          <w:rStyle w:val="FootnoteReference"/>
        </w:rPr>
        <w:footnoteReference w:id="355"/>
      </w:r>
    </w:p>
    <w:p w:rsidR="00C52695" w:rsidRPr="00883125" w:rsidRDefault="00C52695" w:rsidP="00C52695">
      <w:pPr>
        <w:pStyle w:val="Heading9"/>
      </w:pPr>
      <w:bookmarkStart w:id="200" w:name="_Ref400962032"/>
      <w:bookmarkStart w:id="201" w:name="_Toc456614299"/>
      <w:bookmarkStart w:id="202" w:name="_Toc462823317"/>
      <w:bookmarkStart w:id="203" w:name="_Toc481061470"/>
      <w:r w:rsidRPr="00883125">
        <w:t>The tax building block</w:t>
      </w:r>
      <w:bookmarkEnd w:id="200"/>
      <w:bookmarkEnd w:id="201"/>
      <w:bookmarkEnd w:id="202"/>
      <w:bookmarkEnd w:id="203"/>
    </w:p>
    <w:p w:rsidR="00C52695" w:rsidRPr="00883125" w:rsidRDefault="00C52695" w:rsidP="00C52695">
      <w:pPr>
        <w:numPr>
          <w:ilvl w:val="0"/>
          <w:numId w:val="24"/>
        </w:numPr>
      </w:pPr>
      <w:r w:rsidRPr="00883125">
        <w:t>One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NER/NGR specify that we must estimate a nominal vanilla rate of return.</w:t>
      </w:r>
      <w:r w:rsidRPr="00883125">
        <w:rPr>
          <w:rStyle w:val="FootnoteReference"/>
        </w:rPr>
        <w:footnoteReference w:id="356"/>
      </w:r>
      <w:r w:rsidRPr="00883125">
        <w:t xml:space="preserve"> A nominal vanilla rate of return combines a post-tax return on equity with a pre-tax return on debt. More specifically, as described by Handley above, the return on equity is a post-company-tax-pre-personal-tax return on equity.</w:t>
      </w:r>
    </w:p>
    <w:p w:rsidR="00C52695" w:rsidRPr="00883125" w:rsidRDefault="00C52695" w:rsidP="00C52695">
      <w:pPr>
        <w:numPr>
          <w:ilvl w:val="0"/>
          <w:numId w:val="24"/>
        </w:numPr>
      </w:pPr>
      <w:r w:rsidRPr="00883125">
        <w:t xml:space="preserve">Amongst other things, this means the return on capital does not include an allowance for the cost of taxation. As a result, the building block framework includes an estimate of the cost of corporate income tax as a separate revenue item. </w:t>
      </w:r>
    </w:p>
    <w:p w:rsidR="00C52695" w:rsidRPr="00883125" w:rsidRDefault="00C52695" w:rsidP="00C52695">
      <w:pPr>
        <w:numPr>
          <w:ilvl w:val="0"/>
          <w:numId w:val="24"/>
        </w:numPr>
      </w:pPr>
      <w:r w:rsidRPr="00883125">
        <w:t>The cost of corporate income tax building block takes the following form:</w:t>
      </w:r>
    </w:p>
    <w:p w:rsidR="00C52695" w:rsidRPr="00883125" w:rsidRDefault="005E2A05" w:rsidP="00C52695">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C52695" w:rsidRPr="00883125" w:rsidRDefault="00C52695" w:rsidP="00C52695">
      <w:pPr>
        <w:numPr>
          <w:ilvl w:val="0"/>
          <w:numId w:val="24"/>
        </w:numPr>
      </w:pPr>
      <w:r w:rsidRPr="00883125">
        <w:t>where:</w:t>
      </w:r>
    </w:p>
    <w:p w:rsidR="00C52695" w:rsidRPr="001D37D5" w:rsidRDefault="005E2A05" w:rsidP="00C52695">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C52695" w:rsidRPr="001D37D5" w:rsidDel="00CE0EED">
        <w:t xml:space="preserve"> </w:t>
      </w:r>
      <w:r w:rsidR="00C52695" w:rsidRPr="001D37D5">
        <w:t>is an estimate of the benchmark efficient entity's tax liability.</w:t>
      </w:r>
    </w:p>
    <w:p w:rsidR="00C52695" w:rsidRPr="001D37D5" w:rsidRDefault="00C52695" w:rsidP="00C52695">
      <w:pPr>
        <w:pStyle w:val="AERbulletlistfirststyle"/>
      </w:pPr>
      <m:oMath>
        <m:r>
          <w:rPr>
            <w:rFonts w:ascii="Cambria Math" w:hAnsi="Cambria Math"/>
          </w:rPr>
          <m:t>γ</m:t>
        </m:r>
      </m:oMath>
      <w:r w:rsidRPr="001D37D5">
        <w:t xml:space="preserve"> is the value of imputation credits.</w:t>
      </w:r>
    </w:p>
    <w:p w:rsidR="00C52695" w:rsidRPr="00883125" w:rsidRDefault="00C52695" w:rsidP="00C52695">
      <w:pPr>
        <w:numPr>
          <w:ilvl w:val="0"/>
          <w:numId w:val="24"/>
        </w:numPr>
      </w:pPr>
      <w:r w:rsidRPr="00883125">
        <w:t xml:space="preserve">Therefore, the effect of the value of imputation credits is to reduce a service provider's allowed revenue by </w:t>
      </w:r>
      <m:oMath>
        <m:r>
          <w:rPr>
            <w:rFonts w:ascii="Cambria Math" w:hAnsi="Cambria Math"/>
          </w:rPr>
          <m:t>γ</m:t>
        </m:r>
      </m:oMath>
      <w:r w:rsidRPr="00883125" w:rsidDel="00EC30CC">
        <w:rPr>
          <w:rFonts w:hint="eastAsia"/>
        </w:rPr>
        <w:t xml:space="preserve"> </w:t>
      </w:r>
      <w:r w:rsidRPr="00883125">
        <w:t xml:space="preserve">(gamma) dollars for each dollar of expected company tax payable by the benchmark efficient entity. Given it is the tax paid by the benchmark efficient entity that </w:t>
      </w:r>
      <w:r w:rsidRPr="00883125">
        <w:lastRenderedPageBreak/>
        <w:t>gives rise to the imputation credits, we consider that it is the (pre-personal tax) value of imputation credits to investors in the benchmark efficient entity that is relevant.</w:t>
      </w:r>
      <w:r w:rsidRPr="00883125">
        <w:rPr>
          <w:rStyle w:val="FootnoteReference"/>
        </w:rPr>
        <w:footnoteReference w:id="357"/>
      </w:r>
    </w:p>
    <w:p w:rsidR="00C52695" w:rsidRPr="00883125" w:rsidRDefault="00C52695" w:rsidP="00C52695">
      <w:pPr>
        <w:pStyle w:val="Heading8"/>
      </w:pPr>
      <w:bookmarkStart w:id="204" w:name="_Ref400965182"/>
      <w:bookmarkStart w:id="205" w:name="_Toc436049447"/>
      <w:bookmarkStart w:id="206" w:name="_Ref451826492"/>
      <w:bookmarkStart w:id="207" w:name="_Toc451842252"/>
      <w:bookmarkStart w:id="208" w:name="_Toc451938307"/>
      <w:bookmarkStart w:id="209" w:name="_Toc456614300"/>
      <w:bookmarkStart w:id="210" w:name="_Toc462823318"/>
      <w:bookmarkStart w:id="211" w:name="_Toc481061471"/>
      <w:r w:rsidRPr="00883125">
        <w:t>The conceptual framework for the value of imputation credits</w:t>
      </w:r>
      <w:bookmarkEnd w:id="204"/>
      <w:bookmarkEnd w:id="205"/>
      <w:bookmarkEnd w:id="206"/>
      <w:bookmarkEnd w:id="207"/>
      <w:bookmarkEnd w:id="208"/>
      <w:bookmarkEnd w:id="209"/>
      <w:bookmarkEnd w:id="210"/>
      <w:bookmarkEnd w:id="211"/>
    </w:p>
    <w:p w:rsidR="00C52695" w:rsidRPr="00883125" w:rsidRDefault="00C52695" w:rsidP="00C52695">
      <w:pPr>
        <w:numPr>
          <w:ilvl w:val="0"/>
          <w:numId w:val="24"/>
        </w:numPr>
      </w:pPr>
      <w:r w:rsidRPr="00883125">
        <w:t xml:space="preserve">With regard to the discussion of the tax building block in section </w:t>
      </w:r>
      <w:r w:rsidRPr="00883125">
        <w:fldChar w:fldCharType="begin"/>
      </w:r>
      <w:r w:rsidRPr="00883125">
        <w:instrText xml:space="preserve"> REF _Ref400962032 \r \h </w:instrText>
      </w:r>
      <w:r w:rsidRPr="00883125">
        <w:fldChar w:fldCharType="separate"/>
      </w:r>
      <w:r w:rsidR="00812A72">
        <w:t>A.5.2</w:t>
      </w:r>
      <w:r w:rsidRPr="00883125">
        <w:fldChar w:fldCharType="end"/>
      </w:r>
      <w:r w:rsidRPr="00883125">
        <w:t xml:space="preserve">, we consider the 'value of imputation credits' to be the value of imputation credits to investors in the benchmark efficient entity. Moreover, as noted above, it is the </w:t>
      </w:r>
      <w:r>
        <w:t xml:space="preserve">post-company </w:t>
      </w:r>
      <w:r w:rsidRPr="00883125">
        <w:t>pre-personal tax value of imputation credits to those investors that we seek to estimate. The issue is then how to interpret and estimate the value of imputation credits. Our approach to interpreting and estimating the value of imputation credits is guided in the first instance by the conceptual framework developed by Officer.</w:t>
      </w:r>
      <w:r w:rsidRPr="00883125">
        <w:rPr>
          <w:rStyle w:val="FootnoteReference"/>
        </w:rPr>
        <w:footnoteReference w:id="358"/>
      </w:r>
      <w:r w:rsidRPr="00883125">
        <w:t xml:space="preserve"> This is because:</w:t>
      </w:r>
    </w:p>
    <w:p w:rsidR="00C52695" w:rsidRPr="001D37D5" w:rsidRDefault="00C52695" w:rsidP="00C52695">
      <w:pPr>
        <w:pStyle w:val="AERbulletlistfirststyle"/>
      </w:pPr>
      <w:r w:rsidRPr="00883125">
        <w:t>The construction of the tax building block mirrors the treatment of imputation credits in the framework developed by Officer, including through use of the parameter denoted by the Greek letter 'gamma'.</w:t>
      </w:r>
      <w:r w:rsidRPr="001D37D5">
        <w:rPr>
          <w:rStyle w:val="FootnoteReference"/>
        </w:rPr>
        <w:footnoteReference w:id="359"/>
      </w:r>
    </w:p>
    <w:p w:rsidR="00C52695" w:rsidRPr="001D37D5" w:rsidRDefault="00C52695" w:rsidP="00C52695">
      <w:pPr>
        <w:pStyle w:val="AERbulletlistfirststyle"/>
      </w:pPr>
      <w:r w:rsidRPr="00883125">
        <w:t>Handley advised that Officer's definition of the nominal vanilla rate of return provides the basis for the rate of return framework in the NER/NGR.</w:t>
      </w:r>
      <w:r w:rsidRPr="001D37D5">
        <w:rPr>
          <w:rStyle w:val="FootnoteReference"/>
        </w:rPr>
        <w:footnoteReference w:id="360"/>
      </w:r>
    </w:p>
    <w:p w:rsidR="00C52695" w:rsidRPr="001D37D5" w:rsidRDefault="00C52695" w:rsidP="00C52695">
      <w:pPr>
        <w:pStyle w:val="AERbulletlistfirststyle"/>
      </w:pPr>
      <w:r w:rsidRPr="00883125">
        <w:t>The NER/NGR require that we determine the rate of return on a nominal vanilla basis that is consistent with our estimate of the value of imputation credits.</w:t>
      </w:r>
      <w:r w:rsidRPr="001D37D5">
        <w:rPr>
          <w:rStyle w:val="FootnoteReference"/>
        </w:rPr>
        <w:footnoteReference w:id="361"/>
      </w:r>
    </w:p>
    <w:p w:rsidR="00C52695" w:rsidRPr="00ED480E" w:rsidRDefault="00C52695" w:rsidP="00C52695">
      <w:r>
        <w:t>We do</w:t>
      </w:r>
      <w:r w:rsidRPr="00ED480E">
        <w:t xml:space="preserve"> not contend that the Officer Paper is a “statute or a code”.</w:t>
      </w:r>
      <w:r>
        <w:t xml:space="preserve"> </w:t>
      </w:r>
      <w:r w:rsidRPr="00ED480E">
        <w:t>However, as the Officer Paper underpins the inclusion of gamma in the corporate income tax formula in NER 6.5.3 and NGR 87A, it is fundamental to</w:t>
      </w:r>
      <w:r>
        <w:t xml:space="preserve"> </w:t>
      </w:r>
      <w:r w:rsidRPr="00ED480E">
        <w:t>a coherent understanding of the role of gamma in the regulatory scheme.</w:t>
      </w:r>
    </w:p>
    <w:p w:rsidR="00C52695" w:rsidRPr="00ED480E" w:rsidRDefault="00C52695" w:rsidP="00C52695">
      <w:r w:rsidRPr="00ED480E">
        <w:t xml:space="preserve">The Officer Paper specifically identified gamma in its WACC formulae to be the “proportion of tax collected from the company which gives rise to the tax credit associated with a franked dividend”: It directly supports an interpretation of gamma which is focused on the utilisation or redemption of imputation credits, and an approach to theta which seeks to identify the </w:t>
      </w:r>
      <w:r w:rsidRPr="00ED480E">
        <w:lastRenderedPageBreak/>
        <w:t>proportion of investors that are eligible to utilise distributed imputation credits. So much is confirmed by Handley, who states:</w:t>
      </w:r>
      <w:r>
        <w:rPr>
          <w:rStyle w:val="FootnoteReference"/>
        </w:rPr>
        <w:footnoteReference w:id="362"/>
      </w:r>
    </w:p>
    <w:p w:rsidR="00C52695" w:rsidRPr="00C52695" w:rsidRDefault="00C52695" w:rsidP="00C52695">
      <w:pPr>
        <w:pStyle w:val="AERquote"/>
        <w:rPr>
          <w:rFonts w:eastAsia="Arial"/>
        </w:rPr>
      </w:pPr>
      <w:r w:rsidRPr="00C52695">
        <w:rPr>
          <w:rFonts w:eastAsia="Arial"/>
        </w:rPr>
        <w:t>It is clear from Monkhouse (1996) that the second parameter refers to the utilisation value of a distributed imputation credit. This parameter is commonly denoted and called theta. It is also clear from the post-tax basis of the regulatory framework (and the Officer and Monkhouse WACC frameworks) that the item of interest is more precisely described as the after-company-before-personal-tax utilisation value of a distributed imputation credit.</w:t>
      </w:r>
    </w:p>
    <w:p w:rsidR="00C52695" w:rsidRDefault="00C52695" w:rsidP="00C52695">
      <w:r w:rsidRPr="00ED480E">
        <w:t>The Officer Paper makes clear that gamma is:</w:t>
      </w:r>
    </w:p>
    <w:p w:rsidR="00C52695" w:rsidRDefault="00C52695" w:rsidP="00C52695">
      <w:pPr>
        <w:pStyle w:val="AERnumberedlistsecondstyle"/>
      </w:pPr>
      <w:r w:rsidRPr="00705187">
        <w:t xml:space="preserve">the proportion of tax collected from the company which gives rise to the tax credit associated with a franked dividend; </w:t>
      </w:r>
      <w:r w:rsidRPr="005764F6">
        <w:rPr>
          <w:rStyle w:val="AERtextitalic"/>
        </w:rPr>
        <w:t>which is</w:t>
      </w:r>
    </w:p>
    <w:p w:rsidR="00C52695" w:rsidRDefault="00C52695" w:rsidP="00C52695">
      <w:pPr>
        <w:pStyle w:val="AERnumberedlistsecondstyle"/>
      </w:pPr>
      <w:r w:rsidRPr="00705187">
        <w:t xml:space="preserve">the value of a dollar of tax credit to the shareholder; </w:t>
      </w:r>
      <w:r w:rsidRPr="005764F6">
        <w:rPr>
          <w:rStyle w:val="AERtextitalic"/>
        </w:rPr>
        <w:t>with the result that</w:t>
      </w:r>
    </w:p>
    <w:p w:rsidR="00C52695" w:rsidRDefault="00C52695" w:rsidP="00C52695">
      <w:pPr>
        <w:pStyle w:val="AERnumberedlistsecondstyle"/>
      </w:pPr>
      <w:r w:rsidRPr="00705187">
        <w:t>if the shareholder can fully utilise the imputation tax credits then the value of gamma =1.</w:t>
      </w:r>
      <w:r>
        <w:rPr>
          <w:rStyle w:val="FootnoteReference"/>
        </w:rPr>
        <w:footnoteReference w:id="363"/>
      </w:r>
    </w:p>
    <w:p w:rsidR="00C52695" w:rsidRPr="001D37D5" w:rsidRDefault="00C52695" w:rsidP="00C52695">
      <w:r>
        <w:t>Our</w:t>
      </w:r>
      <w:r w:rsidRPr="001D37D5">
        <w:t xml:space="preserve"> approach to gamma, as drawing upon the Officer Paper, advances the NEO and the NGO and does not detract from those objectives. The purpose of including the gamma parameter in the corporate income tax formula is to ensure that investors are appropriately compensated having regard to the combined value of dividends, capital gains and imputation credits they receive.</w:t>
      </w:r>
    </w:p>
    <w:p w:rsidR="00C52695" w:rsidRPr="00FD036B" w:rsidRDefault="00C52695" w:rsidP="00C52695">
      <w:r w:rsidRPr="00FD036B">
        <w:t xml:space="preserve">The Officer Paper included the following explanation of gamma at </w:t>
      </w:r>
      <w:r w:rsidR="00116FD8" w:rsidRPr="00FD036B">
        <w:t>pp.</w:t>
      </w:r>
      <w:r w:rsidRPr="00FD036B">
        <w:t xml:space="preserve"> 2-4 (emphasis added):</w:t>
      </w:r>
    </w:p>
    <w:p w:rsidR="00C52695" w:rsidRPr="00FD036B" w:rsidRDefault="00C52695" w:rsidP="00C52695">
      <w:pPr>
        <w:pStyle w:val="AERquote"/>
      </w:pPr>
      <w:r w:rsidRPr="00C52695">
        <w:rPr>
          <w:rFonts w:eastAsia="Arial"/>
        </w:rPr>
        <w:t>Under an imputation system, credit is given to shareholders for the company tax implicitly levied on their dividend receipts, i.e. dividends paid after company tax has been levied which implies that the dividends have been taxed at the company level. Under a full imputation tax system, tax that is implicitly being levied on the dividends can be credited against any further tax liabilities of the shareholder (the recipient of the dividend).</w:t>
      </w:r>
    </w:p>
    <w:p w:rsidR="00C52695" w:rsidRPr="00C52695" w:rsidRDefault="00C52695" w:rsidP="00C52695">
      <w:pPr>
        <w:pStyle w:val="AERquote"/>
        <w:rPr>
          <w:rFonts w:eastAsia="Arial"/>
        </w:rPr>
      </w:pPr>
      <w:r w:rsidRPr="00C52695">
        <w:rPr>
          <w:rFonts w:eastAsia="Arial"/>
        </w:rPr>
        <w:t xml:space="preserve">The proportion of company tax that can be fully rebated against personal tax liabilities is best viewed as personal income tax collected at the company level. In effect, the tax collected at the company level is a mixture of personal tax and company tax, the company tax being that proportion of the tax collected which is not credited (rebated) against personal tax. If all the collection of tax from a company is rebateable (in the Australian terminology if all the franking credits can be used against personal tax liabilities), then for that company’s shareholders company tax is effectively eliminated.  </w:t>
      </w:r>
      <w:r w:rsidRPr="00C52695">
        <w:rPr>
          <w:rFonts w:eastAsia="Arial"/>
        </w:rPr>
        <w:lastRenderedPageBreak/>
        <w:t>The tax the company pays is simply the shareholders’ personal income tax being collected at the company level.</w:t>
      </w:r>
    </w:p>
    <w:p w:rsidR="00C52695" w:rsidRPr="00C52695" w:rsidRDefault="00C52695" w:rsidP="00C52695">
      <w:pPr>
        <w:pStyle w:val="AERquote"/>
        <w:rPr>
          <w:rFonts w:eastAsia="Arial"/>
        </w:rPr>
      </w:pPr>
      <w:r w:rsidRPr="00C52695">
        <w:rPr>
          <w:rFonts w:eastAsia="Arial"/>
        </w:rPr>
        <w:t>The amount of tax collected from the company by the government is found by applying the effective tax rate (T) to the operating income less interest, i.e. X</w:t>
      </w:r>
      <w:r w:rsidRPr="00C52695">
        <w:rPr>
          <w:rStyle w:val="AERsubscript"/>
          <w:rFonts w:eastAsia="Arial"/>
        </w:rPr>
        <w:t>O</w:t>
      </w:r>
      <w:r w:rsidRPr="00C52695">
        <w:rPr>
          <w:rFonts w:eastAsia="Arial"/>
        </w:rPr>
        <w:t xml:space="preserve"> – X</w:t>
      </w:r>
      <w:r w:rsidRPr="00C52695">
        <w:rPr>
          <w:rStyle w:val="AERsubscript"/>
          <w:rFonts w:eastAsia="Arial"/>
        </w:rPr>
        <w:t>D</w:t>
      </w:r>
      <w:r w:rsidRPr="00C52695">
        <w:rPr>
          <w:rFonts w:eastAsia="Arial"/>
        </w:rPr>
        <w:t>.</w:t>
      </w:r>
    </w:p>
    <w:p w:rsidR="00C52695" w:rsidRPr="00FD036B" w:rsidRDefault="00C52695" w:rsidP="00C52695">
      <w:pPr>
        <w:pStyle w:val="AERquote"/>
      </w:pPr>
      <w:r w:rsidRPr="00C52695">
        <w:rPr>
          <w:rFonts w:eastAsia="Arial"/>
        </w:rPr>
        <w:t>This amount, i.e. T(X</w:t>
      </w:r>
      <w:r w:rsidRPr="00C52695">
        <w:rPr>
          <w:rStyle w:val="AERsubscript"/>
          <w:rFonts w:eastAsia="Arial"/>
        </w:rPr>
        <w:t>O</w:t>
      </w:r>
      <w:r w:rsidRPr="00C52695">
        <w:rPr>
          <w:rFonts w:eastAsia="Arial"/>
        </w:rPr>
        <w:t xml:space="preserve"> – X</w:t>
      </w:r>
      <w:r w:rsidRPr="00C52695">
        <w:rPr>
          <w:rStyle w:val="AERsubscript"/>
          <w:rFonts w:eastAsia="Arial"/>
        </w:rPr>
        <w:t>D</w:t>
      </w:r>
      <w:r w:rsidRPr="00C52695">
        <w:rPr>
          <w:rFonts w:eastAsia="Arial"/>
        </w:rPr>
        <w:t>) represents the amount of tax collected from the company but not all of this is company tax. A proportion (γ) of the tax collected from the company will be rebated against personal tax and, therefore, is not really company tax but rather is a collection of personal tax at the company level. Therefore, if we wish to define the effective company tax collection, we need to reduce T by the proportion γ.</w:t>
      </w:r>
    </w:p>
    <w:p w:rsidR="00C52695" w:rsidRPr="00C52695" w:rsidRDefault="00C52695" w:rsidP="00C52695">
      <w:pPr>
        <w:pStyle w:val="AERquote"/>
        <w:rPr>
          <w:rFonts w:eastAsia="Arial"/>
        </w:rPr>
      </w:pPr>
      <w:r w:rsidRPr="00C52695">
        <w:rPr>
          <w:rFonts w:eastAsia="Arial"/>
        </w:rPr>
        <w:t>In these circumstances, the effective level of company tax paid is defined by:</w:t>
      </w:r>
    </w:p>
    <w:p w:rsidR="00C52695" w:rsidRPr="00C52695" w:rsidRDefault="00C52695" w:rsidP="00C52695">
      <w:pPr>
        <w:pStyle w:val="AERquote"/>
        <w:rPr>
          <w:rFonts w:eastAsia="Arial"/>
        </w:rPr>
      </w:pPr>
      <w:r w:rsidRPr="00C52695">
        <w:rPr>
          <w:rFonts w:eastAsia="Arial"/>
        </w:rPr>
        <w:t>XG = T(X</w:t>
      </w:r>
      <w:r w:rsidRPr="00C52695">
        <w:rPr>
          <w:rStyle w:val="AERsubscript"/>
          <w:rFonts w:eastAsia="Arial"/>
        </w:rPr>
        <w:t>O</w:t>
      </w:r>
      <w:r w:rsidRPr="00C52695">
        <w:rPr>
          <w:rFonts w:eastAsia="Arial"/>
        </w:rPr>
        <w:t xml:space="preserve"> – X</w:t>
      </w:r>
      <w:r w:rsidRPr="00C52695">
        <w:rPr>
          <w:rStyle w:val="AERsubscript"/>
          <w:rFonts w:eastAsia="Arial"/>
        </w:rPr>
        <w:t>D</w:t>
      </w:r>
      <w:r w:rsidRPr="00C52695">
        <w:rPr>
          <w:rFonts w:eastAsia="Arial"/>
        </w:rPr>
        <w:t>) - γ . T(X</w:t>
      </w:r>
      <w:r w:rsidRPr="00C52695">
        <w:rPr>
          <w:rStyle w:val="AERsubscript"/>
          <w:rFonts w:eastAsia="Arial"/>
        </w:rPr>
        <w:t>O</w:t>
      </w:r>
      <w:r w:rsidRPr="00C52695">
        <w:rPr>
          <w:rFonts w:eastAsia="Arial"/>
        </w:rPr>
        <w:t xml:space="preserve"> – X</w:t>
      </w:r>
      <w:r w:rsidRPr="00C52695">
        <w:rPr>
          <w:rStyle w:val="AERsubscript"/>
          <w:rFonts w:eastAsia="Arial"/>
        </w:rPr>
        <w:t>D</w:t>
      </w:r>
      <w:r w:rsidRPr="00C52695">
        <w:rPr>
          <w:rFonts w:eastAsia="Arial"/>
        </w:rPr>
        <w:t>)</w:t>
      </w:r>
    </w:p>
    <w:p w:rsidR="00C52695" w:rsidRPr="00C52695" w:rsidRDefault="00C52695" w:rsidP="00C52695">
      <w:pPr>
        <w:pStyle w:val="AERquote"/>
        <w:rPr>
          <w:rFonts w:eastAsia="Arial"/>
        </w:rPr>
      </w:pPr>
      <w:r w:rsidRPr="00C52695">
        <w:rPr>
          <w:rFonts w:eastAsia="Arial"/>
        </w:rPr>
        <w:t>= T (X</w:t>
      </w:r>
      <w:r w:rsidRPr="00C52695">
        <w:rPr>
          <w:rStyle w:val="AERsubscript"/>
          <w:rFonts w:eastAsia="Arial"/>
        </w:rPr>
        <w:t>O</w:t>
      </w:r>
      <w:r w:rsidRPr="00C52695">
        <w:rPr>
          <w:rFonts w:eastAsia="Arial"/>
        </w:rPr>
        <w:t xml:space="preserve"> – X</w:t>
      </w:r>
      <w:r w:rsidRPr="00C52695">
        <w:rPr>
          <w:rStyle w:val="AERsubscript"/>
          <w:rFonts w:eastAsia="Arial"/>
        </w:rPr>
        <w:t>D</w:t>
      </w:r>
      <w:r w:rsidRPr="00C52695">
        <w:rPr>
          <w:rFonts w:eastAsia="Arial"/>
        </w:rPr>
        <w:t>) (1-γ)</w:t>
      </w:r>
      <w:r w:rsidRPr="00C52695">
        <w:rPr>
          <w:rFonts w:eastAsia="Arial"/>
        </w:rPr>
        <w:tab/>
        <w:t>(2)</w:t>
      </w:r>
    </w:p>
    <w:p w:rsidR="00C52695" w:rsidRPr="00C52695" w:rsidRDefault="00C52695" w:rsidP="00C52695">
      <w:pPr>
        <w:pStyle w:val="AERquote"/>
        <w:rPr>
          <w:rFonts w:eastAsia="Arial"/>
        </w:rPr>
      </w:pPr>
      <w:r w:rsidRPr="00C52695">
        <w:rPr>
          <w:rFonts w:eastAsia="Arial"/>
        </w:rPr>
        <w:t>where</w:t>
      </w:r>
    </w:p>
    <w:p w:rsidR="00C52695" w:rsidRPr="00C52695" w:rsidRDefault="00C52695" w:rsidP="00C52695">
      <w:pPr>
        <w:pStyle w:val="AERquote"/>
        <w:rPr>
          <w:rFonts w:eastAsia="Arial"/>
        </w:rPr>
      </w:pPr>
      <w:r w:rsidRPr="00C52695">
        <w:rPr>
          <w:rFonts w:eastAsia="Arial"/>
        </w:rPr>
        <w:t>T is the tax rate effective for the definition of assessable income as defined in (2), it is the effective rate which is levied at the company level and it is a mixture of company tax T(1-γ) and personal tax, T. γ, i.e. T= T( 1-γ) + Tγ. Thus γ is the proportion of tax collected from the company which gives rise to the tax credit associated with a franked dividend. This franking</w:t>
      </w:r>
      <w:r>
        <w:t xml:space="preserve"> </w:t>
      </w:r>
      <w:r w:rsidRPr="00C52695">
        <w:rPr>
          <w:rFonts w:eastAsia="Arial"/>
        </w:rPr>
        <w:t>credit can be utilized as tax credit against the personal tax liabilities of the shareholder. γ can be interpreted as the value of a dollar of tax credit to the shareholder.</w:t>
      </w:r>
    </w:p>
    <w:p w:rsidR="00C52695" w:rsidRPr="00FD036B" w:rsidRDefault="00C52695" w:rsidP="00C52695">
      <w:pPr>
        <w:pStyle w:val="ListParagraph"/>
        <w:numPr>
          <w:ilvl w:val="0"/>
          <w:numId w:val="24"/>
        </w:numPr>
      </w:pPr>
      <w:r w:rsidRPr="00FD036B">
        <w:t>The Officer Paper set out the following example of its interpretation of gamma:</w:t>
      </w:r>
      <w:r>
        <w:rPr>
          <w:rStyle w:val="FootnoteReference"/>
        </w:rPr>
        <w:footnoteReference w:id="364"/>
      </w:r>
    </w:p>
    <w:p w:rsidR="00C52695" w:rsidRPr="00C52695" w:rsidRDefault="00C52695" w:rsidP="00C52695">
      <w:pPr>
        <w:pStyle w:val="AERquote"/>
        <w:rPr>
          <w:rFonts w:eastAsia="Arial"/>
        </w:rPr>
      </w:pPr>
      <w:r w:rsidRPr="00C52695">
        <w:rPr>
          <w:rFonts w:eastAsia="Arial"/>
        </w:rPr>
        <w:t>For example, if the shareholder can fully utilize the imputation tax credits then (“value”) γ = 1, e.g. a superfund or an Australian resident personal taxpayer. On the other hand a tax exempt or an offshore taxpayer who cannot utilize or otherwise access the value in the tax credit will set γ = 0.</w:t>
      </w:r>
    </w:p>
    <w:p w:rsidR="00C52695" w:rsidRDefault="00C52695" w:rsidP="00C52695">
      <w:pPr>
        <w:pStyle w:val="ListParagraph"/>
        <w:numPr>
          <w:ilvl w:val="0"/>
          <w:numId w:val="24"/>
        </w:numPr>
      </w:pPr>
      <w:r w:rsidRPr="005764F6">
        <w:rPr>
          <w:rStyle w:val="AERbody"/>
        </w:rPr>
        <w:t>While the above passages of the Officer Paper describe gamma using slightly different permutations of language, it is clear that, at its core, gamma is conceptualised by Officer as being concerned with investors’ utilisation of tax credits.</w:t>
      </w:r>
    </w:p>
    <w:p w:rsidR="00C52695" w:rsidRPr="00883125" w:rsidRDefault="00C52695" w:rsidP="00C52695">
      <w:pPr>
        <w:numPr>
          <w:ilvl w:val="0"/>
          <w:numId w:val="24"/>
        </w:numPr>
      </w:pPr>
      <w:r w:rsidRPr="00883125">
        <w:t xml:space="preserve">Officer describes gamma in different ways, and this is a potential source of ambiguity regarding what the parameter represents and therefore how one might estimate it in practice. Whilst Handley acknowledged that Officer describes gamma in seemingly different </w:t>
      </w:r>
      <w:r w:rsidRPr="00883125">
        <w:lastRenderedPageBreak/>
        <w:t>ways, he advised that, when examined closely, there is no ambiguity in the meaning of Officer. Handley advised:</w:t>
      </w:r>
      <w:r w:rsidRPr="00883125">
        <w:rPr>
          <w:rStyle w:val="FootnoteReference"/>
        </w:rPr>
        <w:footnoteReference w:id="365"/>
      </w:r>
    </w:p>
    <w:p w:rsidR="00C52695" w:rsidRPr="00883125" w:rsidRDefault="00C52695" w:rsidP="00C52695">
      <w:pPr>
        <w:pStyle w:val="AERquote"/>
      </w:pPr>
      <w:r w:rsidRPr="00883125">
        <w:t>Similarly, Officer has described gamma in seemingly different ways. For example he refers to:</w:t>
      </w:r>
    </w:p>
    <w:p w:rsidR="00C52695" w:rsidRPr="00883125" w:rsidRDefault="00C52695" w:rsidP="00C52695">
      <w:pPr>
        <w:pStyle w:val="AERquote"/>
        <w:rPr>
          <w:rStyle w:val="AERtextitalic"/>
        </w:rPr>
      </w:pPr>
      <w:r w:rsidRPr="00883125">
        <w:rPr>
          <w:rStyle w:val="AERtextitalic"/>
        </w:rPr>
        <w:t>“A proportion (</w:t>
      </w:r>
      <w:r w:rsidRPr="00883125">
        <w:rPr>
          <w:rStyle w:val="AERtextitalic"/>
          <w:rFonts w:hint="eastAsia"/>
        </w:rPr>
        <w:t>γ</w:t>
      </w:r>
      <w:r w:rsidRPr="00883125">
        <w:rPr>
          <w:rStyle w:val="AERtextitalic"/>
        </w:rPr>
        <w:t>) of the tax collected from the company will be rebated against personal tax.”</w:t>
      </w:r>
    </w:p>
    <w:p w:rsidR="00C52695" w:rsidRPr="00883125" w:rsidRDefault="00C52695" w:rsidP="00C52695">
      <w:pPr>
        <w:pStyle w:val="AERquote"/>
      </w:pPr>
      <w:r w:rsidRPr="00883125">
        <w:t>and shortly thereafter:</w:t>
      </w:r>
    </w:p>
    <w:p w:rsidR="00C52695" w:rsidRPr="00883125" w:rsidRDefault="00C52695" w:rsidP="00C52695">
      <w:pPr>
        <w:pStyle w:val="AERquote"/>
        <w:rPr>
          <w:rStyle w:val="AERtextitalic"/>
        </w:rPr>
      </w:pPr>
      <w:r w:rsidRPr="00883125">
        <w:rPr>
          <w:rStyle w:val="AERtextitalic"/>
          <w:rFonts w:hint="eastAsia"/>
        </w:rPr>
        <w:t>“γ</w:t>
      </w:r>
      <w:r w:rsidRPr="00883125">
        <w:rPr>
          <w:rStyle w:val="AERtextitalic"/>
        </w:rPr>
        <w:t xml:space="preserve"> can be interpreted as the value of a dollar of tax credit to the shareholder.” </w:t>
      </w:r>
    </w:p>
    <w:p w:rsidR="00C52695" w:rsidRPr="00883125" w:rsidRDefault="00C52695" w:rsidP="00C52695">
      <w:pPr>
        <w:pStyle w:val="AERquote"/>
      </w:pPr>
      <w:r w:rsidRPr="00883125">
        <w:t>But again, there is no ambiguity. These terms can and have been used interchangeably because the underlying source of value of an imputation credit to shareholders is the consequent reduction in personal taxes in recognition of taxes that were previously paid at the corporate level. In other words, within the Officer framework, it is clear that gamma represents the utilisation or redemption value of imputation credits and this value corresponds to the proportion of company tax which is in effect a prepayment of personal tax by the company on behalf of its shareholders. It is this identification of the personal tax component of the company tax paid which is the central idea of the paper.</w:t>
      </w:r>
    </w:p>
    <w:p w:rsidR="00C52695" w:rsidRPr="00883125" w:rsidRDefault="00C52695" w:rsidP="00C52695">
      <w:pPr>
        <w:numPr>
          <w:ilvl w:val="0"/>
          <w:numId w:val="24"/>
        </w:numPr>
      </w:pPr>
      <w:r w:rsidRPr="00883125">
        <w:t>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we adopted in the Guideline and continue to adopt in this decision. This interpretation is consistent with the Officer framework and is supported by advice from Handley.</w:t>
      </w:r>
    </w:p>
    <w:p w:rsidR="00C52695" w:rsidRPr="005764F6" w:rsidRDefault="00AF1BD9" w:rsidP="00C52695">
      <w:pPr>
        <w:numPr>
          <w:ilvl w:val="0"/>
          <w:numId w:val="24"/>
        </w:numPr>
        <w:rPr>
          <w:rStyle w:val="AERbody"/>
        </w:rPr>
      </w:pPr>
      <w:r>
        <w:rPr>
          <w:rStyle w:val="AERbody"/>
        </w:rPr>
        <w:t>T</w:t>
      </w:r>
      <w:r w:rsidR="00C52695" w:rsidRPr="005764F6">
        <w:rPr>
          <w:rStyle w:val="AERbody"/>
        </w:rPr>
        <w:t xml:space="preserve">he </w:t>
      </w:r>
      <w:r>
        <w:rPr>
          <w:rStyle w:val="AERbody"/>
        </w:rPr>
        <w:t xml:space="preserve">Ausgrid </w:t>
      </w:r>
      <w:r w:rsidR="00C52695" w:rsidRPr="005764F6">
        <w:rPr>
          <w:rStyle w:val="AERbody"/>
        </w:rPr>
        <w:t xml:space="preserve">Tribunal considered </w:t>
      </w:r>
      <w:r w:rsidR="00C52695">
        <w:rPr>
          <w:rStyle w:val="AERbody"/>
        </w:rPr>
        <w:t>we</w:t>
      </w:r>
      <w:r w:rsidR="00C52695" w:rsidRPr="005764F6">
        <w:rPr>
          <w:rStyle w:val="AERbody"/>
        </w:rPr>
        <w:t xml:space="preserve"> had erred in adopting a conceptual approach to gamma that redefines it as the value of imputation credits that are available for redemption.</w:t>
      </w:r>
      <w:r w:rsidR="00C52695" w:rsidRPr="00857C5F">
        <w:rPr>
          <w:rStyle w:val="FootnoteReference"/>
        </w:rPr>
        <w:footnoteReference w:id="366"/>
      </w:r>
      <w:r w:rsidR="00C52695" w:rsidRPr="005764F6">
        <w:rPr>
          <w:rStyle w:val="AERbody"/>
        </w:rPr>
        <w:t xml:space="preserve"> The </w:t>
      </w:r>
      <w:r>
        <w:rPr>
          <w:rStyle w:val="AERbody"/>
        </w:rPr>
        <w:t xml:space="preserve">Ausgrid </w:t>
      </w:r>
      <w:r w:rsidR="00C52695" w:rsidRPr="005764F6">
        <w:rPr>
          <w:rStyle w:val="AERbody"/>
        </w:rPr>
        <w:t xml:space="preserve">Tribunal found this due to </w:t>
      </w:r>
      <w:r w:rsidR="00C52695">
        <w:rPr>
          <w:rStyle w:val="AERbody"/>
        </w:rPr>
        <w:t>us</w:t>
      </w:r>
      <w:r w:rsidR="00C52695" w:rsidRPr="005764F6">
        <w:rPr>
          <w:rStyle w:val="AERbody"/>
        </w:rPr>
        <w:t xml:space="preserve"> placing most reliance on the equity ownership approach and effectively defining the utilisation value as the proportion of distributed imputation credits that are available for redemption.</w:t>
      </w:r>
      <w:r w:rsidR="00C52695" w:rsidRPr="00857C5F">
        <w:rPr>
          <w:rStyle w:val="FootnoteReference"/>
        </w:rPr>
        <w:footnoteReference w:id="367"/>
      </w:r>
      <w:r w:rsidR="00C52695" w:rsidRPr="005764F6">
        <w:rPr>
          <w:rStyle w:val="AERbody"/>
        </w:rPr>
        <w:t xml:space="preserve"> The </w:t>
      </w:r>
      <w:r>
        <w:rPr>
          <w:rStyle w:val="AERbody"/>
        </w:rPr>
        <w:t xml:space="preserve">Ausgrid </w:t>
      </w:r>
      <w:r w:rsidR="00C52695" w:rsidRPr="005764F6">
        <w:rPr>
          <w:rStyle w:val="AERbody"/>
        </w:rPr>
        <w:t>Tribunal considered that such an approach:</w:t>
      </w:r>
      <w:r w:rsidR="00C52695" w:rsidRPr="00857C5F">
        <w:rPr>
          <w:rStyle w:val="FootnoteReference"/>
        </w:rPr>
        <w:footnoteReference w:id="368"/>
      </w:r>
    </w:p>
    <w:p w:rsidR="00C52695" w:rsidRPr="005764F6" w:rsidRDefault="00C52695" w:rsidP="00C52695">
      <w:pPr>
        <w:pStyle w:val="AERquote"/>
      </w:pPr>
      <w:r w:rsidRPr="005764F6">
        <w:lastRenderedPageBreak/>
        <w:t xml:space="preserve">Is inconsistent with the concept of gamma in the Officer Framework for the WACC which underlies the rules and the objective of ensuring a market rate of return on equity by making an adjustment to the revenue allowance for taxation to take </w:t>
      </w:r>
      <w:r w:rsidRPr="00B31DF2">
        <w:t>account</w:t>
      </w:r>
      <w:r w:rsidR="008B34DF">
        <w:t xml:space="preserve"> for imputation credits.</w:t>
      </w:r>
    </w:p>
    <w:p w:rsidR="00C52695" w:rsidRPr="005764F6" w:rsidRDefault="00C52695" w:rsidP="00C52695">
      <w:r>
        <w:t>We</w:t>
      </w:r>
      <w:r w:rsidRPr="005764F6">
        <w:t xml:space="preserve"> consider </w:t>
      </w:r>
      <w:r>
        <w:t>our</w:t>
      </w:r>
      <w:r w:rsidRPr="005764F6">
        <w:t xml:space="preserve"> a</w:t>
      </w:r>
      <w:r>
        <w:t>pproach is consistent with the O</w:t>
      </w:r>
      <w:r w:rsidRPr="005764F6">
        <w:t xml:space="preserve">fficer framework and our estimation of the required return on equity. </w:t>
      </w:r>
      <w:r>
        <w:t>We</w:t>
      </w:r>
      <w:r w:rsidRPr="005764F6">
        <w:t xml:space="preserve"> consider what matters from a value to investor's perspective is the face value of imputation credits expected to be utilised as this reflects both the cost of these imputation credits to the regulated businesses and the benefit that investors receive from these credits when utilised to reduce their tax payable</w:t>
      </w:r>
      <w:r>
        <w:t xml:space="preserve"> (or to receive a refund from the government)</w:t>
      </w:r>
      <w:r w:rsidRPr="005764F6">
        <w:t>. The post company (pre-personal) tax value of an imputation credit when utilised is approximately</w:t>
      </w:r>
      <w:r w:rsidRPr="00857C5F">
        <w:rPr>
          <w:rStyle w:val="FootnoteReference"/>
        </w:rPr>
        <w:footnoteReference w:id="369"/>
      </w:r>
      <w:r w:rsidRPr="005764F6">
        <w:t xml:space="preserve"> its face value. This is further discussed in section </w:t>
      </w:r>
      <w:r w:rsidRPr="005764F6">
        <w:fldChar w:fldCharType="begin"/>
      </w:r>
      <w:r w:rsidRPr="005764F6">
        <w:instrText xml:space="preserve"> REF _Ref435171205 \r \h  \* MERGEFORMAT </w:instrText>
      </w:r>
      <w:r w:rsidRPr="005764F6">
        <w:fldChar w:fldCharType="separate"/>
      </w:r>
      <w:r w:rsidR="00812A72">
        <w:t>A.15.3</w:t>
      </w:r>
      <w:r w:rsidRPr="005764F6">
        <w:fldChar w:fldCharType="end"/>
      </w:r>
      <w:r w:rsidRPr="005764F6">
        <w:t>.</w:t>
      </w:r>
    </w:p>
    <w:p w:rsidR="00C52695" w:rsidRPr="00883125" w:rsidRDefault="00C52695" w:rsidP="00C52695">
      <w:pPr>
        <w:numPr>
          <w:ilvl w:val="0"/>
          <w:numId w:val="24"/>
        </w:numPr>
      </w:pPr>
      <w:r w:rsidRPr="00883125">
        <w:t>The Officer framework assumes all free cash flows (including imputation credits) are fully paid out each period. That is, the Officer framework is a 'perpetuity' framework. However, in reality not all imputation credits are necessarily paid out each period, nor are all other free cash flows necessarily paid out.</w:t>
      </w:r>
      <w:r w:rsidRPr="00883125">
        <w:rPr>
          <w:rStyle w:val="FootnoteReference"/>
        </w:rPr>
        <w:footnoteReference w:id="370"/>
      </w:r>
      <w:r w:rsidRPr="00883125">
        <w:t xml:space="preserve"> For example, it is typical for a company to retain some earnings from a previous year to fund part of its future investment, rather than pay out all earnings as dividends and fully raise the funding of future investment from external sources. Work by Monkhouse (and others) extends the Officer framework by allowing for less than a full payout of cash flows and imputation credits each period. Handley advised that Monkhouse effectively shows that:</w:t>
      </w:r>
      <w:r w:rsidRPr="00883125">
        <w:rPr>
          <w:rStyle w:val="FootnoteReference"/>
        </w:rPr>
        <w:footnoteReference w:id="371"/>
      </w:r>
    </w:p>
    <w:p w:rsidR="00C52695" w:rsidRPr="00883125" w:rsidRDefault="00C52695" w:rsidP="00C52695">
      <w:pPr>
        <w:numPr>
          <w:ilvl w:val="0"/>
          <w:numId w:val="24"/>
        </w:numPr>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C52695" w:rsidRPr="00883125" w:rsidRDefault="00C52695" w:rsidP="00C52695">
      <w:pPr>
        <w:numPr>
          <w:ilvl w:val="0"/>
          <w:numId w:val="24"/>
        </w:numPr>
      </w:pPr>
      <w:r w:rsidRPr="00883125">
        <w:t>where:</w:t>
      </w:r>
    </w:p>
    <w:p w:rsidR="00C52695" w:rsidRPr="001D37D5" w:rsidRDefault="00C52695" w:rsidP="00C52695">
      <w:pPr>
        <w:pStyle w:val="AERbulletlistfirststyle"/>
      </w:pPr>
      <m:oMath>
        <m:r>
          <w:rPr>
            <w:rFonts w:ascii="Cambria Math" w:hAnsi="Cambria Math"/>
          </w:rPr>
          <m:t>F</m:t>
        </m:r>
      </m:oMath>
      <w:r w:rsidRPr="001D37D5">
        <w:t xml:space="preserve"> is the proportion of imputation credits generated that are distributed in a period (the 'distribution rate').</w:t>
      </w:r>
    </w:p>
    <w:p w:rsidR="00C52695" w:rsidRPr="001D37D5" w:rsidRDefault="00C52695" w:rsidP="00C52695">
      <w:pPr>
        <w:pStyle w:val="AERbulletlistfirststyle"/>
      </w:pPr>
      <m:oMath>
        <m:r>
          <w:rPr>
            <w:rFonts w:ascii="Cambria Math" w:hAnsi="Cambria Math"/>
          </w:rPr>
          <m:t>θ</m:t>
        </m:r>
      </m:oMath>
      <w:r w:rsidRPr="001D37D5">
        <w:t xml:space="preserve"> (theta) is the utilisation value to investors in the market per dollar of imputation credits distributed (the 'utilisation rate').</w:t>
      </w:r>
    </w:p>
    <w:p w:rsidR="00C52695" w:rsidRPr="001D37D5" w:rsidRDefault="00C52695" w:rsidP="00C52695">
      <w:pPr>
        <w:pStyle w:val="AERbulletlistfirststyle"/>
      </w:pPr>
      <m:oMath>
        <m:r>
          <w:rPr>
            <w:rFonts w:ascii="Cambria Math" w:hAnsi="Cambria Math"/>
          </w:rPr>
          <m:t>ψ</m:t>
        </m:r>
      </m:oMath>
      <w:r w:rsidRPr="001D37D5" w:rsidDel="008647A1">
        <w:t xml:space="preserve"> </w:t>
      </w:r>
      <w:r w:rsidRPr="001D37D5">
        <w:t>(psi) is the utilisation value of a retained credit to investors in the market.</w:t>
      </w:r>
    </w:p>
    <w:p w:rsidR="00C52695" w:rsidRPr="00883125" w:rsidRDefault="00C52695" w:rsidP="00C52695">
      <w:pPr>
        <w:numPr>
          <w:ilvl w:val="0"/>
          <w:numId w:val="24"/>
        </w:numPr>
      </w:pPr>
      <w:r w:rsidRPr="00883125">
        <w:lastRenderedPageBreak/>
        <w:t>Handley also advised that in frameworks such as Monkhouse's the utilisation rate in equilibrium is equal to the weighted average, by wealth and risk aversion, of the individual utilisation rates of investors in the market:</w:t>
      </w:r>
      <w:r w:rsidRPr="00883125">
        <w:rPr>
          <w:rStyle w:val="FootnoteReference"/>
        </w:rPr>
        <w:footnoteReference w:id="372"/>
      </w:r>
    </w:p>
    <w:p w:rsidR="00C52695" w:rsidRPr="00883125" w:rsidRDefault="00C52695" w:rsidP="00C52695">
      <w:pPr>
        <w:pStyle w:val="AERquote"/>
      </w:pPr>
      <w:r w:rsidRPr="00883125">
        <w:t>This interpretation of theta as a complex weighted average of investor utilisation rates is consistent with that appearing in Monkhouse (1993) and Lally and van Zijl (2003)…</w:t>
      </w:r>
    </w:p>
    <w:p w:rsidR="00C52695" w:rsidRPr="00883125" w:rsidRDefault="00C52695" w:rsidP="00C52695">
      <w:pPr>
        <w:numPr>
          <w:ilvl w:val="0"/>
          <w:numId w:val="24"/>
        </w:numPr>
      </w:pPr>
      <w:r w:rsidRPr="00883125">
        <w:t>This is also supported by Lally's remarks on the work of Lally and van Zijl:</w:t>
      </w:r>
      <w:r w:rsidRPr="00883125">
        <w:rPr>
          <w:rStyle w:val="FootnoteReference"/>
        </w:rPr>
        <w:footnoteReference w:id="373"/>
      </w:r>
    </w:p>
    <w:p w:rsidR="00C52695" w:rsidRPr="00883125" w:rsidRDefault="00C52695" w:rsidP="00C52695">
      <w:pPr>
        <w:pStyle w:val="AERquote"/>
      </w:pPr>
      <w:r w:rsidRPr="00883125">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this derivation, they show that [the utilisation rate] is a complex weighted average over all investors holding risky assets, where the weights involve each investor’s investment in risky assets and their risk aversion.</w:t>
      </w:r>
    </w:p>
    <w:p w:rsidR="00C52695" w:rsidRPr="00883125" w:rsidRDefault="00C52695" w:rsidP="00C52695">
      <w:pPr>
        <w:numPr>
          <w:ilvl w:val="0"/>
          <w:numId w:val="24"/>
        </w:numPr>
      </w:pPr>
      <w:r w:rsidRPr="00883125">
        <w:t xml:space="preserve">Consistent with the advice we received from Lally, in the Guideline we recognised that the utilisation rate is equal to the weighted average, by wealth and risk aversion, of the individual utilisation rates of investors in the market. In the Guideline, we also defined the utilisation rate as the extent to which investors can use the imputation credits they receive to reduce their tax (or receive a refund). In this decision, consistent with Handley's advice, we consider the utilisation rate is the utilisation value to investors in the market per dollar of imputation credits distributed. However, we consider that our views in the Guideline and in this decision are broadly equivalent; that is, our definition of the utilisation rate in this </w:t>
      </w:r>
      <w:r w:rsidR="00180C78">
        <w:t xml:space="preserve">final </w:t>
      </w:r>
      <w:r w:rsidRPr="00883125">
        <w:t xml:space="preserve">decision still reflects the extent to which investors in the market can use the imputation credits they receive. This is because, as discussed above and in sections </w:t>
      </w:r>
      <w:r w:rsidRPr="00883125">
        <w:fldChar w:fldCharType="begin"/>
      </w:r>
      <w:r w:rsidRPr="00883125">
        <w:instrText xml:space="preserve"> REF _Ref415144114 \r \h </w:instrText>
      </w:r>
      <w:r w:rsidRPr="00883125">
        <w:fldChar w:fldCharType="separate"/>
      </w:r>
      <w:r w:rsidR="00812A72">
        <w:t>A.5</w:t>
      </w:r>
      <w:r w:rsidRPr="00883125">
        <w:fldChar w:fldCharType="end"/>
      </w:r>
      <w:r w:rsidRPr="00883125">
        <w:t xml:space="preserve">, </w:t>
      </w:r>
      <w:r w:rsidRPr="00883125">
        <w:fldChar w:fldCharType="begin"/>
      </w:r>
      <w:r w:rsidRPr="00883125">
        <w:instrText xml:space="preserve"> REF _Ref414282622 \r \h </w:instrText>
      </w:r>
      <w:r w:rsidRPr="00883125">
        <w:fldChar w:fldCharType="separate"/>
      </w:r>
      <w:r w:rsidR="00812A72">
        <w:t>A.7</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812A72">
        <w:t>A.8.1</w:t>
      </w:r>
      <w:r w:rsidRPr="00883125">
        <w:fldChar w:fldCharType="end"/>
      </w:r>
      <w:r w:rsidRPr="00883125">
        <w:t>, to be consistent with the Officer framework (and therefore the building block framework in the NER/NGR) the utilisation rate should reflect the before-personal-tax and before-personal-costs value of imputation credits to investors. On a before-personal-tax and before-personal-costs basis, an investor that is eligible to fully utilise imputation credits should value each dollar of imputation credits received at one dollar (that is, have a utilisation rate of 1). Therefore, the utilisation value to investors in the market will reflect the weighted average, by wealth and risk aversion, of the utilisation rates of investors—some of whom will have a utilisation rate of 1 and others who will have a utilisation rate of 0.</w:t>
      </w:r>
      <w:r w:rsidRPr="00883125">
        <w:rPr>
          <w:rStyle w:val="FootnoteReference"/>
        </w:rPr>
        <w:footnoteReference w:id="374"/>
      </w:r>
      <w:r w:rsidRPr="00883125">
        <w:t xml:space="preserve"> We discuss Handley's advice on this matter further in section </w:t>
      </w:r>
      <w:r w:rsidRPr="00883125">
        <w:fldChar w:fldCharType="begin"/>
      </w:r>
      <w:r w:rsidRPr="00883125">
        <w:instrText xml:space="preserve"> REF _Ref401748758 \r \h </w:instrText>
      </w:r>
      <w:r w:rsidRPr="00883125">
        <w:fldChar w:fldCharType="separate"/>
      </w:r>
      <w:r w:rsidR="00812A72">
        <w:t>A.8.1</w:t>
      </w:r>
      <w:r w:rsidRPr="00883125">
        <w:fldChar w:fldCharType="end"/>
      </w:r>
      <w:r w:rsidRPr="00883125">
        <w:t>.</w:t>
      </w:r>
    </w:p>
    <w:p w:rsidR="00C52695" w:rsidRPr="00883125" w:rsidRDefault="00C52695" w:rsidP="00C52695">
      <w:pPr>
        <w:numPr>
          <w:ilvl w:val="0"/>
          <w:numId w:val="24"/>
        </w:numPr>
      </w:pPr>
      <w:r w:rsidRPr="00883125">
        <w:t xml:space="preserve">Returning to the expression for </w:t>
      </w:r>
      <m:oMath>
        <m:r>
          <w:rPr>
            <w:rFonts w:ascii="Cambria Math" w:hAnsi="Cambria Math"/>
          </w:rPr>
          <m:t>γ</m:t>
        </m:r>
      </m:oMath>
      <w:r w:rsidRPr="00883125">
        <w:t xml:space="preserve"> above, we have not explicitly included the value of retained credits, </w:t>
      </w:r>
      <m:oMath>
        <m:r>
          <w:rPr>
            <w:rFonts w:ascii="Cambria Math" w:hAnsi="Cambria Math"/>
          </w:rPr>
          <m:t>ψ</m:t>
        </m:r>
      </m:oMath>
      <w:r w:rsidRPr="00883125">
        <w:t xml:space="preserve">, when determining the value of imputation credits. This is mainly because we </w:t>
      </w:r>
      <w:r w:rsidRPr="00883125">
        <w:lastRenderedPageBreak/>
        <w:t>recognise that investors can only use imputation credits to reduce tax or receive a refund once the credits have been distributed. There is also the practical problem of how to quantify the value of retained credits. Handley acknowledged the potential for retained credits to have value, but also the difficulty in quantifying it:</w:t>
      </w:r>
      <w:r w:rsidRPr="00883125">
        <w:rPr>
          <w:rStyle w:val="FootnoteReference"/>
        </w:rPr>
        <w:footnoteReference w:id="375"/>
      </w:r>
    </w:p>
    <w:p w:rsidR="00C52695" w:rsidRPr="00883125" w:rsidRDefault="00C52695" w:rsidP="00C52695">
      <w:pPr>
        <w:pStyle w:val="AERquote"/>
      </w:pPr>
      <w:r w:rsidRPr="00883125">
        <w:t>Retained imputation credits can be worth no less than zero but may be worth more than zero. Estimates of gamma using the traditional approach will therefore be downward biased to the extent that retained imputation credits have value. Although it is not possible to reasonably estimate the magnitude of the bias, its direction is clear.</w:t>
      </w:r>
    </w:p>
    <w:p w:rsidR="00C52695" w:rsidRPr="00B27BE5" w:rsidRDefault="00C52695" w:rsidP="00C52695">
      <w:r>
        <w:t>We agree with Handley and consider</w:t>
      </w:r>
      <w:r w:rsidRPr="00B27BE5">
        <w:t xml:space="preserve"> assuming retained imputation credits have no value is a conservative assumption. We consider retained imputation credits have a positive value but it is difficult to quantify this value. There are many ways retained imputation credits could potentially benefit investors. For example, retained imputation credits may allow firms to conduct off market buy backs of their own stocks at a discount to prevailing market values. Off market buybacks can be structured in such a way that the purchase price is derived from both fully franked dividends and capital. Investors are prepared to sell back their shares at a discount as they derive value from imputation credits distributed and the capital gains loss that outweighs the capital loss they incur from selling at a discount.</w:t>
      </w:r>
      <w:r w:rsidRPr="00B27BE5">
        <w:rPr>
          <w:rStyle w:val="FootnoteReference"/>
        </w:rPr>
        <w:footnoteReference w:id="376"/>
      </w:r>
      <w:r w:rsidRPr="00B27BE5">
        <w:t xml:space="preserve"> Shareholders that do not participate in off market buybacks benefit from capital appreciation of their shares as the firm's capital is brought back at a discount to the prevailing market prices. An example of a recently completed off market buy back completed a discount that likely was used to stream imputation credits to those who could utilise them most highly was by Caltex Australia.</w:t>
      </w:r>
      <w:r w:rsidRPr="00B27BE5">
        <w:rPr>
          <w:rStyle w:val="FootnoteReference"/>
        </w:rPr>
        <w:footnoteReference w:id="377"/>
      </w:r>
    </w:p>
    <w:p w:rsidR="00C52695" w:rsidRPr="00B27BE5" w:rsidRDefault="00C52695" w:rsidP="00C52695">
      <w:r w:rsidRPr="00B27BE5">
        <w:t xml:space="preserve">However, </w:t>
      </w:r>
      <w:r>
        <w:t>we</w:t>
      </w:r>
      <w:r w:rsidRPr="00B27BE5">
        <w:t xml:space="preserve"> consider assuming retained imputation credits have no value might be a reasonable assumption to the extent that imputation distributions rates are expected to remain constant overtime. To the extent firms maintain in perpetuity a distribution rate less </w:t>
      </w:r>
      <w:r w:rsidR="00116FD8" w:rsidRPr="00B27BE5">
        <w:t>than</w:t>
      </w:r>
      <w:r w:rsidRPr="00B27BE5">
        <w:t xml:space="preserve"> a 100 per cent, the proportion of imputation credits that are not distributed are worthless. As we assume the historical cumulative payout ratios (for listed and all equity) are reasonable estimates of the future expected payout ratios, we consider our approach is appropriate</w:t>
      </w:r>
      <w:r>
        <w:t>.</w:t>
      </w:r>
    </w:p>
    <w:p w:rsidR="00C52695" w:rsidRPr="00883125" w:rsidRDefault="00C52695" w:rsidP="00C52695">
      <w:pPr>
        <w:pStyle w:val="Heading8"/>
      </w:pPr>
      <w:bookmarkStart w:id="212" w:name="_Ref414282622"/>
      <w:bookmarkStart w:id="213" w:name="_Toc436049448"/>
      <w:bookmarkStart w:id="214" w:name="_Ref451789926"/>
      <w:bookmarkStart w:id="215" w:name="_Toc451842253"/>
      <w:bookmarkStart w:id="216" w:name="_Ref451849752"/>
      <w:bookmarkStart w:id="217" w:name="_Toc451938308"/>
      <w:bookmarkStart w:id="218" w:name="_Toc456614301"/>
      <w:bookmarkStart w:id="219" w:name="_Toc462823319"/>
      <w:bookmarkStart w:id="220" w:name="_Toc481061472"/>
      <w:r w:rsidRPr="00883125">
        <w:t>Gray's comments on the conceptual framework</w:t>
      </w:r>
      <w:bookmarkEnd w:id="212"/>
      <w:r w:rsidRPr="00883125">
        <w:rPr>
          <w:rStyle w:val="FootnoteReference"/>
        </w:rPr>
        <w:footnoteReference w:id="378"/>
      </w:r>
      <w:bookmarkEnd w:id="213"/>
      <w:bookmarkEnd w:id="214"/>
      <w:bookmarkEnd w:id="215"/>
      <w:bookmarkEnd w:id="216"/>
      <w:bookmarkEnd w:id="217"/>
      <w:bookmarkEnd w:id="218"/>
      <w:bookmarkEnd w:id="219"/>
      <w:bookmarkEnd w:id="220"/>
    </w:p>
    <w:p w:rsidR="00C52695" w:rsidRPr="00883125" w:rsidRDefault="00C52695" w:rsidP="00C52695">
      <w:pPr>
        <w:numPr>
          <w:ilvl w:val="0"/>
          <w:numId w:val="24"/>
        </w:numPr>
      </w:pPr>
      <w:r w:rsidRPr="00883125">
        <w:t xml:space="preserve">In the previous section, we set out our position on the appropriate conceptual framework for the estimation of the value of imputation credits. In this section, we respond to Gray's view. </w:t>
      </w:r>
      <w:r w:rsidRPr="00883125">
        <w:lastRenderedPageBreak/>
        <w:t>Gray's view on the conceptual framework was largely adopted by the service providers in their proposals.</w:t>
      </w:r>
    </w:p>
    <w:p w:rsidR="00C52695" w:rsidRPr="00883125" w:rsidRDefault="00C52695" w:rsidP="00C52695">
      <w:pPr>
        <w:numPr>
          <w:ilvl w:val="0"/>
          <w:numId w:val="24"/>
        </w:numPr>
      </w:pPr>
      <w:r w:rsidRPr="00883125">
        <w:t>Gray's May 2014 report (for SFG) for the service providers submitted that:</w:t>
      </w:r>
    </w:p>
    <w:p w:rsidR="00C52695" w:rsidRPr="00883125" w:rsidRDefault="00C52695" w:rsidP="00C52695">
      <w:pPr>
        <w:pStyle w:val="AERbulletlistfirststyle"/>
      </w:pPr>
      <w:r w:rsidRPr="00883125">
        <w:t>The advice and evidence cited in the Guideline does not support the interpretation of the utilisation rate in the Guidel</w:t>
      </w:r>
      <w:r w:rsidR="008B34DF">
        <w:t>ine.</w:t>
      </w:r>
    </w:p>
    <w:p w:rsidR="00C52695" w:rsidRPr="00883125" w:rsidRDefault="00C52695" w:rsidP="00C52695">
      <w:pPr>
        <w:pStyle w:val="AERbulletlistfirststyle"/>
      </w:pPr>
      <w:r w:rsidRPr="00883125">
        <w:t>Officer shows that the value of imputation credits (gamma) represents the extent to which imputation credits are capitalised into the stock price.</w:t>
      </w:r>
    </w:p>
    <w:p w:rsidR="00C52695" w:rsidRPr="00883125" w:rsidRDefault="00C52695" w:rsidP="00C52695">
      <w:pPr>
        <w:pStyle w:val="AERbulletlistfirststyle"/>
      </w:pPr>
      <w:r w:rsidRPr="00883125">
        <w:t>The utilisation rate in the framework provided by Monkhouse (and Lally and van Zijl) should not be used to estimate the value of imputation credits.</w:t>
      </w:r>
    </w:p>
    <w:p w:rsidR="00C52695" w:rsidRPr="00883125" w:rsidRDefault="00C52695" w:rsidP="00C52695">
      <w:pPr>
        <w:numPr>
          <w:ilvl w:val="0"/>
          <w:numId w:val="24"/>
        </w:numPr>
      </w:pPr>
      <w:r w:rsidRPr="00883125">
        <w:t xml:space="preserve">The submissions from Gray, including comments in his February 2015 report (for SFG) and his June 2015 </w:t>
      </w:r>
      <w:r>
        <w:t xml:space="preserve">and January 2016 </w:t>
      </w:r>
      <w:r w:rsidRPr="00883125">
        <w:t xml:space="preserve">report (for Frontier), do not change our view on the conceptual framework for the estimation of the value of imputation credits. We do not consider his work supports the position that </w:t>
      </w:r>
      <w:r>
        <w:t>our</w:t>
      </w:r>
      <w:r w:rsidRPr="00883125">
        <w:t xml:space="preserve"> conceptual framework is not an appropriate basis on which to estimate the value of imputation credits.</w:t>
      </w:r>
      <w:r w:rsidRPr="00883125">
        <w:rPr>
          <w:rStyle w:val="FootnoteReference"/>
        </w:rPr>
        <w:footnoteReference w:id="379"/>
      </w:r>
      <w:r w:rsidRPr="00883125">
        <w:t xml:space="preserve"> We set out our reasoning below.</w:t>
      </w:r>
    </w:p>
    <w:p w:rsidR="00C52695" w:rsidRPr="00883125" w:rsidRDefault="00C52695" w:rsidP="00C52695">
      <w:pPr>
        <w:pStyle w:val="Heading9"/>
      </w:pPr>
      <w:bookmarkStart w:id="221" w:name="_Toc456614302"/>
      <w:bookmarkStart w:id="222" w:name="_Toc462823320"/>
      <w:bookmarkStart w:id="223" w:name="_Ref402179374"/>
      <w:bookmarkStart w:id="224" w:name="_Toc481061473"/>
      <w:r w:rsidRPr="00883125">
        <w:t>Gray's comments on the AER's position</w:t>
      </w:r>
      <w:bookmarkEnd w:id="221"/>
      <w:bookmarkEnd w:id="222"/>
      <w:bookmarkEnd w:id="224"/>
    </w:p>
    <w:p w:rsidR="00C52695" w:rsidRPr="00883125" w:rsidRDefault="00C52695" w:rsidP="00C52695">
      <w:r w:rsidRPr="00883125">
        <w:t>Gray (for SFG) submitted that '…the AER's position is that theta (and consequently gamma) no longer represents the value (as in "worth" or "market value to investors")…'.</w:t>
      </w:r>
      <w:r w:rsidRPr="00883125">
        <w:rPr>
          <w:rStyle w:val="FootnoteReference"/>
        </w:rPr>
        <w:footnoteReference w:id="380"/>
      </w:r>
      <w:r w:rsidRPr="00883125">
        <w:t xml:space="preserve"> This is incorrect. Our definition of the utilisation rate in this</w:t>
      </w:r>
      <w:r>
        <w:t xml:space="preserve"> </w:t>
      </w:r>
      <w:r w:rsidR="005B7E4F">
        <w:t>final</w:t>
      </w:r>
      <w:r w:rsidR="005B7E4F" w:rsidRPr="00883125">
        <w:t xml:space="preserve"> </w:t>
      </w:r>
      <w:r w:rsidRPr="00883125">
        <w:t>decision and our prior decisions released in 2014</w:t>
      </w:r>
      <w:r>
        <w:t>,</w:t>
      </w:r>
      <w:r w:rsidRPr="00883125">
        <w:t xml:space="preserve"> 2015</w:t>
      </w:r>
      <w:r>
        <w:t xml:space="preserve"> and 2016</w:t>
      </w:r>
      <w:r w:rsidRPr="00883125">
        <w:t xml:space="preserve"> (our prior decisions) is the utilisation value to investors in the market per dollar of imputation credits distributed. Thus, we do consider that the utilisation rate represents the value to investors in the market. However, the key difference between our position and Gray's is we consider that, to be consistent with the underlying conceptual framework provided by Officer, we need to estimate the before-personal-tax and before-personal-cost value. This is discussed further in section </w:t>
      </w:r>
      <w:r w:rsidRPr="00883125">
        <w:fldChar w:fldCharType="begin"/>
      </w:r>
      <w:r w:rsidRPr="00883125">
        <w:instrText xml:space="preserve"> REF _Ref414028398 \r \h </w:instrText>
      </w:r>
      <w:r>
        <w:instrText xml:space="preserve"> \* MERGEFORMAT </w:instrText>
      </w:r>
      <w:r w:rsidRPr="00883125">
        <w:fldChar w:fldCharType="separate"/>
      </w:r>
      <w:r w:rsidR="00812A72">
        <w:t>A.7.3</w:t>
      </w:r>
      <w:r w:rsidRPr="00883125">
        <w:fldChar w:fldCharType="end"/>
      </w:r>
      <w:r w:rsidRPr="00883125">
        <w:t>.</w:t>
      </w:r>
    </w:p>
    <w:p w:rsidR="00C52695" w:rsidRPr="00883125" w:rsidRDefault="001D5F36" w:rsidP="00C52695">
      <w:r>
        <w:t>T</w:t>
      </w:r>
      <w:r w:rsidR="00C52695" w:rsidRPr="00883125">
        <w:t xml:space="preserve">he </w:t>
      </w:r>
      <w:r w:rsidR="00C25A56">
        <w:t xml:space="preserve">Ausgrid </w:t>
      </w:r>
      <w:r w:rsidR="00C52695" w:rsidRPr="00883125">
        <w:t xml:space="preserve">Tribunal considered </w:t>
      </w:r>
      <w:r w:rsidR="00C52695">
        <w:t xml:space="preserve">our </w:t>
      </w:r>
      <w:r w:rsidR="00C52695" w:rsidRPr="00883125">
        <w:t>reasoning ignored the fact that other parameters in the allowed rate return calculation are market values that already incorporate the effects of the difference in investors' tax position and transaction costs.</w:t>
      </w:r>
      <w:r w:rsidR="00C52695" w:rsidRPr="00883125">
        <w:rPr>
          <w:rStyle w:val="FootnoteReference"/>
        </w:rPr>
        <w:footnoteReference w:id="381"/>
      </w:r>
    </w:p>
    <w:p w:rsidR="00C52695" w:rsidRPr="00883125" w:rsidRDefault="00C52695" w:rsidP="00C52695">
      <w:r w:rsidRPr="00883125">
        <w:lastRenderedPageBreak/>
        <w:t xml:space="preserve">In response to this, </w:t>
      </w:r>
      <w:r>
        <w:t>we</w:t>
      </w:r>
      <w:r w:rsidRPr="00883125">
        <w:t xml:space="preserve"> remain of the view that market studies </w:t>
      </w:r>
      <w:r>
        <w:t xml:space="preserve">that </w:t>
      </w:r>
      <w:r w:rsidRPr="00883125">
        <w:t>estimate</w:t>
      </w:r>
      <w:r>
        <w:t xml:space="preserve"> the </w:t>
      </w:r>
      <w:r w:rsidRPr="00883125">
        <w:t xml:space="preserve">value of imputation credits </w:t>
      </w:r>
      <w:r>
        <w:t>are</w:t>
      </w:r>
      <w:r w:rsidRPr="00883125">
        <w:t xml:space="preserve"> influenced by differential personal taxation of </w:t>
      </w:r>
      <w:r>
        <w:t>ordinary</w:t>
      </w:r>
      <w:r w:rsidRPr="00883125">
        <w:t xml:space="preserve"> income </w:t>
      </w:r>
      <w:r>
        <w:t xml:space="preserve">(which includes both cash dividends and the face value of imputation credits to eligible domestic investors) </w:t>
      </w:r>
      <w:r w:rsidRPr="00883125">
        <w:t xml:space="preserve">relative to capital gains. These differential taxation rates heavily influence these "market values" and therefore these market value estimates neither reflect a pre-personal nor post-personal tax value of imputation credits. None of our allowed rate of return parameter estimates </w:t>
      </w:r>
      <w:r>
        <w:t xml:space="preserve">require </w:t>
      </w:r>
      <w:r w:rsidRPr="00883125">
        <w:t xml:space="preserve">an explicit adjustment to make them consistent with the Officer Framework underpinning the rules. That is, they are already appropriate post </w:t>
      </w:r>
      <w:r>
        <w:t xml:space="preserve">(company) </w:t>
      </w:r>
      <w:r w:rsidRPr="00883125">
        <w:t xml:space="preserve">tax </w:t>
      </w:r>
      <w:r>
        <w:t xml:space="preserve">(pre-personal tax) </w:t>
      </w:r>
      <w:r w:rsidRPr="00883125">
        <w:t xml:space="preserve">estimates. This is discussed further below in section </w:t>
      </w:r>
      <w:r>
        <w:fldChar w:fldCharType="begin"/>
      </w:r>
      <w:r>
        <w:instrText xml:space="preserve"> REF _Ref450298425 \r \h </w:instrText>
      </w:r>
      <w:r>
        <w:fldChar w:fldCharType="separate"/>
      </w:r>
      <w:r w:rsidR="00812A72">
        <w:t>A.8.2</w:t>
      </w:r>
      <w:r>
        <w:fldChar w:fldCharType="end"/>
      </w:r>
      <w:r>
        <w:t>.</w:t>
      </w:r>
    </w:p>
    <w:p w:rsidR="00C52695" w:rsidRPr="00883125" w:rsidRDefault="00C52695" w:rsidP="00C52695">
      <w:r w:rsidRPr="00883125">
        <w:t>Gray also submitted that '[t]he AER then estimates the redemption rate, which it interprets as being consistent with the specific reference to "value" in the Rules in that it is "the number that is adopted" for imputation credits'.</w:t>
      </w:r>
      <w:r w:rsidRPr="00883125">
        <w:rPr>
          <w:rStyle w:val="FootnoteReference"/>
        </w:rPr>
        <w:footnoteReference w:id="382"/>
      </w:r>
      <w:r w:rsidRPr="00883125">
        <w:t xml:space="preserve"> This is also incorrect. In this </w:t>
      </w:r>
      <w:r w:rsidR="001C6A1D">
        <w:t xml:space="preserve">final </w:t>
      </w:r>
      <w:r w:rsidRPr="00883125">
        <w:t>decision and our prior decisions we estimate the utilisation rate. Further, nowhere in this</w:t>
      </w:r>
      <w:r>
        <w:t xml:space="preserve"> </w:t>
      </w:r>
      <w:r w:rsidR="001C6A1D">
        <w:t>final</w:t>
      </w:r>
      <w:r w:rsidR="001C6A1D" w:rsidRPr="00883125">
        <w:t xml:space="preserve"> </w:t>
      </w:r>
      <w:r w:rsidRPr="00883125">
        <w:t>decision or in our prior decisions do we seek to support any aspect of our position with 'specific reference to "value" in the Rules in that it is "the number that is adopted" for imputation credits'.</w:t>
      </w:r>
    </w:p>
    <w:p w:rsidR="00C52695" w:rsidRPr="00883125" w:rsidRDefault="00C52695" w:rsidP="00C52695">
      <w:r w:rsidRPr="00883125">
        <w:t>We also disagree with Gray's view that:</w:t>
      </w:r>
      <w:r w:rsidRPr="00883125">
        <w:rPr>
          <w:rStyle w:val="FootnoteReference"/>
        </w:rPr>
        <w:footnoteReference w:id="383"/>
      </w:r>
    </w:p>
    <w:p w:rsidR="00C52695" w:rsidRPr="00883125" w:rsidRDefault="00C52695" w:rsidP="00C52695">
      <w:pPr>
        <w:pStyle w:val="AERquote"/>
      </w:pPr>
      <w:r w:rsidRPr="00883125">
        <w:t>The AER is not saying that it has identified a number of approaches for estimating the value (as in "worth to investors in the market") of imputation credits. Rather, the AER considers:</w:t>
      </w:r>
    </w:p>
    <w:p w:rsidR="00C52695" w:rsidRPr="00883125" w:rsidRDefault="00C52695" w:rsidP="00C52695">
      <w:pPr>
        <w:pStyle w:val="AERquote"/>
      </w:pPr>
      <w:r w:rsidRPr="00883125">
        <w:t>a) Some approaches for estimating the value (as in "worth to investors in the market") of imputation credits – the market value studies; and</w:t>
      </w:r>
    </w:p>
    <w:p w:rsidR="00C52695" w:rsidRPr="00883125" w:rsidRDefault="00C52695" w:rsidP="00C52695">
      <w:pPr>
        <w:pStyle w:val="AERquote"/>
      </w:pPr>
      <w:r w:rsidRPr="00883125">
        <w:t>b) Some approaches for estimating the redemption rate – the equity ownership and ATO tax statistic approaches.</w:t>
      </w:r>
    </w:p>
    <w:p w:rsidR="00C52695" w:rsidRPr="00883125" w:rsidRDefault="00C52695" w:rsidP="00C52695">
      <w:r w:rsidRPr="00883125">
        <w:t xml:space="preserve">By contrast, the approaches on which we rely in this decision to estimate the utilisation rate are all relevant for the reasons discussed in section </w:t>
      </w:r>
      <w:r w:rsidR="00602BA7">
        <w:fldChar w:fldCharType="begin"/>
      </w:r>
      <w:r w:rsidR="00602BA7">
        <w:instrText xml:space="preserve"> REF _Ref477362088 \r \h </w:instrText>
      </w:r>
      <w:r w:rsidR="00602BA7">
        <w:fldChar w:fldCharType="separate"/>
      </w:r>
      <w:r w:rsidR="00812A72">
        <w:t>4.4</w:t>
      </w:r>
      <w:r w:rsidR="00602BA7">
        <w:fldChar w:fldCharType="end"/>
      </w:r>
      <w:r w:rsidRPr="00883125">
        <w:t xml:space="preserve"> of attachment 4.</w:t>
      </w:r>
    </w:p>
    <w:p w:rsidR="00C52695" w:rsidRPr="00883125" w:rsidRDefault="00C52695" w:rsidP="00C52695">
      <w:pPr>
        <w:pStyle w:val="Heading9"/>
      </w:pPr>
      <w:bookmarkStart w:id="225" w:name="_Toc456614303"/>
      <w:bookmarkStart w:id="226" w:name="_Toc462823321"/>
      <w:bookmarkStart w:id="227" w:name="_Toc481061474"/>
      <w:r w:rsidRPr="00883125">
        <w:t>Gray's comments on certain evidence and advice cited in the Guideline</w:t>
      </w:r>
      <w:bookmarkEnd w:id="223"/>
      <w:bookmarkEnd w:id="225"/>
      <w:bookmarkEnd w:id="226"/>
      <w:bookmarkEnd w:id="227"/>
    </w:p>
    <w:p w:rsidR="00C52695" w:rsidRPr="00883125" w:rsidRDefault="00C52695" w:rsidP="00C52695">
      <w:pPr>
        <w:numPr>
          <w:ilvl w:val="0"/>
          <w:numId w:val="24"/>
        </w:numPr>
      </w:pPr>
      <w:r w:rsidRPr="00883125">
        <w:t>In his May 2014 report, Gray (for SFG) set out why it considered that certain evidence cited in the Guideline did not support the position in the Guideline.</w:t>
      </w:r>
      <w:r w:rsidRPr="00883125">
        <w:rPr>
          <w:rStyle w:val="FootnoteReference"/>
        </w:rPr>
        <w:footnoteReference w:id="384"/>
      </w:r>
      <w:r w:rsidRPr="00883125">
        <w:t xml:space="preserve"> This evidence included:</w:t>
      </w:r>
    </w:p>
    <w:p w:rsidR="00C52695" w:rsidRPr="00883125" w:rsidRDefault="00C52695" w:rsidP="00C52695">
      <w:pPr>
        <w:pStyle w:val="AERbulletlistfirststyle"/>
      </w:pPr>
      <w:r w:rsidRPr="00883125">
        <w:t>The AEMC's 2012 rule change</w:t>
      </w:r>
    </w:p>
    <w:p w:rsidR="00C52695" w:rsidRPr="00883125" w:rsidRDefault="00C52695" w:rsidP="00C52695">
      <w:pPr>
        <w:pStyle w:val="AERbulletlistfirststyle"/>
      </w:pPr>
      <w:r w:rsidRPr="00883125">
        <w:t>McKenzie and Partington (2013)</w:t>
      </w:r>
    </w:p>
    <w:p w:rsidR="00C52695" w:rsidRPr="00883125" w:rsidRDefault="00C52695" w:rsidP="00C52695">
      <w:pPr>
        <w:pStyle w:val="AERbulletlistfirststyle"/>
      </w:pPr>
      <w:r w:rsidRPr="00883125">
        <w:lastRenderedPageBreak/>
        <w:t>Handley (2008), and</w:t>
      </w:r>
    </w:p>
    <w:p w:rsidR="00C52695" w:rsidRPr="00883125" w:rsidRDefault="00C52695" w:rsidP="00C52695">
      <w:pPr>
        <w:pStyle w:val="AERbulletlistfirststyle"/>
      </w:pPr>
      <w:r w:rsidRPr="00883125">
        <w:t>Hathaway and Officer (2004).</w:t>
      </w:r>
    </w:p>
    <w:p w:rsidR="00C52695" w:rsidRPr="00883125" w:rsidRDefault="00C52695" w:rsidP="00C52695">
      <w:pPr>
        <w:numPr>
          <w:ilvl w:val="0"/>
          <w:numId w:val="24"/>
        </w:numPr>
      </w:pPr>
      <w:r w:rsidRPr="00883125">
        <w:t>In our decisions released in 2014, we set out why we disagreed with Gray's view on each piece of evidence.</w:t>
      </w:r>
      <w:r w:rsidRPr="00883125">
        <w:rPr>
          <w:rStyle w:val="FootnoteReference"/>
        </w:rPr>
        <w:footnoteReference w:id="385"/>
      </w:r>
      <w:r w:rsidRPr="00883125">
        <w:t xml:space="preserve"> In his February 2015 report (for SFG), Gray set out why his view on this evidence has not changed.</w:t>
      </w:r>
      <w:r w:rsidRPr="00883125">
        <w:rPr>
          <w:rStyle w:val="FootnoteReference"/>
        </w:rPr>
        <w:footnoteReference w:id="386"/>
      </w:r>
      <w:r w:rsidRPr="00883125">
        <w:t xml:space="preserve"> Gray's February 2015 report (for SFG) and</w:t>
      </w:r>
      <w:r>
        <w:t xml:space="preserve"> </w:t>
      </w:r>
      <w:r w:rsidRPr="00883125">
        <w:t xml:space="preserve">June 2015 </w:t>
      </w:r>
      <w:r>
        <w:t xml:space="preserve">and January 2016 </w:t>
      </w:r>
      <w:r w:rsidRPr="00883125">
        <w:t>report (for Frontier) does not change our view as set out in our earlier decisions. It seems that the disagreement between us and Gray regarding this evidence is unlikely to be resolved.</w:t>
      </w:r>
    </w:p>
    <w:p w:rsidR="00C52695" w:rsidRPr="00883125" w:rsidRDefault="00C52695" w:rsidP="00C52695">
      <w:pPr>
        <w:pStyle w:val="Heading9"/>
      </w:pPr>
      <w:bookmarkStart w:id="228" w:name="_Ref414028398"/>
      <w:bookmarkStart w:id="229" w:name="_Toc456614304"/>
      <w:bookmarkStart w:id="230" w:name="_Toc462823322"/>
      <w:bookmarkStart w:id="231" w:name="_Toc481061475"/>
      <w:r w:rsidRPr="00883125">
        <w:t>Gray's comments on Officer (1994)</w:t>
      </w:r>
      <w:bookmarkEnd w:id="228"/>
      <w:bookmarkEnd w:id="229"/>
      <w:bookmarkEnd w:id="230"/>
      <w:bookmarkEnd w:id="231"/>
      <w:r w:rsidRPr="00883125">
        <w:t xml:space="preserve"> </w:t>
      </w:r>
    </w:p>
    <w:p w:rsidR="00C52695" w:rsidRPr="00883125" w:rsidRDefault="00C52695" w:rsidP="00C52695">
      <w:r w:rsidRPr="00883125">
        <w:t>Gray set out his views on Officer's 1994 paper in his May 2014 and February 2015 reports for SFG, and in his 2015</w:t>
      </w:r>
      <w:r>
        <w:t xml:space="preserve"> and 2016</w:t>
      </w:r>
      <w:r w:rsidRPr="00883125">
        <w:t xml:space="preserve"> report</w:t>
      </w:r>
      <w:r w:rsidR="00705600">
        <w:t>s</w:t>
      </w:r>
      <w:r w:rsidRPr="00883125">
        <w:t xml:space="preserve"> for Frontier. These views do not change our own view, consistent with the advice of Handley, that the value of imputation credits should be estimated on a before-personal-tax and before-personal-costs basis. We respond to Gray's comments on Officer below.</w:t>
      </w:r>
    </w:p>
    <w:p w:rsidR="00C52695" w:rsidRPr="00883125" w:rsidRDefault="00C52695" w:rsidP="007F6EED">
      <w:pPr>
        <w:pStyle w:val="HeadingBoldItalic"/>
      </w:pPr>
      <w:bookmarkStart w:id="232" w:name="_Toc456614305"/>
      <w:bookmarkStart w:id="233" w:name="_Toc481056682"/>
      <w:bookmarkStart w:id="234" w:name="_Toc481061476"/>
      <w:r w:rsidRPr="00883125">
        <w:t>The text in Officer (1994)</w:t>
      </w:r>
      <w:bookmarkEnd w:id="232"/>
      <w:bookmarkEnd w:id="233"/>
      <w:bookmarkEnd w:id="234"/>
    </w:p>
    <w:p w:rsidR="00C52695" w:rsidRPr="00883125" w:rsidRDefault="00C52695" w:rsidP="00C52695">
      <w:r w:rsidRPr="00883125">
        <w:t>Gray (for SFG) submitted that Officer's paper suggests that there are two possible interpretations of gamma:</w:t>
      </w:r>
      <w:r w:rsidRPr="00883125">
        <w:rPr>
          <w:rStyle w:val="FootnoteReference"/>
        </w:rPr>
        <w:footnoteReference w:id="387"/>
      </w:r>
    </w:p>
    <w:p w:rsidR="00C52695" w:rsidRPr="00883125" w:rsidRDefault="00C52695" w:rsidP="00C52695">
      <w:pPr>
        <w:pStyle w:val="AERquote"/>
      </w:pPr>
      <w:r w:rsidRPr="00883125">
        <w:t xml:space="preserve">(a) Officer means gamma to have a </w:t>
      </w:r>
      <w:r w:rsidRPr="00883125">
        <w:rPr>
          <w:rStyle w:val="AERtextitalic"/>
        </w:rPr>
        <w:t>value</w:t>
      </w:r>
      <w:r w:rsidRPr="00883125">
        <w:t xml:space="preserve"> interpretation and that words suggesting a </w:t>
      </w:r>
      <w:r w:rsidRPr="00883125">
        <w:rPr>
          <w:rStyle w:val="AERtextitalic"/>
        </w:rPr>
        <w:t>utilisation</w:t>
      </w:r>
      <w:r w:rsidRPr="00883125">
        <w:t xml:space="preserve"> interpretation were poorly drafted (i.e., the reference to utilisation should be read as simply identifying the source of value); or</w:t>
      </w:r>
    </w:p>
    <w:p w:rsidR="00C52695" w:rsidRPr="00883125" w:rsidRDefault="00C52695" w:rsidP="00C52695">
      <w:pPr>
        <w:pStyle w:val="AERquote"/>
      </w:pPr>
      <w:r w:rsidRPr="00883125">
        <w:t xml:space="preserve">(b) Officer means gamma to have a </w:t>
      </w:r>
      <w:r w:rsidRPr="00883125">
        <w:rPr>
          <w:rStyle w:val="AERtextitalic"/>
        </w:rPr>
        <w:t>utilisation</w:t>
      </w:r>
      <w:r w:rsidRPr="00883125">
        <w:t xml:space="preserve"> interpretation and that words suggesting a </w:t>
      </w:r>
      <w:r w:rsidRPr="00883125">
        <w:rPr>
          <w:rStyle w:val="AERtextitalic"/>
        </w:rPr>
        <w:t>value</w:t>
      </w:r>
      <w:r w:rsidRPr="00883125">
        <w:t xml:space="preserve"> interpretation were poorly drafted (i.e., the reference to value should be read as "the number used for" rather than "worth.</w:t>
      </w:r>
    </w:p>
    <w:p w:rsidR="00C52695" w:rsidRPr="00883125" w:rsidRDefault="00C52695" w:rsidP="00C52695">
      <w:pPr>
        <w:pStyle w:val="AERquote"/>
      </w:pPr>
      <w:r w:rsidRPr="00883125">
        <w:t>I concluded that the value interpretation was plausible and the utilisation/redemption interpretation was not, and set out my reasons for doing so. Nothing in the AER's recent draft decisions lead me to change my conclusion on this point.</w:t>
      </w:r>
    </w:p>
    <w:p w:rsidR="00C52695" w:rsidRPr="00883125" w:rsidRDefault="00C52695" w:rsidP="00C52695">
      <w:r w:rsidRPr="00883125">
        <w:t xml:space="preserve">We do not agree with Gray's opinion. As explained by Handley in his September 2014 report, interpretation of gamma on a before-personal-tax and before-personal-costs basis </w:t>
      </w:r>
      <w:r w:rsidRPr="00883125">
        <w:lastRenderedPageBreak/>
        <w:t>reconciles this apparent inconsistency in Officer;</w:t>
      </w:r>
      <w:r w:rsidRPr="00883125">
        <w:rPr>
          <w:rStyle w:val="FootnoteReference"/>
        </w:rPr>
        <w:footnoteReference w:id="388"/>
      </w:r>
      <w:r w:rsidRPr="00883125">
        <w:t xml:space="preserve"> that is, on this basis the 'value' and 'utilisation' interpretations are consistent. Handley reiterates this in his April 2015 report:</w:t>
      </w:r>
      <w:r w:rsidRPr="00883125">
        <w:rPr>
          <w:rStyle w:val="FootnoteReference"/>
        </w:rPr>
        <w:footnoteReference w:id="389"/>
      </w:r>
    </w:p>
    <w:p w:rsidR="00C52695" w:rsidRPr="00883125" w:rsidRDefault="00C52695" w:rsidP="00C52695">
      <w:pPr>
        <w:pStyle w:val="AERquote"/>
      </w:pPr>
      <w:r w:rsidRPr="00883125">
        <w:t>This is precisely the reason why Officer refers to gamma as the value of franking credits in some parts of the paper, and as the proportion of tax collected from the company which will be rebated against personal tax, in other parts of the paper. These two descriptions are equivalent when one interprets value to mean the value of imputation credits before personal tax and before personal costs.</w:t>
      </w:r>
    </w:p>
    <w:p w:rsidR="00C52695" w:rsidRPr="00883125" w:rsidRDefault="00C52695" w:rsidP="00C52695">
      <w:r w:rsidRPr="00883125">
        <w:t>There would appear to be further support for Handley's view in the first line of footnote 5 of Officer's paper, which seemingly equates the ideas of 'utilisation' and 'value':</w:t>
      </w:r>
      <w:r w:rsidRPr="00883125">
        <w:rPr>
          <w:rStyle w:val="FootnoteReference"/>
        </w:rPr>
        <w:footnoteReference w:id="390"/>
      </w:r>
    </w:p>
    <w:p w:rsidR="00C52695" w:rsidRPr="00883125" w:rsidRDefault="00C52695" w:rsidP="00C52695">
      <w:pPr>
        <w:pStyle w:val="AERquote"/>
      </w:pPr>
      <w:r w:rsidRPr="00883125">
        <w:t xml:space="preserve">For example, if the shareholder can fully utilize the imputation tax credits then ("value") </w:t>
      </w:r>
      <m:oMath>
        <m:r>
          <w:rPr>
            <w:rFonts w:ascii="Cambria Math" w:hAnsi="Cambria Math"/>
          </w:rPr>
          <m:t>γ</m:t>
        </m:r>
      </m:oMath>
      <w:r w:rsidRPr="00883125">
        <w:t xml:space="preserve"> = 1, e.g. a superfund or an Australian resident taxpayer.</w:t>
      </w:r>
    </w:p>
    <w:p w:rsidR="00C52695" w:rsidRPr="00883125" w:rsidRDefault="00C52695" w:rsidP="00C52695">
      <w:r w:rsidRPr="00883125">
        <w:t>Handley also noted:</w:t>
      </w:r>
      <w:r w:rsidRPr="00883125">
        <w:rPr>
          <w:rStyle w:val="FootnoteReference"/>
        </w:rPr>
        <w:footnoteReference w:id="391"/>
      </w:r>
    </w:p>
    <w:p w:rsidR="00C52695" w:rsidRPr="00883125" w:rsidRDefault="00C52695" w:rsidP="00C52695">
      <w:pPr>
        <w:pStyle w:val="AERquote"/>
      </w:pPr>
      <w:r w:rsidRPr="00883125">
        <w:t>It is clear that the Officer WACC valuation framework is a before-personal-tax framework. It is also a before-personal-cost framework in the limited sense that, there is no explicit adjustment (deduction) made to the cash flows or the discount rate for either personal taxes or personal costs.</w:t>
      </w:r>
    </w:p>
    <w:p w:rsidR="00C52695" w:rsidRPr="00883125" w:rsidRDefault="00C52695" w:rsidP="00C52695">
      <w:r w:rsidRPr="00883125">
        <w:t>On the other hand, if gamma was intended to reflect investors' personal taxes and costs, then the proportion of company tax returned to investors would never be equivalent to the value to investors per dollar of imputation credits. This is because, on an after-personal-tax and after-personal-costs basis where such taxes and costs were non-negligible, investors would likely value credits at less than their face value. Therefore, there would be no justification for defining gamma, as Officer does, in terms of the proportion of company tax returned to investors. As shown in the earlier quote, Gray attributes such a definition to 'poor drafting'. Howev</w:t>
      </w:r>
      <w:r w:rsidR="008B34DF">
        <w:t>er, this is unconvincing to us.</w:t>
      </w:r>
    </w:p>
    <w:p w:rsidR="00C52695" w:rsidRPr="00883125" w:rsidRDefault="00C52695" w:rsidP="00C52695">
      <w:r w:rsidRPr="00883125">
        <w:t>Further, if the intended interpretation of gamma is on an after-personal-tax and after-personal-costs basis, then it would seem to make little sense to contemplate, as Officer does in footnote 5 of his paper, an investor having an individual utilisation rate of 1.</w:t>
      </w:r>
      <w:r w:rsidRPr="00883125">
        <w:rPr>
          <w:rStyle w:val="FootnoteReference"/>
        </w:rPr>
        <w:footnoteReference w:id="392"/>
      </w:r>
      <w:r w:rsidRPr="00883125">
        <w:t xml:space="preserve"> Again, this is because, on an after-personal-tax and after-personal-costs basis where such taxes and costs were non-negligible, investors would likely value credits at less than their face value. </w:t>
      </w:r>
      <w:r w:rsidRPr="00883125">
        <w:lastRenderedPageBreak/>
        <w:t>Conversely, Gray has previously argued that it is difficult to understand why Officer would contemplate in the same footnote the estimation of gamma via dividend drop off studies if the correct interpretation of gamma was as the proportion of company tax returned to investors.</w:t>
      </w:r>
      <w:r w:rsidRPr="00883125">
        <w:rPr>
          <w:rStyle w:val="FootnoteReference"/>
        </w:rPr>
        <w:footnoteReference w:id="393"/>
      </w:r>
      <w:r w:rsidRPr="00883125">
        <w:t xml:space="preserve"> However, as we have maintained throughout the Guideline and current determination process, implied market value studies remain a relevant estimation method for gamma. This is because any value attributed to credits which can be inferred from market prices is ultimately derived from the utilisation of those credits.</w:t>
      </w:r>
    </w:p>
    <w:p w:rsidR="00C52695" w:rsidRPr="00883125" w:rsidRDefault="00C52695" w:rsidP="00C52695">
      <w:r w:rsidRPr="00883125">
        <w:t>Finally, our view is supported by Officer's treatment of gamma in the numerical example in the appendix to his paper. Officer describes this numerical example as ‘…designed to help the reader through some of the obstacles to going from theory to practice’:</w:t>
      </w:r>
      <w:r w:rsidRPr="00883125">
        <w:rPr>
          <w:rStyle w:val="FootnoteReference"/>
        </w:rPr>
        <w:footnoteReference w:id="394"/>
      </w:r>
    </w:p>
    <w:p w:rsidR="00C52695" w:rsidRPr="00883125" w:rsidRDefault="00C52695" w:rsidP="00C52695">
      <w:pPr>
        <w:pStyle w:val="AERquote"/>
      </w:pPr>
      <w:r w:rsidRPr="00883125">
        <w:t xml:space="preserve">Assume that 50 </w:t>
      </w:r>
      <w:r w:rsidR="00116FD8" w:rsidRPr="00883125">
        <w:t>per cent</w:t>
      </w:r>
      <w:r w:rsidRPr="00883125">
        <w:t xml:space="preserve"> of the tax collected at the company level represents personal tax, i.e. 50 </w:t>
      </w:r>
      <w:r w:rsidR="00116FD8" w:rsidRPr="00883125">
        <w:t>per cent</w:t>
      </w:r>
      <w:r w:rsidRPr="00883125">
        <w:t xml:space="preserve"> of tax credits can be utilized against personal tax liabilities so that </w:t>
      </w:r>
      <m:oMath>
        <m:r>
          <w:rPr>
            <w:rFonts w:ascii="Cambria Math" w:hAnsi="Cambria Math"/>
          </w:rPr>
          <m:t>γ</m:t>
        </m:r>
      </m:oMath>
      <w:r w:rsidRPr="00883125">
        <w:t xml:space="preserve"> = 0.5.</w:t>
      </w:r>
    </w:p>
    <w:p w:rsidR="00C52695" w:rsidRPr="00883125" w:rsidRDefault="00C52695" w:rsidP="007F6EED">
      <w:pPr>
        <w:pStyle w:val="HeadingBoldItalic"/>
      </w:pPr>
      <w:bookmarkStart w:id="235" w:name="_Toc456614306"/>
      <w:bookmarkStart w:id="236" w:name="_Toc481056683"/>
      <w:bookmarkStart w:id="237" w:name="_Toc481061477"/>
      <w:r w:rsidRPr="00883125">
        <w:t>The formulas in Officer (1994)</w:t>
      </w:r>
      <w:bookmarkEnd w:id="235"/>
      <w:bookmarkEnd w:id="236"/>
      <w:bookmarkEnd w:id="237"/>
    </w:p>
    <w:p w:rsidR="00C52695" w:rsidRPr="00883125" w:rsidRDefault="00C52695" w:rsidP="00C52695">
      <w:r w:rsidRPr="00883125">
        <w:t>Gray (for SFG) submitted that the formulas in Officer (1994) support his interpretation of the value of imputation credits:</w:t>
      </w:r>
      <w:r w:rsidRPr="00883125">
        <w:rPr>
          <w:rStyle w:val="FootnoteReference"/>
        </w:rPr>
        <w:footnoteReference w:id="395"/>
      </w:r>
    </w:p>
    <w:p w:rsidR="00C52695" w:rsidRPr="00883125" w:rsidRDefault="00C52695" w:rsidP="00C52695">
      <w:pPr>
        <w:pStyle w:val="AERquote"/>
      </w:pPr>
      <w:r w:rsidRPr="00883125">
        <w:t>…gamma represents the extent to which imputation credits are capitalised into the market value of equity. I note that this is precisely what is estimated by dividend drop-off analysis and other market value studies. The formula shows that one takes the present face value of imputation credits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and then multiplies by gamma and the result makes up part of the market value of equity.</w:t>
      </w:r>
    </w:p>
    <w:p w:rsidR="00C52695" w:rsidRPr="00883125" w:rsidRDefault="00C52695" w:rsidP="00C52695">
      <w:pPr>
        <w:pStyle w:val="AERquote"/>
      </w:pPr>
      <w:r w:rsidRPr="00883125">
        <w:t>Another way to see this is to rearrange the formula to isolate gamma as follows:</w:t>
      </w:r>
    </w:p>
    <w:p w:rsidR="00C52695" w:rsidRPr="00883125" w:rsidRDefault="005E2A05" w:rsidP="00C52695">
      <w:pPr>
        <w:pStyle w:val="AERquote"/>
      </w:pPr>
      <m:oMathPara>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r>
            <m:rPr>
              <m:sty m:val="p"/>
            </m:rPr>
            <w:rPr>
              <w:rFonts w:ascii="Cambria Math" w:hAnsi="Cambria Math"/>
            </w:rPr>
            <m:t>+</m:t>
          </m:r>
          <m:r>
            <w:rPr>
              <w:rFonts w:ascii="Cambria Math" w:hAnsi="Cambria Math"/>
            </w:rPr>
            <m:t>γ</m:t>
          </m:r>
          <m:f>
            <m:fPr>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m:oMathPara>
    </w:p>
    <w:p w:rsidR="00C52695" w:rsidRPr="00883125" w:rsidRDefault="00C52695" w:rsidP="00C52695">
      <w:pPr>
        <w:pStyle w:val="AERquote"/>
      </w:pPr>
      <w:r w:rsidRPr="00883125">
        <w:t xml:space="preserve">where </w:t>
      </w:r>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rsidRPr="00883125">
        <w:t xml:space="preserve"> represents the market value of equity including imputation credits, </w:t>
      </w:r>
      <m:oMath>
        <m:sSub>
          <m:sSubPr>
            <m:ctrlPr>
              <w:rPr>
                <w:rFonts w:ascii="Cambria Math" w:hAnsi="Cambria Math"/>
              </w:rPr>
            </m:ctrlPr>
          </m:sSubPr>
          <m:e>
            <m:r>
              <w:rPr>
                <w:rFonts w:ascii="Cambria Math" w:hAnsi="Cambria Math"/>
              </w:rPr>
              <m:t>E</m:t>
            </m:r>
          </m:e>
          <m:sub>
            <m:r>
              <w:rPr>
                <w:rFonts w:ascii="Cambria Math" w:hAnsi="Cambria Math"/>
              </w:rPr>
              <m:t>e</m:t>
            </m:r>
            <m:r>
              <w:rPr>
                <w:rFonts w:ascii="Cambria Math" w:hAnsi="Cambria Math"/>
              </w:rPr>
              <m:t>x</m:t>
            </m:r>
            <m:r>
              <m:rPr>
                <m:sty m:val="p"/>
              </m:rPr>
              <w:rPr>
                <w:rFonts w:ascii="Cambria Math" w:hAnsi="Cambria Math"/>
              </w:rPr>
              <m:t>-</m:t>
            </m:r>
            <m:r>
              <w:rPr>
                <w:rFonts w:ascii="Cambria Math" w:hAnsi="Cambria Math"/>
              </w:rPr>
              <m:t>IC</m:t>
            </m:r>
          </m:sub>
        </m:sSub>
      </m:oMath>
      <w:r w:rsidRPr="00883125">
        <w:t xml:space="preserve"> represents the market value of equity excluding imputation credits and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xml:space="preserve"> represents the present face value of imputation credits. It is clear in this formula that gamma does not represent the proportion of imputation credits that might be redeemed, but the extent to which imputation credits increase the market value of equity.</w:t>
      </w:r>
    </w:p>
    <w:p w:rsidR="00C52695" w:rsidRPr="00883125" w:rsidRDefault="00C52695" w:rsidP="00C52695">
      <w:r w:rsidRPr="00883125">
        <w:t>Handley reviewed Gray's submission and considered:</w:t>
      </w:r>
      <w:r w:rsidRPr="00883125">
        <w:rPr>
          <w:rStyle w:val="FootnoteReference"/>
        </w:rPr>
        <w:footnoteReference w:id="396"/>
      </w:r>
    </w:p>
    <w:p w:rsidR="00C52695" w:rsidRPr="00883125" w:rsidRDefault="00C52695" w:rsidP="00C52695">
      <w:pPr>
        <w:pStyle w:val="AERquote"/>
      </w:pPr>
      <w:r w:rsidRPr="00883125">
        <w:lastRenderedPageBreak/>
        <w:t xml:space="preserve">SFG (2015 para. 124-135) also suggests that the mathematical formulae in Officer (1994) support a value interpretation of gamma but not a redemption value interpretation since: </w:t>
      </w:r>
      <w:r w:rsidRPr="00883125">
        <w:rPr>
          <w:rStyle w:val="AERtextitalic"/>
        </w:rPr>
        <w:t>“It is clear in this formula [para.127] that gamma represents … the extent to which imputation credits increase the market value of equity”</w:t>
      </w:r>
      <w:r w:rsidRPr="00883125">
        <w:t>. There is no dispute that the (market) value of credits are capitalised into stock prices – this is clear from equation (2) [in Handley's report]. However, SFG fails to see that within Officer’s framework it is the before personal tax and before personal costs value of a credit – the redemption value – which is the item being capitalised.</w:t>
      </w:r>
    </w:p>
    <w:p w:rsidR="00C52695" w:rsidRPr="00883125" w:rsidRDefault="00C52695" w:rsidP="00C52695">
      <w:r w:rsidRPr="00883125">
        <w:t>Thus, Handley appeared to agree with Gray that the formulas in Officer indicated that the value of imputation credits is capitalised into stock prices. However, Handley considers (for the reasons set out in the previous sub-section) that it is the before-personal-tax and before-personal-costs value which is capitalised into the stock price in Officer's framework. As also set out in the previous sub-section, we agree with Handley's interpretation of the Officer framework.</w:t>
      </w:r>
    </w:p>
    <w:p w:rsidR="00C52695" w:rsidRPr="00883125" w:rsidRDefault="00C52695" w:rsidP="007F6EED">
      <w:pPr>
        <w:pStyle w:val="HeadingBoldItalic"/>
      </w:pPr>
      <w:bookmarkStart w:id="238" w:name="_Toc456614307"/>
      <w:bookmarkStart w:id="239" w:name="_Toc481056684"/>
      <w:bookmarkStart w:id="240" w:name="_Toc481061478"/>
      <w:r w:rsidRPr="00883125">
        <w:t>Interpretation of gamma in textbooks</w:t>
      </w:r>
      <w:bookmarkEnd w:id="238"/>
      <w:bookmarkEnd w:id="239"/>
      <w:bookmarkEnd w:id="240"/>
    </w:p>
    <w:p w:rsidR="00C52695" w:rsidRPr="00883125" w:rsidRDefault="00C52695" w:rsidP="00C52695">
      <w:r w:rsidRPr="00883125">
        <w:t>In his June 2015 report (for Frontier), Gray stated:</w:t>
      </w:r>
      <w:r w:rsidRPr="00883125">
        <w:rPr>
          <w:rStyle w:val="FootnoteReference"/>
        </w:rPr>
        <w:footnoteReference w:id="397"/>
      </w:r>
    </w:p>
    <w:p w:rsidR="00C52695" w:rsidRPr="00883125" w:rsidRDefault="00C52695" w:rsidP="00C52695">
      <w:pPr>
        <w:pStyle w:val="AERquote"/>
      </w:pPr>
      <w:r w:rsidRPr="00883125">
        <w:t>I am unaware of any published work that interprets gamma in terms of the redemption rate.</w:t>
      </w:r>
    </w:p>
    <w:p w:rsidR="00C52695" w:rsidRPr="00883125" w:rsidRDefault="00C52695" w:rsidP="00C52695">
      <w:r w:rsidRPr="00883125">
        <w:t>However, there are several textbooks that describe gamma in a manner consistent with our understanding. For example, Peirson et al (2009):</w:t>
      </w:r>
      <w:r w:rsidRPr="00883125">
        <w:rPr>
          <w:rStyle w:val="FootnoteReference"/>
        </w:rPr>
        <w:footnoteReference w:id="398"/>
      </w:r>
    </w:p>
    <w:p w:rsidR="00C52695" w:rsidRPr="00883125" w:rsidRDefault="00C52695" w:rsidP="00C52695">
      <w:pPr>
        <w:pStyle w:val="AERquote"/>
      </w:pPr>
      <w:r w:rsidRPr="00883125">
        <w:t xml:space="preserve">Officer (1994) discussed several alternative ways of defining net cash flows and the cost of capital under imputation. One way to define the after-tax cash flows is that they are equal to the before-tax cash flows multiplied by </w:t>
      </w:r>
      <m:oMath>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t</m:t>
                </m:r>
              </m:e>
              <m:sub>
                <m:r>
                  <w:rPr>
                    <w:rFonts w:ascii="Cambria Math" w:hAnsi="Cambria Math"/>
                  </w:rPr>
                  <m:t>e</m:t>
                </m:r>
              </m:sub>
            </m:sSub>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e</m:t>
            </m:r>
          </m:sub>
        </m:sSub>
      </m:oMath>
      <w:r w:rsidRPr="00883125">
        <w:t xml:space="preserve"> is the </w:t>
      </w:r>
      <w:r w:rsidRPr="00883125">
        <w:rPr>
          <w:rStyle w:val="AERtextitalic"/>
        </w:rPr>
        <w:t>effective</w:t>
      </w:r>
      <w:r w:rsidRPr="00883125">
        <w:t xml:space="preserve"> company income tax rate. The effective company tax rate is </w:t>
      </w:r>
      <m:oMath>
        <m:sSub>
          <m:sSubPr>
            <m:ctrlPr>
              <w:rPr>
                <w:rFonts w:ascii="Cambria Math" w:hAnsi="Cambria Math"/>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d>
          <m:dPr>
            <m:ctrlPr>
              <w:rPr>
                <w:rFonts w:ascii="Cambria Math" w:hAnsi="Cambria Math"/>
              </w:rPr>
            </m:ctrlPr>
          </m:dPr>
          <m:e>
            <m:r>
              <w:rPr>
                <w:rFonts w:ascii="Cambria Math" w:hAnsi="Cambria Math"/>
              </w:rPr>
              <m:t>1-γ</m:t>
            </m:r>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c</m:t>
            </m:r>
          </m:sub>
        </m:sSub>
      </m:oMath>
      <w:r w:rsidRPr="00883125">
        <w:t xml:space="preserve"> is the statutory company tax rate and </w:t>
      </w:r>
      <m:oMath>
        <m:r>
          <w:rPr>
            <w:rFonts w:ascii="Cambria Math" w:hAnsi="Cambria Math"/>
          </w:rPr>
          <m:t>γ</m:t>
        </m:r>
      </m:oMath>
      <w:r w:rsidRPr="00883125">
        <w:t xml:space="preserve"> represents the proportion of the tax collected from a company that is paid out to shareholders and recovered through tax credits associated with franked dividends.</w:t>
      </w:r>
    </w:p>
    <w:p w:rsidR="00C52695" w:rsidRPr="00883125" w:rsidRDefault="00C52695" w:rsidP="00C52695">
      <w:pPr>
        <w:pStyle w:val="AERquote"/>
      </w:pPr>
      <w:r w:rsidRPr="00883125">
        <w:t>…</w:t>
      </w:r>
    </w:p>
    <w:p w:rsidR="00C52695" w:rsidRPr="00883125" w:rsidRDefault="00C52695" w:rsidP="00C52695">
      <w:pPr>
        <w:pStyle w:val="AERquote"/>
      </w:pPr>
      <w:r w:rsidRPr="00883125">
        <w:t xml:space="preserve">For example, if…the company income tax rate is 30 cents in the dollar, and 60 per cent of the tax collected from the company is claimed as a credit by shareholders, then the effective company tax rate is </w:t>
      </w:r>
      <m:oMath>
        <m:r>
          <w:rPr>
            <w:rFonts w:ascii="Cambria Math" w:hAnsi="Cambria Math"/>
          </w:rPr>
          <m:t>0.30</m:t>
        </m:r>
        <m:d>
          <m:dPr>
            <m:ctrlPr>
              <w:rPr>
                <w:rFonts w:ascii="Cambria Math" w:hAnsi="Cambria Math"/>
              </w:rPr>
            </m:ctrlPr>
          </m:dPr>
          <m:e>
            <m:r>
              <w:rPr>
                <w:rFonts w:ascii="Cambria Math" w:hAnsi="Cambria Math"/>
              </w:rPr>
              <m:t>1-0.6</m:t>
            </m:r>
          </m:e>
        </m:d>
        <m:r>
          <w:rPr>
            <w:rFonts w:ascii="Cambria Math" w:hAnsi="Cambria Math"/>
          </w:rPr>
          <m:t>=0.12</m:t>
        </m:r>
      </m:oMath>
      <w:r>
        <w:t>.</w:t>
      </w:r>
      <w:r w:rsidRPr="00883125">
        <w:t>.</w:t>
      </w:r>
    </w:p>
    <w:p w:rsidR="00C52695" w:rsidRPr="00883125" w:rsidRDefault="00C52695" w:rsidP="00C52695">
      <w:r w:rsidRPr="00883125">
        <w:t>Berk et al (2014):</w:t>
      </w:r>
      <w:r w:rsidRPr="00883125">
        <w:rPr>
          <w:rStyle w:val="FootnoteReference"/>
        </w:rPr>
        <w:footnoteReference w:id="399"/>
      </w:r>
    </w:p>
    <w:p w:rsidR="00C52695" w:rsidRPr="00883125" w:rsidRDefault="00C52695" w:rsidP="00C52695">
      <w:pPr>
        <w:pStyle w:val="AERquote"/>
      </w:pPr>
      <w:r w:rsidRPr="00883125">
        <w:lastRenderedPageBreak/>
        <w:t>In a 1994 study, Officer shows that for valuation purposes the cost of equity under an imputation system should be adjusted by a factor equal to:</w:t>
      </w:r>
    </w:p>
    <w:p w:rsidR="00C52695" w:rsidRPr="00883125" w:rsidRDefault="005E2A05" w:rsidP="00C52695">
      <w:pPr>
        <w:pStyle w:val="AERquote"/>
      </w:pPr>
      <m:oMathPara>
        <m:oMath>
          <m:f>
            <m:fPr>
              <m:ctrlPr>
                <w:rPr>
                  <w:rFonts w:ascii="Cambria Math" w:hAnsi="Cambria Math"/>
                </w:rPr>
              </m:ctrlPr>
            </m:fPr>
            <m:num>
              <m:r>
                <w:rPr>
                  <w:rFonts w:ascii="Cambria Math" w:hAnsi="Cambria Math"/>
                </w:rPr>
                <m:t>1-T</m:t>
              </m:r>
            </m:num>
            <m:den>
              <m:r>
                <w:rPr>
                  <w:rFonts w:ascii="Cambria Math" w:hAnsi="Cambria Math"/>
                </w:rPr>
                <m:t>1-T</m:t>
              </m:r>
              <m:d>
                <m:dPr>
                  <m:ctrlPr>
                    <w:rPr>
                      <w:rFonts w:ascii="Cambria Math" w:hAnsi="Cambria Math"/>
                    </w:rPr>
                  </m:ctrlPr>
                </m:dPr>
                <m:e>
                  <m:r>
                    <w:rPr>
                      <w:rFonts w:ascii="Cambria Math" w:hAnsi="Cambria Math"/>
                    </w:rPr>
                    <m:t>1-γ</m:t>
                  </m:r>
                </m:e>
              </m:d>
            </m:den>
          </m:f>
        </m:oMath>
      </m:oMathPara>
    </w:p>
    <w:p w:rsidR="00C52695" w:rsidRPr="00883125" w:rsidRDefault="00C52695" w:rsidP="00C52695">
      <w:pPr>
        <w:pStyle w:val="AERquote"/>
      </w:pPr>
      <w:r w:rsidRPr="00883125">
        <w:t xml:space="preserve">where </w:t>
      </w:r>
      <m:oMath>
        <m:r>
          <w:rPr>
            <w:rFonts w:ascii="Cambria Math" w:hAnsi="Cambria Math"/>
          </w:rPr>
          <m:t>T</m:t>
        </m:r>
      </m:oMath>
      <w:r w:rsidRPr="00883125">
        <w:t xml:space="preserve"> represents the effective corporate tax rate and </w:t>
      </w:r>
      <m:oMath>
        <m:d>
          <m:dPr>
            <m:ctrlPr>
              <w:rPr>
                <w:rFonts w:ascii="Cambria Math" w:hAnsi="Cambria Math"/>
              </w:rPr>
            </m:ctrlPr>
          </m:dPr>
          <m:e>
            <m:r>
              <w:rPr>
                <w:rFonts w:ascii="Cambria Math" w:hAnsi="Cambria Math"/>
              </w:rPr>
              <m:t>γ</m:t>
            </m:r>
          </m:e>
        </m:d>
      </m:oMath>
      <w:r w:rsidRPr="00883125">
        <w:t xml:space="preserve"> represents the proportion of tax collected from the firm that will be rebated against personal tax in the hands of shareholders.</w:t>
      </w:r>
    </w:p>
    <w:p w:rsidR="00C52695" w:rsidRPr="00883125" w:rsidRDefault="00C52695" w:rsidP="00C52695">
      <w:r w:rsidRPr="00883125">
        <w:t>Gitman et al (2011):</w:t>
      </w:r>
      <w:r w:rsidRPr="00883125">
        <w:rPr>
          <w:rStyle w:val="FootnoteReference"/>
        </w:rPr>
        <w:footnoteReference w:id="400"/>
      </w:r>
    </w:p>
    <w:p w:rsidR="00C52695" w:rsidRPr="00883125" w:rsidRDefault="00C52695" w:rsidP="00C52695">
      <w:pPr>
        <w:pStyle w:val="AERquote"/>
      </w:pPr>
      <w:r w:rsidRPr="00883125">
        <w:t xml:space="preserve">If we let </w:t>
      </w:r>
      <m:oMath>
        <m:r>
          <w:rPr>
            <w:rFonts w:ascii="Cambria Math" w:hAnsi="Cambria Math"/>
          </w:rPr>
          <m:t>γ</m:t>
        </m:r>
      </m:oMath>
      <w:r w:rsidRPr="00883125">
        <w:t xml:space="preserve"> be the proportion of company income tax that can be used by shareholders to offset their personal income tax liabilities…</w:t>
      </w:r>
    </w:p>
    <w:p w:rsidR="00C52695" w:rsidRPr="00883125" w:rsidRDefault="00C52695" w:rsidP="00C52695">
      <w:pPr>
        <w:pStyle w:val="AERquote"/>
      </w:pPr>
      <w:r w:rsidRPr="00883125">
        <w:t>…</w:t>
      </w:r>
    </w:p>
    <w:p w:rsidR="00C52695" w:rsidRPr="00883125" w:rsidRDefault="00C52695" w:rsidP="00C52695">
      <w:pPr>
        <w:pStyle w:val="AERquote"/>
      </w:pPr>
      <w:r w:rsidRPr="00883125">
        <w:t xml:space="preserve">With dividend imputation, the calculation of the weighted average cost of capital depends heavily on the estimate of </w:t>
      </w:r>
      <m:oMath>
        <m:r>
          <w:rPr>
            <w:rFonts w:ascii="Cambria Math" w:hAnsi="Cambria Math"/>
          </w:rPr>
          <m:t>γ</m:t>
        </m:r>
      </m:oMath>
      <w:r w:rsidRPr="00883125">
        <w:t xml:space="preserve">. For a good estimate of </w:t>
      </w:r>
      <m:oMath>
        <m:r>
          <w:rPr>
            <w:rFonts w:ascii="Cambria Math" w:hAnsi="Cambria Math"/>
          </w:rPr>
          <m:t>γ</m:t>
        </m:r>
      </m:oMath>
      <w:r w:rsidRPr="00883125">
        <w:t xml:space="preserve"> we would need to know the proportion of company income that has borne Australian income tax, and the proportion of the company's shareholders who were Australian residents who could benefit from dividend imputation.</w:t>
      </w:r>
    </w:p>
    <w:p w:rsidR="00C52695" w:rsidRPr="00883125" w:rsidRDefault="00C52695" w:rsidP="00C52695">
      <w:r w:rsidRPr="00883125">
        <w:t>Gray quoted approvingly from a textbook co-authored by Partington in 2000, but none of the statements quoted contradict our understanding of gamma. For instance, Gray quoted:</w:t>
      </w:r>
      <w:r w:rsidRPr="00883125">
        <w:rPr>
          <w:rStyle w:val="FootnoteReference"/>
        </w:rPr>
        <w:footnoteReference w:id="401"/>
      </w:r>
    </w:p>
    <w:p w:rsidR="00C52695" w:rsidRPr="00883125" w:rsidRDefault="00C52695" w:rsidP="00C52695">
      <w:pPr>
        <w:pStyle w:val="AERquote"/>
      </w:pPr>
      <m:oMath>
        <m:r>
          <w:rPr>
            <w:rFonts w:ascii="Cambria Math" w:hAnsi="Cambria Math"/>
          </w:rPr>
          <m:t>γ</m:t>
        </m:r>
      </m:oMath>
      <w:r w:rsidRPr="00883125">
        <w:t xml:space="preserve"> = the market value of franking credits as a percentage of face value.</w:t>
      </w:r>
    </w:p>
    <w:p w:rsidR="00C52695" w:rsidRPr="00883125" w:rsidRDefault="00C52695" w:rsidP="00C52695">
      <w:r w:rsidRPr="00883125">
        <w:t>However, there is no dispute here. As Handley explained:</w:t>
      </w:r>
      <w:r w:rsidRPr="00883125">
        <w:rPr>
          <w:rStyle w:val="FootnoteReference"/>
        </w:rPr>
        <w:footnoteReference w:id="402"/>
      </w:r>
    </w:p>
    <w:p w:rsidR="00C52695" w:rsidRPr="00883125" w:rsidRDefault="00C52695" w:rsidP="00C52695">
      <w:pPr>
        <w:pStyle w:val="AERquote"/>
      </w:pPr>
      <w:r w:rsidRPr="00883125">
        <w:t>Implicit in Officer's WACC framework (and the standard classical tax WACC framework) is the notion of market value and so the relevant measure of utilisation value is that value as determined by the market – in other words it is not the utilisation value of a credit to any single investor or the utilisation value to any single class of investors that we want but rather the utilisation value to the market as a whole. In contrast, much of the current debate appears to incorrectly suggest that market value and utilisation value are alternative concepts for this purpose.</w:t>
      </w:r>
    </w:p>
    <w:p w:rsidR="00C52695" w:rsidRPr="00883125" w:rsidRDefault="00C52695" w:rsidP="00C52695">
      <w:r w:rsidRPr="00883125">
        <w:t>Moreover, there are other references to gamma in Partington's textbook that accord more closely with the characterisation in Officer's paper:</w:t>
      </w:r>
    </w:p>
    <w:p w:rsidR="00C52695" w:rsidRPr="00883125" w:rsidRDefault="00C52695" w:rsidP="00C52695">
      <w:pPr>
        <w:pStyle w:val="AERquote"/>
      </w:pPr>
      <m:oMath>
        <m:r>
          <w:rPr>
            <w:rFonts w:ascii="Cambria Math" w:hAnsi="Cambria Math"/>
          </w:rPr>
          <w:lastRenderedPageBreak/>
          <m:t>γ</m:t>
        </m:r>
      </m:oMath>
      <w:r w:rsidRPr="00883125">
        <w:t xml:space="preserve"> = the proportion of corporate tax recovered by investors through imputation tax credits.</w:t>
      </w:r>
      <w:r w:rsidRPr="00883125">
        <w:rPr>
          <w:rStyle w:val="FootnoteReference"/>
        </w:rPr>
        <w:footnoteReference w:id="403"/>
      </w:r>
    </w:p>
    <w:p w:rsidR="00C52695" w:rsidRPr="00883125" w:rsidRDefault="008B34DF" w:rsidP="00C52695">
      <w:pPr>
        <w:pStyle w:val="AERquote"/>
      </w:pPr>
      <w:r>
        <w:t>…</w:t>
      </w:r>
    </w:p>
    <w:p w:rsidR="00C52695" w:rsidRPr="00883125" w:rsidRDefault="00C52695" w:rsidP="00C52695">
      <w:pPr>
        <w:pStyle w:val="AERquote"/>
      </w:pPr>
      <w:r w:rsidRPr="00883125">
        <w:t xml:space="preserve">We assume a 100 per cent dividend payout and full use of imputation credits </w:t>
      </w:r>
      <m:oMath>
        <m:d>
          <m:dPr>
            <m:ctrlPr>
              <w:rPr>
                <w:rFonts w:ascii="Cambria Math" w:hAnsi="Cambria Math"/>
              </w:rPr>
            </m:ctrlPr>
          </m:dPr>
          <m:e>
            <m:r>
              <w:rPr>
                <w:rFonts w:ascii="Cambria Math" w:hAnsi="Cambria Math"/>
              </w:rPr>
              <m:t>γ=1</m:t>
            </m:r>
          </m:e>
        </m:d>
      </m:oMath>
      <w:r w:rsidRPr="00883125">
        <w:t>…However, 100 per cent payout and full use of imputation credits are unrealistic assumptions. It is more realistic to assume that about 50 to 60 per cent of profits are paid out as dividends. Of the imputation credits attached to those dividends only about 50 to 60 per cent will be claimed by investors to offset their tax liabilities.</w:t>
      </w:r>
      <w:r w:rsidRPr="00883125">
        <w:rPr>
          <w:rStyle w:val="FootnoteReference"/>
        </w:rPr>
        <w:footnoteReference w:id="404"/>
      </w:r>
    </w:p>
    <w:p w:rsidR="00C52695" w:rsidRPr="00883125" w:rsidRDefault="00C52695" w:rsidP="00C52695">
      <w:r w:rsidRPr="00883125">
        <w:t>Gray also quoted:</w:t>
      </w:r>
      <w:r w:rsidRPr="00883125">
        <w:rPr>
          <w:rStyle w:val="FootnoteReference"/>
        </w:rPr>
        <w:footnoteReference w:id="405"/>
      </w:r>
    </w:p>
    <w:p w:rsidR="00C52695" w:rsidRPr="00883125" w:rsidRDefault="00C52695" w:rsidP="00C52695">
      <w:pPr>
        <w:pStyle w:val="AERquote"/>
      </w:pPr>
      <w:r w:rsidRPr="00883125">
        <w:t>The results have been mixed, but they suggest that the market value of franking credits is positive, but significantly less than the credit’s face value.</w:t>
      </w:r>
    </w:p>
    <w:p w:rsidR="00C52695" w:rsidRPr="00883125" w:rsidRDefault="00C52695" w:rsidP="00C52695">
      <w:pPr>
        <w:pStyle w:val="AERquote"/>
      </w:pPr>
      <w:r w:rsidRPr="00883125">
        <w:t>…</w:t>
      </w:r>
    </w:p>
    <w:p w:rsidR="00C52695" w:rsidRPr="00883125" w:rsidRDefault="00C52695" w:rsidP="00C52695">
      <w:pPr>
        <w:pStyle w:val="AERquote"/>
      </w:pPr>
      <w:r w:rsidRPr="00883125">
        <w:t>…the market value of the franking credit is likely to differ from its face value. We do not know exactly what the market value is, but the evidence suggests that franking credits are valued at a significant discount to their face value.</w:t>
      </w:r>
    </w:p>
    <w:p w:rsidR="00C52695" w:rsidRPr="00883125" w:rsidRDefault="00C52695" w:rsidP="00C52695">
      <w:r w:rsidRPr="00883125">
        <w:t>Again, there is no dispute. The estimates of the utilisation rate on which we rely are all significantly less than one, and our estimate of gamma is significantly less than one.</w:t>
      </w:r>
    </w:p>
    <w:p w:rsidR="00C52695" w:rsidRPr="00883125" w:rsidRDefault="00C52695" w:rsidP="00C52695">
      <w:r w:rsidRPr="00883125">
        <w:t>Finally, Gray quoted an explanation, with which he agreed, as to why imputation may have had an immaterial effect on the corporate cost of equity capital:</w:t>
      </w:r>
      <w:r w:rsidRPr="00883125">
        <w:rPr>
          <w:rStyle w:val="FootnoteReference"/>
        </w:rPr>
        <w:footnoteReference w:id="406"/>
      </w:r>
    </w:p>
    <w:p w:rsidR="00C52695" w:rsidRPr="00883125" w:rsidRDefault="00C52695" w:rsidP="00C52695">
      <w:pPr>
        <w:pStyle w:val="AERquote"/>
      </w:pPr>
      <w:r w:rsidRPr="00883125">
        <w:t>The impact of imputation may not have been that big. There are several reasons for this. As suggested by Bob Officer, in a small open economy like Australia, equilibrium rates of return are likely to be determined by capital flows from international investors. If so, domestic tax changes are likely to have a reduced effect, or no effect at all, on equilibrium rates of return.</w:t>
      </w:r>
    </w:p>
    <w:p w:rsidR="00C52695" w:rsidRPr="00883125" w:rsidRDefault="00C52695" w:rsidP="00C52695">
      <w:r w:rsidRPr="00883125">
        <w:t>The implications of this quote for understanding or determining gamma are unclear to us. For instance:</w:t>
      </w:r>
    </w:p>
    <w:p w:rsidR="00C52695" w:rsidRPr="001D37D5" w:rsidRDefault="00C52695" w:rsidP="008B34DF">
      <w:pPr>
        <w:pStyle w:val="AERbulletlistfirststyle"/>
      </w:pPr>
      <w:r w:rsidRPr="00883125">
        <w:t xml:space="preserve">Gray appeared elsewhere to be of the view that </w:t>
      </w:r>
      <w:r w:rsidRPr="008B34DF">
        <w:t xml:space="preserve">imputation </w:t>
      </w:r>
      <w:r w:rsidRPr="008B34DF">
        <w:rPr>
          <w:rStyle w:val="AERtextitalic"/>
          <w:i w:val="0"/>
        </w:rPr>
        <w:t>is</w:t>
      </w:r>
      <w:r w:rsidRPr="008B34DF">
        <w:t xml:space="preserve"> having</w:t>
      </w:r>
      <w:r w:rsidRPr="001D37D5">
        <w:t xml:space="preserve"> a material effect on the cost of capital. This is because he submitted that, in his view, the best estimate of the extent to which imputation credits are capitalised into stock prices per dollar of credit distributed is 0.35, and this is not immaterial.</w:t>
      </w:r>
      <w:r w:rsidRPr="001D37D5">
        <w:rPr>
          <w:rStyle w:val="FootnoteReference"/>
        </w:rPr>
        <w:footnoteReference w:id="407"/>
      </w:r>
    </w:p>
    <w:p w:rsidR="00C52695" w:rsidRPr="001D37D5" w:rsidRDefault="00C52695" w:rsidP="00C52695">
      <w:pPr>
        <w:pStyle w:val="AERbulletlistfirststyle"/>
      </w:pPr>
      <w:r w:rsidRPr="00883125">
        <w:lastRenderedPageBreak/>
        <w:t>The view in a recent paper co-authored by Partington did not appear to align with that in the quote:</w:t>
      </w:r>
      <w:r w:rsidRPr="001D37D5">
        <w:rPr>
          <w:rStyle w:val="FootnoteReference"/>
        </w:rPr>
        <w:footnoteReference w:id="408"/>
      </w:r>
    </w:p>
    <w:p w:rsidR="00C52695" w:rsidRPr="00883125" w:rsidRDefault="00C52695" w:rsidP="00C52695">
      <w:pPr>
        <w:pStyle w:val="AERquote"/>
      </w:pPr>
      <w:r w:rsidRPr="00883125">
        <w:t>Indeed, whether prices are set by a marginal investor, or by aggregation across investors, is an open question… It is our contention, therefore, that a policy decision should not be based on the assertion that the marginal investor setting prices in the Australian market is an overseas investor. To do so would base policy on an insecure foundation, and risks serious error.</w:t>
      </w:r>
    </w:p>
    <w:p w:rsidR="00C52695" w:rsidRPr="00CA67C0" w:rsidRDefault="00C52695" w:rsidP="007F6EED">
      <w:pPr>
        <w:pStyle w:val="HeadingBoldItalic"/>
      </w:pPr>
      <w:bookmarkStart w:id="241" w:name="_Toc456614308"/>
      <w:bookmarkStart w:id="242" w:name="_Toc481056685"/>
      <w:bookmarkStart w:id="243" w:name="_Toc481061479"/>
      <w:r w:rsidRPr="00883125">
        <w:t>Recent academic work</w:t>
      </w:r>
      <w:bookmarkEnd w:id="241"/>
      <w:bookmarkEnd w:id="242"/>
      <w:bookmarkEnd w:id="243"/>
    </w:p>
    <w:p w:rsidR="00C52695" w:rsidRPr="00CA67C0" w:rsidRDefault="00C52695" w:rsidP="00C52695">
      <w:r w:rsidRPr="00883125">
        <w:t>The recent paper co-authored by Partington has been raised in direct support of the position that the equity ownership approach is not an appropriate way to estimate the value of distributed imputation credits.</w:t>
      </w:r>
      <w:r w:rsidRPr="00CA67C0">
        <w:rPr>
          <w:rStyle w:val="FootnoteReference"/>
        </w:rPr>
        <w:footnoteReference w:id="409"/>
      </w:r>
      <w:r w:rsidRPr="00CA67C0">
        <w:t xml:space="preserve"> This paper largely draws on the existing literature and available evidence with the intention of contributing to the policy debate around the efficacy of dividend imputation.</w:t>
      </w:r>
      <w:r w:rsidRPr="00CA67C0">
        <w:rPr>
          <w:rStyle w:val="FootnoteReference"/>
        </w:rPr>
        <w:footnoteReference w:id="410"/>
      </w:r>
      <w:r w:rsidRPr="00CA67C0">
        <w:t xml:space="preserve"> While the paper does consider relevant matters, we consider that the paper raises a number of issues without making strong recommendations. Consistent with the above quote it notes:</w:t>
      </w:r>
      <w:r w:rsidRPr="00CA67C0">
        <w:rPr>
          <w:rStyle w:val="FootnoteReference"/>
        </w:rPr>
        <w:footnoteReference w:id="411"/>
      </w:r>
    </w:p>
    <w:p w:rsidR="00C52695" w:rsidRPr="00883125" w:rsidRDefault="00C52695" w:rsidP="00C52695">
      <w:pPr>
        <w:pStyle w:val="AERquote"/>
      </w:pPr>
      <w:r w:rsidRPr="00883125">
        <w:t>Whether the marginal investor or aggregation approach better describes how imputation credits become priced in equilibrium is a point of debate. The marginal investor approach might be seen as more in keeping with the ‘Economics 101’ notions of price determination, and more consistent with general equilibrium analysis under which investor demand for (and supply of) imputation credits is jointly determined with the market clearing price. As a consequence, the marginal investor approach may assist in analysing the potential effect of changes in the demand curve. By contrast, aggregating observed demands assumes that investors have found their equilibrium position given market prices [footnote 6: Monkhouse (1993) explicitly states this assumption]. It thus does not directly address how the market equilibrium emerges in the first place. Nevertheless, the aggregation approach may still provide a useful description of an existing equilibrium. In any event, the key point is that there is no clear consensus on the appropriate approach, adding another layer of uncertainty to the issue of whether imputation credits are priced.</w:t>
      </w:r>
    </w:p>
    <w:p w:rsidR="00C52695" w:rsidRPr="00883125" w:rsidRDefault="00C52695" w:rsidP="00C52695">
      <w:r w:rsidRPr="00883125">
        <w:t xml:space="preserve">As such, while the paper raises a number of points highlighted by Gray (for Frontier), we do not consider the paper provides evidence that the equity ownership approach that uses the aggregation approach to estimate the value of theta is not reasonable. Frontier has taken a </w:t>
      </w:r>
      <w:r w:rsidRPr="00883125">
        <w:lastRenderedPageBreak/>
        <w:t>number of statements from the paper that should not be read in isolation of the remainder of the paper. For example, in response to Gray's point at paragraph 189 where he states "Ainsworth, Partington and Warren (2015) note that the evidence generally suggests that the two companies do sell for the same price",</w:t>
      </w:r>
      <w:r w:rsidRPr="00883125">
        <w:rPr>
          <w:rStyle w:val="FootnoteReference"/>
        </w:rPr>
        <w:footnoteReference w:id="412"/>
      </w:r>
      <w:r w:rsidRPr="00883125">
        <w:t xml:space="preserve"> the paper makes clear this evidence needs to be treated with caution stating:</w:t>
      </w:r>
      <w:r w:rsidRPr="00883125">
        <w:rPr>
          <w:rStyle w:val="FootnoteReference"/>
        </w:rPr>
        <w:footnoteReference w:id="413"/>
      </w:r>
    </w:p>
    <w:p w:rsidR="00C52695" w:rsidRPr="00883125" w:rsidRDefault="00C52695" w:rsidP="00C52695">
      <w:pPr>
        <w:pStyle w:val="AERquote"/>
      </w:pPr>
      <w:r w:rsidRPr="00883125">
        <w:t>In contrast, examination of returns and price levels reveals little evidence that imputation credits are priced. Lajbcygier and Wheatley (2012) find that the presence of imputation credits is not associated with lower realised returns. Further, they find a positive relation between realised returns and imputation credits, which is significant under some specifications. This implies an (implausible) negative value on imputation credits. While the sign on the coefficient probably flags issues with the empirical method (see Section 4.2), it is nevertheless the case that no hint emerges that imputation credits have lowered the distribution of realised returns. Saiu, Sault and Warren (2015) find that imputation might be reflected in share prices under discounted cash flow models, at perhaps about $0.30 in the dollar. However, the imputation variable adds little explanatory power. Meanwhile, the results under the earnings yield model and portfolio sorts suggest that imputation credits are not priced, and in fact may be associated with higher earnings yields as well as lower prices relative to other valuation measure</w:t>
      </w:r>
      <w:r w:rsidR="008B34DF">
        <w:t>s.</w:t>
      </w:r>
      <w:r w:rsidRPr="00883125">
        <w:t xml:space="preserve"> The fact that the earnings yield results have the wrong sign suggests that caution needs to be applied in interpreting these findings (similar to Lajbcygier and Wheatley, 2012).</w:t>
      </w:r>
    </w:p>
    <w:p w:rsidR="00C52695" w:rsidRPr="00883125" w:rsidRDefault="00C52695" w:rsidP="00C52695">
      <w:r w:rsidRPr="00883125">
        <w:t>On the same page the paper also states in relation to some empirical evidence more generally:</w:t>
      </w:r>
      <w:r w:rsidRPr="00883125">
        <w:rPr>
          <w:rStyle w:val="FootnoteReference"/>
        </w:rPr>
        <w:footnoteReference w:id="414"/>
      </w:r>
    </w:p>
    <w:p w:rsidR="00C52695" w:rsidRDefault="00C52695" w:rsidP="00C52695">
      <w:pPr>
        <w:pStyle w:val="AERquote"/>
      </w:pPr>
      <w:r w:rsidRPr="00883125">
        <w:t>A very mixed set of results emerges from this body of research. Figure 4 (over) summarises the findings from the majority of dividend drop-off and comparative pricing studies. While a wide range of estimates emerges, these studies on balance indicate that imputation credits are partially priced. The data points in Figure 4 average 0.38, which would suggest that imputation credits are priced at about $0.38 in the dollar.</w:t>
      </w:r>
    </w:p>
    <w:p w:rsidR="00EE2785" w:rsidRPr="004D25AD" w:rsidRDefault="00EE2785" w:rsidP="00E750F8">
      <w:r w:rsidRPr="006C032A">
        <w:t xml:space="preserve">Frontier considers </w:t>
      </w:r>
      <w:r w:rsidR="00763CE4" w:rsidRPr="002B7E95">
        <w:t xml:space="preserve">that the </w:t>
      </w:r>
      <w:r w:rsidR="00763CE4" w:rsidRPr="000169CB">
        <w:t>Ainsworth, Partington and Warren (2015) paper support their posit</w:t>
      </w:r>
      <w:r w:rsidR="008B34DF">
        <w:t>i</w:t>
      </w:r>
      <w:r w:rsidR="00763CE4" w:rsidRPr="000169CB">
        <w:t>on on gamma. However</w:t>
      </w:r>
      <w:r w:rsidR="0069134C">
        <w:t>,</w:t>
      </w:r>
      <w:r w:rsidR="00763CE4" w:rsidRPr="000169CB">
        <w:t xml:space="preserve"> Lally considers that Frontier has misrepresented the views of Ainsworth, Partington and Warren (2015)</w:t>
      </w:r>
      <w:r w:rsidR="009B225F">
        <w:t>.</w:t>
      </w:r>
      <w:r w:rsidR="00E6185B" w:rsidRPr="00E6185B">
        <w:rPr>
          <w:rStyle w:val="FootnoteReference"/>
        </w:rPr>
        <w:footnoteReference w:id="415"/>
      </w:r>
      <w:r w:rsidR="009B225F">
        <w:t xml:space="preserve"> Some key find</w:t>
      </w:r>
      <w:r w:rsidR="00356933">
        <w:t>ing</w:t>
      </w:r>
      <w:r w:rsidR="009B225F">
        <w:t>s of Lally in respect to the paper are as follows:</w:t>
      </w:r>
    </w:p>
    <w:p w:rsidR="00EE2785" w:rsidRPr="00EF2DC5" w:rsidRDefault="004E4D73" w:rsidP="00E750F8">
      <w:pPr>
        <w:pStyle w:val="AERbulletlistfirststyle"/>
      </w:pPr>
      <w:r w:rsidRPr="004D25AD">
        <w:lastRenderedPageBreak/>
        <w:t>Frontier</w:t>
      </w:r>
      <w:r w:rsidRPr="00E85280">
        <w:t xml:space="preserve"> cites Ainsworth et al </w:t>
      </w:r>
      <w:r w:rsidRPr="002915B0">
        <w:t>in support of the claim th</w:t>
      </w:r>
      <w:r w:rsidRPr="006C6181">
        <w:t>at imputation credits do not a</w:t>
      </w:r>
      <w:r w:rsidR="007D0028" w:rsidRPr="006C6181">
        <w:t>dd to the value of a business.</w:t>
      </w:r>
      <w:r w:rsidR="0043564A">
        <w:rPr>
          <w:rStyle w:val="FootnoteReference"/>
        </w:rPr>
        <w:footnoteReference w:id="416"/>
      </w:r>
      <w:r w:rsidR="007D0028" w:rsidRPr="006C6181">
        <w:t xml:space="preserve"> </w:t>
      </w:r>
      <w:r w:rsidR="007D0028" w:rsidRPr="00DC246F">
        <w:t>Lally considers t</w:t>
      </w:r>
      <w:r w:rsidRPr="00DC246F">
        <w:t>his claim is false</w:t>
      </w:r>
      <w:r w:rsidR="007D0028" w:rsidRPr="00022C1D">
        <w:t xml:space="preserve"> as </w:t>
      </w:r>
      <w:r w:rsidRPr="00022C1D">
        <w:t xml:space="preserve">Ainsworth et al </w:t>
      </w:r>
      <w:r w:rsidRPr="00D979B2">
        <w:t xml:space="preserve">summarise evidence on the value of credits and conclude that “imputation credits are priced </w:t>
      </w:r>
      <w:r w:rsidR="007D0028" w:rsidRPr="00D979B2">
        <w:t xml:space="preserve">at about $0.38 in the dollar”. </w:t>
      </w:r>
      <w:r w:rsidRPr="00D979B2">
        <w:t>Ainsworth et al</w:t>
      </w:r>
      <w:r w:rsidR="007D0028" w:rsidRPr="00447949">
        <w:t xml:space="preserve"> </w:t>
      </w:r>
      <w:r w:rsidRPr="00447949">
        <w:t xml:space="preserve">also note that some types of studies point to no valuation impact but they are sceptical of such </w:t>
      </w:r>
      <w:r w:rsidR="007D0028" w:rsidRPr="00447949">
        <w:t>studies.</w:t>
      </w:r>
      <w:r w:rsidR="007D0028" w:rsidRPr="00EF2DC5">
        <w:rPr>
          <w:rStyle w:val="FootnoteReference"/>
        </w:rPr>
        <w:footnoteReference w:id="417"/>
      </w:r>
    </w:p>
    <w:p w:rsidR="00D719B9" w:rsidRPr="000C17A3" w:rsidRDefault="00D719B9" w:rsidP="00E750F8">
      <w:pPr>
        <w:pStyle w:val="AERbulletlistfirststyle"/>
      </w:pPr>
      <w:r w:rsidRPr="00E750F8">
        <w:t>Frontier cite</w:t>
      </w:r>
      <w:r w:rsidR="007D0028" w:rsidRPr="000C17A3">
        <w:t>s</w:t>
      </w:r>
      <w:r w:rsidRPr="00E750F8">
        <w:t xml:space="preserve"> Ainsworth et al in respect </w:t>
      </w:r>
      <w:r w:rsidR="0069134C">
        <w:t>to</w:t>
      </w:r>
      <w:r w:rsidRPr="00E750F8">
        <w:t xml:space="preserve"> the claim that Australian companies in general do not explicitly take account of imputation credits in their ass</w:t>
      </w:r>
      <w:r w:rsidR="007D0028" w:rsidRPr="00E750F8">
        <w:t>essment of investment projects.</w:t>
      </w:r>
      <w:r w:rsidR="0043564A" w:rsidRPr="0043564A">
        <w:rPr>
          <w:rStyle w:val="FootnoteReference"/>
        </w:rPr>
        <w:t xml:space="preserve"> </w:t>
      </w:r>
      <w:r w:rsidR="0043564A" w:rsidRPr="0043564A">
        <w:rPr>
          <w:rStyle w:val="FootnoteReference"/>
        </w:rPr>
        <w:footnoteReference w:id="418"/>
      </w:r>
      <w:r w:rsidRPr="00E750F8">
        <w:t xml:space="preserve"> However,</w:t>
      </w:r>
      <w:r w:rsidR="007D0028" w:rsidRPr="000C17A3">
        <w:t xml:space="preserve"> Lally considers that</w:t>
      </w:r>
      <w:r w:rsidRPr="00E750F8">
        <w:t xml:space="preserve"> Frontier fails to note that Ainsworth et al argues that there are potentially offsetting errors from not explicitly accounting for credits and that this mitigates the consequences of not explicitly accounting for them.</w:t>
      </w:r>
      <w:r w:rsidR="00BD2C2C" w:rsidRPr="000C17A3">
        <w:rPr>
          <w:rStyle w:val="FootnoteReference"/>
        </w:rPr>
        <w:footnoteReference w:id="419"/>
      </w:r>
    </w:p>
    <w:p w:rsidR="004D45D1" w:rsidRDefault="00D719B9" w:rsidP="00E750F8">
      <w:pPr>
        <w:pStyle w:val="AERbulletlistfirststyle"/>
      </w:pPr>
      <w:r w:rsidRPr="00E750F8">
        <w:t>Frontier cite</w:t>
      </w:r>
      <w:r w:rsidR="007D0028" w:rsidRPr="000C17A3">
        <w:t>s</w:t>
      </w:r>
      <w:r w:rsidRPr="00E750F8">
        <w:t xml:space="preserve"> Ainsworth et al in support of the claim that the AER’s a</w:t>
      </w:r>
      <w:r w:rsidR="0069134C" w:rsidRPr="0069134C">
        <w:t>pproach to estimating the utili</w:t>
      </w:r>
      <w:r w:rsidR="0069134C">
        <w:t>s</w:t>
      </w:r>
      <w:r w:rsidRPr="00E750F8">
        <w:t>ation rate is “inconsistent with standard economic concepts of equilibrium”.</w:t>
      </w:r>
      <w:r w:rsidR="0043564A" w:rsidRPr="0043564A">
        <w:rPr>
          <w:rStyle w:val="FootnoteReference"/>
        </w:rPr>
        <w:t xml:space="preserve"> </w:t>
      </w:r>
      <w:r w:rsidR="0043564A" w:rsidRPr="0043564A">
        <w:rPr>
          <w:rStyle w:val="FootnoteReference"/>
        </w:rPr>
        <w:footnoteReference w:id="420"/>
      </w:r>
      <w:r w:rsidR="002B7973" w:rsidRPr="000C17A3">
        <w:t xml:space="preserve"> Lally considers the</w:t>
      </w:r>
      <w:r w:rsidR="004D45D1">
        <w:t xml:space="preserve"> concerns raised </w:t>
      </w:r>
      <w:r w:rsidR="002B7973" w:rsidRPr="000C17A3">
        <w:t>by Ainsworth et al about the aggregation approach are in</w:t>
      </w:r>
      <w:r w:rsidR="004D45D1">
        <w:t>valid</w:t>
      </w:r>
      <w:r w:rsidR="002B7973" w:rsidRPr="000C17A3">
        <w:t>, and therefore do not support Frontier’s claim that the aggregation approach is “inconsistent with standard economic concepts of equilibrium”</w:t>
      </w:r>
      <w:r w:rsidR="002B7973" w:rsidRPr="00245EB8">
        <w:t>.</w:t>
      </w:r>
      <w:r w:rsidR="005C46D8" w:rsidRPr="005C46D8">
        <w:rPr>
          <w:rStyle w:val="FootnoteReference"/>
        </w:rPr>
        <w:footnoteReference w:id="421"/>
      </w:r>
      <w:r w:rsidR="002B7973" w:rsidRPr="00245EB8">
        <w:t xml:space="preserve"> </w:t>
      </w:r>
      <w:r w:rsidR="004D45D1">
        <w:t>Irrespective, we do not consider the Ainsworth paper clearly expresses a view</w:t>
      </w:r>
      <w:r w:rsidR="00356933">
        <w:t xml:space="preserve"> that</w:t>
      </w:r>
      <w:r w:rsidR="004D45D1">
        <w:t xml:space="preserve"> the aggregation method is not correct, rather it expresses the view that the aggregation method may correctly capture equilibrium even if it does not describe how </w:t>
      </w:r>
      <w:r w:rsidR="00581D1C">
        <w:t>equilibrium</w:t>
      </w:r>
      <w:r w:rsidR="004D45D1">
        <w:t xml:space="preserve"> is reached.</w:t>
      </w:r>
      <w:r w:rsidR="004D45D1">
        <w:rPr>
          <w:rStyle w:val="FootnoteReference"/>
        </w:rPr>
        <w:footnoteReference w:id="422"/>
      </w:r>
    </w:p>
    <w:p w:rsidR="00EC4C53" w:rsidRDefault="002B7973" w:rsidP="00E750F8">
      <w:pPr>
        <w:pStyle w:val="AERbulletlistfirststyle"/>
      </w:pPr>
      <w:r w:rsidRPr="00E750F8">
        <w:t>Frontier adds the claim that the “AER’s aggregation approach simply counts up the number of credits that are distributed to domestic investors and assumes that those investors value all credits at the full face amount and that this is reflected in the equilibrium sha</w:t>
      </w:r>
      <w:r w:rsidR="007D0028" w:rsidRPr="00E750F8">
        <w:t>re price and cost of capital”.</w:t>
      </w:r>
      <w:r w:rsidR="0043564A" w:rsidRPr="0043564A">
        <w:rPr>
          <w:rStyle w:val="FootnoteReference"/>
        </w:rPr>
        <w:t xml:space="preserve"> </w:t>
      </w:r>
      <w:r w:rsidR="0043564A" w:rsidRPr="0043564A">
        <w:rPr>
          <w:rStyle w:val="FootnoteReference"/>
        </w:rPr>
        <w:footnoteReference w:id="423"/>
      </w:r>
      <w:r w:rsidR="007D0028" w:rsidRPr="00E750F8">
        <w:t xml:space="preserve"> </w:t>
      </w:r>
      <w:r w:rsidR="000C17A3" w:rsidRPr="000C17A3">
        <w:t>However, Lally notes that t</w:t>
      </w:r>
      <w:r w:rsidRPr="00E750F8">
        <w:t>he AER adopts the Officer (1994) CAPM, as</w:t>
      </w:r>
      <w:r w:rsidR="007D0028" w:rsidRPr="00E750F8">
        <w:t xml:space="preserve"> do all Australian regulators. </w:t>
      </w:r>
      <w:r w:rsidRPr="00E750F8">
        <w:t xml:space="preserve">Having made that choice, </w:t>
      </w:r>
      <w:r w:rsidR="002D0F57">
        <w:t xml:space="preserve">Lally considers </w:t>
      </w:r>
      <w:r w:rsidRPr="00E750F8">
        <w:t>the AER must adopt definitions for parameters within that model in accordance with a rigorous derivation of the</w:t>
      </w:r>
      <w:r w:rsidR="000C17A3" w:rsidRPr="000C17A3">
        <w:t xml:space="preserve"> model. This leads to the utili</w:t>
      </w:r>
      <w:r w:rsidR="000C17A3">
        <w:t>s</w:t>
      </w:r>
      <w:r w:rsidRPr="00E750F8">
        <w:t>ation rate being defined as the weighte</w:t>
      </w:r>
      <w:r w:rsidR="000C17A3" w:rsidRPr="000C17A3">
        <w:t>d average over investors’ utili</w:t>
      </w:r>
      <w:r w:rsidR="000C17A3">
        <w:t>s</w:t>
      </w:r>
      <w:r w:rsidRPr="00E750F8">
        <w:t>ation rates for imputation credits.</w:t>
      </w:r>
      <w:r w:rsidR="00C13700" w:rsidRPr="00E750F8">
        <w:t xml:space="preserve"> </w:t>
      </w:r>
      <w:r w:rsidRPr="00E750F8">
        <w:t xml:space="preserve">Consistent with Australian tax law, </w:t>
      </w:r>
      <w:r w:rsidR="000C17A3" w:rsidRPr="000C17A3">
        <w:t>the AER (sensibly) adopts utili</w:t>
      </w:r>
      <w:r w:rsidR="000C17A3">
        <w:t>s</w:t>
      </w:r>
      <w:r w:rsidRPr="00E750F8">
        <w:t>ation rates of 1 and 0 for local and foreign investors respectively.</w:t>
      </w:r>
      <w:r w:rsidR="00BD2C2C" w:rsidRPr="000C17A3">
        <w:rPr>
          <w:rStyle w:val="FootnoteReference"/>
        </w:rPr>
        <w:footnoteReference w:id="424"/>
      </w:r>
    </w:p>
    <w:p w:rsidR="00C845C2" w:rsidRDefault="00C845C2" w:rsidP="00D414CC">
      <w:pPr>
        <w:pStyle w:val="AERbulletlistfirststyle"/>
        <w:numPr>
          <w:ilvl w:val="0"/>
          <w:numId w:val="0"/>
        </w:numPr>
        <w:ind w:left="357"/>
      </w:pPr>
    </w:p>
    <w:p w:rsidR="00C52695" w:rsidRPr="00883125" w:rsidRDefault="00C52695" w:rsidP="00C52695">
      <w:pPr>
        <w:pStyle w:val="Heading9"/>
      </w:pPr>
      <w:bookmarkStart w:id="244" w:name="_Toc456614309"/>
      <w:bookmarkStart w:id="245" w:name="_Toc462823323"/>
      <w:bookmarkStart w:id="246" w:name="_Toc481061480"/>
      <w:r w:rsidRPr="00883125">
        <w:lastRenderedPageBreak/>
        <w:t>Gray's comments on the Monkhouse framework</w:t>
      </w:r>
      <w:bookmarkEnd w:id="244"/>
      <w:bookmarkEnd w:id="245"/>
      <w:bookmarkEnd w:id="246"/>
    </w:p>
    <w:p w:rsidR="00C52695" w:rsidRPr="00883125" w:rsidRDefault="00C52695" w:rsidP="00C52695">
      <w:pPr>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812A72">
        <w:t>A.6</w:t>
      </w:r>
      <w:r w:rsidRPr="00883125">
        <w:fldChar w:fldCharType="end"/>
      </w:r>
      <w:r w:rsidRPr="00883125">
        <w:t>, we consider that:</w:t>
      </w:r>
    </w:p>
    <w:p w:rsidR="00C52695" w:rsidRPr="00883125" w:rsidRDefault="00C52695" w:rsidP="00C52695">
      <w:pPr>
        <w:pStyle w:val="AERbulletlistfirststyle"/>
      </w:pPr>
      <w:r w:rsidRPr="00883125">
        <w:t>The Officer framework provides the basis for the value of imputation credits adjustment in the NER/NGR.</w:t>
      </w:r>
    </w:p>
    <w:p w:rsidR="00C52695" w:rsidRPr="00883125" w:rsidRDefault="00C52695" w:rsidP="00C52695">
      <w:pPr>
        <w:pStyle w:val="AERbulletlistfirststyle"/>
      </w:pPr>
      <w:r w:rsidRPr="00883125">
        <w:t>Monkhouse extends the Officer framework to a non-perpetuity setting, and shows that—assuming retained credits have no value—gamma from the Officer framework effectively equals the product of:</w:t>
      </w:r>
    </w:p>
    <w:p w:rsidR="00C52695" w:rsidRPr="00883125" w:rsidRDefault="00C52695" w:rsidP="00C52695">
      <w:pPr>
        <w:pStyle w:val="AERbulletlistsecondstyle"/>
      </w:pPr>
      <w:r w:rsidRPr="00883125">
        <w:t>the distribution rate, and</w:t>
      </w:r>
    </w:p>
    <w:p w:rsidR="00C52695" w:rsidRPr="00883125" w:rsidRDefault="00C52695" w:rsidP="00C52695">
      <w:pPr>
        <w:pStyle w:val="AERbulletlistsecondstyle"/>
      </w:pPr>
      <m:oMath>
        <m:r>
          <w:rPr>
            <w:rFonts w:ascii="Cambria Math" w:hAnsi="Cambria Math"/>
          </w:rPr>
          <m:t>θ</m:t>
        </m:r>
      </m:oMath>
      <w:r w:rsidRPr="00883125">
        <w:t xml:space="preserve"> (theta), which is the utilisation value to investors in the market per dollar of imputation credits distributed (the 'utilisation rate'), which in equilibrium is equal to the weighted average, by wealth and risk aversion, of the individual utilisation rates of investors in the market.</w:t>
      </w:r>
    </w:p>
    <w:p w:rsidR="00C52695" w:rsidRPr="00883125" w:rsidRDefault="00C52695" w:rsidP="00C52695">
      <w:r w:rsidRPr="00883125">
        <w:t>In his May 2014 and February 2015 reports, Gray (for SFG) provided a discussion of the class of CAPM employed by Monkhouse (and related literature).</w:t>
      </w:r>
      <w:r w:rsidRPr="00883125">
        <w:rPr>
          <w:rStyle w:val="FootnoteReference"/>
        </w:rPr>
        <w:footnoteReference w:id="425"/>
      </w:r>
      <w:r w:rsidRPr="00883125">
        <w:t xml:space="preserve"> Gray concluded that our recognition of foreign investors breaches the assumptions of this class of CAPM, and therefore we cannot estimate the value of imputation credits using the definition of theta in equilibrium from the Monkhouse framework. Gray's June 2015 report (for Frontier), upon which a number of service providers rely, holds the same view and notes the inconsistency between Lally and Handley's advice on this point</w:t>
      </w:r>
      <w:r w:rsidR="008B34DF">
        <w:t>.</w:t>
      </w:r>
      <w:r w:rsidRPr="00883125">
        <w:rPr>
          <w:rStyle w:val="FootnoteReference"/>
        </w:rPr>
        <w:footnoteReference w:id="426"/>
      </w:r>
    </w:p>
    <w:p w:rsidR="00C52695" w:rsidRPr="00883125" w:rsidRDefault="00C52695" w:rsidP="00C52695">
      <w:r w:rsidRPr="00883125">
        <w:t>Handley responded to Gray's view in his September 2014 and April 2015 reports and his response is equally applicable to the June 2015 report by Gray (for Frontier). He disagrees with Gray's view, and considers reasonable our use of:</w:t>
      </w:r>
      <w:r w:rsidRPr="00883125">
        <w:rPr>
          <w:rStyle w:val="FootnoteReference"/>
        </w:rPr>
        <w:footnoteReference w:id="427"/>
      </w:r>
    </w:p>
    <w:p w:rsidR="00C52695" w:rsidRPr="00883125" w:rsidRDefault="00C52695" w:rsidP="00C52695">
      <w:pPr>
        <w:pStyle w:val="AERbulletlistfirststyle"/>
      </w:pPr>
      <w:r w:rsidRPr="00883125">
        <w:t>the definition of theta from the Monkhouse framework, and</w:t>
      </w:r>
    </w:p>
    <w:p w:rsidR="00C52695" w:rsidRPr="00883125" w:rsidRDefault="00C52695" w:rsidP="00C52695">
      <w:pPr>
        <w:pStyle w:val="AERbulletlistfirststyle"/>
      </w:pPr>
      <w:r w:rsidRPr="00883125">
        <w:t>the equity ownership approach to estimate theta.</w:t>
      </w:r>
    </w:p>
    <w:p w:rsidR="00C52695" w:rsidRPr="00883125" w:rsidRDefault="00C52695" w:rsidP="00C52695">
      <w:r w:rsidRPr="00883125">
        <w:t>In the remainder of this section we identify what we consider to be the key points of this debate, and their implications for our estimation of the value of imputation credits.</w:t>
      </w:r>
    </w:p>
    <w:p w:rsidR="00C52695" w:rsidRPr="00883125" w:rsidRDefault="00C52695" w:rsidP="00C52695">
      <w:r w:rsidRPr="00883125">
        <w:t>Gray's key point appears to be that:</w:t>
      </w:r>
      <w:r w:rsidRPr="00883125">
        <w:rPr>
          <w:rStyle w:val="FootnoteReference"/>
        </w:rPr>
        <w:footnoteReference w:id="428"/>
      </w:r>
    </w:p>
    <w:p w:rsidR="00C52695" w:rsidRPr="00883125" w:rsidRDefault="00C52695" w:rsidP="00C52695">
      <w:pPr>
        <w:pStyle w:val="AERquote"/>
      </w:pPr>
      <w:r w:rsidRPr="00883125">
        <w:lastRenderedPageBreak/>
        <w:t>[The relevant class of CAPM models] derive an equilibrium by solving a market clearing condition. This involves noting that:</w:t>
      </w:r>
    </w:p>
    <w:p w:rsidR="00C52695" w:rsidRPr="00883125" w:rsidRDefault="00C52695" w:rsidP="00C52695">
      <w:pPr>
        <w:pStyle w:val="AERquote"/>
      </w:pPr>
      <w:r w:rsidRPr="00883125">
        <w:t xml:space="preserve">(a) All of the </w:t>
      </w:r>
      <w:r w:rsidRPr="00883125">
        <w:rPr>
          <w:rStyle w:val="AERtextitalic"/>
        </w:rPr>
        <w:t>m</w:t>
      </w:r>
      <w:r w:rsidRPr="00883125">
        <w:t xml:space="preserve"> investors must invest all of their wealth across the </w:t>
      </w:r>
      <w:r w:rsidRPr="00883125">
        <w:rPr>
          <w:rStyle w:val="AERtextitalic"/>
        </w:rPr>
        <w:t>n</w:t>
      </w:r>
      <w:r w:rsidRPr="00883125">
        <w:t xml:space="preserve"> assets and nothing else; and</w:t>
      </w:r>
    </w:p>
    <w:p w:rsidR="00C52695" w:rsidRPr="00883125" w:rsidRDefault="00C52695" w:rsidP="00C52695">
      <w:pPr>
        <w:pStyle w:val="AERquote"/>
      </w:pPr>
      <w:r w:rsidRPr="00883125">
        <w:t xml:space="preserve">(b) All of the </w:t>
      </w:r>
      <w:r w:rsidRPr="00883125">
        <w:rPr>
          <w:rStyle w:val="AERtextitalic"/>
        </w:rPr>
        <w:t>n</w:t>
      </w:r>
      <w:r w:rsidRPr="00883125">
        <w:t xml:space="preserve"> assets must be owned entirely by the </w:t>
      </w:r>
      <w:r w:rsidRPr="00883125">
        <w:rPr>
          <w:rStyle w:val="AERtextitalic"/>
        </w:rPr>
        <w:t>m</w:t>
      </w:r>
      <w:r w:rsidRPr="00883125">
        <w:t xml:space="preserve"> investors and no one else. </w:t>
      </w:r>
    </w:p>
    <w:p w:rsidR="00C52695" w:rsidRPr="00883125" w:rsidRDefault="00C52695" w:rsidP="00C52695">
      <w:r w:rsidRPr="00883125">
        <w:t>This suggests that the only legitimate application of the CAPM is one which recognises all investors and assets in the world (that is, an international CAPM). However, CAPMs have been employed in contexts other than the international one. Handley suggested that the key consideration is whether assets and investors that are outside the model are relevant to the determination of the prices of assets inside the model:</w:t>
      </w:r>
      <w:r w:rsidRPr="00883125">
        <w:rPr>
          <w:rStyle w:val="FootnoteReference"/>
        </w:rPr>
        <w:footnoteReference w:id="429"/>
      </w:r>
    </w:p>
    <w:p w:rsidR="00C52695" w:rsidRPr="00883125" w:rsidRDefault="00C52695" w:rsidP="00C52695">
      <w:pPr>
        <w:pStyle w:val="AERquote"/>
      </w:pPr>
      <w:r w:rsidRPr="00883125">
        <w:t xml:space="preserve">[SFG’s claim that a representative investor equilibrium does not apply in the AER’s framework] – which appears to be SFG’s major criticism of this approach – is not correct since it is based on SFG’s incorrect assertion that the market clearing condition invoked in the CAPM class of equilibrium asset pricing models is based on an assumption that the </w:t>
      </w:r>
      <w:r w:rsidRPr="00883125">
        <w:rPr>
          <w:rStyle w:val="AERtextitalic"/>
        </w:rPr>
        <w:t>m</w:t>
      </w:r>
      <w:r w:rsidRPr="00883125">
        <w:t xml:space="preserve"> investors in the model invest all their wealth across the </w:t>
      </w:r>
      <w:r w:rsidRPr="00883125">
        <w:rPr>
          <w:rStyle w:val="AERtextitalic"/>
        </w:rPr>
        <w:t>n</w:t>
      </w:r>
      <w:r w:rsidRPr="00883125">
        <w:t xml:space="preserve"> assets in the model and nothing else.</w:t>
      </w:r>
    </w:p>
    <w:p w:rsidR="00C52695" w:rsidRPr="00883125" w:rsidRDefault="00C52695" w:rsidP="00C52695">
      <w:pPr>
        <w:pStyle w:val="AERquote"/>
      </w:pPr>
      <w:r w:rsidRPr="00883125">
        <w:t>But the CAPM makes no such assumption – it is SFG who does.</w:t>
      </w:r>
    </w:p>
    <w:p w:rsidR="00C52695" w:rsidRPr="00883125" w:rsidRDefault="00C52695" w:rsidP="00C52695">
      <w:pPr>
        <w:pStyle w:val="AERquote"/>
      </w:pPr>
      <w:r w:rsidRPr="00883125">
        <w:t>An implication of SFG’s assertion is that one could validly use a “domestic” version of the CAPM say to price U.S. stocks only if you assume that investors in the U.S. stock market hold no other assets except U.S. stocks. Such an assumption would be clearly implausible.</w:t>
      </w:r>
    </w:p>
    <w:p w:rsidR="00C52695" w:rsidRPr="00883125" w:rsidRDefault="00C52695" w:rsidP="00C52695">
      <w:pPr>
        <w:pStyle w:val="AERquote"/>
      </w:pPr>
      <w:r w:rsidRPr="00883125">
        <w:t>An alternative and less extreme assumption which is implicit in the use of a “domestic” version of the CAPM is that any assets outside the model and any investors outside the model are not relevant for determining the prices of the assets inside the model. This is equivalent to saying that the system is “closed” by definition – everything that matters is inside the model and anything outside the model does not matter – which means a standard market clearing condition can indeed be invoked and a valid equilibrium can be found. There is nothing in the Copeland and Rosenberg statements quoted in SFG (2015) which is inconsistent with this approach.</w:t>
      </w:r>
    </w:p>
    <w:p w:rsidR="00C52695" w:rsidRPr="00883125" w:rsidRDefault="00C52695" w:rsidP="00C52695">
      <w:r w:rsidRPr="00883125">
        <w:t>Therefore, it would seem that the criticisms of our use of the definition of theta from the Monkhouse framework, and our responses to those criticisms, might be summarised as follows:</w:t>
      </w:r>
    </w:p>
    <w:p w:rsidR="00C52695" w:rsidRPr="00883125" w:rsidRDefault="00C52695" w:rsidP="00C52695">
      <w:pPr>
        <w:pStyle w:val="AERbulletlistfirststyle"/>
      </w:pPr>
      <w:r w:rsidRPr="00883125">
        <w:t xml:space="preserve">By not using all assets and investors in the world, we are breaching a fundamental condition required by CAPMs to derive an equilibrium value. However, CAPMs have </w:t>
      </w:r>
      <w:r w:rsidRPr="00883125">
        <w:lastRenderedPageBreak/>
        <w:t>been used in contexts other than the international one, and therefore we are not convinced that this criticism presents grounds to disregard these models.</w:t>
      </w:r>
    </w:p>
    <w:p w:rsidR="00C52695" w:rsidRPr="001D37D5" w:rsidRDefault="00C52695" w:rsidP="00C52695">
      <w:pPr>
        <w:pStyle w:val="AERbulletlistfirststyle"/>
        <w:rPr>
          <w:rStyle w:val="AERtexthighlight"/>
        </w:rPr>
      </w:pPr>
      <w:r w:rsidRPr="00883125">
        <w:t>The following implicit assumption in our approach is unreasonable: that the foreign asset holdings of (both Australian and foreign) investors in Australian assets are not relevant to those investors' valuation of Australian assets. Gray's view is that the assumption is unreasonable.</w:t>
      </w:r>
      <w:r w:rsidRPr="001D37D5">
        <w:rPr>
          <w:rStyle w:val="FootnoteReference"/>
        </w:rPr>
        <w:footnoteReference w:id="430"/>
      </w:r>
      <w:r w:rsidRPr="001D37D5">
        <w:t xml:space="preserve"> Handley's view is, if the assumption is considered unreasonable, 'then one should bring the outside assets and outside investors into the model, for example, by using an international CAPM'.</w:t>
      </w:r>
      <w:r w:rsidRPr="001D37D5">
        <w:rPr>
          <w:rStyle w:val="FootnoteReference"/>
        </w:rPr>
        <w:footnoteReference w:id="431"/>
      </w:r>
      <w:r w:rsidRPr="001D37D5">
        <w:t xml:space="preserve"> However, neither Gray nor Handley suggested that we employ an international CAPM. Moreover, Handley clearly set out his view that our use of the definition of theta from the Monkhouse framework is reasonable.</w:t>
      </w:r>
      <w:r w:rsidRPr="001D37D5">
        <w:rPr>
          <w:rStyle w:val="FootnoteReference"/>
        </w:rPr>
        <w:footnoteReference w:id="432"/>
      </w:r>
    </w:p>
    <w:p w:rsidR="00C52695" w:rsidRPr="00883125" w:rsidRDefault="00C52695" w:rsidP="00C52695">
      <w:r w:rsidRPr="00883125">
        <w:t xml:space="preserve">In conclusion, we are not convinced that we should disregard the definition of theta from the Monkhouse framework when estimating the value of imputation credits. </w:t>
      </w:r>
    </w:p>
    <w:p w:rsidR="00C52695" w:rsidRPr="00883125" w:rsidRDefault="00C52695" w:rsidP="00C52695">
      <w:pPr>
        <w:pStyle w:val="Heading8"/>
      </w:pPr>
      <w:bookmarkStart w:id="247" w:name="_Ref414623120"/>
      <w:bookmarkStart w:id="248" w:name="_Toc436049449"/>
      <w:bookmarkStart w:id="249" w:name="_Toc451842254"/>
      <w:bookmarkStart w:id="250" w:name="_Toc451938309"/>
      <w:bookmarkStart w:id="251" w:name="_Toc456614310"/>
      <w:bookmarkStart w:id="252" w:name="_Toc462823324"/>
      <w:bookmarkStart w:id="253" w:name="_Toc481061481"/>
      <w:r w:rsidRPr="00883125">
        <w:t>Further issues relating to the utilisation rate</w:t>
      </w:r>
      <w:bookmarkEnd w:id="247"/>
      <w:bookmarkEnd w:id="248"/>
      <w:bookmarkEnd w:id="249"/>
      <w:bookmarkEnd w:id="250"/>
      <w:bookmarkEnd w:id="251"/>
      <w:bookmarkEnd w:id="252"/>
      <w:bookmarkEnd w:id="253"/>
    </w:p>
    <w:p w:rsidR="00C52695" w:rsidRPr="00883125" w:rsidRDefault="00C52695" w:rsidP="00C52695">
      <w:pPr>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812A72">
        <w:t>A.6</w:t>
      </w:r>
      <w:r w:rsidRPr="00883125">
        <w:fldChar w:fldCharType="end"/>
      </w:r>
      <w:r w:rsidRPr="00883125">
        <w:t xml:space="preserve">, we define the utilisation rate as the utilisation value to investors in the market per dollar of imputation credits distributed. As also discussed in section </w:t>
      </w:r>
      <w:r w:rsidRPr="00883125">
        <w:fldChar w:fldCharType="begin"/>
      </w:r>
      <w:r w:rsidRPr="00883125">
        <w:instrText xml:space="preserve"> REF _Ref400965182 \r \h </w:instrText>
      </w:r>
      <w:r w:rsidRPr="00883125">
        <w:fldChar w:fldCharType="separate"/>
      </w:r>
      <w:r w:rsidR="00812A72">
        <w:t>A.6</w:t>
      </w:r>
      <w:r w:rsidRPr="00883125">
        <w:fldChar w:fldCharType="end"/>
      </w:r>
      <w:r w:rsidRPr="00883125">
        <w:t>,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 Therefore, we consider that eligible investors have a utilisation rate of 1 (on a before-personal-tax and before-personal-costs basis). Conversely, ‘ineligible’ investors cannot utilise imputation credits and have a utilisation rate of 0. It follows that the utilisation rate reflects the extent to which investors can utilise the imputation credits they receive to reduce their tax or get a refund.</w:t>
      </w:r>
    </w:p>
    <w:p w:rsidR="00C52695" w:rsidRDefault="00C52695" w:rsidP="00C52695">
      <w:pPr>
        <w:numPr>
          <w:ilvl w:val="0"/>
          <w:numId w:val="24"/>
        </w:numPr>
      </w:pPr>
      <w:r>
        <w:t>This is supported by Lally who considers that within the Officer Framework model, the utilisation rate is a weighted average over the utilisation rate for imputation credits by individual investors and these utilisation rates are 1 if investors can use the credits and zero otherwise.</w:t>
      </w:r>
      <w:r>
        <w:rPr>
          <w:rStyle w:val="FootnoteReference"/>
        </w:rPr>
        <w:footnoteReference w:id="433"/>
      </w:r>
    </w:p>
    <w:p w:rsidR="00C52695" w:rsidRPr="00883125" w:rsidRDefault="00C52695" w:rsidP="00C52695">
      <w:pPr>
        <w:numPr>
          <w:ilvl w:val="0"/>
          <w:numId w:val="24"/>
        </w:numPr>
      </w:pPr>
      <w:r w:rsidRPr="00883125">
        <w:t>In this section we provide further support for our position on the utilisation rate. In particular, we:</w:t>
      </w:r>
    </w:p>
    <w:p w:rsidR="00C52695" w:rsidRPr="00883125" w:rsidRDefault="00C52695" w:rsidP="00C52695">
      <w:pPr>
        <w:pStyle w:val="AERbulletlistfirststyle"/>
      </w:pPr>
      <w:r w:rsidRPr="00883125">
        <w:t xml:space="preserve">explain how our position is consistent with the basis of the building block framework </w:t>
      </w:r>
    </w:p>
    <w:p w:rsidR="00C52695" w:rsidRPr="00883125" w:rsidRDefault="00C52695" w:rsidP="00C52695">
      <w:pPr>
        <w:pStyle w:val="AERbulletlistfirststyle"/>
      </w:pPr>
      <w:r w:rsidRPr="00883125">
        <w:lastRenderedPageBreak/>
        <w:t>contrast our position with that of the service providers, including with reference to factors they considered should be reflected in the utilisation rate, and</w:t>
      </w:r>
    </w:p>
    <w:p w:rsidR="00C52695" w:rsidRPr="00883125" w:rsidRDefault="00C52695" w:rsidP="00C52695">
      <w:pPr>
        <w:pStyle w:val="AERbulletlistfirststyle"/>
      </w:pPr>
      <w:r w:rsidRPr="00883125">
        <w:t>respond to NERA's view.</w:t>
      </w:r>
    </w:p>
    <w:p w:rsidR="00C52695" w:rsidRPr="00883125" w:rsidRDefault="00C52695" w:rsidP="00C52695">
      <w:pPr>
        <w:pStyle w:val="Heading9"/>
      </w:pPr>
      <w:bookmarkStart w:id="254" w:name="_Ref401748758"/>
      <w:bookmarkStart w:id="255" w:name="_Toc456614311"/>
      <w:bookmarkStart w:id="256" w:name="_Toc462823325"/>
      <w:bookmarkStart w:id="257" w:name="_Toc481061482"/>
      <w:r w:rsidRPr="00883125">
        <w:t>Consistency with the building block framework</w:t>
      </w:r>
      <w:bookmarkEnd w:id="254"/>
      <w:bookmarkEnd w:id="255"/>
      <w:bookmarkEnd w:id="256"/>
      <w:bookmarkEnd w:id="257"/>
    </w:p>
    <w:p w:rsidR="00C52695" w:rsidRPr="00883125" w:rsidRDefault="00C52695" w:rsidP="00C52695">
      <w:pPr>
        <w:numPr>
          <w:ilvl w:val="0"/>
          <w:numId w:val="24"/>
        </w:numPr>
      </w:pPr>
      <w:r w:rsidRPr="00883125">
        <w:t>To be consistent with the building block framework, the utilisation rate should reflect the before-personal-tax and before-personal-costs value of imputation credits to investors. In a before-personal-tax and before-personal-costs framework, an investor that is eligible to fully utilise imputation credits should value each dollar of imputation credits received at one dollar (that is, have a utilisation rate of 1).</w:t>
      </w:r>
    </w:p>
    <w:p w:rsidR="00C52695" w:rsidRPr="00883125" w:rsidRDefault="00C52695" w:rsidP="00C52695">
      <w:pPr>
        <w:numPr>
          <w:ilvl w:val="0"/>
          <w:numId w:val="24"/>
        </w:numPr>
      </w:pPr>
      <w:r w:rsidRPr="00883125">
        <w:t>This consideration is supported by Handley's advice on the basis of the regulatory (building block) framework:</w:t>
      </w:r>
      <w:r w:rsidRPr="00883125">
        <w:rPr>
          <w:rStyle w:val="FootnoteReference"/>
        </w:rPr>
        <w:footnoteReference w:id="434"/>
      </w:r>
      <w:r w:rsidRPr="00883125">
        <w:t xml:space="preserve"> </w:t>
      </w:r>
    </w:p>
    <w:p w:rsidR="00C52695" w:rsidRPr="00883125" w:rsidRDefault="00C52695" w:rsidP="00C52695">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C52695" w:rsidRPr="00883125" w:rsidRDefault="00C52695" w:rsidP="00C52695">
      <w:pPr>
        <w:numPr>
          <w:ilvl w:val="0"/>
          <w:numId w:val="24"/>
        </w:numPr>
      </w:pPr>
      <w:r w:rsidRPr="00883125">
        <w:t>Handley also referred specifically to the basis on which the utilisation rate should be estimated:</w:t>
      </w:r>
      <w:r w:rsidRPr="00883125">
        <w:rPr>
          <w:rStyle w:val="FootnoteReference"/>
        </w:rPr>
        <w:footnoteReference w:id="435"/>
      </w:r>
    </w:p>
    <w:p w:rsidR="00C52695" w:rsidRPr="00883125" w:rsidRDefault="00C52695" w:rsidP="00C52695">
      <w:pPr>
        <w:pStyle w:val="AERquote"/>
      </w:pPr>
      <w:r w:rsidRPr="00883125">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C52695" w:rsidRPr="00883125" w:rsidRDefault="00C52695" w:rsidP="00C52695">
      <w:r w:rsidRPr="00883125">
        <w:t>The service providers consider our interpretation of the utilisation rate conceptually incorrect and inconsistent with the requirements of the NER/NGR</w:t>
      </w:r>
      <w:r>
        <w:t xml:space="preserve"> and the NEO/NGO</w:t>
      </w:r>
      <w:r w:rsidRPr="00883125">
        <w:t>.</w:t>
      </w:r>
      <w:r w:rsidRPr="00883125">
        <w:rPr>
          <w:rStyle w:val="FootnoteReference"/>
        </w:rPr>
        <w:footnoteReference w:id="436"/>
      </w:r>
      <w:r w:rsidRPr="00883125">
        <w:t xml:space="preserve"> They </w:t>
      </w:r>
      <w:r w:rsidRPr="00883125">
        <w:lastRenderedPageBreak/>
        <w:t>submit</w:t>
      </w:r>
      <w:r>
        <w:t>ted that we are</w:t>
      </w:r>
      <w:r w:rsidRPr="00883125">
        <w:t xml:space="preserve"> required to estimate the value of imputation credits, not the expected utilisation value of distributed credits, or a measure of investor's eligibility to utilise those credits.</w:t>
      </w:r>
      <w:r w:rsidRPr="00883125">
        <w:rPr>
          <w:rStyle w:val="FootnoteReference"/>
        </w:rPr>
        <w:footnoteReference w:id="437"/>
      </w:r>
      <w:r w:rsidRPr="00883125">
        <w:t xml:space="preserve"> </w:t>
      </w:r>
      <w:r>
        <w:t>Further</w:t>
      </w:r>
      <w:r w:rsidRPr="00883125">
        <w:t>, a number of service providers submitted:</w:t>
      </w:r>
      <w:r w:rsidRPr="00883125">
        <w:rPr>
          <w:rStyle w:val="FootnoteReference"/>
        </w:rPr>
        <w:footnoteReference w:id="438"/>
      </w:r>
    </w:p>
    <w:p w:rsidR="00C52695" w:rsidRPr="00883125" w:rsidRDefault="00C52695" w:rsidP="00C52695">
      <w:pPr>
        <w:pStyle w:val="AERquote"/>
      </w:pPr>
      <w:r w:rsidRPr="00883125">
        <w:t>It is certainly true that theta must reflect the value of imputation credits to investors. However it is unusual for theta to be defined in a way that excludes the effect of certain factors that may impact on value (and which will be reflected in market value measures), such as personal costs.</w:t>
      </w:r>
    </w:p>
    <w:p w:rsidR="00C52695" w:rsidRDefault="00C52695" w:rsidP="00C52695">
      <w:r>
        <w:t>Frontier submits that the value of distributed imputation credits can only be estimated using a market based approach such as dividend drop-off studies and simultaneous pricing analysis.</w:t>
      </w:r>
      <w:r>
        <w:rPr>
          <w:rStyle w:val="FootnoteReference"/>
        </w:rPr>
        <w:footnoteReference w:id="439"/>
      </w:r>
      <w:r>
        <w:t xml:space="preserve"> Frontier considers that such an approach is consistent with the regulatory framework.</w:t>
      </w:r>
      <w:r>
        <w:rPr>
          <w:rStyle w:val="FootnoteReference"/>
        </w:rPr>
        <w:footnoteReference w:id="440"/>
      </w:r>
    </w:p>
    <w:p w:rsidR="00C52695" w:rsidRPr="00883125" w:rsidRDefault="00C52695" w:rsidP="00C52695">
      <w:r w:rsidRPr="00883125">
        <w:t xml:space="preserve">We disagree. We consider our approach is consistent with the NER/NGR. We have previously noted in the Guideline and in our prior decisions, and maintain in this </w:t>
      </w:r>
      <w:r w:rsidR="00F730F4">
        <w:t xml:space="preserve">final </w:t>
      </w:r>
      <w:r w:rsidRPr="00883125">
        <w:t>decision, that the Officer framework provides the basis for the rate of return framework in the NER/NGR.</w:t>
      </w:r>
      <w:r w:rsidRPr="00883125">
        <w:rPr>
          <w:rStyle w:val="FootnoteReference"/>
        </w:rPr>
        <w:footnoteReference w:id="441"/>
      </w:r>
      <w:r w:rsidRPr="00883125">
        <w:t xml:space="preserve"> This point has not been contested by the service providers or their consultants. If the Officer framework provides the basis for the rate of return framework in the NER/NGR, then it is reasonable—if not necessary—to estimate gamma in a manner consistent with Officer. Therefore, we have considered whether Officer's framework is </w:t>
      </w:r>
      <w:r w:rsidRPr="00883125">
        <w:lastRenderedPageBreak/>
        <w:t xml:space="preserve">intended to reflect factors such as personal taxes and personal costs when determining the rate of return. </w:t>
      </w:r>
      <w:r>
        <w:t xml:space="preserve">We consider that it is not, and that </w:t>
      </w:r>
      <w:r w:rsidRPr="00883125">
        <w:t>Handley's</w:t>
      </w:r>
      <w:r>
        <w:t xml:space="preserve"> and Lally's</w:t>
      </w:r>
      <w:r w:rsidRPr="00883125">
        <w:t xml:space="preserve"> advice </w:t>
      </w:r>
      <w:r>
        <w:t>supports our approach</w:t>
      </w:r>
      <w:r w:rsidRPr="00883125">
        <w:t xml:space="preserve">. Gray (for both SFG and Frontier) disagrees, but as discussed in section </w:t>
      </w:r>
      <w:r w:rsidRPr="00883125">
        <w:fldChar w:fldCharType="begin"/>
      </w:r>
      <w:r w:rsidRPr="00883125">
        <w:instrText xml:space="preserve"> REF _Ref414028398 \r \h </w:instrText>
      </w:r>
      <w:r w:rsidRPr="00883125">
        <w:fldChar w:fldCharType="separate"/>
      </w:r>
      <w:r w:rsidR="00812A72">
        <w:t>A.7.3</w:t>
      </w:r>
      <w:r w:rsidRPr="00883125">
        <w:fldChar w:fldCharType="end"/>
      </w:r>
      <w:r w:rsidRPr="00883125">
        <w:t>, Gray's interpretation is unconvincing to us.</w:t>
      </w:r>
      <w:r w:rsidR="00F730F4">
        <w:t xml:space="preserve"> The relevance of personal cost i</w:t>
      </w:r>
      <w:r w:rsidR="003C5E38">
        <w:t>s</w:t>
      </w:r>
      <w:r w:rsidR="00F730F4">
        <w:t xml:space="preserve"> further discussed in section </w:t>
      </w:r>
      <w:r w:rsidR="00F730F4">
        <w:fldChar w:fldCharType="begin"/>
      </w:r>
      <w:r w:rsidR="00F730F4">
        <w:instrText xml:space="preserve"> REF _Ref475361170 \r \h </w:instrText>
      </w:r>
      <w:r w:rsidR="00F730F4">
        <w:fldChar w:fldCharType="separate"/>
      </w:r>
      <w:r w:rsidR="00812A72">
        <w:t>A.8.4</w:t>
      </w:r>
      <w:r w:rsidR="00F730F4">
        <w:fldChar w:fldCharType="end"/>
      </w:r>
      <w:r w:rsidR="005F6361">
        <w:t xml:space="preserve"> below.</w:t>
      </w:r>
    </w:p>
    <w:p w:rsidR="00C52695" w:rsidRPr="00883125" w:rsidRDefault="00C52695" w:rsidP="00C52695">
      <w:r w:rsidRPr="00883125">
        <w:t xml:space="preserve">Put another way, our approach to estimating the value of imputation credits recognises that this parameter does not exist in isolation. That is, the NER/NGR </w:t>
      </w:r>
      <w:r w:rsidR="00F730F4" w:rsidRPr="00883125">
        <w:t>employs</w:t>
      </w:r>
      <w:r w:rsidRPr="00883125">
        <w:t xml:space="preserve"> the building block framework to determine a revenue allowance that contributes to the achievement of the NEO/NGO. The building block framework employs the Officer framework to determine a rate of return that contributes to meeting the NEO/NGO, and gamma forms part of the Officer framework. We consider that proper regard to the NER/NGR's use of the Officer framework best promotes the objectives and requirements of the NER/NGR.</w:t>
      </w:r>
    </w:p>
    <w:p w:rsidR="00C52695" w:rsidRPr="00883125" w:rsidRDefault="00C52695" w:rsidP="001453E4">
      <w:pPr>
        <w:rPr>
          <w:rStyle w:val="AERbody"/>
        </w:rPr>
      </w:pPr>
      <w:r w:rsidRPr="00883125">
        <w:rPr>
          <w:rStyle w:val="AERbody"/>
        </w:rPr>
        <w:t>Handley supports our approach and has explicitly stated that the AER's definition of theta does correspond to a "market value" on a before personal taxes and before personal costs basis:</w:t>
      </w:r>
      <w:r w:rsidRPr="00883125">
        <w:rPr>
          <w:rStyle w:val="FootnoteReference"/>
        </w:rPr>
        <w:footnoteReference w:id="442"/>
      </w:r>
    </w:p>
    <w:p w:rsidR="00C52695" w:rsidRPr="00C52695" w:rsidRDefault="00C52695" w:rsidP="00C52695">
      <w:pPr>
        <w:pStyle w:val="AERquote"/>
        <w:rPr>
          <w:rFonts w:eastAsiaTheme="minorHAnsi"/>
        </w:rPr>
      </w:pPr>
      <w:r w:rsidRPr="005764F6">
        <w:t>When used in everyday language, the meaning of the term “value” is generally well understood. However, in a cost of capital context, the term value is potentially ambiguous. Value can be used to refer to a value before taxes or a value after taxes. It can refer to a value before costs or a value after costs. The term “rate of return” (or discount rate) is similarly potentially ambiguous. A return can be measured or defined before taxes or after taxes. A return can also be measured or defined before costs or after costs.</w:t>
      </w:r>
    </w:p>
    <w:p w:rsidR="00C52695" w:rsidRPr="005764F6" w:rsidRDefault="00C52695" w:rsidP="00C52695">
      <w:pPr>
        <w:pStyle w:val="AERquote"/>
      </w:pPr>
      <w:r w:rsidRPr="005764F6">
        <w:t>This is why it is very important to be absolutely precise about how the key inputs of a WACC analysis – cash flow and discount rate – are defined and to ensure that they are defined on the same basis.</w:t>
      </w:r>
    </w:p>
    <w:p w:rsidR="00C52695" w:rsidRPr="005764F6" w:rsidRDefault="00C52695" w:rsidP="00C52695">
      <w:pPr>
        <w:pStyle w:val="AERquote"/>
      </w:pPr>
      <w:r w:rsidRPr="005764F6">
        <w:t>The AER definition of theta does indeed correspond to a market value (as in “worth to investors”) interpretation of theta if value is taken here to mean the value of imputation credits before personal taxes and before personal costs. This interpretation is neither novel nor new. It comes directly from the seminal 1994 paper by Officer.</w:t>
      </w:r>
    </w:p>
    <w:p w:rsidR="00C52695" w:rsidRPr="00883125" w:rsidRDefault="00C52695" w:rsidP="00C52695">
      <w:pPr>
        <w:rPr>
          <w:rStyle w:val="AERbody"/>
        </w:rPr>
      </w:pPr>
      <w:r w:rsidRPr="00883125">
        <w:rPr>
          <w:rStyle w:val="AERbody"/>
        </w:rPr>
        <w:t xml:space="preserve">Finally, given the discussion above that indicates why we consider our definition of theta is an estimate of the value of imputation credits to investors in the market before personal taxes and personal transactions costs, we consider there is little in the service providers position that imputation credits should either be interpreted as the value of distributed credits, or the proportion of distributed credits likely to be redeemed by investors. Handley </w:t>
      </w:r>
      <w:r w:rsidRPr="00883125">
        <w:rPr>
          <w:rStyle w:val="AERbody"/>
        </w:rPr>
        <w:lastRenderedPageBreak/>
        <w:t>also states with respect to the alleged difference between the value of imputation credits and the redemption value:</w:t>
      </w:r>
      <w:r w:rsidRPr="00883125">
        <w:rPr>
          <w:rStyle w:val="FootnoteReference"/>
        </w:rPr>
        <w:footnoteReference w:id="443"/>
      </w:r>
    </w:p>
    <w:p w:rsidR="00C52695" w:rsidRPr="00C52695" w:rsidRDefault="00C52695" w:rsidP="00C52695">
      <w:pPr>
        <w:pStyle w:val="AERquote"/>
        <w:rPr>
          <w:rFonts w:eastAsiaTheme="minorHAnsi"/>
        </w:rPr>
      </w:pPr>
      <w:r w:rsidRPr="005764F6">
        <w:t xml:space="preserve">There is no either-or decision to be made here. The value of distributed credits and the proportion of credits redeemed are the same thing when one uses the proper definition of “value” in relation to theta (and gamma). Specifically, theta is the value of a dollar of distributed credits before personal taxes and before personal costs. In this case, the value of the credits and the proportion of the credits redeemed are one and the same thing. This is why Officer (1994) uses both descriptions interchangeably when referring to gamma in his seminal paper. </w:t>
      </w:r>
    </w:p>
    <w:p w:rsidR="00C52695" w:rsidRPr="00883125" w:rsidRDefault="00C52695" w:rsidP="00C52695">
      <w:pPr>
        <w:rPr>
          <w:rStyle w:val="AERbody"/>
        </w:rPr>
      </w:pPr>
      <w:r w:rsidRPr="00883125">
        <w:rPr>
          <w:rStyle w:val="AERbody"/>
        </w:rPr>
        <w:t>Handley also states:</w:t>
      </w:r>
      <w:r w:rsidRPr="00883125">
        <w:rPr>
          <w:rStyle w:val="FootnoteReference"/>
        </w:rPr>
        <w:footnoteReference w:id="444"/>
      </w:r>
    </w:p>
    <w:p w:rsidR="00C52695" w:rsidRPr="005764F6" w:rsidRDefault="00C52695" w:rsidP="00C52695">
      <w:pPr>
        <w:pStyle w:val="AERquote"/>
      </w:pPr>
      <w:r w:rsidRPr="005764F6">
        <w:t>SFG (2015 para. 124-135) also suggests that the mathematical formulae in Officer (1994) support a value interpretation of gamma but not a redemption value interpretation since: “It is clear in this formula [para.127] that gamma represents … the extent to which imputation credits increase the market value of equity”. There is no dispute that the (market) value of credits are capitalised into stock prices – this is clear from equation (2) above. However, SFG fails to see that within Officer’s framework it is the before personal tax and before personal costs value of a credit – the redemption value – which is the item being capitalised.</w:t>
      </w:r>
    </w:p>
    <w:p w:rsidR="00C52695" w:rsidRPr="00883125" w:rsidRDefault="00C52695" w:rsidP="00C52695">
      <w:pPr>
        <w:pStyle w:val="Heading9"/>
      </w:pPr>
      <w:bookmarkStart w:id="258" w:name="_Ref450298425"/>
      <w:bookmarkStart w:id="259" w:name="_Ref450300692"/>
      <w:bookmarkStart w:id="260" w:name="_Ref450840388"/>
      <w:bookmarkStart w:id="261" w:name="_Toc456614312"/>
      <w:bookmarkStart w:id="262" w:name="_Toc462823326"/>
      <w:bookmarkStart w:id="263" w:name="_Toc481061483"/>
      <w:r w:rsidRPr="00883125">
        <w:t>Consistency with other allowed rate of return parameters</w:t>
      </w:r>
      <w:bookmarkEnd w:id="258"/>
      <w:bookmarkEnd w:id="259"/>
      <w:bookmarkEnd w:id="260"/>
      <w:bookmarkEnd w:id="261"/>
      <w:bookmarkEnd w:id="262"/>
      <w:bookmarkEnd w:id="263"/>
    </w:p>
    <w:p w:rsidR="00C52695" w:rsidRPr="00883125" w:rsidRDefault="00C52695" w:rsidP="00C52695">
      <w:r w:rsidRPr="00883125">
        <w:t xml:space="preserve">We consider we are estimating the value of imputation credits consistently with the other allowed rate of return parameters on a post company tax basis before personal taxes and personal costs. </w:t>
      </w:r>
    </w:p>
    <w:p w:rsidR="00C52695" w:rsidRPr="005764F6" w:rsidRDefault="00C52695" w:rsidP="00C52695">
      <w:r w:rsidRPr="005764F6">
        <w:t>For instance, when estimating the MRP</w:t>
      </w:r>
      <w:r>
        <w:t>,</w:t>
      </w:r>
      <w:r w:rsidRPr="005764F6">
        <w:t xml:space="preserve"> the dividend yield component is determined by the face value of dividends where one dollar of dividends paid by the company is valued at one dollar to the investor. We do not account for the personal costs and personal taxes associated with cash dividends when estimating the MRP using observed historical market returns. By contrast, dividend drop-off studies estimate the value one dollar of distributed cash dividends at less than one dollar (in the range of eighty one cents to ninety three cents in the case of SFG's study).</w:t>
      </w:r>
      <w:r w:rsidRPr="007B2969">
        <w:rPr>
          <w:rStyle w:val="FootnoteReference"/>
        </w:rPr>
        <w:footnoteReference w:id="445"/>
      </w:r>
      <w:r w:rsidRPr="005764F6">
        <w:t xml:space="preserve"> This highlights that dividend drop off studies are not estimating a post-</w:t>
      </w:r>
      <w:r>
        <w:t xml:space="preserve">company pre-personal </w:t>
      </w:r>
      <w:r w:rsidRPr="005764F6">
        <w:t>tax return (which is the full face value of one dollar per one dollar of dividends distributed). Therefore, given imputation credits are also post tax income (like dividends), estimates of the value of imputation credits from these studies will require an adjustment to convert them to a post-</w:t>
      </w:r>
      <w:r>
        <w:t xml:space="preserve">company pre-personal </w:t>
      </w:r>
      <w:r w:rsidRPr="005764F6">
        <w:t xml:space="preserve">tax return. Absent </w:t>
      </w:r>
      <w:r w:rsidRPr="005764F6">
        <w:lastRenderedPageBreak/>
        <w:t>such an adjustment they are not appropriate to use as estimates of the post-</w:t>
      </w:r>
      <w:r>
        <w:t xml:space="preserve">company pre-personal </w:t>
      </w:r>
      <w:r w:rsidRPr="005764F6">
        <w:t>tax value of distributed imputation credits for use in the Officer Framework underpinning the rules.</w:t>
      </w:r>
    </w:p>
    <w:p w:rsidR="00C52695" w:rsidRPr="005764F6" w:rsidRDefault="00C52695" w:rsidP="00C52695">
      <w:r w:rsidRPr="005764F6">
        <w:t>When estimating the MRP we do not use a ninety cent value per one dollar face value of dividends. Doing so would significantly reduce the MRP estimate and would be inappropriate. The incorrect post tax valuation of cash dividends from dividend drop off studies is most likely driven by differential personal tax of dividend income and capital gains. As noted above, the correct post</w:t>
      </w:r>
      <w:r>
        <w:t xml:space="preserve"> (company)</w:t>
      </w:r>
      <w:r w:rsidRPr="005764F6">
        <w:t xml:space="preserve"> tax (pre-personal tax and personal costs) value of dividends is clearly one dollar per dollar of dividends distributed and not ninety cents or less as implied by the SFG study. The undervaluation relative to the full face value is likely primarily driven by investors valuing capital gains more highly than dividend income as capital gains are generally taxed at a concessional personal tax rate.</w:t>
      </w:r>
      <w:r w:rsidRPr="00A51232">
        <w:rPr>
          <w:rStyle w:val="FootnoteReference"/>
        </w:rPr>
        <w:footnoteReference w:id="446"/>
      </w:r>
      <w:r w:rsidRPr="005764F6">
        <w:t xml:space="preserve"> We consider that the incorrect post tax valuation of cash dividends in SFG's dividend drop of study will also be reflected it the estimates of the value of imputation credits. This is because imputation credits are also taxed as ordinary income like cash dividends. Therefore, the uncorrected estimate of the value of imputation credits from a dividend drop off study is not an appropriate post tax value to use in our post (corporate) tax regulatory framework which is based on the Officer Framework.</w:t>
      </w:r>
      <w:r w:rsidRPr="00A51232">
        <w:rPr>
          <w:rStyle w:val="FootnoteReference"/>
        </w:rPr>
        <w:footnoteReference w:id="447"/>
      </w:r>
      <w:r w:rsidRPr="005764F6">
        <w:t xml:space="preserve"> It neither reflects the post-tax cost faced by the regulated businesses, nor the post-tax value received by investors. This is further discussed in section </w:t>
      </w:r>
      <w:r w:rsidRPr="005764F6">
        <w:fldChar w:fldCharType="begin"/>
      </w:r>
      <w:r w:rsidRPr="005764F6">
        <w:instrText xml:space="preserve"> REF _Ref435171205 \r \h  \* MERGEFORMAT </w:instrText>
      </w:r>
      <w:r w:rsidRPr="005764F6">
        <w:fldChar w:fldCharType="separate"/>
      </w:r>
      <w:r w:rsidR="00812A72">
        <w:t>A.15.3</w:t>
      </w:r>
      <w:r w:rsidRPr="005764F6">
        <w:fldChar w:fldCharType="end"/>
      </w:r>
      <w:r w:rsidRPr="005764F6">
        <w:t xml:space="preserve">, where it is shown that the pre-personal tax value of an imputation credit is equal to the face </w:t>
      </w:r>
      <w:r w:rsidR="005F6361">
        <w:t>value of the imputation credit.</w:t>
      </w:r>
    </w:p>
    <w:p w:rsidR="00C52695" w:rsidRPr="00883125" w:rsidRDefault="00C52695" w:rsidP="00C52695">
      <w:r w:rsidRPr="00883125">
        <w:t xml:space="preserve">Under the Officer 1994 framework </w:t>
      </w:r>
      <w:r>
        <w:t>we are</w:t>
      </w:r>
      <w:r w:rsidRPr="00883125">
        <w:t xml:space="preserve"> effectively assessing the regulated business at the company level (post company tax and pre personal tax and pre personal costs) and a dollar of dividends costs the regulated business one dollar and benefits the shareholder by one dollar. The same argument holds true for imputation credits</w:t>
      </w:r>
      <w:r>
        <w:t xml:space="preserve"> distributed to eligible domestic investors</w:t>
      </w:r>
      <w:r w:rsidRPr="00883125">
        <w:t xml:space="preserve">. The issues with dividend drop off studies are further discussed in section </w:t>
      </w:r>
      <w:r w:rsidRPr="00883125">
        <w:fldChar w:fldCharType="begin"/>
      </w:r>
      <w:r w:rsidRPr="00883125">
        <w:instrText xml:space="preserve"> REF _Ref435171205 \r \h </w:instrText>
      </w:r>
      <w:r w:rsidRPr="00883125">
        <w:fldChar w:fldCharType="separate"/>
      </w:r>
      <w:r w:rsidR="00812A72">
        <w:t>A.15.3</w:t>
      </w:r>
      <w:r w:rsidRPr="00883125">
        <w:fldChar w:fldCharType="end"/>
      </w:r>
      <w:r w:rsidRPr="00883125">
        <w:t>.</w:t>
      </w:r>
    </w:p>
    <w:p w:rsidR="00C52695" w:rsidRPr="005764F6" w:rsidRDefault="00C52695" w:rsidP="00C52695">
      <w:r w:rsidRPr="005764F6">
        <w:t xml:space="preserve">The </w:t>
      </w:r>
      <w:r w:rsidR="00476EB6">
        <w:t xml:space="preserve">Ausgrid </w:t>
      </w:r>
      <w:r w:rsidRPr="005764F6">
        <w:t xml:space="preserve">Tribunal decision considered </w:t>
      </w:r>
      <w:r>
        <w:t>our</w:t>
      </w:r>
      <w:r w:rsidRPr="005764F6">
        <w:t xml:space="preserve"> reasoning ignores the fact that other parameters in the WACC calculation are market values that already incorporate the effects of the difference in investors' tax posit</w:t>
      </w:r>
      <w:r w:rsidR="005F6361">
        <w:t>i</w:t>
      </w:r>
      <w:r w:rsidRPr="005764F6">
        <w:t>on and transaction costs.</w:t>
      </w:r>
      <w:r w:rsidRPr="00B31DF2">
        <w:rPr>
          <w:rStyle w:val="FootnoteReference"/>
        </w:rPr>
        <w:footnoteReference w:id="448"/>
      </w:r>
      <w:r w:rsidRPr="005764F6">
        <w:t xml:space="preserve"> In response we note that we consider our estimates across the rate of return inputs and gamma inputs are consistent and we have not ignored how the rate of return parameters are estimated. For example, as outlined above, when estimating the value of the MRP using historical returns, the value of cash dividends are not assessed on market values which are influenced by pre-personal costs and pre-personal tax factors. For instance:</w:t>
      </w:r>
    </w:p>
    <w:p w:rsidR="00C52695" w:rsidRPr="005764F6" w:rsidRDefault="00C52695" w:rsidP="00C52695">
      <w:pPr>
        <w:pStyle w:val="AERbulletlistfirststyle"/>
      </w:pPr>
      <w:r w:rsidRPr="005764F6">
        <w:lastRenderedPageBreak/>
        <w:t>Unlike the cash dividend and the imputation estimates from market based studies, the return measured from market price of debt securities (both corporate bonds and commonwealth government security) is a genuine post company tax (pre-personal tax and personal costs) return. As noted above, the estimates of the value of cash dividends and imputation credits from market based studies are neither pre nor post-personal tax estimates. They are an estimate of the ordinary income value measured relative to capital gains income (that are generally taxed at a lower rate and are therefore more valuable). All other input parameters used in the estimate of the cost of debt and risk free rate, the coupons and principal amount, are valued at 'face value' in order to determine the yield to maturity. That is, our modelling assumes the investors receive the face value of the cash flows on these securities, a post-tax value consistent with the Officer Framework before personal taxes and personal transaction costs are incurred.</w:t>
      </w:r>
    </w:p>
    <w:p w:rsidR="00C52695" w:rsidRPr="005764F6" w:rsidRDefault="00C52695" w:rsidP="00C52695">
      <w:pPr>
        <w:pStyle w:val="AERbulletlistfirststyle"/>
      </w:pPr>
      <w:r w:rsidRPr="005764F6">
        <w:t xml:space="preserve">Historical capital gains used in estimating the market risk premium are directly observable post (company) tax returns to investors in the market before personal taxes and personal </w:t>
      </w:r>
      <w:r w:rsidR="0056734B">
        <w:t>transaction costs are incurred.</w:t>
      </w:r>
    </w:p>
    <w:p w:rsidR="00C52695" w:rsidRPr="005764F6" w:rsidRDefault="00C52695" w:rsidP="00C52695">
      <w:r w:rsidRPr="005764F6">
        <w:t>In the allowed rate of return framework</w:t>
      </w:r>
      <w:r>
        <w:t>,</w:t>
      </w:r>
      <w:r w:rsidRPr="005764F6">
        <w:t xml:space="preserve"> </w:t>
      </w:r>
      <w:r>
        <w:t xml:space="preserve">we use </w:t>
      </w:r>
      <w:r w:rsidRPr="005764F6">
        <w:t xml:space="preserve">both market values and face values. In </w:t>
      </w:r>
      <w:r>
        <w:fldChar w:fldCharType="begin"/>
      </w:r>
      <w:r>
        <w:instrText xml:space="preserve"> REF  _Ref450297354 \* Lower \h  \* MERGEFORMAT </w:instrText>
      </w:r>
      <w:r>
        <w:fldChar w:fldCharType="separate"/>
      </w:r>
      <w:r w:rsidR="00812A72" w:rsidRPr="00883125">
        <w:t xml:space="preserve">table </w:t>
      </w:r>
      <w:r w:rsidR="00812A72">
        <w:t>4</w:t>
      </w:r>
      <w:r w:rsidR="00812A72" w:rsidRPr="00B27BE5">
        <w:noBreakHyphen/>
      </w:r>
      <w:r w:rsidR="00812A72">
        <w:t>11</w:t>
      </w:r>
      <w:r>
        <w:fldChar w:fldCharType="end"/>
      </w:r>
      <w:r w:rsidRPr="005764F6">
        <w:t xml:space="preserve"> below, we highlight all the parameters that are used in order to calculate the return on equity using the CAPM.</w:t>
      </w:r>
    </w:p>
    <w:p w:rsidR="00C52695" w:rsidRPr="00B27BE5" w:rsidRDefault="00C52695" w:rsidP="00C52695">
      <w:pPr>
        <w:pStyle w:val="Caption"/>
      </w:pPr>
      <w:bookmarkStart w:id="264" w:name="_Ref450297354"/>
      <w:bookmarkStart w:id="265" w:name="_Ref450322149"/>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rsidRPr="00B27BE5">
        <w:noBreakHyphen/>
      </w:r>
      <w:r w:rsidRPr="001D37D5">
        <w:fldChar w:fldCharType="begin"/>
      </w:r>
      <w:r>
        <w:instrText xml:space="preserve"> SEQ Table \* ARABIC \s 1 </w:instrText>
      </w:r>
      <w:r w:rsidRPr="001D37D5">
        <w:fldChar w:fldCharType="separate"/>
      </w:r>
      <w:r w:rsidR="00812A72">
        <w:rPr>
          <w:noProof/>
        </w:rPr>
        <w:t>11</w:t>
      </w:r>
      <w:r w:rsidRPr="001D37D5">
        <w:fldChar w:fldCharType="end"/>
      </w:r>
      <w:bookmarkEnd w:id="264"/>
      <w:r w:rsidRPr="00B27BE5">
        <w:tab/>
        <w:t>Parameters used to determine the return on equity</w:t>
      </w:r>
      <w:bookmarkEnd w:id="265"/>
    </w:p>
    <w:tbl>
      <w:tblPr>
        <w:tblStyle w:val="AERtable-numbers"/>
        <w:tblW w:w="0" w:type="auto"/>
        <w:tblLook w:val="04A0" w:firstRow="1" w:lastRow="0" w:firstColumn="1" w:lastColumn="0" w:noHBand="0" w:noVBand="1"/>
      </w:tblPr>
      <w:tblGrid>
        <w:gridCol w:w="3817"/>
        <w:gridCol w:w="2712"/>
        <w:gridCol w:w="2713"/>
      </w:tblGrid>
      <w:tr w:rsidR="00C52695"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p>
        </w:tc>
        <w:tc>
          <w:tcPr>
            <w:tcW w:w="2712"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Market Value</w:t>
            </w:r>
          </w:p>
        </w:tc>
        <w:tc>
          <w:tcPr>
            <w:tcW w:w="2713"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t>Face Value</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Risk Free Rate</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CGS</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Coupon, Principle</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Market Risk Premium</w:t>
            </w:r>
          </w:p>
        </w:tc>
        <w:tc>
          <w:tcPr>
            <w:tcW w:w="2712"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Price of equity</w:t>
            </w:r>
          </w:p>
        </w:tc>
        <w:tc>
          <w:tcPr>
            <w:tcW w:w="2713"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Dividends, Imputation credits</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Beta</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equity</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Dividends</w:t>
            </w:r>
          </w:p>
        </w:tc>
      </w:tr>
    </w:tbl>
    <w:p w:rsidR="00C52695" w:rsidRPr="005764F6" w:rsidRDefault="00C52695" w:rsidP="00C52695">
      <w:r w:rsidRPr="005764F6">
        <w:t xml:space="preserve">As is evident in </w:t>
      </w:r>
      <w:r>
        <w:fldChar w:fldCharType="begin"/>
      </w:r>
      <w:r>
        <w:instrText xml:space="preserve"> REF  _Ref450297354 \* Lower \h  \* MERGEFORMAT </w:instrText>
      </w:r>
      <w:r>
        <w:fldChar w:fldCharType="separate"/>
      </w:r>
      <w:r w:rsidR="00812A72" w:rsidRPr="00883125">
        <w:t xml:space="preserve">table </w:t>
      </w:r>
      <w:r w:rsidR="00812A72">
        <w:t>4</w:t>
      </w:r>
      <w:r w:rsidR="00812A72" w:rsidRPr="00B27BE5">
        <w:noBreakHyphen/>
      </w:r>
      <w:r w:rsidR="00812A72">
        <w:t>11</w:t>
      </w:r>
      <w:r>
        <w:fldChar w:fldCharType="end"/>
      </w:r>
      <w:r w:rsidRPr="005764F6">
        <w:t xml:space="preserve">, in order to determine the return on equity </w:t>
      </w:r>
      <w:r>
        <w:t>we</w:t>
      </w:r>
      <w:r w:rsidRPr="005764F6">
        <w:t xml:space="preserve"> use a combination of market values and face values. When determining whether to use market value or face value, </w:t>
      </w:r>
      <w:r>
        <w:t>we</w:t>
      </w:r>
      <w:r w:rsidRPr="005764F6">
        <w:t xml:space="preserve"> ha</w:t>
      </w:r>
      <w:r>
        <w:t>ve</w:t>
      </w:r>
      <w:r w:rsidRPr="005764F6">
        <w:t xml:space="preserve"> to consider </w:t>
      </w:r>
      <w:r>
        <w:t xml:space="preserve">whether it is consistent with </w:t>
      </w:r>
      <w:r w:rsidRPr="005764F6">
        <w:t xml:space="preserve">the Officer framework. All input parameters in </w:t>
      </w:r>
      <w:r>
        <w:fldChar w:fldCharType="begin"/>
      </w:r>
      <w:r>
        <w:instrText xml:space="preserve"> REF  _Ref450297354 \* Lower \h  \* MERGEFORMAT </w:instrText>
      </w:r>
      <w:r>
        <w:fldChar w:fldCharType="separate"/>
      </w:r>
      <w:r w:rsidR="00812A72" w:rsidRPr="00883125">
        <w:t xml:space="preserve">table </w:t>
      </w:r>
      <w:r w:rsidR="00812A72">
        <w:t>4</w:t>
      </w:r>
      <w:r w:rsidR="00812A72" w:rsidRPr="00B27BE5">
        <w:noBreakHyphen/>
      </w:r>
      <w:r w:rsidR="00812A72">
        <w:t>11</w:t>
      </w:r>
      <w:r>
        <w:fldChar w:fldCharType="end"/>
      </w:r>
      <w:r w:rsidRPr="005764F6">
        <w:t xml:space="preserve"> are to measure cost of equity on the post-company tax but pre-personal tax and personal costs basis and reflect the cost faced by the firm. For instance, the return measured from the market price of equity is the post company tax value investors actually receive before they pay personal taxes and this market price reflects the cost of equity if a firm tried to issue new capital. Similarly, the face value of dividends and imputation credits reflects the post company tax cost to the firm and is the value before personal taxes are incurred. Hence they are post-company tax (pre-personal tax and personal costs) values.</w:t>
      </w:r>
    </w:p>
    <w:p w:rsidR="00C52695" w:rsidRDefault="00C52695" w:rsidP="00C52695">
      <w:r w:rsidRPr="005764F6">
        <w:t>Similarly</w:t>
      </w:r>
      <w:r>
        <w:t>,</w:t>
      </w:r>
      <w:r w:rsidRPr="005764F6">
        <w:t xml:space="preserve"> </w:t>
      </w:r>
      <w:r>
        <w:t>we</w:t>
      </w:r>
      <w:r w:rsidRPr="005764F6">
        <w:t xml:space="preserve"> use a mixture of market values and face values to determine the return on debt. This is demonstrated in </w:t>
      </w:r>
      <w:r>
        <w:fldChar w:fldCharType="begin"/>
      </w:r>
      <w:r>
        <w:instrText xml:space="preserve"> REF  _Ref450297391 \* Lower \h  \* MERGEFORMAT </w:instrText>
      </w:r>
      <w:r>
        <w:fldChar w:fldCharType="separate"/>
      </w:r>
      <w:r w:rsidR="00812A72" w:rsidRPr="005764F6">
        <w:t xml:space="preserve">table </w:t>
      </w:r>
      <w:r w:rsidR="00812A72">
        <w:t>4</w:t>
      </w:r>
      <w:r w:rsidR="00812A72" w:rsidRPr="005764F6">
        <w:noBreakHyphen/>
      </w:r>
      <w:r w:rsidR="00812A72">
        <w:t>12</w:t>
      </w:r>
      <w:r>
        <w:fldChar w:fldCharType="end"/>
      </w:r>
      <w:r w:rsidRPr="005764F6">
        <w:t>.</w:t>
      </w:r>
    </w:p>
    <w:p w:rsidR="00C845C2" w:rsidRPr="005764F6" w:rsidRDefault="00C845C2" w:rsidP="00C52695"/>
    <w:p w:rsidR="00C52695" w:rsidRPr="005764F6" w:rsidRDefault="00C52695" w:rsidP="00C52695">
      <w:pPr>
        <w:pStyle w:val="Tabletitle"/>
      </w:pPr>
      <w:bookmarkStart w:id="266" w:name="_Ref450297391"/>
      <w:r w:rsidRPr="005764F6">
        <w:lastRenderedPageBreak/>
        <w:t xml:space="preserve">Table </w:t>
      </w:r>
      <w:r w:rsidRPr="00CA67C0">
        <w:fldChar w:fldCharType="begin"/>
      </w:r>
      <w:r>
        <w:instrText xml:space="preserve"> STYLEREF 1 \s </w:instrText>
      </w:r>
      <w:r w:rsidRPr="00CA67C0">
        <w:fldChar w:fldCharType="separate"/>
      </w:r>
      <w:r w:rsidR="00812A72">
        <w:rPr>
          <w:noProof/>
        </w:rPr>
        <w:t>4</w:t>
      </w:r>
      <w:r w:rsidRPr="00CA67C0">
        <w:fldChar w:fldCharType="end"/>
      </w:r>
      <w:r w:rsidRPr="005764F6">
        <w:noBreakHyphen/>
      </w:r>
      <w:r w:rsidRPr="00CA67C0">
        <w:fldChar w:fldCharType="begin"/>
      </w:r>
      <w:r>
        <w:instrText xml:space="preserve"> SEQ Table \* ARABIC \s 1 </w:instrText>
      </w:r>
      <w:r w:rsidRPr="00CA67C0">
        <w:fldChar w:fldCharType="separate"/>
      </w:r>
      <w:r w:rsidR="00812A72">
        <w:rPr>
          <w:noProof/>
        </w:rPr>
        <w:t>12</w:t>
      </w:r>
      <w:r w:rsidRPr="00CA67C0">
        <w:fldChar w:fldCharType="end"/>
      </w:r>
      <w:bookmarkEnd w:id="266"/>
      <w:r w:rsidRPr="005764F6">
        <w:tab/>
        <w:t>Parameters used to determine the return on debt</w:t>
      </w:r>
    </w:p>
    <w:tbl>
      <w:tblPr>
        <w:tblStyle w:val="AERtable-numbers"/>
        <w:tblW w:w="0" w:type="auto"/>
        <w:tblLook w:val="04A0" w:firstRow="1" w:lastRow="0" w:firstColumn="1" w:lastColumn="0" w:noHBand="0" w:noVBand="1"/>
      </w:tblPr>
      <w:tblGrid>
        <w:gridCol w:w="3817"/>
        <w:gridCol w:w="2712"/>
        <w:gridCol w:w="2713"/>
      </w:tblGrid>
      <w:tr w:rsidR="00C52695" w:rsidRPr="00663AD0"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5764F6" w:rsidRDefault="00C52695" w:rsidP="00C52695"/>
        </w:tc>
        <w:tc>
          <w:tcPr>
            <w:tcW w:w="2712" w:type="dxa"/>
          </w:tcPr>
          <w:p w:rsidR="00C52695" w:rsidRPr="00C52695" w:rsidRDefault="00C52695" w:rsidP="00C52695">
            <w:pPr>
              <w:cnfStyle w:val="100000000000" w:firstRow="1" w:lastRow="0" w:firstColumn="0" w:lastColumn="0" w:oddVBand="0" w:evenVBand="0" w:oddHBand="0" w:evenHBand="0" w:firstRowFirstColumn="0" w:firstRowLastColumn="0" w:lastRowFirstColumn="0" w:lastRowLastColumn="0"/>
            </w:pPr>
            <w:r w:rsidRPr="005764F6">
              <w:t>Market Value</w:t>
            </w:r>
          </w:p>
        </w:tc>
        <w:tc>
          <w:tcPr>
            <w:tcW w:w="2713" w:type="dxa"/>
          </w:tcPr>
          <w:p w:rsidR="00C52695" w:rsidRPr="00C52695" w:rsidRDefault="00C52695" w:rsidP="00C52695">
            <w:pPr>
              <w:cnfStyle w:val="100000000000" w:firstRow="1" w:lastRow="0" w:firstColumn="0" w:lastColumn="0" w:oddVBand="0" w:evenVBand="0" w:oddHBand="0" w:evenHBand="0" w:firstRowFirstColumn="0" w:firstRowLastColumn="0" w:lastRowFirstColumn="0" w:lastRowLastColumn="0"/>
            </w:pPr>
            <w:r w:rsidRPr="005764F6">
              <w:t>Face Value</w:t>
            </w:r>
          </w:p>
        </w:tc>
      </w:tr>
      <w:tr w:rsidR="00C52695" w:rsidRPr="00663AD0"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C52695" w:rsidRDefault="00C52695" w:rsidP="00C52695">
            <w:r w:rsidRPr="005764F6">
              <w:t xml:space="preserve">Return on </w:t>
            </w:r>
            <w:r w:rsidRPr="00C52695">
              <w:t>debt</w:t>
            </w:r>
          </w:p>
        </w:tc>
        <w:tc>
          <w:tcPr>
            <w:tcW w:w="2712"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5764F6">
              <w:t>Price of debt</w:t>
            </w:r>
          </w:p>
        </w:tc>
        <w:tc>
          <w:tcPr>
            <w:tcW w:w="2713"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5764F6">
              <w:t>Coupon, Principle</w:t>
            </w:r>
          </w:p>
        </w:tc>
      </w:tr>
      <w:tr w:rsidR="00C52695" w:rsidRPr="00663AD0"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C52695" w:rsidRDefault="00C52695" w:rsidP="00C52695">
            <w:r w:rsidRPr="005764F6">
              <w:t xml:space="preserve">Risk Free </w:t>
            </w:r>
            <w:r w:rsidRPr="00C52695">
              <w:t>Rate</w:t>
            </w:r>
          </w:p>
        </w:tc>
        <w:tc>
          <w:tcPr>
            <w:tcW w:w="2712"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5764F6">
              <w:t>Price of CGS</w:t>
            </w:r>
          </w:p>
        </w:tc>
        <w:tc>
          <w:tcPr>
            <w:tcW w:w="2713"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5764F6">
              <w:t>Coupon, Principle</w:t>
            </w:r>
          </w:p>
        </w:tc>
      </w:tr>
    </w:tbl>
    <w:p w:rsidR="00C52695" w:rsidRPr="005764F6" w:rsidRDefault="00C52695" w:rsidP="00C52695">
      <w:r w:rsidRPr="005764F6">
        <w:t xml:space="preserve">As is evident in </w:t>
      </w:r>
      <w:r>
        <w:fldChar w:fldCharType="begin"/>
      </w:r>
      <w:r>
        <w:instrText xml:space="preserve"> REF  _Ref450297391 \* Lower \h  \* MERGEFORMAT </w:instrText>
      </w:r>
      <w:r>
        <w:fldChar w:fldCharType="separate"/>
      </w:r>
      <w:r w:rsidR="00812A72" w:rsidRPr="005764F6">
        <w:t xml:space="preserve">table </w:t>
      </w:r>
      <w:r w:rsidR="00812A72">
        <w:t>4</w:t>
      </w:r>
      <w:r w:rsidR="00812A72" w:rsidRPr="005764F6">
        <w:noBreakHyphen/>
      </w:r>
      <w:r w:rsidR="00812A72">
        <w:t>12</w:t>
      </w:r>
      <w:r>
        <w:fldChar w:fldCharType="end"/>
      </w:r>
      <w:r w:rsidRPr="005764F6">
        <w:t>, the return on debt estimated via the yield to maturity is determined from using a combination of market values and face values. All input parameters are to measure the cost of debt on a post-company tax but pre-personal tax basis. For example, the debt holder has to pay personal tax on the face value of the coupon payments and if a bond holder sells their bond they have to pay personal on the return measured from market price of the bond. The input parameters also reflect the cost faced by the firm. The firm has to pay the face value of the coupon and principal to the bond holders. Also the market price of a bond determines how much funds a firm can raise given a certain coupon and principal payment.</w:t>
      </w:r>
    </w:p>
    <w:p w:rsidR="00C52695" w:rsidRPr="005053A1" w:rsidRDefault="00C52695" w:rsidP="00C52695">
      <w:r w:rsidRPr="005053A1">
        <w:t xml:space="preserve">Consistent with </w:t>
      </w:r>
      <w:r>
        <w:t>our view</w:t>
      </w:r>
      <w:r w:rsidRPr="005053A1">
        <w:t>, Lally does not consider there is an inconsistency with the cost of debt and equity being market rates and the utilisation rate being determined on the face value:</w:t>
      </w:r>
      <w:r w:rsidRPr="005053A1">
        <w:rPr>
          <w:rStyle w:val="FootnoteReference"/>
        </w:rPr>
        <w:footnoteReference w:id="449"/>
      </w:r>
    </w:p>
    <w:p w:rsidR="00C52695" w:rsidRPr="00663AD0" w:rsidRDefault="00C52695" w:rsidP="00C52695">
      <w:pPr>
        <w:pStyle w:val="AERquote"/>
        <w:rPr>
          <w:rStyle w:val="AERtexthighlight"/>
        </w:rPr>
      </w:pPr>
      <w:r>
        <w:t>Both the cost of equity and theta appear in equation (1), with the cost of equity being a market rate and theta not being a market value. This equation arises from the set of assumptions underlying the Officer (1994) model.</w:t>
      </w:r>
    </w:p>
    <w:p w:rsidR="00C52695" w:rsidRPr="005764F6" w:rsidRDefault="00C52695" w:rsidP="00C52695">
      <w:r w:rsidRPr="005764F6">
        <w:t>All allowed rate of return parameters are estimated on a post company tax basis before personal taxes are incurred. For capital gains component of return on equity estimate, investors have to pay capital gains tax on the post company tax capital gain. For the dividend income grossed up with redeemable imputation credits and interest income of bonds, investors pay personal tax at their marginal tax rate on the post company tax income. Importantly, the allowed return we estimate is estimated from observed post company tax returns before these personal taxes are incurred. As a result, all input parameters into the allowed rate of return are genuine post company tax estimates before personal taxes are incurred.</w:t>
      </w:r>
    </w:p>
    <w:p w:rsidR="00C52695" w:rsidRDefault="00C52695" w:rsidP="00C52695">
      <w:r w:rsidRPr="005764F6">
        <w:t xml:space="preserve">Further, all input parameters in the allowed rate of return are also estimated on a pre-personal cost basis. For example, all components of the return on equity (capital gain, dividends and imputation credits) are estimated pre-personal costs. If an investor wants to realise their capital gains by selling their stock, they have to pay transaction costs like brokerage fees and costs associated with filling in a tax return. These costs are not accounted for in our post-tax regulatory framework. Similarly, for dividends and bond returns, personal costs are incurred by investors when realising these returns and these costs are </w:t>
      </w:r>
      <w:r w:rsidRPr="005764F6">
        <w:lastRenderedPageBreak/>
        <w:t>not accounted for in our regulatory framework. The allowed return we estimate is estimated from observed post company tax returns before these personal costs and taxes are incurred (</w:t>
      </w:r>
      <w:r>
        <w:t>for example,</w:t>
      </w:r>
      <w:r w:rsidRPr="005764F6">
        <w:t xml:space="preserve"> historical estimates of the MRP are before personal costs have been incurred).</w:t>
      </w:r>
    </w:p>
    <w:p w:rsidR="005B77D3" w:rsidRDefault="005B77D3" w:rsidP="00C52695">
      <w:r>
        <w:t xml:space="preserve">Lally agrees that our approach to </w:t>
      </w:r>
      <w:r w:rsidR="00C72D05">
        <w:t xml:space="preserve">estimating </w:t>
      </w:r>
      <w:r>
        <w:t>gamma is consistent with the way we estimate the cost of equity:</w:t>
      </w:r>
      <w:r>
        <w:rPr>
          <w:rStyle w:val="FootnoteReference"/>
        </w:rPr>
        <w:footnoteReference w:id="450"/>
      </w:r>
    </w:p>
    <w:p w:rsidR="005B77D3" w:rsidRPr="0056734B" w:rsidRDefault="005B77D3" w:rsidP="00E750F8">
      <w:pPr>
        <w:pStyle w:val="AERquote"/>
      </w:pPr>
      <w:r w:rsidRPr="0056734B">
        <w:t>The AER estimates the cost of equity using the Officer model, gamma is a parameter within that model, and therefore the AER must estimate gamma as def</w:t>
      </w:r>
      <w:r w:rsidR="002D0F57" w:rsidRPr="0056734B">
        <w:t xml:space="preserve">ined within the Officer model. </w:t>
      </w:r>
      <w:r w:rsidRPr="0056734B">
        <w:t>A rigorous derivation of the Officer model (Lally and van Zijl, 2003) reveals that gamma is the product of the distribution rate for credits (the proportion of company taxes paid to the ATO that are attached to dividends as credits) and a utilization rate for credits (a weighted-average over investors’ utili</w:t>
      </w:r>
      <w:r w:rsidR="002D0F57" w:rsidRPr="0056734B">
        <w:t xml:space="preserve">zation rates for the credits). </w:t>
      </w:r>
      <w:r w:rsidRPr="0056734B">
        <w:t>The methods used by the AER for estimating these two parameters are consistent with their definitions.</w:t>
      </w:r>
    </w:p>
    <w:p w:rsidR="00E44905" w:rsidRDefault="00E44905" w:rsidP="00E44905">
      <w:pPr>
        <w:pStyle w:val="Heading9"/>
      </w:pPr>
      <w:bookmarkStart w:id="267" w:name="_Toc450119269"/>
      <w:bookmarkStart w:id="268" w:name="_Toc450119429"/>
      <w:bookmarkStart w:id="269" w:name="_Ref477196710"/>
      <w:bookmarkStart w:id="270" w:name="_Ref414099389"/>
      <w:bookmarkStart w:id="271" w:name="_Toc456614313"/>
      <w:bookmarkStart w:id="272" w:name="_Toc462823327"/>
      <w:bookmarkStart w:id="273" w:name="_Toc481061484"/>
      <w:bookmarkEnd w:id="267"/>
      <w:bookmarkEnd w:id="268"/>
      <w:r>
        <w:t>Market Risk Premium a</w:t>
      </w:r>
      <w:r w:rsidR="00013824">
        <w:t>djustment for gamma</w:t>
      </w:r>
      <w:bookmarkEnd w:id="269"/>
      <w:bookmarkEnd w:id="273"/>
    </w:p>
    <w:p w:rsidR="00245EB8" w:rsidRPr="00245EB8" w:rsidRDefault="00245EB8" w:rsidP="00245EB8">
      <w:r w:rsidRPr="00245EB8">
        <w:t xml:space="preserve">In regard to the how the return on equity is </w:t>
      </w:r>
      <w:r w:rsidR="00C72D05">
        <w:t>estimat</w:t>
      </w:r>
      <w:r w:rsidRPr="00245EB8">
        <w:t>ed, it is set out in the Officer paper:</w:t>
      </w:r>
    </w:p>
    <w:p w:rsidR="00245EB8" w:rsidRPr="00245EB8" w:rsidRDefault="00245EB8" w:rsidP="00245EB8"/>
    <w:p w:rsidR="00245EB8" w:rsidRPr="00245EB8" w:rsidRDefault="00245EB8" w:rsidP="00245EB8">
      <w:r w:rsidRPr="00245EB8">
        <w:rPr>
          <w:noProof/>
          <w:lang w:eastAsia="en-AU"/>
        </w:rPr>
        <w:drawing>
          <wp:inline distT="0" distB="0" distL="0" distR="0" wp14:anchorId="74CFB615" wp14:editId="5F894A93">
            <wp:extent cx="444817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8175" cy="781050"/>
                    </a:xfrm>
                    <a:prstGeom prst="rect">
                      <a:avLst/>
                    </a:prstGeom>
                    <a:noFill/>
                    <a:ln>
                      <a:noFill/>
                    </a:ln>
                  </pic:spPr>
                </pic:pic>
              </a:graphicData>
            </a:graphic>
          </wp:inline>
        </w:drawing>
      </w:r>
    </w:p>
    <w:p w:rsidR="00245EB8" w:rsidRPr="00245EB8" w:rsidRDefault="00245EB8" w:rsidP="00245EB8"/>
    <w:p w:rsidR="00245EB8" w:rsidRPr="00245EB8" w:rsidRDefault="00AA3CB2" w:rsidP="00245EB8">
      <w:r w:rsidRPr="00AA3CB2">
        <w:rPr>
          <w:noProof/>
          <w:lang w:eastAsia="en-AU"/>
        </w:rPr>
        <w:drawing>
          <wp:inline distT="0" distB="0" distL="0" distR="0" wp14:anchorId="30FEC87D" wp14:editId="395E2A25">
            <wp:extent cx="95250" cy="15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r w:rsidR="00245EB8" w:rsidRPr="00245EB8">
        <w:t xml:space="preserve"> is defined earlier on page 4 of the Officer paper, as the proportion of tax collected form the company which gives rise to the tax credit associated with a franked dividend. Officer defines this as the franking credit that can be utilized as </w:t>
      </w:r>
      <w:r w:rsidR="000C7E9B">
        <w:t xml:space="preserve">a </w:t>
      </w:r>
      <w:r w:rsidR="00245EB8" w:rsidRPr="00245EB8">
        <w:t xml:space="preserve">tax credit against personal tax liabilities of the shareholder. </w:t>
      </w:r>
    </w:p>
    <w:p w:rsidR="00245EB8" w:rsidRPr="00245EB8" w:rsidRDefault="00245EB8" w:rsidP="00245EB8">
      <w:r w:rsidRPr="00245EB8">
        <w:t>When determining the return on equity, it is the Market Risk Premium (MRP) that is adjusted for the effect of imputation credits. The AER use two approaches to determine the MRP: (1) historical excess returns and (2) the dividend growth model. The mathematical formula for the imputation credit adjustment for both approaches is outlined below.</w:t>
      </w:r>
    </w:p>
    <w:p w:rsidR="00245EB8" w:rsidRPr="00245EB8" w:rsidRDefault="00245EB8" w:rsidP="00E750F8">
      <w:pPr>
        <w:pStyle w:val="HeadingOrange"/>
      </w:pPr>
      <w:bookmarkStart w:id="274" w:name="_Toc481056691"/>
      <w:bookmarkStart w:id="275" w:name="_Toc481061485"/>
      <w:r w:rsidRPr="00245EB8">
        <w:t>Historical excess returns</w:t>
      </w:r>
      <w:bookmarkEnd w:id="274"/>
      <w:bookmarkEnd w:id="275"/>
    </w:p>
    <w:p w:rsidR="00245EB8" w:rsidRPr="00245EB8" w:rsidRDefault="00245EB8" w:rsidP="00245EB8">
      <w:r w:rsidRPr="00245EB8">
        <w:t xml:space="preserve">For historical excess returns, we adjust the returns for imputation credits using the methodology applied </w:t>
      </w:r>
      <w:r w:rsidR="002D0F57">
        <w:t xml:space="preserve">in </w:t>
      </w:r>
      <w:r w:rsidRPr="00245EB8">
        <w:t xml:space="preserve">Brailsford et al. The adjustment proposed by Brailsford is different </w:t>
      </w:r>
      <w:r w:rsidRPr="00245EB8">
        <w:lastRenderedPageBreak/>
        <w:t xml:space="preserve">depending on whether the data is pre-1998 or post-1998. For pre-1998, the AER adjusts the MRP for imputation credits using the following formula: </w:t>
      </w:r>
      <w:r w:rsidR="005D01B1">
        <w:rPr>
          <w:rStyle w:val="FootnoteReference"/>
        </w:rPr>
        <w:footnoteReference w:id="451"/>
      </w:r>
    </w:p>
    <w:p w:rsidR="00245EB8" w:rsidRPr="00245EB8" w:rsidRDefault="00245EB8" w:rsidP="00245EB8"/>
    <w:p w:rsidR="00245EB8" w:rsidRPr="00245EB8" w:rsidRDefault="00AA3CB2" w:rsidP="00245EB8">
      <w:r w:rsidRPr="00AA3CB2">
        <w:rPr>
          <w:noProof/>
          <w:lang w:eastAsia="en-AU"/>
        </w:rPr>
        <w:drawing>
          <wp:inline distT="0" distB="0" distL="0" distR="0" wp14:anchorId="6C8392E6" wp14:editId="0EA76A02">
            <wp:extent cx="4638675" cy="504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38675" cy="504825"/>
                    </a:xfrm>
                    <a:prstGeom prst="rect">
                      <a:avLst/>
                    </a:prstGeom>
                    <a:noFill/>
                    <a:ln>
                      <a:noFill/>
                    </a:ln>
                  </pic:spPr>
                </pic:pic>
              </a:graphicData>
            </a:graphic>
          </wp:inline>
        </w:drawing>
      </w:r>
    </w:p>
    <w:p w:rsidR="00245EB8" w:rsidRPr="00245EB8" w:rsidRDefault="00245EB8" w:rsidP="00245EB8"/>
    <w:p w:rsidR="00245EB8" w:rsidRPr="00245EB8" w:rsidRDefault="00245EB8" w:rsidP="00245EB8">
      <w:r w:rsidRPr="00245EB8">
        <w:t>Where d</w:t>
      </w:r>
      <w:r w:rsidRPr="00E750F8">
        <w:rPr>
          <w:rStyle w:val="AERsubscript"/>
        </w:rPr>
        <w:t>t</w:t>
      </w:r>
      <w:r w:rsidRPr="00245EB8">
        <w:t xml:space="preserve"> represents the annual dividend yield implied from the Historical Stock Price Index and the Historical Stock Accumulation Index, p</w:t>
      </w:r>
      <w:r w:rsidRPr="00E750F8">
        <w:rPr>
          <w:rStyle w:val="AERsubscript"/>
        </w:rPr>
        <w:t>t</w:t>
      </w:r>
      <w:r w:rsidRPr="00245EB8">
        <w:t xml:space="preserve"> is the (average) proportion franked and T</w:t>
      </w:r>
      <w:r w:rsidRPr="00E750F8">
        <w:rPr>
          <w:rStyle w:val="AERsubscript"/>
        </w:rPr>
        <w:t>t</w:t>
      </w:r>
      <w:r w:rsidRPr="00245EB8">
        <w:t xml:space="preserve"> is the tax rate </w:t>
      </w:r>
      <w:r w:rsidR="0056734B">
        <w:t>at which dividends are franked.</w:t>
      </w:r>
    </w:p>
    <w:p w:rsidR="00245EB8" w:rsidRPr="00245EB8" w:rsidRDefault="00245EB8" w:rsidP="00245EB8">
      <w:r w:rsidRPr="00245EB8">
        <w:t>This C</w:t>
      </w:r>
      <w:r w:rsidRPr="0056734B">
        <w:rPr>
          <w:rStyle w:val="AERsubscript"/>
        </w:rPr>
        <w:t>t</w:t>
      </w:r>
      <w:r w:rsidRPr="00245EB8">
        <w:t xml:space="preserve"> value can be directly substituted into Officer</w:t>
      </w:r>
      <w:r w:rsidR="00356933">
        <w:t>'</w:t>
      </w:r>
      <w:r w:rsidRPr="00245EB8">
        <w:t>s formula (15) above. It is important to note that d</w:t>
      </w:r>
      <w:r w:rsidRPr="00E750F8">
        <w:rPr>
          <w:rStyle w:val="AERsubscript"/>
        </w:rPr>
        <w:t>t</w:t>
      </w:r>
      <w:r w:rsidRPr="00245EB8">
        <w:t xml:space="preserve"> is the face value of the dividend and it determines the face value of the imputation credit when multiplying the face value of the dividend by T/(1-T).</w:t>
      </w:r>
    </w:p>
    <w:p w:rsidR="00245EB8" w:rsidRPr="00245EB8" w:rsidRDefault="00245EB8" w:rsidP="00245EB8">
      <w:r w:rsidRPr="00245EB8">
        <w:t>For the period post 1998 the AER does not adjust for imputation using the formula above. Instead the AER obtains the imputation credit adjustment using the (weighted) average imputation credit yield on the ASX All Ordinaries index for the 12 months ending December of each year, as sourced from the Australian Taxation Office.</w:t>
      </w:r>
      <w:r w:rsidR="0043564A">
        <w:rPr>
          <w:rStyle w:val="FootnoteReference"/>
        </w:rPr>
        <w:footnoteReference w:id="452"/>
      </w:r>
      <w:r w:rsidRPr="00245EB8">
        <w:t xml:space="preserve"> From this source we obtain C</w:t>
      </w:r>
      <w:r w:rsidRPr="00E750F8">
        <w:rPr>
          <w:rStyle w:val="AERsubscript"/>
        </w:rPr>
        <w:t>t</w:t>
      </w:r>
      <w:r w:rsidRPr="00245EB8">
        <w:t>/p</w:t>
      </w:r>
      <w:r w:rsidRPr="00E750F8">
        <w:rPr>
          <w:rStyle w:val="AERsubscript"/>
        </w:rPr>
        <w:t>t-1</w:t>
      </w:r>
      <w:r w:rsidRPr="00245EB8">
        <w:t xml:space="preserve"> which can be inserted</w:t>
      </w:r>
      <w:r w:rsidR="00AA3CB2">
        <w:t xml:space="preserve"> into the Officer formula (15). </w:t>
      </w:r>
      <w:r w:rsidRPr="00245EB8">
        <w:t>As before Ct is the face value of the imputation credit.</w:t>
      </w:r>
    </w:p>
    <w:p w:rsidR="00245EB8" w:rsidRPr="00245EB8" w:rsidRDefault="00245EB8" w:rsidP="00E750F8">
      <w:pPr>
        <w:pStyle w:val="HeadingOrange"/>
      </w:pPr>
      <w:bookmarkStart w:id="276" w:name="_Toc481056692"/>
      <w:bookmarkStart w:id="277" w:name="_Toc481061486"/>
      <w:r w:rsidRPr="00245EB8">
        <w:t>Dividend growth model</w:t>
      </w:r>
      <w:bookmarkEnd w:id="276"/>
      <w:bookmarkEnd w:id="277"/>
    </w:p>
    <w:p w:rsidR="00245EB8" w:rsidRPr="00245EB8" w:rsidRDefault="00245EB8" w:rsidP="00245EB8">
      <w:r w:rsidRPr="00245EB8">
        <w:t>In the dividend growth model, the face value of cash dividends is multiplied by the formula below to determine the gross dividend which is the sum of the face value of the cash dividend and the face v</w:t>
      </w:r>
      <w:r w:rsidR="00013824">
        <w:t>alue of the imputation credit.</w:t>
      </w:r>
    </w:p>
    <w:p w:rsidR="00245EB8" w:rsidRPr="00245EB8" w:rsidRDefault="00245EB8" w:rsidP="00245EB8"/>
    <w:p w:rsidR="00245EB8" w:rsidRPr="00245EB8" w:rsidRDefault="00AA3CB2" w:rsidP="00245EB8">
      <w:r w:rsidRPr="00AA3CB2">
        <w:rPr>
          <w:noProof/>
          <w:lang w:eastAsia="en-AU"/>
        </w:rPr>
        <w:drawing>
          <wp:inline distT="0" distB="0" distL="0" distR="0" wp14:anchorId="479A8A25" wp14:editId="0EB288DB">
            <wp:extent cx="4448175" cy="781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8175" cy="781050"/>
                    </a:xfrm>
                    <a:prstGeom prst="rect">
                      <a:avLst/>
                    </a:prstGeom>
                    <a:noFill/>
                    <a:ln>
                      <a:noFill/>
                    </a:ln>
                  </pic:spPr>
                </pic:pic>
              </a:graphicData>
            </a:graphic>
          </wp:inline>
        </w:drawing>
      </w:r>
    </w:p>
    <w:p w:rsidR="00245EB8" w:rsidRPr="00245EB8" w:rsidRDefault="00245EB8" w:rsidP="00245EB8"/>
    <w:p w:rsidR="00245EB8" w:rsidRPr="00245EB8" w:rsidRDefault="00245EB8" w:rsidP="00245EB8">
      <w:r w:rsidRPr="00245EB8">
        <w:lastRenderedPageBreak/>
        <w:t>Although stated in different terms, this adjustment is identical to the Brailsford et al. adjustment for pre 1998 data. It is clear from this formula that it is the face value of the dividend that is used and when multiplied by T/(1-T) it determines the face value of the imputation credit.</w:t>
      </w:r>
    </w:p>
    <w:p w:rsidR="00013824" w:rsidRDefault="00245EB8" w:rsidP="00E750F8">
      <w:r w:rsidRPr="00245EB8">
        <w:t xml:space="preserve">It is clear from the example above that the face value of the imputation credits multiplied by theta is added to the capital gains and dividend component to determine the return on equity. </w:t>
      </w:r>
      <w:r w:rsidR="00A56DF6">
        <w:t>Therefore, i</w:t>
      </w:r>
      <w:r w:rsidRPr="00245EB8">
        <w:t xml:space="preserve">f </w:t>
      </w:r>
      <w:r w:rsidR="00A56DF6">
        <w:t xml:space="preserve">the </w:t>
      </w:r>
      <w:r w:rsidRPr="00245EB8">
        <w:t xml:space="preserve">gamma </w:t>
      </w:r>
      <w:r w:rsidR="001A3115">
        <w:t xml:space="preserve">estimate used </w:t>
      </w:r>
      <w:r w:rsidRPr="00245EB8">
        <w:t xml:space="preserve">is </w:t>
      </w:r>
      <w:r w:rsidR="00A56DF6">
        <w:t>increased (decreased)</w:t>
      </w:r>
      <w:r w:rsidRPr="00245EB8">
        <w:t xml:space="preserve"> then the</w:t>
      </w:r>
      <w:r w:rsidR="001A3115">
        <w:t xml:space="preserve"> </w:t>
      </w:r>
      <w:r w:rsidR="00A56DF6">
        <w:t>estimate</w:t>
      </w:r>
      <w:r w:rsidR="001A3115">
        <w:t>s</w:t>
      </w:r>
      <w:r w:rsidR="00A56DF6">
        <w:t xml:space="preserve"> of the </w:t>
      </w:r>
      <w:r w:rsidR="00013824">
        <w:t xml:space="preserve">MRP </w:t>
      </w:r>
      <w:r w:rsidR="00C72D05">
        <w:t xml:space="preserve">based on historical data </w:t>
      </w:r>
      <w:r w:rsidR="00A56DF6">
        <w:t>will also increase (decrease)</w:t>
      </w:r>
      <w:r w:rsidR="00013824">
        <w:t xml:space="preserve">. </w:t>
      </w:r>
    </w:p>
    <w:p w:rsidR="00C52695" w:rsidRPr="00883125" w:rsidRDefault="00C52695" w:rsidP="00C52695">
      <w:pPr>
        <w:pStyle w:val="Heading9"/>
      </w:pPr>
      <w:bookmarkStart w:id="278" w:name="_Ref475361170"/>
      <w:bookmarkStart w:id="279" w:name="_Toc481061487"/>
      <w:r w:rsidRPr="00883125">
        <w:t>Factors affecting investors' valuation of imputation credits</w:t>
      </w:r>
      <w:bookmarkEnd w:id="270"/>
      <w:bookmarkEnd w:id="271"/>
      <w:bookmarkEnd w:id="272"/>
      <w:bookmarkEnd w:id="278"/>
      <w:bookmarkEnd w:id="279"/>
    </w:p>
    <w:p w:rsidR="00C52695" w:rsidRDefault="00C52695" w:rsidP="00C52695">
      <w:r w:rsidRPr="00883125">
        <w:t xml:space="preserve">A </w:t>
      </w:r>
      <w:r w:rsidR="001A3115">
        <w:t xml:space="preserve">large </w:t>
      </w:r>
      <w:r w:rsidRPr="00883125">
        <w:t>number of service providers submitted that estimates of the utilisation value</w:t>
      </w:r>
      <w:r w:rsidRPr="00883125" w:rsidDel="00D229D2">
        <w:t xml:space="preserve"> </w:t>
      </w:r>
      <w:r w:rsidRPr="00883125">
        <w:t>from the equity ownership approach and tax statistics do not reflect a number of factors which affect investors' valuation of imputation credits.</w:t>
      </w:r>
      <w:r w:rsidRPr="00883125">
        <w:rPr>
          <w:rStyle w:val="FootnoteReference"/>
        </w:rPr>
        <w:footnoteReference w:id="453"/>
      </w:r>
      <w:r w:rsidRPr="00883125">
        <w:t xml:space="preserve"> </w:t>
      </w:r>
      <w:r>
        <w:t>They</w:t>
      </w:r>
      <w:r w:rsidRPr="00883125">
        <w:t xml:space="preserve"> </w:t>
      </w:r>
      <w:r w:rsidR="001A3115">
        <w:t xml:space="preserve">have </w:t>
      </w:r>
      <w:r w:rsidRPr="00883125">
        <w:t>submitted the equity ownership approach is at best an upper bound as domestic investors cannot use imputation credits due to the 45 day rule and investors tha</w:t>
      </w:r>
      <w:r>
        <w:t>t</w:t>
      </w:r>
      <w:r w:rsidRPr="00883125">
        <w:t xml:space="preserve"> can use imputation credit do not value them at full face value.</w:t>
      </w:r>
      <w:r w:rsidRPr="00883125">
        <w:rPr>
          <w:rStyle w:val="FootnoteReference"/>
        </w:rPr>
        <w:footnoteReference w:id="454"/>
      </w:r>
    </w:p>
    <w:p w:rsidR="00C52695" w:rsidRDefault="00C52695" w:rsidP="00C52695">
      <w:r w:rsidRPr="00883125">
        <w:t>Service providers submit that tax statistics provide a closer value of imputation credits in comparison to equity ownership, but it still fails to recognise that investors might value imputation credits at less than face value due to transaction costs, time value of money and portfolio effects.</w:t>
      </w:r>
      <w:r w:rsidRPr="00883125">
        <w:rPr>
          <w:rStyle w:val="FootnoteReference"/>
        </w:rPr>
        <w:footnoteReference w:id="455"/>
      </w:r>
      <w:r w:rsidRPr="00883125">
        <w:t xml:space="preserve"> Gray (for Frontier) supports this by submitting that </w:t>
      </w:r>
      <w:r>
        <w:t xml:space="preserve">the </w:t>
      </w:r>
      <w:r w:rsidRPr="00883125">
        <w:t xml:space="preserve">redemption rate should be used as an upper bound (0.45-0.46) for utilisation value and that it should not be </w:t>
      </w:r>
      <w:r w:rsidRPr="00883125">
        <w:lastRenderedPageBreak/>
        <w:t>used as a point estimate for the utilisation rate.</w:t>
      </w:r>
      <w:r w:rsidRPr="00883125">
        <w:rPr>
          <w:rStyle w:val="FootnoteReference"/>
        </w:rPr>
        <w:footnoteReference w:id="456"/>
      </w:r>
      <w:r w:rsidRPr="00883125">
        <w:t xml:space="preserve"> </w:t>
      </w:r>
      <w:r>
        <w:t>Similarly, Frontier considers that redemption rates cannot be used to estimate theta as they at best provide an upper bound for theta.</w:t>
      </w:r>
      <w:r>
        <w:rPr>
          <w:rStyle w:val="FootnoteReference"/>
        </w:rPr>
        <w:footnoteReference w:id="457"/>
      </w:r>
      <w:r>
        <w:t xml:space="preserve"> </w:t>
      </w:r>
      <w:r w:rsidR="00F46E3F">
        <w:t xml:space="preserve">However, </w:t>
      </w:r>
      <w:r w:rsidRPr="00883125">
        <w:t>Gray (for Frontier) considers that the tax statistics estimate should be preferred to the equity ownership estimate.</w:t>
      </w:r>
      <w:r w:rsidRPr="00883125">
        <w:rPr>
          <w:rStyle w:val="FootnoteReference"/>
        </w:rPr>
        <w:footnoteReference w:id="458"/>
      </w:r>
    </w:p>
    <w:p w:rsidR="00C52695" w:rsidRPr="00883125" w:rsidRDefault="00C52695" w:rsidP="00C52695">
      <w:r>
        <w:t>We</w:t>
      </w:r>
      <w:r w:rsidRPr="00883125">
        <w:t xml:space="preserve"> addressed each of these factors in our prior decisions, and concluded that they are either immaterial or should not be accounted for when estimating the properly defined utilisation value. Nothing in the service providers' </w:t>
      </w:r>
      <w:r>
        <w:t>proposals</w:t>
      </w:r>
      <w:r w:rsidRPr="00883125">
        <w:t xml:space="preserve">, </w:t>
      </w:r>
      <w:r w:rsidR="00AD585A">
        <w:t>or</w:t>
      </w:r>
      <w:r w:rsidRPr="00883125">
        <w:t xml:space="preserve"> in the </w:t>
      </w:r>
      <w:r>
        <w:t>recent</w:t>
      </w:r>
      <w:r w:rsidR="00C25A56">
        <w:t xml:space="preserve"> Ausgrid</w:t>
      </w:r>
      <w:r>
        <w:t xml:space="preserve"> </w:t>
      </w:r>
      <w:r w:rsidRPr="00883125">
        <w:t>Tribunal decision</w:t>
      </w:r>
      <w:r>
        <w:t>,</w:t>
      </w:r>
      <w:r w:rsidRPr="00883125">
        <w:t xml:space="preserve"> give us cause to change this conclusion. </w:t>
      </w:r>
      <w:r w:rsidR="0056734B">
        <w:t>W</w:t>
      </w:r>
      <w:r w:rsidRPr="00883125">
        <w:t>e have expanded on the following points in other sections of this decision:</w:t>
      </w:r>
    </w:p>
    <w:p w:rsidR="00C52695" w:rsidRPr="001D37D5" w:rsidRDefault="00C52695" w:rsidP="00C52695">
      <w:pPr>
        <w:pStyle w:val="AERbulletlistfirststyle"/>
      </w:pPr>
      <w:r w:rsidRPr="00883125">
        <w:t xml:space="preserve">Why estimates from tax </w:t>
      </w:r>
      <w:r w:rsidRPr="001D37D5">
        <w:t xml:space="preserve">statistics and the equity ownership approach are not upper bounds and can be used as valid point estimates for the utilisation rate (or theta). See sections </w:t>
      </w:r>
      <w:r w:rsidRPr="001D37D5">
        <w:fldChar w:fldCharType="begin"/>
      </w:r>
      <w:r w:rsidRPr="001D37D5">
        <w:instrText xml:space="preserve"> REF _Ref415049811 \r \h </w:instrText>
      </w:r>
      <w:r w:rsidRPr="001D37D5">
        <w:fldChar w:fldCharType="separate"/>
      </w:r>
      <w:r w:rsidR="00812A72">
        <w:t>A.12</w:t>
      </w:r>
      <w:r w:rsidRPr="001D37D5">
        <w:fldChar w:fldCharType="end"/>
      </w:r>
      <w:r w:rsidRPr="001D37D5">
        <w:t xml:space="preserve">, </w:t>
      </w:r>
      <w:r w:rsidRPr="001D37D5">
        <w:fldChar w:fldCharType="begin"/>
      </w:r>
      <w:r w:rsidRPr="001D37D5">
        <w:instrText xml:space="preserve"> REF _Ref402179420 \r \h </w:instrText>
      </w:r>
      <w:r w:rsidRPr="001D37D5">
        <w:fldChar w:fldCharType="separate"/>
      </w:r>
      <w:r w:rsidR="00812A72">
        <w:t>A.13</w:t>
      </w:r>
      <w:r w:rsidRPr="001D37D5">
        <w:fldChar w:fldCharType="end"/>
      </w:r>
    </w:p>
    <w:p w:rsidR="00C52695" w:rsidRPr="001D37D5" w:rsidRDefault="00C52695" w:rsidP="00C52695">
      <w:pPr>
        <w:pStyle w:val="AERbulletlistfirststyle"/>
      </w:pPr>
      <w:r w:rsidRPr="00883125">
        <w:t xml:space="preserve">Why the 45 day rule </w:t>
      </w:r>
      <w:r w:rsidRPr="001D37D5">
        <w:t>and other factors preventing utilisation by eligible investors are not expected to be responsible for the difference between the estimated utilisation rate from tax statistics and the equity ownership approach. See the following sub section.</w:t>
      </w:r>
    </w:p>
    <w:p w:rsidR="00C52695" w:rsidRPr="00883125" w:rsidRDefault="00C52695" w:rsidP="007F6EED">
      <w:pPr>
        <w:pStyle w:val="HeadingBoldItalic"/>
      </w:pPr>
      <w:bookmarkStart w:id="280" w:name="_Toc456614314"/>
      <w:bookmarkStart w:id="281" w:name="_Toc481056694"/>
      <w:bookmarkStart w:id="282" w:name="_Toc481061488"/>
      <w:r w:rsidRPr="00883125">
        <w:t>The 45-day holding rule</w:t>
      </w:r>
      <w:bookmarkEnd w:id="280"/>
      <w:bookmarkEnd w:id="281"/>
      <w:bookmarkEnd w:id="282"/>
    </w:p>
    <w:p w:rsidR="00C52695" w:rsidRPr="00883125" w:rsidRDefault="00C52695" w:rsidP="00C52695">
      <w:pPr>
        <w:numPr>
          <w:ilvl w:val="0"/>
          <w:numId w:val="24"/>
        </w:numPr>
      </w:pPr>
      <w:r w:rsidRPr="00883125">
        <w:t>To be eligible to utilise imputation credits, an otherwise-eligible investor must have held the shares that distributed the credits ‘at risk’ for at least 45 days (90 days for certain preference shares).</w:t>
      </w:r>
      <w:r w:rsidRPr="00883125">
        <w:rPr>
          <w:rStyle w:val="FootnoteReference"/>
        </w:rPr>
        <w:footnoteReference w:id="459"/>
      </w:r>
      <w:r w:rsidRPr="00883125">
        <w:t xml:space="preserve"> However, this rule does not apply if the investor's total credit entitlement is below $5,000.</w:t>
      </w:r>
      <w:r w:rsidR="00EA1D26">
        <w:t xml:space="preserve"> </w:t>
      </w:r>
      <w:r w:rsidRPr="00883125">
        <w:t>A number of service providers stated:</w:t>
      </w:r>
      <w:r w:rsidRPr="00883125">
        <w:rPr>
          <w:rStyle w:val="FootnoteReference"/>
        </w:rPr>
        <w:footnoteReference w:id="460"/>
      </w:r>
    </w:p>
    <w:p w:rsidR="00C52695" w:rsidRPr="00CA67C0" w:rsidRDefault="00C52695" w:rsidP="00C52695">
      <w:pPr>
        <w:pStyle w:val="AERquote"/>
      </w:pPr>
      <w:r w:rsidRPr="00883125">
        <w:t>It has been estimated that the 45-day rule has about a 5-10% impact on the redemption rate.</w:t>
      </w:r>
    </w:p>
    <w:p w:rsidR="00C52695" w:rsidRPr="00883125" w:rsidRDefault="00C52695" w:rsidP="00C52695">
      <w:pPr>
        <w:numPr>
          <w:ilvl w:val="0"/>
          <w:numId w:val="24"/>
        </w:numPr>
      </w:pPr>
      <w:r w:rsidRPr="00883125">
        <w:t>The source of this estimate is a 2010 paper by Handley. The relevant passage from this paper is:</w:t>
      </w:r>
      <w:r w:rsidRPr="00883125">
        <w:rPr>
          <w:rStyle w:val="FootnoteReference"/>
        </w:rPr>
        <w:footnoteReference w:id="461"/>
      </w:r>
    </w:p>
    <w:p w:rsidR="00C52695" w:rsidRPr="00883125" w:rsidRDefault="00C52695" w:rsidP="00C52695">
      <w:pPr>
        <w:pStyle w:val="AERquote"/>
      </w:pPr>
      <w:r w:rsidRPr="00883125">
        <w:t xml:space="preserve">Post 1 July 2000, [Handley and Maheswaran in their 2008 paper] assume full utilization of credits by resident individuals since excess credits were refundable from that time. It is of course likely that the actual utilization rate would be somewhat lower due to for example, “investor irrationality” and the impact of the 45 day rule but any </w:t>
      </w:r>
      <w:r w:rsidRPr="00883125">
        <w:lastRenderedPageBreak/>
        <w:t>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[Handley and Maheswaran]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 5-10% impact on the utilisation rate.)</w:t>
      </w:r>
    </w:p>
    <w:p w:rsidR="00C52695" w:rsidRPr="00883125" w:rsidRDefault="00C52695" w:rsidP="00C52695">
      <w:pPr>
        <w:numPr>
          <w:ilvl w:val="0"/>
          <w:numId w:val="24"/>
        </w:numPr>
      </w:pPr>
      <w:r w:rsidRPr="00883125">
        <w:t>Thus, it seems the service providers' submission as to the impact of the 45-day holding rule misinterprets the source data upon which it relies, being Handley and Maheswaran's 2008 paper. It does not appear that Handley ever intended the 5 to 10 per cent figure to be considered a point estimate of the effect of the 45-day holding rule. Rather, we consider that it was presented as a ‘guide’ to the maximum theoretical effect of the rule’s operation as indicated by the analysis conducted in Handley and Maheswaran. Our interpretation of Handley’s intention is supported by the fact that in their paper Handley and Maheswaran consider the post-2000 utilisation rate to be 1. That is, we consider that if Handley and Maheswaran had available to them a reliable estimate of the effect of the 45-day holding rule, then they would have used it. As Handley stated in his 2010 paper, he 'is not aware of any data on the extent to which credits have been denied pursuant to this rule'.</w:t>
      </w:r>
      <w:r w:rsidRPr="00883125">
        <w:rPr>
          <w:rStyle w:val="FootnoteReference"/>
        </w:rPr>
        <w:footnoteReference w:id="462"/>
      </w:r>
      <w:r w:rsidRPr="00883125">
        <w:t xml:space="preserve"> Handley maintained this view in his April 2015 report.</w:t>
      </w:r>
      <w:r w:rsidRPr="00883125">
        <w:rPr>
          <w:rStyle w:val="FootnoteReference"/>
        </w:rPr>
        <w:footnoteReference w:id="463"/>
      </w:r>
    </w:p>
    <w:p w:rsidR="00C52695" w:rsidRPr="00883125" w:rsidRDefault="00C52695" w:rsidP="00C52695">
      <w:pPr>
        <w:numPr>
          <w:ilvl w:val="0"/>
          <w:numId w:val="24"/>
        </w:numPr>
      </w:pPr>
      <w:r w:rsidRPr="00883125">
        <w:t>It is also appears from the above quote that Handley and Maheswaran considered that, if anything, the 5 to 10 per cent estimate would be an overestimate of the impact of the 45 day rule. This is because they attribute the full underutilisation 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757B4D" w:rsidRPr="00883125" w:rsidRDefault="00647F58" w:rsidP="00C70961">
      <w:pPr>
        <w:numPr>
          <w:ilvl w:val="0"/>
          <w:numId w:val="24"/>
        </w:numPr>
      </w:pPr>
      <w:r>
        <w:t>T</w:t>
      </w:r>
      <w:r w:rsidRPr="00883125">
        <w:t xml:space="preserve">he </w:t>
      </w:r>
      <w:r>
        <w:t xml:space="preserve">Ausgrid </w:t>
      </w:r>
      <w:r w:rsidR="00C52695" w:rsidRPr="00883125">
        <w:t>Tribunal did not agree with ou</w:t>
      </w:r>
      <w:r w:rsidR="00C52695">
        <w:t>r</w:t>
      </w:r>
      <w:r w:rsidR="00C52695" w:rsidRPr="00883125">
        <w:t xml:space="preserve"> position.</w:t>
      </w:r>
      <w:r w:rsidR="00C52695" w:rsidRPr="00883125">
        <w:rPr>
          <w:rStyle w:val="FootnoteReference"/>
        </w:rPr>
        <w:footnoteReference w:id="464"/>
      </w:r>
      <w:r w:rsidR="00C52695" w:rsidRPr="00883125">
        <w:t xml:space="preserve"> The </w:t>
      </w:r>
      <w:r>
        <w:t xml:space="preserve">Ausgrid </w:t>
      </w:r>
      <w:r w:rsidR="00C52695" w:rsidRPr="00883125">
        <w:t>Tribunal considered that the issue is not whether such a class exists (domestic investors that hold for less than 45 days), but the size of that class to which the value of imputation credits is lower as a result of domestic shareholders being unable to use them.</w:t>
      </w:r>
      <w:r w:rsidR="00C52695" w:rsidRPr="00883125">
        <w:rPr>
          <w:rStyle w:val="FootnoteReference"/>
        </w:rPr>
        <w:footnoteReference w:id="465"/>
      </w:r>
      <w:r w:rsidR="00C52695" w:rsidRPr="00883125">
        <w:t xml:space="preserve"> However, as outlined below, </w:t>
      </w:r>
      <w:r w:rsidR="00C52695">
        <w:t>we</w:t>
      </w:r>
      <w:r w:rsidR="00C52695" w:rsidRPr="00883125">
        <w:t xml:space="preserve"> remain of the view that the 45 day rule </w:t>
      </w:r>
      <w:r w:rsidR="00C52695">
        <w:t xml:space="preserve">and other facts preventing utilisation by eligible investors </w:t>
      </w:r>
      <w:r w:rsidR="00C52695" w:rsidRPr="00883125">
        <w:t xml:space="preserve">is likely to be having an immaterial impact on the utilisation </w:t>
      </w:r>
      <w:r w:rsidR="00C52695">
        <w:t>value</w:t>
      </w:r>
      <w:r w:rsidR="00C52695" w:rsidRPr="00883125">
        <w:t xml:space="preserve"> by domestic investors. For </w:t>
      </w:r>
      <w:r w:rsidR="00C52695" w:rsidRPr="00883125">
        <w:lastRenderedPageBreak/>
        <w:t xml:space="preserve">clarity, </w:t>
      </w:r>
      <w:r w:rsidR="00C52695">
        <w:t>we do</w:t>
      </w:r>
      <w:r w:rsidR="00C52695" w:rsidRPr="00883125">
        <w:t xml:space="preserve"> not claim there are no domestic investors that hold shares for less than 45 days over the ex-dividend date. However, </w:t>
      </w:r>
      <w:r w:rsidR="00C52695">
        <w:t>we</w:t>
      </w:r>
      <w:r w:rsidR="00C52695" w:rsidRPr="00883125">
        <w:t xml:space="preserve"> consider this class of investors (that holds share for less than 45 days over the ex-dividend date) is likely to be immaterial in size and the extent to which the value of imputation credits is lower as a result of domestic investors being unable to use them due to this is likely to be immaterial. We also note there is no compelling evidence to the contrary.</w:t>
      </w:r>
    </w:p>
    <w:p w:rsidR="00C52695" w:rsidRPr="00883125" w:rsidRDefault="00C52695" w:rsidP="00C52695">
      <w:pPr>
        <w:numPr>
          <w:ilvl w:val="0"/>
          <w:numId w:val="24"/>
        </w:numPr>
      </w:pPr>
      <w:r w:rsidRPr="00883125">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sidRPr="00883125">
        <w:rPr>
          <w:rStyle w:val="FootnoteReference"/>
        </w:rPr>
        <w:footnoteReference w:id="466"/>
      </w:r>
      <w:r w:rsidRPr="00883125">
        <w:t xml:space="preserve"> We know that the amount of imputation credits attached to a dollar of fully franked dividends is $0.43 ($1 x 0.3/(1–0.3)).</w:t>
      </w:r>
      <w:r w:rsidRPr="00883125">
        <w:rPr>
          <w:rStyle w:val="FootnoteReference"/>
        </w:rPr>
        <w:footnoteReference w:id="467"/>
      </w:r>
      <w:r w:rsidRPr="00883125">
        <w:t xml:space="preserve">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rsidRPr="00883125">
        <w:fldChar w:fldCharType="begin"/>
      </w:r>
      <w:r w:rsidRPr="00883125">
        <w:instrText xml:space="preserve"> REF _Ref401848641 \h </w:instrText>
      </w:r>
      <w:r w:rsidRPr="00883125">
        <w:fldChar w:fldCharType="separate"/>
      </w:r>
      <w:r w:rsidR="00812A72" w:rsidRPr="00883125">
        <w:t xml:space="preserve">Table </w:t>
      </w:r>
      <w:r w:rsidR="00812A72">
        <w:rPr>
          <w:noProof/>
        </w:rPr>
        <w:t>4</w:t>
      </w:r>
      <w:r w:rsidR="00812A72">
        <w:noBreakHyphen/>
      </w:r>
      <w:r w:rsidR="00812A72">
        <w:rPr>
          <w:noProof/>
        </w:rPr>
        <w:t>13</w:t>
      </w:r>
      <w:r w:rsidRPr="00883125">
        <w:fldChar w:fldCharType="end"/>
      </w:r>
      <w:r w:rsidRPr="00883125">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sidRPr="00883125">
        <w:rPr>
          <w:rStyle w:val="FootnoteReference"/>
        </w:rPr>
        <w:footnoteReference w:id="468"/>
      </w:r>
      <w:r w:rsidRPr="00883125">
        <w:t xml:space="preserve"> This suggests that the 45-day holding rule is not having a material effect.</w:t>
      </w:r>
    </w:p>
    <w:p w:rsidR="00C52695" w:rsidRPr="00883125" w:rsidRDefault="00C52695" w:rsidP="00C52695">
      <w:pPr>
        <w:pStyle w:val="Caption"/>
      </w:pPr>
      <w:bookmarkStart w:id="283" w:name="_Ref401848641"/>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13</w:t>
      </w:r>
      <w:r w:rsidRPr="001D37D5">
        <w:fldChar w:fldCharType="end"/>
      </w:r>
      <w:bookmarkEnd w:id="283"/>
      <w:r w:rsidRPr="00883125">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C52695"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p>
        </w:tc>
        <w:tc>
          <w:tcPr>
            <w:tcW w:w="2712"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Individuals</w:t>
            </w:r>
          </w:p>
        </w:tc>
        <w:tc>
          <w:tcPr>
            <w:tcW w:w="2713"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Superannuation funds</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Fully franked dividends received</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188.1</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84.8</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rPr>
                <w:rStyle w:val="AERtextitalic"/>
              </w:rPr>
            </w:pPr>
            <w:r w:rsidRPr="00883125">
              <w:rPr>
                <w:rStyle w:val="AERtextitalic"/>
              </w:rPr>
              <w:t>Implied imputation credits received</w:t>
            </w:r>
          </w:p>
        </w:tc>
        <w:tc>
          <w:tcPr>
            <w:tcW w:w="2712"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80.6</w:t>
            </w:r>
          </w:p>
        </w:tc>
        <w:tc>
          <w:tcPr>
            <w:tcW w:w="2713"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36.3</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Imputation credits utilised</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81.2</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36.2</w:t>
            </w:r>
          </w:p>
        </w:tc>
      </w:tr>
    </w:tbl>
    <w:p w:rsidR="00C52695" w:rsidRPr="00883125" w:rsidRDefault="00C52695" w:rsidP="00C52695">
      <w:pPr>
        <w:pStyle w:val="AERtablesource"/>
      </w:pPr>
      <w:r w:rsidRPr="00883125">
        <w:t xml:space="preserve">Source: </w:t>
      </w:r>
      <w:r w:rsidRPr="00883125">
        <w:tab/>
        <w:t xml:space="preserve">N. Hathaway, </w:t>
      </w:r>
      <w:r w:rsidRPr="00883125">
        <w:rPr>
          <w:rStyle w:val="AERtextitalic"/>
        </w:rPr>
        <w:t>Imputation credit redemption ATO data 1988–2011: Where have all the credits gone?</w:t>
      </w:r>
      <w:r w:rsidRPr="00883125">
        <w:t>, September 2013; AER analysis.</w:t>
      </w:r>
    </w:p>
    <w:p w:rsidR="00C52695" w:rsidRPr="00883125" w:rsidRDefault="00C52695" w:rsidP="00C52695">
      <w:r w:rsidRPr="00883125">
        <w:lastRenderedPageBreak/>
        <w:t>However, service providers submit</w:t>
      </w:r>
      <w:r>
        <w:t>ted</w:t>
      </w:r>
      <w:r w:rsidRPr="00883125">
        <w:t xml:space="preserve"> the analysis that underpins this analysis is based on data that is unreliable.</w:t>
      </w:r>
      <w:r w:rsidRPr="00883125">
        <w:rPr>
          <w:rStyle w:val="FootnoteReference"/>
        </w:rPr>
        <w:footnoteReference w:id="469"/>
      </w:r>
      <w:r w:rsidRPr="00883125">
        <w:t xml:space="preserve"> </w:t>
      </w:r>
      <w:r>
        <w:t>We</w:t>
      </w:r>
      <w:r w:rsidRPr="00883125">
        <w:t xml:space="preserve"> recognise the data limitations</w:t>
      </w:r>
      <w:r>
        <w:t>,</w:t>
      </w:r>
      <w:r w:rsidRPr="00883125">
        <w:t xml:space="preserve"> but as outlined in section </w:t>
      </w:r>
      <w:r w:rsidRPr="00883125">
        <w:fldChar w:fldCharType="begin"/>
      </w:r>
      <w:r w:rsidRPr="00883125">
        <w:instrText xml:space="preserve"> REF _Ref450297745 \r \h </w:instrText>
      </w:r>
      <w:r w:rsidRPr="00883125">
        <w:fldChar w:fldCharType="separate"/>
      </w:r>
      <w:r w:rsidR="00812A72">
        <w:t>A.10.4</w:t>
      </w:r>
      <w:r w:rsidRPr="00883125">
        <w:fldChar w:fldCharType="end"/>
      </w:r>
      <w:r w:rsidRPr="00883125">
        <w:t xml:space="preserve">, </w:t>
      </w:r>
      <w:r>
        <w:t>we</w:t>
      </w:r>
      <w:r w:rsidRPr="00883125">
        <w:t xml:space="preserve"> note this is the best data available and there is no evidence before </w:t>
      </w:r>
      <w:r>
        <w:t>us</w:t>
      </w:r>
      <w:r w:rsidRPr="00883125">
        <w:t xml:space="preserve"> </w:t>
      </w:r>
      <w:r>
        <w:t xml:space="preserve">that </w:t>
      </w:r>
      <w:r w:rsidRPr="00883125">
        <w:t>the 45 day rule is having a material effect</w:t>
      </w:r>
      <w:r>
        <w:t>.</w:t>
      </w:r>
    </w:p>
    <w:p w:rsidR="00C52695" w:rsidRPr="00883125" w:rsidRDefault="00C52695" w:rsidP="00C52695">
      <w:r w:rsidRPr="00883125">
        <w:t xml:space="preserve">Based on these considerations, the 45-day holding rule does not appear to have a material effect on the utilisation rate. The analysis above was presented in our draft decisions released in 2014, but the service </w:t>
      </w:r>
      <w:r w:rsidR="0056734B">
        <w:t>providers</w:t>
      </w:r>
      <w:r w:rsidRPr="00883125">
        <w:t xml:space="preserve"> subject of those</w:t>
      </w:r>
      <w:r w:rsidR="0056734B">
        <w:t xml:space="preserve"> proposals</w:t>
      </w:r>
      <w:r w:rsidR="00BB4E44" w:rsidRPr="00883125">
        <w:t xml:space="preserve"> </w:t>
      </w:r>
      <w:r w:rsidRPr="00883125">
        <w:t>did not comment on it in their revised proposals. Instead, they submitted:</w:t>
      </w:r>
      <w:r w:rsidRPr="00883125">
        <w:rPr>
          <w:rStyle w:val="FootnoteReference"/>
        </w:rPr>
        <w:footnoteReference w:id="470"/>
      </w:r>
    </w:p>
    <w:p w:rsidR="00C52695" w:rsidRPr="00883125" w:rsidRDefault="00C52695" w:rsidP="00C52695">
      <w:pPr>
        <w:pStyle w:val="AERquote"/>
      </w:pPr>
      <w:r w:rsidRPr="00883125">
        <w:t>The AER seeks to dismiss the impact of tax rules affecting eligibility of domestic investors to redeem imputation credits by saying that:</w:t>
      </w:r>
    </w:p>
    <w:p w:rsidR="00C52695" w:rsidRPr="00883125" w:rsidRDefault="00C52695" w:rsidP="00C52695">
      <w:pPr>
        <w:pStyle w:val="AERquoteindent2"/>
      </w:pPr>
      <w:r w:rsidRPr="00883125">
        <w:t>“…we do not consider that there is clear evidence as to effect that these rules have or should be expected to have.”</w:t>
      </w:r>
    </w:p>
    <w:p w:rsidR="00C52695" w:rsidRPr="00883125" w:rsidRDefault="00C52695" w:rsidP="00C52695">
      <w:pPr>
        <w:pStyle w:val="AERquote"/>
      </w:pPr>
      <w:r w:rsidRPr="00883125">
        <w:t>…[we do] not consider that there must be "clear evidence" as to the effect of particular tax rules in order for these to be taken into account. The fact is that these rules exist and that they will affect the eligibility of certain domestic investors to redeem imputation credits.</w:t>
      </w:r>
    </w:p>
    <w:p w:rsidR="00C52695" w:rsidRPr="00883125" w:rsidRDefault="00C52695" w:rsidP="00C52695">
      <w:pPr>
        <w:pStyle w:val="AERquote"/>
      </w:pPr>
      <w:r w:rsidRPr="00883125">
        <w:t>In any event, the fact that the redemption rate indicated by tax statistics is significantly below the domestic equity ownership rate does indicate that these tax rules (and possibly other factors as discussed below) are affecting domestic investors' ability to redeem imputation credits. As the AER observes, the redemption rate indicated by tax statistics is approximately 0.43, which is well below the domestic equity ownership rate for all equity.</w:t>
      </w:r>
    </w:p>
    <w:p w:rsidR="00C52695" w:rsidRPr="00883125" w:rsidRDefault="00C52695" w:rsidP="00C52695">
      <w:r w:rsidRPr="00883125">
        <w:t xml:space="preserve">We do not consider that this represents clear evidence as to the effect of the 45-day rule and other tax rules. </w:t>
      </w:r>
      <w:r w:rsidR="0056734B">
        <w:t>First</w:t>
      </w:r>
      <w:r w:rsidRPr="00883125">
        <w:t xml:space="preserve">, the service providers' approach does not contemplate error or inaccuracy in the tax statistics. In section </w:t>
      </w:r>
      <w:r w:rsidR="00647F58">
        <w:fldChar w:fldCharType="begin"/>
      </w:r>
      <w:r w:rsidR="00647F58">
        <w:instrText xml:space="preserve"> REF _Ref476650811 \r \h </w:instrText>
      </w:r>
      <w:r w:rsidR="00647F58">
        <w:fldChar w:fldCharType="separate"/>
      </w:r>
      <w:r w:rsidR="00812A72">
        <w:t>4.4</w:t>
      </w:r>
      <w:r w:rsidR="00647F58">
        <w:fldChar w:fldCharType="end"/>
      </w:r>
      <w:r w:rsidRPr="00883125">
        <w:t>, we set out data concerns that exist regarding the tax statistics. Further, the</w:t>
      </w:r>
      <w:r>
        <w:t>se</w:t>
      </w:r>
      <w:r w:rsidRPr="00883125">
        <w:t xml:space="preserve"> service providers</w:t>
      </w:r>
      <w:r>
        <w:t>,</w:t>
      </w:r>
      <w:r w:rsidRPr="00883125">
        <w:t xml:space="preserve"> in their initial proposals</w:t>
      </w:r>
      <w:r>
        <w:t>,</w:t>
      </w:r>
      <w:r w:rsidRPr="00883125">
        <w:t xml:space="preserve"> submitted that no weight be placed on estimates of the utilisation rate from tax statistics because of significant </w:t>
      </w:r>
      <w:r w:rsidRPr="00883125">
        <w:lastRenderedPageBreak/>
        <w:t>unresolved problems with the data.</w:t>
      </w:r>
      <w:r w:rsidRPr="00883125">
        <w:rPr>
          <w:rStyle w:val="FootnoteReference"/>
        </w:rPr>
        <w:footnoteReference w:id="471"/>
      </w:r>
      <w:r w:rsidRPr="00883125">
        <w:t xml:space="preserve"> While it does now appear some service providers </w:t>
      </w:r>
      <w:r>
        <w:t xml:space="preserve">we regulate </w:t>
      </w:r>
      <w:r w:rsidRPr="00883125">
        <w:t>may consider tax statistics can be used to estimate an upper bound for theta,</w:t>
      </w:r>
      <w:r w:rsidRPr="00883125">
        <w:rPr>
          <w:rStyle w:val="FootnoteReference"/>
        </w:rPr>
        <w:footnoteReference w:id="472"/>
      </w:r>
      <w:r w:rsidRPr="00883125">
        <w:t xml:space="preserve"> we do not consider the above analysis provides compelling evidence that the 45 day rule is having a material impact given residual concerns with the data.</w:t>
      </w:r>
    </w:p>
    <w:p w:rsidR="00C52695" w:rsidRPr="00883125" w:rsidRDefault="0056734B" w:rsidP="00C52695">
      <w:pPr>
        <w:rPr>
          <w:rStyle w:val="AERbody"/>
        </w:rPr>
      </w:pPr>
      <w:r>
        <w:t>Second</w:t>
      </w:r>
      <w:r w:rsidR="00C52695" w:rsidRPr="00883125">
        <w:t>, the service providers' conclusion is contradicted by the analysis of tax statistics we presented in our prior decisions and which we repeat above</w:t>
      </w:r>
      <w:r w:rsidR="00C52695" w:rsidRPr="00883125">
        <w:rPr>
          <w:rStyle w:val="AERbody"/>
        </w:rPr>
        <w:t>. While we acknowledge the limitations of the tax data used for this analysis, the service providers themselves have not demonstrated the rule is having a material impact, and we do not consider the rule would be expected to have a material impact.</w:t>
      </w:r>
    </w:p>
    <w:p w:rsidR="00C52695" w:rsidRPr="00883125" w:rsidRDefault="00C52695" w:rsidP="00C52695">
      <w:pPr>
        <w:rPr>
          <w:rStyle w:val="AERbody"/>
        </w:rPr>
      </w:pPr>
      <w:r w:rsidRPr="00883125">
        <w:rPr>
          <w:rStyle w:val="AERbody"/>
        </w:rPr>
        <w:t>Frontier considers the 45-day rule has some effect because other</w:t>
      </w:r>
      <w:r w:rsidRPr="00B27BE5">
        <w:rPr>
          <w:rStyle w:val="AERbody"/>
        </w:rPr>
        <w:t>wise it would be redundant to have the rule.</w:t>
      </w:r>
      <w:r w:rsidRPr="00B27BE5">
        <w:rPr>
          <w:rStyle w:val="FootnoteReference"/>
        </w:rPr>
        <w:footnoteReference w:id="473"/>
      </w:r>
      <w:r w:rsidRPr="00B27BE5">
        <w:rPr>
          <w:rStyle w:val="AERbody"/>
        </w:rPr>
        <w:t xml:space="preserve"> </w:t>
      </w:r>
      <w:r>
        <w:rPr>
          <w:rStyle w:val="AERbody"/>
        </w:rPr>
        <w:t>We do</w:t>
      </w:r>
      <w:r w:rsidRPr="00B27BE5">
        <w:rPr>
          <w:rStyle w:val="AERbody"/>
        </w:rPr>
        <w:t xml:space="preserve"> not agree. </w:t>
      </w:r>
      <w:r>
        <w:rPr>
          <w:rStyle w:val="AERbody"/>
        </w:rPr>
        <w:t>A</w:t>
      </w:r>
      <w:r w:rsidRPr="00B27BE5">
        <w:rPr>
          <w:rStyle w:val="AERbody"/>
        </w:rPr>
        <w:t xml:space="preserve"> </w:t>
      </w:r>
      <w:r>
        <w:rPr>
          <w:rStyle w:val="AERbody"/>
        </w:rPr>
        <w:t>key outcome</w:t>
      </w:r>
      <w:r w:rsidRPr="00B27BE5">
        <w:rPr>
          <w:rStyle w:val="AERbody"/>
        </w:rPr>
        <w:t xml:space="preserve"> of the requirement to hold shares at risk for 45 day in order to receive an imputation credit </w:t>
      </w:r>
      <w:r>
        <w:rPr>
          <w:rStyle w:val="AERbody"/>
        </w:rPr>
        <w:t>will be</w:t>
      </w:r>
      <w:r w:rsidRPr="00B27BE5">
        <w:rPr>
          <w:rStyle w:val="AERbody"/>
        </w:rPr>
        <w:t xml:space="preserve"> to prevent the streaming of imputation credits to investors that value them the most.</w:t>
      </w:r>
      <w:r w:rsidRPr="00B27BE5">
        <w:rPr>
          <w:rStyle w:val="FootnoteReference"/>
        </w:rPr>
        <w:footnoteReference w:id="474"/>
      </w:r>
      <w:r w:rsidRPr="00B27BE5">
        <w:rPr>
          <w:rStyle w:val="AERbody"/>
        </w:rPr>
        <w:t xml:space="preserve"> This could happen where investors that values imputation credits, for example superannuation funds, buy the share before the ex-dividend date and sell the share after the ex-dividend date and hedges their risk exposure over the investment holding period. Therefore, the 45 day rule could logically be not having a material impact on the utilisation value, while sti</w:t>
      </w:r>
      <w:r>
        <w:rPr>
          <w:rStyle w:val="AERbody"/>
        </w:rPr>
        <w:t>l</w:t>
      </w:r>
      <w:r w:rsidRPr="00B27BE5">
        <w:rPr>
          <w:rStyle w:val="AERbody"/>
        </w:rPr>
        <w:t xml:space="preserve">l working as intended and preventing investors from streaming imputation credits to </w:t>
      </w:r>
      <w:r>
        <w:rPr>
          <w:rStyle w:val="AERbody"/>
        </w:rPr>
        <w:t>investors that value them the most</w:t>
      </w:r>
      <w:r w:rsidRPr="00B27BE5">
        <w:rPr>
          <w:rStyle w:val="AERbody"/>
        </w:rPr>
        <w:t>.</w:t>
      </w:r>
    </w:p>
    <w:p w:rsidR="00C52695" w:rsidRDefault="00C52695" w:rsidP="00C52695">
      <w:pPr>
        <w:rPr>
          <w:rStyle w:val="AERbody"/>
        </w:rPr>
      </w:pPr>
      <w:r w:rsidRPr="00883125">
        <w:rPr>
          <w:rStyle w:val="AERbody"/>
        </w:rPr>
        <w:t xml:space="preserve">In his June 2015 report for a number of service providers Gray assert that "[o]ne cannot assume that the effect of the 45-day rule is negligible in the </w:t>
      </w:r>
      <w:r w:rsidRPr="00B27BE5">
        <w:rPr>
          <w:rStyle w:val="AERbody"/>
        </w:rPr>
        <w:t>absence of any data about it."</w:t>
      </w:r>
      <w:r w:rsidRPr="00B27BE5">
        <w:rPr>
          <w:rStyle w:val="FootnoteReference"/>
        </w:rPr>
        <w:footnoteReference w:id="475"/>
      </w:r>
      <w:r w:rsidRPr="00B27BE5">
        <w:rPr>
          <w:rStyle w:val="AERbody"/>
        </w:rPr>
        <w:t xml:space="preserve"> The new report by Gray (for Frontier) does not change our view that the 45 day rule is unlikely to be having a material impact on the utilisation rate. It does not present any data to demonstrate that the 45 day rule is having a material effect on utilisation of imputation credits.</w:t>
      </w:r>
    </w:p>
    <w:p w:rsidR="00C52695" w:rsidRPr="00B27BE5" w:rsidRDefault="00C52695" w:rsidP="00C52695">
      <w:pPr>
        <w:rPr>
          <w:rStyle w:val="AERbody"/>
        </w:rPr>
      </w:pPr>
      <w:r>
        <w:rPr>
          <w:rStyle w:val="AERbody"/>
        </w:rPr>
        <w:lastRenderedPageBreak/>
        <w:t xml:space="preserve">We consider Lally's recent report supports our </w:t>
      </w:r>
      <w:r w:rsidR="00116FD8">
        <w:rPr>
          <w:rStyle w:val="AERbody"/>
        </w:rPr>
        <w:t>position</w:t>
      </w:r>
      <w:r>
        <w:rPr>
          <w:rStyle w:val="AERbody"/>
        </w:rPr>
        <w:t xml:space="preserve"> that the 45 day rule is not having a material impact on the utilisation value. Lally notes that that the 45 day rule prevents some 'genuine' investors from obtaining the credits, and therefore drives down the redemption rate, but this downward effect is unlikely to be significant because 'genuine' investors have the option of changing the time of their transactions and would have strong incentives to do so.</w:t>
      </w:r>
      <w:r>
        <w:rPr>
          <w:rStyle w:val="FootnoteReference"/>
        </w:rPr>
        <w:footnoteReference w:id="476"/>
      </w:r>
      <w:r>
        <w:rPr>
          <w:rStyle w:val="AERbody"/>
        </w:rPr>
        <w:t xml:space="preserve"> Further, Lally considers the 45 day rule constrains tax arbitrage and therefore minimises the gap between the correctly estimated redemption rate (tax statistics), and the proportion of Australian equities held by local investors.</w:t>
      </w:r>
      <w:r>
        <w:rPr>
          <w:rStyle w:val="FootnoteReference"/>
        </w:rPr>
        <w:footnoteReference w:id="477"/>
      </w:r>
    </w:p>
    <w:p w:rsidR="00C52695" w:rsidRPr="00883125" w:rsidRDefault="00C52695" w:rsidP="007F6EED">
      <w:pPr>
        <w:pStyle w:val="HeadingBoldItalic"/>
      </w:pPr>
      <w:bookmarkStart w:id="284" w:name="_Ref400540858"/>
      <w:bookmarkStart w:id="285" w:name="_Toc456614315"/>
      <w:bookmarkStart w:id="286" w:name="_Toc481056695"/>
      <w:bookmarkStart w:id="287" w:name="_Toc481061489"/>
      <w:r w:rsidRPr="00883125">
        <w:t>Transactions costs</w:t>
      </w:r>
      <w:bookmarkEnd w:id="284"/>
      <w:bookmarkEnd w:id="285"/>
      <w:bookmarkEnd w:id="286"/>
      <w:bookmarkEnd w:id="287"/>
    </w:p>
    <w:p w:rsidR="00C52695" w:rsidRPr="00883125" w:rsidRDefault="00C52695" w:rsidP="00C52695">
      <w:pPr>
        <w:numPr>
          <w:ilvl w:val="0"/>
          <w:numId w:val="24"/>
        </w:numPr>
      </w:pPr>
      <w:r w:rsidRPr="00883125">
        <w:t>Service providers submitted that the redemption of imputation credits may involve transactions costs, such as requirements to keep records and follow administrative processes.</w:t>
      </w:r>
      <w:r w:rsidRPr="00883125">
        <w:rPr>
          <w:rStyle w:val="FootnoteReference"/>
        </w:rPr>
        <w:footnoteReference w:id="478"/>
      </w:r>
      <w:r w:rsidRPr="00883125">
        <w:t xml:space="preserve"> Service providers also submitted that these transactions costs will tend to reduce their value to investors and may dissuade some investors from redeeming (utilising) imputation credits.</w:t>
      </w:r>
      <w:r w:rsidRPr="00883125">
        <w:rPr>
          <w:rStyle w:val="FootnoteReference"/>
        </w:rPr>
        <w:footnoteReference w:id="479"/>
      </w:r>
      <w:r>
        <w:t xml:space="preserve"> </w:t>
      </w:r>
      <w:r w:rsidR="00647F58">
        <w:t xml:space="preserve">A </w:t>
      </w:r>
      <w:r w:rsidR="00F11F36">
        <w:t>'</w:t>
      </w:r>
      <w:r w:rsidR="00647F58">
        <w:t>transaction cost</w:t>
      </w:r>
      <w:r w:rsidR="00F11F36">
        <w:t>'</w:t>
      </w:r>
      <w:r w:rsidR="00647F58">
        <w:t xml:space="preserve"> </w:t>
      </w:r>
      <w:r w:rsidR="003B39BF">
        <w:t xml:space="preserve">at the investor level </w:t>
      </w:r>
      <w:r w:rsidR="00647F58">
        <w:t xml:space="preserve">is a type of </w:t>
      </w:r>
      <w:r w:rsidR="00F11F36">
        <w:t>'</w:t>
      </w:r>
      <w:r w:rsidR="00647F58">
        <w:t>personal cost</w:t>
      </w:r>
      <w:r w:rsidR="00F11F36">
        <w:t>'</w:t>
      </w:r>
      <w:r w:rsidR="0059076A">
        <w:t xml:space="preserve"> and both terms are used interchangeably in this section.</w:t>
      </w:r>
    </w:p>
    <w:p w:rsidR="00C52695" w:rsidRPr="00883125" w:rsidRDefault="00C52695" w:rsidP="00C52695">
      <w:pPr>
        <w:numPr>
          <w:ilvl w:val="0"/>
          <w:numId w:val="24"/>
        </w:numPr>
      </w:pPr>
      <w:r w:rsidRPr="00883125">
        <w:t xml:space="preserve">Firstly, we note that Handley advised that we specifically </w:t>
      </w:r>
      <w:r>
        <w:t xml:space="preserve">do </w:t>
      </w:r>
      <w:r w:rsidRPr="00883125">
        <w:t>not take account of these costs:</w:t>
      </w:r>
      <w:r w:rsidRPr="00883125">
        <w:rPr>
          <w:rStyle w:val="FootnoteReference"/>
        </w:rPr>
        <w:footnoteReference w:id="480"/>
      </w:r>
    </w:p>
    <w:p w:rsidR="00C52695" w:rsidRPr="00883125" w:rsidRDefault="00C52695" w:rsidP="00C52695">
      <w:pPr>
        <w:pStyle w:val="AERquote"/>
      </w:pPr>
      <w:r w:rsidRPr="00883125">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632C53" w:rsidRDefault="002364FB" w:rsidP="00630745">
      <w:pPr>
        <w:numPr>
          <w:ilvl w:val="0"/>
          <w:numId w:val="24"/>
        </w:numPr>
      </w:pPr>
      <w:r>
        <w:lastRenderedPageBreak/>
        <w:t xml:space="preserve">To elaborate, all parameters and discount rates need to be measured on a consistent basis. </w:t>
      </w:r>
      <w:r w:rsidR="00630745">
        <w:t>AusNet Services submit</w:t>
      </w:r>
      <w:r w:rsidR="00356933">
        <w:t>s</w:t>
      </w:r>
      <w:r w:rsidR="00630745">
        <w:t xml:space="preserve"> that its gamma estimate is based on the post personal tax and personal cost market value and this is consistent with the rules.</w:t>
      </w:r>
      <w:r w:rsidR="00630745">
        <w:rPr>
          <w:rStyle w:val="FootnoteReference"/>
        </w:rPr>
        <w:footnoteReference w:id="481"/>
      </w:r>
      <w:r w:rsidR="00630745">
        <w:t xml:space="preserve"> However, such an approach is incorrect as pre-personal tax/cost estimates cannot be used </w:t>
      </w:r>
      <w:r w:rsidR="00632C53">
        <w:t>in conjunction with</w:t>
      </w:r>
      <w:r w:rsidR="00630745">
        <w:t xml:space="preserve"> post personal tax/cost estimate</w:t>
      </w:r>
      <w:r w:rsidR="00632C53">
        <w:t>s</w:t>
      </w:r>
      <w:r w:rsidR="00630745">
        <w:t>. In a valuation all parameters need to be estimate on an internally consistent basis.</w:t>
      </w:r>
      <w:r w:rsidR="0059076A">
        <w:t xml:space="preserve"> </w:t>
      </w:r>
    </w:p>
    <w:p w:rsidR="002364FB" w:rsidRDefault="002364FB" w:rsidP="00630745">
      <w:pPr>
        <w:numPr>
          <w:ilvl w:val="0"/>
          <w:numId w:val="24"/>
        </w:numPr>
      </w:pPr>
      <w:r>
        <w:t xml:space="preserve">A valuation can be conducted on </w:t>
      </w:r>
      <w:r w:rsidR="00C54418">
        <w:t>many</w:t>
      </w:r>
      <w:r w:rsidR="003A6595">
        <w:t xml:space="preserve"> different </w:t>
      </w:r>
      <w:r w:rsidR="00C54418">
        <w:t>base</w:t>
      </w:r>
      <w:r>
        <w:t>s</w:t>
      </w:r>
      <w:r w:rsidR="003A6595">
        <w:t>,</w:t>
      </w:r>
      <w:r w:rsidR="0056734B">
        <w:t xml:space="preserve"> such as:</w:t>
      </w:r>
    </w:p>
    <w:p w:rsidR="00FF43DC" w:rsidRDefault="00FF43DC" w:rsidP="00D414CC">
      <w:pPr>
        <w:pStyle w:val="AERbulletlistfirststyle"/>
      </w:pPr>
      <w:r>
        <w:t>Nominal vs real</w:t>
      </w:r>
    </w:p>
    <w:p w:rsidR="00C6205E" w:rsidRDefault="002364FB" w:rsidP="00D414CC">
      <w:pPr>
        <w:pStyle w:val="AERbulletlistfirststyle"/>
      </w:pPr>
      <w:r>
        <w:t>Pre-company tax vs post-company tax</w:t>
      </w:r>
      <w:r w:rsidR="00BB4E44">
        <w:t>.</w:t>
      </w:r>
    </w:p>
    <w:p w:rsidR="00932CE6" w:rsidRDefault="003B39BF" w:rsidP="00E750F8">
      <w:r>
        <w:t>In accordance with the rules, w</w:t>
      </w:r>
      <w:r w:rsidR="00C6205E">
        <w:t xml:space="preserve">e </w:t>
      </w:r>
      <w:r>
        <w:t xml:space="preserve">set our cash flows </w:t>
      </w:r>
      <w:r w:rsidR="00C6205E">
        <w:t xml:space="preserve">on </w:t>
      </w:r>
      <w:r w:rsidR="005E594B">
        <w:t xml:space="preserve">a </w:t>
      </w:r>
      <w:r w:rsidR="00C6205E">
        <w:t xml:space="preserve">nominal post-company tax basis. </w:t>
      </w:r>
      <w:r w:rsidR="00932CE6">
        <w:t xml:space="preserve">That is, our regulatory framework we use to set cash flows is effectively a post-company tax valuation framework. </w:t>
      </w:r>
      <w:r>
        <w:t>A post company tax analysis looks at the cash flows after company tax is paid and before investors incur personal level taxes and transaction costs.</w:t>
      </w:r>
    </w:p>
    <w:p w:rsidR="00C6205E" w:rsidRDefault="00E72A4A" w:rsidP="00E750F8">
      <w:r>
        <w:t>However, j</w:t>
      </w:r>
      <w:r w:rsidR="009B4DFC">
        <w:t xml:space="preserve">ust because </w:t>
      </w:r>
      <w:r w:rsidR="00932CE6">
        <w:t>our framework</w:t>
      </w:r>
      <w:r w:rsidR="009B4DFC">
        <w:t xml:space="preserve"> is done </w:t>
      </w:r>
      <w:r w:rsidR="000E792B">
        <w:t xml:space="preserve">on </w:t>
      </w:r>
      <w:r w:rsidR="000A2DAD">
        <w:t xml:space="preserve">a </w:t>
      </w:r>
      <w:r w:rsidR="00932CE6">
        <w:t xml:space="preserve">post-company tax basis (before </w:t>
      </w:r>
      <w:r w:rsidR="000E792B">
        <w:t>personal cost</w:t>
      </w:r>
      <w:r w:rsidR="00932CE6">
        <w:t>s</w:t>
      </w:r>
      <w:r w:rsidR="000E792B">
        <w:t xml:space="preserve"> and personal tax</w:t>
      </w:r>
      <w:r w:rsidR="00932CE6">
        <w:t>es</w:t>
      </w:r>
      <w:r w:rsidR="000E792B">
        <w:t xml:space="preserve"> </w:t>
      </w:r>
      <w:r w:rsidR="00932CE6">
        <w:t xml:space="preserve">are incurred) </w:t>
      </w:r>
      <w:r w:rsidR="000E792B">
        <w:t xml:space="preserve">does not mean that investors are not compensated for </w:t>
      </w:r>
      <w:r w:rsidR="000A2DAD">
        <w:t xml:space="preserve">their </w:t>
      </w:r>
      <w:r w:rsidR="000E792B">
        <w:t xml:space="preserve">personal costs and personal taxes. Rather, </w:t>
      </w:r>
      <w:r w:rsidR="00932CE6">
        <w:t xml:space="preserve">post-company tax returns </w:t>
      </w:r>
      <w:r w:rsidR="008D09C3">
        <w:t xml:space="preserve">by definition </w:t>
      </w:r>
      <w:r w:rsidR="00932CE6">
        <w:t>provide</w:t>
      </w:r>
      <w:r w:rsidR="000E792B">
        <w:t xml:space="preserve"> investors adequate compensation to cover </w:t>
      </w:r>
      <w:r w:rsidR="00ED5BD3">
        <w:t xml:space="preserve">all their </w:t>
      </w:r>
      <w:r w:rsidR="00C54418">
        <w:t xml:space="preserve">expected </w:t>
      </w:r>
      <w:r w:rsidR="00ED5BD3">
        <w:t xml:space="preserve">personal </w:t>
      </w:r>
      <w:r w:rsidR="00C54418">
        <w:t>taxes</w:t>
      </w:r>
      <w:r w:rsidR="00ED5BD3">
        <w:t xml:space="preserve"> and personal costs.</w:t>
      </w:r>
      <w:r w:rsidR="008D09C3">
        <w:t xml:space="preserve"> In setting the WACC we provide </w:t>
      </w:r>
      <w:r w:rsidR="00B2397A">
        <w:t>a</w:t>
      </w:r>
      <w:r w:rsidR="008D09C3">
        <w:t>n equity</w:t>
      </w:r>
      <w:r w:rsidR="00B2397A">
        <w:t xml:space="preserve"> return in line with the post-tax return in the </w:t>
      </w:r>
      <w:r w:rsidR="008D09C3">
        <w:t xml:space="preserve">Australian stock </w:t>
      </w:r>
      <w:r w:rsidR="00B2397A">
        <w:t>market</w:t>
      </w:r>
      <w:r w:rsidR="008D09C3">
        <w:t xml:space="preserve"> (for a firm of equivalent risk</w:t>
      </w:r>
      <w:r w:rsidR="000A2DAD">
        <w:t xml:space="preserve"> to the BEE</w:t>
      </w:r>
      <w:r w:rsidR="008D09C3">
        <w:t>)</w:t>
      </w:r>
      <w:r w:rsidR="00B2397A">
        <w:t xml:space="preserve">. The ex-ante expected post-company tax return on the </w:t>
      </w:r>
      <w:r w:rsidR="008D09C3">
        <w:t xml:space="preserve">Australian </w:t>
      </w:r>
      <w:r w:rsidR="00B2397A">
        <w:t>stock market, directly estimated from historical stock returns, is before investors incur any personal costs or personal taxes. While we acknowledge that pre the introduction of</w:t>
      </w:r>
      <w:r w:rsidR="005E594B">
        <w:t xml:space="preserve"> the imputations credits in 1987</w:t>
      </w:r>
      <w:r w:rsidR="00B2397A">
        <w:t xml:space="preserve"> no incremental personal costs associated with imputation credits were reflected in stock prices, we have advice </w:t>
      </w:r>
      <w:r w:rsidR="008D09C3">
        <w:t xml:space="preserve">from Lally that </w:t>
      </w:r>
      <w:r w:rsidR="00B2397A">
        <w:t xml:space="preserve">these </w:t>
      </w:r>
      <w:r w:rsidR="008D09C3">
        <w:t xml:space="preserve">incremental costs </w:t>
      </w:r>
      <w:r w:rsidR="00B2397A">
        <w:t>are likely to be immaterial.</w:t>
      </w:r>
      <w:r w:rsidR="008D09C3">
        <w:rPr>
          <w:rStyle w:val="FootnoteReference"/>
        </w:rPr>
        <w:footnoteReference w:id="482"/>
      </w:r>
      <w:r w:rsidR="00B2397A">
        <w:t xml:space="preserve"> We also note that </w:t>
      </w:r>
      <w:r w:rsidR="008D09C3">
        <w:t xml:space="preserve">the </w:t>
      </w:r>
      <w:r w:rsidR="00B2397A">
        <w:t xml:space="preserve">observed </w:t>
      </w:r>
      <w:r w:rsidR="008D09C3">
        <w:t>market risk premium</w:t>
      </w:r>
      <w:r w:rsidR="005E594B">
        <w:t xml:space="preserve"> post 1987</w:t>
      </w:r>
      <w:r w:rsidR="00B2397A">
        <w:t xml:space="preserve"> </w:t>
      </w:r>
      <w:r w:rsidR="008D09C3">
        <w:t xml:space="preserve">is lower than earlier periods further supporting that no further compensation is required for </w:t>
      </w:r>
      <w:r w:rsidR="000A2DAD">
        <w:t xml:space="preserve">any (expected immaterial) </w:t>
      </w:r>
      <w:r w:rsidR="008D09C3">
        <w:t>costs not reflected in earlier periods.</w:t>
      </w:r>
      <w:r w:rsidR="008D09C3">
        <w:rPr>
          <w:rStyle w:val="FootnoteReference"/>
        </w:rPr>
        <w:footnoteReference w:id="483"/>
      </w:r>
    </w:p>
    <w:p w:rsidR="00CD67EE" w:rsidRDefault="00B2397A" w:rsidP="00E750F8">
      <w:pPr>
        <w:rPr>
          <w:rStyle w:val="AERbody"/>
        </w:rPr>
      </w:pPr>
      <w:r>
        <w:rPr>
          <w:rStyle w:val="AERbody"/>
        </w:rPr>
        <w:t>Consistent with the post-company tax framework in the rules, t</w:t>
      </w:r>
      <w:r w:rsidR="002F4C1F">
        <w:rPr>
          <w:rStyle w:val="AERbody"/>
        </w:rPr>
        <w:t xml:space="preserve">he AER values redeemed imputation credits at their full face value on a pre-personal cost/tax </w:t>
      </w:r>
      <w:r w:rsidR="005E594B">
        <w:rPr>
          <w:rStyle w:val="AERbody"/>
        </w:rPr>
        <w:t>basis</w:t>
      </w:r>
      <w:r w:rsidR="002F4C1F">
        <w:rPr>
          <w:rStyle w:val="AERbody"/>
        </w:rPr>
        <w:t>. To the extent investors value redeemed imputation credits at less than their face value due to personal cost, this will be picked up in the market value of the s</w:t>
      </w:r>
      <w:r w:rsidR="002C3B6E">
        <w:rPr>
          <w:rStyle w:val="AERbody"/>
        </w:rPr>
        <w:t xml:space="preserve">tock which drives the difference </w:t>
      </w:r>
      <w:r w:rsidR="002F4C1F">
        <w:rPr>
          <w:rStyle w:val="AERbody"/>
        </w:rPr>
        <w:t>between the pre and post personal cost return on equity.</w:t>
      </w:r>
      <w:r w:rsidR="0059076A">
        <w:rPr>
          <w:rStyle w:val="AERbody"/>
        </w:rPr>
        <w:t xml:space="preserve"> This is also supported by Lally </w:t>
      </w:r>
      <w:r w:rsidR="009B225F">
        <w:rPr>
          <w:rStyle w:val="AERbody"/>
        </w:rPr>
        <w:t>who</w:t>
      </w:r>
      <w:r w:rsidR="0059076A">
        <w:rPr>
          <w:rStyle w:val="AERbody"/>
        </w:rPr>
        <w:t xml:space="preserve"> </w:t>
      </w:r>
      <w:r w:rsidR="00632C53">
        <w:rPr>
          <w:rStyle w:val="AERbody"/>
        </w:rPr>
        <w:t>considers</w:t>
      </w:r>
      <w:r w:rsidR="0059076A">
        <w:rPr>
          <w:rStyle w:val="AERbody"/>
        </w:rPr>
        <w:t xml:space="preserve"> no adjustment is required to the MRP for transaction costs because empirical </w:t>
      </w:r>
      <w:r w:rsidR="0059076A">
        <w:rPr>
          <w:rStyle w:val="AERbody"/>
        </w:rPr>
        <w:lastRenderedPageBreak/>
        <w:t>estimates of the MRP will reflect the existence of any such costs.</w:t>
      </w:r>
      <w:r w:rsidR="0059076A">
        <w:rPr>
          <w:rStyle w:val="FootnoteReference"/>
        </w:rPr>
        <w:footnoteReference w:id="484"/>
      </w:r>
      <w:r w:rsidR="009B225F">
        <w:rPr>
          <w:rStyle w:val="AERbody"/>
        </w:rPr>
        <w:t xml:space="preserve"> Lally also notes that these costs will be expected to be immaterial.</w:t>
      </w:r>
      <w:r w:rsidR="009B225F">
        <w:rPr>
          <w:rStyle w:val="FootnoteReference"/>
        </w:rPr>
        <w:footnoteReference w:id="485"/>
      </w:r>
    </w:p>
    <w:p w:rsidR="00C52695" w:rsidRPr="00883125" w:rsidRDefault="0056734B" w:rsidP="00C52695">
      <w:pPr>
        <w:numPr>
          <w:ilvl w:val="0"/>
          <w:numId w:val="24"/>
        </w:numPr>
      </w:pPr>
      <w:r>
        <w:t>Second</w:t>
      </w:r>
      <w:r w:rsidR="00C52695" w:rsidRPr="00883125">
        <w:t>, we are not convinced that transactions costs are likely to dissuade a material number of investors from redeeming imputation credits. Our considerations on this are as follows:</w:t>
      </w:r>
    </w:p>
    <w:p w:rsidR="00C52695" w:rsidRPr="001D37D5" w:rsidRDefault="00C52695" w:rsidP="00C52695">
      <w:pPr>
        <w:pStyle w:val="AERbulletlistfirststyle"/>
      </w:pPr>
      <w:r w:rsidRPr="00883125">
        <w:t xml:space="preserve">When filling out a tax return, one is </w:t>
      </w:r>
      <w:r w:rsidRPr="001D37D5">
        <w:rPr>
          <w:rStyle w:val="AERtextitalic"/>
        </w:rPr>
        <w:t>required</w:t>
      </w:r>
      <w:r w:rsidRPr="001D37D5">
        <w:t xml:space="preserve"> to report the franked dividends received and the imputation credits that are eligible to be utilised.</w:t>
      </w:r>
      <w:r w:rsidRPr="001D37D5">
        <w:rPr>
          <w:rStyle w:val="FootnoteReference"/>
        </w:rPr>
        <w:footnoteReference w:id="486"/>
      </w:r>
    </w:p>
    <w:p w:rsidR="00C52695" w:rsidRPr="001D37D5" w:rsidRDefault="00C52695" w:rsidP="00C52695">
      <w:pPr>
        <w:pStyle w:val="AERbulletlistfirststyle"/>
      </w:pPr>
      <w:r w:rsidRPr="00883125">
        <w:t>Investors are already incurring the transactions costs associated with shareholding, and most would also be already incurring the transactions costs associated with completing a tax return. This applies particularly to professional organisations, such as charities and superannuation funds, which we expect would utilise all imputation credits as a matter of proper accounting. But we consider it true also of individual investors, particularly when innovations such as 'e-tax' and automatic pre-filling of tax returns would reduce any incremental costs if they exist.</w:t>
      </w:r>
      <w:r w:rsidRPr="001D37D5">
        <w:rPr>
          <w:rStyle w:val="FootnoteReference"/>
        </w:rPr>
        <w:footnoteReference w:id="487"/>
      </w:r>
    </w:p>
    <w:p w:rsidR="00C52695" w:rsidRPr="00883125" w:rsidRDefault="00C52695" w:rsidP="00C52695">
      <w:r w:rsidRPr="00883125">
        <w:t xml:space="preserve">As outlined in </w:t>
      </w:r>
      <w:r w:rsidRPr="00883125">
        <w:fldChar w:fldCharType="begin"/>
      </w:r>
      <w:r w:rsidRPr="00883125">
        <w:instrText xml:space="preserve"> REF _Ref450298425 \r \h </w:instrText>
      </w:r>
      <w:r w:rsidRPr="00883125">
        <w:fldChar w:fldCharType="separate"/>
      </w:r>
      <w:r w:rsidR="00812A72">
        <w:t>A.8.2</w:t>
      </w:r>
      <w:r w:rsidRPr="00883125">
        <w:fldChar w:fldCharType="end"/>
      </w:r>
      <w:r w:rsidRPr="00883125">
        <w:t>, we consider that we are estimating the value of imputation credits consistently with the other allowed rate of return parameters on a before personal taxes and personal costs basis. For all cost of equity components (capital gains and dividend income) and cost of debt components (capital gains and interest income) investors have to incur transaction costs in order to realise their returns. These transaction costs include brokerage fees and costs associated with filling in a tax return. Compensation for these costs is inconsistent with our post tax framework</w:t>
      </w:r>
      <w:r>
        <w:t>. O</w:t>
      </w:r>
      <w:r w:rsidRPr="00883125">
        <w:t xml:space="preserve">ur benchmarking of the required return on equity and the required return on debt </w:t>
      </w:r>
      <w:r>
        <w:t xml:space="preserve">is </w:t>
      </w:r>
      <w:r w:rsidRPr="00883125">
        <w:t>based on</w:t>
      </w:r>
      <w:r>
        <w:t xml:space="preserve"> a</w:t>
      </w:r>
      <w:r w:rsidRPr="00883125">
        <w:t xml:space="preserve"> post-</w:t>
      </w:r>
      <w:r>
        <w:t xml:space="preserve">company pre-personal </w:t>
      </w:r>
      <w:r w:rsidRPr="00883125">
        <w:t>tax returns before investor level transaction costs are incurred. We also consider any incremental costs associated with claiming imputation credits would be immaterial for the reasons outlined above.</w:t>
      </w:r>
    </w:p>
    <w:p w:rsidR="00C52695" w:rsidRDefault="00C52695" w:rsidP="00C52695">
      <w:r>
        <w:t>We</w:t>
      </w:r>
      <w:r w:rsidRPr="00883125">
        <w:t xml:space="preserve"> only compensate regulated businesses for the transaction cost incurred by regulated businesses via debt and equity raising costs. However, these costs are incurred at the company level and only require compensation so that the post company tax allowed return reflects the required post company tax return in the market. </w:t>
      </w:r>
      <w:r>
        <w:t>We do</w:t>
      </w:r>
      <w:r w:rsidRPr="00883125">
        <w:t xml:space="preserve"> not compensate regulated businesses for the costs incurred by investor in regulated businesses as all the allowed rate of return parameters and gamma are estimate on post company tax (pre-</w:t>
      </w:r>
      <w:r w:rsidRPr="00883125">
        <w:lastRenderedPageBreak/>
        <w:t xml:space="preserve">personal tax and pre personal cost) basis. If </w:t>
      </w:r>
      <w:r>
        <w:t>we</w:t>
      </w:r>
      <w:r w:rsidRPr="00883125">
        <w:t xml:space="preserve"> were to compensate regulated businesses for investors' transaction costs in addition to the post tax return we set</w:t>
      </w:r>
      <w:r>
        <w:t>,</w:t>
      </w:r>
      <w:r w:rsidRPr="00883125">
        <w:t xml:space="preserve"> it would result in </w:t>
      </w:r>
      <w:r>
        <w:t xml:space="preserve">an </w:t>
      </w:r>
      <w:r w:rsidRPr="00883125">
        <w:t>over compensation of the firms and their investors relative to the efficient return</w:t>
      </w:r>
      <w:r>
        <w:t>s</w:t>
      </w:r>
      <w:r w:rsidRPr="00883125">
        <w:t xml:space="preserve"> in the market. This would not be expected to lead to efficient investment, or to be in the long term interests of consumers.</w:t>
      </w:r>
    </w:p>
    <w:p w:rsidR="00AD7E20" w:rsidRDefault="00C52695" w:rsidP="00C52695">
      <w:r>
        <w:t>Lally considered that transaction costs associated with investors redeeming credits cannot be dealt with by reducing theta. Instead, if considered important (which Lally considers not to be the case) these transaction costs can only be addressed through an extension of the Officer model.</w:t>
      </w:r>
      <w:r>
        <w:rPr>
          <w:rStyle w:val="FootnoteReference"/>
        </w:rPr>
        <w:footnoteReference w:id="488"/>
      </w:r>
      <w:r>
        <w:t xml:space="preserve"> Given we use a beta estimate of 0.7 for regulated utilities, Lally considers that the possible transaction costs not compensated for is not a material issue because these costs are very small.</w:t>
      </w:r>
      <w:r>
        <w:rPr>
          <w:rStyle w:val="FootnoteReference"/>
        </w:rPr>
        <w:footnoteReference w:id="489"/>
      </w:r>
      <w:r>
        <w:t xml:space="preserve"> </w:t>
      </w:r>
      <w:r w:rsidR="00AD7E20">
        <w:t xml:space="preserve">In his </w:t>
      </w:r>
      <w:r w:rsidR="0068558A">
        <w:t xml:space="preserve">most </w:t>
      </w:r>
      <w:r w:rsidR="00AD7E20">
        <w:t>recent report</w:t>
      </w:r>
      <w:r w:rsidR="0068558A">
        <w:t xml:space="preserve"> for us</w:t>
      </w:r>
      <w:r w:rsidR="00AD7E20">
        <w:t>, Lally</w:t>
      </w:r>
      <w:r w:rsidR="005E594B">
        <w:t>,</w:t>
      </w:r>
      <w:r w:rsidR="00AD7E20">
        <w:t xml:space="preserve"> </w:t>
      </w:r>
      <w:r w:rsidR="0043564A">
        <w:t>while expressing the view personal costs could theoretically influence the results of a DDO</w:t>
      </w:r>
      <w:r w:rsidR="005E594B">
        <w:t xml:space="preserve"> study</w:t>
      </w:r>
      <w:r w:rsidR="0043564A">
        <w:t>,</w:t>
      </w:r>
      <w:r w:rsidR="00C56A93">
        <w:t xml:space="preserve"> </w:t>
      </w:r>
      <w:r w:rsidR="0043564A">
        <w:t>considers these costs would be immaterial</w:t>
      </w:r>
      <w:r w:rsidR="00AD7E20">
        <w:t>.</w:t>
      </w:r>
      <w:r w:rsidR="00AD7E20">
        <w:rPr>
          <w:rStyle w:val="FootnoteReference"/>
        </w:rPr>
        <w:footnoteReference w:id="490"/>
      </w:r>
    </w:p>
    <w:p w:rsidR="00C52695" w:rsidRPr="00883125" w:rsidRDefault="00C52695" w:rsidP="00C52695">
      <w:pPr>
        <w:rPr>
          <w:rStyle w:val="AERbody"/>
        </w:rPr>
      </w:pPr>
      <w:r w:rsidRPr="00883125">
        <w:rPr>
          <w:rStyle w:val="AERbody"/>
        </w:rPr>
        <w:t>Based on these considerations, we consider that in estimating the utilisation rate</w:t>
      </w:r>
      <w:r>
        <w:rPr>
          <w:rStyle w:val="AERbody"/>
        </w:rPr>
        <w:t>,</w:t>
      </w:r>
      <w:r w:rsidRPr="00883125">
        <w:rPr>
          <w:rStyle w:val="AERbody"/>
        </w:rPr>
        <w:t xml:space="preserve"> adjustments should not be made for transactions costs. And even if an adjustment </w:t>
      </w:r>
      <w:r>
        <w:rPr>
          <w:rStyle w:val="AERbody"/>
        </w:rPr>
        <w:t>was</w:t>
      </w:r>
      <w:r w:rsidRPr="00883125">
        <w:rPr>
          <w:rStyle w:val="AERbody"/>
        </w:rPr>
        <w:t xml:space="preserve"> to be made, it would likely have an immaterial effect on the utilisation rate. </w:t>
      </w:r>
    </w:p>
    <w:p w:rsidR="00C52695" w:rsidRPr="00E750F8" w:rsidRDefault="00C52695" w:rsidP="007F6EED">
      <w:pPr>
        <w:pStyle w:val="HeadingBoldItalic"/>
        <w:rPr>
          <w:rStyle w:val="AERbody"/>
          <w:color w:val="70635A" w:themeColor="text2"/>
          <w:sz w:val="28"/>
        </w:rPr>
      </w:pPr>
      <w:bookmarkStart w:id="288" w:name="_Toc456614316"/>
      <w:bookmarkStart w:id="289" w:name="_Toc481056696"/>
      <w:bookmarkStart w:id="290" w:name="_Toc481061490"/>
      <w:r w:rsidRPr="007A4EAF">
        <w:rPr>
          <w:rStyle w:val="AERbody"/>
          <w:color w:val="70635A" w:themeColor="text2"/>
          <w:sz w:val="28"/>
        </w:rPr>
        <w:t>Time value of money</w:t>
      </w:r>
      <w:bookmarkEnd w:id="288"/>
      <w:bookmarkEnd w:id="289"/>
      <w:bookmarkEnd w:id="290"/>
    </w:p>
    <w:p w:rsidR="00C52695" w:rsidRPr="00883125" w:rsidRDefault="00C52695" w:rsidP="00C52695">
      <w:pPr>
        <w:numPr>
          <w:ilvl w:val="0"/>
          <w:numId w:val="24"/>
        </w:numPr>
      </w:pPr>
      <w:r w:rsidRPr="00883125">
        <w:t>Service providers submitted that the delay between the distribution of an imputation credit and the time at which it is redeemed may be expected to reduce an investor's valuation of the credit.</w:t>
      </w:r>
      <w:r w:rsidRPr="00883125">
        <w:rPr>
          <w:rStyle w:val="FootnoteReference"/>
        </w:rPr>
        <w:footnoteReference w:id="491"/>
      </w:r>
      <w:r w:rsidRPr="00883125">
        <w:t xml:space="preserve"> In response, we note that:</w:t>
      </w:r>
    </w:p>
    <w:p w:rsidR="00C52695" w:rsidRPr="00883125" w:rsidRDefault="00C52695" w:rsidP="00C52695">
      <w:pPr>
        <w:pStyle w:val="AERbulletlistfirststyle"/>
      </w:pPr>
      <w:r w:rsidRPr="00883125">
        <w:t>We are unaware of any evidence that indicates the average size of this time delay across all investors.</w:t>
      </w:r>
    </w:p>
    <w:p w:rsidR="00C52695" w:rsidRPr="001D37D5" w:rsidRDefault="00C52695" w:rsidP="00C52695">
      <w:pPr>
        <w:pStyle w:val="AERbulletlistfirststyle"/>
      </w:pPr>
      <w:r w:rsidRPr="00883125">
        <w:t xml:space="preserve">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Current interest rates on two year Commonwealth </w:t>
      </w:r>
      <w:r w:rsidRPr="00883125">
        <w:lastRenderedPageBreak/>
        <w:t>Government bonds suggest that the appropriate discount rate would be likely less than 2 per cent. Therefore, the magnitude of the adjustment would be quite small. Handley agreed with the immateriality of any required adjustment for time delay.</w:t>
      </w:r>
      <w:r w:rsidRPr="001D37D5">
        <w:rPr>
          <w:rStyle w:val="FootnoteReference"/>
        </w:rPr>
        <w:footnoteReference w:id="492"/>
      </w:r>
    </w:p>
    <w:p w:rsidR="00C52695" w:rsidRDefault="00C52695" w:rsidP="00C52695">
      <w:pPr>
        <w:numPr>
          <w:ilvl w:val="0"/>
          <w:numId w:val="24"/>
        </w:numPr>
      </w:pPr>
      <w:r w:rsidRPr="00883125">
        <w:t>Based on these considerations, we conclude that it is reasonable to not adjust any of our estimates of the utilisation rate for the time value of money where this effect is not already accounted for.</w:t>
      </w:r>
    </w:p>
    <w:p w:rsidR="00C52695" w:rsidRPr="00883125" w:rsidRDefault="00C52695" w:rsidP="007F6EED">
      <w:pPr>
        <w:pStyle w:val="HeadingBoldItalic"/>
      </w:pPr>
      <w:bookmarkStart w:id="291" w:name="_Toc456614317"/>
      <w:bookmarkStart w:id="292" w:name="_Toc481056697"/>
      <w:bookmarkStart w:id="293" w:name="_Toc481061491"/>
      <w:r w:rsidRPr="00883125">
        <w:t>Portfolio effects</w:t>
      </w:r>
      <w:bookmarkEnd w:id="291"/>
      <w:bookmarkEnd w:id="292"/>
      <w:bookmarkEnd w:id="293"/>
    </w:p>
    <w:p w:rsidR="00C52695" w:rsidRDefault="00C52695" w:rsidP="00C52695">
      <w:r w:rsidRPr="00883125">
        <w:t>Service providers submit that investors may shift their portfolio away from the optimal portfolio towards a more local portfolio in order to utilise more imputation credits.</w:t>
      </w:r>
      <w:r w:rsidRPr="00883125">
        <w:rPr>
          <w:rStyle w:val="FootnoteReference"/>
        </w:rPr>
        <w:footnoteReference w:id="493"/>
      </w:r>
      <w:r w:rsidRPr="00883125">
        <w:t xml:space="preserve"> It is submitted that to the extent than an investor reduces the value of their overall portfolio simply to increase their redemption of imputation credits, this loss in value will be reflected in a lower valuation of imputation credits. Gray's report (for SFG) to the service providers on this topic referred to the 'cost of losing diversification'.</w:t>
      </w:r>
      <w:r w:rsidRPr="00883125">
        <w:rPr>
          <w:rStyle w:val="FootnoteReference"/>
        </w:rPr>
        <w:footnoteReference w:id="494"/>
      </w:r>
      <w:r w:rsidRPr="00883125">
        <w:t xml:space="preserve"> However, as discussed in section </w:t>
      </w:r>
      <w:r w:rsidRPr="00883125">
        <w:fldChar w:fldCharType="begin"/>
      </w:r>
      <w:r w:rsidRPr="00883125">
        <w:instrText xml:space="preserve"> REF _Ref401748758 \r \h </w:instrText>
      </w:r>
      <w:r w:rsidRPr="00883125">
        <w:fldChar w:fldCharType="separate"/>
      </w:r>
      <w:r w:rsidR="00812A72">
        <w:t>A.8.1</w:t>
      </w:r>
      <w:r w:rsidRPr="00883125">
        <w:fldChar w:fldCharType="end"/>
      </w:r>
      <w:r w:rsidRPr="00883125">
        <w:t xml:space="preserve">, Handley advised that our estimate of the utilisation rate should exclude 'diversification costs'. More specifically, we do not agree that portfolio effects would mean that a dollar of imputation credits in the hands of an eligible investor would be worth less than one dollar to that investor on a </w:t>
      </w:r>
      <w:r>
        <w:t xml:space="preserve">post-company </w:t>
      </w:r>
      <w:r w:rsidRPr="00883125">
        <w:t>pre-personal-tax and pre-personal-costs basis. We made this point in our prior decisions and the service providers and their consultants have not commented on it. We consider that it is reasonable to not adjust any of our estimates of the utilisation rate for portfolio effects.</w:t>
      </w:r>
    </w:p>
    <w:p w:rsidR="0056734B" w:rsidRDefault="006C032A" w:rsidP="0056734B">
      <w:r>
        <w:t>The SAPN Tribunal considered that it was unclear whether portfolio effects would have an impact on the value of imputation credits:</w:t>
      </w:r>
      <w:r>
        <w:rPr>
          <w:rStyle w:val="FootnoteReference"/>
        </w:rPr>
        <w:footnoteReference w:id="495"/>
      </w:r>
    </w:p>
    <w:p w:rsidR="006C032A" w:rsidRPr="00883125" w:rsidRDefault="006C032A" w:rsidP="00E750F8">
      <w:pPr>
        <w:pStyle w:val="AERquote"/>
      </w:pPr>
      <w:r w:rsidRPr="006C032A">
        <w:t>Given that there is a well-documented “home-bias” in investor portfolios (found internationally generally regardless of tax systems), implying incomplete diversification benefits, the extent to which this is an additional factor of significant materiality is unclear.</w:t>
      </w:r>
    </w:p>
    <w:p w:rsidR="00C52695" w:rsidRPr="00883125" w:rsidRDefault="00C52695" w:rsidP="007F6EED">
      <w:pPr>
        <w:pStyle w:val="HeadingBoldItalic"/>
      </w:pPr>
      <w:bookmarkStart w:id="294" w:name="_Toc456614318"/>
      <w:bookmarkStart w:id="295" w:name="_Toc481056698"/>
      <w:bookmarkStart w:id="296" w:name="_Toc481061492"/>
      <w:r w:rsidRPr="00883125">
        <w:lastRenderedPageBreak/>
        <w:t>The 'illustrative impact' of these factors</w:t>
      </w:r>
      <w:bookmarkEnd w:id="294"/>
      <w:bookmarkEnd w:id="295"/>
      <w:bookmarkEnd w:id="296"/>
    </w:p>
    <w:p w:rsidR="00C52695" w:rsidRPr="00883125" w:rsidRDefault="00C52695" w:rsidP="00C52695">
      <w:r w:rsidRPr="00883125">
        <w:t>Service providers submitted that, because of the factors set out above, our implied point estimates of the utilisation rate are 'well above any possible measure of the value of distributed imputation credits'.</w:t>
      </w:r>
      <w:r w:rsidRPr="00883125">
        <w:rPr>
          <w:rStyle w:val="FootnoteReference"/>
        </w:rPr>
        <w:footnoteReference w:id="496"/>
      </w:r>
      <w:r w:rsidRPr="00883125">
        <w:t xml:space="preserve"> In support of this, a number of service providers presented </w:t>
      </w:r>
      <w:r w:rsidRPr="00883125">
        <w:fldChar w:fldCharType="begin"/>
      </w:r>
      <w:r w:rsidRPr="00883125">
        <w:instrText xml:space="preserve"> REF  _Ref415078600 \* Lower \h </w:instrText>
      </w:r>
      <w:r w:rsidRPr="00883125">
        <w:fldChar w:fldCharType="separate"/>
      </w:r>
      <w:r w:rsidR="00812A72" w:rsidRPr="00883125">
        <w:t xml:space="preserve">figure </w:t>
      </w:r>
      <w:r w:rsidR="00812A72">
        <w:rPr>
          <w:noProof/>
        </w:rPr>
        <w:t>4</w:t>
      </w:r>
      <w:r w:rsidR="00812A72" w:rsidRPr="00883125">
        <w:t>.</w:t>
      </w:r>
      <w:r w:rsidR="00812A72">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812A72" w:rsidRPr="00883125">
        <w:t xml:space="preserve">figure </w:t>
      </w:r>
      <w:r w:rsidR="00812A72">
        <w:rPr>
          <w:noProof/>
        </w:rPr>
        <w:t>4</w:t>
      </w:r>
      <w:r w:rsidR="00812A72" w:rsidRPr="00883125">
        <w:t>.</w:t>
      </w:r>
      <w:r w:rsidR="00812A72">
        <w:rPr>
          <w:noProof/>
        </w:rPr>
        <w:t>2</w:t>
      </w:r>
      <w:r w:rsidRPr="00883125">
        <w:fldChar w:fldCharType="end"/>
      </w:r>
      <w:r w:rsidRPr="00883125">
        <w:t xml:space="preserve">. </w:t>
      </w:r>
    </w:p>
    <w:p w:rsidR="00C52695" w:rsidRPr="00883125" w:rsidRDefault="00C52695" w:rsidP="00C52695">
      <w:pPr>
        <w:pStyle w:val="Caption"/>
      </w:pPr>
      <w:bookmarkStart w:id="297" w:name="_Ref415078600"/>
      <w:r w:rsidRPr="00883125">
        <w:t xml:space="preserve">Figure </w:t>
      </w:r>
      <w:r w:rsidRPr="00B27BE5">
        <w:fldChar w:fldCharType="begin"/>
      </w:r>
      <w:r>
        <w:instrText xml:space="preserve"> STYLEREF 1 \s </w:instrText>
      </w:r>
      <w:r w:rsidRPr="00B27BE5">
        <w:fldChar w:fldCharType="separate"/>
      </w:r>
      <w:r w:rsidR="00812A72">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812A72">
        <w:rPr>
          <w:noProof/>
        </w:rPr>
        <w:t>1</w:t>
      </w:r>
      <w:r w:rsidRPr="00B27BE5">
        <w:fldChar w:fldCharType="end"/>
      </w:r>
      <w:bookmarkEnd w:id="297"/>
      <w:r w:rsidRPr="00883125">
        <w:tab/>
        <w:t>Illustrative impact on value of imputation credits – listed equity</w:t>
      </w:r>
    </w:p>
    <w:p w:rsidR="00C52695" w:rsidRPr="00883125" w:rsidRDefault="00C52695" w:rsidP="00C52695">
      <w:r w:rsidRPr="00C52695">
        <w:rPr>
          <w:noProof/>
          <w:lang w:eastAsia="en-AU"/>
        </w:rPr>
        <w:drawing>
          <wp:inline distT="0" distB="0" distL="0" distR="0" wp14:anchorId="7239041C" wp14:editId="105F9C1D">
            <wp:extent cx="5328000" cy="3474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8000" cy="3474000"/>
                    </a:xfrm>
                    <a:prstGeom prst="rect">
                      <a:avLst/>
                    </a:prstGeom>
                    <a:noFill/>
                    <a:ln>
                      <a:noFill/>
                    </a:ln>
                  </pic:spPr>
                </pic:pic>
              </a:graphicData>
            </a:graphic>
          </wp:inline>
        </w:drawing>
      </w:r>
    </w:p>
    <w:p w:rsidR="00C52695" w:rsidRPr="00883125" w:rsidRDefault="00C52695" w:rsidP="00C52695">
      <w:pPr>
        <w:pStyle w:val="AERtablesource"/>
      </w:pPr>
      <w:r w:rsidRPr="00883125">
        <w:t>Source:</w:t>
      </w:r>
      <w:r w:rsidRPr="00883125">
        <w:tab/>
      </w:r>
      <w:r w:rsidRPr="00B9466C">
        <w:t xml:space="preserve">Ausgrid, </w:t>
      </w:r>
      <w:r w:rsidRPr="00CD376D">
        <w:rPr>
          <w:rStyle w:val="AERtextitalic"/>
        </w:rPr>
        <w:t>Attachment 7.07 Ausgrid's revised proposal on gamma</w:t>
      </w:r>
      <w:r w:rsidRPr="00B9466C">
        <w:t>, January 2015, p. 16</w:t>
      </w:r>
      <w:r>
        <w:t>.</w:t>
      </w:r>
    </w:p>
    <w:p w:rsidR="00C52695" w:rsidRPr="00883125" w:rsidRDefault="00C52695" w:rsidP="00C52695">
      <w:pPr>
        <w:pStyle w:val="Caption"/>
      </w:pPr>
      <w:bookmarkStart w:id="298" w:name="_Ref415078618"/>
      <w:r w:rsidRPr="00883125">
        <w:lastRenderedPageBreak/>
        <w:t xml:space="preserve">Figure </w:t>
      </w:r>
      <w:r w:rsidRPr="00B27BE5">
        <w:fldChar w:fldCharType="begin"/>
      </w:r>
      <w:r>
        <w:instrText xml:space="preserve"> STYLEREF 1 \s </w:instrText>
      </w:r>
      <w:r w:rsidRPr="00B27BE5">
        <w:fldChar w:fldCharType="separate"/>
      </w:r>
      <w:r w:rsidR="00812A72">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812A72">
        <w:rPr>
          <w:noProof/>
        </w:rPr>
        <w:t>2</w:t>
      </w:r>
      <w:r w:rsidRPr="00B27BE5">
        <w:fldChar w:fldCharType="end"/>
      </w:r>
      <w:bookmarkEnd w:id="298"/>
      <w:r w:rsidRPr="00883125">
        <w:tab/>
        <w:t>Illustrative impact on value of imputation credits – all equity</w:t>
      </w:r>
    </w:p>
    <w:p w:rsidR="00C52695" w:rsidRPr="00883125" w:rsidRDefault="00C52695" w:rsidP="00C52695">
      <w:r w:rsidRPr="00C52695">
        <w:rPr>
          <w:noProof/>
          <w:lang w:eastAsia="en-AU"/>
        </w:rPr>
        <w:drawing>
          <wp:inline distT="0" distB="0" distL="0" distR="0" wp14:anchorId="3EF4B444" wp14:editId="4CB4633A">
            <wp:extent cx="5328000" cy="347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C52695" w:rsidRPr="00883125" w:rsidRDefault="00C52695" w:rsidP="00C52695">
      <w:pPr>
        <w:pStyle w:val="AERtablesource"/>
      </w:pPr>
      <w:r w:rsidRPr="00883125">
        <w:t>Source:</w:t>
      </w:r>
      <w:r w:rsidRPr="00883125">
        <w:tab/>
      </w:r>
      <w:r w:rsidRPr="00B9466C">
        <w:t xml:space="preserve">Ausgrid, </w:t>
      </w:r>
      <w:r w:rsidRPr="00CD376D">
        <w:rPr>
          <w:rStyle w:val="AERtextitalic"/>
        </w:rPr>
        <w:t>Attachment 7.07 Ausgrid's revised proposal on gamma</w:t>
      </w:r>
      <w:r w:rsidRPr="00B9466C">
        <w:t>, January 2015, p. 1</w:t>
      </w:r>
      <w:r>
        <w:t>7</w:t>
      </w:r>
      <w:r w:rsidRPr="00B9466C">
        <w:t>.</w:t>
      </w:r>
    </w:p>
    <w:p w:rsidR="00C52695" w:rsidRPr="00883125" w:rsidRDefault="00C52695" w:rsidP="00C52695">
      <w:r w:rsidRPr="00883125">
        <w:t>As already discussed, there is disagreement between the service providers and us on whether the utilisation rate (and therefore the value of imputation credits) should be estimated on a basis that is 'before' or 'after' the taxes and costs incurred by investors. The service providers consider that the value of imputation credits should be estimated 'after' these factors. Given these factors can only result in the diminution of the value of credits, it follows that the service providers' preferred estimate of the value of imputation credits will be no higher than that estimated on a before-personal-tax and before-personal-costs basis.</w:t>
      </w:r>
    </w:p>
    <w:p w:rsidR="00C52695" w:rsidRPr="00883125" w:rsidRDefault="00C52695" w:rsidP="00C52695">
      <w:r w:rsidRPr="00883125">
        <w:t xml:space="preserve">This notwithstanding, we consider that there are a number of problems with </w:t>
      </w:r>
      <w:r w:rsidRPr="00883125">
        <w:fldChar w:fldCharType="begin"/>
      </w:r>
      <w:r w:rsidRPr="00883125">
        <w:instrText xml:space="preserve"> REF  _Ref415078600 \* Lower \h </w:instrText>
      </w:r>
      <w:r w:rsidRPr="00883125">
        <w:fldChar w:fldCharType="separate"/>
      </w:r>
      <w:r w:rsidR="00812A72" w:rsidRPr="00883125">
        <w:t xml:space="preserve">figure </w:t>
      </w:r>
      <w:r w:rsidR="00812A72">
        <w:rPr>
          <w:noProof/>
        </w:rPr>
        <w:t>4</w:t>
      </w:r>
      <w:r w:rsidR="00812A72" w:rsidRPr="00883125">
        <w:t>.</w:t>
      </w:r>
      <w:r w:rsidR="00812A72">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812A72" w:rsidRPr="00883125">
        <w:t xml:space="preserve">figure </w:t>
      </w:r>
      <w:r w:rsidR="00812A72">
        <w:rPr>
          <w:noProof/>
        </w:rPr>
        <w:t>4</w:t>
      </w:r>
      <w:r w:rsidR="00812A72" w:rsidRPr="00883125">
        <w:t>.</w:t>
      </w:r>
      <w:r w:rsidR="00812A72">
        <w:rPr>
          <w:noProof/>
        </w:rPr>
        <w:t>2</w:t>
      </w:r>
      <w:r w:rsidRPr="00883125">
        <w:fldChar w:fldCharType="end"/>
      </w:r>
      <w:r w:rsidRPr="00883125">
        <w:t>. Moreover, the figures suggest that the value of distributed credits on which the service providers rely is likely understated relative to the (after-personal-tax and after-personal-costs) value to investors in all equity.</w:t>
      </w:r>
    </w:p>
    <w:p w:rsidR="00C52695" w:rsidRPr="00883125" w:rsidRDefault="00C52695" w:rsidP="00C52695">
      <w:pPr>
        <w:pStyle w:val="HeadingBoldItalic"/>
      </w:pPr>
      <w:bookmarkStart w:id="299" w:name="_Toc456614319"/>
      <w:bookmarkStart w:id="300" w:name="_Toc481056699"/>
      <w:bookmarkStart w:id="301" w:name="_Toc481061493"/>
      <w:r w:rsidRPr="00883125">
        <w:t>The relevant equity ownership share</w:t>
      </w:r>
      <w:bookmarkEnd w:id="299"/>
      <w:bookmarkEnd w:id="300"/>
      <w:bookmarkEnd w:id="301"/>
    </w:p>
    <w:p w:rsidR="00C52695" w:rsidRPr="00883125" w:rsidRDefault="00C52695" w:rsidP="00C52695">
      <w:r w:rsidRPr="00883125">
        <w:t xml:space="preserve">The key difference between the figures is that in </w:t>
      </w:r>
      <w:r w:rsidRPr="00883125">
        <w:fldChar w:fldCharType="begin"/>
      </w:r>
      <w:r w:rsidRPr="00883125">
        <w:instrText xml:space="preserve"> REF  _Ref415078600 \* Lower \h </w:instrText>
      </w:r>
      <w:r w:rsidRPr="00883125">
        <w:fldChar w:fldCharType="separate"/>
      </w:r>
      <w:r w:rsidR="00812A72" w:rsidRPr="00883125">
        <w:t xml:space="preserve">figure </w:t>
      </w:r>
      <w:r w:rsidR="00812A72">
        <w:rPr>
          <w:noProof/>
        </w:rPr>
        <w:t>4</w:t>
      </w:r>
      <w:r w:rsidR="00812A72" w:rsidRPr="00883125">
        <w:t>.</w:t>
      </w:r>
      <w:r w:rsidR="00812A72">
        <w:rPr>
          <w:noProof/>
        </w:rPr>
        <w:t>1</w:t>
      </w:r>
      <w:r w:rsidRPr="00883125">
        <w:fldChar w:fldCharType="end"/>
      </w:r>
      <w:r w:rsidRPr="00883125">
        <w:t xml:space="preserve"> the SFG estimate of the value of distributed credits is ultimately compared to the refined share of foreign ownership of listed equity, and in </w:t>
      </w:r>
      <w:r w:rsidRPr="00883125">
        <w:fldChar w:fldCharType="begin"/>
      </w:r>
      <w:r w:rsidRPr="00883125">
        <w:instrText xml:space="preserve"> REF  _Ref415078618 \* Lower \h </w:instrText>
      </w:r>
      <w:r w:rsidRPr="00883125">
        <w:fldChar w:fldCharType="separate"/>
      </w:r>
      <w:r w:rsidR="00812A72" w:rsidRPr="00883125">
        <w:t xml:space="preserve">figure </w:t>
      </w:r>
      <w:r w:rsidR="00812A72">
        <w:rPr>
          <w:noProof/>
        </w:rPr>
        <w:t>4</w:t>
      </w:r>
      <w:r w:rsidR="00812A72" w:rsidRPr="00883125">
        <w:t>.</w:t>
      </w:r>
      <w:r w:rsidR="00812A72">
        <w:rPr>
          <w:noProof/>
        </w:rPr>
        <w:t>2</w:t>
      </w:r>
      <w:r w:rsidRPr="00883125">
        <w:fldChar w:fldCharType="end"/>
      </w:r>
      <w:r w:rsidRPr="00883125">
        <w:t xml:space="preserve"> the comparison is made with the refined share of foreign ownership </w:t>
      </w:r>
      <w:r w:rsidRPr="00883125">
        <w:lastRenderedPageBreak/>
        <w:t>in all equity. However, Gray (for SFG) indicated that if the value of distributed credits is estimated via a 'market value approach' (such as SFG's dividend drop off study), then the estimate will represent 'an average across all listed firms'.</w:t>
      </w:r>
      <w:r w:rsidRPr="00883125">
        <w:rPr>
          <w:rStyle w:val="FootnoteReference"/>
        </w:rPr>
        <w:footnoteReference w:id="497"/>
      </w:r>
      <w:r w:rsidRPr="00883125">
        <w:t xml:space="preserve"> Accordingly, the relevant foreign ownership share is that of listed equity, and it would be internally inconsistent to compare the SFG estimate of the value of distributed credits with the foreign ownership share of all equity (as the service providers have done in </w:t>
      </w:r>
      <w:r w:rsidRPr="00883125">
        <w:fldChar w:fldCharType="begin"/>
      </w:r>
      <w:r w:rsidRPr="00883125">
        <w:instrText xml:space="preserve"> REF  _Ref415078618 \* Lower \h </w:instrText>
      </w:r>
      <w:r w:rsidRPr="00883125">
        <w:fldChar w:fldCharType="separate"/>
      </w:r>
      <w:r w:rsidR="00812A72" w:rsidRPr="00883125">
        <w:t xml:space="preserve">figure </w:t>
      </w:r>
      <w:r w:rsidR="00812A72">
        <w:rPr>
          <w:noProof/>
        </w:rPr>
        <w:t>4</w:t>
      </w:r>
      <w:r w:rsidR="00812A72" w:rsidRPr="00883125">
        <w:t>.</w:t>
      </w:r>
      <w:r w:rsidR="00812A72">
        <w:rPr>
          <w:noProof/>
        </w:rPr>
        <w:t>2</w:t>
      </w:r>
      <w:r w:rsidRPr="00883125">
        <w:fldChar w:fldCharType="end"/>
      </w:r>
      <w:r w:rsidRPr="00883125">
        <w:t>).</w:t>
      </w:r>
    </w:p>
    <w:p w:rsidR="00C52695" w:rsidRPr="00883125" w:rsidRDefault="00C52695" w:rsidP="00C52695">
      <w:r w:rsidRPr="00883125">
        <w:t>It also seems that the SFG estimate of the value of distributed credits reflects the average value over the sample period of the data used by SFG: July 2001 to October 2012. If so, this estimate should be compared with the average, refined foreign ownership share of listed equity over a similar period (June 2001 to December 2012). This is equal to 0.51.</w:t>
      </w:r>
    </w:p>
    <w:p w:rsidR="00C52695" w:rsidRPr="00883125" w:rsidRDefault="00C52695" w:rsidP="00C52695">
      <w:pPr>
        <w:pStyle w:val="HeadingBoldItalic"/>
      </w:pPr>
      <w:bookmarkStart w:id="302" w:name="_Toc456614320"/>
      <w:bookmarkStart w:id="303" w:name="_Toc481056700"/>
      <w:bookmarkStart w:id="304" w:name="_Toc481061494"/>
      <w:r w:rsidRPr="00883125">
        <w:t>Implications for the value of distributed credits across investors in all equity</w:t>
      </w:r>
      <w:bookmarkEnd w:id="302"/>
      <w:bookmarkEnd w:id="303"/>
      <w:bookmarkEnd w:id="304"/>
    </w:p>
    <w:p w:rsidR="00C52695" w:rsidRPr="00883125" w:rsidRDefault="00C52695" w:rsidP="00C52695">
      <w:r w:rsidRPr="00883125">
        <w:t xml:space="preserve">Although we have above identified the inconsistency in comparing SFG's dividend drop off estimate of the value of distributed credits to the foreign ownership share of all equity, </w:t>
      </w:r>
      <w:r w:rsidRPr="00883125">
        <w:fldChar w:fldCharType="begin"/>
      </w:r>
      <w:r w:rsidRPr="00883125">
        <w:instrText xml:space="preserve"> REF  _Ref415078600 \* Lower \h </w:instrText>
      </w:r>
      <w:r w:rsidRPr="00883125">
        <w:fldChar w:fldCharType="separate"/>
      </w:r>
      <w:r w:rsidR="00812A72" w:rsidRPr="00883125">
        <w:t xml:space="preserve">figure </w:t>
      </w:r>
      <w:r w:rsidR="00812A72">
        <w:rPr>
          <w:noProof/>
        </w:rPr>
        <w:t>4</w:t>
      </w:r>
      <w:r w:rsidR="00812A72" w:rsidRPr="00883125">
        <w:t>.</w:t>
      </w:r>
      <w:r w:rsidR="00812A72">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812A72" w:rsidRPr="00883125">
        <w:t xml:space="preserve">figure </w:t>
      </w:r>
      <w:r w:rsidR="00812A72">
        <w:rPr>
          <w:noProof/>
        </w:rPr>
        <w:t>4</w:t>
      </w:r>
      <w:r w:rsidR="00812A72" w:rsidRPr="00883125">
        <w:t>.</w:t>
      </w:r>
      <w:r w:rsidR="00812A72">
        <w:rPr>
          <w:noProof/>
        </w:rPr>
        <w:t>2</w:t>
      </w:r>
      <w:r w:rsidRPr="00883125">
        <w:fldChar w:fldCharType="end"/>
      </w:r>
      <w:r w:rsidRPr="00883125">
        <w:t xml:space="preserve"> appear to be intended to indicate that the presence of foreign investors is a relevant source of the diminution of the market-wide value of distributed credits. This suggests that, all else held equal, an implied market value study conducted over all equity might produce a higher estimate of the value of distributed credits. This would be because the foreign ownership share of all equity is lower. </w:t>
      </w:r>
    </w:p>
    <w:p w:rsidR="00C52695" w:rsidRPr="00883125" w:rsidRDefault="00C52695" w:rsidP="00C52695">
      <w:r w:rsidRPr="00883125">
        <w:t xml:space="preserve">Using the relevant estimate of the foreign equity ownership share discussed above, the logic of </w:t>
      </w:r>
      <w:r w:rsidRPr="00883125">
        <w:fldChar w:fldCharType="begin"/>
      </w:r>
      <w:r w:rsidRPr="00883125">
        <w:instrText xml:space="preserve"> REF  _Ref415078600 \* Lower \h </w:instrText>
      </w:r>
      <w:r w:rsidRPr="00883125">
        <w:fldChar w:fldCharType="separate"/>
      </w:r>
      <w:r w:rsidR="00812A72" w:rsidRPr="00883125">
        <w:t xml:space="preserve">figure </w:t>
      </w:r>
      <w:r w:rsidR="00812A72">
        <w:rPr>
          <w:noProof/>
        </w:rPr>
        <w:t>4</w:t>
      </w:r>
      <w:r w:rsidR="00812A72" w:rsidRPr="00883125">
        <w:t>.</w:t>
      </w:r>
      <w:r w:rsidR="00812A72">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812A72" w:rsidRPr="00883125">
        <w:t xml:space="preserve">figure </w:t>
      </w:r>
      <w:r w:rsidR="00812A72">
        <w:rPr>
          <w:noProof/>
        </w:rPr>
        <w:t>4</w:t>
      </w:r>
      <w:r w:rsidR="00812A72" w:rsidRPr="00883125">
        <w:t>.</w:t>
      </w:r>
      <w:r w:rsidR="00812A72">
        <w:rPr>
          <w:noProof/>
        </w:rPr>
        <w:t>2</w:t>
      </w:r>
      <w:r w:rsidRPr="00883125">
        <w:fldChar w:fldCharType="end"/>
      </w:r>
      <w:r w:rsidRPr="00883125">
        <w:t xml:space="preserve"> indicates that SFG's estimate of the value of distributed credits (0.35) represents the diminution of the face value of distributed credits by 51 per cent due to the presence of foreign investors and by (1 - 0.35 - 0.51 =) 14 per cent due to other factors (including differential personal taxes and risk). If the combined diminution due to these other factors is the same for investors in all equity, then the logic of the figures indicates that the value of distributed credits across investors in all equity might be (1 - 0.14 - 0.39 =) 0.47.</w:t>
      </w:r>
      <w:r w:rsidRPr="00883125">
        <w:rPr>
          <w:rStyle w:val="FootnoteReference"/>
        </w:rPr>
        <w:footnoteReference w:id="498"/>
      </w:r>
    </w:p>
    <w:p w:rsidR="00C52695" w:rsidRPr="00883125" w:rsidRDefault="00C52695" w:rsidP="00C52695">
      <w:pPr>
        <w:pStyle w:val="HeadingBoldItalic"/>
      </w:pPr>
      <w:bookmarkStart w:id="305" w:name="_Toc456614321"/>
      <w:bookmarkStart w:id="306" w:name="_Toc481056701"/>
      <w:bookmarkStart w:id="307" w:name="_Toc481061495"/>
      <w:r w:rsidRPr="00883125">
        <w:t>Comparison to the redemption rate from tax statistics</w:t>
      </w:r>
      <w:bookmarkEnd w:id="305"/>
      <w:bookmarkEnd w:id="306"/>
      <w:bookmarkEnd w:id="307"/>
    </w:p>
    <w:p w:rsidR="00C52695" w:rsidRPr="00883125" w:rsidRDefault="00C52695" w:rsidP="00C52695">
      <w:r w:rsidRPr="00883125">
        <w:t>The figures suggest that the difference between the foreign ownership share and the redemption rate from tax statistics is an estimate of the credits distributed to domestic investors who do not redeem them. The figures suggest that this might be because of the 45-day holding rule and/or transactions costs. We consider that there are a number of problems with this estimate.</w:t>
      </w:r>
    </w:p>
    <w:p w:rsidR="00C52695" w:rsidRPr="00883125" w:rsidRDefault="00514A99" w:rsidP="00C52695">
      <w:r>
        <w:t>First</w:t>
      </w:r>
      <w:r w:rsidR="00C52695" w:rsidRPr="00883125">
        <w:t>, the redemption rate from tax statistics reflects all equity, and therefore it is inconsistent to compare it to the foreign ownership share of listed equity.</w:t>
      </w:r>
    </w:p>
    <w:p w:rsidR="00197663" w:rsidRDefault="00514A99" w:rsidP="00C52695">
      <w:pPr>
        <w:rPr>
          <w:rStyle w:val="AERbody"/>
        </w:rPr>
      </w:pPr>
      <w:r>
        <w:lastRenderedPageBreak/>
        <w:t>Second</w:t>
      </w:r>
      <w:r w:rsidR="00C52695" w:rsidRPr="00883125">
        <w:t xml:space="preserve">, this estimate does not contemplate error or inaccuracy in the tax statistics. In section </w:t>
      </w:r>
      <w:r w:rsidR="005271EF">
        <w:fldChar w:fldCharType="begin"/>
      </w:r>
      <w:r w:rsidR="005271EF">
        <w:instrText xml:space="preserve"> REF _Ref475371808 \r \h </w:instrText>
      </w:r>
      <w:r w:rsidR="005271EF">
        <w:fldChar w:fldCharType="separate"/>
      </w:r>
      <w:r w:rsidR="00812A72">
        <w:t>4.4</w:t>
      </w:r>
      <w:r w:rsidR="005271EF">
        <w:fldChar w:fldCharType="end"/>
      </w:r>
      <w:r w:rsidR="00C52695" w:rsidRPr="00883125">
        <w:t>, we set out the data concerns that exist regarding the tax statistics. The service providers that we released draft decisions for in 2014 submitted in their initial proposals that no weight be placed on estimates of the utilisation rate from tax statistics because of significant unresolved problems with the data.</w:t>
      </w:r>
      <w:r w:rsidR="00C52695" w:rsidRPr="00883125">
        <w:rPr>
          <w:rStyle w:val="FootnoteReference"/>
        </w:rPr>
        <w:footnoteReference w:id="499"/>
      </w:r>
      <w:r w:rsidR="00C52695" w:rsidRPr="00883125">
        <w:t xml:space="preserve"> </w:t>
      </w:r>
      <w:r w:rsidR="00C52695" w:rsidRPr="00883125">
        <w:rPr>
          <w:rStyle w:val="AERbody"/>
        </w:rPr>
        <w:t>NERA has subsequently submitted that tax statistics can be used to estimate a value for theta consistent with a 70% distribution rate, and can also be used to estimate an upper bound value for gamma.</w:t>
      </w:r>
      <w:r w:rsidR="00C52695" w:rsidRPr="00883125">
        <w:rPr>
          <w:rStyle w:val="FootnoteReference"/>
        </w:rPr>
        <w:footnoteReference w:id="500"/>
      </w:r>
      <w:r w:rsidR="00C52695" w:rsidRPr="00883125">
        <w:rPr>
          <w:rStyle w:val="AERbody"/>
        </w:rPr>
        <w:t xml:space="preserve"> Gray (for Frontier) appears to support this.</w:t>
      </w:r>
      <w:r w:rsidR="00C52695" w:rsidRPr="00883125">
        <w:rPr>
          <w:rStyle w:val="FootnoteReference"/>
        </w:rPr>
        <w:footnoteReference w:id="501"/>
      </w:r>
      <w:r w:rsidR="00C52695" w:rsidRPr="00883125">
        <w:rPr>
          <w:rStyle w:val="AERbody"/>
        </w:rPr>
        <w:t xml:space="preserve"> </w:t>
      </w:r>
      <w:r w:rsidR="00197663">
        <w:rPr>
          <w:rStyle w:val="AERbody"/>
        </w:rPr>
        <w:t>Frontier considers that</w:t>
      </w:r>
      <w:r w:rsidR="00C21B8A">
        <w:rPr>
          <w:rStyle w:val="AERbody"/>
        </w:rPr>
        <w:t xml:space="preserve"> gamma can be estimate reliably from tax</w:t>
      </w:r>
      <w:r w:rsidR="00197663">
        <w:rPr>
          <w:rStyle w:val="AERbody"/>
        </w:rPr>
        <w:t xml:space="preserve"> statistics as the ratio of credits redeemed to credit generated.</w:t>
      </w:r>
      <w:r w:rsidR="00197663">
        <w:rPr>
          <w:rStyle w:val="FootnoteReference"/>
        </w:rPr>
        <w:footnoteReference w:id="502"/>
      </w:r>
      <w:r w:rsidR="00197663">
        <w:rPr>
          <w:rStyle w:val="AERbody"/>
        </w:rPr>
        <w:t xml:space="preserve"> </w:t>
      </w:r>
    </w:p>
    <w:p w:rsidR="00C52695" w:rsidRPr="00883125" w:rsidRDefault="00C52695" w:rsidP="00C52695">
      <w:pPr>
        <w:rPr>
          <w:rStyle w:val="AERbody"/>
        </w:rPr>
      </w:pPr>
      <w:r w:rsidRPr="00883125">
        <w:rPr>
          <w:rStyle w:val="AERbody"/>
        </w:rPr>
        <w:t>However, given the issues with the tax data and Hathaway's caveated comments regarding the data where he says "[t]he conclusion is that I accept the tax payments and FAB data as given post-2003, and assume that the problem is more likely to have arisen within the franked dividend payments data"</w:t>
      </w:r>
      <w:r w:rsidR="00BB4E44">
        <w:rPr>
          <w:rStyle w:val="AERbody"/>
        </w:rPr>
        <w:t>,</w:t>
      </w:r>
      <w:r w:rsidRPr="00883125">
        <w:rPr>
          <w:rStyle w:val="FootnoteReference"/>
        </w:rPr>
        <w:footnoteReference w:id="503"/>
      </w:r>
      <w:r w:rsidRPr="00883125">
        <w:rPr>
          <w:rStyle w:val="AERbody"/>
        </w:rPr>
        <w:t xml:space="preserve"> we remain of the view we should treat estimates of theta based on tax data with caution. Hathaway's draft 2014 report gives us no cause to change our view.</w:t>
      </w:r>
      <w:r w:rsidRPr="00883125">
        <w:rPr>
          <w:rStyle w:val="FootnoteReference"/>
        </w:rPr>
        <w:footnoteReference w:id="504"/>
      </w:r>
      <w:r>
        <w:rPr>
          <w:rStyle w:val="AERbody"/>
        </w:rPr>
        <w:t xml:space="preserve"> Lally, in his 2016 report, indicates he considers the most likely reason for a difference between the estimate of the utilisation rate from the equity ownership approach and tax statistics is data issues with the tax statistics.</w:t>
      </w:r>
      <w:r>
        <w:rPr>
          <w:rStyle w:val="FootnoteReference"/>
        </w:rPr>
        <w:footnoteReference w:id="505"/>
      </w:r>
      <w:r w:rsidR="00197663">
        <w:rPr>
          <w:rStyle w:val="AERbody"/>
        </w:rPr>
        <w:t xml:space="preserve"> The reliability of tax statistics is further discussed in section </w:t>
      </w:r>
      <w:r w:rsidR="006C032A">
        <w:rPr>
          <w:rStyle w:val="AERbody"/>
        </w:rPr>
        <w:fldChar w:fldCharType="begin"/>
      </w:r>
      <w:r w:rsidR="006C032A">
        <w:rPr>
          <w:rStyle w:val="AERbody"/>
        </w:rPr>
        <w:instrText xml:space="preserve"> REF _Ref402179420 \r \h </w:instrText>
      </w:r>
      <w:r w:rsidR="006C032A">
        <w:rPr>
          <w:rStyle w:val="AERbody"/>
        </w:rPr>
      </w:r>
      <w:r w:rsidR="006C032A">
        <w:rPr>
          <w:rStyle w:val="AERbody"/>
        </w:rPr>
        <w:fldChar w:fldCharType="separate"/>
      </w:r>
      <w:r w:rsidR="00812A72">
        <w:rPr>
          <w:rStyle w:val="AERbody"/>
        </w:rPr>
        <w:t>A.13</w:t>
      </w:r>
      <w:r w:rsidR="006C032A">
        <w:rPr>
          <w:rStyle w:val="AERbody"/>
        </w:rPr>
        <w:fldChar w:fldCharType="end"/>
      </w:r>
      <w:r w:rsidR="002621B0">
        <w:rPr>
          <w:rStyle w:val="AERbody"/>
        </w:rPr>
        <w:t>. Dr Lally, in his most recent report for us, also expresses the view in response to Frontier that the taxation statistics should continue to be viewed with caution</w:t>
      </w:r>
      <w:r w:rsidR="002160C8">
        <w:rPr>
          <w:rStyle w:val="FootnoteReference"/>
        </w:rPr>
        <w:footnoteReference w:id="506"/>
      </w:r>
    </w:p>
    <w:p w:rsidR="00C52695" w:rsidRPr="00883125" w:rsidRDefault="00C52695" w:rsidP="00C52695">
      <w:r w:rsidRPr="00883125">
        <w:t>Thirdly, we are not convinced that the 45-day holding rule and transaction costs are contributing to a material amount of credits not being redeemed. As discussed above, this is because:</w:t>
      </w:r>
    </w:p>
    <w:p w:rsidR="00C52695" w:rsidRPr="00883125" w:rsidRDefault="00C52695" w:rsidP="00C52695">
      <w:pPr>
        <w:pStyle w:val="AERbulletlistfirststyle"/>
      </w:pPr>
      <w:r w:rsidRPr="00883125">
        <w:t>Our analysis of the 45-day rule suggests that it is not having a material effect. Although we acknowledge this analysis is subject to any data quality issues with the tax statistics.</w:t>
      </w:r>
    </w:p>
    <w:p w:rsidR="00C52695" w:rsidRPr="00883125" w:rsidRDefault="00C52695" w:rsidP="00C52695">
      <w:pPr>
        <w:pStyle w:val="AERbulletlistfirststyle"/>
      </w:pPr>
      <w:r w:rsidRPr="00883125">
        <w:t xml:space="preserve">We do not consider that transactions costs are likely to dissuade a material number of investors from redeeming imputation credits. </w:t>
      </w:r>
    </w:p>
    <w:p w:rsidR="00C52695" w:rsidRPr="00883125" w:rsidRDefault="00C52695" w:rsidP="00C52695">
      <w:pPr>
        <w:rPr>
          <w:rStyle w:val="AERbody"/>
        </w:rPr>
      </w:pPr>
      <w:r w:rsidRPr="00883125">
        <w:rPr>
          <w:rStyle w:val="AERbody"/>
        </w:rPr>
        <w:lastRenderedPageBreak/>
        <w:t>In response to the service providers</w:t>
      </w:r>
      <w:r>
        <w:rPr>
          <w:rStyle w:val="AERbody"/>
        </w:rPr>
        <w:t>' submissions</w:t>
      </w:r>
      <w:r w:rsidRPr="00883125">
        <w:rPr>
          <w:rStyle w:val="AERbody"/>
        </w:rPr>
        <w:t>,</w:t>
      </w:r>
      <w:r w:rsidRPr="00883125">
        <w:rPr>
          <w:rStyle w:val="FootnoteReference"/>
        </w:rPr>
        <w:footnoteReference w:id="507"/>
      </w:r>
      <w:r w:rsidRPr="00883125">
        <w:rPr>
          <w:rStyle w:val="AERbody"/>
        </w:rPr>
        <w:t xml:space="preserve"> we do not consider there is any inconsistency between Handley's earlier work and subsequent work indicating taxation statistics can be used as a point estimate of theta. Handley has clearly explained why tax statistics can be used as a point estimate for theta, a position we agree with.</w:t>
      </w:r>
      <w:r w:rsidRPr="00883125">
        <w:rPr>
          <w:rStyle w:val="FootnoteReference"/>
        </w:rPr>
        <w:footnoteReference w:id="508"/>
      </w:r>
      <w:r w:rsidRPr="00883125">
        <w:rPr>
          <w:rStyle w:val="AERbody"/>
        </w:rPr>
        <w:t xml:space="preserve"> While we acknowledge that the ultimate source of the value for imputation credits is from redemption, this does not prevent an estimate of the redemption value from taxation statistics being a point estimate</w:t>
      </w:r>
      <w:r>
        <w:rPr>
          <w:rStyle w:val="AERbody"/>
        </w:rPr>
        <w:t>.</w:t>
      </w:r>
      <w:r w:rsidRPr="00883125">
        <w:rPr>
          <w:rStyle w:val="AERbody"/>
        </w:rPr>
        <w:t xml:space="preserve"> </w:t>
      </w:r>
      <w:r>
        <w:rPr>
          <w:rStyle w:val="AERbody"/>
        </w:rPr>
        <w:t>W</w:t>
      </w:r>
      <w:r w:rsidRPr="00883125">
        <w:rPr>
          <w:rStyle w:val="AERbody"/>
        </w:rPr>
        <w:t>e note, given the uncertainty with estimates based on the tax data, the true (unobservable) redemption value could be above or below the estimate.</w:t>
      </w:r>
    </w:p>
    <w:p w:rsidR="00C52695" w:rsidRPr="00883125" w:rsidRDefault="00C52695" w:rsidP="00C52695">
      <w:pPr>
        <w:rPr>
          <w:rStyle w:val="AERbody"/>
        </w:rPr>
      </w:pPr>
      <w:r w:rsidRPr="00883125">
        <w:rPr>
          <w:rStyle w:val="AERbody"/>
        </w:rPr>
        <w:t xml:space="preserve">In section </w:t>
      </w:r>
      <w:r w:rsidRPr="00883125">
        <w:rPr>
          <w:rStyle w:val="AERbody"/>
        </w:rPr>
        <w:fldChar w:fldCharType="begin"/>
      </w:r>
      <w:r w:rsidRPr="00883125">
        <w:rPr>
          <w:rStyle w:val="AERbody"/>
        </w:rPr>
        <w:instrText xml:space="preserve"> REF _Ref450298682 \r \h </w:instrText>
      </w:r>
      <w:r w:rsidRPr="00883125">
        <w:rPr>
          <w:rStyle w:val="AERbody"/>
        </w:rPr>
      </w:r>
      <w:r w:rsidRPr="00883125">
        <w:rPr>
          <w:rStyle w:val="AERbody"/>
        </w:rPr>
        <w:fldChar w:fldCharType="separate"/>
      </w:r>
      <w:r w:rsidR="00812A72">
        <w:rPr>
          <w:rStyle w:val="AERbody"/>
        </w:rPr>
        <w:t>A.14</w:t>
      </w:r>
      <w:r w:rsidRPr="00883125">
        <w:rPr>
          <w:rStyle w:val="AERbody"/>
        </w:rPr>
        <w:fldChar w:fldCharType="end"/>
      </w:r>
      <w:r w:rsidRPr="00883125">
        <w:rPr>
          <w:rStyle w:val="AERbody"/>
        </w:rPr>
        <w:t xml:space="preserve">, </w:t>
      </w:r>
      <w:r>
        <w:rPr>
          <w:rStyle w:val="AERbody"/>
        </w:rPr>
        <w:t>we analyse</w:t>
      </w:r>
      <w:r w:rsidRPr="00883125">
        <w:rPr>
          <w:rStyle w:val="AERbody"/>
        </w:rPr>
        <w:t xml:space="preserve"> </w:t>
      </w:r>
      <w:r>
        <w:rPr>
          <w:rStyle w:val="AERbody"/>
        </w:rPr>
        <w:t xml:space="preserve">the </w:t>
      </w:r>
      <w:r w:rsidRPr="00883125">
        <w:rPr>
          <w:rStyle w:val="AERbody"/>
        </w:rPr>
        <w:t xml:space="preserve">difference between the utilisation </w:t>
      </w:r>
      <w:r w:rsidRPr="00883125">
        <w:t>value</w:t>
      </w:r>
      <w:r w:rsidRPr="00883125">
        <w:rPr>
          <w:rStyle w:val="AERbody"/>
        </w:rPr>
        <w:t xml:space="preserve"> from the equity ownership approach and taxation statistics</w:t>
      </w:r>
      <w:r>
        <w:rPr>
          <w:rStyle w:val="AERbody"/>
        </w:rPr>
        <w:t>.</w:t>
      </w:r>
    </w:p>
    <w:p w:rsidR="00C52695" w:rsidRPr="00883125" w:rsidRDefault="00C52695" w:rsidP="00C52695">
      <w:pPr>
        <w:pStyle w:val="Heading9"/>
      </w:pPr>
      <w:bookmarkStart w:id="308" w:name="_Toc456614322"/>
      <w:bookmarkStart w:id="309" w:name="_Toc462823328"/>
      <w:bookmarkStart w:id="310" w:name="_Ref415068711"/>
      <w:bookmarkStart w:id="311" w:name="_Toc436049450"/>
      <w:bookmarkStart w:id="312" w:name="_Toc481061496"/>
      <w:r w:rsidRPr="00883125">
        <w:t>NERA's comments on the utilisation rate</w:t>
      </w:r>
      <w:bookmarkEnd w:id="308"/>
      <w:bookmarkEnd w:id="309"/>
      <w:bookmarkEnd w:id="312"/>
    </w:p>
    <w:p w:rsidR="00C52695" w:rsidRPr="00883125" w:rsidRDefault="00C52695" w:rsidP="00C52695">
      <w:r w:rsidRPr="00883125">
        <w:t>NERA submitted that theta is the value that a representative investor places on a dollar of distributed imputation credits.</w:t>
      </w:r>
      <w:r w:rsidRPr="00883125">
        <w:rPr>
          <w:rStyle w:val="FootnoteReference"/>
        </w:rPr>
        <w:footnoteReference w:id="509"/>
      </w:r>
      <w:r w:rsidRPr="00883125">
        <w:t xml:space="preserve"> NERA also presented a simple derivation of theta. The simple model employed by NERA consisted of, among other things: a set of domestic and foreign investors; a domestic asset that distributes imputation credits; and a foreign asset that does not distribute imputation credits. NERA showed that in this model:</w:t>
      </w:r>
    </w:p>
    <w:p w:rsidR="00C52695" w:rsidRPr="00883125" w:rsidRDefault="00C52695" w:rsidP="00C52695">
      <m:oMathPara>
        <m:oMath>
          <m:r>
            <w:rPr>
              <w:rFonts w:ascii="Cambria Math" w:hAnsi="Cambria Math"/>
            </w:rPr>
            <m:t>θ=</m:t>
          </m:r>
          <m:f>
            <m:fPr>
              <m:ctrlPr>
                <w:rPr>
                  <w:rFonts w:ascii="Cambria Math" w:hAnsi="Cambria Math"/>
                </w:rPr>
              </m:ctrlPr>
            </m:fPr>
            <m:num>
              <m:r>
                <w:rPr>
                  <w:rFonts w:ascii="Cambria Math" w:hAnsi="Cambria Math"/>
                </w:rPr>
                <m:t>D</m:t>
              </m:r>
            </m:num>
            <m:den>
              <m:r>
                <w:rPr>
                  <w:rFonts w:ascii="Cambria Math" w:hAnsi="Cambria Math"/>
                </w:rPr>
                <m:t>D+F</m:t>
              </m:r>
            </m:den>
          </m:f>
        </m:oMath>
      </m:oMathPara>
    </w:p>
    <w:p w:rsidR="00C52695" w:rsidRPr="00883125" w:rsidRDefault="00C52695" w:rsidP="00C52695">
      <w:r w:rsidRPr="00883125">
        <w:t xml:space="preserve">where </w:t>
      </w:r>
      <m:oMath>
        <m:r>
          <w:rPr>
            <w:rFonts w:ascii="Cambria Math" w:hAnsi="Cambria Math"/>
          </w:rPr>
          <m:t>D</m:t>
        </m:r>
      </m:oMath>
      <w:r w:rsidRPr="00883125">
        <w:t xml:space="preserve"> is the wealth of domestic investors and </w:t>
      </w:r>
      <m:oMath>
        <m:r>
          <w:rPr>
            <w:rFonts w:ascii="Cambria Math" w:hAnsi="Cambria Math"/>
          </w:rPr>
          <m:t>F</m:t>
        </m:r>
      </m:oMath>
      <w:r w:rsidRPr="00883125">
        <w:t xml:space="preserve"> is the wealth of foreign investors.</w:t>
      </w:r>
      <w:r w:rsidRPr="00883125">
        <w:rPr>
          <w:rStyle w:val="FootnoteReference"/>
        </w:rPr>
        <w:footnoteReference w:id="510"/>
      </w:r>
      <w:r w:rsidRPr="00883125">
        <w:t xml:space="preserve"> NERA also showed that the redemption rate of imputation credits does not equal theta in this model, and is instead given by the ratio of domestic holdings of the domestic asset to the sum of domestic and foreign holdings of the asset. NERA concluded:</w:t>
      </w:r>
      <w:r w:rsidRPr="00883125">
        <w:rPr>
          <w:rStyle w:val="FootnoteReference"/>
        </w:rPr>
        <w:footnoteReference w:id="511"/>
      </w:r>
    </w:p>
    <w:p w:rsidR="00C52695" w:rsidRPr="00883125" w:rsidRDefault="00C52695" w:rsidP="00C52695">
      <w:pPr>
        <w:pStyle w:val="AERquote"/>
      </w:pPr>
      <w:r w:rsidRPr="00883125">
        <w:t>In a small open economy – like Australia – the proportion of credits created that are redeemed is likely to exceed by a substantial margin the value of a dollar of tax credits created to a representative shareholder.</w:t>
      </w:r>
    </w:p>
    <w:p w:rsidR="00C52695" w:rsidRPr="00883125" w:rsidRDefault="00C52695" w:rsidP="00C52695">
      <w:r w:rsidRPr="00883125">
        <w:t xml:space="preserve">That is, if domestic investors make up only a small proportion of all investors, then theta will be small. However, this conclusion appears to rely on determining theta in an international CAPM context—domestic and foreign investors can invest in both domestic and foreign assets. By contrast, we determine the value of imputation credits (and other rate of return </w:t>
      </w:r>
      <w:r w:rsidRPr="00883125">
        <w:lastRenderedPageBreak/>
        <w:t>parameters) using a domestic CAPM. In the domestic CAPM context, domestic investors that are eligible to redeem credits make up a significant proportion of all investors that invest in domestic assets. Further, the scope for a material 'wedge' to arise between the redemption rate and theta in the domestic CAPM context is not clear from NERA's analysis because it only considers the international CAPM context.</w:t>
      </w:r>
    </w:p>
    <w:p w:rsidR="00C52695" w:rsidRPr="00883125" w:rsidRDefault="00C52695" w:rsidP="00C52695">
      <w:r w:rsidRPr="00883125">
        <w:t>Our view is supported by Handley's review of NERA's submission. Handley concluded:</w:t>
      </w:r>
      <w:r w:rsidRPr="00883125">
        <w:rPr>
          <w:rStyle w:val="FootnoteReference"/>
        </w:rPr>
        <w:footnoteReference w:id="512"/>
      </w:r>
    </w:p>
    <w:p w:rsidR="00C52695" w:rsidRPr="00883125" w:rsidRDefault="00C52695" w:rsidP="00C52695">
      <w:pPr>
        <w:pStyle w:val="AERquote"/>
      </w:pPr>
      <w:r w:rsidRPr="00883125">
        <w:t>The problem with the NERA model is that it is an international asset pricing model – along the lines of the Black (1974) International CAPM – whereas the current framework is based within a domestic market setting. This means that domestic investors have only a small market weighting by definition. Clearly, the value of imputation credits in an international asset pricing model will be substantially different from the value of imputation credits in a domestic asset pricing model.</w:t>
      </w:r>
    </w:p>
    <w:p w:rsidR="00C52695" w:rsidRPr="00883125" w:rsidRDefault="00C52695" w:rsidP="00C52695">
      <w:pPr>
        <w:pStyle w:val="AERquote"/>
      </w:pPr>
      <w:r w:rsidRPr="00883125">
        <w:t>…</w:t>
      </w:r>
    </w:p>
    <w:p w:rsidR="00C52695" w:rsidRPr="00883125" w:rsidRDefault="00C52695" w:rsidP="00C52695">
      <w:pPr>
        <w:pStyle w:val="AERquote"/>
      </w:pPr>
      <w:r w:rsidRPr="00883125">
        <w:t xml:space="preserve">In my opinion, NERA’s analysis does not establish the presence of a wedge between theta and the redemption rate and so does not invalidate the use of tax statistics to estimate theta. </w:t>
      </w:r>
    </w:p>
    <w:p w:rsidR="00C52695" w:rsidRPr="00883125" w:rsidRDefault="00C52695" w:rsidP="00C52695">
      <w:pPr>
        <w:rPr>
          <w:rStyle w:val="AERbody"/>
        </w:rPr>
      </w:pPr>
      <w:r w:rsidRPr="00883125">
        <w:rPr>
          <w:rStyle w:val="AERbody"/>
        </w:rPr>
        <w:t xml:space="preserve">NERA responded to </w:t>
      </w:r>
      <w:r>
        <w:rPr>
          <w:rStyle w:val="AERbody"/>
        </w:rPr>
        <w:t>our</w:t>
      </w:r>
      <w:r w:rsidRPr="00883125">
        <w:rPr>
          <w:rStyle w:val="AERbody"/>
        </w:rPr>
        <w:t xml:space="preserve"> position in the JGN decision in its June 2015 report.</w:t>
      </w:r>
      <w:r w:rsidRPr="00883125">
        <w:rPr>
          <w:rStyle w:val="FootnoteReference"/>
        </w:rPr>
        <w:footnoteReference w:id="513"/>
      </w:r>
      <w:r w:rsidRPr="00883125">
        <w:rPr>
          <w:rStyle w:val="AERbody"/>
        </w:rPr>
        <w:t xml:space="preserve"> In this report NERA put forward several propositions:</w:t>
      </w:r>
    </w:p>
    <w:p w:rsidR="00C52695" w:rsidRPr="005764F6" w:rsidRDefault="00C52695" w:rsidP="00C52695">
      <w:pPr>
        <w:pStyle w:val="AERbulletlistfirststyle"/>
      </w:pPr>
      <w:r w:rsidRPr="005764F6">
        <w:t xml:space="preserve">It would be expected that the proportions of credits that are redeemed would significantly exceed the value of a dollar of credits to a representative shareholder in a small open economy like Australia. </w:t>
      </w:r>
    </w:p>
    <w:p w:rsidR="00C52695" w:rsidRPr="005764F6" w:rsidRDefault="00C52695" w:rsidP="00C52695">
      <w:pPr>
        <w:pStyle w:val="AERbulletlistfirststyle"/>
      </w:pPr>
      <w:r>
        <w:t>Our</w:t>
      </w:r>
      <w:r w:rsidRPr="005764F6">
        <w:t xml:space="preserve"> use of a domestic Australian CAPM does not justify any presumption that theta take a non-negligible value.</w:t>
      </w:r>
    </w:p>
    <w:p w:rsidR="00C52695" w:rsidRPr="005764F6" w:rsidRDefault="00C52695" w:rsidP="00C52695">
      <w:pPr>
        <w:pStyle w:val="AERbulletlistfirststyle"/>
      </w:pPr>
      <w:r w:rsidRPr="005764F6">
        <w:t xml:space="preserve">The estimated cost of capital from a domestic CAPM will equal the cost of capital from an international CAPM under certain assumptions. </w:t>
      </w:r>
    </w:p>
    <w:p w:rsidR="00C52695" w:rsidRPr="00883125" w:rsidRDefault="00C52695" w:rsidP="00C52695">
      <w:pPr>
        <w:rPr>
          <w:rStyle w:val="AERbody"/>
        </w:rPr>
      </w:pPr>
      <w:r w:rsidRPr="00883125">
        <w:rPr>
          <w:rStyle w:val="AERbody"/>
        </w:rPr>
        <w:t>In response, we note that we consider our approach is consistent with our definition of the Australian domestic market in the presence of foreign investors.</w:t>
      </w:r>
    </w:p>
    <w:p w:rsidR="00C52695" w:rsidRPr="00883125" w:rsidRDefault="00C52695" w:rsidP="00C52695">
      <w:pPr>
        <w:rPr>
          <w:rStyle w:val="AERbody"/>
        </w:rPr>
      </w:pPr>
      <w:r w:rsidRPr="00883125">
        <w:rPr>
          <w:rStyle w:val="AERbody"/>
        </w:rPr>
        <w:t>While NERA does show a model consistent with the redemption of credits exceeding the value for theta, you may only get theta falling significantly below the redemption rate under specific assumptions.</w:t>
      </w:r>
      <w:r w:rsidRPr="00883125">
        <w:rPr>
          <w:rStyle w:val="FootnoteReference"/>
        </w:rPr>
        <w:footnoteReference w:id="514"/>
      </w:r>
      <w:r w:rsidRPr="00883125">
        <w:rPr>
          <w:rStyle w:val="AERbody"/>
        </w:rPr>
        <w:t xml:space="preserve"> We also note that NERA's model is an international asset pricing </w:t>
      </w:r>
      <w:r w:rsidRPr="00883125">
        <w:rPr>
          <w:rStyle w:val="AERbody"/>
        </w:rPr>
        <w:lastRenderedPageBreak/>
        <w:t>model.</w:t>
      </w:r>
      <w:r w:rsidRPr="00883125">
        <w:rPr>
          <w:rStyle w:val="FootnoteReference"/>
        </w:rPr>
        <w:footnoteReference w:id="515"/>
      </w:r>
      <w:r w:rsidRPr="00883125">
        <w:rPr>
          <w:rStyle w:val="AERbody"/>
        </w:rPr>
        <w:t xml:space="preserve"> This model is inconsistent with our definition of the domestic market. We also consider the use of the international CAPM, with a high proportion of wealth held by foreign investors (NERA using 98</w:t>
      </w:r>
      <w:r>
        <w:rPr>
          <w:rStyle w:val="AERbody"/>
        </w:rPr>
        <w:t xml:space="preserve"> per cent</w:t>
      </w:r>
      <w:r w:rsidRPr="00883125">
        <w:rPr>
          <w:rStyle w:val="AERbody"/>
        </w:rPr>
        <w:t xml:space="preserve"> in its primary example) is prima facie inconsistent with the way in which the service providers estimate the return on equity using an Australian Domestic CAPM. Handley shows that NERA's claimed "wedge" between the redemption rate and theta can be either small, if input assumptions are made consistent with our definition of the market (domestic in the presence of foreign investors), or zero or even negative depending on your assumption about a number of largely unobservable factors.</w:t>
      </w:r>
      <w:r w:rsidRPr="00883125">
        <w:rPr>
          <w:rStyle w:val="FootnoteReference"/>
        </w:rPr>
        <w:footnoteReference w:id="516"/>
      </w:r>
      <w:r w:rsidRPr="00883125">
        <w:rPr>
          <w:rStyle w:val="AERbody"/>
        </w:rPr>
        <w:t xml:space="preserve"> NERA response to one of Handley's examples that shows the wedge may be small makes clear they are using an International CAPM to argue Handley's response is invalid stating:</w:t>
      </w:r>
      <w:r w:rsidRPr="00883125">
        <w:rPr>
          <w:rStyle w:val="FootnoteReference"/>
        </w:rPr>
        <w:footnoteReference w:id="517"/>
      </w:r>
    </w:p>
    <w:p w:rsidR="00C52695" w:rsidRPr="00DA0E8B" w:rsidRDefault="00C52695" w:rsidP="00C52695">
      <w:pPr>
        <w:pStyle w:val="AERquote"/>
      </w:pPr>
      <w:r w:rsidRPr="00DA0E8B">
        <w:t xml:space="preserve">"The assumption that Australian aggregated wealth makes up 60 </w:t>
      </w:r>
      <w:r w:rsidR="00116FD8" w:rsidRPr="00DA0E8B">
        <w:t>per cent</w:t>
      </w:r>
      <w:r w:rsidRPr="00DA0E8B">
        <w:t xml:space="preserve"> of the world wealth is also very clearly at odds with the evidence and so we conclude that Handley's second example is similarly of no practical relevance." </w:t>
      </w:r>
    </w:p>
    <w:p w:rsidR="00C52695" w:rsidRPr="00883125" w:rsidRDefault="00C52695" w:rsidP="00C52695">
      <w:pPr>
        <w:rPr>
          <w:rStyle w:val="AERbody"/>
        </w:rPr>
      </w:pPr>
      <w:r w:rsidRPr="00883125">
        <w:rPr>
          <w:rStyle w:val="AERbody"/>
        </w:rPr>
        <w:t>We consider this response by NERA of limited relevance given our definition of the relevant market is a domestic market in the presence of foreign investors, a market which we have used to estimate both the return on equity and the value for imputation credits. Handley's example is appropriate given this definition.</w:t>
      </w:r>
    </w:p>
    <w:p w:rsidR="00C52695" w:rsidRPr="00883125" w:rsidRDefault="00C52695" w:rsidP="00C52695">
      <w:pPr>
        <w:rPr>
          <w:rStyle w:val="AERbody"/>
        </w:rPr>
      </w:pPr>
      <w:r w:rsidRPr="00883125">
        <w:rPr>
          <w:rStyle w:val="AERbody"/>
        </w:rPr>
        <w:t>While NERA responded to the position that theta could exceed the redemption rate arguing the market will not clear, irrespective of this we consider the wedge is not clearly material under our definition of the market and as Handley notes, the current framework is based within a domestic market setting.</w:t>
      </w:r>
      <w:r w:rsidRPr="00883125">
        <w:rPr>
          <w:rStyle w:val="FootnoteReference"/>
        </w:rPr>
        <w:footnoteReference w:id="518"/>
      </w:r>
      <w:r w:rsidRPr="00883125">
        <w:rPr>
          <w:rStyle w:val="AERbody"/>
        </w:rPr>
        <w:t xml:space="preserve"> NERA's comment in a separate report that it does not recommend the use of an International CAPM does not resolve this inconsistency issue.</w:t>
      </w:r>
      <w:r w:rsidRPr="00883125">
        <w:rPr>
          <w:rStyle w:val="FootnoteReference"/>
        </w:rPr>
        <w:footnoteReference w:id="519"/>
      </w:r>
    </w:p>
    <w:p w:rsidR="00C52695" w:rsidRPr="00883125" w:rsidRDefault="00C52695" w:rsidP="00C52695">
      <w:pPr>
        <w:rPr>
          <w:rStyle w:val="AERbody"/>
        </w:rPr>
      </w:pPr>
      <w:r w:rsidRPr="00883125">
        <w:rPr>
          <w:rStyle w:val="AERbody"/>
        </w:rPr>
        <w:t xml:space="preserve">In addition, while NERA has effectively put forward the position that the use of a domestic CAPM to set the return on equity and the use of an international CAPM to determine theta are not inconsistent because both models may generate the same return on equity estimate under certain assumptions, we consider NERA's position is not adequately supported.  An International CAPM may give a materially different required return on equity estimate. This may be lower or higher depending on whether local (domestic) systematic risk can be diversified away in the global market, or if specific risk in the domestic market contains </w:t>
      </w:r>
      <w:r w:rsidRPr="00883125">
        <w:rPr>
          <w:rStyle w:val="AERbody"/>
        </w:rPr>
        <w:lastRenderedPageBreak/>
        <w:t>global systematic risk.</w:t>
      </w:r>
      <w:r w:rsidRPr="00883125">
        <w:rPr>
          <w:rStyle w:val="FootnoteReference"/>
        </w:rPr>
        <w:footnoteReference w:id="520"/>
      </w:r>
      <w:r w:rsidRPr="00883125">
        <w:rPr>
          <w:rStyle w:val="AERbody"/>
        </w:rPr>
        <w:t xml:space="preserve"> While NERA appear to have made a number of assumptions to show both a domestic version of the SLCPAM and international version of the SLCAPM can hold simultaneously</w:t>
      </w:r>
      <w:r w:rsidRPr="00883125">
        <w:rPr>
          <w:rStyle w:val="FootnoteReference"/>
        </w:rPr>
        <w:footnoteReference w:id="521"/>
      </w:r>
      <w:r w:rsidRPr="00883125">
        <w:rPr>
          <w:rStyle w:val="AERbody"/>
        </w:rPr>
        <w:t>, these are assumptions that can only be tested empirically. An academic article by Koedijk, Mathiijs and van Dijk explains the underlying premise of such a test stating:</w:t>
      </w:r>
      <w:r w:rsidRPr="00883125">
        <w:rPr>
          <w:rStyle w:val="FootnoteReference"/>
        </w:rPr>
        <w:footnoteReference w:id="522"/>
      </w:r>
    </w:p>
    <w:p w:rsidR="00C52695" w:rsidRPr="00C52695" w:rsidRDefault="00C52695" w:rsidP="00C52695">
      <w:pPr>
        <w:pStyle w:val="AERquote"/>
        <w:rPr>
          <w:rFonts w:eastAsiaTheme="minorHAnsi"/>
        </w:rPr>
      </w:pPr>
      <w:r w:rsidRPr="00DA0E8B">
        <w:t>The testing methodology boils down to assessing whether the exposure of an individual company to the global risk factors is effectively captured in the international pricing of the domestic market index. If not, a significant pricing error will exist, which implies that global factors do have a substantial impact on the cost of capital. In effect, the domestic CAPM will underestimate the cost of equity capital of a company if the specific risk according to the domestic CAPM contains additional systematic risk related to the priced global factors. The domestic CAPM will lead to an overestimation of the cost of capital if part of the systematic risk indicated by the CAPM can be diversified away in the global market.</w:t>
      </w:r>
    </w:p>
    <w:p w:rsidR="00C52695" w:rsidRPr="00883125" w:rsidRDefault="00C52695" w:rsidP="00C52695">
      <w:pPr>
        <w:rPr>
          <w:rStyle w:val="AERbody"/>
        </w:rPr>
      </w:pPr>
      <w:r w:rsidRPr="00883125">
        <w:rPr>
          <w:rStyle w:val="AERbody"/>
        </w:rPr>
        <w:t>NERA appear to agree this is an empirical question as it states earlier in its report "</w:t>
      </w:r>
      <w:r>
        <w:rPr>
          <w:rStyle w:val="AERbody"/>
        </w:rPr>
        <w:t>[</w:t>
      </w:r>
      <w:r w:rsidRPr="00883125">
        <w:rPr>
          <w:rStyle w:val="AERbody"/>
        </w:rPr>
        <w:t>w]hether equity markets are integrated or segmented is an empirical issue."</w:t>
      </w:r>
      <w:r w:rsidRPr="00883125">
        <w:rPr>
          <w:rStyle w:val="FootnoteReference"/>
        </w:rPr>
        <w:footnoteReference w:id="523"/>
      </w:r>
      <w:r w:rsidRPr="00883125">
        <w:rPr>
          <w:rStyle w:val="AERbody"/>
        </w:rPr>
        <w:t xml:space="preserve">  </w:t>
      </w:r>
    </w:p>
    <w:p w:rsidR="00C52695" w:rsidRPr="00883125" w:rsidRDefault="00C52695" w:rsidP="00C52695">
      <w:pPr>
        <w:rPr>
          <w:rStyle w:val="AERbody"/>
        </w:rPr>
      </w:pPr>
      <w:r w:rsidRPr="00883125">
        <w:rPr>
          <w:rStyle w:val="AERbody"/>
        </w:rPr>
        <w:t>We also note that some work by Associate Professor Lally at the time of the development of the Rate of return guideline indicated that the required return on equity for Australian firms could be materially lower under full integration.</w:t>
      </w:r>
      <w:r w:rsidRPr="00883125">
        <w:rPr>
          <w:rStyle w:val="FootnoteReference"/>
        </w:rPr>
        <w:footnoteReference w:id="524"/>
      </w:r>
    </w:p>
    <w:p w:rsidR="00C52695" w:rsidRPr="00883125" w:rsidRDefault="00C52695" w:rsidP="00C52695">
      <w:pPr>
        <w:pStyle w:val="Heading8"/>
      </w:pPr>
      <w:bookmarkStart w:id="313" w:name="_Ref451790065"/>
      <w:bookmarkStart w:id="314" w:name="_Toc451842255"/>
      <w:bookmarkStart w:id="315" w:name="_Toc451938310"/>
      <w:bookmarkStart w:id="316" w:name="_Toc456614323"/>
      <w:bookmarkStart w:id="317" w:name="_Toc462823329"/>
      <w:bookmarkStart w:id="318" w:name="_Toc481061497"/>
      <w:r w:rsidRPr="00883125">
        <w:t>Estimation approach considerations</w:t>
      </w:r>
      <w:bookmarkEnd w:id="310"/>
      <w:bookmarkEnd w:id="311"/>
      <w:bookmarkEnd w:id="313"/>
      <w:bookmarkEnd w:id="314"/>
      <w:bookmarkEnd w:id="315"/>
      <w:bookmarkEnd w:id="316"/>
      <w:bookmarkEnd w:id="317"/>
      <w:bookmarkEnd w:id="318"/>
    </w:p>
    <w:p w:rsidR="00C52695" w:rsidRPr="00883125" w:rsidRDefault="00C52695" w:rsidP="00C52695">
      <w:pPr>
        <w:numPr>
          <w:ilvl w:val="0"/>
          <w:numId w:val="24"/>
        </w:numPr>
      </w:pPr>
      <w:r w:rsidRPr="00883125">
        <w:t>Two considerations that were not proposed in the Guideline in determining the value of imputation credits are discussed below.</w:t>
      </w:r>
    </w:p>
    <w:p w:rsidR="00C52695" w:rsidRPr="00883125" w:rsidRDefault="00C52695" w:rsidP="00C52695">
      <w:pPr>
        <w:pStyle w:val="Heading9"/>
      </w:pPr>
      <w:bookmarkStart w:id="319" w:name="_Ref401048631"/>
      <w:bookmarkStart w:id="320" w:name="_Toc456614324"/>
      <w:bookmarkStart w:id="321" w:name="_Toc462823330"/>
      <w:bookmarkStart w:id="322" w:name="_Toc481061498"/>
      <w:r w:rsidRPr="00883125">
        <w:t>Evidence from all equity or only listed equity</w:t>
      </w:r>
      <w:bookmarkEnd w:id="319"/>
      <w:bookmarkEnd w:id="320"/>
      <w:bookmarkEnd w:id="321"/>
      <w:bookmarkEnd w:id="322"/>
    </w:p>
    <w:p w:rsidR="00C52695" w:rsidRPr="00883125" w:rsidRDefault="00C52695" w:rsidP="00C52695">
      <w:pPr>
        <w:numPr>
          <w:ilvl w:val="0"/>
          <w:numId w:val="24"/>
        </w:numPr>
      </w:pPr>
      <w:r w:rsidRPr="00883125">
        <w:t xml:space="preserve">When determining the value of imputation credits, </w:t>
      </w:r>
      <w:r>
        <w:t xml:space="preserve">we remain of the view </w:t>
      </w:r>
      <w:r w:rsidRPr="00883125">
        <w:t xml:space="preserve">it </w:t>
      </w:r>
      <w:r>
        <w:t>is appropriate</w:t>
      </w:r>
      <w:r w:rsidRPr="00883125">
        <w:t xml:space="preserve"> to have regard to evidence from all companies and their investors (all equity) and just listed companies and their investors (only listed equity). There is no consensus on which should be the preferred approach. </w:t>
      </w:r>
    </w:p>
    <w:p w:rsidR="00C52695" w:rsidRPr="005764F6" w:rsidRDefault="004D558A" w:rsidP="00C52695">
      <w:r>
        <w:lastRenderedPageBreak/>
        <w:t>T</w:t>
      </w:r>
      <w:r w:rsidR="00C52695" w:rsidRPr="005764F6">
        <w:t xml:space="preserve">he </w:t>
      </w:r>
      <w:r>
        <w:t xml:space="preserve">Ausgrid </w:t>
      </w:r>
      <w:r w:rsidR="00C52695" w:rsidRPr="005764F6">
        <w:t>Tribunal recently considered that the AER had erred in using a listed equity only measure.</w:t>
      </w:r>
      <w:r w:rsidR="00C52695" w:rsidRPr="002110D5">
        <w:rPr>
          <w:rStyle w:val="FootnoteReference"/>
        </w:rPr>
        <w:footnoteReference w:id="525"/>
      </w:r>
      <w:r w:rsidR="00C52695" w:rsidRPr="005764F6">
        <w:t xml:space="preserve"> In this decision the </w:t>
      </w:r>
      <w:r w:rsidR="002B7E95">
        <w:t xml:space="preserve">Ausgrid </w:t>
      </w:r>
      <w:r w:rsidR="00C52695" w:rsidRPr="005764F6">
        <w:t>Tribunal considered that the AER had not provide sufficient explanation for introducing the distribution rate for only listed equity and that the considered it appropriate to continue to follow past practice.</w:t>
      </w:r>
      <w:r w:rsidR="00C52695" w:rsidRPr="002110D5">
        <w:rPr>
          <w:rStyle w:val="FootnoteReference"/>
        </w:rPr>
        <w:footnoteReference w:id="526"/>
      </w:r>
    </w:p>
    <w:p w:rsidR="00C52695" w:rsidRPr="00883125" w:rsidRDefault="00C52695" w:rsidP="00C52695">
      <w:pPr>
        <w:numPr>
          <w:ilvl w:val="0"/>
          <w:numId w:val="24"/>
        </w:numPr>
      </w:pPr>
      <w:r w:rsidRPr="00883125">
        <w:t>We have had regard to experts' comments on the issue. Lally made some comments in support of considering all equity:</w:t>
      </w:r>
      <w:r w:rsidRPr="00883125">
        <w:rPr>
          <w:rStyle w:val="FootnoteReference"/>
        </w:rPr>
        <w:footnoteReference w:id="527"/>
      </w:r>
    </w:p>
    <w:p w:rsidR="00C52695" w:rsidRPr="00883125" w:rsidRDefault="00C52695" w:rsidP="00C52695">
      <w:pPr>
        <w:pStyle w:val="AERquote"/>
      </w:pPr>
      <w:r w:rsidRPr="00883125">
        <w:t>The more important point here is whether unlisted equity should be included, in principle. Arguably, the fact that only listed equity is used to estimate the MRP and beta suggests that the same limitation be applied to the present issue. However, the limitation is only imposed for the MRP and beta because data from unlisted firms is entirely inadequate for estimating returns. Furthermore, MRP estimates are generally based on a subset of listed equity (such as the ASX200), the subsets used may vary and are sometimes never specified (in surveys), and betas are typically estimated from foreign returns data. All of these results could reasonably be viewed as proxies for the results that would arise from using Australian data on all equities. In addition, treating the CAPM as a model that applies to only listed equities would rule out using it to estimate the cost of equity for an unlisted company (and some regulated businesses are unlisted). Thus, in principle, I favour inclusion of unlisted equity for estimating the proportion of Australian equities held locally.</w:t>
      </w:r>
    </w:p>
    <w:p w:rsidR="00C52695" w:rsidRDefault="00C52695" w:rsidP="00C52695">
      <w:pPr>
        <w:numPr>
          <w:ilvl w:val="0"/>
          <w:numId w:val="24"/>
        </w:numPr>
      </w:pPr>
      <w:r>
        <w:t xml:space="preserve">Lally </w:t>
      </w:r>
      <w:r w:rsidR="002B7E95">
        <w:t>considers</w:t>
      </w:r>
      <w:r>
        <w:t xml:space="preserve"> that all equity rather than listed equity should be used to estimate the utilisation value. Lally considers that using all equity data suggest the utilisation value </w:t>
      </w:r>
      <w:r w:rsidR="00023359">
        <w:t>of</w:t>
      </w:r>
      <w:r>
        <w:t xml:space="preserve"> 0.60.</w:t>
      </w:r>
      <w:r>
        <w:rPr>
          <w:rStyle w:val="FootnoteReference"/>
        </w:rPr>
        <w:footnoteReference w:id="528"/>
      </w:r>
    </w:p>
    <w:p w:rsidR="00C52695" w:rsidRPr="00883125" w:rsidRDefault="00C52695" w:rsidP="00C52695">
      <w:pPr>
        <w:numPr>
          <w:ilvl w:val="0"/>
          <w:numId w:val="24"/>
        </w:numPr>
      </w:pPr>
      <w:r w:rsidRPr="00883125">
        <w:t>However, Handley suggested that evidence from listed equity is more relevant:</w:t>
      </w:r>
      <w:r w:rsidRPr="00883125">
        <w:rPr>
          <w:rStyle w:val="FootnoteReference"/>
        </w:rPr>
        <w:footnoteReference w:id="529"/>
      </w:r>
    </w:p>
    <w:p w:rsidR="00C52695" w:rsidRPr="00883125" w:rsidRDefault="00C52695" w:rsidP="00C52695">
      <w:pPr>
        <w:pStyle w:val="AERquote"/>
      </w:pPr>
      <w:r w:rsidRPr="00883125">
        <w:t>Specifically, the NERA estimate [of the distribution rate] is based on aggregate [franking account balance] data for all companies – including public companies and private companies. In contrast, one can reasonably argue that the estimate should be based on public companies only since this is more likely to reflect the composition of the Australian domestic market for equity funds – private companies by definition are financed in entirely different ways – and so be a more relevant proxy for a benchmark efficient entity.</w:t>
      </w:r>
    </w:p>
    <w:p w:rsidR="00C52695" w:rsidRPr="00883125" w:rsidRDefault="00C52695" w:rsidP="00C52695">
      <w:r w:rsidRPr="00883125">
        <w:t>Gray's view (for SFG) is not clear to us. In his May 2014 report, Gray stated:</w:t>
      </w:r>
      <w:r w:rsidRPr="00883125">
        <w:rPr>
          <w:rStyle w:val="FootnoteReference"/>
        </w:rPr>
        <w:footnoteReference w:id="530"/>
      </w:r>
    </w:p>
    <w:p w:rsidR="00C52695" w:rsidRPr="00883125" w:rsidRDefault="00C52695" w:rsidP="00C52695">
      <w:pPr>
        <w:pStyle w:val="AERquote"/>
      </w:pPr>
      <w:r w:rsidRPr="00883125">
        <w:lastRenderedPageBreak/>
        <w:t>The 45% foreign ownership figure in Figure 9 above is based on listed equity. In our view, this is the appropriate calculation given that all other WACC parameters are estimated with reference to exchange-listed businesses because they are more reflective of the efficient benchmark entity.</w:t>
      </w:r>
    </w:p>
    <w:p w:rsidR="00C52695" w:rsidRPr="00883125" w:rsidRDefault="00C52695" w:rsidP="00C52695">
      <w:r w:rsidRPr="00883125">
        <w:t>And in his February 2015 report (for SFG) Gray stated:</w:t>
      </w:r>
      <w:r w:rsidRPr="00883125">
        <w:rPr>
          <w:rStyle w:val="FootnoteReference"/>
        </w:rPr>
        <w:footnoteReference w:id="531"/>
      </w:r>
    </w:p>
    <w:p w:rsidR="00C52695" w:rsidRPr="00883125" w:rsidRDefault="00C52695" w:rsidP="00C52695">
      <w:pPr>
        <w:pStyle w:val="AERquote"/>
      </w:pPr>
      <w:r w:rsidRPr="00883125">
        <w:t>There is also a question about whether data should be restricted to listed firms or whether it should be expanded to include private firms as well. Since the benchmark efficient entity is not necessarily listed, this would imply that private firms are also relevant.</w:t>
      </w:r>
    </w:p>
    <w:p w:rsidR="00C52695" w:rsidRPr="00883125" w:rsidRDefault="00C52695" w:rsidP="00C52695">
      <w:r w:rsidRPr="00883125">
        <w:t>A number of the service providers indicated clearly in their initial or revised proposals, or in a submission on their proposal, their view that the value of imputation credits should be estimated with regard to evidence from all equity:</w:t>
      </w:r>
      <w:r w:rsidRPr="00883125">
        <w:rPr>
          <w:rStyle w:val="FootnoteReference"/>
        </w:rPr>
        <w:footnoteReference w:id="532"/>
      </w:r>
    </w:p>
    <w:p w:rsidR="00C52695" w:rsidRPr="00883125" w:rsidRDefault="00C52695" w:rsidP="00C52695">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C52695" w:rsidRPr="00883125" w:rsidRDefault="00C52695" w:rsidP="00C52695">
      <w:r w:rsidRPr="00883125">
        <w:t>Despite this view, the service providers propose to rely on the 'best estimate' of the utilisation rate from implied market value studies, which by definition relate to only listed equity.</w:t>
      </w:r>
      <w:r w:rsidRPr="00883125">
        <w:rPr>
          <w:rStyle w:val="FootnoteReference"/>
        </w:rPr>
        <w:footnoteReference w:id="533"/>
      </w:r>
      <w:r w:rsidRPr="00883125">
        <w:t xml:space="preserve"> The service providers do not recognise that the evidence they have presented on their preferred estimate of the utilisation rate implies that it likely understates the value of distributed credits to investors across all equity (see our discussion in section </w:t>
      </w:r>
      <w:r w:rsidRPr="00883125">
        <w:fldChar w:fldCharType="begin"/>
      </w:r>
      <w:r w:rsidRPr="00883125">
        <w:instrText xml:space="preserve"> REF _Ref414099389 \r \h </w:instrText>
      </w:r>
      <w:r w:rsidRPr="00883125">
        <w:fldChar w:fldCharType="separate"/>
      </w:r>
      <w:r w:rsidR="00812A72">
        <w:t>A.8.3</w:t>
      </w:r>
      <w:r w:rsidRPr="00883125">
        <w:fldChar w:fldCharType="end"/>
      </w:r>
      <w:r w:rsidRPr="00883125">
        <w:t>).</w:t>
      </w:r>
    </w:p>
    <w:p w:rsidR="00C52695" w:rsidRDefault="00C52695" w:rsidP="00C52695">
      <w:r>
        <w:t xml:space="preserve">We have considered all the material before us. We agree that the utilisation rate is a market wide parameter. However, as set out above, there is no consensus on whether it should be estimated using all equity or listed equity. Therefore, we consider both. </w:t>
      </w:r>
      <w:r w:rsidR="00972820">
        <w:t xml:space="preserve">On the information </w:t>
      </w:r>
      <w:r w:rsidR="00972820">
        <w:lastRenderedPageBreak/>
        <w:t xml:space="preserve">before it, the SAPN Tribunal found </w:t>
      </w:r>
      <w:r w:rsidR="00E21D08">
        <w:t>no error in our decision in SAPN to exercise our discretion to consider estimates of the distribution rate from listed equity</w:t>
      </w:r>
      <w:r w:rsidR="00972820">
        <w:t>.</w:t>
      </w:r>
      <w:r w:rsidR="00023359">
        <w:rPr>
          <w:rStyle w:val="FootnoteReference"/>
        </w:rPr>
        <w:footnoteReference w:id="534"/>
      </w:r>
    </w:p>
    <w:p w:rsidR="00C52695" w:rsidRDefault="00C52695" w:rsidP="00C52695">
      <w:pPr>
        <w:rPr>
          <w:rStyle w:val="AERbody"/>
        </w:rPr>
      </w:pPr>
      <w:r>
        <w:t>In relation to the distribution rate, we note it is a firm specific parameter in principle. However, as Lally advised, there are reasons why it may not be appropriate to use firm specific data or industry averages, so sector wide data can be used as a reasonable proxy.</w:t>
      </w:r>
      <w:r>
        <w:rPr>
          <w:rStyle w:val="FootnoteReference"/>
        </w:rPr>
        <w:footnoteReference w:id="535"/>
      </w:r>
      <w:r>
        <w:rPr>
          <w:rStyle w:val="AERbody"/>
        </w:rPr>
        <w:t xml:space="preserve"> Therefore, we consider it is appropriate to use estimates of the distribution rate based on listed equity and all equity. We also have regard to Lally's recommended estimate of the distribution rate for listed equity estimated from financial reports of the top 20 listed firms (that is, 0.83).</w:t>
      </w:r>
      <w:r>
        <w:rPr>
          <w:rStyle w:val="FootnoteReference"/>
        </w:rPr>
        <w:footnoteReference w:id="536"/>
      </w:r>
      <w:r>
        <w:rPr>
          <w:rStyle w:val="AERbody"/>
        </w:rPr>
        <w:t xml:space="preserve"> Lally considers this estimate is reflective of the distribution rate for a benchmark efficient entity. </w:t>
      </w:r>
    </w:p>
    <w:p w:rsidR="00C52695" w:rsidRPr="005764F6" w:rsidRDefault="004D558A" w:rsidP="00C52695">
      <w:pPr>
        <w:rPr>
          <w:rStyle w:val="AERbody"/>
        </w:rPr>
      </w:pPr>
      <w:r>
        <w:t>W</w:t>
      </w:r>
      <w:r w:rsidR="00C52695" w:rsidRPr="00E64E9B">
        <w:t xml:space="preserve">e note </w:t>
      </w:r>
      <w:r>
        <w:t xml:space="preserve">that </w:t>
      </w:r>
      <w:r w:rsidR="00C52695" w:rsidRPr="00E64E9B">
        <w:t xml:space="preserve">the </w:t>
      </w:r>
      <w:r>
        <w:t xml:space="preserve">Ausgrid </w:t>
      </w:r>
      <w:r w:rsidR="00C52695" w:rsidRPr="00E64E9B">
        <w:t xml:space="preserve">Tribunal did not find a clear error in our approach prior to using its preferred approach. We remain of the view that our approach is </w:t>
      </w:r>
      <w:r w:rsidR="00C52695">
        <w:t xml:space="preserve">open to us, and results in a </w:t>
      </w:r>
      <w:r w:rsidR="00C52695" w:rsidRPr="00E64E9B">
        <w:t>conservative</w:t>
      </w:r>
      <w:r w:rsidR="00C52695">
        <w:t xml:space="preserve"> estimate (see section </w:t>
      </w:r>
      <w:r w:rsidR="00C52695">
        <w:fldChar w:fldCharType="begin"/>
      </w:r>
      <w:r w:rsidR="00C52695">
        <w:instrText xml:space="preserve"> REF _Ref401133206 \r \h </w:instrText>
      </w:r>
      <w:r w:rsidR="00C52695">
        <w:fldChar w:fldCharType="separate"/>
      </w:r>
      <w:r w:rsidR="00812A72">
        <w:t>A.10</w:t>
      </w:r>
      <w:r w:rsidR="00C52695">
        <w:fldChar w:fldCharType="end"/>
      </w:r>
      <w:r w:rsidR="00C52695">
        <w:t>)</w:t>
      </w:r>
      <w:r w:rsidR="00C52695" w:rsidRPr="00E64E9B">
        <w:t xml:space="preserve">. </w:t>
      </w:r>
    </w:p>
    <w:p w:rsidR="00C52695" w:rsidRPr="00883125" w:rsidRDefault="00C52695" w:rsidP="00C52695">
      <w:pPr>
        <w:pStyle w:val="Heading9"/>
      </w:pPr>
      <w:bookmarkStart w:id="323" w:name="_Ref403481194"/>
      <w:bookmarkStart w:id="324" w:name="_Ref450299300"/>
      <w:bookmarkStart w:id="325" w:name="_Ref450765039"/>
      <w:bookmarkStart w:id="326" w:name="_Toc456614325"/>
      <w:bookmarkStart w:id="327" w:name="_Toc462823331"/>
      <w:bookmarkStart w:id="328" w:name="_Toc481061499"/>
      <w:r w:rsidRPr="00883125">
        <w:t xml:space="preserve">Relationship between the distribution rate and the utilisation </w:t>
      </w:r>
      <w:bookmarkEnd w:id="323"/>
      <w:r w:rsidRPr="00883125">
        <w:t>value</w:t>
      </w:r>
      <w:bookmarkEnd w:id="324"/>
      <w:bookmarkEnd w:id="325"/>
      <w:bookmarkEnd w:id="326"/>
      <w:bookmarkEnd w:id="327"/>
      <w:bookmarkEnd w:id="328"/>
    </w:p>
    <w:p w:rsidR="00C52695" w:rsidRPr="00883125" w:rsidRDefault="00C52695" w:rsidP="00C52695">
      <w:pPr>
        <w:numPr>
          <w:ilvl w:val="0"/>
          <w:numId w:val="24"/>
        </w:numPr>
      </w:pPr>
      <w:r w:rsidRPr="00883125">
        <w:t xml:space="preserve">In developing the Guideline, we did not recognise the relationship between definitions and estimates of the distribution rate and the utilisation rate. This relationship is that a given estimate of the distribution rate represents the proportion of credits distributed by a given set of companies to the set of investors in those companies. </w:t>
      </w:r>
      <w:r>
        <w:t>In decisions released post the Guideline we considered that f</w:t>
      </w:r>
      <w:r w:rsidRPr="00883125">
        <w:t>or consistency in estimating the value of imputation credits, a corresponding estimate of the utilisation rate should reflect the utilisation of that same set of investors.</w:t>
      </w:r>
    </w:p>
    <w:p w:rsidR="00C52695" w:rsidRPr="00883125" w:rsidRDefault="00C52695" w:rsidP="00C52695">
      <w:r w:rsidRPr="005764F6">
        <w:t>We considered that this relationship should be recognised when determining estimates of the value of imputation credits.</w:t>
      </w:r>
      <w:r w:rsidRPr="00883125">
        <w:t xml:space="preserve"> We therefore consider</w:t>
      </w:r>
      <w:r>
        <w:t>ed</w:t>
      </w:r>
      <w:r w:rsidRPr="00883125">
        <w:t xml:space="preserve"> that estimates of the utilisation rate determined with regard to investors in only listed equity should be paired with estimates of the distribution rate that are also determined with regard to only listed equity. Similarly, </w:t>
      </w:r>
      <w:r>
        <w:t xml:space="preserve">we considered that </w:t>
      </w:r>
      <w:r w:rsidRPr="00883125">
        <w:t>estimates of the utilisation rate determined with regard to all equity should be paired with estimates of the distribution rate that are also determined with regard to all equity.</w:t>
      </w:r>
    </w:p>
    <w:p w:rsidR="00D75E7C" w:rsidRDefault="00C52695" w:rsidP="00C52695">
      <w:pPr>
        <w:numPr>
          <w:ilvl w:val="0"/>
          <w:numId w:val="24"/>
        </w:numPr>
        <w:rPr>
          <w:rStyle w:val="AERbody"/>
        </w:rPr>
      </w:pPr>
      <w:r w:rsidRPr="00883125">
        <w:rPr>
          <w:rStyle w:val="AERbody"/>
        </w:rPr>
        <w:t xml:space="preserve">The service providers do not agree that the estimate of the utilisation </w:t>
      </w:r>
      <w:r w:rsidRPr="00883125">
        <w:t>value</w:t>
      </w:r>
      <w:r w:rsidRPr="00883125">
        <w:rPr>
          <w:rStyle w:val="AERbody"/>
        </w:rPr>
        <w:t xml:space="preserve"> based on listed equity (all equity) can be paired</w:t>
      </w:r>
      <w:r>
        <w:rPr>
          <w:rStyle w:val="AERbody"/>
        </w:rPr>
        <w:t xml:space="preserve"> only</w:t>
      </w:r>
      <w:r w:rsidRPr="00883125">
        <w:rPr>
          <w:rStyle w:val="AERbody"/>
        </w:rPr>
        <w:t xml:space="preserve"> with a listed equity (all equity) distribution rate.</w:t>
      </w:r>
      <w:r w:rsidRPr="00883125">
        <w:rPr>
          <w:rStyle w:val="FootnoteReference"/>
        </w:rPr>
        <w:footnoteReference w:id="537"/>
      </w:r>
      <w:r w:rsidRPr="00883125">
        <w:rPr>
          <w:rStyle w:val="AERbody"/>
        </w:rPr>
        <w:t xml:space="preserve"> They </w:t>
      </w:r>
      <w:r w:rsidRPr="00883125">
        <w:rPr>
          <w:rStyle w:val="AERbody"/>
        </w:rPr>
        <w:lastRenderedPageBreak/>
        <w:t>submit that for the equity ownership approach both ownership and distribution data is available for all equity and listed equity and it should be necessary to consider which of these measures is more reflective of the benchmark firm.</w:t>
      </w:r>
      <w:r w:rsidRPr="00883125">
        <w:rPr>
          <w:rStyle w:val="FootnoteReference"/>
        </w:rPr>
        <w:footnoteReference w:id="538"/>
      </w:r>
      <w:r w:rsidRPr="00883125">
        <w:rPr>
          <w:rStyle w:val="AERbody"/>
        </w:rPr>
        <w:t xml:space="preserve"> Service providers consider that the distribution rate should be set with reference to all equity to avoid the influence of imputation credits being attached to foreign income.</w:t>
      </w:r>
      <w:r>
        <w:rPr>
          <w:rStyle w:val="FootnoteReference"/>
        </w:rPr>
        <w:footnoteReference w:id="539"/>
      </w:r>
      <w:r w:rsidRPr="00883125">
        <w:rPr>
          <w:rStyle w:val="AERbody"/>
        </w:rPr>
        <w:t xml:space="preserve"> For the utilisation </w:t>
      </w:r>
      <w:r w:rsidRPr="00883125">
        <w:t>value</w:t>
      </w:r>
      <w:r w:rsidRPr="00883125">
        <w:rPr>
          <w:rStyle w:val="AERbody"/>
        </w:rPr>
        <w:t xml:space="preserve"> they consider that it should to be estimated with reference to only listed equity in order to reflect foreign ownership in the benchmark firm.</w:t>
      </w:r>
      <w:r w:rsidRPr="00883125">
        <w:rPr>
          <w:rStyle w:val="FootnoteReference"/>
        </w:rPr>
        <w:footnoteReference w:id="540"/>
      </w:r>
    </w:p>
    <w:p w:rsidR="00C52695" w:rsidRPr="00883125" w:rsidRDefault="00C52695" w:rsidP="00C52695">
      <w:pPr>
        <w:numPr>
          <w:ilvl w:val="0"/>
          <w:numId w:val="24"/>
        </w:numPr>
        <w:rPr>
          <w:rStyle w:val="AERbody"/>
        </w:rPr>
      </w:pPr>
      <w:r w:rsidRPr="00883125">
        <w:rPr>
          <w:rStyle w:val="AERbody"/>
        </w:rPr>
        <w:t>Both Stephen Gray (for Frontier) and NERA submitted that there is no inconsistency with paring the distribution rate for all equity with a theta value (or utilisation rate) for listed equity as the distribution rate is firm specific within the Officer model.</w:t>
      </w:r>
      <w:r w:rsidRPr="00883125">
        <w:rPr>
          <w:rStyle w:val="FootnoteReference"/>
        </w:rPr>
        <w:footnoteReference w:id="541"/>
      </w:r>
      <w:r w:rsidRPr="00883125">
        <w:rPr>
          <w:rStyle w:val="AERbody"/>
        </w:rPr>
        <w:t xml:space="preserve"> As a result they appear to consider we should use either the distribution rate from the broadest market (all equity) in combination with a theta estimate from listed equity,</w:t>
      </w:r>
      <w:r w:rsidRPr="00883125">
        <w:rPr>
          <w:rStyle w:val="FootnoteReference"/>
        </w:rPr>
        <w:footnoteReference w:id="542"/>
      </w:r>
      <w:r w:rsidRPr="00883125">
        <w:rPr>
          <w:rStyle w:val="AERbody"/>
        </w:rPr>
        <w:t xml:space="preserve"> or alternatively we should use of a distribution rate estimated from listed equity excluding the 20 largest firms in the market, both of which yield an estimated distribution rate of around 70%. They effectively consider the use of the 20 largest listed firms to estimate the distribution rate from listed equity data </w:t>
      </w:r>
      <w:r w:rsidRPr="00883125">
        <w:rPr>
          <w:rStyle w:val="AERbody"/>
        </w:rPr>
        <w:lastRenderedPageBreak/>
        <w:t>alone will overestimate the distribution rate for the benchmark efficient entity as we assume this entity is not a large listed entity.</w:t>
      </w:r>
      <w:r w:rsidRPr="00883125">
        <w:rPr>
          <w:rStyle w:val="FootnoteReference"/>
        </w:rPr>
        <w:footnoteReference w:id="543"/>
      </w:r>
    </w:p>
    <w:p w:rsidR="00E72AEB" w:rsidRDefault="00C52695" w:rsidP="00E72AEB">
      <w:pPr>
        <w:numPr>
          <w:ilvl w:val="0"/>
          <w:numId w:val="24"/>
        </w:numPr>
        <w:rPr>
          <w:rStyle w:val="AERbody"/>
        </w:rPr>
      </w:pPr>
      <w:r w:rsidRPr="00883125">
        <w:rPr>
          <w:rStyle w:val="AERbody"/>
        </w:rPr>
        <w:t>Gray (for Frontier) considers that the distribution rate is firm specific, while theta is a market wider parameter.</w:t>
      </w:r>
      <w:r w:rsidRPr="00883125">
        <w:rPr>
          <w:rStyle w:val="FootnoteReference"/>
        </w:rPr>
        <w:footnoteReference w:id="544"/>
      </w:r>
      <w:r w:rsidRPr="00883125">
        <w:rPr>
          <w:rStyle w:val="AERbody"/>
        </w:rPr>
        <w:t xml:space="preserve"> Gr</w:t>
      </w:r>
      <w:r>
        <w:rPr>
          <w:rStyle w:val="AERbody"/>
        </w:rPr>
        <w:t>a</w:t>
      </w:r>
      <w:r w:rsidRPr="00883125">
        <w:rPr>
          <w:rStyle w:val="AERbody"/>
        </w:rPr>
        <w:t xml:space="preserve">y (for Frontier) draws an analogy between gamma and the CAPM, where the distribution rate is similar to beta and theta is similar to the MRP. Handley </w:t>
      </w:r>
      <w:r>
        <w:rPr>
          <w:rStyle w:val="AERbody"/>
        </w:rPr>
        <w:t xml:space="preserve">previously </w:t>
      </w:r>
      <w:r w:rsidRPr="00883125">
        <w:rPr>
          <w:rStyle w:val="AERbody"/>
        </w:rPr>
        <w:t xml:space="preserve">considered </w:t>
      </w:r>
      <w:r w:rsidR="00BB4E44" w:rsidRPr="00883125">
        <w:rPr>
          <w:rStyle w:val="AERbody"/>
        </w:rPr>
        <w:t>th</w:t>
      </w:r>
      <w:r w:rsidR="00BB4E44">
        <w:rPr>
          <w:rStyle w:val="AERbody"/>
        </w:rPr>
        <w:t>ese</w:t>
      </w:r>
      <w:r w:rsidR="00BB4E44" w:rsidRPr="00883125">
        <w:rPr>
          <w:rStyle w:val="AERbody"/>
        </w:rPr>
        <w:t xml:space="preserve"> </w:t>
      </w:r>
      <w:r w:rsidRPr="00883125">
        <w:rPr>
          <w:rStyle w:val="AERbody"/>
        </w:rPr>
        <w:t>issues and supported our decision in JGN to not remove the largest listed equity firms from the estimation of the distribution rate on the basis foreign sourced income allows them to distribute a higher proportion of imputation credits.</w:t>
      </w:r>
      <w:r w:rsidRPr="00883125">
        <w:rPr>
          <w:rStyle w:val="FootnoteReference"/>
        </w:rPr>
        <w:footnoteReference w:id="545"/>
      </w:r>
      <w:r w:rsidRPr="00883125">
        <w:rPr>
          <w:rStyle w:val="AERbody"/>
        </w:rPr>
        <w:t xml:space="preserve"> </w:t>
      </w:r>
      <w:r>
        <w:rPr>
          <w:rStyle w:val="AERbody"/>
        </w:rPr>
        <w:t xml:space="preserve">Further, as outlined in section </w:t>
      </w:r>
      <w:r>
        <w:rPr>
          <w:rStyle w:val="AERbody"/>
        </w:rPr>
        <w:fldChar w:fldCharType="begin"/>
      </w:r>
      <w:r>
        <w:rPr>
          <w:rStyle w:val="AERbody"/>
        </w:rPr>
        <w:instrText xml:space="preserve"> REF _Ref414289334 \r \h </w:instrText>
      </w:r>
      <w:r>
        <w:rPr>
          <w:rStyle w:val="AERbody"/>
        </w:rPr>
      </w:r>
      <w:r>
        <w:rPr>
          <w:rStyle w:val="AERbody"/>
        </w:rPr>
        <w:fldChar w:fldCharType="separate"/>
      </w:r>
      <w:r w:rsidR="00812A72">
        <w:rPr>
          <w:rStyle w:val="AERbody"/>
        </w:rPr>
        <w:t>A.10.1</w:t>
      </w:r>
      <w:r>
        <w:rPr>
          <w:rStyle w:val="AERbody"/>
        </w:rPr>
        <w:fldChar w:fldCharType="end"/>
      </w:r>
      <w:r>
        <w:rPr>
          <w:rStyle w:val="AERbody"/>
        </w:rPr>
        <w:t>, Lally has demonstrated there is a negative relationship between foreign operations and the distribution rate.</w:t>
      </w:r>
      <w:r>
        <w:rPr>
          <w:rStyle w:val="FootnoteReference"/>
        </w:rPr>
        <w:footnoteReference w:id="546"/>
      </w:r>
      <w:r>
        <w:rPr>
          <w:rStyle w:val="AERbody"/>
        </w:rPr>
        <w:t xml:space="preserve"> This demonstrates that foreign income actually decreases the distribution rate and not increases it as suggested by Frontier.</w:t>
      </w:r>
    </w:p>
    <w:p w:rsidR="00C52695" w:rsidRDefault="00C52695" w:rsidP="00C52695">
      <w:pPr>
        <w:numPr>
          <w:ilvl w:val="0"/>
          <w:numId w:val="24"/>
        </w:numPr>
        <w:rPr>
          <w:rStyle w:val="AERbody"/>
        </w:rPr>
      </w:pPr>
      <w:r w:rsidRPr="00883125">
        <w:rPr>
          <w:rStyle w:val="AERbody"/>
        </w:rPr>
        <w:t xml:space="preserve">The service providers consider that two benchmark characteristics, foreign ownership and foreign income, justify a lower gamma estimate. However, </w:t>
      </w:r>
      <w:r>
        <w:rPr>
          <w:rStyle w:val="AERbody"/>
        </w:rPr>
        <w:t>we</w:t>
      </w:r>
      <w:r w:rsidRPr="00883125">
        <w:rPr>
          <w:rStyle w:val="AERbody"/>
        </w:rPr>
        <w:t xml:space="preserve"> consider that are other benchmark characteristics that may justify a higher gamma estimate and/or a lower corporate tax allowance. For instance, the EMRF has submitted</w:t>
      </w:r>
      <w:r>
        <w:rPr>
          <w:rStyle w:val="AERbody"/>
        </w:rPr>
        <w:t xml:space="preserve"> that</w:t>
      </w:r>
      <w:r w:rsidRPr="00883125">
        <w:rPr>
          <w:rStyle w:val="AERbody"/>
        </w:rPr>
        <w:t xml:space="preserve"> the Franking account balance of APA Group, Envestra Limited (pre-sale) and JGN's parent company is zero.</w:t>
      </w:r>
      <w:r w:rsidRPr="00883125">
        <w:rPr>
          <w:rStyle w:val="FootnoteReference"/>
        </w:rPr>
        <w:footnoteReference w:id="547"/>
      </w:r>
      <w:r w:rsidRPr="00883125">
        <w:rPr>
          <w:rStyle w:val="AERbody"/>
        </w:rPr>
        <w:t xml:space="preserve"> This could imply that regulated businesses distribute all their imputation credits and therefore the appropriate benchmark distribution rate is closer to one hundred per cent. Alternatively, this could imply that the regulated businesses do not generate any imputation credits as they do not pay company tax. </w:t>
      </w:r>
      <w:r>
        <w:rPr>
          <w:rStyle w:val="AERbody"/>
        </w:rPr>
        <w:t>We</w:t>
      </w:r>
      <w:r w:rsidRPr="00883125">
        <w:rPr>
          <w:rStyle w:val="AERbody"/>
        </w:rPr>
        <w:t xml:space="preserve"> consider the benchmark should be considered holistically and individual characteristics of the benchmark should not be considered in isolation.</w:t>
      </w:r>
    </w:p>
    <w:p w:rsidR="00C52695" w:rsidRPr="005764F6" w:rsidRDefault="00C52695" w:rsidP="00C52695">
      <w:r w:rsidRPr="00033F58">
        <w:t xml:space="preserve">Lally considered </w:t>
      </w:r>
      <w:r w:rsidR="00E4076C">
        <w:t xml:space="preserve">there is no necessity to combine </w:t>
      </w:r>
      <w:r w:rsidR="00E4076C" w:rsidRPr="001D37D5">
        <w:t>estimates of the distribution rate and utilisation rate from the same dataset</w:t>
      </w:r>
      <w:r w:rsidR="00E4076C">
        <w:t xml:space="preserve"> and g</w:t>
      </w:r>
      <w:r w:rsidR="00C21B8A">
        <w:t>ood reason not for not doing so</w:t>
      </w:r>
      <w:r w:rsidR="00E4076C">
        <w:t>.</w:t>
      </w:r>
      <w:r w:rsidR="00E4076C">
        <w:rPr>
          <w:rStyle w:val="FootnoteReference"/>
        </w:rPr>
        <w:footnoteReference w:id="548"/>
      </w:r>
      <w:r w:rsidR="00E4076C">
        <w:t xml:space="preserve"> </w:t>
      </w:r>
      <w:r w:rsidRPr="00033F58">
        <w:t>Following this, we consider it is not necessary to 'match' estimates of distribution rates and utilisation rates based on the dataset used</w:t>
      </w:r>
      <w:r>
        <w:t xml:space="preserve">, although we note </w:t>
      </w:r>
      <w:r w:rsidRPr="00EA5758">
        <w:t>the choice is open to us</w:t>
      </w:r>
      <w:r w:rsidRPr="00033F58">
        <w:t>. While we principally maintain our previous approach, we also have some regard to Lally's preferred approach (which combines an all equity utilisation rate from the equity ownership approach with a distribution rate for listed equity from financial reports of the top 20 listed firms).</w:t>
      </w:r>
      <w:r w:rsidRPr="00033F58">
        <w:rPr>
          <w:rStyle w:val="FootnoteReference"/>
        </w:rPr>
        <w:footnoteReference w:id="549"/>
      </w:r>
      <w:r>
        <w:t xml:space="preserve"> </w:t>
      </w:r>
      <w:r w:rsidRPr="005764F6">
        <w:t>We note that Lally</w:t>
      </w:r>
      <w:r>
        <w:t>'s preferred approach</w:t>
      </w:r>
      <w:r w:rsidRPr="005764F6">
        <w:t xml:space="preserve"> suggest</w:t>
      </w:r>
      <w:r>
        <w:t>s</w:t>
      </w:r>
      <w:r w:rsidRPr="005764F6">
        <w:t xml:space="preserve"> </w:t>
      </w:r>
      <w:r>
        <w:t>a</w:t>
      </w:r>
      <w:r w:rsidRPr="005764F6">
        <w:t xml:space="preserve"> distribution </w:t>
      </w:r>
      <w:r>
        <w:t xml:space="preserve">rate of at least </w:t>
      </w:r>
      <w:r w:rsidRPr="005764F6">
        <w:t xml:space="preserve">0.83 and </w:t>
      </w:r>
      <w:r>
        <w:t xml:space="preserve">a utilisation </w:t>
      </w:r>
      <w:r>
        <w:lastRenderedPageBreak/>
        <w:t xml:space="preserve">rate of </w:t>
      </w:r>
      <w:r w:rsidRPr="005764F6">
        <w:t>0.60.</w:t>
      </w:r>
      <w:r w:rsidRPr="005764F6">
        <w:rPr>
          <w:rStyle w:val="FootnoteReference"/>
        </w:rPr>
        <w:footnoteReference w:id="550"/>
      </w:r>
      <w:r w:rsidRPr="005764F6">
        <w:t xml:space="preserve"> </w:t>
      </w:r>
      <w:r>
        <w:t>This</w:t>
      </w:r>
      <w:r w:rsidRPr="005764F6">
        <w:t xml:space="preserve"> suggest</w:t>
      </w:r>
      <w:r>
        <w:t>s</w:t>
      </w:r>
      <w:r w:rsidRPr="005764F6">
        <w:t xml:space="preserve"> </w:t>
      </w:r>
      <w:r>
        <w:t xml:space="preserve">a </w:t>
      </w:r>
      <w:r w:rsidRPr="005764F6">
        <w:t xml:space="preserve">gamma </w:t>
      </w:r>
      <w:r>
        <w:t>value of</w:t>
      </w:r>
      <w:r w:rsidRPr="005764F6">
        <w:t xml:space="preserve"> at least 0.50</w:t>
      </w:r>
      <w:r>
        <w:t>, which is higher than our estimate of 0.4</w:t>
      </w:r>
      <w:r w:rsidRPr="005764F6">
        <w:t>.</w:t>
      </w:r>
      <w:r>
        <w:rPr>
          <w:rStyle w:val="FootnoteReference"/>
        </w:rPr>
        <w:footnoteReference w:id="551"/>
      </w:r>
    </w:p>
    <w:p w:rsidR="00C52695" w:rsidRPr="00883125" w:rsidRDefault="00C52695" w:rsidP="00C52695">
      <w:pPr>
        <w:pStyle w:val="Heading8"/>
      </w:pPr>
      <w:bookmarkStart w:id="329" w:name="_Toc451842256"/>
      <w:bookmarkStart w:id="330" w:name="_Ref401133206"/>
      <w:bookmarkStart w:id="331" w:name="_Toc436049451"/>
      <w:bookmarkStart w:id="332" w:name="_Toc451842257"/>
      <w:bookmarkStart w:id="333" w:name="_Toc451938311"/>
      <w:bookmarkStart w:id="334" w:name="_Toc456614326"/>
      <w:bookmarkStart w:id="335" w:name="_Toc462823332"/>
      <w:bookmarkStart w:id="336" w:name="_Toc481061500"/>
      <w:bookmarkEnd w:id="329"/>
      <w:r w:rsidRPr="00883125">
        <w:t>Estimating the distribution rate</w:t>
      </w:r>
      <w:bookmarkEnd w:id="330"/>
      <w:bookmarkEnd w:id="331"/>
      <w:bookmarkEnd w:id="332"/>
      <w:bookmarkEnd w:id="333"/>
      <w:bookmarkEnd w:id="334"/>
      <w:bookmarkEnd w:id="335"/>
      <w:bookmarkEnd w:id="336"/>
    </w:p>
    <w:p w:rsidR="00C52695" w:rsidRPr="00883125" w:rsidRDefault="00C52695" w:rsidP="00C52695">
      <w:pPr>
        <w:numPr>
          <w:ilvl w:val="0"/>
          <w:numId w:val="24"/>
        </w:numPr>
      </w:pPr>
      <w:r w:rsidRPr="00883125">
        <w:t xml:space="preserve">We consider that the distribution rate is the proportion of imputation credits generated by the benchmark efficient entity that is distributed to investors. We set out our position on the distribution rate in section </w:t>
      </w:r>
      <w:r>
        <w:fldChar w:fldCharType="begin"/>
      </w:r>
      <w:r>
        <w:instrText xml:space="preserve"> REF _Ref450761230 \r \h </w:instrText>
      </w:r>
      <w:r>
        <w:fldChar w:fldCharType="separate"/>
      </w:r>
      <w:r w:rsidR="00812A72">
        <w:t>4.4.1</w:t>
      </w:r>
      <w:r>
        <w:fldChar w:fldCharType="end"/>
      </w:r>
      <w:r w:rsidRPr="00883125">
        <w:t xml:space="preserve"> of attachment 4. Consistent with the Guideline,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sidRPr="00883125">
        <w:rPr>
          <w:rStyle w:val="FootnoteReference"/>
        </w:rPr>
        <w:footnoteReference w:id="552"/>
      </w:r>
      <w:r w:rsidRPr="00883125">
        <w:t xml:space="preserve"> Hathaway found a similar estimate for the period 2004 to 2011.</w:t>
      </w:r>
      <w:r w:rsidRPr="00883125">
        <w:rPr>
          <w:rStyle w:val="FootnoteReference"/>
        </w:rPr>
        <w:footnoteReference w:id="553"/>
      </w:r>
      <w:r w:rsidRPr="00883125">
        <w:t xml:space="preserve"> Gray (for Frontier) submitted that the distribution rate for all equity and listed equity excluding the impact of the top 20 listed companies is approximately 70%.</w:t>
      </w:r>
      <w:r w:rsidRPr="00883125">
        <w:rPr>
          <w:rStyle w:val="FootnoteReference"/>
        </w:rPr>
        <w:footnoteReference w:id="554"/>
      </w:r>
      <w:r w:rsidRPr="00883125">
        <w:t xml:space="preserve"> Also using this approach, Handley estimated a distribution rate across only listed equity of 0.8 for the period 1987 to 2011.</w:t>
      </w:r>
      <w:r w:rsidRPr="00883125">
        <w:rPr>
          <w:rStyle w:val="FootnoteReference"/>
        </w:rPr>
        <w:footnoteReference w:id="555"/>
      </w:r>
      <w:r w:rsidRPr="00883125">
        <w:t xml:space="preserve"> Our own analysis indicated that the distribution rate over only listed equity is 0.8 for the period 2004 to 2011—we calculated the aggregate net tax paid by public companies over this period to be $255.6 billion and the change in aggregate franking account balances of those companies over the same period to be $50.2 billion (suggesting that $205.4 billion, or 80 per cent, of imputation credits generated were distributed).</w:t>
      </w:r>
    </w:p>
    <w:p w:rsidR="00C52695" w:rsidRPr="00883125" w:rsidRDefault="00C52695" w:rsidP="00C52695">
      <w:pPr>
        <w:numPr>
          <w:ilvl w:val="0"/>
          <w:numId w:val="24"/>
        </w:numPr>
      </w:pPr>
      <w:r w:rsidRPr="00883125">
        <w:t>We relied on an estimate of the distribution rate over all equity of 0.7 in the Guideline and decisions released in 2014 and April 2015 and June 2015. We also relied on an estimate of the distribution rate over only listed equity of 0.8 in the decision released in 2014 and April 2015. We reviewed these estimates in light of an updated analysis of the ATO data to the 2012 tax year by NERA, which was submitted to us as part of JGN's decision process.</w:t>
      </w:r>
      <w:r w:rsidRPr="00883125">
        <w:rPr>
          <w:rStyle w:val="FootnoteReference"/>
        </w:rPr>
        <w:footnoteReference w:id="556"/>
      </w:r>
      <w:r w:rsidRPr="00883125">
        <w:t xml:space="preserve"> Handley also reviewed NERA's analysis, and provided his own report.</w:t>
      </w:r>
      <w:r w:rsidRPr="00883125">
        <w:rPr>
          <w:rStyle w:val="FootnoteReference"/>
        </w:rPr>
        <w:footnoteReference w:id="557"/>
      </w:r>
      <w:r w:rsidRPr="00883125">
        <w:t xml:space="preserve"> Both NERA and Handley found an estimate of 0.7 for the period 2004 to 2012.</w:t>
      </w:r>
      <w:r w:rsidRPr="00883125">
        <w:rPr>
          <w:rStyle w:val="FootnoteReference"/>
        </w:rPr>
        <w:footnoteReference w:id="558"/>
      </w:r>
      <w:r w:rsidRPr="00883125">
        <w:t xml:space="preserve"> However, both NERA and Handley found that the distribution rate over only listed equity has fallen slightly from 0.8. Specifically, Handley found an estimate of 0.77 over the period 2004 to 2012. We used this updated estimate for the decisions released in June, October and November 2015.</w:t>
      </w:r>
    </w:p>
    <w:p w:rsidR="00C52695" w:rsidRPr="00883125" w:rsidRDefault="00C52695" w:rsidP="00C52695">
      <w:pPr>
        <w:numPr>
          <w:ilvl w:val="0"/>
          <w:numId w:val="24"/>
        </w:numPr>
      </w:pPr>
      <w:r w:rsidRPr="00883125">
        <w:lastRenderedPageBreak/>
        <w:t>Gray (for frontier) replicated and updated using the latest Taxation Statistics cumulative payout ratio for public and private companies in NERA's (2015) report.</w:t>
      </w:r>
      <w:r w:rsidRPr="00883125">
        <w:rPr>
          <w:rStyle w:val="FootnoteReference"/>
        </w:rPr>
        <w:footnoteReference w:id="559"/>
      </w:r>
      <w:r w:rsidRPr="00883125">
        <w:t xml:space="preserve"> However, Gray's (for frontier) replication of Handley (2014) and Handley (2015) cumulative payout ratio is slightly different due to what Gray </w:t>
      </w:r>
      <w:r w:rsidR="00514A99">
        <w:t>considers</w:t>
      </w:r>
      <w:r w:rsidRPr="00883125">
        <w:t xml:space="preserve"> to be a different rounding method.</w:t>
      </w:r>
      <w:r w:rsidRPr="00883125">
        <w:rPr>
          <w:rStyle w:val="FootnoteReference"/>
        </w:rPr>
        <w:footnoteReference w:id="560"/>
      </w:r>
      <w:r w:rsidRPr="00883125">
        <w:t xml:space="preserve"> The update payout ratios presented below in </w:t>
      </w:r>
      <w:r w:rsidRPr="00883125">
        <w:fldChar w:fldCharType="begin"/>
      </w:r>
      <w:r w:rsidRPr="00883125">
        <w:instrText xml:space="preserve"> REF _Ref450332920 \h </w:instrText>
      </w:r>
      <w:r w:rsidRPr="00883125">
        <w:fldChar w:fldCharType="separate"/>
      </w:r>
      <w:r w:rsidR="00812A72" w:rsidRPr="00883125">
        <w:t xml:space="preserve">Table </w:t>
      </w:r>
      <w:r w:rsidR="00812A72">
        <w:rPr>
          <w:noProof/>
        </w:rPr>
        <w:t>4</w:t>
      </w:r>
      <w:r w:rsidR="00812A72">
        <w:noBreakHyphen/>
      </w:r>
      <w:r w:rsidR="00812A72">
        <w:rPr>
          <w:noProof/>
        </w:rPr>
        <w:t>14</w:t>
      </w:r>
      <w:r w:rsidRPr="00883125">
        <w:fldChar w:fldCharType="end"/>
      </w:r>
      <w:r w:rsidRPr="00883125">
        <w:t>.</w:t>
      </w:r>
    </w:p>
    <w:p w:rsidR="00C52695" w:rsidRPr="00883125" w:rsidRDefault="00C52695" w:rsidP="00C52695">
      <w:pPr>
        <w:pStyle w:val="Caption"/>
      </w:pPr>
      <w:bookmarkStart w:id="337" w:name="_Ref450332920"/>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14</w:t>
      </w:r>
      <w:r w:rsidRPr="001D37D5">
        <w:fldChar w:fldCharType="end"/>
      </w:r>
      <w:bookmarkEnd w:id="337"/>
      <w:r w:rsidRPr="00883125">
        <w:tab/>
        <w:t>Frontier Economics updated distribution rates</w:t>
      </w:r>
    </w:p>
    <w:tbl>
      <w:tblPr>
        <w:tblStyle w:val="AERtable-numbers"/>
        <w:tblW w:w="0" w:type="auto"/>
        <w:tblLook w:val="04A0" w:firstRow="1" w:lastRow="0" w:firstColumn="1" w:lastColumn="0" w:noHBand="0" w:noVBand="1"/>
      </w:tblPr>
      <w:tblGrid>
        <w:gridCol w:w="3817"/>
        <w:gridCol w:w="2712"/>
        <w:gridCol w:w="2713"/>
      </w:tblGrid>
      <w:tr w:rsidR="00C52695"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p>
        </w:tc>
        <w:tc>
          <w:tcPr>
            <w:tcW w:w="2712"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2001-2012</w:t>
            </w:r>
          </w:p>
        </w:tc>
        <w:tc>
          <w:tcPr>
            <w:tcW w:w="2713"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2001-2013</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Handley (public companies)</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0.76</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Handley (Private companies)</w:t>
            </w:r>
          </w:p>
        </w:tc>
        <w:tc>
          <w:tcPr>
            <w:tcW w:w="2712"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0.52</w:t>
            </w:r>
          </w:p>
        </w:tc>
        <w:tc>
          <w:tcPr>
            <w:tcW w:w="2713"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0.507</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NERA (public companies)</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0.755</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NERA (Private companies)</w:t>
            </w:r>
          </w:p>
        </w:tc>
        <w:tc>
          <w:tcPr>
            <w:tcW w:w="2712"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0.505</w:t>
            </w:r>
          </w:p>
        </w:tc>
        <w:tc>
          <w:tcPr>
            <w:tcW w:w="2713"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0.495</w:t>
            </w:r>
          </w:p>
        </w:tc>
      </w:tr>
    </w:tbl>
    <w:p w:rsidR="00C52695" w:rsidRPr="00CA67C0" w:rsidRDefault="00C52695" w:rsidP="00C52695">
      <w:pPr>
        <w:pStyle w:val="AERtablesource"/>
      </w:pPr>
      <w:r w:rsidRPr="00883125">
        <w:t xml:space="preserve">Source: </w:t>
      </w:r>
      <w:r w:rsidRPr="00883125">
        <w:tab/>
        <w:t xml:space="preserve">Frontier, </w:t>
      </w:r>
      <w:r w:rsidRPr="00E750F8">
        <w:rPr>
          <w:rStyle w:val="AERtextitalic"/>
        </w:rPr>
        <w:t>The appropriate use of tax statistics when estimating gamma</w:t>
      </w:r>
      <w:r w:rsidRPr="00883125">
        <w:t>, January 2016, p. 22.</w:t>
      </w:r>
    </w:p>
    <w:p w:rsidR="00C52695" w:rsidRDefault="00C52695" w:rsidP="00C52695">
      <w:pPr>
        <w:numPr>
          <w:ilvl w:val="0"/>
          <w:numId w:val="24"/>
        </w:numPr>
        <w:rPr>
          <w:rStyle w:val="AERbody"/>
        </w:rPr>
      </w:pPr>
      <w:r w:rsidRPr="00883125">
        <w:rPr>
          <w:rStyle w:val="AERbody"/>
        </w:rPr>
        <w:t xml:space="preserve">For this </w:t>
      </w:r>
      <w:r w:rsidR="00962DCD">
        <w:rPr>
          <w:rStyle w:val="AERbody"/>
        </w:rPr>
        <w:t xml:space="preserve">final </w:t>
      </w:r>
      <w:r w:rsidRPr="00883125">
        <w:rPr>
          <w:rStyle w:val="AERbody"/>
        </w:rPr>
        <w:t xml:space="preserve">decision the AER has updated the cumulative distribution rate to 2014. Through this process we have estimated that the distribution rate for listed equity has fallen to 0.75 and this value is adopted in this </w:t>
      </w:r>
      <w:r w:rsidR="00022C1D">
        <w:rPr>
          <w:rStyle w:val="AERbody"/>
        </w:rPr>
        <w:t xml:space="preserve">final </w:t>
      </w:r>
      <w:r w:rsidRPr="00883125">
        <w:rPr>
          <w:rStyle w:val="AERbody"/>
        </w:rPr>
        <w:t xml:space="preserve">decision. Consistent </w:t>
      </w:r>
      <w:r>
        <w:rPr>
          <w:rStyle w:val="AERbody"/>
        </w:rPr>
        <w:t xml:space="preserve">with </w:t>
      </w:r>
      <w:r w:rsidRPr="00883125">
        <w:rPr>
          <w:rStyle w:val="AERbody"/>
        </w:rPr>
        <w:t xml:space="preserve">the regulated businesses proposals, the AER adopts a 0.7 distribution rate for all equity in this </w:t>
      </w:r>
      <w:r w:rsidR="00022C1D">
        <w:rPr>
          <w:rStyle w:val="AERbody"/>
        </w:rPr>
        <w:t xml:space="preserve">final </w:t>
      </w:r>
      <w:r w:rsidRPr="00883125">
        <w:rPr>
          <w:rStyle w:val="AERbody"/>
        </w:rPr>
        <w:t xml:space="preserve">decision. </w:t>
      </w:r>
    </w:p>
    <w:p w:rsidR="00C52695" w:rsidRDefault="00C52695" w:rsidP="00C52695">
      <w:r w:rsidRPr="005764F6">
        <w:t xml:space="preserve">We note that Lally recommends we use the distribution rate for </w:t>
      </w:r>
      <w:r>
        <w:t xml:space="preserve">listed equity estimated from financial reports of the </w:t>
      </w:r>
      <w:r w:rsidRPr="005764F6">
        <w:t>top 20 listed firms. This is due to Lally considering that listed equity is more representative of the benchmark efficient entity</w:t>
      </w:r>
      <w:r>
        <w:t>, stating:</w:t>
      </w:r>
      <w:r>
        <w:rPr>
          <w:rStyle w:val="FootnoteReference"/>
        </w:rPr>
        <w:footnoteReference w:id="561"/>
      </w:r>
      <w:r w:rsidRPr="005764F6">
        <w:t xml:space="preserve"> </w:t>
      </w:r>
    </w:p>
    <w:p w:rsidR="00C52695" w:rsidRDefault="00C52695" w:rsidP="00C52695">
      <w:pPr>
        <w:pStyle w:val="AERquote"/>
      </w:pPr>
      <w:r w:rsidRPr="003F23C3">
        <w:t>Furthermore, since privately-owned regulated businesses in Australia are typically listed firms or subsidiaries of listed firms, the appropriate set of firms to use to estimate the distribution rate of regulated businesses would seem to be listed firms.</w:t>
      </w:r>
    </w:p>
    <w:p w:rsidR="00C52695" w:rsidRPr="005764F6" w:rsidRDefault="00C52695" w:rsidP="00C52695">
      <w:r>
        <w:t>Lally also considers</w:t>
      </w:r>
      <w:r w:rsidRPr="005764F6">
        <w:t xml:space="preserve"> the data on the top 20 firms is of a higher quality (via financial statements) relative to the ATO data which contains unresolved discrepancies.</w:t>
      </w:r>
      <w:r w:rsidRPr="005053A1">
        <w:rPr>
          <w:rStyle w:val="FootnoteReference"/>
        </w:rPr>
        <w:footnoteReference w:id="562"/>
      </w:r>
      <w:r w:rsidRPr="005764F6">
        <w:t xml:space="preserve"> We note that if </w:t>
      </w:r>
      <w:r>
        <w:t>we</w:t>
      </w:r>
      <w:r w:rsidRPr="005764F6">
        <w:t xml:space="preserve"> were to adopt Lally </w:t>
      </w:r>
      <w:r>
        <w:t>recommendation</w:t>
      </w:r>
      <w:r w:rsidRPr="005764F6">
        <w:t xml:space="preserve"> in this decision it would result in our estimate for the distribution rate of the benchmark efficient entity (and therefore gamma) increasing. Therefore, while we have not </w:t>
      </w:r>
      <w:r>
        <w:t>used this advice</w:t>
      </w:r>
      <w:r w:rsidRPr="005764F6">
        <w:t xml:space="preserve"> to increase gamma above 0.4, it does provide support to reject the proposals from the </w:t>
      </w:r>
      <w:r>
        <w:t>service providers</w:t>
      </w:r>
      <w:r w:rsidRPr="005764F6">
        <w:t xml:space="preserve"> to reduce the gamma value to 0.25 based on the </w:t>
      </w:r>
      <w:r w:rsidR="00C25A56">
        <w:t xml:space="preserve">Ausgrid </w:t>
      </w:r>
      <w:r w:rsidRPr="005764F6">
        <w:t xml:space="preserve">Tribunal decision. </w:t>
      </w:r>
    </w:p>
    <w:p w:rsidR="00C52695" w:rsidRPr="00883125" w:rsidRDefault="00C52695" w:rsidP="00C52695">
      <w:pPr>
        <w:numPr>
          <w:ilvl w:val="0"/>
          <w:numId w:val="24"/>
        </w:numPr>
      </w:pPr>
      <w:r w:rsidRPr="00883125">
        <w:lastRenderedPageBreak/>
        <w:t>In the remainder of this section we respond to the service providers' and Gray's comments on the distribution rate; describe the cumulative payout ratio approach and alternative approaches to estimating the distribution rate; and discuss an updated report on tax statistics from Hathaway.</w:t>
      </w:r>
    </w:p>
    <w:p w:rsidR="00C52695" w:rsidRPr="00883125" w:rsidRDefault="00C52695" w:rsidP="00C52695">
      <w:pPr>
        <w:pStyle w:val="Heading9"/>
      </w:pPr>
      <w:bookmarkStart w:id="338" w:name="_Ref414289334"/>
      <w:bookmarkStart w:id="339" w:name="_Toc456614327"/>
      <w:bookmarkStart w:id="340" w:name="_Toc462823333"/>
      <w:bookmarkStart w:id="341" w:name="_Toc481061501"/>
      <w:r w:rsidRPr="00883125">
        <w:t>Service providers', Gray's and NERA's comments on the distribution rate</w:t>
      </w:r>
      <w:bookmarkEnd w:id="338"/>
      <w:bookmarkEnd w:id="339"/>
      <w:bookmarkEnd w:id="340"/>
      <w:bookmarkEnd w:id="341"/>
    </w:p>
    <w:p w:rsidR="00C52695" w:rsidRPr="00883125" w:rsidRDefault="00C52695" w:rsidP="00C52695">
      <w:r w:rsidRPr="00883125">
        <w:t>The service providers and Gray (for SFG) submitted that it would be inappropriate to apply a distribution rate based on evidence from only listed equity and that the distribution rate for all equity is likely to be a reasonable proxy for that of the benchmark entity.</w:t>
      </w:r>
      <w:r w:rsidRPr="00883125">
        <w:rPr>
          <w:rStyle w:val="FootnoteReference"/>
        </w:rPr>
        <w:footnoteReference w:id="563"/>
      </w:r>
      <w:r w:rsidR="00514A99">
        <w:t xml:space="preserve"> </w:t>
      </w:r>
      <w:r w:rsidRPr="00883125">
        <w:t>We disagree and set out our reasons below</w:t>
      </w:r>
      <w:r>
        <w:t>.</w:t>
      </w:r>
    </w:p>
    <w:p w:rsidR="00C52695" w:rsidRPr="00883125" w:rsidRDefault="00C52695" w:rsidP="00C52695">
      <w:r w:rsidRPr="00883125">
        <w:t xml:space="preserve">There appears to be agreement between the service providers, Gray and us that the distribution rate is the proportion of imputation credits generated by the benchmark efficient entity that is distributed to investors. There also appears to be agreement between the service providers and us that the distribution rate should be estimated on a </w:t>
      </w:r>
      <w:r>
        <w:t>broad</w:t>
      </w:r>
      <w:r w:rsidRPr="00883125">
        <w:t xml:space="preserve"> basis; for instance, a number of service providers submitted:</w:t>
      </w:r>
      <w:r w:rsidRPr="00883125">
        <w:rPr>
          <w:rStyle w:val="FootnoteReference"/>
        </w:rPr>
        <w:footnoteReference w:id="564"/>
      </w:r>
    </w:p>
    <w:p w:rsidR="00C52695" w:rsidRPr="00883125" w:rsidRDefault="00C52695" w:rsidP="00C52695">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C52695" w:rsidRPr="00883125" w:rsidRDefault="00C52695" w:rsidP="00C52695">
      <w:r>
        <w:t>I</w:t>
      </w:r>
      <w:r w:rsidRPr="00883125">
        <w:t>n the decisions previously released in 2014</w:t>
      </w:r>
      <w:r>
        <w:t>, 2015</w:t>
      </w:r>
      <w:r w:rsidRPr="00883125">
        <w:t xml:space="preserve"> and 201</w:t>
      </w:r>
      <w:r>
        <w:t>6</w:t>
      </w:r>
      <w:r w:rsidRPr="00883125">
        <w:t xml:space="preserve">, and in section </w:t>
      </w:r>
      <w:r>
        <w:fldChar w:fldCharType="begin"/>
      </w:r>
      <w:r>
        <w:instrText xml:space="preserve"> REF _Ref451790065 \r \h </w:instrText>
      </w:r>
      <w:r>
        <w:fldChar w:fldCharType="separate"/>
      </w:r>
      <w:r w:rsidR="00812A72">
        <w:t>A.9</w:t>
      </w:r>
      <w:r>
        <w:fldChar w:fldCharType="end"/>
      </w:r>
      <w:r>
        <w:t xml:space="preserve"> and </w:t>
      </w:r>
      <w:r>
        <w:fldChar w:fldCharType="begin"/>
      </w:r>
      <w:r>
        <w:instrText xml:space="preserve"> REF _Ref401133206 \r \h </w:instrText>
      </w:r>
      <w:r>
        <w:fldChar w:fldCharType="separate"/>
      </w:r>
      <w:r w:rsidR="00812A72">
        <w:t>A.10</w:t>
      </w:r>
      <w:r>
        <w:fldChar w:fldCharType="end"/>
      </w:r>
      <w:r w:rsidRPr="00883125">
        <w:t xml:space="preserve"> of this decision, we consider that there are good reasons</w:t>
      </w:r>
      <w:r>
        <w:t xml:space="preserve"> </w:t>
      </w:r>
      <w:r w:rsidRPr="00883125">
        <w:t>for using estimate</w:t>
      </w:r>
      <w:r>
        <w:t>s</w:t>
      </w:r>
      <w:r w:rsidRPr="00883125">
        <w:t xml:space="preserve"> of the distribution rate based on</w:t>
      </w:r>
      <w:r>
        <w:t xml:space="preserve"> all equity and</w:t>
      </w:r>
      <w:r w:rsidRPr="00883125">
        <w:t xml:space="preserve"> listed equity.</w:t>
      </w:r>
    </w:p>
    <w:p w:rsidR="00C52695" w:rsidRPr="00883125" w:rsidRDefault="00C52695" w:rsidP="00C52695">
      <w:r w:rsidRPr="00883125">
        <w:lastRenderedPageBreak/>
        <w:t>Gray's report (for SFG) appears to support an estimate of the distribution rate that is not affected by the distribution behaviour of very large public firms or very small private firms. That is, Gray (for SFG) stated:</w:t>
      </w:r>
    </w:p>
    <w:p w:rsidR="00C52695" w:rsidRPr="00883125" w:rsidRDefault="00C52695" w:rsidP="00C52695">
      <w:pPr>
        <w:pStyle w:val="AERquote"/>
      </w:pPr>
      <w:r w:rsidRPr="00883125">
        <w:t>Conceptually, the task is…to estimate the distribution rate for the benchmark efficient firm.</w:t>
      </w:r>
      <w:r w:rsidRPr="00883125">
        <w:rPr>
          <w:rStyle w:val="FootnoteReference"/>
        </w:rPr>
        <w:footnoteReference w:id="565"/>
      </w:r>
    </w:p>
    <w:p w:rsidR="00C52695" w:rsidRPr="00883125" w:rsidRDefault="00C52695" w:rsidP="00C52695">
      <w:pPr>
        <w:pStyle w:val="AERquote"/>
      </w:pPr>
      <w:r w:rsidRPr="00883125">
        <w:t>…</w:t>
      </w:r>
    </w:p>
    <w:p w:rsidR="00C52695" w:rsidRPr="00883125" w:rsidRDefault="00C52695" w:rsidP="00C52695">
      <w:pPr>
        <w:pStyle w:val="AERquote"/>
      </w:pPr>
      <w:r w:rsidRPr="00883125">
        <w:t>For the same reason that very large multinational firms are not comparable to the benchmark efficient entity, very small private firms would also not be close comparators.</w:t>
      </w:r>
      <w:r w:rsidRPr="00883125">
        <w:rPr>
          <w:rStyle w:val="FootnoteReference"/>
        </w:rPr>
        <w:footnoteReference w:id="566"/>
      </w:r>
    </w:p>
    <w:p w:rsidR="00C52695" w:rsidRPr="00883125" w:rsidRDefault="00C52695" w:rsidP="00C52695">
      <w:r w:rsidRPr="00883125">
        <w:t>In particular, Gray submitted that the distribution behaviour of large multinational firms seemed unrepresentative of the benchmark efficient entity on account of their foreign-sourced income.</w:t>
      </w:r>
      <w:r w:rsidRPr="00883125">
        <w:rPr>
          <w:rStyle w:val="FootnoteReference"/>
        </w:rPr>
        <w:footnoteReference w:id="567"/>
      </w:r>
      <w:r w:rsidRPr="00883125">
        <w:t xml:space="preserve"> Gray concluded that the 'best estimate' of the distribution rate from analysis which considered only listed equity was not materially different from 0.7.</w:t>
      </w:r>
      <w:r w:rsidRPr="00883125">
        <w:rPr>
          <w:rStyle w:val="FootnoteReference"/>
        </w:rPr>
        <w:footnoteReference w:id="568"/>
      </w:r>
      <w:r w:rsidRPr="00883125">
        <w:t xml:space="preserve"> Handley considered Gray's analysis to be ' incomplete and oversimplified to support such a strong conclusion'.</w:t>
      </w:r>
      <w:r w:rsidRPr="00883125">
        <w:rPr>
          <w:rStyle w:val="FootnoteReference"/>
        </w:rPr>
        <w:footnoteReference w:id="569"/>
      </w:r>
      <w:r w:rsidRPr="00883125">
        <w:t xml:space="preserve"> Gray (for Frontier) considers that Handley's response does not address the issue that any firm with foreign profits will be able to distribute more imputation credits.</w:t>
      </w:r>
      <w:r w:rsidRPr="00883125">
        <w:rPr>
          <w:rStyle w:val="FootnoteReference"/>
        </w:rPr>
        <w:footnoteReference w:id="570"/>
      </w:r>
    </w:p>
    <w:p w:rsidR="00C52695" w:rsidRDefault="00C52695" w:rsidP="00C52695">
      <w:r>
        <w:t>We</w:t>
      </w:r>
      <w:r w:rsidRPr="00883125">
        <w:t xml:space="preserve"> agree with Handley that Gray's analysis is oversimplified. There are many factors that determine a firm's imputation payout ratio. The introduction of the imputation system in Australia itself resulted in higher dividend payout ratio in order to distribute more imputation credits.</w:t>
      </w:r>
      <w:r w:rsidRPr="00883125">
        <w:rPr>
          <w:rStyle w:val="FootnoteReference"/>
        </w:rPr>
        <w:footnoteReference w:id="571"/>
      </w:r>
      <w:r w:rsidRPr="00883125">
        <w:t xml:space="preserve"> This would imply that firms recognise that investors value imputation credits and want to distribute a certain amount of them in order to maximise value to shareholders. It is also important to note that even if other firms do not have any foreign earnings they still have an ability to distribute their imputation credits via </w:t>
      </w:r>
      <w:r>
        <w:t xml:space="preserve">methods including </w:t>
      </w:r>
      <w:r w:rsidRPr="00883125">
        <w:t xml:space="preserve">higher dividend payments and off-market </w:t>
      </w:r>
      <w:r>
        <w:t xml:space="preserve">share </w:t>
      </w:r>
      <w:r w:rsidRPr="00883125">
        <w:t xml:space="preserve">buybacks. Subsequently if these firms need to retain more of their earnings to fund growth they can achieve this via dividend reinvestment plans and secondary equity raisings. Ultimately, the service providers have not shown the imputation payout ratio is higher due to foreign income or if any increase due to this is material. They have simply asserted that because these firms have foreign source income, and because this may allow these firms to pay a higher imputation payout ratio (without using things like </w:t>
      </w:r>
      <w:r w:rsidRPr="00883125">
        <w:lastRenderedPageBreak/>
        <w:t xml:space="preserve">dividend reinvestment plans), these firms should be excluded from the calculation of the dividend payout ratio. </w:t>
      </w:r>
    </w:p>
    <w:p w:rsidR="00C52695" w:rsidRPr="005764F6" w:rsidRDefault="00C52695" w:rsidP="00C52695">
      <w:r w:rsidRPr="005764F6">
        <w:t xml:space="preserve">Lally examined this issue for us and concluded that firms with higher foreign earnings </w:t>
      </w:r>
      <w:r>
        <w:t xml:space="preserve">actually </w:t>
      </w:r>
      <w:r w:rsidRPr="005764F6">
        <w:t>appear to be distributing less imputation credits.</w:t>
      </w:r>
      <w:r w:rsidRPr="005053A1">
        <w:rPr>
          <w:rStyle w:val="FootnoteReference"/>
        </w:rPr>
        <w:footnoteReference w:id="572"/>
      </w:r>
      <w:r w:rsidRPr="005764F6">
        <w:t xml:space="preserve"> Lally empirically assessed the seven largest tax paying entities on the ASX and found that the proportion of profit from foreign operation is monotonically decreasing in the distribution rate (correlation of -0.95), which is in the opposite direction to that claimed by Frontier.</w:t>
      </w:r>
      <w:r w:rsidRPr="005053A1">
        <w:rPr>
          <w:rStyle w:val="FootnoteReference"/>
        </w:rPr>
        <w:footnoteReference w:id="573"/>
      </w:r>
      <w:r w:rsidRPr="005764F6">
        <w:t xml:space="preserve"> Lally concluded</w:t>
      </w:r>
      <w:r>
        <w:t>,</w:t>
      </w:r>
      <w:r w:rsidRPr="005764F6">
        <w:t xml:space="preserve"> based on his analysis</w:t>
      </w:r>
      <w:r>
        <w:t>,</w:t>
      </w:r>
      <w:r w:rsidRPr="005764F6">
        <w:t xml:space="preserve"> we should use </w:t>
      </w:r>
      <w:r>
        <w:t>a</w:t>
      </w:r>
      <w:r w:rsidRPr="005764F6">
        <w:t xml:space="preserve"> distribution rate</w:t>
      </w:r>
      <w:r>
        <w:t xml:space="preserve"> for listed equity</w:t>
      </w:r>
      <w:r w:rsidRPr="005764F6">
        <w:t xml:space="preserve"> from the top 20 listed firms.</w:t>
      </w:r>
      <w:r w:rsidRPr="005764F6">
        <w:rPr>
          <w:rStyle w:val="FootnoteReference"/>
        </w:rPr>
        <w:footnoteReference w:id="574"/>
      </w:r>
      <w:r w:rsidRPr="005764F6">
        <w:t xml:space="preserve"> </w:t>
      </w:r>
    </w:p>
    <w:p w:rsidR="004733FE" w:rsidRDefault="004733FE" w:rsidP="00C52695">
      <w:r>
        <w:t>Frontier responded to the Lally analysis by noting that the relevant question is whether large multinationals have higher imputation distribution rates than other firms.</w:t>
      </w:r>
      <w:r w:rsidR="00443010">
        <w:rPr>
          <w:rStyle w:val="FootnoteReference"/>
        </w:rPr>
        <w:footnoteReference w:id="575"/>
      </w:r>
      <w:r>
        <w:t xml:space="preserve"> Further, Frontier considers Lally's analysis of the top 7 firms did not control for difference in dividend payout ratios.</w:t>
      </w:r>
      <w:r w:rsidR="00443010">
        <w:rPr>
          <w:rStyle w:val="FootnoteReference"/>
        </w:rPr>
        <w:footnoteReference w:id="576"/>
      </w:r>
      <w:r w:rsidR="00B62735">
        <w:t xml:space="preserve"> Frontier concludes that:</w:t>
      </w:r>
      <w:r w:rsidR="005957B5">
        <w:rPr>
          <w:rStyle w:val="FootnoteReference"/>
        </w:rPr>
        <w:footnoteReference w:id="577"/>
      </w:r>
    </w:p>
    <w:p w:rsidR="00B62735" w:rsidRDefault="00B62735" w:rsidP="00E750F8">
      <w:pPr>
        <w:pStyle w:val="AERquoteindent1"/>
      </w:pPr>
      <w:r>
        <w:t>a.</w:t>
      </w:r>
      <w:r>
        <w:tab/>
        <w:t>Mathematically, for any given dividend payout ratio, the imputation credit distribution rate is an increasing function of the proportion of foreign profits; and</w:t>
      </w:r>
    </w:p>
    <w:p w:rsidR="00B62735" w:rsidRDefault="00B62735" w:rsidP="00E750F8">
      <w:pPr>
        <w:pStyle w:val="AERquoteindent1"/>
      </w:pPr>
      <w:r>
        <w:t>b.</w:t>
      </w:r>
      <w:r>
        <w:tab/>
        <w:t>The e</w:t>
      </w:r>
      <w:r w:rsidR="00420370">
        <w:t>vidence clearly supports the proposition that large multinationals are able to distribute a higher proportion of the imputation credits that they create (83%) relative to the average firm (70%).</w:t>
      </w:r>
    </w:p>
    <w:p w:rsidR="00D75E7C" w:rsidRPr="00514A99" w:rsidRDefault="00D75E7C">
      <w:r w:rsidRPr="00514A99">
        <w:t xml:space="preserve">Frontier argues that </w:t>
      </w:r>
      <w:r w:rsidR="0027533B" w:rsidRPr="00514A99">
        <w:t xml:space="preserve">to determine the effects of foreign income on imputation distribution </w:t>
      </w:r>
      <w:r w:rsidRPr="00514A99">
        <w:t xml:space="preserve">the correct comparison </w:t>
      </w:r>
      <w:r w:rsidR="0027533B" w:rsidRPr="00514A99">
        <w:t>should be</w:t>
      </w:r>
      <w:r w:rsidRPr="00514A99">
        <w:t xml:space="preserve"> between firms without foreign income and those with it</w:t>
      </w:r>
      <w:r w:rsidR="0027533B" w:rsidRPr="00514A99">
        <w:t xml:space="preserve">, </w:t>
      </w:r>
      <w:r w:rsidRPr="00514A99">
        <w:t>rather than amongst firms that</w:t>
      </w:r>
      <w:r w:rsidR="00A316DD" w:rsidRPr="00514A99">
        <w:t xml:space="preserve"> h</w:t>
      </w:r>
      <w:r w:rsidR="00E11684" w:rsidRPr="00514A99">
        <w:t>ave some foreign income.</w:t>
      </w:r>
      <w:r w:rsidR="00E11684" w:rsidRPr="00514A99">
        <w:rPr>
          <w:rStyle w:val="FootnoteReference"/>
        </w:rPr>
        <w:footnoteReference w:id="578"/>
      </w:r>
      <w:r w:rsidR="001224E1" w:rsidRPr="00514A99">
        <w:t xml:space="preserve"> However, Lally considers </w:t>
      </w:r>
      <w:r w:rsidR="0027533B" w:rsidRPr="00514A99">
        <w:t xml:space="preserve">the far superior approach </w:t>
      </w:r>
      <w:r w:rsidRPr="00514A99">
        <w:t>would be to examine the entire distribution of firms, as Lally (2016a, section 3.5) has done.</w:t>
      </w:r>
      <w:r w:rsidR="000028DB" w:rsidRPr="00514A99">
        <w:rPr>
          <w:rStyle w:val="FootnoteReference"/>
        </w:rPr>
        <w:t xml:space="preserve"> </w:t>
      </w:r>
      <w:r w:rsidR="000028DB" w:rsidRPr="00514A99">
        <w:rPr>
          <w:rStyle w:val="FootnoteReference"/>
        </w:rPr>
        <w:footnoteReference w:id="579"/>
      </w:r>
      <w:r w:rsidR="000028DB" w:rsidRPr="00514A99">
        <w:t xml:space="preserve"> The seven firms examined by Lally (Lally, 2016a, Table 1) have foreign income proportions ranging from 6% to 60%, and therefore the degree of extrapolation is minor to estimate the imputation distribution rate with the absence of foreign activities.</w:t>
      </w:r>
      <w:r w:rsidR="000028DB" w:rsidRPr="00514A99">
        <w:rPr>
          <w:rStyle w:val="FootnoteReference"/>
        </w:rPr>
        <w:footnoteReference w:id="580"/>
      </w:r>
      <w:r w:rsidR="000028DB" w:rsidRPr="00514A99">
        <w:t xml:space="preserve"> Lally considers </w:t>
      </w:r>
      <w:r w:rsidR="00800B10" w:rsidRPr="00514A99">
        <w:t xml:space="preserve">that </w:t>
      </w:r>
      <w:r w:rsidR="000028DB" w:rsidRPr="00514A99">
        <w:t xml:space="preserve">the most important requirement is for the firms in the analysis to have large company tax payments to the ATO, so as to obtain the best estimate </w:t>
      </w:r>
      <w:r w:rsidR="000028DB" w:rsidRPr="00514A99">
        <w:lastRenderedPageBreak/>
        <w:t>of the imputation distribution rate for the market in aggregate.</w:t>
      </w:r>
      <w:r w:rsidR="000028DB" w:rsidRPr="00514A99">
        <w:rPr>
          <w:rStyle w:val="FootnoteReference"/>
        </w:rPr>
        <w:footnoteReference w:id="581"/>
      </w:r>
      <w:r w:rsidR="000028DB" w:rsidRPr="00514A99">
        <w:t xml:space="preserve"> Lally considers that </w:t>
      </w:r>
      <w:r w:rsidRPr="00514A99">
        <w:t>examining a set of firms that had no foreign activities but constituted 10% of the value of the market would be very unsatisfactory.</w:t>
      </w:r>
      <w:r w:rsidR="00F7654C" w:rsidRPr="00514A99">
        <w:rPr>
          <w:rStyle w:val="FootnoteReference"/>
        </w:rPr>
        <w:footnoteReference w:id="582"/>
      </w:r>
    </w:p>
    <w:p w:rsidR="00A436D9" w:rsidRPr="00514A99" w:rsidRDefault="00D232C2" w:rsidP="00D232C2">
      <w:r w:rsidRPr="00514A99">
        <w:t xml:space="preserve">Frontier </w:t>
      </w:r>
      <w:r w:rsidR="001D08B7" w:rsidRPr="00514A99">
        <w:t xml:space="preserve">submits </w:t>
      </w:r>
      <w:r w:rsidRPr="00514A99">
        <w:t xml:space="preserve">that the average Australian company has a distribution rate of about 70%, compared to the 84% for the 20 largest ASX firms, </w:t>
      </w:r>
      <w:r w:rsidR="005957B5" w:rsidRPr="00514A99">
        <w:t xml:space="preserve">given </w:t>
      </w:r>
      <w:r w:rsidRPr="00514A99">
        <w:t>the latter firms have foreign income</w:t>
      </w:r>
      <w:r w:rsidR="00027D9E" w:rsidRPr="00514A99">
        <w:t xml:space="preserve"> it is</w:t>
      </w:r>
      <w:r w:rsidRPr="00514A99">
        <w:t xml:space="preserve"> not suitable for estimating the distribution rate </w:t>
      </w:r>
      <w:r w:rsidR="00027D9E" w:rsidRPr="00514A99">
        <w:t>for</w:t>
      </w:r>
      <w:r w:rsidRPr="00514A99">
        <w:t xml:space="preserve"> the BEE.</w:t>
      </w:r>
      <w:r w:rsidR="001D08B7" w:rsidRPr="00514A99">
        <w:rPr>
          <w:rStyle w:val="FootnoteReference"/>
        </w:rPr>
        <w:footnoteReference w:id="583"/>
      </w:r>
      <w:r w:rsidR="001D08B7" w:rsidRPr="00514A99">
        <w:t xml:space="preserve"> However, Lally has demonstrated that the top 20 firm's imputation credit distribution is 0.84 and when adjustments are made for foreign income this imputation credit distribution actually increases </w:t>
      </w:r>
      <w:r w:rsidR="00356933" w:rsidRPr="00514A99">
        <w:t>rather than</w:t>
      </w:r>
      <w:r w:rsidR="001D08B7" w:rsidRPr="00514A99">
        <w:t xml:space="preserve"> decreases.</w:t>
      </w:r>
      <w:r w:rsidR="001D08B7" w:rsidRPr="00514A99">
        <w:rPr>
          <w:rStyle w:val="FootnoteReference"/>
        </w:rPr>
        <w:footnoteReference w:id="584"/>
      </w:r>
      <w:r w:rsidR="001D08B7" w:rsidRPr="00514A99">
        <w:t xml:space="preserve"> As a result, Lally does not consider the difference between the imputation distribution rate for the top 20 firms and all firms is explained by foreign income.</w:t>
      </w:r>
      <w:r w:rsidR="007471FF" w:rsidRPr="00514A99">
        <w:rPr>
          <w:rStyle w:val="FootnoteReference"/>
        </w:rPr>
        <w:footnoteReference w:id="585"/>
      </w:r>
      <w:r w:rsidR="001D08B7" w:rsidRPr="00514A99">
        <w:t xml:space="preserve"> </w:t>
      </w:r>
      <w:r w:rsidR="007471FF" w:rsidRPr="00514A99">
        <w:t>Rather Lally considers the difference is driven by unlisted equities lower dividend distribution rates</w:t>
      </w:r>
      <w:r w:rsidR="00500ED3" w:rsidRPr="00514A99">
        <w:t>.</w:t>
      </w:r>
      <w:r w:rsidR="00E43353" w:rsidRPr="00514A99">
        <w:rPr>
          <w:rStyle w:val="FootnoteReference"/>
        </w:rPr>
        <w:footnoteReference w:id="586"/>
      </w:r>
      <w:r w:rsidR="00500ED3" w:rsidRPr="00514A99">
        <w:t xml:space="preserve"> </w:t>
      </w:r>
      <w:r w:rsidR="00A436D9" w:rsidRPr="00514A99">
        <w:t>The SAPN Tribunal</w:t>
      </w:r>
      <w:r w:rsidR="00130940" w:rsidRPr="00514A99">
        <w:t xml:space="preserve"> also</w:t>
      </w:r>
      <w:r w:rsidR="00A436D9" w:rsidRPr="00514A99">
        <w:t xml:space="preserve"> recognised this:</w:t>
      </w:r>
      <w:r w:rsidR="000169CB" w:rsidRPr="00514A99">
        <w:rPr>
          <w:rStyle w:val="FootnoteReference"/>
        </w:rPr>
        <w:footnoteReference w:id="587"/>
      </w:r>
    </w:p>
    <w:p w:rsidR="00A436D9" w:rsidRPr="00514A99" w:rsidRDefault="00A436D9" w:rsidP="00E750F8">
      <w:pPr>
        <w:pStyle w:val="AERquoteindent1"/>
      </w:pPr>
      <w:r w:rsidRPr="00514A99">
        <w:t>At one extreme there are small companies owned by individuals on high marginal tax rates who may prefer earnings retention to generate concessionally-taxed long-term capital gains or to defer the additional tax which would need to</w:t>
      </w:r>
      <w:r w:rsidR="00130940" w:rsidRPr="00514A99">
        <w:t xml:space="preserve"> be paid on franked dividends. </w:t>
      </w:r>
      <w:r w:rsidRPr="00514A99">
        <w:t>At the other extreme, large foreign-owned Australian registered companies may also prefer retention and reinvestment of earnings rather than distribution of dividends and attached franking credits which would be wasted.</w:t>
      </w:r>
    </w:p>
    <w:p w:rsidR="0078679C" w:rsidRPr="00514A99" w:rsidRDefault="00D232C2">
      <w:r w:rsidRPr="00514A99">
        <w:t xml:space="preserve">In respect </w:t>
      </w:r>
      <w:r w:rsidR="00E707D5" w:rsidRPr="00514A99">
        <w:t>to</w:t>
      </w:r>
      <w:r w:rsidRPr="00514A99">
        <w:t xml:space="preserve"> using listed firms other than the top 20</w:t>
      </w:r>
      <w:r w:rsidR="000531CA" w:rsidRPr="00514A99">
        <w:t xml:space="preserve"> to estimate the imputation distribution rate</w:t>
      </w:r>
      <w:r w:rsidRPr="00514A99">
        <w:t xml:space="preserve">, </w:t>
      </w:r>
      <w:r w:rsidR="000531CA" w:rsidRPr="00514A99">
        <w:t xml:space="preserve">Lally considers </w:t>
      </w:r>
      <w:r w:rsidRPr="00514A99">
        <w:t>some of these will have foreign activities</w:t>
      </w:r>
      <w:r w:rsidR="000531CA" w:rsidRPr="00514A99">
        <w:t xml:space="preserve"> and the effect of this foreign income would have to be determined</w:t>
      </w:r>
      <w:r w:rsidR="00E707D5" w:rsidRPr="00514A99">
        <w:t xml:space="preserve"> before this rate can be used.</w:t>
      </w:r>
      <w:r w:rsidR="00E707D5" w:rsidRPr="00514A99">
        <w:rPr>
          <w:rStyle w:val="FootnoteReference"/>
        </w:rPr>
        <w:footnoteReference w:id="588"/>
      </w:r>
      <w:r w:rsidR="00E707D5" w:rsidRPr="00514A99">
        <w:rPr>
          <w:rStyle w:val="FootnoteReference"/>
        </w:rPr>
        <w:t xml:space="preserve"> </w:t>
      </w:r>
      <w:r w:rsidR="00E707D5" w:rsidRPr="00514A99">
        <w:t xml:space="preserve"> Lally notes that Frontier has not determined the impact of foreign income on the imputation distribution of the listed firms minus the top 20 firms.</w:t>
      </w:r>
      <w:r w:rsidR="00E707D5" w:rsidRPr="00514A99">
        <w:rPr>
          <w:rStyle w:val="FootnoteReference"/>
        </w:rPr>
        <w:footnoteReference w:id="589"/>
      </w:r>
      <w:r w:rsidR="00E707D5" w:rsidRPr="00514A99">
        <w:t xml:space="preserve"> </w:t>
      </w:r>
      <w:r w:rsidR="0078679C" w:rsidRPr="00514A99">
        <w:t xml:space="preserve">Further, Lally considers that imputation distribution rate for the listed firms excluding the top 20 firms </w:t>
      </w:r>
      <w:r w:rsidR="00BF1C4B" w:rsidRPr="00514A99">
        <w:t>draws upon</w:t>
      </w:r>
      <w:r w:rsidR="0078679C" w:rsidRPr="00514A99">
        <w:t xml:space="preserve"> ATO data and such data is unreliable because </w:t>
      </w:r>
      <w:r w:rsidRPr="00514A99">
        <w:t>it generates markedly different estimates of the credits distributed according to whether dividend or company tax data is used</w:t>
      </w:r>
      <w:r w:rsidR="0078679C" w:rsidRPr="00514A99">
        <w:t xml:space="preserve"> </w:t>
      </w:r>
      <w:r w:rsidRPr="00514A99">
        <w:t>and even Frontier, a</w:t>
      </w:r>
      <w:r w:rsidR="0078679C" w:rsidRPr="00514A99">
        <w:t>ccepts this reliability problem</w:t>
      </w:r>
      <w:r w:rsidRPr="00514A99">
        <w:t>.</w:t>
      </w:r>
      <w:r w:rsidR="0078679C" w:rsidRPr="00514A99">
        <w:rPr>
          <w:rStyle w:val="FootnoteReference"/>
        </w:rPr>
        <w:footnoteReference w:id="590"/>
      </w:r>
      <w:r w:rsidR="0078679C" w:rsidRPr="00514A99">
        <w:t xml:space="preserve"> Overall, Lally considers that </w:t>
      </w:r>
      <w:r w:rsidRPr="00514A99">
        <w:t xml:space="preserve">suitable firms to use </w:t>
      </w:r>
      <w:r w:rsidR="00130940" w:rsidRPr="00514A99">
        <w:t>to determine the distribution rate is</w:t>
      </w:r>
      <w:r w:rsidRPr="00514A99">
        <w:t xml:space="preserve"> publicly listed </w:t>
      </w:r>
      <w:r w:rsidR="00130940" w:rsidRPr="00514A99">
        <w:t>firms</w:t>
      </w:r>
      <w:r w:rsidRPr="00514A99">
        <w:t xml:space="preserve"> and </w:t>
      </w:r>
      <w:r w:rsidR="00356933" w:rsidRPr="00514A99">
        <w:t xml:space="preserve">the </w:t>
      </w:r>
      <w:r w:rsidRPr="00514A99">
        <w:t xml:space="preserve">suitable means of estimating the distribution rate of these firms (stripped of the effect of foreign activities) is from their financial </w:t>
      </w:r>
      <w:r w:rsidRPr="00514A99">
        <w:lastRenderedPageBreak/>
        <w:t>statements.</w:t>
      </w:r>
      <w:r w:rsidR="0078679C" w:rsidRPr="00514A99">
        <w:rPr>
          <w:rStyle w:val="FootnoteReference"/>
        </w:rPr>
        <w:footnoteReference w:id="591"/>
      </w:r>
      <w:r w:rsidR="00887BE2" w:rsidRPr="00514A99">
        <w:t xml:space="preserve"> Consistent with th</w:t>
      </w:r>
      <w:r w:rsidR="00D157E2" w:rsidRPr="00514A99">
        <w:t>is</w:t>
      </w:r>
      <w:r w:rsidR="00887BE2" w:rsidRPr="00514A99">
        <w:t xml:space="preserve">, Lally </w:t>
      </w:r>
      <w:r w:rsidR="00DD57D7" w:rsidRPr="00514A99">
        <w:t>considers</w:t>
      </w:r>
      <w:r w:rsidR="00887BE2" w:rsidRPr="00514A99">
        <w:t xml:space="preserve"> that the imputation distribution rate </w:t>
      </w:r>
      <w:r w:rsidR="00DD57D7" w:rsidRPr="00514A99">
        <w:t xml:space="preserve">should be set </w:t>
      </w:r>
      <w:r w:rsidR="00887BE2" w:rsidRPr="00514A99">
        <w:t>at</w:t>
      </w:r>
      <w:r w:rsidR="00677BC6" w:rsidRPr="00514A99">
        <w:t xml:space="preserve"> least</w:t>
      </w:r>
      <w:r w:rsidR="00887BE2" w:rsidRPr="00514A99">
        <w:t xml:space="preserve"> 0.8</w:t>
      </w:r>
      <w:r w:rsidR="00DD57D7" w:rsidRPr="00514A99">
        <w:t xml:space="preserve">3 which is the imputation distribution rate of the top 20 firms </w:t>
      </w:r>
      <w:r w:rsidR="00330980" w:rsidRPr="00514A99">
        <w:t>estimated from their</w:t>
      </w:r>
      <w:r w:rsidR="00DD57D7" w:rsidRPr="00514A99">
        <w:t xml:space="preserve"> financial statements data</w:t>
      </w:r>
      <w:r w:rsidR="00887BE2" w:rsidRPr="00514A99">
        <w:t>.</w:t>
      </w:r>
      <w:r w:rsidR="00887BE2" w:rsidRPr="00514A99">
        <w:rPr>
          <w:rStyle w:val="FootnoteReference"/>
        </w:rPr>
        <w:footnoteReference w:id="592"/>
      </w:r>
    </w:p>
    <w:p w:rsidR="009701ED" w:rsidRPr="00514A99" w:rsidRDefault="00FE50AF" w:rsidP="009701ED">
      <w:r w:rsidRPr="00514A99">
        <w:t>In response to Frontier</w:t>
      </w:r>
      <w:r w:rsidR="00356933" w:rsidRPr="00514A99">
        <w:t>'</w:t>
      </w:r>
      <w:r w:rsidRPr="00514A99">
        <w:t xml:space="preserve">s </w:t>
      </w:r>
      <w:r w:rsidR="00FA2A41" w:rsidRPr="00514A99">
        <w:t xml:space="preserve">submission that Lally failed to control </w:t>
      </w:r>
      <w:r w:rsidR="009C5004" w:rsidRPr="00514A99">
        <w:t xml:space="preserve">for the </w:t>
      </w:r>
      <w:r w:rsidR="00FA2A41" w:rsidRPr="00514A99">
        <w:t>difference in dividend payout rate</w:t>
      </w:r>
      <w:r w:rsidR="009C5004" w:rsidRPr="00514A99">
        <w:t>s</w:t>
      </w:r>
      <w:r w:rsidR="00CF66C7" w:rsidRPr="00514A99">
        <w:t xml:space="preserve"> when determining the impact of foreign income</w:t>
      </w:r>
      <w:r w:rsidR="00FA2A41" w:rsidRPr="00514A99">
        <w:t>, Lally agree</w:t>
      </w:r>
      <w:r w:rsidR="004D25AD" w:rsidRPr="00514A99">
        <w:t>s</w:t>
      </w:r>
      <w:r w:rsidR="00FA2A41" w:rsidRPr="00514A99">
        <w:t>.</w:t>
      </w:r>
      <w:r w:rsidR="009C5004" w:rsidRPr="00514A99">
        <w:rPr>
          <w:rStyle w:val="FootnoteReference"/>
        </w:rPr>
        <w:footnoteReference w:id="593"/>
      </w:r>
      <w:r w:rsidR="00FA2A41" w:rsidRPr="00514A99">
        <w:t xml:space="preserve"> </w:t>
      </w:r>
      <w:r w:rsidR="009C5004" w:rsidRPr="00514A99">
        <w:t xml:space="preserve">However, Lally considers </w:t>
      </w:r>
      <w:r w:rsidR="009701ED" w:rsidRPr="00514A99">
        <w:t xml:space="preserve">that </w:t>
      </w:r>
      <w:r w:rsidR="009C5004" w:rsidRPr="00514A99">
        <w:t xml:space="preserve">Frontier has failed to provide a valid reason for why it is important to control </w:t>
      </w:r>
      <w:r w:rsidR="009701ED" w:rsidRPr="00514A99">
        <w:t>for dividend payout rates and none is evident.</w:t>
      </w:r>
      <w:r w:rsidR="009701ED" w:rsidRPr="00514A99">
        <w:rPr>
          <w:rStyle w:val="FootnoteReference"/>
        </w:rPr>
        <w:footnoteReference w:id="594"/>
      </w:r>
      <w:r w:rsidR="009701ED" w:rsidRPr="00514A99">
        <w:t xml:space="preserve"> Lally considers </w:t>
      </w:r>
      <w:r w:rsidR="00CF66C7" w:rsidRPr="00514A99">
        <w:t>that</w:t>
      </w:r>
      <w:r w:rsidR="009701ED" w:rsidRPr="00514A99">
        <w:t xml:space="preserve"> all phenomena that arise from foreign activities must be accounted for, which comprise not only the foreign income but any change in the dividend payout rate arising from foreign activities.</w:t>
      </w:r>
      <w:r w:rsidR="009701ED" w:rsidRPr="00514A99">
        <w:rPr>
          <w:rStyle w:val="FootnoteReference"/>
        </w:rPr>
        <w:footnoteReference w:id="595"/>
      </w:r>
      <w:r w:rsidR="009701ED" w:rsidRPr="00514A99">
        <w:t xml:space="preserve"> Controlling for any changes in the dividend payout rate would subvert that purpose.</w:t>
      </w:r>
      <w:r w:rsidR="00396EBB" w:rsidRPr="00514A99">
        <w:rPr>
          <w:rStyle w:val="FootnoteReference"/>
        </w:rPr>
        <w:footnoteReference w:id="596"/>
      </w:r>
    </w:p>
    <w:p w:rsidR="00074FE0" w:rsidRPr="00514A99" w:rsidRDefault="002D6646">
      <w:r w:rsidRPr="00514A99">
        <w:t xml:space="preserve">In regards </w:t>
      </w:r>
      <w:r w:rsidR="00814F86" w:rsidRPr="00514A99">
        <w:t xml:space="preserve">to </w:t>
      </w:r>
      <w:r w:rsidRPr="00514A99">
        <w:t>Frontiers submission that Lally only focus on the largest seven firms, Lally responds that the purpose of the exercise is to estimate the imputation credit distribution rate of the market.</w:t>
      </w:r>
      <w:r w:rsidRPr="00514A99">
        <w:rPr>
          <w:rStyle w:val="FootnoteReference"/>
        </w:rPr>
        <w:footnoteReference w:id="597"/>
      </w:r>
      <w:r w:rsidRPr="00514A99">
        <w:t xml:space="preserve"> Lally submits that the top seven firms collectively account for 79% of the taxes paid to the ATO by the 20 largest ASX firms.</w:t>
      </w:r>
      <w:r w:rsidRPr="00514A99">
        <w:rPr>
          <w:rStyle w:val="FootnoteReference"/>
        </w:rPr>
        <w:footnoteReference w:id="598"/>
      </w:r>
      <w:r w:rsidRPr="00514A99">
        <w:t xml:space="preserve"> As a result, Lally considers the number of firms </w:t>
      </w:r>
      <w:r w:rsidR="00814F86" w:rsidRPr="00514A99">
        <w:t xml:space="preserve">in his </w:t>
      </w:r>
      <w:r w:rsidRPr="00514A99">
        <w:t xml:space="preserve">sample is </w:t>
      </w:r>
      <w:r w:rsidR="00814F86" w:rsidRPr="00514A99">
        <w:t xml:space="preserve">sufficient. He considers it is </w:t>
      </w:r>
      <w:r w:rsidRPr="00514A99">
        <w:t xml:space="preserve">not </w:t>
      </w:r>
      <w:r w:rsidR="00814F86" w:rsidRPr="00514A99">
        <w:t xml:space="preserve">the number of firms that is </w:t>
      </w:r>
      <w:r w:rsidRPr="00514A99">
        <w:t>important</w:t>
      </w:r>
      <w:r w:rsidR="00814F86" w:rsidRPr="00514A99">
        <w:t>, rather</w:t>
      </w:r>
      <w:r w:rsidRPr="00514A99">
        <w:t xml:space="preserve"> it is the collective size of those firms that is important.</w:t>
      </w:r>
      <w:r w:rsidRPr="00514A99">
        <w:rPr>
          <w:rStyle w:val="FootnoteReference"/>
        </w:rPr>
        <w:footnoteReference w:id="599"/>
      </w:r>
      <w:r w:rsidR="00814F86" w:rsidRPr="00514A99">
        <w:t xml:space="preserve"> </w:t>
      </w:r>
    </w:p>
    <w:p w:rsidR="00C52695" w:rsidRPr="00883125" w:rsidRDefault="00C52695" w:rsidP="00C52695">
      <w:r>
        <w:t>We</w:t>
      </w:r>
      <w:r w:rsidRPr="00883125">
        <w:t xml:space="preserve"> also consider it </w:t>
      </w:r>
      <w:r>
        <w:t xml:space="preserve">is </w:t>
      </w:r>
      <w:r w:rsidRPr="00883125">
        <w:t>inappropriate to focus on one aspect of the benchmark (foreign ownership</w:t>
      </w:r>
      <w:r>
        <w:t xml:space="preserve"> and foreign income</w:t>
      </w:r>
      <w:r w:rsidRPr="00883125">
        <w:t xml:space="preserve">) and not look at the benchmark holistically. We should be looking at how all regulated businesses distribute imputation credits to investors, rather than focus on the foreign ownership. As </w:t>
      </w:r>
      <w:r>
        <w:t>the</w:t>
      </w:r>
      <w:r w:rsidRPr="00883125">
        <w:t xml:space="preserve"> </w:t>
      </w:r>
      <w:r w:rsidRPr="00B27BE5">
        <w:rPr>
          <w:rStyle w:val="AERbody"/>
        </w:rPr>
        <w:t>EMRF</w:t>
      </w:r>
      <w:r>
        <w:rPr>
          <w:rStyle w:val="AERbody"/>
        </w:rPr>
        <w:t xml:space="preserve"> submitted</w:t>
      </w:r>
      <w:r w:rsidRPr="00883125">
        <w:t>, the listed regulated businesses (APA, Envestra (pre-sale) and JGN's parent company) have a franking account balance of zero.</w:t>
      </w:r>
      <w:r w:rsidRPr="00883125">
        <w:rPr>
          <w:rStyle w:val="FootnoteReference"/>
        </w:rPr>
        <w:footnoteReference w:id="600"/>
      </w:r>
      <w:r w:rsidRPr="00883125">
        <w:t xml:space="preserve"> This can imply one of the following: (a) the regulated businesses distributed all either imputation credits to investors and therefore the distribution should be set to 100 per cent or (b) the regulated business do not generate any imputation credits as they do not pay corporate tax. This raises the question of whether our tax building block allowance may be too high. Based on the material submitted by the EMRF, it might be posited that </w:t>
      </w:r>
      <w:r>
        <w:t>our</w:t>
      </w:r>
      <w:r w:rsidRPr="00883125">
        <w:t xml:space="preserve"> overall tax assumptions (including the use of a gamma of 0.4) are conservative (in the favou</w:t>
      </w:r>
      <w:r w:rsidR="001453E4">
        <w:t>r of the regulated businesses).</w:t>
      </w:r>
    </w:p>
    <w:p w:rsidR="00C52695" w:rsidRPr="00883125" w:rsidRDefault="00C52695" w:rsidP="00C52695">
      <w:r w:rsidRPr="00883125">
        <w:lastRenderedPageBreak/>
        <w:t>Regarding internal consistency when combining estimates of the distribution and utilisation rates, Gray (for SFG) submitted:</w:t>
      </w:r>
      <w:r w:rsidRPr="00883125">
        <w:rPr>
          <w:rStyle w:val="FootnoteReference"/>
        </w:rPr>
        <w:footnoteReference w:id="601"/>
      </w:r>
    </w:p>
    <w:p w:rsidR="00C52695" w:rsidRPr="00883125" w:rsidRDefault="00C52695" w:rsidP="00C52695">
      <w:pPr>
        <w:pStyle w:val="AERquote"/>
      </w:pPr>
      <w:r w:rsidRPr="00883125">
        <w:t>Since all credits from all companies are identical, it must be the case that, in equilibrium, the credits have the same value throughout the economy. Consequently, it is generally accepted that theta is a market-wide parameter – with a single value that would apply to all firms.</w:t>
      </w:r>
    </w:p>
    <w:p w:rsidR="00C52695" w:rsidRPr="00883125" w:rsidRDefault="00C52695" w:rsidP="00C52695">
      <w:r w:rsidRPr="00883125">
        <w:t>That is, if the only value of theta is the market-wide value, then it is internally consistent to combine it with any estimate of the distribution rate. NERA agreed:</w:t>
      </w:r>
      <w:r w:rsidRPr="00883125">
        <w:rPr>
          <w:rStyle w:val="FootnoteReference"/>
        </w:rPr>
        <w:footnoteReference w:id="602"/>
      </w:r>
    </w:p>
    <w:p w:rsidR="00C52695" w:rsidRPr="00883125" w:rsidRDefault="00C52695" w:rsidP="00C52695">
      <w:pPr>
        <w:pStyle w:val="AERquote"/>
      </w:pPr>
      <w:r w:rsidRPr="00883125">
        <w:t>As theta should not vary from firm to firm, however, there should be no link between how one estimates theta and how one estimates the distribution rate.</w:t>
      </w:r>
    </w:p>
    <w:p w:rsidR="00C52695" w:rsidRPr="00883125" w:rsidRDefault="00C52695" w:rsidP="00C52695">
      <w:pPr>
        <w:rPr>
          <w:rStyle w:val="AERbody"/>
        </w:rPr>
      </w:pPr>
      <w:r w:rsidRPr="00883125">
        <w:rPr>
          <w:rStyle w:val="AERbody"/>
        </w:rPr>
        <w:t>Gray (for Frontier) considered this matter again in his June 2015 report (for Frontier) and stated:</w:t>
      </w:r>
      <w:r w:rsidRPr="00883125">
        <w:rPr>
          <w:rStyle w:val="FootnoteReference"/>
        </w:rPr>
        <w:footnoteReference w:id="603"/>
      </w:r>
    </w:p>
    <w:p w:rsidR="00C52695" w:rsidRPr="00C52695" w:rsidRDefault="00C52695" w:rsidP="00C52695">
      <w:pPr>
        <w:pStyle w:val="AERquote"/>
        <w:rPr>
          <w:rFonts w:eastAsiaTheme="minorHAnsi"/>
        </w:rPr>
      </w:pPr>
      <w:r w:rsidRPr="005764F6">
        <w:t>In my view, when estimating the distribution rate there are two reasons to be concerned about the weight that is afforded to the top 20 listed firms:</w:t>
      </w:r>
    </w:p>
    <w:p w:rsidR="00C52695" w:rsidRPr="00C52695" w:rsidRDefault="00C52695" w:rsidP="00C52695">
      <w:pPr>
        <w:pStyle w:val="AERquoteindent1"/>
        <w:rPr>
          <w:rFonts w:eastAsiaTheme="minorHAnsi"/>
        </w:rPr>
      </w:pPr>
      <w:r w:rsidRPr="005764F6">
        <w:t>a. The AER has specifically stated that the benchmark efficient entity should not be assumed to be a large listed company, as set out above; and</w:t>
      </w:r>
    </w:p>
    <w:p w:rsidR="00C52695" w:rsidRPr="005764F6" w:rsidRDefault="00C52695" w:rsidP="00C52695">
      <w:pPr>
        <w:pStyle w:val="AERquote"/>
      </w:pPr>
      <w:r w:rsidRPr="005764F6">
        <w:t>b. The top 20 listed firms differ from the benchmark entity in that their foreign sourced profits enable a higher distribution rate.</w:t>
      </w:r>
    </w:p>
    <w:p w:rsidR="00C52695" w:rsidRPr="00883125" w:rsidRDefault="00C52695" w:rsidP="00C52695">
      <w:r w:rsidRPr="00883125">
        <w:t>The service providers submit that the distribution rate for listed equity is likely to be skewed by the practices of multinational firms with significant foreign earnings.</w:t>
      </w:r>
      <w:r w:rsidRPr="00883125">
        <w:rPr>
          <w:rStyle w:val="FootnoteReference"/>
        </w:rPr>
        <w:footnoteReference w:id="604"/>
      </w:r>
    </w:p>
    <w:p w:rsidR="00C52695" w:rsidRPr="00883125" w:rsidRDefault="00C52695" w:rsidP="00C52695">
      <w:r w:rsidRPr="005764F6">
        <w:t xml:space="preserve">However, for the reasons outlined above, </w:t>
      </w:r>
      <w:r>
        <w:t>we</w:t>
      </w:r>
      <w:r w:rsidRPr="005764F6">
        <w:t xml:space="preserve"> consider it is not clear that foreign income results in a higher imputation payout ratio. Lally's analysis actually implies the opposite.</w:t>
      </w:r>
      <w:r w:rsidRPr="005764F6">
        <w:rPr>
          <w:rStyle w:val="FootnoteReference"/>
        </w:rPr>
        <w:footnoteReference w:id="605"/>
      </w:r>
      <w:r>
        <w:t xml:space="preserve"> </w:t>
      </w:r>
      <w:r w:rsidRPr="00883125">
        <w:t>Further, when determining the gamma</w:t>
      </w:r>
      <w:r>
        <w:t xml:space="preserve"> value for the benchmark efficient entity</w:t>
      </w:r>
      <w:r w:rsidRPr="00883125">
        <w:t xml:space="preserve">, the benchmark has to be determined holistically and individual aspect of the benchmark should not be considered in isolation. </w:t>
      </w:r>
      <w:r>
        <w:t>We</w:t>
      </w:r>
      <w:r w:rsidRPr="00883125">
        <w:t xml:space="preserve"> do not exclude the impact of the top 20 firms when </w:t>
      </w:r>
      <w:r w:rsidRPr="00883125">
        <w:lastRenderedPageBreak/>
        <w:t>determining the cost of equity (MRP historical, DGM and beta) and consider it would be inconsistent to exclude the top 20 firms when estimating the imputation distribution rate to be used for estimating a gamma value for listed equity.</w:t>
      </w:r>
    </w:p>
    <w:p w:rsidR="00C52695" w:rsidRPr="00883125" w:rsidRDefault="00C52695" w:rsidP="00C52695">
      <w:pPr>
        <w:rPr>
          <w:rStyle w:val="AERtexthighlight"/>
        </w:rPr>
      </w:pPr>
      <w:r w:rsidRPr="00883125">
        <w:t>NERA appears to agree with SFG that one should not consider the largest listed companies. It also considers "it is difficult to see there is a case for setting the distribution rate to be any different to the value … of 0.7".</w:t>
      </w:r>
      <w:r w:rsidRPr="00883125">
        <w:rPr>
          <w:rStyle w:val="FootnoteReference"/>
        </w:rPr>
        <w:footnoteReference w:id="606"/>
      </w:r>
    </w:p>
    <w:p w:rsidR="00C52695" w:rsidRDefault="006919E7" w:rsidP="00C52695">
      <w:pPr>
        <w:rPr>
          <w:rStyle w:val="AERbody"/>
        </w:rPr>
      </w:pPr>
      <w:r>
        <w:rPr>
          <w:rStyle w:val="AERbody"/>
        </w:rPr>
        <w:t>S</w:t>
      </w:r>
      <w:r w:rsidR="00C52695" w:rsidRPr="00883125">
        <w:rPr>
          <w:rStyle w:val="AERbody"/>
        </w:rPr>
        <w:t>ervice providers have submitted that the appropriate distribution rate for both listed and all equity is 70</w:t>
      </w:r>
      <w:r w:rsidR="00C52695">
        <w:rPr>
          <w:rStyle w:val="AERbody"/>
        </w:rPr>
        <w:t xml:space="preserve"> per cent</w:t>
      </w:r>
      <w:r w:rsidR="00C52695" w:rsidRPr="00883125">
        <w:rPr>
          <w:rStyle w:val="AERbody"/>
        </w:rPr>
        <w:t xml:space="preserve"> consistent with the advice from Gray and NERA.</w:t>
      </w:r>
      <w:r w:rsidR="00C52695" w:rsidRPr="00883125">
        <w:rPr>
          <w:rStyle w:val="FootnoteReference"/>
        </w:rPr>
        <w:footnoteReference w:id="607"/>
      </w:r>
      <w:r w:rsidR="00C52695" w:rsidRPr="00883125">
        <w:rPr>
          <w:rStyle w:val="AERbody"/>
        </w:rPr>
        <w:t xml:space="preserve"> Service providers also consider that theta under the equity ownership approach should be determined with regard to only listed equity as listed equities foreign ownership is more reflective of the benchmark efficient entity. To summarise, </w:t>
      </w:r>
      <w:r w:rsidR="00C52695">
        <w:rPr>
          <w:rStyle w:val="AERbody"/>
        </w:rPr>
        <w:t>service providers</w:t>
      </w:r>
      <w:r w:rsidR="00C52695" w:rsidRPr="00883125">
        <w:rPr>
          <w:rStyle w:val="AERbody"/>
        </w:rPr>
        <w:t xml:space="preserve"> want to ignore firms with foreign income when estimating the distribution rate which reduces gamma and want to include firms with foreign ownership for the purposes of estimating the utilisation value which also reduces gamma.</w:t>
      </w:r>
      <w:r w:rsidR="00C52695">
        <w:rPr>
          <w:rStyle w:val="FootnoteReference"/>
        </w:rPr>
        <w:footnoteReference w:id="608"/>
      </w:r>
      <w:r w:rsidR="00C52695" w:rsidRPr="00883125">
        <w:rPr>
          <w:rStyle w:val="AERbody"/>
        </w:rPr>
        <w:t xml:space="preserve"> </w:t>
      </w:r>
      <w:r w:rsidR="00C52695">
        <w:rPr>
          <w:rStyle w:val="AERbody"/>
        </w:rPr>
        <w:t>We</w:t>
      </w:r>
      <w:r w:rsidR="00C52695" w:rsidRPr="00883125">
        <w:rPr>
          <w:rStyle w:val="AERbody"/>
        </w:rPr>
        <w:t xml:space="preserve"> do not agree with this approach</w:t>
      </w:r>
      <w:r w:rsidR="00C52695">
        <w:rPr>
          <w:rStyle w:val="AERbody"/>
        </w:rPr>
        <w:t xml:space="preserve"> and considers it will not give a reasonable estimate of gamma for the benchmark efficient entity</w:t>
      </w:r>
      <w:r w:rsidR="00C52695" w:rsidRPr="00883125">
        <w:rPr>
          <w:rStyle w:val="AERbody"/>
        </w:rPr>
        <w:t xml:space="preserve"> </w:t>
      </w:r>
      <w:r w:rsidR="00C52695">
        <w:rPr>
          <w:rStyle w:val="AERbody"/>
        </w:rPr>
        <w:t>for the reasons outline above.</w:t>
      </w:r>
      <w:r w:rsidR="00C52695" w:rsidRPr="00883125">
        <w:rPr>
          <w:rStyle w:val="AERbody"/>
        </w:rPr>
        <w:t xml:space="preserve"> </w:t>
      </w:r>
    </w:p>
    <w:p w:rsidR="00C52695" w:rsidRPr="00883125" w:rsidRDefault="00C52695" w:rsidP="00C52695">
      <w:r w:rsidRPr="00883125">
        <w:t xml:space="preserve">NERA's views and Gray's views (for SFG and Frontier) must be reconciled with the fact that different investors can value imputation credits differently. For instance, foreign investors do not value credits and eligible domestic investors do. Therefore, a given estimate of theta will </w:t>
      </w:r>
      <w:r w:rsidRPr="00883125">
        <w:lastRenderedPageBreak/>
        <w:t>reflect the set of investors over which it is calculated. Gray (for SFG) appears to recognise this elsewhere in his report:</w:t>
      </w:r>
      <w:r w:rsidRPr="00883125">
        <w:rPr>
          <w:rStyle w:val="FootnoteReference"/>
        </w:rPr>
        <w:footnoteReference w:id="609"/>
      </w:r>
    </w:p>
    <w:p w:rsidR="00C52695" w:rsidRPr="00883125" w:rsidRDefault="00C52695" w:rsidP="00C52695">
      <w:pPr>
        <w:pStyle w:val="AERquote"/>
      </w:pPr>
      <w:r w:rsidRPr="00883125">
        <w:t>If theta is estimated using a market value approach, the estimate will represent an average across all listed firms.</w:t>
      </w:r>
    </w:p>
    <w:p w:rsidR="00C52695" w:rsidRPr="00883125" w:rsidRDefault="00C52695" w:rsidP="00C52695">
      <w:r w:rsidRPr="00883125">
        <w:t xml:space="preserve">This is further illustrated in </w:t>
      </w:r>
      <w:r w:rsidRPr="00883125">
        <w:fldChar w:fldCharType="begin"/>
      </w:r>
      <w:r w:rsidRPr="00883125">
        <w:instrText xml:space="preserve"> REF  _Ref415078600 \* Lower \h </w:instrText>
      </w:r>
      <w:r w:rsidRPr="00883125">
        <w:fldChar w:fldCharType="separate"/>
      </w:r>
      <w:r w:rsidR="00812A72" w:rsidRPr="00883125">
        <w:t xml:space="preserve">figure </w:t>
      </w:r>
      <w:r w:rsidR="00812A72">
        <w:rPr>
          <w:noProof/>
        </w:rPr>
        <w:t>4</w:t>
      </w:r>
      <w:r w:rsidR="00812A72" w:rsidRPr="00883125">
        <w:t>.</w:t>
      </w:r>
      <w:r w:rsidR="00812A72">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812A72" w:rsidRPr="00883125">
        <w:t xml:space="preserve">figure </w:t>
      </w:r>
      <w:r w:rsidR="00812A72">
        <w:rPr>
          <w:noProof/>
        </w:rPr>
        <w:t>4</w:t>
      </w:r>
      <w:r w:rsidR="00812A72" w:rsidRPr="00883125">
        <w:t>.</w:t>
      </w:r>
      <w:r w:rsidR="00812A72">
        <w:rPr>
          <w:noProof/>
        </w:rPr>
        <w:t>2</w:t>
      </w:r>
      <w:r w:rsidRPr="00883125">
        <w:fldChar w:fldCharType="end"/>
      </w:r>
      <w:r w:rsidRPr="00883125">
        <w:t xml:space="preserve"> submitted by a number of service providers, which indicate that SFG's dividend drop off estimate of theta reflects the proportion of foreign investors in listed equity.</w:t>
      </w:r>
    </w:p>
    <w:p w:rsidR="00C52695" w:rsidRPr="00883125" w:rsidRDefault="00C52695" w:rsidP="00C52695">
      <w:r w:rsidRPr="00883125">
        <w:t>To clarify, in theory there may be a single economy-wide theta. However, the practical reality is that a given estimate of theta will reflect the set of investors in the evidence used. Accordingly, we consider that the distribution rate we use in combination with that estimate of theta represent the distribution of credits to that same set of investors (or at least a similarly reflective set)</w:t>
      </w:r>
      <w:r>
        <w:t xml:space="preserve"> and will give a gamma value for this subset of equity</w:t>
      </w:r>
      <w:r w:rsidRPr="00883125">
        <w:t>. The service providers, NERA and Gray (for SFG and Frontier) give us no cause to change this view. Handley also supported our view:</w:t>
      </w:r>
      <w:r w:rsidRPr="00883125">
        <w:rPr>
          <w:rStyle w:val="FootnoteReference"/>
        </w:rPr>
        <w:footnoteReference w:id="610"/>
      </w:r>
    </w:p>
    <w:p w:rsidR="00C52695" w:rsidRPr="00883125" w:rsidRDefault="00C52695" w:rsidP="00C52695">
      <w:pPr>
        <w:pStyle w:val="AERquote"/>
      </w:pPr>
      <w:r w:rsidRPr="00883125">
        <w:t>It is correct to say that theta is not firm-specific and the distribution rate is firm-specific. But I do not agree with the suggestion that there need be no link between how one estimates theta and how one estimates the distribution rate.</w:t>
      </w:r>
    </w:p>
    <w:p w:rsidR="00C52695" w:rsidRPr="00883125" w:rsidRDefault="00C52695" w:rsidP="00C52695">
      <w:pPr>
        <w:pStyle w:val="AERquote"/>
      </w:pPr>
      <w:r w:rsidRPr="00883125">
        <w:t>We are interested in estimating the value of imputation credits to the market as a whole. In setting prices, investors in the market will take into account the quantity of credits expected to be distributed by all firms in the market. Since gamma is effectively defined as a price (theta) times a quantity (distribution rate) then in my opinion, it is obvious that both components should be based on consistent data sets which relate to the same market.</w:t>
      </w:r>
    </w:p>
    <w:p w:rsidR="00C52695" w:rsidRDefault="004D25AD" w:rsidP="00C0453E">
      <w:pPr>
        <w:rPr>
          <w:rStyle w:val="AERbody"/>
        </w:rPr>
      </w:pPr>
      <w:r>
        <w:rPr>
          <w:rStyle w:val="AERbody"/>
        </w:rPr>
        <w:t>T</w:t>
      </w:r>
      <w:r w:rsidR="006919E7">
        <w:rPr>
          <w:rStyle w:val="AERbody"/>
        </w:rPr>
        <w:t xml:space="preserve">he regulated businesses submit that </w:t>
      </w:r>
      <w:r w:rsidR="00C52695">
        <w:rPr>
          <w:rStyle w:val="AERbody"/>
        </w:rPr>
        <w:t>Lally considers that consistency between the distribution rate and utilisation value is not essential nor is it precluded.</w:t>
      </w:r>
      <w:r w:rsidR="00C52695" w:rsidRPr="0016735E">
        <w:rPr>
          <w:rStyle w:val="FootnoteReference"/>
        </w:rPr>
        <w:footnoteReference w:id="611"/>
      </w:r>
      <w:r w:rsidR="00C52695">
        <w:rPr>
          <w:rStyle w:val="AERbody"/>
        </w:rPr>
        <w:t xml:space="preserve"> </w:t>
      </w:r>
      <w:r w:rsidR="006919E7">
        <w:rPr>
          <w:rStyle w:val="AERbody"/>
        </w:rPr>
        <w:t xml:space="preserve">In his latest report, Lally has updated his </w:t>
      </w:r>
      <w:r>
        <w:rPr>
          <w:rStyle w:val="AERbody"/>
        </w:rPr>
        <w:t>positio</w:t>
      </w:r>
      <w:r w:rsidR="006919E7">
        <w:rPr>
          <w:rStyle w:val="AERbody"/>
        </w:rPr>
        <w:t>n</w:t>
      </w:r>
      <w:r>
        <w:rPr>
          <w:rStyle w:val="AERbody"/>
        </w:rPr>
        <w:t xml:space="preserve"> to say that there is good reason for not matching.</w:t>
      </w:r>
      <w:r>
        <w:rPr>
          <w:rStyle w:val="FootnoteReference"/>
        </w:rPr>
        <w:footnoteReference w:id="612"/>
      </w:r>
      <w:r w:rsidR="00C0453E">
        <w:rPr>
          <w:rStyle w:val="AERbody"/>
        </w:rPr>
        <w:t xml:space="preserve"> While we acknowledge this, </w:t>
      </w:r>
      <w:r w:rsidR="00C52695">
        <w:rPr>
          <w:rStyle w:val="AERbody"/>
        </w:rPr>
        <w:t xml:space="preserve">Lally considers that the distribution rate (for listed equity) should be estimated with reference to </w:t>
      </w:r>
      <w:r w:rsidR="00C52695" w:rsidRPr="0016735E">
        <w:rPr>
          <w:rStyle w:val="AERbody"/>
        </w:rPr>
        <w:t xml:space="preserve">the top 20 listed firms </w:t>
      </w:r>
      <w:r w:rsidR="00C52695">
        <w:rPr>
          <w:rStyle w:val="AERbody"/>
        </w:rPr>
        <w:t>and the utilisation value should be estimated with reference to all equity.</w:t>
      </w:r>
      <w:r w:rsidR="00C52695" w:rsidRPr="0016735E">
        <w:rPr>
          <w:rStyle w:val="FootnoteReference"/>
        </w:rPr>
        <w:footnoteReference w:id="613"/>
      </w:r>
      <w:r w:rsidR="00C52695">
        <w:rPr>
          <w:rStyle w:val="AERbody"/>
        </w:rPr>
        <w:t xml:space="preserve"> This implies that gamma is at least 0.5, which indicates our value of gamma may be too low.</w:t>
      </w:r>
      <w:r w:rsidR="00EB58A2">
        <w:rPr>
          <w:rStyle w:val="FootnoteReference"/>
        </w:rPr>
        <w:footnoteReference w:id="614"/>
      </w:r>
    </w:p>
    <w:p w:rsidR="00C52695" w:rsidRPr="00883125" w:rsidRDefault="00C52695" w:rsidP="00C52695">
      <w:pPr>
        <w:rPr>
          <w:rStyle w:val="AERbody"/>
        </w:rPr>
      </w:pPr>
      <w:r w:rsidRPr="00883125">
        <w:rPr>
          <w:rStyle w:val="AERbody"/>
        </w:rPr>
        <w:lastRenderedPageBreak/>
        <w:t xml:space="preserve">We also note that even if we were minded to do so, there is not necessarily a correct way to filter listed equity data to make it more reflective of the benchmark efficient entity (as the benchmark entity has a number of characteristics). While Gray (for SFG and Frontier) and NERA have proposed filtering based on a single characteristic (excluding the 20 largest listed firms) in a way that leads to a lower estimated distribution rate (and therefore a lower estimated value of imputation credits), they have not demonstrated their filtering method will lead to a better estimate of the distribution rate for the benchmark efficient entity. </w:t>
      </w:r>
      <w:r>
        <w:rPr>
          <w:rStyle w:val="AERbody"/>
        </w:rPr>
        <w:t>Further, advice that we have received for Lally suggest that the filtering is unnecessary and if anything the best estimate of the distribution rate is based on the financial data of the top 20 firms.</w:t>
      </w:r>
      <w:r>
        <w:rPr>
          <w:rStyle w:val="FootnoteReference"/>
        </w:rPr>
        <w:footnoteReference w:id="615"/>
      </w:r>
      <w:r>
        <w:rPr>
          <w:rStyle w:val="AERbody"/>
        </w:rPr>
        <w:t xml:space="preserve"> We note Lally's choice of the top 20 firms as a proxy for the estimate of the distribution rate for listed equity is not based on filtering listed equity based on the characteristics of the benchmark efficient entity, although he does consider listed firms more relevant to the estimation of the distribution rate for the benchmark efficient entity.</w:t>
      </w:r>
    </w:p>
    <w:p w:rsidR="00C52695" w:rsidRPr="00883125" w:rsidRDefault="00C52695" w:rsidP="00C52695">
      <w:pPr>
        <w:rPr>
          <w:rStyle w:val="AERbody"/>
        </w:rPr>
      </w:pPr>
      <w:r w:rsidRPr="00883125">
        <w:rPr>
          <w:rStyle w:val="AERbody"/>
        </w:rPr>
        <w:t>Handley indicated that Gray's analysis was 'incomplete and oversimplified' to support the restriction proposed, and we consider that Gray's June 2015 report (for Frontier) and NERA's June 2015 report add noth</w:t>
      </w:r>
      <w:r w:rsidR="00514A99">
        <w:rPr>
          <w:rStyle w:val="AERbody"/>
        </w:rPr>
        <w:t>ing material to the discussion.</w:t>
      </w:r>
    </w:p>
    <w:p w:rsidR="00C52695" w:rsidRPr="00883125" w:rsidRDefault="00C52695" w:rsidP="00C52695">
      <w:pPr>
        <w:rPr>
          <w:rStyle w:val="AERbody"/>
        </w:rPr>
      </w:pPr>
      <w:r w:rsidRPr="00883125">
        <w:rPr>
          <w:rStyle w:val="AERbody"/>
        </w:rPr>
        <w:t>We also note that if we estimated a distribution rate strictly in accordance with our benchmark definition we would end up with only the firms that we regulate, or an observable set of similar firms, yet the service providers have not suggested an industry benchmark distribution rate. We also do not propose an industry benchmark for the reasons set out in the Guideline</w:t>
      </w:r>
      <w:r>
        <w:rPr>
          <w:rStyle w:val="AERbody"/>
        </w:rPr>
        <w:t>, although we note Lally's estimate of 0.83 for the broader listed equity market does not seem unreasonable</w:t>
      </w:r>
      <w:r w:rsidRPr="00883125">
        <w:rPr>
          <w:rStyle w:val="AERbody"/>
        </w:rPr>
        <w:t>.</w:t>
      </w:r>
      <w:r w:rsidRPr="00883125">
        <w:rPr>
          <w:rStyle w:val="FootnoteReference"/>
        </w:rPr>
        <w:footnoteReference w:id="616"/>
      </w:r>
      <w:r w:rsidRPr="00883125">
        <w:rPr>
          <w:rStyle w:val="AERbody"/>
        </w:rPr>
        <w:t xml:space="preserve"> However, we note the EMRF submitted that our assumed distribution rates are lower (and, therefore more favourable to service providers) than those relevant to a pure play energy network.</w:t>
      </w:r>
      <w:r w:rsidRPr="00883125">
        <w:rPr>
          <w:rStyle w:val="FootnoteReference"/>
        </w:rPr>
        <w:footnoteReference w:id="617"/>
      </w:r>
    </w:p>
    <w:p w:rsidR="00C52695" w:rsidRPr="00883125" w:rsidRDefault="00C52695" w:rsidP="00C52695">
      <w:pPr>
        <w:pStyle w:val="Heading9"/>
      </w:pPr>
      <w:bookmarkStart w:id="342" w:name="_Toc450119282"/>
      <w:bookmarkStart w:id="343" w:name="_Toc450119442"/>
      <w:bookmarkStart w:id="344" w:name="_Ref415126827"/>
      <w:bookmarkStart w:id="345" w:name="_Toc456614328"/>
      <w:bookmarkStart w:id="346" w:name="_Toc462823334"/>
      <w:bookmarkStart w:id="347" w:name="_Toc481061502"/>
      <w:bookmarkEnd w:id="342"/>
      <w:bookmarkEnd w:id="343"/>
      <w:r w:rsidRPr="00883125">
        <w:t>The cumulative payout ratio approach</w:t>
      </w:r>
      <w:bookmarkEnd w:id="344"/>
      <w:bookmarkEnd w:id="345"/>
      <w:bookmarkEnd w:id="346"/>
      <w:bookmarkEnd w:id="347"/>
    </w:p>
    <w:p w:rsidR="00C52695" w:rsidRPr="00883125" w:rsidRDefault="00C52695" w:rsidP="00C52695">
      <w:pPr>
        <w:numPr>
          <w:ilvl w:val="0"/>
          <w:numId w:val="24"/>
        </w:numPr>
      </w:pPr>
      <w:r w:rsidRPr="00883125">
        <w:t>The cumulative payout ratio approach is applied as follows. It starts with the change in the total value of imputation credits in firms’ franking account balances over a particular period of time. This reflects the cumulative additions and subtractions of imputation credits over that particular period of time. Then, subtracting this from total company tax paid over the same period of time produces an estimate of the imputation credits that have been distributed in total. This relies on the idea that every dollar of company tax paid generates an imputation credit, which can either be distributed or retained in franking account balances. Then, dividing this estimate by the value of company tax paid over the same time period produces an estimate of the distribution rate over this time.</w:t>
      </w:r>
    </w:p>
    <w:p w:rsidR="00C52695" w:rsidRPr="00883125" w:rsidRDefault="00C52695" w:rsidP="00C52695">
      <w:pPr>
        <w:numPr>
          <w:ilvl w:val="0"/>
          <w:numId w:val="24"/>
        </w:numPr>
      </w:pPr>
      <w:r w:rsidRPr="00883125">
        <w:lastRenderedPageBreak/>
        <w:t>A limitation of this approach is that factors other than the distribution of imputation credits can lead to a decrease in aggregate franking account balances.</w:t>
      </w:r>
      <w:r w:rsidRPr="00883125">
        <w:rPr>
          <w:rStyle w:val="FootnoteReference"/>
        </w:rPr>
        <w:footnoteReference w:id="618"/>
      </w:r>
      <w:r w:rsidRPr="00883125">
        <w:t xml:space="preserve"> However, we are unaware of the materiality of these factors. Moreover, as discussed in the next section:</w:t>
      </w:r>
    </w:p>
    <w:p w:rsidR="00C52695" w:rsidRPr="00883125" w:rsidRDefault="00C52695" w:rsidP="00C52695">
      <w:pPr>
        <w:pStyle w:val="AERbulletlistfirststyle"/>
      </w:pPr>
      <w:r w:rsidRPr="00883125">
        <w:t>Hathaway and NERA each preferred this approach to an approach involving data on franked dividends, and</w:t>
      </w:r>
    </w:p>
    <w:p w:rsidR="00C52695" w:rsidRPr="00883125" w:rsidRDefault="00C52695" w:rsidP="00C52695">
      <w:pPr>
        <w:pStyle w:val="AERbulletlistfirststyle"/>
      </w:pPr>
      <w:r w:rsidRPr="00883125">
        <w:t>an estimate of the distribution rate across only listed equity using this approach is broadly reinforced by evidence from the financial statements of the largest listed companies.</w:t>
      </w:r>
    </w:p>
    <w:p w:rsidR="00C52695" w:rsidRPr="00883125" w:rsidRDefault="00C52695" w:rsidP="00C52695">
      <w:pPr>
        <w:pStyle w:val="Heading9"/>
      </w:pPr>
      <w:bookmarkStart w:id="348" w:name="_Toc456614329"/>
      <w:bookmarkStart w:id="349" w:name="_Toc462823335"/>
      <w:bookmarkStart w:id="350" w:name="_Toc481061503"/>
      <w:r w:rsidRPr="00883125">
        <w:t>Alternative approaches</w:t>
      </w:r>
      <w:bookmarkEnd w:id="348"/>
      <w:bookmarkEnd w:id="349"/>
      <w:bookmarkEnd w:id="350"/>
    </w:p>
    <w:p w:rsidR="00C52695" w:rsidRPr="00883125" w:rsidRDefault="00C52695" w:rsidP="00C52695">
      <w:pPr>
        <w:numPr>
          <w:ilvl w:val="0"/>
          <w:numId w:val="24"/>
        </w:numPr>
      </w:pPr>
      <w:r w:rsidRPr="00883125">
        <w:t>There are at least two alternative approaches to estimating the distribution rate:</w:t>
      </w:r>
    </w:p>
    <w:p w:rsidR="00C52695" w:rsidRPr="001D37D5" w:rsidRDefault="00C52695" w:rsidP="00C52695">
      <w:pPr>
        <w:pStyle w:val="AERbulletlistfirststyle"/>
      </w:pPr>
      <w:r w:rsidRPr="00883125">
        <w:t>Hathaway and NERA each estimated a distribution rate of around 0.5 using ATO statistics on the franked dividends distributed by companies as reported in their tax returns.</w:t>
      </w:r>
      <w:r w:rsidRPr="001D37D5">
        <w:rPr>
          <w:rStyle w:val="FootnoteReference"/>
        </w:rPr>
        <w:footnoteReference w:id="619"/>
      </w:r>
      <w:r w:rsidRPr="001D37D5">
        <w:t xml:space="preserve"> However, neither advocated the use of this estimate. NERA considered:</w:t>
      </w:r>
      <w:r w:rsidRPr="001D37D5">
        <w:rPr>
          <w:rStyle w:val="FootnoteReference"/>
        </w:rPr>
        <w:footnoteReference w:id="620"/>
      </w:r>
    </w:p>
    <w:p w:rsidR="00C52695" w:rsidRPr="00883125" w:rsidRDefault="00C52695" w:rsidP="00C52695">
      <w:pPr>
        <w:pStyle w:val="AERquote"/>
      </w:pPr>
      <w:r w:rsidRPr="00883125">
        <w:t xml:space="preserve">In our opinion, the cumulative payout ratio is the most reliable estimate that is least likely to be affected by potential distortions in the underlying data set. </w:t>
      </w:r>
    </w:p>
    <w:p w:rsidR="00C52695" w:rsidRPr="001D37D5" w:rsidRDefault="00C52695" w:rsidP="00C52695">
      <w:pPr>
        <w:pStyle w:val="AERbulletlistfirststyle"/>
      </w:pPr>
      <w:r w:rsidRPr="00883125">
        <w:t>And Hathaway considered:</w:t>
      </w:r>
      <w:r w:rsidRPr="001D37D5">
        <w:rPr>
          <w:rStyle w:val="FootnoteReference"/>
        </w:rPr>
        <w:footnoteReference w:id="621"/>
      </w:r>
    </w:p>
    <w:p w:rsidR="00C52695" w:rsidRPr="00883125" w:rsidRDefault="00C52695" w:rsidP="00C52695">
      <w:pPr>
        <w:pStyle w:val="AERquote"/>
      </w:pPr>
      <w:r w:rsidRPr="00883125">
        <w:t>As was explained in section 3, I have more faith in the [franking account balance] data than in the dividend data. The dividend data appears to be missing about $87.5 billion and the ATO has had substantial problems with the dividend data in the past.</w:t>
      </w:r>
    </w:p>
    <w:p w:rsidR="00C52695" w:rsidRDefault="00C52695" w:rsidP="00C52695">
      <w:r w:rsidRPr="00883125">
        <w:t>Lally examined the financial statements of the 20 largest ASX-listed firms by market capitalisation, and found an aggregate distribution rate across these firms of 0.8</w:t>
      </w:r>
      <w:r>
        <w:t>3</w:t>
      </w:r>
      <w:r w:rsidRPr="00883125">
        <w:t>.</w:t>
      </w:r>
      <w:r w:rsidRPr="00883125">
        <w:rPr>
          <w:rStyle w:val="FootnoteReference"/>
        </w:rPr>
        <w:footnoteReference w:id="622"/>
      </w:r>
      <w:r w:rsidRPr="00883125">
        <w:t xml:space="preserve"> We consider that this broadly reinforces the higher cumulative payout ratio estimate across only listed equity.</w:t>
      </w:r>
    </w:p>
    <w:p w:rsidR="00E37CE4" w:rsidRDefault="00E37CE4" w:rsidP="00C52695"/>
    <w:p w:rsidR="00E37CE4" w:rsidRPr="00883125" w:rsidRDefault="00E37CE4" w:rsidP="00C52695"/>
    <w:p w:rsidR="00C52695" w:rsidRPr="00883125" w:rsidRDefault="00C52695" w:rsidP="00C52695">
      <w:pPr>
        <w:pStyle w:val="Heading9"/>
      </w:pPr>
      <w:bookmarkStart w:id="351" w:name="_Ref450297745"/>
      <w:bookmarkStart w:id="352" w:name="_Toc456614330"/>
      <w:bookmarkStart w:id="353" w:name="_Toc462823336"/>
      <w:bookmarkStart w:id="354" w:name="_Toc481061504"/>
      <w:r w:rsidRPr="00883125">
        <w:lastRenderedPageBreak/>
        <w:t>Hathaway (2014)</w:t>
      </w:r>
      <w:bookmarkEnd w:id="351"/>
      <w:bookmarkEnd w:id="352"/>
      <w:bookmarkEnd w:id="353"/>
      <w:bookmarkEnd w:id="354"/>
    </w:p>
    <w:p w:rsidR="00C52695" w:rsidRPr="00883125" w:rsidRDefault="00C52695" w:rsidP="00C52695">
      <w:r w:rsidRPr="00883125">
        <w:t>After the publication of the draft decisions in 2014, and deep into the process of preparing the final decision for JGN, we became aware of an updated analysis of the tax statistics by Hathaway dated October 2014.</w:t>
      </w:r>
      <w:r w:rsidRPr="00883125">
        <w:rPr>
          <w:rStyle w:val="FootnoteReference"/>
        </w:rPr>
        <w:footnoteReference w:id="623"/>
      </w:r>
      <w:r w:rsidRPr="00883125">
        <w:t xml:space="preserve"> This report updates the analysis to include tax data for the 2011–12 financial year, which were published by the ATO during 2014. Hathaway (2014) remains in draft form. Importantly, Hathaway (2014) appears to come to the opposite conclusion of his 2013 analysis regarding the FAB data:</w:t>
      </w:r>
      <w:r w:rsidRPr="00883125">
        <w:rPr>
          <w:rStyle w:val="FootnoteReference"/>
        </w:rPr>
        <w:footnoteReference w:id="624"/>
      </w:r>
    </w:p>
    <w:p w:rsidR="00C52695" w:rsidRPr="00883125" w:rsidRDefault="00C52695" w:rsidP="00C52695">
      <w:pPr>
        <w:pStyle w:val="AERquote"/>
      </w:pPr>
      <w:r w:rsidRPr="00883125">
        <w:t xml:space="preserve">…the FAB data indicate a </w:t>
      </w:r>
      <w:r w:rsidRPr="00883125">
        <w:rPr>
          <w:rStyle w:val="AERtextitalic"/>
        </w:rPr>
        <w:t>net</w:t>
      </w:r>
      <w:r w:rsidRPr="00883125">
        <w:t xml:space="preserve"> $337.4 billion of credits have been distributed and a </w:t>
      </w:r>
      <w:r w:rsidRPr="00883125">
        <w:rPr>
          <w:rStyle w:val="AERtextitalic"/>
        </w:rPr>
        <w:t>gross</w:t>
      </w:r>
      <w:r w:rsidRPr="00883125">
        <w:t xml:space="preserve"> $428 billion was distributed.</w:t>
      </w:r>
    </w:p>
    <w:p w:rsidR="00C52695" w:rsidRPr="00883125" w:rsidRDefault="00C52695" w:rsidP="00C52695">
      <w:pPr>
        <w:pStyle w:val="AERquote"/>
      </w:pPr>
      <w:r w:rsidRPr="00883125">
        <w:t>This gross distribution seems highly improbable and is quite inconsistent with the recorded franking credit income. It represents a gross payout ratio of 88% of all company tax as franking credits for the period 2004-12. This is in stark contrast to the gross 66% distribution recorded by the payment of franked dividends. We conclude that the FAB data are a concern.</w:t>
      </w:r>
    </w:p>
    <w:p w:rsidR="00C52695" w:rsidRPr="00883125" w:rsidRDefault="00C52695" w:rsidP="00C52695">
      <w:r w:rsidRPr="00883125">
        <w:t>To the extent that the new conclusions in Hathaway (2014) are well founded, the potential implication is that an estimate of the distribution rate using franked dividend data might be more appropriate (that is, around 0.5, or at least between 0.5 and 0.7). However, on first assessment, we are not convinced by Hathaway's main reason for concluding that the FAB data are a concern—the idea that they imply a gross distribution rate of 0.88 which is 'improbable' and much higher than the gross distribution rate implied by franked dividend data (0.66, which appears to be considered by Hathaway to be probable). This is because Lally's estimate of the gross distribution rate across the largest listed companies is 0.8</w:t>
      </w:r>
      <w:r>
        <w:t>3</w:t>
      </w:r>
      <w:r w:rsidRPr="00883125">
        <w:t>, and therefore we do not consider that an estimate of 0.88 is necessarily improbable.</w:t>
      </w:r>
    </w:p>
    <w:p w:rsidR="00C52695" w:rsidRPr="00883125" w:rsidRDefault="00C52695" w:rsidP="00C52695">
      <w:r w:rsidRPr="00883125">
        <w:t>While we are aware of it, we do not place reliance on the conclusion in Hathaway (2014) regarding the FAB data in this</w:t>
      </w:r>
      <w:r>
        <w:t xml:space="preserve"> </w:t>
      </w:r>
      <w:r w:rsidR="00022C1D">
        <w:t>final</w:t>
      </w:r>
      <w:r w:rsidR="00022C1D" w:rsidRPr="00883125">
        <w:t xml:space="preserve"> </w:t>
      </w:r>
      <w:r w:rsidRPr="00883125">
        <w:t>decision. This is because:</w:t>
      </w:r>
    </w:p>
    <w:p w:rsidR="00C52695" w:rsidRPr="001D37D5" w:rsidRDefault="00C52695" w:rsidP="00C52695">
      <w:pPr>
        <w:pStyle w:val="AERbulletlistfirststyle"/>
      </w:pPr>
      <w:r w:rsidRPr="00883125">
        <w:t>We do not find Hathaway's reasoning for his conclusion</w:t>
      </w:r>
      <w:r w:rsidRPr="001D37D5">
        <w:t xml:space="preserve"> convincing.</w:t>
      </w:r>
    </w:p>
    <w:p w:rsidR="00C52695" w:rsidRPr="00883125" w:rsidRDefault="00C52695" w:rsidP="00C52695">
      <w:pPr>
        <w:pStyle w:val="AERbulletlistfirststyle"/>
      </w:pPr>
      <w:r w:rsidRPr="00883125">
        <w:t>This conclusion does not appear contingent on any new information provided by the release of the 2011–12 statistics. Therefore, this conclusion would appear to have been open to Hathaway, NERA and Handley previously, yet none of them came to it.</w:t>
      </w:r>
    </w:p>
    <w:p w:rsidR="00C52695" w:rsidRDefault="00C52695" w:rsidP="00C52695">
      <w:r w:rsidRPr="00883125">
        <w:t>We also note the report is still marked draft nearly one year after initially being completed.</w:t>
      </w:r>
    </w:p>
    <w:p w:rsidR="00E37CE4" w:rsidRDefault="00E37CE4" w:rsidP="00C52695"/>
    <w:p w:rsidR="00E37CE4" w:rsidRPr="00883125" w:rsidRDefault="00E37CE4" w:rsidP="00C52695"/>
    <w:p w:rsidR="00C52695" w:rsidRPr="00883125" w:rsidRDefault="00C52695" w:rsidP="00C52695">
      <w:pPr>
        <w:pStyle w:val="Heading8"/>
      </w:pPr>
      <w:bookmarkStart w:id="355" w:name="_Ref403481535"/>
      <w:bookmarkStart w:id="356" w:name="_Toc436049452"/>
      <w:bookmarkStart w:id="357" w:name="_Toc451842258"/>
      <w:bookmarkStart w:id="358" w:name="_Toc451938312"/>
      <w:bookmarkStart w:id="359" w:name="_Toc456614331"/>
      <w:bookmarkStart w:id="360" w:name="_Toc462823337"/>
      <w:bookmarkStart w:id="361" w:name="_Toc481061505"/>
      <w:r w:rsidRPr="00883125">
        <w:lastRenderedPageBreak/>
        <w:t>Application of rate of return criteria to evidence on the utilisation rate</w:t>
      </w:r>
      <w:bookmarkEnd w:id="355"/>
      <w:bookmarkEnd w:id="356"/>
      <w:bookmarkEnd w:id="357"/>
      <w:bookmarkEnd w:id="358"/>
      <w:bookmarkEnd w:id="359"/>
      <w:bookmarkEnd w:id="360"/>
      <w:bookmarkEnd w:id="361"/>
    </w:p>
    <w:p w:rsidR="00C52695" w:rsidRPr="00883125" w:rsidRDefault="00C52695" w:rsidP="00C52695">
      <w:pPr>
        <w:numPr>
          <w:ilvl w:val="0"/>
          <w:numId w:val="24"/>
        </w:numPr>
      </w:pPr>
      <w:r w:rsidRPr="00883125">
        <w:t xml:space="preserve">Our main assessment of the various approaches to estimating the utilisation rate is set out in section </w:t>
      </w:r>
      <w:r w:rsidR="001A5B30">
        <w:fldChar w:fldCharType="begin"/>
      </w:r>
      <w:r w:rsidR="001A5B30">
        <w:instrText xml:space="preserve"> REF _Ref475439085 \r \h </w:instrText>
      </w:r>
      <w:r w:rsidR="001A5B30">
        <w:fldChar w:fldCharType="separate"/>
      </w:r>
      <w:r w:rsidR="00812A72">
        <w:t>4.4</w:t>
      </w:r>
      <w:r w:rsidR="001A5B30">
        <w:fldChar w:fldCharType="end"/>
      </w:r>
      <w:r w:rsidRPr="00883125">
        <w:t xml:space="preserve"> of attachment 4, with supporting evidence provided in this appendix. However, we have also considered these approaches and the evidence they employ against the criteria used to assess evidence on the allowed rate of return (</w:t>
      </w:r>
      <w:r w:rsidRPr="00883125">
        <w:fldChar w:fldCharType="begin"/>
      </w:r>
      <w:r w:rsidRPr="00883125">
        <w:instrText xml:space="preserve"> REF  _Ref415046112 \* Lower \h </w:instrText>
      </w:r>
      <w:r w:rsidRPr="00883125">
        <w:fldChar w:fldCharType="separate"/>
      </w:r>
      <w:r w:rsidR="00812A72" w:rsidRPr="00883125">
        <w:t xml:space="preserve">table </w:t>
      </w:r>
      <w:r w:rsidR="00812A72">
        <w:rPr>
          <w:noProof/>
        </w:rPr>
        <w:t>4</w:t>
      </w:r>
      <w:r w:rsidR="00812A72">
        <w:noBreakHyphen/>
      </w:r>
      <w:r w:rsidR="00812A72">
        <w:rPr>
          <w:noProof/>
        </w:rPr>
        <w:t>15</w:t>
      </w:r>
      <w:r w:rsidRPr="00883125">
        <w:fldChar w:fldCharType="end"/>
      </w:r>
      <w:r w:rsidRPr="00883125">
        <w:t>). Assessment against these criteria broadly supports our main assessment of the approaches.</w:t>
      </w:r>
    </w:p>
    <w:p w:rsidR="00C52695" w:rsidRPr="00883125" w:rsidRDefault="00C52695" w:rsidP="00C52695">
      <w:pPr>
        <w:numPr>
          <w:ilvl w:val="0"/>
          <w:numId w:val="24"/>
        </w:numPr>
      </w:pPr>
    </w:p>
    <w:p w:rsidR="00C52695" w:rsidRPr="00883125" w:rsidRDefault="00C52695" w:rsidP="00C52695">
      <w:pPr>
        <w:sectPr w:rsidR="00C52695" w:rsidRPr="00883125" w:rsidSect="006425B8">
          <w:pgSz w:w="11906" w:h="16838"/>
          <w:pgMar w:top="1440" w:right="1440" w:bottom="1440" w:left="1440" w:header="708" w:footer="708" w:gutter="0"/>
          <w:pgNumType w:chapStyle="1"/>
          <w:cols w:space="708"/>
          <w:docGrid w:linePitch="360"/>
        </w:sectPr>
      </w:pPr>
    </w:p>
    <w:tbl>
      <w:tblPr>
        <w:tblStyle w:val="AERtable-text0"/>
        <w:tblpPr w:leftFromText="180" w:rightFromText="180" w:vertAnchor="page" w:horzAnchor="margin" w:tblpY="2071"/>
        <w:tblW w:w="14152" w:type="dxa"/>
        <w:tblLayout w:type="fixed"/>
        <w:tblLook w:val="04A0" w:firstRow="1" w:lastRow="0" w:firstColumn="1" w:lastColumn="0" w:noHBand="0" w:noVBand="1"/>
      </w:tblPr>
      <w:tblGrid>
        <w:gridCol w:w="3936"/>
        <w:gridCol w:w="3140"/>
        <w:gridCol w:w="3238"/>
        <w:gridCol w:w="3838"/>
      </w:tblGrid>
      <w:tr w:rsidR="00C52695" w:rsidRPr="00FE391A" w:rsidTr="006425B8">
        <w:trPr>
          <w:cnfStyle w:val="100000000000" w:firstRow="1" w:lastRow="0" w:firstColumn="0" w:lastColumn="0" w:oddVBand="0" w:evenVBand="0" w:oddHBand="0" w:evenHBand="0" w:firstRowFirstColumn="0" w:firstRowLastColumn="0" w:lastRowFirstColumn="0" w:lastRowLastColumn="0"/>
          <w:cantSplit/>
        </w:trPr>
        <w:tc>
          <w:tcPr>
            <w:tcW w:w="3936" w:type="dxa"/>
          </w:tcPr>
          <w:p w:rsidR="00C52695" w:rsidRPr="00883125" w:rsidRDefault="00C52695" w:rsidP="00C52695">
            <w:pPr>
              <w:pStyle w:val="ListParagraph"/>
              <w:numPr>
                <w:ilvl w:val="0"/>
                <w:numId w:val="24"/>
              </w:numPr>
            </w:pPr>
            <w:r>
              <w:lastRenderedPageBreak/>
              <w:t>Criteria</w:t>
            </w:r>
            <w:r w:rsidRPr="00E30AF3">
              <w:rPr>
                <w:rStyle w:val="AERsuperscript"/>
              </w:rPr>
              <w:t>(a)</w:t>
            </w:r>
          </w:p>
        </w:tc>
        <w:tc>
          <w:tcPr>
            <w:tcW w:w="3140" w:type="dxa"/>
          </w:tcPr>
          <w:p w:rsidR="00C52695" w:rsidRPr="00C52695" w:rsidRDefault="00C52695" w:rsidP="00C52695">
            <w:r>
              <w:t>Equity ownership approach</w:t>
            </w:r>
          </w:p>
        </w:tc>
        <w:tc>
          <w:tcPr>
            <w:tcW w:w="3238" w:type="dxa"/>
          </w:tcPr>
          <w:p w:rsidR="00C52695" w:rsidRPr="00C52695" w:rsidRDefault="00C52695" w:rsidP="00C52695">
            <w:r>
              <w:t>Tax statistics</w:t>
            </w:r>
          </w:p>
        </w:tc>
        <w:tc>
          <w:tcPr>
            <w:tcW w:w="3838" w:type="dxa"/>
          </w:tcPr>
          <w:p w:rsidR="00C52695" w:rsidRPr="00C52695" w:rsidRDefault="00C52695" w:rsidP="00C52695">
            <w:r>
              <w:t>Implied market value studies</w:t>
            </w:r>
          </w:p>
        </w:tc>
      </w:tr>
      <w:tr w:rsidR="00C52695" w:rsidRPr="00FE391A" w:rsidTr="006425B8">
        <w:trPr>
          <w:cantSplit/>
        </w:trPr>
        <w:tc>
          <w:tcPr>
            <w:tcW w:w="3936" w:type="dxa"/>
          </w:tcPr>
          <w:p w:rsidR="00C52695" w:rsidRPr="00883125" w:rsidRDefault="00C52695" w:rsidP="00C52695">
            <w:pPr>
              <w:pStyle w:val="ListParagraph"/>
              <w:numPr>
                <w:ilvl w:val="0"/>
                <w:numId w:val="24"/>
              </w:numPr>
            </w:pPr>
            <w:r w:rsidRPr="00883125">
              <w:t xml:space="preserve">Where applicable, reflective of economic and finance principles and market information. </w:t>
            </w:r>
          </w:p>
          <w:p w:rsidR="00C52695" w:rsidRPr="00883125" w:rsidRDefault="00C52695" w:rsidP="00C52695">
            <w:pPr>
              <w:pStyle w:val="ListParagraph"/>
              <w:numPr>
                <w:ilvl w:val="0"/>
                <w:numId w:val="24"/>
              </w:numPr>
            </w:pPr>
            <w:r w:rsidRPr="00883125">
              <w:t>- Estimation methods and financial models are consistent with well accepted economic and finance principles and informed by sound empirical analysis and robust data.</w:t>
            </w:r>
          </w:p>
        </w:tc>
        <w:tc>
          <w:tcPr>
            <w:tcW w:w="3140" w:type="dxa"/>
          </w:tcPr>
          <w:p w:rsidR="00C52695" w:rsidRPr="00C52695" w:rsidRDefault="00C52695" w:rsidP="00C52695">
            <w:r w:rsidRPr="00883125">
              <w:t>Accords with Monkhouse framework and principle of investor rationality (e.g. eligible investors expected to utilise</w:t>
            </w:r>
            <w:r w:rsidRPr="00C52695">
              <w:t xml:space="preserve"> credits to which they are entitled).</w:t>
            </w:r>
          </w:p>
          <w:p w:rsidR="00C52695" w:rsidRPr="00C52695" w:rsidRDefault="00C52695" w:rsidP="00C52695">
            <w:r w:rsidRPr="00883125">
              <w:t xml:space="preserve">Analysis is </w:t>
            </w:r>
            <w:r w:rsidRPr="00C52695">
              <w:t>straightforward and sound. Data is from credible source (ABS).</w:t>
            </w:r>
          </w:p>
        </w:tc>
        <w:tc>
          <w:tcPr>
            <w:tcW w:w="3238" w:type="dxa"/>
          </w:tcPr>
          <w:p w:rsidR="00C52695" w:rsidRPr="00C52695" w:rsidRDefault="00C52695" w:rsidP="00C52695">
            <w:r w:rsidRPr="00883125">
              <w:t>Market information on the amount of imputation credits utilised.</w:t>
            </w:r>
          </w:p>
          <w:p w:rsidR="00C52695" w:rsidRPr="00C52695" w:rsidRDefault="00C52695" w:rsidP="00C52695">
            <w:r w:rsidRPr="00883125">
              <w:t>Analysis is straightforward and sound. Data is from credible source (ATO), but some data concerns have been identified.</w:t>
            </w:r>
          </w:p>
        </w:tc>
        <w:tc>
          <w:tcPr>
            <w:tcW w:w="3838" w:type="dxa"/>
          </w:tcPr>
          <w:p w:rsidR="00C52695" w:rsidRPr="00C52695" w:rsidRDefault="00C52695" w:rsidP="00C52695">
            <w:r w:rsidRPr="00883125">
              <w:t>Mainly based on the principle that share prices reflect the present value of future dividends (and imputation credits) and 'no arbitrage'.</w:t>
            </w:r>
          </w:p>
          <w:p w:rsidR="00C52695" w:rsidRPr="00C52695" w:rsidRDefault="00C52695" w:rsidP="00C52695">
            <w:r w:rsidRPr="00883125">
              <w:t>Varying opinions on the soundness of analysis across studies. Underlying data is typically from credible sources (e.g. Bloomberg, ASX).</w:t>
            </w:r>
          </w:p>
        </w:tc>
      </w:tr>
      <w:tr w:rsidR="00C52695" w:rsidRPr="00FE391A" w:rsidTr="006425B8">
        <w:trPr>
          <w:cnfStyle w:val="000000010000" w:firstRow="0" w:lastRow="0" w:firstColumn="0" w:lastColumn="0" w:oddVBand="0" w:evenVBand="0" w:oddHBand="0" w:evenHBand="1" w:firstRowFirstColumn="0" w:firstRowLastColumn="0" w:lastRowFirstColumn="0" w:lastRowLastColumn="0"/>
          <w:cantSplit/>
        </w:trPr>
        <w:tc>
          <w:tcPr>
            <w:tcW w:w="3936" w:type="dxa"/>
          </w:tcPr>
          <w:p w:rsidR="00C52695" w:rsidRPr="00C52695" w:rsidRDefault="00C52695" w:rsidP="00C52695">
            <w:r w:rsidRPr="00883125">
              <w:t xml:space="preserve">Fit for purpose. </w:t>
            </w:r>
          </w:p>
          <w:p w:rsidR="00C52695" w:rsidRPr="00C52695" w:rsidRDefault="00C52695" w:rsidP="00C52695">
            <w:r w:rsidRPr="00883125">
              <w:t xml:space="preserve">- The use of estimation methods, financial models, market data and other evidence should be consistent with the original purpose for which it was compiled and have regard to the limitations of that purpose. </w:t>
            </w:r>
          </w:p>
          <w:p w:rsidR="00C52695" w:rsidRPr="00C52695" w:rsidRDefault="00C52695" w:rsidP="00C52695">
            <w:r w:rsidRPr="00883125">
              <w:t xml:space="preserve">- Promote simple </w:t>
            </w:r>
            <w:r w:rsidRPr="00C52695">
              <w:t>over complex approaches where appropriate.</w:t>
            </w:r>
          </w:p>
        </w:tc>
        <w:tc>
          <w:tcPr>
            <w:tcW w:w="3140" w:type="dxa"/>
          </w:tcPr>
          <w:p w:rsidR="00C52695" w:rsidRPr="00C52695" w:rsidRDefault="00C52695" w:rsidP="00C52695">
            <w:r w:rsidRPr="00883125">
              <w:t>ABS data used to estimate the domestic ownership share of Australian equity, which is consistent with its purpose. Approach is simple.</w:t>
            </w:r>
          </w:p>
        </w:tc>
        <w:tc>
          <w:tcPr>
            <w:tcW w:w="3238" w:type="dxa"/>
          </w:tcPr>
          <w:p w:rsidR="00C52695" w:rsidRPr="00C52695" w:rsidRDefault="00C52695" w:rsidP="00C52695">
            <w:r w:rsidRPr="00883125">
              <w:t>ATO statistics used to observe the reported amount of imputation credits utilised by investors, which is consistent with their purpose. Approach is simple.</w:t>
            </w:r>
          </w:p>
        </w:tc>
        <w:tc>
          <w:tcPr>
            <w:tcW w:w="3838" w:type="dxa"/>
          </w:tcPr>
          <w:p w:rsidR="00C52695" w:rsidRPr="00C52695" w:rsidRDefault="00C52695" w:rsidP="00C52695">
            <w:r w:rsidRPr="00883125">
              <w:t>Some studies undertaken for the specific purpose of estimating the utilisation rate for regulatory purposes. Results of some studies need to be interpreted carefully to be consistent with the regulatory framework. Studies can employ complex and sometimes problematic estimation methodologies.</w:t>
            </w:r>
          </w:p>
        </w:tc>
      </w:tr>
      <w:tr w:rsidR="00C52695" w:rsidRPr="00FE391A" w:rsidTr="006425B8">
        <w:trPr>
          <w:cantSplit/>
        </w:trPr>
        <w:tc>
          <w:tcPr>
            <w:tcW w:w="3936" w:type="dxa"/>
          </w:tcPr>
          <w:p w:rsidR="00C52695" w:rsidRPr="00C52695" w:rsidRDefault="00C52695" w:rsidP="00C52695">
            <w:r w:rsidRPr="00883125">
              <w:t xml:space="preserve">Implemented in accordance with good practice. </w:t>
            </w:r>
          </w:p>
          <w:p w:rsidR="00C52695" w:rsidRPr="00C52695" w:rsidRDefault="00C52695" w:rsidP="00C52695">
            <w:r w:rsidRPr="00883125">
              <w:t xml:space="preserve">- Supported by robust, transparent and </w:t>
            </w:r>
            <w:r w:rsidRPr="00C52695">
              <w:t>replicable analysis that is derived from available credible datasets.</w:t>
            </w:r>
          </w:p>
        </w:tc>
        <w:tc>
          <w:tcPr>
            <w:tcW w:w="3140" w:type="dxa"/>
          </w:tcPr>
          <w:p w:rsidR="00C52695" w:rsidRPr="00C52695" w:rsidRDefault="00C52695" w:rsidP="00C52695">
            <w:r w:rsidRPr="00883125">
              <w:t>Transparent and replicable using published data. Some knowledge of ABS classifications required.</w:t>
            </w:r>
          </w:p>
        </w:tc>
        <w:tc>
          <w:tcPr>
            <w:tcW w:w="3238" w:type="dxa"/>
          </w:tcPr>
          <w:p w:rsidR="00C52695" w:rsidRPr="00C52695" w:rsidRDefault="00C52695" w:rsidP="00C52695">
            <w:r w:rsidRPr="00883125">
              <w:t>Transparent and replicable using published data, although detailed knowledge of tax return labels required. Some data concerns have been identified.</w:t>
            </w:r>
          </w:p>
        </w:tc>
        <w:tc>
          <w:tcPr>
            <w:tcW w:w="3838" w:type="dxa"/>
          </w:tcPr>
          <w:p w:rsidR="00C52695" w:rsidRPr="00C52695" w:rsidRDefault="00C52695" w:rsidP="00C52695">
            <w:r w:rsidRPr="00883125">
              <w:t>Less transparent and replicable, as econometrics knowledge required and data not always publicly or freely available.</w:t>
            </w:r>
          </w:p>
        </w:tc>
      </w:tr>
      <w:tr w:rsidR="00C52695" w:rsidRPr="00FE391A" w:rsidTr="006425B8">
        <w:trPr>
          <w:cnfStyle w:val="000000010000" w:firstRow="0" w:lastRow="0" w:firstColumn="0" w:lastColumn="0" w:oddVBand="0" w:evenVBand="0" w:oddHBand="0" w:evenHBand="1" w:firstRowFirstColumn="0" w:firstRowLastColumn="0" w:lastRowFirstColumn="0" w:lastRowLastColumn="0"/>
          <w:cantSplit/>
        </w:trPr>
        <w:tc>
          <w:tcPr>
            <w:tcW w:w="3936" w:type="dxa"/>
          </w:tcPr>
          <w:p w:rsidR="00C52695" w:rsidRPr="00C52695" w:rsidRDefault="00C52695" w:rsidP="00C52695">
            <w:r w:rsidRPr="00883125">
              <w:t xml:space="preserve">Where market data and other information is used, this information is: credible and verifiable; comparable and timely; and clearly </w:t>
            </w:r>
            <w:r w:rsidRPr="00C52695">
              <w:t>sourced.</w:t>
            </w:r>
          </w:p>
        </w:tc>
        <w:tc>
          <w:tcPr>
            <w:tcW w:w="3140" w:type="dxa"/>
          </w:tcPr>
          <w:p w:rsidR="00C52695" w:rsidRPr="00C52695" w:rsidRDefault="00C52695" w:rsidP="00C52695">
            <w:r w:rsidRPr="00883125">
              <w:t xml:space="preserve">ABS is a credible source. Relevant statistics are published online on a quarterly basis. </w:t>
            </w:r>
          </w:p>
        </w:tc>
        <w:tc>
          <w:tcPr>
            <w:tcW w:w="3238" w:type="dxa"/>
          </w:tcPr>
          <w:p w:rsidR="00C52695" w:rsidRPr="00C52695" w:rsidRDefault="00C52695" w:rsidP="00C52695">
            <w:r w:rsidRPr="00883125">
              <w:t>ATO is a credible source. Relevant statistics are published online on an annual basis, with a two-year lag (e.g. 2011–12 statistics published in 2014). Some data concerns have been identified.</w:t>
            </w:r>
          </w:p>
        </w:tc>
        <w:tc>
          <w:tcPr>
            <w:tcW w:w="3838" w:type="dxa"/>
          </w:tcPr>
          <w:p w:rsidR="00C52695" w:rsidRPr="00C52695" w:rsidRDefault="00C52695" w:rsidP="00C52695">
            <w:r w:rsidRPr="00883125">
              <w:t>Underlying data typically from credible sources (e.g. Bloomberg, ASX) and is produced on a timely basis. Data not always publicly or freely available.</w:t>
            </w:r>
          </w:p>
          <w:p w:rsidR="00C52695" w:rsidRPr="00C52695" w:rsidRDefault="00C52695" w:rsidP="00C52695">
            <w:r w:rsidRPr="00883125">
              <w:t>Use of econometrics makes the results difficult and complex to verify.</w:t>
            </w:r>
          </w:p>
        </w:tc>
      </w:tr>
      <w:tr w:rsidR="00C52695" w:rsidRPr="00FE391A" w:rsidTr="006425B8">
        <w:trPr>
          <w:cantSplit/>
        </w:trPr>
        <w:tc>
          <w:tcPr>
            <w:tcW w:w="3936" w:type="dxa"/>
          </w:tcPr>
          <w:p w:rsidR="00C52695" w:rsidRPr="00C52695" w:rsidRDefault="00C52695" w:rsidP="00C52695">
            <w:r w:rsidRPr="00883125">
              <w:t xml:space="preserve">Sufficiently flexible as to </w:t>
            </w:r>
            <w:r w:rsidRPr="00C52695">
              <w:t>allow changing market conditions and new information to be reflected in regulatory outcomes, as appropriate.</w:t>
            </w:r>
          </w:p>
        </w:tc>
        <w:tc>
          <w:tcPr>
            <w:tcW w:w="3140" w:type="dxa"/>
          </w:tcPr>
          <w:p w:rsidR="00C52695" w:rsidRPr="00C52695" w:rsidRDefault="00C52695" w:rsidP="00C52695">
            <w:r w:rsidRPr="00883125">
              <w:t xml:space="preserve">Reflects current ownership of Australian equities. However, might not reflect any tax law changes that reduce eligible investors’ utilisation rates below 1.  </w:t>
            </w:r>
          </w:p>
        </w:tc>
        <w:tc>
          <w:tcPr>
            <w:tcW w:w="3238" w:type="dxa"/>
          </w:tcPr>
          <w:p w:rsidR="00C52695" w:rsidRPr="00C52695" w:rsidRDefault="00C52695" w:rsidP="00C52695">
            <w:r w:rsidRPr="00883125">
              <w:t>Reflects conditions up to two years ago.</w:t>
            </w:r>
          </w:p>
        </w:tc>
        <w:tc>
          <w:tcPr>
            <w:tcW w:w="3838" w:type="dxa"/>
          </w:tcPr>
          <w:p w:rsidR="00C52695" w:rsidRPr="00C52695" w:rsidRDefault="00C52695" w:rsidP="00C52695">
            <w:r w:rsidRPr="00883125">
              <w:t>Reflects current conditions to the extent that recent data is used. Different studies span various time periods.</w:t>
            </w:r>
          </w:p>
        </w:tc>
      </w:tr>
    </w:tbl>
    <w:p w:rsidR="00C52695" w:rsidRPr="00883125" w:rsidRDefault="00C52695" w:rsidP="00C52695">
      <w:pPr>
        <w:pStyle w:val="Caption"/>
      </w:pPr>
      <w:bookmarkStart w:id="362" w:name="_Ref415046112"/>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15</w:t>
      </w:r>
      <w:r w:rsidRPr="001D37D5">
        <w:fldChar w:fldCharType="end"/>
      </w:r>
      <w:bookmarkEnd w:id="362"/>
      <w:r w:rsidRPr="00883125">
        <w:tab/>
        <w:t>Application of rate of return criteria to evidence on the utilisation rate</w:t>
      </w:r>
    </w:p>
    <w:p w:rsidR="00C52695" w:rsidRPr="00883125" w:rsidRDefault="00C52695" w:rsidP="00C52695">
      <w:pPr>
        <w:pStyle w:val="AERtablesource"/>
      </w:pPr>
      <w:r w:rsidRPr="00883125">
        <w:lastRenderedPageBreak/>
        <w:t xml:space="preserve">Source: </w:t>
      </w:r>
      <w:r w:rsidRPr="00883125">
        <w:tab/>
        <w:t>AER analysis.</w:t>
      </w:r>
    </w:p>
    <w:p w:rsidR="00C52695" w:rsidRPr="00883125" w:rsidRDefault="00C52695" w:rsidP="00C52695">
      <w:pPr>
        <w:pStyle w:val="AERtablesource"/>
      </w:pPr>
      <w:r w:rsidRPr="00883125">
        <w:t>(a):</w:t>
      </w:r>
      <w:r w:rsidRPr="00883125">
        <w:tab/>
        <w:t>The criteria relating specifically to return on equity and return on debt quantitative models are excluded because they are not applicable.</w:t>
      </w:r>
    </w:p>
    <w:p w:rsidR="00C52695" w:rsidRPr="00883125" w:rsidRDefault="00C52695" w:rsidP="00C52695">
      <w:pPr>
        <w:sectPr w:rsidR="00C52695" w:rsidRPr="00883125" w:rsidSect="006425B8">
          <w:pgSz w:w="16838" w:h="11906" w:orient="landscape"/>
          <w:pgMar w:top="1440" w:right="1440" w:bottom="1440" w:left="1440" w:header="709" w:footer="709" w:gutter="0"/>
          <w:pgNumType w:chapStyle="1"/>
          <w:cols w:space="720"/>
          <w:docGrid w:linePitch="326"/>
        </w:sectPr>
      </w:pPr>
    </w:p>
    <w:p w:rsidR="00C52695" w:rsidRPr="00883125" w:rsidRDefault="00C52695" w:rsidP="00C52695">
      <w:pPr>
        <w:pStyle w:val="Heading8"/>
      </w:pPr>
      <w:bookmarkStart w:id="363" w:name="_Ref415049811"/>
      <w:bookmarkStart w:id="364" w:name="_Toc436049453"/>
      <w:bookmarkStart w:id="365" w:name="_Toc451842259"/>
      <w:bookmarkStart w:id="366" w:name="_Toc451938313"/>
      <w:bookmarkStart w:id="367" w:name="_Toc456614332"/>
      <w:bookmarkStart w:id="368" w:name="_Toc462823338"/>
      <w:bookmarkStart w:id="369" w:name="_Toc481061506"/>
      <w:r w:rsidRPr="00883125">
        <w:lastRenderedPageBreak/>
        <w:t>The equity ownership approach</w:t>
      </w:r>
      <w:bookmarkEnd w:id="363"/>
      <w:bookmarkEnd w:id="364"/>
      <w:bookmarkEnd w:id="365"/>
      <w:bookmarkEnd w:id="366"/>
      <w:bookmarkEnd w:id="367"/>
      <w:bookmarkEnd w:id="368"/>
      <w:bookmarkEnd w:id="369"/>
    </w:p>
    <w:p w:rsidR="00C52695" w:rsidRPr="00883125" w:rsidRDefault="00C52695" w:rsidP="00C52695">
      <w:pPr>
        <w:numPr>
          <w:ilvl w:val="0"/>
          <w:numId w:val="24"/>
        </w:numPr>
      </w:pPr>
      <w:r w:rsidRPr="00883125">
        <w:t>Recalling that eligible investors have a utilisation rate of 1 and ineligible investors have a utilisation rate of 0, we consider that the value-weighted proportion of domestic investors in the Australian equity market is a reasonable estimate of the utilisation rate. This is because, in general, domestic investors are eligible to utilise imputation credits and foreign investors are not. We refer to this approach as the 'equity ownership approach', and we use data from the National Accounts to estimate the domestic ownership share.</w:t>
      </w:r>
      <w:r w:rsidRPr="00883125">
        <w:rPr>
          <w:rStyle w:val="FootnoteReference"/>
        </w:rPr>
        <w:footnoteReference w:id="625"/>
      </w:r>
    </w:p>
    <w:p w:rsidR="00C52695" w:rsidRPr="00883125" w:rsidRDefault="00C52695" w:rsidP="00C52695">
      <w:pPr>
        <w:numPr>
          <w:ilvl w:val="0"/>
          <w:numId w:val="24"/>
        </w:numPr>
      </w:pPr>
      <w:r w:rsidRPr="00883125">
        <w:t xml:space="preserve">Our views on the equity ownership approach to estimating the utilisation rate are set out in section </w:t>
      </w:r>
      <w:r w:rsidR="001A5B30">
        <w:fldChar w:fldCharType="begin"/>
      </w:r>
      <w:r w:rsidR="001A5B30">
        <w:instrText xml:space="preserve"> REF _Ref475439085 \r \h </w:instrText>
      </w:r>
      <w:r w:rsidR="001A5B30">
        <w:fldChar w:fldCharType="separate"/>
      </w:r>
      <w:r w:rsidR="00812A72">
        <w:t>4.4</w:t>
      </w:r>
      <w:r w:rsidR="001A5B30">
        <w:fldChar w:fldCharType="end"/>
      </w:r>
      <w:r w:rsidRPr="00883125">
        <w:t xml:space="preserve"> of attachment 4. In this section, we provide further detail on our application of the approach. We also compare our assessment of the approach in this </w:t>
      </w:r>
      <w:r w:rsidR="00022C1D">
        <w:t xml:space="preserve">final </w:t>
      </w:r>
      <w:r w:rsidRPr="00883125">
        <w:t>decision with our assessment in the Guideline.</w:t>
      </w:r>
    </w:p>
    <w:p w:rsidR="00C52695" w:rsidRPr="00883125" w:rsidRDefault="00C52695" w:rsidP="00C52695">
      <w:pPr>
        <w:numPr>
          <w:ilvl w:val="0"/>
          <w:numId w:val="24"/>
        </w:numPr>
      </w:pPr>
      <w:r w:rsidRPr="00883125">
        <w:t xml:space="preserve">We place significant reliance on the equity ownership approach for the reasons set out in section </w:t>
      </w:r>
      <w:r w:rsidR="001A5B30">
        <w:fldChar w:fldCharType="begin"/>
      </w:r>
      <w:r w:rsidR="001A5B30">
        <w:instrText xml:space="preserve"> REF _Ref475439085 \r \h </w:instrText>
      </w:r>
      <w:r w:rsidR="001A5B30">
        <w:fldChar w:fldCharType="separate"/>
      </w:r>
      <w:r w:rsidR="00812A72">
        <w:t>4.4</w:t>
      </w:r>
      <w:r w:rsidR="001A5B30">
        <w:fldChar w:fldCharType="end"/>
      </w:r>
      <w:r w:rsidRPr="00883125">
        <w:t xml:space="preserve"> of attachment 4. We have regard also to the limitations of this approach, but we do not consider them significant:</w:t>
      </w:r>
    </w:p>
    <w:p w:rsidR="00C52695" w:rsidRPr="001D37D5" w:rsidRDefault="00C52695" w:rsidP="00C52695">
      <w:pPr>
        <w:pStyle w:val="AERbulletlistfirststyle"/>
      </w:pPr>
      <w:r w:rsidRPr="00883125">
        <w:t xml:space="preserve">The approach does not take into account the effect of the 45-day holding rule (or any other rules that can affect the eligibility of domestic investors to claim imputation credits). However, as discussed in section </w:t>
      </w:r>
      <w:r w:rsidRPr="001D37D5">
        <w:fldChar w:fldCharType="begin"/>
      </w:r>
      <w:r w:rsidRPr="001D37D5">
        <w:instrText xml:space="preserve"> REF _Ref414099389 \r \h </w:instrText>
      </w:r>
      <w:r w:rsidRPr="001D37D5">
        <w:fldChar w:fldCharType="separate"/>
      </w:r>
      <w:r w:rsidR="00812A72">
        <w:t>A.8.3</w:t>
      </w:r>
      <w:r w:rsidRPr="001D37D5">
        <w:fldChar w:fldCharType="end"/>
      </w:r>
      <w:r w:rsidRPr="001D37D5">
        <w:t>, we do not consider that there is clear evidence as to effect that these rules have or should be expected to have. Moreover, we consider that the most relevant evidence on the effect of these rules suggest that they have a negligible effect.</w:t>
      </w:r>
    </w:p>
    <w:p w:rsidR="00C52695" w:rsidRPr="001D37D5" w:rsidRDefault="00C52695" w:rsidP="00C52695">
      <w:pPr>
        <w:pStyle w:val="AERbulletlistfirststyle"/>
      </w:pPr>
      <w:r w:rsidRPr="00883125">
        <w:t>The approach allows investors' utilisation rates to be weighted by wealth, but not by risk aversion, as required by the definition of the utilisation rate in the Monkhouse framework.  However, we do not consider that we can feasibly weight our estimates in this regard, as this would require specific calculations or assumptions regarding the portfolios and risk preferences of individuals or classes of investors. Moreover, neither Handley nor Lally identified the inability to weight by risk aversion as an unacceptable limitation of the approach.</w:t>
      </w:r>
      <w:r w:rsidRPr="001D37D5">
        <w:rPr>
          <w:rStyle w:val="FootnoteReference"/>
        </w:rPr>
        <w:footnoteReference w:id="626"/>
      </w:r>
    </w:p>
    <w:p w:rsidR="00C52695" w:rsidRDefault="00C52695" w:rsidP="00C52695">
      <w:pPr>
        <w:numPr>
          <w:ilvl w:val="0"/>
          <w:numId w:val="24"/>
        </w:numPr>
      </w:pPr>
      <w:r>
        <w:t>Lally considers the utilisation value is a weighted average over the utilisation rates for investors, equal to 1 for those who are eligible to use the credits and zero otherwise.</w:t>
      </w:r>
      <w:r>
        <w:rPr>
          <w:rStyle w:val="FootnoteReference"/>
        </w:rPr>
        <w:footnoteReference w:id="627"/>
      </w:r>
      <w:r>
        <w:t xml:space="preserve"> This is consistent with our equity ownership approach.</w:t>
      </w:r>
      <w:r>
        <w:rPr>
          <w:rStyle w:val="FootnoteReference"/>
        </w:rPr>
        <w:footnoteReference w:id="628"/>
      </w:r>
    </w:p>
    <w:p w:rsidR="00C52695" w:rsidRPr="00883125" w:rsidRDefault="00C52695" w:rsidP="00C52695">
      <w:pPr>
        <w:numPr>
          <w:ilvl w:val="0"/>
          <w:numId w:val="24"/>
        </w:numPr>
      </w:pPr>
      <w:r w:rsidRPr="00883125">
        <w:t>We consider that a reasonable estimate for the utilisation rate from the equity ownership approach is between:</w:t>
      </w:r>
    </w:p>
    <w:p w:rsidR="00C52695" w:rsidRPr="00883125" w:rsidRDefault="00C52695" w:rsidP="00C52695">
      <w:pPr>
        <w:pStyle w:val="AERbulletlistfirststyle"/>
      </w:pPr>
      <w:r w:rsidRPr="00883125">
        <w:t>0.56 and 0.68, if all equity is considered, and</w:t>
      </w:r>
    </w:p>
    <w:p w:rsidR="00C52695" w:rsidRPr="00883125" w:rsidRDefault="00C52695" w:rsidP="00C52695">
      <w:pPr>
        <w:pStyle w:val="AERbulletlistfirststyle"/>
      </w:pPr>
      <w:r w:rsidRPr="00883125">
        <w:lastRenderedPageBreak/>
        <w:t>0.38 and 0.55, if only listed equity is considered.</w:t>
      </w:r>
    </w:p>
    <w:p w:rsidR="00C52695" w:rsidRPr="00883125" w:rsidRDefault="00C52695" w:rsidP="00C52695">
      <w:pPr>
        <w:numPr>
          <w:ilvl w:val="0"/>
          <w:numId w:val="24"/>
        </w:numPr>
      </w:pPr>
      <w:r w:rsidRPr="00883125">
        <w:t>In the Guideline, we considered that the equity ownership approach supported a utilisation rate between 0.7 and 0.8. This range was based on:</w:t>
      </w:r>
    </w:p>
    <w:p w:rsidR="00C52695" w:rsidRPr="001D37D5" w:rsidRDefault="00C52695" w:rsidP="00C52695">
      <w:pPr>
        <w:pStyle w:val="AERbulletlistfirststyle"/>
      </w:pPr>
      <w:r w:rsidRPr="00883125">
        <w:t>A 2007 feature article by the ABS, in which it was estimated using data from the National Accounts that domestic investors held 71 per cent of Australian equity.</w:t>
      </w:r>
      <w:r w:rsidRPr="001D37D5">
        <w:rPr>
          <w:rStyle w:val="FootnoteReference"/>
        </w:rPr>
        <w:footnoteReference w:id="629"/>
      </w:r>
    </w:p>
    <w:p w:rsidR="00C52695" w:rsidRPr="001D37D5" w:rsidRDefault="00C52695" w:rsidP="00C52695">
      <w:pPr>
        <w:pStyle w:val="AERbulletlistfirststyle"/>
      </w:pPr>
      <w:r w:rsidRPr="00883125">
        <w:t>A graph in a September 2013 report by Hathaway, which suggested that the domestic ownership share of Australian equity had fluctuated between 75 and 81 per cent over the period 1988 to 2012.</w:t>
      </w:r>
      <w:r w:rsidRPr="001D37D5">
        <w:rPr>
          <w:rStyle w:val="FootnoteReference"/>
        </w:rPr>
        <w:footnoteReference w:id="630"/>
      </w:r>
      <w:r w:rsidRPr="001D37D5">
        <w:t xml:space="preserve"> The data underlying this graph also came from the National Accounts.</w:t>
      </w:r>
    </w:p>
    <w:p w:rsidR="00C52695" w:rsidRPr="00883125" w:rsidRDefault="00C52695" w:rsidP="00C52695">
      <w:r w:rsidRPr="00883125">
        <w:t xml:space="preserve">Since the Guideline's publication, we have examined more closely the relevant data from the National Accounts. This has allowed us to update and refine our estimates. Moreover, we now express estimates for both all equity and only listed equity, consistent with the approach set out in section </w:t>
      </w:r>
      <w:r>
        <w:fldChar w:fldCharType="begin"/>
      </w:r>
      <w:r>
        <w:instrText xml:space="preserve"> REF _Ref451790065 \r \h </w:instrText>
      </w:r>
      <w:r>
        <w:fldChar w:fldCharType="separate"/>
      </w:r>
      <w:r w:rsidR="00812A72">
        <w:t>A.9</w:t>
      </w:r>
      <w:r>
        <w:fldChar w:fldCharType="end"/>
      </w:r>
      <w:r>
        <w:t xml:space="preserve"> and </w:t>
      </w:r>
      <w:r>
        <w:fldChar w:fldCharType="begin"/>
      </w:r>
      <w:r>
        <w:instrText xml:space="preserve"> REF _Ref401133206 \r \h </w:instrText>
      </w:r>
      <w:r>
        <w:fldChar w:fldCharType="separate"/>
      </w:r>
      <w:r w:rsidR="00812A72">
        <w:t>A.10</w:t>
      </w:r>
      <w:r>
        <w:fldChar w:fldCharType="end"/>
      </w:r>
      <w:r w:rsidRPr="00883125">
        <w:t>.</w:t>
      </w:r>
    </w:p>
    <w:p w:rsidR="00C52695" w:rsidRPr="00883125" w:rsidRDefault="00C52695" w:rsidP="00C52695">
      <w:pPr>
        <w:numPr>
          <w:ilvl w:val="0"/>
          <w:numId w:val="24"/>
        </w:numPr>
      </w:pPr>
      <w:r w:rsidRPr="00883125">
        <w:t>We consider that the equity ownership approach can be refined by filtering the National Accounts data to focus on the types of equity that we consider most relevant to the benchmark entity, and the specific classes of investor that are expected to either utilise or waste the imputation credits they receive. That is, we can:</w:t>
      </w:r>
    </w:p>
    <w:p w:rsidR="00C52695" w:rsidRPr="00883125" w:rsidRDefault="00C52695" w:rsidP="00C52695">
      <w:pPr>
        <w:pStyle w:val="AERbulletlistfirststyle"/>
      </w:pPr>
      <w:r w:rsidRPr="00883125">
        <w:t>Exclude from the calculation equity in entities that are wholly owned by the public sector. In the National Accounts, this is equity issued by the 'central bank', 'central borrowing authorities' and 'public non-financial corporations'.</w:t>
      </w:r>
    </w:p>
    <w:p w:rsidR="00C52695" w:rsidRPr="001D37D5" w:rsidRDefault="00C52695" w:rsidP="00C52695">
      <w:pPr>
        <w:pStyle w:val="AERbulletlistfirststyle"/>
      </w:pPr>
      <w:r w:rsidRPr="00AC2168">
        <w:t xml:space="preserve">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these classes plus 'rest of world'. In the draft decisions released in 2014, our calculation of the refined domestic ownership share effectively assumed that governments 'wasted' the imputation credits they received. We noted in the draft decisions that there was no clear case for making this assumption. In this </w:t>
      </w:r>
      <w:r w:rsidR="00022C1D">
        <w:t xml:space="preserve">final </w:t>
      </w:r>
      <w:r w:rsidRPr="00AC2168">
        <w:t xml:space="preserve">decision, consistent with the approach we took for the decisions we released in </w:t>
      </w:r>
      <w:r>
        <w:t>2015 (</w:t>
      </w:r>
      <w:r w:rsidRPr="00AC2168">
        <w:t>October</w:t>
      </w:r>
      <w:r>
        <w:t xml:space="preserve"> and </w:t>
      </w:r>
      <w:r w:rsidRPr="00AC2168">
        <w:t>November</w:t>
      </w:r>
      <w:r>
        <w:t>) and 2016 (May</w:t>
      </w:r>
      <w:r w:rsidR="00FE3642">
        <w:t xml:space="preserve"> and September</w:t>
      </w:r>
      <w:r>
        <w:t>)</w:t>
      </w:r>
      <w:r w:rsidRPr="00AC2168">
        <w:t xml:space="preserve">, we exclude government-held equity from the calculation of the refined domestic ownership share. This is because the value of imputation credits forms part of our determination of the rate of return required by private investors in the benchmark </w:t>
      </w:r>
      <w:r w:rsidRPr="00AC2168">
        <w:lastRenderedPageBreak/>
        <w:t>efficient entity.</w:t>
      </w:r>
      <w:r w:rsidRPr="001D37D5">
        <w:rPr>
          <w:rStyle w:val="FootnoteReference"/>
        </w:rPr>
        <w:footnoteReference w:id="631"/>
      </w:r>
      <w:r w:rsidRPr="001D37D5">
        <w:t xml:space="preserve"> In doing this we are estimating market-wide utilisation rates (for both listed and all equity) reflective of the capital invested by private investors. We do not consider this is inconsistent with other parameter estimates used for estimating the WACC and consider this will lead to an overall return that should lead to efficient i</w:t>
      </w:r>
      <w:r w:rsidR="00FE3642">
        <w:t>nvestment in regulated assets.</w:t>
      </w:r>
    </w:p>
    <w:p w:rsidR="00C52695" w:rsidRDefault="00C52695" w:rsidP="00C52695">
      <w:pPr>
        <w:numPr>
          <w:ilvl w:val="0"/>
          <w:numId w:val="24"/>
        </w:numPr>
      </w:pPr>
      <w:r w:rsidRPr="00883125">
        <w:t xml:space="preserve">The </w:t>
      </w:r>
      <w:r>
        <w:t>service providers</w:t>
      </w:r>
      <w:r w:rsidRPr="00883125">
        <w:t xml:space="preserve"> have submitted that </w:t>
      </w:r>
      <w:r>
        <w:t>our</w:t>
      </w:r>
      <w:r w:rsidRPr="00883125">
        <w:t xml:space="preserve"> refinement of the data may not be complete as it is limited by the coarseness of the data and that there are a number of concerns with the quality of the data as documented by the ABS.</w:t>
      </w:r>
      <w:r w:rsidRPr="00883125">
        <w:rPr>
          <w:rStyle w:val="FootnoteReference"/>
        </w:rPr>
        <w:footnoteReference w:id="632"/>
      </w:r>
      <w:r w:rsidRPr="00883125">
        <w:t xml:space="preserve"> </w:t>
      </w:r>
      <w:r>
        <w:t xml:space="preserve">Further, </w:t>
      </w:r>
      <w:r w:rsidR="00A91911">
        <w:t>Frontier</w:t>
      </w:r>
      <w:r>
        <w:t xml:space="preserve"> considers that if the redemption rate is to be estimated as a market-wide parameter, then all of the credits in the market should be considered and not just a subset of the market.</w:t>
      </w:r>
      <w:r>
        <w:rPr>
          <w:rStyle w:val="FootnoteReference"/>
        </w:rPr>
        <w:footnoteReference w:id="633"/>
      </w:r>
      <w:r>
        <w:t xml:space="preserve"> Frontier considers the AER's equity ownership rate is neither a market wide nor a firm specific estimate.</w:t>
      </w:r>
      <w:r>
        <w:rPr>
          <w:rStyle w:val="FootnoteReference"/>
        </w:rPr>
        <w:footnoteReference w:id="634"/>
      </w:r>
    </w:p>
    <w:p w:rsidR="00C52695" w:rsidRPr="00883125" w:rsidRDefault="00C52695" w:rsidP="00C52695">
      <w:pPr>
        <w:numPr>
          <w:ilvl w:val="0"/>
          <w:numId w:val="24"/>
        </w:numPr>
      </w:pPr>
      <w:r>
        <w:t>First</w:t>
      </w:r>
      <w:r w:rsidRPr="00883125">
        <w:t xml:space="preserve">, </w:t>
      </w:r>
      <w:r>
        <w:t>we</w:t>
      </w:r>
      <w:r w:rsidRPr="00883125">
        <w:t xml:space="preserve"> do not consider that the data limitations that may exist in all datasets is a valid reason not to refine data. </w:t>
      </w:r>
      <w:r>
        <w:t>We</w:t>
      </w:r>
      <w:r w:rsidRPr="00883125">
        <w:t xml:space="preserve"> consider there are valid reasons to refine the ABS data. </w:t>
      </w:r>
      <w:r>
        <w:t>Second, i</w:t>
      </w:r>
      <w:r w:rsidRPr="00883125">
        <w:t xml:space="preserve">t should be noted that </w:t>
      </w:r>
      <w:r>
        <w:t>our</w:t>
      </w:r>
      <w:r w:rsidRPr="00883125">
        <w:t xml:space="preserve"> approach to removing the government sector is conservative. Alternatively, </w:t>
      </w:r>
      <w:r>
        <w:t>we</w:t>
      </w:r>
      <w:r w:rsidRPr="00883125">
        <w:t xml:space="preserve"> could have assumed the government sector has a utilisation value of 1 given this equity is Australian owned.</w:t>
      </w:r>
    </w:p>
    <w:p w:rsidR="00C52695" w:rsidRPr="00883125" w:rsidRDefault="00C52695" w:rsidP="00C52695">
      <w:pPr>
        <w:numPr>
          <w:ilvl w:val="0"/>
          <w:numId w:val="24"/>
        </w:numPr>
      </w:pPr>
      <w:r w:rsidRPr="00883125">
        <w:t xml:space="preserve">Further, </w:t>
      </w:r>
      <w:r>
        <w:t xml:space="preserve">we </w:t>
      </w:r>
      <w:r w:rsidRPr="00883125">
        <w:t xml:space="preserve">do not consider the refinement of the ABS data is what drives the difference between the equity ownership approach and taxation statistics. </w:t>
      </w:r>
      <w:r>
        <w:t>We</w:t>
      </w:r>
      <w:r w:rsidRPr="00883125">
        <w:t xml:space="preserve"> consider the difference is primarily driven by data issues with taxation statics and other issues. This is further discussed in section </w:t>
      </w:r>
      <w:r w:rsidRPr="00883125">
        <w:fldChar w:fldCharType="begin"/>
      </w:r>
      <w:r w:rsidRPr="00883125">
        <w:instrText xml:space="preserve"> REF _Ref450299464 \r \h </w:instrText>
      </w:r>
      <w:r w:rsidRPr="00883125">
        <w:fldChar w:fldCharType="separate"/>
      </w:r>
      <w:r w:rsidR="00812A72">
        <w:t>A.14</w:t>
      </w:r>
      <w:r w:rsidRPr="00883125">
        <w:fldChar w:fldCharType="end"/>
      </w:r>
      <w:r w:rsidRPr="00883125">
        <w:t>.</w:t>
      </w:r>
    </w:p>
    <w:p w:rsidR="00C52695" w:rsidRPr="00883125" w:rsidRDefault="00C52695" w:rsidP="00C52695">
      <w:pPr>
        <w:numPr>
          <w:ilvl w:val="0"/>
          <w:numId w:val="24"/>
        </w:numPr>
      </w:pPr>
      <w:r w:rsidRPr="00883125">
        <w:t xml:space="preserve">Our estimate ranges in this </w:t>
      </w:r>
      <w:r w:rsidR="003819D6">
        <w:t xml:space="preserve">final </w:t>
      </w:r>
      <w:r w:rsidRPr="00883125">
        <w:t>decision differ from the corresponding ranges in the draft decisions released in 2014. These changes in part reflect the views of service providers, Gray (for SFG) and Handley. We discuss our consideration of these views below.</w:t>
      </w:r>
    </w:p>
    <w:p w:rsidR="00C52695" w:rsidRPr="00883125" w:rsidRDefault="00C52695" w:rsidP="00C52695">
      <w:r w:rsidRPr="00883125">
        <w:t>A number of service providers have submitted that we erred in our earlier decisions because:</w:t>
      </w:r>
      <w:r w:rsidRPr="00883125">
        <w:rPr>
          <w:rStyle w:val="FootnoteReference"/>
        </w:rPr>
        <w:footnoteReference w:id="635"/>
      </w:r>
    </w:p>
    <w:p w:rsidR="00C52695" w:rsidRPr="00883125" w:rsidRDefault="00C52695" w:rsidP="00C52695">
      <w:pPr>
        <w:pStyle w:val="AERquote"/>
      </w:pPr>
      <w:r w:rsidRPr="00883125">
        <w:lastRenderedPageBreak/>
        <w:t>…the ranges used by the AER for the equity ownership rate are inconsistent with the evidence in the Draft Decision.</w:t>
      </w:r>
    </w:p>
    <w:p w:rsidR="00C52695" w:rsidRPr="00883125" w:rsidRDefault="00C52695" w:rsidP="00C52695">
      <w:r w:rsidRPr="00883125">
        <w:t>The service providers then referred to the data presented in the draft decisions released in 2014 on the refined domestic ownership share (figures 4.4 and 4.5 of the draft decisions). However, as indicated in the draft decisions, our estimates were based on evidence across both the refined domestic ownership share (figures 4.4 and 4.5 of the draft decisions) and simple domestic ownership share (figures 4.2 and 4.3 of the draft decisions).</w:t>
      </w:r>
    </w:p>
    <w:p w:rsidR="00C52695" w:rsidRPr="00883125" w:rsidRDefault="00C52695" w:rsidP="00C52695">
      <w:r w:rsidRPr="00883125">
        <w:t>In his recent advice, Handley advised that, although it is reasonable to rely on both the simple and refined domestic ownership share, 'the refined share should (subject to the limitations in the data) be more relevant by construction'.</w:t>
      </w:r>
      <w:r w:rsidRPr="00883125">
        <w:rPr>
          <w:rStyle w:val="FootnoteReference"/>
        </w:rPr>
        <w:footnoteReference w:id="636"/>
      </w:r>
      <w:r w:rsidRPr="00883125">
        <w:t xml:space="preserve"> Accordingly, as we did in the decisions released in 2015</w:t>
      </w:r>
      <w:r>
        <w:t xml:space="preserve"> (</w:t>
      </w:r>
      <w:r w:rsidRPr="00883125">
        <w:t>April, June, October and November</w:t>
      </w:r>
      <w:r>
        <w:t>) and 2016 (May</w:t>
      </w:r>
      <w:r w:rsidR="00E4076C">
        <w:t xml:space="preserve">, </w:t>
      </w:r>
      <w:r w:rsidR="00BF1C4B">
        <w:t xml:space="preserve">July </w:t>
      </w:r>
      <w:r w:rsidR="00E4076C">
        <w:t>and September</w:t>
      </w:r>
      <w:r>
        <w:t>)</w:t>
      </w:r>
      <w:r w:rsidRPr="00883125">
        <w:t xml:space="preserve">, in this </w:t>
      </w:r>
      <w:r w:rsidR="003F15A6">
        <w:t>final</w:t>
      </w:r>
      <w:r w:rsidR="003F15A6" w:rsidRPr="00883125">
        <w:t xml:space="preserve"> </w:t>
      </w:r>
      <w:r w:rsidRPr="00883125">
        <w:t>decision we rely only on the refined domestic ownership share.</w:t>
      </w:r>
    </w:p>
    <w:p w:rsidR="00C52695" w:rsidRDefault="00C52695" w:rsidP="00C52695">
      <w:r w:rsidRPr="00883125">
        <w:t>Service providers have also submitted that only the most recent point estimates of the equity ownership share are relevant.</w:t>
      </w:r>
      <w:r w:rsidRPr="00883125">
        <w:rPr>
          <w:rStyle w:val="FootnoteReference"/>
        </w:rPr>
        <w:footnoteReference w:id="637"/>
      </w:r>
      <w:r w:rsidRPr="00883125">
        <w:t xml:space="preserve"> </w:t>
      </w:r>
      <w:r>
        <w:t>Frontier, also considers that the prevailing rate for equity ownership should be used.</w:t>
      </w:r>
      <w:r>
        <w:rPr>
          <w:rStyle w:val="FootnoteReference"/>
        </w:rPr>
        <w:footnoteReference w:id="638"/>
      </w:r>
    </w:p>
    <w:p w:rsidR="00C52695" w:rsidRPr="00883125" w:rsidRDefault="00C52695" w:rsidP="00C52695">
      <w:r>
        <w:t>However, w</w:t>
      </w:r>
      <w:r w:rsidRPr="00883125">
        <w:t>e disagree. Given that the series exhibits considerable volatility, we think it is reasonable to not rely solely on the most recent point estimate. Handley supported this view:</w:t>
      </w:r>
      <w:r w:rsidRPr="00883125">
        <w:rPr>
          <w:rStyle w:val="FootnoteReference"/>
        </w:rPr>
        <w:footnoteReference w:id="639"/>
      </w:r>
    </w:p>
    <w:p w:rsidR="00C52695" w:rsidRPr="00883125" w:rsidRDefault="00C52695" w:rsidP="00C52695">
      <w:pPr>
        <w:pStyle w:val="AERquote"/>
      </w:pPr>
      <w:r w:rsidRPr="00883125">
        <w:t>Referring to the refined data, it is apparent that there is substantial volatility in the reported ABS estimates over time. There are also residual issues with the ABS data. This suggests that more than just the most recent estimates should be taken into consideration, although the length of period to be considered is open to judgment.</w:t>
      </w:r>
    </w:p>
    <w:p w:rsidR="00C52695" w:rsidRDefault="00C52695" w:rsidP="00C52695">
      <w:r>
        <w:t xml:space="preserve">Frontier, considers that there is insufficient support for the upper bound of the range for listed equity (0.6) and for all equity (0.7) for the equity ownership approach ranges we </w:t>
      </w:r>
      <w:r>
        <w:lastRenderedPageBreak/>
        <w:t>adopted.</w:t>
      </w:r>
      <w:r>
        <w:rPr>
          <w:rStyle w:val="FootnoteReference"/>
        </w:rPr>
        <w:footnoteReference w:id="640"/>
      </w:r>
      <w:r>
        <w:t xml:space="preserve"> However, as outlined in </w:t>
      </w:r>
      <w:r>
        <w:fldChar w:fldCharType="begin"/>
      </w:r>
      <w:r>
        <w:instrText xml:space="preserve"> REF _Ref414273399 \h </w:instrText>
      </w:r>
      <w:r>
        <w:fldChar w:fldCharType="separate"/>
      </w:r>
      <w:r w:rsidR="00812A72" w:rsidRPr="00883125">
        <w:t xml:space="preserve">Figure </w:t>
      </w:r>
      <w:r w:rsidR="00812A72">
        <w:rPr>
          <w:noProof/>
        </w:rPr>
        <w:t>4</w:t>
      </w:r>
      <w:r w:rsidR="00812A72" w:rsidRPr="00883125">
        <w:t>.</w:t>
      </w:r>
      <w:r w:rsidR="00812A72">
        <w:rPr>
          <w:noProof/>
        </w:rPr>
        <w:t>3</w:t>
      </w:r>
      <w:r>
        <w:fldChar w:fldCharType="end"/>
      </w:r>
      <w:r>
        <w:t>, the upper estimate of the range we relied upon is 0.55 for listed equity and 0.68 for all equity.</w:t>
      </w:r>
    </w:p>
    <w:p w:rsidR="00C52695" w:rsidRDefault="00C52695" w:rsidP="00C52695">
      <w:r>
        <w:t>In determining whether to use the current value of equity ownership or a historical average, Lally considers that it depends on whether the series is following a random walk or mean reversion.</w:t>
      </w:r>
      <w:r>
        <w:rPr>
          <w:rStyle w:val="FootnoteReference"/>
        </w:rPr>
        <w:footnoteReference w:id="641"/>
      </w:r>
      <w:r>
        <w:t xml:space="preserve"> Lally does not concluded whether the series is mean reverting or not and states the current observation are not unusually high or low. He suggests that even if the series are mean reverting, a reasonable point estimate for the next five years would still be approximately the latest values.</w:t>
      </w:r>
      <w:r>
        <w:rPr>
          <w:rStyle w:val="FootnoteReference"/>
        </w:rPr>
        <w:footnoteReference w:id="642"/>
      </w:r>
      <w:r>
        <w:t xml:space="preserve"> We note that Lally uses the current equity ownership rate of all equity to estimate an utilisation value of at least 0.6. In contrast we assess the utilisation value for all equity using the lowest point of the range over the last 15 years. As a result, for the equity ownership approach for all equity our approach of using a value towards the bottom end of the range is conservative relative to Lally's use of a value of around the current estimate.</w:t>
      </w:r>
    </w:p>
    <w:p w:rsidR="00C52695" w:rsidRPr="00883125" w:rsidRDefault="00C52695" w:rsidP="00C52695">
      <w:r w:rsidRPr="00883125">
        <w:t>On Handley's point regarding the length of period to considered, we agree with Gray's view (for SFG) that:</w:t>
      </w:r>
      <w:r w:rsidRPr="00883125">
        <w:rPr>
          <w:rStyle w:val="FootnoteReference"/>
        </w:rPr>
        <w:footnoteReference w:id="643"/>
      </w:r>
    </w:p>
    <w:p w:rsidR="00C52695" w:rsidRPr="00883125" w:rsidRDefault="00C52695" w:rsidP="00C52695">
      <w:pPr>
        <w:pStyle w:val="AERquote"/>
      </w:pPr>
      <w:r w:rsidRPr="00883125">
        <w:t>It is not clear why estimates of what the domestic equity ownership proportion was in the 1980s are relevant to the current determination for the forthcoming regulatory period.</w:t>
      </w:r>
    </w:p>
    <w:p w:rsidR="00C52695" w:rsidRPr="00883125" w:rsidRDefault="00C52695" w:rsidP="00C52695">
      <w:r w:rsidRPr="00883125">
        <w:t>We consider that the most relevant period to consider is that since July 2000, when eligible investors became entitled for a refund of excess credits. This accords with one of the periods Handley considered relevant.</w:t>
      </w:r>
      <w:r w:rsidRPr="00883125">
        <w:rPr>
          <w:rStyle w:val="FootnoteReference"/>
        </w:rPr>
        <w:footnoteReference w:id="644"/>
      </w:r>
      <w:r w:rsidRPr="00883125">
        <w:t xml:space="preserve"> It is also consistent with the service providers' proposed estimation of the value of distributed credits via SFG's dividend drop off study. This study employs data from July 2001 to October 2012.</w:t>
      </w:r>
    </w:p>
    <w:p w:rsidR="00C52695" w:rsidRPr="00883125" w:rsidRDefault="00C52695" w:rsidP="00C52695">
      <w:r w:rsidRPr="00883125">
        <w:t>The service providers submit that the July 2000 start date is arbitrary and that more recent events such as the GFC could provide a more appropriate start date.</w:t>
      </w:r>
      <w:r w:rsidRPr="00883125">
        <w:rPr>
          <w:rStyle w:val="FootnoteReference"/>
        </w:rPr>
        <w:footnoteReference w:id="645"/>
      </w:r>
      <w:r w:rsidRPr="00883125">
        <w:t xml:space="preserve"> However, the AER considers that the service provider have not provided any evidence why the GFC would result in a structural change in the value of imputation credits. The AER considers that the 2000 tax law change is a structural change and would be </w:t>
      </w:r>
      <w:r w:rsidRPr="00883125">
        <w:lastRenderedPageBreak/>
        <w:t>expected to increase the value of imputation credits to investors. The same cannot be said about the GFC where the impact on imputation credits is unclear.</w:t>
      </w:r>
    </w:p>
    <w:p w:rsidR="00C52695" w:rsidRPr="00883125" w:rsidRDefault="00C52695" w:rsidP="00C52695">
      <w:pPr>
        <w:rPr>
          <w:rStyle w:val="AERbody"/>
        </w:rPr>
      </w:pPr>
      <w:r w:rsidRPr="00883125">
        <w:rPr>
          <w:rStyle w:val="AERbody"/>
        </w:rPr>
        <w:t>Gray (for Frontier) submitted that we are incorrect to exclude from the equity ownership calculation entities that are wholly owned by the public sector and to the extent we exclude them theta will be upward biased.</w:t>
      </w:r>
      <w:r w:rsidRPr="00883125">
        <w:rPr>
          <w:rStyle w:val="FootnoteReference"/>
        </w:rPr>
        <w:footnoteReference w:id="646"/>
      </w:r>
      <w:r w:rsidRPr="00883125">
        <w:rPr>
          <w:rStyle w:val="AERbody"/>
        </w:rPr>
        <w:t xml:space="preserve"> We disagree for the reasons stated above as set out in our April and June 2015 decisions. We consider that the Vanilla WACC framework as embedded in the rules is aimed at ensuring private investors are fairly compensated. This should ensure efficient investment and use of regulated network infrastructure. We consider an estimate of gamma reduced due to government entities being assumed to not red</w:t>
      </w:r>
      <w:r w:rsidR="001453E4">
        <w:rPr>
          <w:rStyle w:val="AERbody"/>
        </w:rPr>
        <w:t>eem credits is not appropriate.</w:t>
      </w:r>
    </w:p>
    <w:p w:rsidR="00C52695" w:rsidRDefault="00413BA1" w:rsidP="00C52695">
      <w:r>
        <w:rPr>
          <w:rStyle w:val="AERbody"/>
        </w:rPr>
        <w:t>T</w:t>
      </w:r>
      <w:r w:rsidRPr="00883125">
        <w:rPr>
          <w:rStyle w:val="AERbody"/>
        </w:rPr>
        <w:t xml:space="preserve">he </w:t>
      </w:r>
      <w:r>
        <w:rPr>
          <w:rStyle w:val="AERbody"/>
        </w:rPr>
        <w:t xml:space="preserve">Ausgrid </w:t>
      </w:r>
      <w:r w:rsidR="00C52695" w:rsidRPr="00883125">
        <w:rPr>
          <w:rStyle w:val="AERbody"/>
        </w:rPr>
        <w:t xml:space="preserve">Tribunal </w:t>
      </w:r>
      <w:r w:rsidR="00C52695">
        <w:rPr>
          <w:rStyle w:val="AERbody"/>
        </w:rPr>
        <w:t xml:space="preserve">in its decision handed down on 26 February 2016 </w:t>
      </w:r>
      <w:r w:rsidR="00C52695" w:rsidRPr="00883125">
        <w:rPr>
          <w:rStyle w:val="AERbody"/>
        </w:rPr>
        <w:t xml:space="preserve">found that the </w:t>
      </w:r>
      <w:r w:rsidR="00C52695" w:rsidRPr="00883125">
        <w:t>equity ownership approach overstates the redemption rates and would only be useful as a further check on other estimates.</w:t>
      </w:r>
      <w:r w:rsidR="00C52695" w:rsidRPr="00883125">
        <w:rPr>
          <w:rStyle w:val="FootnoteReference"/>
        </w:rPr>
        <w:footnoteReference w:id="647"/>
      </w:r>
      <w:r w:rsidR="00C52695" w:rsidRPr="00883125">
        <w:t xml:space="preserve"> In this decision the </w:t>
      </w:r>
      <w:r w:rsidR="00ED4259">
        <w:t xml:space="preserve">Ausgrid </w:t>
      </w:r>
      <w:r w:rsidR="00C52695" w:rsidRPr="00883125">
        <w:t xml:space="preserve">Tribunal also indicated that since the equity ownership approach utilisation value is higher than the </w:t>
      </w:r>
      <w:r w:rsidR="00C52695">
        <w:t xml:space="preserve">estimation of the redemption rate from </w:t>
      </w:r>
      <w:r w:rsidR="00C52695" w:rsidRPr="00883125">
        <w:t xml:space="preserve">tax statistics this implies that there are investors who </w:t>
      </w:r>
      <w:r w:rsidR="00C52695">
        <w:t>we</w:t>
      </w:r>
      <w:r w:rsidR="00C52695" w:rsidRPr="00883125">
        <w:t xml:space="preserve"> assume are eligible to redeem imputation credits but, for whatever reasons, either cannot redeem them or attribute so little value to the credits that they do not </w:t>
      </w:r>
      <w:r w:rsidR="00C52695">
        <w:t>redeem</w:t>
      </w:r>
      <w:r w:rsidR="00C52695" w:rsidRPr="00883125">
        <w:t xml:space="preserve"> them.</w:t>
      </w:r>
      <w:r w:rsidR="00C52695" w:rsidRPr="00883125">
        <w:rPr>
          <w:rStyle w:val="FootnoteReference"/>
        </w:rPr>
        <w:footnoteReference w:id="648"/>
      </w:r>
      <w:r w:rsidR="00C52695" w:rsidRPr="00883125">
        <w:t xml:space="preserve"> </w:t>
      </w:r>
      <w:r w:rsidR="00C52695">
        <w:t>We have</w:t>
      </w:r>
      <w:r w:rsidR="00C52695" w:rsidRPr="00883125">
        <w:t xml:space="preserve"> carefully considered the </w:t>
      </w:r>
      <w:r w:rsidR="00C25A56">
        <w:t xml:space="preserve">Ausgrid </w:t>
      </w:r>
      <w:r w:rsidR="00C52695" w:rsidRPr="00883125">
        <w:t xml:space="preserve">Tribunal reasoning and remain of the view that the equity ownership approach </w:t>
      </w:r>
      <w:r w:rsidR="00C52695">
        <w:t xml:space="preserve">based estimate </w:t>
      </w:r>
      <w:r w:rsidR="00C52695" w:rsidRPr="00883125">
        <w:t>can be used as a point estimate for the utilisation value.</w:t>
      </w:r>
      <w:r w:rsidR="00C52695">
        <w:t xml:space="preserve"> Lally supports this view by noting the equity ownership approach is not an upper bound on the utilisation value but an unbiased estimate.</w:t>
      </w:r>
      <w:r w:rsidR="00C52695">
        <w:rPr>
          <w:rStyle w:val="FootnoteReference"/>
        </w:rPr>
        <w:footnoteReference w:id="649"/>
      </w:r>
    </w:p>
    <w:p w:rsidR="00C52695" w:rsidRPr="00883125" w:rsidRDefault="00413BA1" w:rsidP="00C52695">
      <w:pPr>
        <w:rPr>
          <w:rStyle w:val="AERbody"/>
        </w:rPr>
      </w:pPr>
      <w:r>
        <w:t>T</w:t>
      </w:r>
      <w:r w:rsidRPr="00883125">
        <w:t xml:space="preserve">he </w:t>
      </w:r>
      <w:r>
        <w:t xml:space="preserve">Ausgrid </w:t>
      </w:r>
      <w:r w:rsidR="00C52695" w:rsidRPr="00883125">
        <w:t xml:space="preserve">Tribunal found that </w:t>
      </w:r>
      <w:r w:rsidR="00C52695">
        <w:t>we are</w:t>
      </w:r>
      <w:r w:rsidR="00C52695" w:rsidRPr="00883125">
        <w:t xml:space="preserve"> effectively redefining the utilisation value as the proportion of distributed imputation credits available for redemption, and this is inconsistent with the concept of gamma in the Office</w:t>
      </w:r>
      <w:r w:rsidR="00C52695">
        <w:t>r</w:t>
      </w:r>
      <w:r w:rsidR="00C52695" w:rsidRPr="00883125">
        <w:t xml:space="preserve"> Framework for the WACC.</w:t>
      </w:r>
      <w:r w:rsidR="00C52695" w:rsidRPr="00883125">
        <w:rPr>
          <w:rStyle w:val="FootnoteReference"/>
        </w:rPr>
        <w:footnoteReference w:id="650"/>
      </w:r>
      <w:r w:rsidR="00C52695" w:rsidRPr="00883125">
        <w:t xml:space="preserve"> </w:t>
      </w:r>
      <w:r w:rsidR="00C52695">
        <w:t xml:space="preserve">As set out in sections </w:t>
      </w:r>
      <w:r w:rsidR="00C52695">
        <w:fldChar w:fldCharType="begin"/>
      </w:r>
      <w:r w:rsidR="00C52695">
        <w:instrText xml:space="preserve"> REF _Ref415144114 \r \h </w:instrText>
      </w:r>
      <w:r w:rsidR="00C52695">
        <w:fldChar w:fldCharType="separate"/>
      </w:r>
      <w:r w:rsidR="00812A72">
        <w:t>A.5</w:t>
      </w:r>
      <w:r w:rsidR="00C52695">
        <w:fldChar w:fldCharType="end"/>
      </w:r>
      <w:r w:rsidR="00C52695">
        <w:t xml:space="preserve">, </w:t>
      </w:r>
      <w:r w:rsidR="00C52695">
        <w:fldChar w:fldCharType="begin"/>
      </w:r>
      <w:r w:rsidR="00C52695">
        <w:instrText xml:space="preserve"> REF _Ref451826492 \r \h </w:instrText>
      </w:r>
      <w:r w:rsidR="00C52695">
        <w:fldChar w:fldCharType="separate"/>
      </w:r>
      <w:r w:rsidR="00812A72">
        <w:t>A.6</w:t>
      </w:r>
      <w:r w:rsidR="00C52695">
        <w:fldChar w:fldCharType="end"/>
      </w:r>
      <w:r w:rsidR="00C52695">
        <w:t xml:space="preserve"> and </w:t>
      </w:r>
      <w:r w:rsidR="00C52695">
        <w:fldChar w:fldCharType="begin"/>
      </w:r>
      <w:r w:rsidR="00C52695">
        <w:instrText xml:space="preserve"> REF _Ref451849752 \r \h </w:instrText>
      </w:r>
      <w:r w:rsidR="00C52695">
        <w:fldChar w:fldCharType="separate"/>
      </w:r>
      <w:r w:rsidR="00812A72">
        <w:t>A.7</w:t>
      </w:r>
      <w:r w:rsidR="00C52695">
        <w:fldChar w:fldCharType="end"/>
      </w:r>
      <w:r w:rsidR="00C52695">
        <w:t>, we</w:t>
      </w:r>
      <w:r w:rsidR="00C52695" w:rsidRPr="00883125">
        <w:t xml:space="preserve"> consider </w:t>
      </w:r>
      <w:r w:rsidR="00C52695">
        <w:t>our</w:t>
      </w:r>
      <w:r w:rsidR="00C52695" w:rsidRPr="00883125">
        <w:t xml:space="preserve"> approach is consistent with the post-tax Officer Framework for the WACC. </w:t>
      </w:r>
      <w:r w:rsidR="00C52695">
        <w:t>We</w:t>
      </w:r>
      <w:r w:rsidR="00C52695" w:rsidRPr="00883125">
        <w:t xml:space="preserve"> consider the face value of imputation credits is the post</w:t>
      </w:r>
      <w:r w:rsidR="00C52695">
        <w:t>-company pre-personal</w:t>
      </w:r>
      <w:r w:rsidR="00C52695" w:rsidRPr="00883125">
        <w:t xml:space="preserve"> </w:t>
      </w:r>
      <w:r w:rsidR="00C52695">
        <w:t xml:space="preserve">tax </w:t>
      </w:r>
      <w:r w:rsidR="00C52695" w:rsidRPr="00883125">
        <w:t xml:space="preserve">value of imputation credits </w:t>
      </w:r>
      <w:r w:rsidR="00C52695">
        <w:t xml:space="preserve">distributed to eligible investors </w:t>
      </w:r>
      <w:r w:rsidR="00C52695" w:rsidRPr="00883125">
        <w:t xml:space="preserve">and reflects the cost of </w:t>
      </w:r>
      <w:r w:rsidR="00C52695">
        <w:t xml:space="preserve">these </w:t>
      </w:r>
      <w:r w:rsidR="00C52695" w:rsidRPr="00883125">
        <w:t>imputation credits to the regulated businesses</w:t>
      </w:r>
      <w:r w:rsidR="00C52695">
        <w:t xml:space="preserve">. The face value of imputation credits distributed to eligible investors also reflects </w:t>
      </w:r>
      <w:r w:rsidR="00C52695" w:rsidRPr="00883125">
        <w:t>the post</w:t>
      </w:r>
      <w:r w:rsidR="00C52695">
        <w:t xml:space="preserve">-company pre-personal </w:t>
      </w:r>
      <w:r w:rsidR="00C52695" w:rsidRPr="00883125">
        <w:t xml:space="preserve">tax value of </w:t>
      </w:r>
      <w:r w:rsidR="00C52695">
        <w:t xml:space="preserve">distributed </w:t>
      </w:r>
      <w:r w:rsidR="00C52695" w:rsidRPr="00883125">
        <w:t xml:space="preserve">imputation credits to </w:t>
      </w:r>
      <w:r w:rsidR="00C52695">
        <w:t xml:space="preserve">these </w:t>
      </w:r>
      <w:r w:rsidR="00C52695" w:rsidRPr="00883125">
        <w:t>equity investors.</w:t>
      </w:r>
    </w:p>
    <w:p w:rsidR="00C52695" w:rsidRDefault="00C52695" w:rsidP="00C52695">
      <w:r w:rsidRPr="00883125">
        <w:rPr>
          <w:rStyle w:val="AERbody"/>
        </w:rPr>
        <w:lastRenderedPageBreak/>
        <w:t>With</w:t>
      </w:r>
      <w:r w:rsidRPr="00883125">
        <w:t xml:space="preserve"> regard to these considerations, the relevant data is shown in </w:t>
      </w:r>
      <w:r w:rsidRPr="00883125">
        <w:fldChar w:fldCharType="begin"/>
      </w:r>
      <w:r w:rsidRPr="00883125">
        <w:instrText xml:space="preserve"> REF  _Ref414273399 \* Lower \h </w:instrText>
      </w:r>
      <w:r w:rsidRPr="00883125">
        <w:fldChar w:fldCharType="separate"/>
      </w:r>
      <w:r w:rsidR="00812A72" w:rsidRPr="00883125">
        <w:t xml:space="preserve">figure </w:t>
      </w:r>
      <w:r w:rsidR="00812A72">
        <w:rPr>
          <w:noProof/>
        </w:rPr>
        <w:t>4</w:t>
      </w:r>
      <w:r w:rsidR="00812A72" w:rsidRPr="00883125">
        <w:t>.</w:t>
      </w:r>
      <w:r w:rsidR="00812A72">
        <w:rPr>
          <w:noProof/>
        </w:rPr>
        <w:t>3</w:t>
      </w:r>
      <w:r w:rsidRPr="00883125">
        <w:fldChar w:fldCharType="end"/>
      </w:r>
      <w:r w:rsidRPr="00883125">
        <w:t>.</w:t>
      </w:r>
    </w:p>
    <w:p w:rsidR="00C52695" w:rsidRPr="00883125" w:rsidRDefault="00C52695" w:rsidP="00C52695">
      <w:pPr>
        <w:pStyle w:val="Caption"/>
      </w:pPr>
      <w:bookmarkStart w:id="370" w:name="_Ref414273399"/>
      <w:r w:rsidRPr="00883125">
        <w:t xml:space="preserve">Figure </w:t>
      </w:r>
      <w:r w:rsidRPr="00B27BE5">
        <w:fldChar w:fldCharType="begin"/>
      </w:r>
      <w:r>
        <w:instrText xml:space="preserve"> STYLEREF 1 \s </w:instrText>
      </w:r>
      <w:r w:rsidRPr="00B27BE5">
        <w:fldChar w:fldCharType="separate"/>
      </w:r>
      <w:r w:rsidR="00812A72">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812A72">
        <w:rPr>
          <w:noProof/>
        </w:rPr>
        <w:t>3</w:t>
      </w:r>
      <w:r w:rsidRPr="00B27BE5">
        <w:fldChar w:fldCharType="end"/>
      </w:r>
      <w:bookmarkEnd w:id="370"/>
      <w:r w:rsidRPr="00883125">
        <w:tab/>
        <w:t>Refined domestic ownership share of Australian equity</w:t>
      </w:r>
    </w:p>
    <w:p w:rsidR="00037D9B" w:rsidRDefault="00037D9B" w:rsidP="00C52695">
      <w:pPr>
        <w:pStyle w:val="AERtablesource"/>
      </w:pPr>
      <w:r w:rsidRPr="00037D9B">
        <w:rPr>
          <w:noProof/>
          <w:lang w:eastAsia="en-AU"/>
        </w:rPr>
        <w:drawing>
          <wp:inline distT="0" distB="0" distL="0" distR="0" wp14:anchorId="3F4F8FB2" wp14:editId="6A488185">
            <wp:extent cx="5382895" cy="3522461"/>
            <wp:effectExtent l="0" t="0" r="8255" b="19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52695" w:rsidRPr="00883125" w:rsidRDefault="00C52695" w:rsidP="00037D9B">
      <w:pPr>
        <w:pStyle w:val="AERtablesource"/>
        <w:ind w:left="0" w:firstLine="0"/>
      </w:pPr>
      <w:r w:rsidRPr="00883125">
        <w:t xml:space="preserve">Source: </w:t>
      </w:r>
      <w:r w:rsidRPr="00883125">
        <w:tab/>
        <w:t>Australian National Accounts: Finance and Wealth (ABS cat. 5232.0), tables 47 and 48.</w:t>
      </w:r>
    </w:p>
    <w:p w:rsidR="00C52695" w:rsidRPr="00883125" w:rsidRDefault="00C52695" w:rsidP="00C52695">
      <w:r w:rsidRPr="00883125">
        <w:fldChar w:fldCharType="begin"/>
      </w:r>
      <w:r w:rsidRPr="00883125">
        <w:instrText xml:space="preserve"> REF _Ref414273399 \h </w:instrText>
      </w:r>
      <w:r w:rsidRPr="00883125">
        <w:fldChar w:fldCharType="separate"/>
      </w:r>
      <w:r w:rsidR="00812A72" w:rsidRPr="00883125">
        <w:t xml:space="preserve">Figure </w:t>
      </w:r>
      <w:r w:rsidR="00812A72">
        <w:rPr>
          <w:noProof/>
        </w:rPr>
        <w:t>4</w:t>
      </w:r>
      <w:r w:rsidR="00812A72" w:rsidRPr="00883125">
        <w:t>.</w:t>
      </w:r>
      <w:r w:rsidR="00812A72">
        <w:rPr>
          <w:noProof/>
        </w:rPr>
        <w:t>3</w:t>
      </w:r>
      <w:r w:rsidRPr="00883125">
        <w:fldChar w:fldCharType="end"/>
      </w:r>
      <w:r w:rsidRPr="00883125">
        <w:t xml:space="preserve"> indicates that the refined domestic ownership share of total equity has ranged from 0.56 to 0.68 over the relevant period, while the refined domestic ownership share of only listed equity has ranged from 0.38 to 0.55.</w:t>
      </w:r>
    </w:p>
    <w:p w:rsidR="00C52695" w:rsidRPr="00883125" w:rsidRDefault="00C52695" w:rsidP="00C52695">
      <w:pPr>
        <w:pStyle w:val="Heading8"/>
      </w:pPr>
      <w:bookmarkStart w:id="371" w:name="_Ref402179420"/>
      <w:bookmarkStart w:id="372" w:name="_Toc436049454"/>
      <w:bookmarkStart w:id="373" w:name="_Toc451842260"/>
      <w:bookmarkStart w:id="374" w:name="_Toc451938314"/>
      <w:bookmarkStart w:id="375" w:name="_Toc456614333"/>
      <w:bookmarkStart w:id="376" w:name="_Toc462823339"/>
      <w:bookmarkStart w:id="377" w:name="_Toc481061507"/>
      <w:r w:rsidRPr="00883125">
        <w:t>Tax statistics</w:t>
      </w:r>
      <w:bookmarkEnd w:id="371"/>
      <w:bookmarkEnd w:id="372"/>
      <w:bookmarkEnd w:id="373"/>
      <w:bookmarkEnd w:id="374"/>
      <w:bookmarkEnd w:id="375"/>
      <w:bookmarkEnd w:id="376"/>
      <w:bookmarkEnd w:id="377"/>
    </w:p>
    <w:p w:rsidR="00C52695" w:rsidRPr="00883125" w:rsidRDefault="00C52695" w:rsidP="00C52695">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651"/>
      </w:r>
      <w:r w:rsidRPr="00883125">
        <w:t xml:space="preserve">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that the reported value of credits utilised divided by the reported value of credits distributed is a reasonable estimate of the utilisation rate.</w:t>
      </w:r>
    </w:p>
    <w:p w:rsidR="00C52695" w:rsidRPr="00883125" w:rsidRDefault="00C52695" w:rsidP="00C52695">
      <w:pPr>
        <w:numPr>
          <w:ilvl w:val="0"/>
          <w:numId w:val="24"/>
        </w:numPr>
      </w:pPr>
      <w:r w:rsidRPr="00883125">
        <w:lastRenderedPageBreak/>
        <w:t xml:space="preserve">Our position on the use of tax statistics to estimate the utilisation rate is set out in section </w:t>
      </w:r>
      <w:r w:rsidR="00F32DCE">
        <w:fldChar w:fldCharType="begin"/>
      </w:r>
      <w:r w:rsidR="00F32DCE">
        <w:instrText xml:space="preserve"> REF _Ref475454898 \r \h </w:instrText>
      </w:r>
      <w:r w:rsidR="00F32DCE">
        <w:fldChar w:fldCharType="separate"/>
      </w:r>
      <w:r w:rsidR="00812A72">
        <w:t>4.4</w:t>
      </w:r>
      <w:r w:rsidR="00F32DCE">
        <w:fldChar w:fldCharType="end"/>
      </w:r>
      <w:r w:rsidRPr="00883125">
        <w:t xml:space="preserve"> of attachment 4. In this section, we explain how our position has changed compared to that in the Guideline.</w:t>
      </w:r>
    </w:p>
    <w:p w:rsidR="00C52695" w:rsidRPr="00883125" w:rsidRDefault="00C52695" w:rsidP="00C52695">
      <w:pPr>
        <w:numPr>
          <w:ilvl w:val="0"/>
          <w:numId w:val="24"/>
        </w:numPr>
      </w:pPr>
      <w:r w:rsidRPr="00883125">
        <w:t>In the Guideline, we considered that tax statistics supported a utilisation rate between 0.4 and 0.8. This was based on:</w:t>
      </w:r>
    </w:p>
    <w:p w:rsidR="00C52695" w:rsidRPr="001D37D5" w:rsidRDefault="00C52695" w:rsidP="00C52695">
      <w:pPr>
        <w:pStyle w:val="AERbulletlistfirststyle"/>
      </w:pPr>
      <w:r w:rsidRPr="00883125">
        <w:t>A 2013 report by Hathaway, which sought to estimate the proportion of distributed credits that have been utilised. This report produced two estimates for the period 2004 to 2011: 0.43 and 0.61.</w:t>
      </w:r>
      <w:r w:rsidRPr="001D37D5" w:rsidDel="005F06A5">
        <w:t xml:space="preserve"> </w:t>
      </w:r>
      <w:r w:rsidRPr="001D37D5">
        <w:t xml:space="preserve">The two estimates reflect two alternative measures of the value of credits distributed, which in turn imply two alternative estimates of the distribution rate (as discussed in section </w:t>
      </w:r>
      <w:r w:rsidRPr="001D37D5">
        <w:fldChar w:fldCharType="begin"/>
      </w:r>
      <w:r w:rsidRPr="001D37D5">
        <w:instrText xml:space="preserve"> REF _Ref401133206 \r \h </w:instrText>
      </w:r>
      <w:r w:rsidRPr="001D37D5">
        <w:fldChar w:fldCharType="separate"/>
      </w:r>
      <w:r w:rsidR="00812A72">
        <w:t>A.10</w:t>
      </w:r>
      <w:r w:rsidRPr="001D37D5">
        <w:fldChar w:fldCharType="end"/>
      </w:r>
      <w:r w:rsidRPr="001D37D5">
        <w:t>). The 0.43 and 0.61 estimates of the utilisation rate correspond to estimates of the distribution rate of around 0.7 and 0.5 respectively.</w:t>
      </w:r>
      <w:r w:rsidRPr="001D37D5">
        <w:rPr>
          <w:rStyle w:val="FootnoteReference"/>
        </w:rPr>
        <w:footnoteReference w:id="652"/>
      </w:r>
      <w:r w:rsidRPr="001D37D5">
        <w:t xml:space="preserve"> </w:t>
      </w:r>
    </w:p>
    <w:p w:rsidR="00C52695" w:rsidRPr="00883125" w:rsidRDefault="00C52695" w:rsidP="00C52695">
      <w:pPr>
        <w:pStyle w:val="AERbulletlistfirststyle"/>
      </w:pPr>
      <w:r w:rsidRPr="00883125">
        <w:t>A 2004 paper by Handley and Maheswaran, which sought to estimate the proportion of distributed credits that were used to reduce investors' tax liabilities. This paper produced an estimate for the period 2001 to 2004 of 0.81.</w:t>
      </w:r>
    </w:p>
    <w:p w:rsidR="00C52695" w:rsidRPr="00883125" w:rsidRDefault="00C52695" w:rsidP="00C52695">
      <w:pPr>
        <w:numPr>
          <w:ilvl w:val="0"/>
          <w:numId w:val="24"/>
        </w:numPr>
      </w:pPr>
      <w:r w:rsidRPr="00883125">
        <w:t xml:space="preserve">Since the Guideline we have continued to examine this evidence. We now consider that </w:t>
      </w:r>
      <w:r>
        <w:t>greater reliance should be placed up</w:t>
      </w:r>
      <w:r w:rsidRPr="00883125">
        <w:t>on estimates that are:</w:t>
      </w:r>
    </w:p>
    <w:p w:rsidR="00C52695" w:rsidRPr="001D37D5" w:rsidRDefault="00C52695" w:rsidP="00C52695">
      <w:pPr>
        <w:pStyle w:val="AERbulletlistfirststyle"/>
      </w:pPr>
      <w:r w:rsidRPr="00883125">
        <w:t>derived from post-2004 data, consistent with Hathaway's findings that the ATO statistics are subject to a number of issues prior to 2004,</w:t>
      </w:r>
      <w:r w:rsidRPr="001D37D5">
        <w:rPr>
          <w:rStyle w:val="FootnoteReference"/>
        </w:rPr>
        <w:footnoteReference w:id="653"/>
      </w:r>
      <w:r w:rsidRPr="001D37D5">
        <w:t xml:space="preserve"> and</w:t>
      </w:r>
    </w:p>
    <w:p w:rsidR="00C52695" w:rsidRPr="001D37D5" w:rsidRDefault="00C52695" w:rsidP="00C52695">
      <w:pPr>
        <w:pStyle w:val="AERbulletlistfirststyle"/>
      </w:pPr>
      <w:r w:rsidRPr="00883125">
        <w:t>consistent with our preferred estimates of the distribution rate</w:t>
      </w:r>
      <w:r w:rsidRPr="001D37D5">
        <w:t xml:space="preserve"> estimated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  </w:t>
      </w:r>
    </w:p>
    <w:p w:rsidR="00C52695" w:rsidRPr="00883125" w:rsidRDefault="00C52695" w:rsidP="00C52695">
      <w:pPr>
        <w:numPr>
          <w:ilvl w:val="0"/>
          <w:numId w:val="24"/>
        </w:numPr>
      </w:pPr>
      <w:r w:rsidRPr="00883125">
        <w:t>Applying these considerations, in our prior decisions</w:t>
      </w:r>
      <w:r>
        <w:t>,</w:t>
      </w:r>
      <w:r w:rsidRPr="00883125">
        <w:t xml:space="preserve"> we did not rely on:</w:t>
      </w:r>
    </w:p>
    <w:p w:rsidR="00C52695" w:rsidRPr="00883125" w:rsidRDefault="00C52695" w:rsidP="00C52695">
      <w:pPr>
        <w:pStyle w:val="AERbulletlistfirststyle"/>
      </w:pPr>
      <w:r w:rsidRPr="00883125">
        <w:t>Handley and Maheswaran's estimate of 0.81, because this is (predominantly) derived from pre-2004 data.</w:t>
      </w:r>
    </w:p>
    <w:p w:rsidR="00C52695" w:rsidRPr="001D37D5" w:rsidRDefault="00C52695" w:rsidP="00C52695">
      <w:pPr>
        <w:pStyle w:val="AERbulletlistfirststyle"/>
      </w:pPr>
      <w:r w:rsidRPr="00883125">
        <w:t>Hathaway's estimate of 0.61, because this corresponds to an estimate of the distribution rate of around 0.5 whereas we adopt an estimate of the distribution rate over all equity of 0.7.</w:t>
      </w:r>
      <w:r w:rsidRPr="001D37D5">
        <w:t xml:space="preserve"> We note this does not apply to Lally's latest analysis, as he determines the distribution rate from annual reports and not tax statistics. Lally </w:t>
      </w:r>
      <w:r w:rsidRPr="001D37D5">
        <w:lastRenderedPageBreak/>
        <w:t>considers that the difference between the two Hathaway's utilisation rate estimates demonstrates the unreliability of tax statistics data.</w:t>
      </w:r>
      <w:r w:rsidRPr="001D37D5">
        <w:rPr>
          <w:rStyle w:val="FootnoteReference"/>
        </w:rPr>
        <w:footnoteReference w:id="654"/>
      </w:r>
      <w:r w:rsidRPr="001D37D5">
        <w:t xml:space="preserve"> </w:t>
      </w:r>
    </w:p>
    <w:p w:rsidR="00C52695" w:rsidRDefault="00C52695" w:rsidP="00C52695">
      <w:r w:rsidRPr="00883125">
        <w:t xml:space="preserve">NERA updated analysis of the ATO data to the 2012 tax year </w:t>
      </w:r>
      <w:r>
        <w:t>and</w:t>
      </w:r>
      <w:r w:rsidRPr="00883125">
        <w:t xml:space="preserve"> f</w:t>
      </w:r>
      <w:r>
        <w:t>ound</w:t>
      </w:r>
      <w:r w:rsidRPr="00883125">
        <w:t xml:space="preserve"> a</w:t>
      </w:r>
      <w:r>
        <w:t>n estimated</w:t>
      </w:r>
      <w:r w:rsidRPr="00883125">
        <w:t xml:space="preserve"> utilisation rate of 0.45.</w:t>
      </w:r>
      <w:r w:rsidRPr="00883125">
        <w:rPr>
          <w:rStyle w:val="FootnoteReference"/>
        </w:rPr>
        <w:footnoteReference w:id="655"/>
      </w:r>
      <w:r w:rsidRPr="00883125">
        <w:t xml:space="preserve"> This analysis </w:t>
      </w:r>
      <w:r>
        <w:t>was subsequently</w:t>
      </w:r>
      <w:r w:rsidRPr="00883125">
        <w:t xml:space="preserve"> update</w:t>
      </w:r>
      <w:r>
        <w:t>d</w:t>
      </w:r>
      <w:r w:rsidRPr="00883125">
        <w:t xml:space="preserve"> by Frontier to the 2013 tax year which f</w:t>
      </w:r>
      <w:r>
        <w:t>ound</w:t>
      </w:r>
      <w:r w:rsidRPr="00883125">
        <w:t xml:space="preserve"> a</w:t>
      </w:r>
      <w:r>
        <w:t>n estimated</w:t>
      </w:r>
      <w:r w:rsidRPr="00883125">
        <w:t xml:space="preserve"> utilisation rate of 0.46.</w:t>
      </w:r>
      <w:r w:rsidRPr="00883125">
        <w:rPr>
          <w:rStyle w:val="FootnoteReference"/>
        </w:rPr>
        <w:footnoteReference w:id="656"/>
      </w:r>
      <w:r w:rsidRPr="00883125">
        <w:t xml:space="preserve"> </w:t>
      </w:r>
      <w:r>
        <w:t>We</w:t>
      </w:r>
      <w:r w:rsidRPr="00883125">
        <w:t xml:space="preserve"> further updated </w:t>
      </w:r>
      <w:r>
        <w:t xml:space="preserve">the estimate using </w:t>
      </w:r>
      <w:r w:rsidRPr="00883125">
        <w:t xml:space="preserve">tax statistics to the 2014 </w:t>
      </w:r>
      <w:r>
        <w:t xml:space="preserve">tax year </w:t>
      </w:r>
      <w:r w:rsidRPr="00883125">
        <w:t>and f</w:t>
      </w:r>
      <w:r>
        <w:t>ound</w:t>
      </w:r>
      <w:r w:rsidR="001453E4">
        <w:t xml:space="preserve"> a utilisation value of 0.48.</w:t>
      </w:r>
    </w:p>
    <w:p w:rsidR="00C52695" w:rsidRPr="00883125" w:rsidRDefault="00C52695" w:rsidP="00C52695">
      <w:r w:rsidRPr="00883125">
        <w:t xml:space="preserve">As discussed in section </w:t>
      </w:r>
      <w:r w:rsidRPr="00883125">
        <w:fldChar w:fldCharType="begin"/>
      </w:r>
      <w:r w:rsidRPr="00883125">
        <w:instrText xml:space="preserve"> REF _Ref401133206 \r \h </w:instrText>
      </w:r>
      <w:r w:rsidRPr="00883125">
        <w:fldChar w:fldCharType="separate"/>
      </w:r>
      <w:r w:rsidR="00812A72">
        <w:t>A.10</w:t>
      </w:r>
      <w:r w:rsidRPr="00883125">
        <w:fldChar w:fldCharType="end"/>
      </w:r>
      <w:r w:rsidRPr="00883125">
        <w:t>, for this decision we place no reliance on Hathaway's new report and therefore it does not change our conclusions regarding the utilisation rate indicated by tax statistics.</w:t>
      </w:r>
    </w:p>
    <w:p w:rsidR="005516CF" w:rsidRDefault="00413BA1" w:rsidP="00C52695">
      <w:r>
        <w:t>T</w:t>
      </w:r>
      <w:r w:rsidR="00C52695" w:rsidRPr="00883125">
        <w:t xml:space="preserve">he </w:t>
      </w:r>
      <w:r>
        <w:t xml:space="preserve">Ausgrid </w:t>
      </w:r>
      <w:r w:rsidR="00C52695" w:rsidRPr="00883125">
        <w:t>Tribunal considers that tax statistics can only provide an upper bound on the estimate of theta.</w:t>
      </w:r>
      <w:r w:rsidR="00C52695" w:rsidRPr="00883125">
        <w:rPr>
          <w:rStyle w:val="FootnoteReference"/>
        </w:rPr>
        <w:footnoteReference w:id="657"/>
      </w:r>
      <w:r w:rsidR="00C52695" w:rsidRPr="00883125">
        <w:t xml:space="preserve"> </w:t>
      </w:r>
      <w:r w:rsidR="00C52695">
        <w:t>Frontier, also consider redemption rates are at best an upper bound for theta if theta is defined as the value of imputation credits.</w:t>
      </w:r>
      <w:r w:rsidR="00C52695">
        <w:rPr>
          <w:rStyle w:val="FootnoteReference"/>
        </w:rPr>
        <w:footnoteReference w:id="658"/>
      </w:r>
      <w:r w:rsidR="00C52695">
        <w:t xml:space="preserve"> We</w:t>
      </w:r>
      <w:r w:rsidR="00C52695" w:rsidRPr="00883125">
        <w:t xml:space="preserve"> remain of the view that tax statistics can be used as </w:t>
      </w:r>
      <w:r w:rsidR="00C52695">
        <w:t xml:space="preserve">a </w:t>
      </w:r>
      <w:r w:rsidR="00C52695" w:rsidRPr="00883125">
        <w:t>point estimate for the utilisation value</w:t>
      </w:r>
      <w:r w:rsidR="00C52695">
        <w:t xml:space="preserve"> (see section </w:t>
      </w:r>
      <w:r w:rsidR="00C52695">
        <w:fldChar w:fldCharType="begin"/>
      </w:r>
      <w:r w:rsidR="00C52695">
        <w:instrText xml:space="preserve"> REF _Ref450761230 \r \h </w:instrText>
      </w:r>
      <w:r w:rsidR="00C52695">
        <w:fldChar w:fldCharType="separate"/>
      </w:r>
      <w:r w:rsidR="00812A72">
        <w:t>4.4.1</w:t>
      </w:r>
      <w:r w:rsidR="00C52695">
        <w:fldChar w:fldCharType="end"/>
      </w:r>
      <w:r w:rsidR="00C52695">
        <w:t xml:space="preserve"> and our reasoning below)</w:t>
      </w:r>
      <w:r w:rsidR="00C52695" w:rsidRPr="00883125">
        <w:t>.</w:t>
      </w:r>
      <w:r w:rsidR="00FE3642">
        <w:t xml:space="preserve"> </w:t>
      </w:r>
      <w:r w:rsidR="00C52695">
        <w:t xml:space="preserve">We consider tax statistics produce estimates of the utilisation rate. These estimates are uncertain and dependent on the quality of the underlying data (which is an issue for tax statistics, as shown in section </w:t>
      </w:r>
      <w:r w:rsidR="00C52695">
        <w:fldChar w:fldCharType="begin"/>
      </w:r>
      <w:r w:rsidR="00C52695">
        <w:instrText xml:space="preserve"> REF _Ref450761230 \r \h </w:instrText>
      </w:r>
      <w:r w:rsidR="00C52695">
        <w:fldChar w:fldCharType="separate"/>
      </w:r>
      <w:r w:rsidR="00812A72">
        <w:t>4.4.1</w:t>
      </w:r>
      <w:r w:rsidR="00C52695">
        <w:fldChar w:fldCharType="end"/>
      </w:r>
      <w:r w:rsidR="00C52695">
        <w:t xml:space="preserve">). As such, </w:t>
      </w:r>
      <w:r w:rsidR="00C52695" w:rsidRPr="00883125">
        <w:t>the true (unknown) value could be higher or lower.</w:t>
      </w:r>
      <w:r w:rsidR="00C52695">
        <w:t xml:space="preserve"> We consider this cannot constitute an upper bound for the true utilisation rate.</w:t>
      </w:r>
      <w:r w:rsidR="00C03DF6" w:rsidRPr="00C03DF6">
        <w:t xml:space="preserve"> </w:t>
      </w:r>
      <w:r w:rsidR="00962A4A">
        <w:t>Having considered all the information before us</w:t>
      </w:r>
      <w:r w:rsidR="00BC1E8B">
        <w:t>,</w:t>
      </w:r>
      <w:r w:rsidR="00962A4A">
        <w:t xml:space="preserve"> we remain of the view</w:t>
      </w:r>
      <w:r w:rsidR="00C03DF6">
        <w:t xml:space="preserve"> </w:t>
      </w:r>
      <w:r w:rsidR="00114985">
        <w:t xml:space="preserve">that </w:t>
      </w:r>
      <w:r w:rsidR="00C03DF6">
        <w:t>tax statistics do not provide an upper bound for the utilisation rate, but rather a</w:t>
      </w:r>
      <w:r w:rsidR="00FE3642">
        <w:t>n</w:t>
      </w:r>
      <w:r w:rsidR="00C03DF6">
        <w:t xml:space="preserve"> </w:t>
      </w:r>
      <w:r w:rsidR="00BD6891">
        <w:t>unreliable</w:t>
      </w:r>
      <w:r w:rsidR="00C03DF6">
        <w:t xml:space="preserve"> estimate.</w:t>
      </w:r>
      <w:r w:rsidR="00962A4A">
        <w:t xml:space="preserve"> We note the SAPN Tribunal decision supports this view</w:t>
      </w:r>
      <w:r w:rsidR="00C03DF6" w:rsidRPr="005A1971">
        <w:rPr>
          <w:rStyle w:val="FootnoteReference"/>
        </w:rPr>
        <w:footnoteReference w:id="659"/>
      </w:r>
    </w:p>
    <w:p w:rsidR="00177813" w:rsidRPr="00177813" w:rsidRDefault="00C52695" w:rsidP="00177813">
      <w:pPr>
        <w:rPr>
          <w:lang w:val="en-US"/>
        </w:rPr>
      </w:pPr>
      <w:r>
        <w:t>Lally considers that the correctly measured tax statistics provides an upward biased estimate for the utilisation value.</w:t>
      </w:r>
      <w:r>
        <w:rPr>
          <w:rStyle w:val="FootnoteReference"/>
        </w:rPr>
        <w:footnoteReference w:id="660"/>
      </w:r>
      <w:r>
        <w:t xml:space="preserve"> This is because local investors tilt their shareholding to stocks with higher imputation credit yields. However, Lally considers our estimate of 0.45 (updated to 0.48 in this decision) is not an upper bound as tax statistics are unreliable and we use the lower of two possible tax statistics estimates for the utilisation rate.</w:t>
      </w:r>
      <w:r>
        <w:rPr>
          <w:rStyle w:val="FootnoteReference"/>
        </w:rPr>
        <w:footnoteReference w:id="661"/>
      </w:r>
    </w:p>
    <w:p w:rsidR="00E24154" w:rsidRDefault="00524BC1" w:rsidP="00C52695">
      <w:r w:rsidRPr="00BF2DCE">
        <w:lastRenderedPageBreak/>
        <w:t xml:space="preserve">Further, Lally notes that the Ausgrid Tribunal considered tax statistics produce an upper bound estimate on utilisation value, </w:t>
      </w:r>
      <w:r w:rsidRPr="00E750F8">
        <w:t>due to time delays, administrative costs in distributing the credits, portfolio effects, and the effect of the 45 day rule.</w:t>
      </w:r>
      <w:r w:rsidR="00BF2DCE" w:rsidRPr="00BF2DCE">
        <w:rPr>
          <w:rStyle w:val="FootnoteReference"/>
        </w:rPr>
        <w:footnoteReference w:id="662"/>
      </w:r>
      <w:r w:rsidRPr="00E750F8">
        <w:t xml:space="preserve"> Lally considers the Ausgrid Tribunal based this on the belief that the utilisation </w:t>
      </w:r>
      <w:r w:rsidRPr="00BF2DCE">
        <w:t xml:space="preserve">value </w:t>
      </w:r>
      <w:r w:rsidR="00BF2DCE" w:rsidRPr="00BF2DCE">
        <w:t xml:space="preserve">is a market value and </w:t>
      </w:r>
      <w:r w:rsidRPr="00E750F8">
        <w:t>the fact that these phenomena would depress the market value of the credi</w:t>
      </w:r>
      <w:r w:rsidR="00BF2DCE" w:rsidRPr="00E750F8">
        <w:t>ts.</w:t>
      </w:r>
      <w:r w:rsidR="00BF2DCE" w:rsidRPr="00BF2DCE">
        <w:rPr>
          <w:rStyle w:val="FootnoteReference"/>
        </w:rPr>
        <w:footnoteReference w:id="663"/>
      </w:r>
      <w:r w:rsidR="00BF2DCE" w:rsidRPr="00BF2DCE">
        <w:t xml:space="preserve"> However, Lally considers that the utilisation value is not a market value, rather it is </w:t>
      </w:r>
      <w:r w:rsidRPr="00E750F8">
        <w:t xml:space="preserve">a weighted-average of investors’ </w:t>
      </w:r>
      <w:r w:rsidR="00BF2DCE">
        <w:t>utilisation</w:t>
      </w:r>
      <w:r w:rsidRPr="00E750F8">
        <w:t xml:space="preserve"> rates for </w:t>
      </w:r>
      <w:r w:rsidR="00BF2DCE">
        <w:t>imputation</w:t>
      </w:r>
      <w:r w:rsidRPr="00E750F8">
        <w:t xml:space="preserve"> credits, and this alone </w:t>
      </w:r>
      <w:r w:rsidR="00BF2DCE">
        <w:t>undermines the Ausgrid Tribunal's reasoning.</w:t>
      </w:r>
      <w:r w:rsidR="00E24154">
        <w:rPr>
          <w:rStyle w:val="FootnoteReference"/>
        </w:rPr>
        <w:footnoteReference w:id="664"/>
      </w:r>
      <w:r w:rsidR="004741BD">
        <w:t xml:space="preserve"> Furthermore, Lally considers that the inability to estimate the redemption rate from ATO data would also preclude any such estimate being an upper bound on theta</w:t>
      </w:r>
      <w:r w:rsidR="00BD6891">
        <w:t xml:space="preserve">, although noting that </w:t>
      </w:r>
      <w:r w:rsidR="004741BD">
        <w:t>if anything the ATO data would be biased up.</w:t>
      </w:r>
      <w:r w:rsidR="004741BD">
        <w:rPr>
          <w:rStyle w:val="FootnoteReference"/>
        </w:rPr>
        <w:footnoteReference w:id="665"/>
      </w:r>
    </w:p>
    <w:p w:rsidR="00C52695" w:rsidRPr="00883125" w:rsidRDefault="00C52695" w:rsidP="00C52695">
      <w:r>
        <w:t>Ultimately, as set out above, w</w:t>
      </w:r>
      <w:r w:rsidRPr="00EA5224">
        <w:t xml:space="preserve">e consider any uncertain estimate is not an upper bound. Given the uncertainty </w:t>
      </w:r>
      <w:r>
        <w:t xml:space="preserve">associated </w:t>
      </w:r>
      <w:r w:rsidRPr="00EA5224">
        <w:t>with the utilisation rate estimate, we also do not consider the tax statistics would be inconsistent with a higher estimate of gamma than 0.4 for the benchmark efficient entity.</w:t>
      </w:r>
      <w:r>
        <w:t xml:space="preserve"> In particular, we note</w:t>
      </w:r>
      <w:r w:rsidRPr="004635C5">
        <w:t xml:space="preserve"> an estimate of gamma of approximately 0.4 is obtained when combining a utilisation rate of 0.48 (</w:t>
      </w:r>
      <w:r>
        <w:t xml:space="preserve">consistent with </w:t>
      </w:r>
      <w:r w:rsidRPr="004635C5">
        <w:t>FAB data) with Lally's preferred estimate of the distribution rate for a benchmark efficient entity of 0.83.</w:t>
      </w:r>
      <w:r>
        <w:rPr>
          <w:rStyle w:val="FootnoteReference"/>
        </w:rPr>
        <w:footnoteReference w:id="666"/>
      </w:r>
    </w:p>
    <w:p w:rsidR="00D76D53" w:rsidRDefault="00C52695" w:rsidP="00C52695">
      <w:r w:rsidRPr="00883125">
        <w:t xml:space="preserve">Given the concerns with tax statistics data, </w:t>
      </w:r>
      <w:r>
        <w:t>we</w:t>
      </w:r>
      <w:r w:rsidRPr="00883125">
        <w:t xml:space="preserve"> consider the equity ownership approach provides </w:t>
      </w:r>
      <w:r>
        <w:t>the best</w:t>
      </w:r>
      <w:r w:rsidRPr="00883125">
        <w:t xml:space="preserve"> point estimate for the utilisation value</w:t>
      </w:r>
      <w:r>
        <w:t xml:space="preserve"> currently available</w:t>
      </w:r>
      <w:r w:rsidRPr="00883125">
        <w:t xml:space="preserve">. This is due to the value of imputation credits being equal to face value on a </w:t>
      </w:r>
      <w:r>
        <w:t xml:space="preserve">post-company </w:t>
      </w:r>
      <w:r w:rsidRPr="00883125">
        <w:t xml:space="preserve">pre-personal tax and pre-personal cost basis. Given the 45 day holding rule should not be having a material impact on the utilisation of imputation credits (see section </w:t>
      </w:r>
      <w:r>
        <w:fldChar w:fldCharType="begin"/>
      </w:r>
      <w:r>
        <w:instrText xml:space="preserve"> REF _Ref414099389 \r \h </w:instrText>
      </w:r>
      <w:r>
        <w:fldChar w:fldCharType="separate"/>
      </w:r>
      <w:r w:rsidR="00812A72">
        <w:t>A.8.3</w:t>
      </w:r>
      <w:r>
        <w:fldChar w:fldCharType="end"/>
      </w:r>
      <w:r w:rsidRPr="00883125">
        <w:t xml:space="preserve">), </w:t>
      </w:r>
      <w:r>
        <w:t>w</w:t>
      </w:r>
      <w:r w:rsidRPr="00883125">
        <w:t>e consider the proportion of local investor in the equity markets is a</w:t>
      </w:r>
      <w:r>
        <w:t xml:space="preserve"> reasonable point estimate of the utilisation value.</w:t>
      </w:r>
    </w:p>
    <w:p w:rsidR="000D5934" w:rsidRDefault="00882758" w:rsidP="00C52695">
      <w:r>
        <w:t>Frontier considers that gamma can be measure</w:t>
      </w:r>
      <w:r w:rsidR="00487822">
        <w:t>d</w:t>
      </w:r>
      <w:r>
        <w:t xml:space="preserve"> reliably from tax statistics as the ratio of credits redeemed and credits created.</w:t>
      </w:r>
      <w:r w:rsidR="00487822">
        <w:rPr>
          <w:rStyle w:val="FootnoteReference"/>
        </w:rPr>
        <w:footnoteReference w:id="667"/>
      </w:r>
      <w:r w:rsidR="00487822">
        <w:t xml:space="preserve"> It submit</w:t>
      </w:r>
      <w:r w:rsidR="00FA19F3">
        <w:t>s</w:t>
      </w:r>
      <w:r w:rsidR="00487822">
        <w:t xml:space="preserve"> that the </w:t>
      </w:r>
      <w:r w:rsidR="000D5934">
        <w:t xml:space="preserve">credits distributed data is the unreliable data in </w:t>
      </w:r>
      <w:r w:rsidR="00D157E2">
        <w:t xml:space="preserve">the </w:t>
      </w:r>
      <w:r w:rsidR="000D5934">
        <w:t>tax statistics and this data is not required to determine gamma directly.</w:t>
      </w:r>
      <w:r w:rsidR="000D5934">
        <w:rPr>
          <w:rStyle w:val="FootnoteReference"/>
        </w:rPr>
        <w:footnoteReference w:id="668"/>
      </w:r>
      <w:r w:rsidR="000D5934">
        <w:t xml:space="preserve"> This data is only required when the gamma statistic is separated into two components, theta and distribution rate. Frontier considers that the gamma estimate from tax statistic is at best an upper bound for gamma.</w:t>
      </w:r>
      <w:r w:rsidR="00221105">
        <w:rPr>
          <w:rStyle w:val="FootnoteReference"/>
        </w:rPr>
        <w:footnoteReference w:id="669"/>
      </w:r>
    </w:p>
    <w:p w:rsidR="000D5934" w:rsidRDefault="000B4231" w:rsidP="00C52695">
      <w:r>
        <w:lastRenderedPageBreak/>
        <w:t>However, we do not agree that tax statistics are reliable</w:t>
      </w:r>
      <w:r w:rsidR="005516CF">
        <w:t xml:space="preserve"> to estimate any parameter concerned with franking credits. This is supported by </w:t>
      </w:r>
      <w:r>
        <w:t>Neville Hathaway</w:t>
      </w:r>
      <w:r w:rsidR="00D32E5E">
        <w:t>,</w:t>
      </w:r>
      <w:r>
        <w:t xml:space="preserve"> </w:t>
      </w:r>
      <w:r w:rsidR="006B14BA">
        <w:t>who</w:t>
      </w:r>
      <w:r w:rsidR="008E1126">
        <w:t xml:space="preserve"> considers that caution should be exercised when using ATO statistics.</w:t>
      </w:r>
    </w:p>
    <w:p w:rsidR="000B4231" w:rsidRDefault="000B4231" w:rsidP="00E750F8">
      <w:pPr>
        <w:pStyle w:val="AERquoteindent3"/>
      </w:pPr>
      <w:r>
        <w:t xml:space="preserve">Until </w:t>
      </w:r>
      <w:r w:rsidR="00D32E5E">
        <w:t>the reconciliation has occurred or it can be explained to me how to account for those credits, I urge all caution in using ATO statistics for any estimates of parameters concerned with franking credits.</w:t>
      </w:r>
      <w:r w:rsidR="00D32E5E">
        <w:rPr>
          <w:rStyle w:val="FootnoteReference"/>
        </w:rPr>
        <w:footnoteReference w:id="670"/>
      </w:r>
    </w:p>
    <w:p w:rsidR="00485A29" w:rsidRDefault="00697C8E" w:rsidP="00C52695">
      <w:r>
        <w:t>We recognise</w:t>
      </w:r>
      <w:r w:rsidR="005516CF">
        <w:t xml:space="preserve"> Hathaway's comment that the tax data of the ATO is the most likely to be accurate </w:t>
      </w:r>
      <w:r w:rsidR="003D4F01">
        <w:t>as</w:t>
      </w:r>
      <w:r w:rsidR="005516CF">
        <w:t xml:space="preserve"> after all what other </w:t>
      </w:r>
      <w:r>
        <w:t>tax data is there but tax collection by the ATO. However, we also note Hathaway</w:t>
      </w:r>
      <w:r w:rsidR="006B14BA">
        <w:t>'s</w:t>
      </w:r>
      <w:r>
        <w:t xml:space="preserve"> statement in regards to estimating gamma directly</w:t>
      </w:r>
      <w:r w:rsidR="00283230">
        <w:t xml:space="preserve"> [emphasis added]</w:t>
      </w:r>
      <w:r>
        <w:t>:</w:t>
      </w:r>
    </w:p>
    <w:p w:rsidR="00697C8E" w:rsidRDefault="00187ED0" w:rsidP="00697C8E">
      <w:pPr>
        <w:pStyle w:val="AERquoteindent3"/>
      </w:pPr>
      <w:r>
        <w:t xml:space="preserve">This overall approach is reasonable as the tax statistics are </w:t>
      </w:r>
      <w:r w:rsidRPr="00E750F8">
        <w:rPr>
          <w:rStyle w:val="Strong"/>
        </w:rPr>
        <w:t>unlikely to be in major error</w:t>
      </w:r>
      <w:r>
        <w:t xml:space="preserve"> for the amount of tax paid and the amount of tax credits claimed</w:t>
      </w:r>
      <w:r w:rsidR="00697C8E">
        <w:t>.</w:t>
      </w:r>
      <w:r w:rsidR="00697C8E">
        <w:rPr>
          <w:rStyle w:val="FootnoteReference"/>
        </w:rPr>
        <w:footnoteReference w:id="671"/>
      </w:r>
    </w:p>
    <w:p w:rsidR="00697C8E" w:rsidRDefault="00187ED0" w:rsidP="00C52695">
      <w:r>
        <w:t xml:space="preserve">Stating that a data set is unlikely to be in major error is not equivalent to saying that the data is reliable. </w:t>
      </w:r>
    </w:p>
    <w:p w:rsidR="00C03DF6" w:rsidRDefault="004C4498" w:rsidP="00C52695">
      <w:r>
        <w:t xml:space="preserve">Further, we note that Hathaway </w:t>
      </w:r>
      <w:r w:rsidR="00F76631">
        <w:t xml:space="preserve">states that the only reliable estimate that can be obtained </w:t>
      </w:r>
      <w:r w:rsidR="0023036D">
        <w:t>from the taxation statistics is the access fraction (imputation distribution rate), which is obtained from FAB data.</w:t>
      </w:r>
      <w:r w:rsidR="0023036D">
        <w:rPr>
          <w:rStyle w:val="FootnoteReference"/>
        </w:rPr>
        <w:footnoteReference w:id="672"/>
      </w:r>
      <w:r w:rsidR="0023036D">
        <w:t xml:space="preserve"> </w:t>
      </w:r>
      <w:r w:rsidR="005A1971">
        <w:t>Hathaway considers there are too many unreconciled problems with the ATO data for reliable estimate to be made about the utilisation of franking credits.</w:t>
      </w:r>
      <w:r w:rsidR="005A1971">
        <w:rPr>
          <w:rStyle w:val="FootnoteReference"/>
        </w:rPr>
        <w:footnoteReference w:id="673"/>
      </w:r>
      <w:r w:rsidR="005A1971">
        <w:t xml:space="preserve"> Consistent with Hathaway's statement of conclusions we consider caution should be exercised with using ATO statistics to estimate any parameters concerned with franking credit which include gamma, distribution rate and utilisation value.</w:t>
      </w:r>
    </w:p>
    <w:p w:rsidR="00944EFE" w:rsidRDefault="00586F6B" w:rsidP="00C52695">
      <w:r>
        <w:t xml:space="preserve">Lally also has concerns </w:t>
      </w:r>
      <w:r w:rsidR="00944EFE">
        <w:t>with Frontier</w:t>
      </w:r>
      <w:r w:rsidR="006B14BA">
        <w:t>'</w:t>
      </w:r>
      <w:r w:rsidR="00944EFE">
        <w:t>s argument that tax statistics produce a reliable estimate for gamma, such as:</w:t>
      </w:r>
    </w:p>
    <w:p w:rsidR="003A0C07" w:rsidRDefault="00944EFE" w:rsidP="00E750F8">
      <w:pPr>
        <w:pStyle w:val="AERbulletlistfirststyle"/>
      </w:pPr>
      <w:r>
        <w:t xml:space="preserve">The Officer model requires an estimate of the utilisation value to determine the MRP. Given the data reliability issues tax statistics cannot produce </w:t>
      </w:r>
      <w:r w:rsidR="003A0C07">
        <w:t>a reliable estimate of the utilisation value.</w:t>
      </w:r>
      <w:r w:rsidR="003A0C07" w:rsidRPr="003A0C07">
        <w:rPr>
          <w:rStyle w:val="FootnoteReference"/>
        </w:rPr>
        <w:t xml:space="preserve"> </w:t>
      </w:r>
      <w:r w:rsidR="003A0C07" w:rsidRPr="003A0C07">
        <w:rPr>
          <w:rStyle w:val="FootnoteReference"/>
        </w:rPr>
        <w:footnoteReference w:id="674"/>
      </w:r>
    </w:p>
    <w:p w:rsidR="003A0C07" w:rsidRDefault="003A0C07" w:rsidP="00E750F8">
      <w:pPr>
        <w:pStyle w:val="AERbulletlistfirststyle"/>
      </w:pPr>
      <w:r>
        <w:t xml:space="preserve">Using tax statistics to directly estimate </w:t>
      </w:r>
      <w:r w:rsidR="00A041D8">
        <w:t xml:space="preserve">gamma </w:t>
      </w:r>
      <w:r>
        <w:t>require</w:t>
      </w:r>
      <w:r w:rsidR="00A041D8">
        <w:t>s</w:t>
      </w:r>
      <w:r>
        <w:t xml:space="preserve"> all equity data to be used for both the distribution rate and the utilisation value. However, Lally considers there is no necessity to do so and good reason for not doing so. Lally considers </w:t>
      </w:r>
      <w:r>
        <w:lastRenderedPageBreak/>
        <w:t>that the distribution rate should be determined by listed equity only and the utilisation rate should be set with reference to all equity.</w:t>
      </w:r>
      <w:r w:rsidRPr="003A0C07">
        <w:rPr>
          <w:rStyle w:val="FootnoteReference"/>
        </w:rPr>
        <w:footnoteReference w:id="675"/>
      </w:r>
    </w:p>
    <w:p w:rsidR="00586F6B" w:rsidRPr="00E750F8" w:rsidRDefault="003A0C07" w:rsidP="00E750F8">
      <w:pPr>
        <w:pStyle w:val="AERbulletlistfirststyle"/>
      </w:pPr>
      <w:r>
        <w:t>W</w:t>
      </w:r>
      <w:r w:rsidR="00586F6B" w:rsidRPr="00E750F8">
        <w:t xml:space="preserve">hilst the problems in the ATO may be limited to </w:t>
      </w:r>
      <w:r w:rsidR="002928B6">
        <w:t>credits distributed</w:t>
      </w:r>
      <w:r w:rsidR="00586F6B" w:rsidRPr="00E750F8">
        <w:t xml:space="preserve"> (because the data offers two conflicting estimates of that </w:t>
      </w:r>
      <w:r w:rsidR="002928B6">
        <w:t>quantity, from dividend data and FAB data</w:t>
      </w:r>
      <w:r w:rsidR="00586F6B" w:rsidRPr="00E750F8">
        <w:t xml:space="preserve">), the credibility of the entire ATO database is damaged by both the conflicting estimates of the </w:t>
      </w:r>
      <w:r w:rsidR="002928B6">
        <w:t xml:space="preserve">credit </w:t>
      </w:r>
      <w:r w:rsidR="00586F6B" w:rsidRPr="00E750F8">
        <w:t>distribution rate and the inability of the ATO to identify the source of that conflict.</w:t>
      </w:r>
      <w:r w:rsidR="00BF2DCE" w:rsidRPr="00BF2DCE">
        <w:rPr>
          <w:rStyle w:val="FootnoteReference"/>
        </w:rPr>
        <w:footnoteReference w:id="676"/>
      </w:r>
    </w:p>
    <w:p w:rsidR="00C641FD" w:rsidRDefault="00C641FD" w:rsidP="00C52695">
      <w:r>
        <w:t xml:space="preserve">Finally, we note that even if the taxation data did produce a reasonable estimate of gamma (across the economy), something we do not consider it does based on expert advice, it is not necessarily the correct value for gamma for the benchmark efficient entity. This is because the distribution rate is not market wide. </w:t>
      </w:r>
    </w:p>
    <w:p w:rsidR="00C52695" w:rsidRPr="00883125" w:rsidRDefault="00C52695" w:rsidP="00C52695">
      <w:r w:rsidRPr="00883125">
        <w:t xml:space="preserve">In comparison to tax statistics market studies do not provide as appropriate an estimate of the utilisation value as they are determined by the marginal investor and the not aggregate investors. As a result, we consider market studies do not provide as good an estimate of the value of distributed imputation credits as estimates from the equity ownership approach and tax statistics. Market studies are also influenced by differential personal tax and personal cost factors </w:t>
      </w:r>
      <w:r>
        <w:t xml:space="preserve">and do not reflect a post-company pre-personal tax rate of imputation credits under our post-tax framework </w:t>
      </w:r>
      <w:r w:rsidRPr="00883125">
        <w:t xml:space="preserve">(see section </w:t>
      </w:r>
      <w:r w:rsidRPr="00883125">
        <w:fldChar w:fldCharType="begin"/>
      </w:r>
      <w:r w:rsidRPr="00883125">
        <w:instrText xml:space="preserve"> REF _Ref435171205 \r \h </w:instrText>
      </w:r>
      <w:r w:rsidRPr="00883125">
        <w:fldChar w:fldCharType="separate"/>
      </w:r>
      <w:r w:rsidR="00812A72">
        <w:t>A.15.3</w:t>
      </w:r>
      <w:r w:rsidRPr="00883125">
        <w:fldChar w:fldCharType="end"/>
      </w:r>
      <w:r w:rsidRPr="00883125">
        <w:t>). For these reasons we provide them relatively less weight.</w:t>
      </w:r>
    </w:p>
    <w:p w:rsidR="00C52695" w:rsidRPr="00883125" w:rsidRDefault="00C52695" w:rsidP="00C52695">
      <w:pPr>
        <w:pStyle w:val="Heading8"/>
      </w:pPr>
      <w:bookmarkStart w:id="378" w:name="_Ref450298682"/>
      <w:bookmarkStart w:id="379" w:name="_Ref450299464"/>
      <w:bookmarkStart w:id="380" w:name="_Toc451842261"/>
      <w:bookmarkStart w:id="381" w:name="_Toc451938315"/>
      <w:bookmarkStart w:id="382" w:name="_Toc456614334"/>
      <w:bookmarkStart w:id="383" w:name="_Toc462823340"/>
      <w:bookmarkStart w:id="384" w:name="_Ref401080753"/>
      <w:bookmarkStart w:id="385" w:name="_Toc436049455"/>
      <w:bookmarkStart w:id="386" w:name="_Toc481061508"/>
      <w:r w:rsidRPr="00883125">
        <w:t>Difference between equity ownership approach and tax statistics</w:t>
      </w:r>
      <w:bookmarkEnd w:id="378"/>
      <w:bookmarkEnd w:id="379"/>
      <w:bookmarkEnd w:id="380"/>
      <w:bookmarkEnd w:id="381"/>
      <w:bookmarkEnd w:id="382"/>
      <w:bookmarkEnd w:id="383"/>
      <w:bookmarkEnd w:id="386"/>
    </w:p>
    <w:p w:rsidR="00C52695" w:rsidRPr="00883125" w:rsidRDefault="00C52695" w:rsidP="00C52695">
      <w:r w:rsidRPr="00883125">
        <w:t xml:space="preserve">In </w:t>
      </w:r>
      <w:r>
        <w:t>its</w:t>
      </w:r>
      <w:r w:rsidRPr="00883125">
        <w:t xml:space="preserve"> decision</w:t>
      </w:r>
      <w:r>
        <w:t>s</w:t>
      </w:r>
      <w:r w:rsidRPr="00883125">
        <w:t xml:space="preserve">, the </w:t>
      </w:r>
      <w:r w:rsidR="00E85280">
        <w:t xml:space="preserve">Ausgrid </w:t>
      </w:r>
      <w:r w:rsidRPr="00883125">
        <w:t xml:space="preserve">Tribunal considered it is apparent there are investors who </w:t>
      </w:r>
      <w:r>
        <w:t>the AER</w:t>
      </w:r>
      <w:r w:rsidRPr="00883125">
        <w:t xml:space="preserve"> assume</w:t>
      </w:r>
      <w:r>
        <w:t>s</w:t>
      </w:r>
      <w:r w:rsidRPr="00883125">
        <w:t xml:space="preserve"> are eligible to redeem imputation credits but, for whatever reasons, either cannot redeem them or attribute so little value to the credits that they do not utilise them.</w:t>
      </w:r>
      <w:r w:rsidRPr="00883125">
        <w:rPr>
          <w:rStyle w:val="FootnoteReference"/>
        </w:rPr>
        <w:footnoteReference w:id="677"/>
      </w:r>
      <w:r w:rsidRPr="00883125">
        <w:t xml:space="preserve"> This is due to the equity ownership approach indicating</w:t>
      </w:r>
      <w:r>
        <w:t xml:space="preserve"> the</w:t>
      </w:r>
      <w:r w:rsidRPr="00883125">
        <w:t xml:space="preserve"> utilisation</w:t>
      </w:r>
      <w:r>
        <w:t xml:space="preserve"> rate</w:t>
      </w:r>
      <w:r w:rsidRPr="00883125">
        <w:t xml:space="preserve"> is above the </w:t>
      </w:r>
      <w:r>
        <w:t>estimate</w:t>
      </w:r>
      <w:r w:rsidRPr="00883125">
        <w:t xml:space="preserve"> specified through tax statistics. Further, the</w:t>
      </w:r>
      <w:r w:rsidR="00E85280">
        <w:t xml:space="preserve"> Ausgrid</w:t>
      </w:r>
      <w:r w:rsidRPr="00883125">
        <w:t xml:space="preserve"> Tribunal considered the value of the utilisation value produced by taxation statistics is evidence that Australian investors do not value imputation credits at their face value, because they may be unable to use them.</w:t>
      </w:r>
      <w:r w:rsidRPr="00883125">
        <w:rPr>
          <w:rStyle w:val="FootnoteReference"/>
        </w:rPr>
        <w:footnoteReference w:id="678"/>
      </w:r>
    </w:p>
    <w:p w:rsidR="00C52695" w:rsidRDefault="00C52695" w:rsidP="00C52695">
      <w:r>
        <w:t>We have</w:t>
      </w:r>
      <w:r w:rsidRPr="00883125">
        <w:t xml:space="preserve"> considered the </w:t>
      </w:r>
      <w:r w:rsidR="00E85280">
        <w:t xml:space="preserve">Ausgrid </w:t>
      </w:r>
      <w:r w:rsidRPr="00883125">
        <w:t xml:space="preserve">Tribunal's reasoning and consider there is no reason to </w:t>
      </w:r>
      <w:r>
        <w:t>expect</w:t>
      </w:r>
      <w:r w:rsidRPr="00883125">
        <w:t xml:space="preserve"> that the equity ownership approach and the taxation statistics should result in the same utilisation value. </w:t>
      </w:r>
      <w:r>
        <w:t>We</w:t>
      </w:r>
      <w:r w:rsidRPr="00883125">
        <w:t xml:space="preserve"> do not consider the difference is likely to be driven either by the 45 day holding rule or by investors valuing imputation credits at less than face value because they may be unable to use them. We </w:t>
      </w:r>
      <w:r>
        <w:t>consider</w:t>
      </w:r>
      <w:r w:rsidRPr="00883125">
        <w:t xml:space="preserve"> the difference between </w:t>
      </w:r>
      <w:r w:rsidRPr="00883125">
        <w:lastRenderedPageBreak/>
        <w:t xml:space="preserve">the equity ownership approach and tax statistics is likely driven primarily by data issues </w:t>
      </w:r>
      <w:r>
        <w:t xml:space="preserve">associated </w:t>
      </w:r>
      <w:r w:rsidRPr="00883125">
        <w:t xml:space="preserve">with the tax statistics. The data issues with tax statistics was recognised by the </w:t>
      </w:r>
      <w:r w:rsidR="00E85280">
        <w:t xml:space="preserve">Ausgrid </w:t>
      </w:r>
      <w:r w:rsidRPr="00883125">
        <w:t>Tribunal.</w:t>
      </w:r>
      <w:r w:rsidRPr="00883125">
        <w:rPr>
          <w:rStyle w:val="FootnoteReference"/>
        </w:rPr>
        <w:footnoteReference w:id="679"/>
      </w:r>
      <w:r w:rsidRPr="00883125">
        <w:t xml:space="preserve"> </w:t>
      </w:r>
      <w:r>
        <w:t>Lally supports this view by noting that the most obvious explanation for the difference between the equity ownership and tax statistics is explained by our tax statistics estimate being too low.</w:t>
      </w:r>
      <w:r>
        <w:rPr>
          <w:rStyle w:val="FootnoteReference"/>
        </w:rPr>
        <w:footnoteReference w:id="680"/>
      </w:r>
      <w:r>
        <w:t xml:space="preserve"> Although, we note that </w:t>
      </w:r>
      <w:r w:rsidRPr="00645287">
        <w:t xml:space="preserve">an estimate of gamma of approximately 0.4 </w:t>
      </w:r>
      <w:r>
        <w:t>is be</w:t>
      </w:r>
      <w:r w:rsidRPr="00645287">
        <w:t xml:space="preserve"> obtained when combining a utilisation rate of 0.48 (</w:t>
      </w:r>
      <w:r>
        <w:t>consistent with</w:t>
      </w:r>
      <w:r w:rsidRPr="00645287">
        <w:t xml:space="preserve"> </w:t>
      </w:r>
      <w:r>
        <w:t xml:space="preserve">tax statistics, </w:t>
      </w:r>
      <w:r w:rsidRPr="00645287">
        <w:t>FAB data) with Lally's preferred estimate of the distribution rate for a benchmark efficient entity of 0.83.</w:t>
      </w:r>
      <w:r>
        <w:rPr>
          <w:rStyle w:val="FootnoteReference"/>
        </w:rPr>
        <w:footnoteReference w:id="681"/>
      </w:r>
    </w:p>
    <w:p w:rsidR="00C52695" w:rsidRPr="00883125" w:rsidRDefault="00C52695" w:rsidP="00C52695">
      <w:r>
        <w:t>Further, w</w:t>
      </w:r>
      <w:r w:rsidRPr="00883125">
        <w:t xml:space="preserve">e note there is no compelling evidence before </w:t>
      </w:r>
      <w:r>
        <w:t>us</w:t>
      </w:r>
      <w:r w:rsidRPr="00883125">
        <w:t xml:space="preserve"> that the 45 day rule is having a material impact, or that investors are valuing imputation credits at less than their face value because they may be unable to use them. As noted earlier, the estimate from tax statistics</w:t>
      </w:r>
      <w:r>
        <w:t xml:space="preserve"> that we rely upon </w:t>
      </w:r>
      <w:r w:rsidRPr="00883125">
        <w:t>is not an upper bound on the utilisation value.</w:t>
      </w:r>
      <w:r w:rsidRPr="00C20CE6">
        <w:rPr>
          <w:rStyle w:val="FootnoteReference"/>
        </w:rPr>
        <w:t xml:space="preserve"> </w:t>
      </w:r>
      <w:r>
        <w:rPr>
          <w:rStyle w:val="FootnoteReference"/>
        </w:rPr>
        <w:footnoteReference w:id="682"/>
      </w:r>
    </w:p>
    <w:p w:rsidR="00C52695" w:rsidRDefault="00C52695" w:rsidP="00C52695">
      <w:r w:rsidRPr="00883125">
        <w:t xml:space="preserve">Finally we note that even if the data was </w:t>
      </w:r>
      <w:r>
        <w:t xml:space="preserve">highly </w:t>
      </w:r>
      <w:r w:rsidRPr="00883125">
        <w:t>reliable</w:t>
      </w:r>
      <w:r>
        <w:t>,</w:t>
      </w:r>
      <w:r w:rsidRPr="00883125">
        <w:t xml:space="preserve"> the equity ownership approach and taxation statistics are </w:t>
      </w:r>
      <w:r>
        <w:t xml:space="preserve">a </w:t>
      </w:r>
      <w:r w:rsidRPr="00883125">
        <w:t>slight</w:t>
      </w:r>
      <w:r>
        <w:t>ly</w:t>
      </w:r>
      <w:r w:rsidRPr="00883125">
        <w:t xml:space="preserve"> different measures based on different data sets and methodologies</w:t>
      </w:r>
      <w:r>
        <w:t>. Therefore,</w:t>
      </w:r>
      <w:r w:rsidRPr="00883125">
        <w:t xml:space="preserve"> there should be no expectation that both measures should yield exactly the same estimates of the utilisation value. </w:t>
      </w:r>
      <w:r>
        <w:t>We</w:t>
      </w:r>
      <w:r w:rsidRPr="00883125">
        <w:t xml:space="preserve"> consider both measure are relevant in determining gamma. However, </w:t>
      </w:r>
      <w:r>
        <w:t>we</w:t>
      </w:r>
      <w:r w:rsidRPr="00883125">
        <w:t xml:space="preserve"> place more reliance on the equity ownership approach given </w:t>
      </w:r>
      <w:r>
        <w:t xml:space="preserve">they are conceptually more correct (see section </w:t>
      </w:r>
      <w:r>
        <w:fldChar w:fldCharType="begin"/>
      </w:r>
      <w:r>
        <w:instrText xml:space="preserve"> REF _Ref415049811 \r \h </w:instrText>
      </w:r>
      <w:r>
        <w:fldChar w:fldCharType="separate"/>
      </w:r>
      <w:r w:rsidR="00812A72">
        <w:t>A.12</w:t>
      </w:r>
      <w:r>
        <w:fldChar w:fldCharType="end"/>
      </w:r>
      <w:r>
        <w:t>) and there are</w:t>
      </w:r>
      <w:r w:rsidRPr="00883125">
        <w:t xml:space="preserve"> data issue</w:t>
      </w:r>
      <w:r>
        <w:t>s associated</w:t>
      </w:r>
      <w:r w:rsidRPr="00883125">
        <w:t xml:space="preserve"> with tax statistics. The </w:t>
      </w:r>
      <w:r w:rsidR="00E10FAC">
        <w:t xml:space="preserve">Ausgrid </w:t>
      </w:r>
      <w:r w:rsidRPr="00883125">
        <w:t>Tribunal itself has acknowledged these data issues in its latest decision.</w:t>
      </w:r>
      <w:r w:rsidRPr="00883125">
        <w:rPr>
          <w:rStyle w:val="FootnoteReference"/>
        </w:rPr>
        <w:footnoteReference w:id="683"/>
      </w:r>
      <w:r w:rsidRPr="00883125">
        <w:t xml:space="preserve"> In light of the </w:t>
      </w:r>
      <w:r w:rsidR="00E10FAC">
        <w:t xml:space="preserve">Ausgrid </w:t>
      </w:r>
      <w:r w:rsidRPr="00883125">
        <w:t xml:space="preserve">Tribunals acknowledgement of the data issues, </w:t>
      </w:r>
      <w:r>
        <w:t xml:space="preserve">we consider </w:t>
      </w:r>
      <w:r w:rsidRPr="00883125">
        <w:t>taxation statistics cannot be used to infer the upper bound for theta</w:t>
      </w:r>
      <w:r>
        <w:t xml:space="preserve"> (see section </w:t>
      </w:r>
      <w:r>
        <w:fldChar w:fldCharType="begin"/>
      </w:r>
      <w:r>
        <w:instrText xml:space="preserve"> REF _Ref402179420 \r \h </w:instrText>
      </w:r>
      <w:r>
        <w:fldChar w:fldCharType="separate"/>
      </w:r>
      <w:r w:rsidR="00812A72">
        <w:t>A.13</w:t>
      </w:r>
      <w:r>
        <w:fldChar w:fldCharType="end"/>
      </w:r>
      <w:r>
        <w:t>)</w:t>
      </w:r>
      <w:r w:rsidRPr="00883125">
        <w:t>.</w:t>
      </w:r>
      <w:r>
        <w:t xml:space="preserve"> Moreover, h</w:t>
      </w:r>
      <w:r w:rsidRPr="009A225F">
        <w:t xml:space="preserve">aving regard to the potential data limitations and alternate estimates, </w:t>
      </w:r>
      <w:r>
        <w:t xml:space="preserve">we consider </w:t>
      </w:r>
      <w:r w:rsidRPr="009A225F">
        <w:t>the evidence from tax statistics is not inconsistent with the evidence from the equity ownership approach</w:t>
      </w:r>
      <w:r>
        <w:t>.</w:t>
      </w:r>
      <w:r w:rsidRPr="00883125">
        <w:t xml:space="preserve"> </w:t>
      </w:r>
    </w:p>
    <w:p w:rsidR="002915B0" w:rsidRDefault="006C6181" w:rsidP="00C52695">
      <w:r>
        <w:t xml:space="preserve">The variability in the annual tax statistics and quarterly equity ownership data is evident </w:t>
      </w:r>
      <w:r w:rsidR="0048667E">
        <w:t xml:space="preserve">in </w:t>
      </w:r>
      <w:r>
        <w:fldChar w:fldCharType="begin"/>
      </w:r>
      <w:r>
        <w:instrText xml:space="preserve"> REF _Ref477347991 \h </w:instrText>
      </w:r>
      <w:r>
        <w:fldChar w:fldCharType="separate"/>
      </w:r>
      <w:r w:rsidR="00812A72" w:rsidRPr="00883125">
        <w:t xml:space="preserve">Figure </w:t>
      </w:r>
      <w:r w:rsidR="00812A72">
        <w:rPr>
          <w:noProof/>
        </w:rPr>
        <w:t>4</w:t>
      </w:r>
      <w:r w:rsidR="00812A72" w:rsidRPr="00883125">
        <w:t>.</w:t>
      </w:r>
      <w:r w:rsidR="00812A72">
        <w:rPr>
          <w:noProof/>
        </w:rPr>
        <w:t>4</w:t>
      </w:r>
      <w:r>
        <w:fldChar w:fldCharType="end"/>
      </w:r>
      <w:r>
        <w:t xml:space="preserve"> below. </w:t>
      </w:r>
      <w:r w:rsidR="0048667E">
        <w:t>H</w:t>
      </w:r>
      <w:r>
        <w:t>istorically the equity ownership data was higher than</w:t>
      </w:r>
      <w:r w:rsidR="0048667E">
        <w:t xml:space="preserve"> the redemption data from</w:t>
      </w:r>
      <w:r>
        <w:t xml:space="preserve"> tax statistic</w:t>
      </w:r>
      <w:r w:rsidR="0048667E">
        <w:t>s, but this has changed recently. In 2013 tax statistics redemption rates were higher than the proportion of all equity held locally. W</w:t>
      </w:r>
      <w:r w:rsidR="00944227">
        <w:t>hile w</w:t>
      </w:r>
      <w:r w:rsidR="0048667E">
        <w:t>e do not consider that prevailing quarterly or annual data should be used to determine gamma</w:t>
      </w:r>
      <w:r w:rsidR="00944227">
        <w:t xml:space="preserve"> due to volatility in the data</w:t>
      </w:r>
      <w:r w:rsidR="0048667E">
        <w:t xml:space="preserve">, we </w:t>
      </w:r>
      <w:r w:rsidR="00283230">
        <w:t>note that current estimate</w:t>
      </w:r>
      <w:r w:rsidR="00944227">
        <w:t>s from both approaches currently support a gamma estimate of at least 0.40</w:t>
      </w:r>
      <w:r w:rsidR="0048667E">
        <w:t>.</w:t>
      </w:r>
    </w:p>
    <w:p w:rsidR="002915B0" w:rsidRPr="00883125" w:rsidRDefault="002915B0" w:rsidP="002915B0">
      <w:pPr>
        <w:pStyle w:val="Caption"/>
      </w:pPr>
      <w:bookmarkStart w:id="387" w:name="_Ref477347991"/>
      <w:r w:rsidRPr="00883125">
        <w:lastRenderedPageBreak/>
        <w:t xml:space="preserve">Figure </w:t>
      </w:r>
      <w:r w:rsidRPr="00B27BE5">
        <w:fldChar w:fldCharType="begin"/>
      </w:r>
      <w:r>
        <w:instrText xml:space="preserve"> STYLEREF 1 \s </w:instrText>
      </w:r>
      <w:r w:rsidRPr="00B27BE5">
        <w:fldChar w:fldCharType="separate"/>
      </w:r>
      <w:r w:rsidR="00812A72">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812A72">
        <w:rPr>
          <w:noProof/>
        </w:rPr>
        <w:t>4</w:t>
      </w:r>
      <w:r w:rsidRPr="00B27BE5">
        <w:fldChar w:fldCharType="end"/>
      </w:r>
      <w:bookmarkEnd w:id="387"/>
      <w:r w:rsidRPr="00883125">
        <w:tab/>
      </w:r>
      <w:r>
        <w:t xml:space="preserve">Variability </w:t>
      </w:r>
      <w:r w:rsidR="006C6181">
        <w:t>in tax statistics and equity ownership</w:t>
      </w:r>
    </w:p>
    <w:p w:rsidR="002915B0" w:rsidRDefault="00D205DF" w:rsidP="00C52695">
      <w:r w:rsidRPr="00D205DF">
        <w:rPr>
          <w:noProof/>
          <w:lang w:eastAsia="en-AU"/>
        </w:rPr>
        <w:drawing>
          <wp:inline distT="0" distB="0" distL="0" distR="0" wp14:anchorId="7A9DADB2" wp14:editId="0E1D7277">
            <wp:extent cx="5382895" cy="3564226"/>
            <wp:effectExtent l="0" t="0" r="27305" b="177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E1126" w:rsidRPr="00883125" w:rsidRDefault="008E1126" w:rsidP="00C52695"/>
    <w:p w:rsidR="00C52695" w:rsidRPr="00883125" w:rsidRDefault="00C52695" w:rsidP="00C52695">
      <w:pPr>
        <w:pStyle w:val="Heading8"/>
      </w:pPr>
      <w:bookmarkStart w:id="388" w:name="_Ref451184082"/>
      <w:bookmarkStart w:id="389" w:name="_Ref451186079"/>
      <w:bookmarkStart w:id="390" w:name="_Ref451242641"/>
      <w:bookmarkStart w:id="391" w:name="_Ref451266265"/>
      <w:bookmarkStart w:id="392" w:name="_Ref451267181"/>
      <w:bookmarkStart w:id="393" w:name="_Ref451267267"/>
      <w:bookmarkStart w:id="394" w:name="_Ref451267696"/>
      <w:bookmarkStart w:id="395" w:name="_Ref451267729"/>
      <w:bookmarkStart w:id="396" w:name="_Ref451267750"/>
      <w:bookmarkStart w:id="397" w:name="_Toc451842262"/>
      <w:bookmarkStart w:id="398" w:name="_Toc451938316"/>
      <w:bookmarkStart w:id="399" w:name="_Toc456614335"/>
      <w:bookmarkStart w:id="400" w:name="_Toc462823341"/>
      <w:bookmarkStart w:id="401" w:name="_Toc481061509"/>
      <w:r w:rsidRPr="00883125">
        <w:t>Implied market value studies</w:t>
      </w:r>
      <w:bookmarkEnd w:id="384"/>
      <w:bookmarkEnd w:id="385"/>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C52695" w:rsidRPr="00883125" w:rsidRDefault="00C52695" w:rsidP="00C52695">
      <w:pPr>
        <w:numPr>
          <w:ilvl w:val="0"/>
          <w:numId w:val="24"/>
        </w:numPr>
      </w:pPr>
      <w:r w:rsidRPr="00883125">
        <w:t xml:space="preserve">Implied market value studies seek to infer from market prices the value of distributed imputation credits. Our position on the use of implied market value studies to estimate the utilisation rate is set out in section </w:t>
      </w:r>
      <w:r w:rsidR="00B630B5">
        <w:fldChar w:fldCharType="begin"/>
      </w:r>
      <w:r w:rsidR="00B630B5">
        <w:instrText xml:space="preserve"> REF _Ref475456919 \r \h </w:instrText>
      </w:r>
      <w:r w:rsidR="00B630B5">
        <w:fldChar w:fldCharType="separate"/>
      </w:r>
      <w:r w:rsidR="00812A72">
        <w:t>4.4</w:t>
      </w:r>
      <w:r w:rsidR="00B630B5">
        <w:fldChar w:fldCharType="end"/>
      </w:r>
      <w:r w:rsidR="001453E4">
        <w:t xml:space="preserve"> of attachment 4.</w:t>
      </w:r>
    </w:p>
    <w:p w:rsidR="00C52695" w:rsidRPr="00883125" w:rsidRDefault="00C52695" w:rsidP="00C52695">
      <w:pPr>
        <w:numPr>
          <w:ilvl w:val="0"/>
          <w:numId w:val="24"/>
        </w:numPr>
      </w:pPr>
      <w:r w:rsidRPr="00883125">
        <w:t xml:space="preserve">This section sets out further evidence which supports our position on the use of implied market value studies to estimate the utilisation rate. It describes the types of study available, and estimates from these studies. As we discuss in section </w:t>
      </w:r>
      <w:r w:rsidR="00B630B5" w:rsidRPr="00B630B5">
        <w:fldChar w:fldCharType="begin"/>
      </w:r>
      <w:r w:rsidR="00B630B5" w:rsidRPr="00B630B5">
        <w:instrText xml:space="preserve"> REF _Ref475456919 \r \h </w:instrText>
      </w:r>
      <w:r w:rsidR="00B630B5" w:rsidRPr="00B630B5">
        <w:fldChar w:fldCharType="separate"/>
      </w:r>
      <w:r w:rsidR="00812A72">
        <w:t>4.4</w:t>
      </w:r>
      <w:r w:rsidR="00B630B5" w:rsidRPr="00B630B5">
        <w:fldChar w:fldCharType="end"/>
      </w:r>
      <w:r w:rsidRPr="00883125">
        <w:t xml:space="preserve"> of attachment 4, the level of reliance we place on implied market value studies reflects the limitations of these studies. We discuss the limitations of the most common type of implied market value study, dividend drop off studies, in sections </w:t>
      </w:r>
      <w:r w:rsidRPr="00883125">
        <w:fldChar w:fldCharType="begin"/>
      </w:r>
      <w:r w:rsidRPr="00883125">
        <w:instrText xml:space="preserve"> REF _Ref414624721 \r \h </w:instrText>
      </w:r>
      <w:r w:rsidRPr="00883125">
        <w:fldChar w:fldCharType="separate"/>
      </w:r>
      <w:r w:rsidR="00812A72">
        <w:t>A.15.5</w:t>
      </w:r>
      <w:r w:rsidRPr="00883125">
        <w:fldChar w:fldCharType="end"/>
      </w:r>
      <w:r w:rsidRPr="00883125">
        <w:t>.</w:t>
      </w:r>
    </w:p>
    <w:p w:rsidR="00C52695" w:rsidRPr="00883125" w:rsidRDefault="00C52695" w:rsidP="00C52695">
      <w:pPr>
        <w:pStyle w:val="Heading9"/>
      </w:pPr>
      <w:bookmarkStart w:id="402" w:name="_Ref402791521"/>
      <w:bookmarkStart w:id="403" w:name="_Toc456614336"/>
      <w:bookmarkStart w:id="404" w:name="_Toc462823342"/>
      <w:bookmarkStart w:id="405" w:name="_Toc481061510"/>
      <w:r w:rsidRPr="00883125">
        <w:t>Types of implied market value studies</w:t>
      </w:r>
      <w:bookmarkEnd w:id="402"/>
      <w:bookmarkEnd w:id="403"/>
      <w:bookmarkEnd w:id="404"/>
      <w:bookmarkEnd w:id="405"/>
    </w:p>
    <w:p w:rsidR="00C52695" w:rsidRPr="00883125" w:rsidRDefault="00C52695" w:rsidP="00C52695">
      <w:pPr>
        <w:numPr>
          <w:ilvl w:val="0"/>
          <w:numId w:val="24"/>
        </w:numPr>
      </w:pPr>
      <w:r w:rsidRPr="00883125">
        <w:t>In this section, we describe the key characteristics of dividend drop off studies and other implied market value studies.</w:t>
      </w:r>
    </w:p>
    <w:p w:rsidR="00C52695" w:rsidRPr="00883125" w:rsidRDefault="00C52695" w:rsidP="007F6EED">
      <w:pPr>
        <w:pStyle w:val="HeadingBoldItalic"/>
      </w:pPr>
      <w:bookmarkStart w:id="406" w:name="_Toc456614337"/>
      <w:bookmarkStart w:id="407" w:name="_Toc481056717"/>
      <w:bookmarkStart w:id="408" w:name="_Toc481061511"/>
      <w:r w:rsidRPr="00883125">
        <w:t>Dividend drop off studies</w:t>
      </w:r>
      <w:bookmarkEnd w:id="406"/>
      <w:bookmarkEnd w:id="407"/>
      <w:bookmarkEnd w:id="408"/>
    </w:p>
    <w:p w:rsidR="00C52695" w:rsidRPr="00883125" w:rsidRDefault="00C52695" w:rsidP="00C52695">
      <w:pPr>
        <w:numPr>
          <w:ilvl w:val="0"/>
          <w:numId w:val="24"/>
        </w:numPr>
      </w:pPr>
      <w:r w:rsidRPr="00883125">
        <w:t>Dividend drop off studies are the most common type of implied market value study. These studies involve comparing share prices between:</w:t>
      </w:r>
    </w:p>
    <w:p w:rsidR="00C52695" w:rsidRPr="00883125" w:rsidRDefault="00C52695" w:rsidP="00C52695">
      <w:pPr>
        <w:pStyle w:val="AERbulletlistfirststyle"/>
      </w:pPr>
      <w:r w:rsidRPr="00883125">
        <w:t>the cum-dividend date—the last day on which investors owning shares will be eligible to receive dividends and the attached imputation credits, and</w:t>
      </w:r>
    </w:p>
    <w:p w:rsidR="00C52695" w:rsidRPr="00883125" w:rsidRDefault="00C52695" w:rsidP="00C52695">
      <w:pPr>
        <w:pStyle w:val="AERbulletlistfirststyle"/>
      </w:pPr>
      <w:r w:rsidRPr="00883125">
        <w:lastRenderedPageBreak/>
        <w:t>the ex-dividend date—the first day on which investors owning shares will not be eligible to receive dividends and attached imputation credits.</w:t>
      </w:r>
    </w:p>
    <w:p w:rsidR="00C52695" w:rsidRPr="00883125" w:rsidRDefault="00C52695" w:rsidP="00C52695">
      <w:pPr>
        <w:numPr>
          <w:ilvl w:val="0"/>
          <w:numId w:val="24"/>
        </w:numPr>
      </w:pPr>
      <w:r w:rsidRPr="00883125">
        <w:t>That is, an investor that buys a share on the cum-dividend date will be eligible to receive a dividend from that company. An investor who buys a share on the ex-dividend date will not. The difference in these prices should therefore reflect investors' valuation of the combined package of dividends and imputation credits, all other things being equal. Dividend drop off studies often will report this as a dividend drop off ratio. This is the reduction in the share price as a proportion of the face value of dividends paid out.</w:t>
      </w:r>
    </w:p>
    <w:p w:rsidR="00C52695" w:rsidRPr="00883125" w:rsidRDefault="00C52695" w:rsidP="00C52695">
      <w:pPr>
        <w:numPr>
          <w:ilvl w:val="0"/>
          <w:numId w:val="24"/>
        </w:numPr>
      </w:pPr>
      <w:r w:rsidRPr="00883125">
        <w:fldChar w:fldCharType="begin"/>
      </w:r>
      <w:r w:rsidRPr="00883125">
        <w:instrText xml:space="preserve"> REF _Ref401075742 \h </w:instrText>
      </w:r>
      <w:r w:rsidRPr="00883125">
        <w:fldChar w:fldCharType="separate"/>
      </w:r>
      <w:r w:rsidR="00812A72" w:rsidRPr="00883125">
        <w:t xml:space="preserve">Table </w:t>
      </w:r>
      <w:r w:rsidR="00812A72">
        <w:rPr>
          <w:noProof/>
        </w:rPr>
        <w:t>4</w:t>
      </w:r>
      <w:r w:rsidR="00812A72">
        <w:noBreakHyphen/>
      </w:r>
      <w:r w:rsidR="00812A72">
        <w:rPr>
          <w:noProof/>
        </w:rPr>
        <w:t>16</w:t>
      </w:r>
      <w:r w:rsidRPr="00883125">
        <w:fldChar w:fldCharType="end"/>
      </w:r>
      <w:r w:rsidRPr="00883125">
        <w:t xml:space="preserve"> identifies the dividend drop off studies that we are aware of, and describes the methodology of each study. The results from these studies are presented in </w:t>
      </w:r>
      <w:r w:rsidRPr="00883125">
        <w:fldChar w:fldCharType="begin"/>
      </w:r>
      <w:r w:rsidRPr="00883125">
        <w:instrText xml:space="preserve"> REF  _Ref401075676 \* Lower \h </w:instrText>
      </w:r>
      <w:r w:rsidRPr="00883125">
        <w:fldChar w:fldCharType="separate"/>
      </w:r>
      <w:r w:rsidR="00812A72" w:rsidRPr="00883125">
        <w:t xml:space="preserve">table </w:t>
      </w:r>
      <w:r w:rsidR="00812A72">
        <w:rPr>
          <w:noProof/>
        </w:rPr>
        <w:t>4</w:t>
      </w:r>
      <w:r w:rsidR="00812A72">
        <w:noBreakHyphen/>
      </w:r>
      <w:r w:rsidR="00812A72">
        <w:rPr>
          <w:noProof/>
        </w:rPr>
        <w:t>19</w:t>
      </w:r>
      <w:r w:rsidRPr="00883125">
        <w:fldChar w:fldCharType="end"/>
      </w:r>
      <w:r w:rsidRPr="00883125">
        <w:t>.</w:t>
      </w:r>
    </w:p>
    <w:p w:rsidR="00C52695" w:rsidRPr="00883125" w:rsidRDefault="00C52695" w:rsidP="00C52695">
      <w:pPr>
        <w:pStyle w:val="Caption"/>
      </w:pPr>
      <w:bookmarkStart w:id="409" w:name="_Ref401075742"/>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16</w:t>
      </w:r>
      <w:r w:rsidRPr="001D37D5">
        <w:fldChar w:fldCharType="end"/>
      </w:r>
      <w:bookmarkEnd w:id="409"/>
      <w:r w:rsidRPr="00883125">
        <w:tab/>
        <w:t>Summary of available dividend drop off studies</w:t>
      </w:r>
    </w:p>
    <w:tbl>
      <w:tblPr>
        <w:tblStyle w:val="AERtable-text0"/>
        <w:tblW w:w="0" w:type="auto"/>
        <w:tblLook w:val="04A0" w:firstRow="1" w:lastRow="0" w:firstColumn="1" w:lastColumn="0" w:noHBand="0" w:noVBand="1"/>
      </w:tblPr>
      <w:tblGrid>
        <w:gridCol w:w="2414"/>
        <w:gridCol w:w="1217"/>
        <w:gridCol w:w="5062"/>
      </w:tblGrid>
      <w:tr w:rsidR="00C52695" w:rsidTr="00FD3860">
        <w:trPr>
          <w:cnfStyle w:val="100000000000" w:firstRow="1" w:lastRow="0" w:firstColumn="0" w:lastColumn="0" w:oddVBand="0" w:evenVBand="0" w:oddHBand="0" w:evenHBand="0" w:firstRowFirstColumn="0" w:firstRowLastColumn="0" w:lastRowFirstColumn="0" w:lastRowLastColumn="0"/>
          <w:cantSplit/>
          <w:tblHeader/>
        </w:trPr>
        <w:tc>
          <w:tcPr>
            <w:tcW w:w="2414" w:type="dxa"/>
          </w:tcPr>
          <w:p w:rsidR="00C52695" w:rsidRPr="00C52695" w:rsidRDefault="00C52695" w:rsidP="00C52695">
            <w:r w:rsidRPr="00883125">
              <w:t>Authors</w:t>
            </w:r>
          </w:p>
        </w:tc>
        <w:tc>
          <w:tcPr>
            <w:tcW w:w="1217" w:type="dxa"/>
          </w:tcPr>
          <w:p w:rsidR="00C52695" w:rsidRPr="00C52695" w:rsidRDefault="00C52695" w:rsidP="00C52695">
            <w:r w:rsidRPr="00883125">
              <w:t>Data range</w:t>
            </w:r>
          </w:p>
        </w:tc>
        <w:tc>
          <w:tcPr>
            <w:tcW w:w="5062" w:type="dxa"/>
          </w:tcPr>
          <w:p w:rsidR="00C52695" w:rsidRPr="00C52695" w:rsidRDefault="00C52695" w:rsidP="00C52695">
            <w:r w:rsidRPr="00883125">
              <w:t>Assessment relative to other studies</w:t>
            </w:r>
            <w:r w:rsidRPr="00C52695">
              <w:t xml:space="preserve"> in that class</w:t>
            </w:r>
          </w:p>
        </w:tc>
      </w:tr>
      <w:tr w:rsidR="00C52695" w:rsidTr="00FD3860">
        <w:trPr>
          <w:cantSplit/>
        </w:trPr>
        <w:tc>
          <w:tcPr>
            <w:tcW w:w="8693" w:type="dxa"/>
            <w:gridSpan w:val="3"/>
          </w:tcPr>
          <w:p w:rsidR="00C52695" w:rsidRPr="00883125" w:rsidRDefault="00C52695" w:rsidP="00C52695">
            <w:pPr>
              <w:numPr>
                <w:ilvl w:val="0"/>
                <w:numId w:val="24"/>
              </w:numPr>
            </w:pPr>
            <w:r w:rsidRPr="00883125">
              <w:rPr>
                <w:rStyle w:val="Strong"/>
              </w:rPr>
              <w:t>Dividend drop off study</w:t>
            </w:r>
            <w:r w:rsidRPr="00883125">
              <w:t xml:space="preserve"> – Compare share prices before and after dividend events (with and without imputation credits).</w:t>
            </w:r>
          </w:p>
        </w:tc>
      </w:tr>
      <w:tr w:rsidR="00FD3860" w:rsidTr="00FD3860">
        <w:trPr>
          <w:cnfStyle w:val="000000010000" w:firstRow="0" w:lastRow="0" w:firstColumn="0" w:lastColumn="0" w:oddVBand="0" w:evenVBand="0" w:oddHBand="0" w:evenHBand="1" w:firstRowFirstColumn="0" w:firstRowLastColumn="0" w:lastRowFirstColumn="0" w:lastRowLastColumn="0"/>
          <w:cantSplit/>
        </w:trPr>
        <w:tc>
          <w:tcPr>
            <w:tcW w:w="2414" w:type="dxa"/>
          </w:tcPr>
          <w:p w:rsidR="00FD3860" w:rsidRPr="00FD3860" w:rsidRDefault="00FD3860" w:rsidP="00FD3860">
            <w:r>
              <w:t>Frontier (2016)</w:t>
            </w:r>
            <w:r w:rsidRPr="00FD3860">
              <w:rPr>
                <w:rStyle w:val="FootnoteReference"/>
              </w:rPr>
              <w:footnoteReference w:id="684"/>
            </w:r>
          </w:p>
        </w:tc>
        <w:tc>
          <w:tcPr>
            <w:tcW w:w="1217" w:type="dxa"/>
          </w:tcPr>
          <w:p w:rsidR="00FD3860" w:rsidRPr="00FD3860" w:rsidRDefault="00FD3860" w:rsidP="00FD3860">
            <w:r>
              <w:t>2001-2016</w:t>
            </w:r>
          </w:p>
        </w:tc>
        <w:tc>
          <w:tcPr>
            <w:tcW w:w="5062" w:type="dxa"/>
          </w:tcPr>
          <w:p w:rsidR="00FD3860" w:rsidRPr="00FD3860" w:rsidRDefault="00FD3860" w:rsidP="00FD3860">
            <w:r w:rsidRPr="00883125">
              <w:t>Updates SFG (2011) – same author, longer data series.</w:t>
            </w:r>
          </w:p>
        </w:tc>
      </w:tr>
      <w:tr w:rsidR="00FD3860" w:rsidTr="00FD3860">
        <w:trPr>
          <w:cantSplit/>
        </w:trPr>
        <w:tc>
          <w:tcPr>
            <w:tcW w:w="2414" w:type="dxa"/>
          </w:tcPr>
          <w:p w:rsidR="00FD3860" w:rsidRPr="00FD3860" w:rsidRDefault="00FD3860" w:rsidP="00FD3860">
            <w:r w:rsidRPr="00883125">
              <w:t>Vo et al (2013</w:t>
            </w:r>
            <w:r w:rsidRPr="00FD3860">
              <w:t>)</w:t>
            </w:r>
            <w:r w:rsidRPr="00FD3860">
              <w:rPr>
                <w:rStyle w:val="FootnoteReference"/>
              </w:rPr>
              <w:footnoteReference w:id="685"/>
            </w:r>
          </w:p>
        </w:tc>
        <w:tc>
          <w:tcPr>
            <w:tcW w:w="1217" w:type="dxa"/>
          </w:tcPr>
          <w:p w:rsidR="00FD3860" w:rsidRPr="00FD3860" w:rsidRDefault="00FD3860" w:rsidP="00FD3860">
            <w:r w:rsidRPr="00883125">
              <w:t>2001-2012</w:t>
            </w:r>
          </w:p>
        </w:tc>
        <w:tc>
          <w:tcPr>
            <w:tcW w:w="5062" w:type="dxa"/>
          </w:tcPr>
          <w:p w:rsidR="00FD3860" w:rsidRPr="00FD3860" w:rsidRDefault="00FD3860" w:rsidP="00FD3860">
            <w:r w:rsidRPr="00883125">
              <w:t>Builds on SFG (2011), includes additional econometric permutations and sensitivity analysis.</w:t>
            </w:r>
          </w:p>
        </w:tc>
      </w:tr>
      <w:tr w:rsidR="00FD3860" w:rsidTr="00FD3860">
        <w:trPr>
          <w:cnfStyle w:val="000000010000" w:firstRow="0" w:lastRow="0" w:firstColumn="0" w:lastColumn="0" w:oddVBand="0" w:evenVBand="0" w:oddHBand="0" w:evenHBand="1" w:firstRowFirstColumn="0" w:firstRowLastColumn="0" w:lastRowFirstColumn="0" w:lastRowLastColumn="0"/>
          <w:cantSplit/>
        </w:trPr>
        <w:tc>
          <w:tcPr>
            <w:tcW w:w="2414" w:type="dxa"/>
          </w:tcPr>
          <w:p w:rsidR="00FD3860" w:rsidRPr="00FD3860" w:rsidRDefault="00FD3860" w:rsidP="00FD3860">
            <w:r w:rsidRPr="00883125">
              <w:t>SFG (2013a)</w:t>
            </w:r>
            <w:r w:rsidRPr="00FD3860">
              <w:rPr>
                <w:rStyle w:val="FootnoteReference"/>
              </w:rPr>
              <w:footnoteReference w:id="686"/>
            </w:r>
          </w:p>
        </w:tc>
        <w:tc>
          <w:tcPr>
            <w:tcW w:w="1217" w:type="dxa"/>
          </w:tcPr>
          <w:p w:rsidR="00FD3860" w:rsidRPr="00FD3860" w:rsidRDefault="00FD3860" w:rsidP="00FD3860">
            <w:r w:rsidRPr="00883125">
              <w:t>2001-2012</w:t>
            </w:r>
          </w:p>
        </w:tc>
        <w:tc>
          <w:tcPr>
            <w:tcW w:w="5062" w:type="dxa"/>
          </w:tcPr>
          <w:p w:rsidR="00FD3860" w:rsidRPr="00FD3860" w:rsidRDefault="00FD3860" w:rsidP="00FD3860">
            <w:r w:rsidRPr="00883125">
              <w:t>Updates SFG (2011) – same author, longer data series.</w:t>
            </w:r>
          </w:p>
        </w:tc>
      </w:tr>
      <w:tr w:rsidR="00FD3860" w:rsidTr="00FD3860">
        <w:trPr>
          <w:cantSplit/>
        </w:trPr>
        <w:tc>
          <w:tcPr>
            <w:tcW w:w="2414" w:type="dxa"/>
          </w:tcPr>
          <w:p w:rsidR="00FD3860" w:rsidRPr="00FD3860" w:rsidRDefault="00FD3860" w:rsidP="00FD3860">
            <w:r w:rsidRPr="00883125">
              <w:t>SFG (2011)</w:t>
            </w:r>
            <w:r w:rsidRPr="00FD3860">
              <w:rPr>
                <w:rStyle w:val="FootnoteReference"/>
              </w:rPr>
              <w:footnoteReference w:id="687"/>
            </w:r>
          </w:p>
        </w:tc>
        <w:tc>
          <w:tcPr>
            <w:tcW w:w="1217" w:type="dxa"/>
          </w:tcPr>
          <w:p w:rsidR="00FD3860" w:rsidRPr="00FD3860" w:rsidRDefault="00FD3860" w:rsidP="00FD3860">
            <w:r w:rsidRPr="00883125">
              <w:t>2001-2010</w:t>
            </w:r>
          </w:p>
        </w:tc>
        <w:tc>
          <w:tcPr>
            <w:tcW w:w="5062" w:type="dxa"/>
          </w:tcPr>
          <w:p w:rsidR="00FD3860" w:rsidRPr="00FD3860" w:rsidRDefault="00FD3860" w:rsidP="00FD3860">
            <w:r w:rsidRPr="00883125">
              <w:t>Study commissioned by the Australian Competition Tribunal.</w:t>
            </w:r>
          </w:p>
        </w:tc>
      </w:tr>
      <w:tr w:rsidR="00FD3860" w:rsidTr="00FD3860">
        <w:trPr>
          <w:cnfStyle w:val="000000010000" w:firstRow="0" w:lastRow="0" w:firstColumn="0" w:lastColumn="0" w:oddVBand="0" w:evenVBand="0" w:oddHBand="0" w:evenHBand="1" w:firstRowFirstColumn="0" w:firstRowLastColumn="0" w:lastRowFirstColumn="0" w:lastRowLastColumn="0"/>
          <w:cantSplit/>
        </w:trPr>
        <w:tc>
          <w:tcPr>
            <w:tcW w:w="2414" w:type="dxa"/>
          </w:tcPr>
          <w:p w:rsidR="00FD3860" w:rsidRPr="00FD3860" w:rsidRDefault="00FD3860" w:rsidP="00FD3860">
            <w:r w:rsidRPr="00883125">
              <w:t>Minney (2010)</w:t>
            </w:r>
            <w:r w:rsidRPr="00FD3860">
              <w:rPr>
                <w:rStyle w:val="FootnoteReference"/>
              </w:rPr>
              <w:footnoteReference w:id="688"/>
            </w:r>
          </w:p>
        </w:tc>
        <w:tc>
          <w:tcPr>
            <w:tcW w:w="1217" w:type="dxa"/>
          </w:tcPr>
          <w:p w:rsidR="00FD3860" w:rsidRPr="00FD3860" w:rsidRDefault="00FD3860" w:rsidP="00FD3860">
            <w:r w:rsidRPr="00883125">
              <w:t>2001–2009</w:t>
            </w:r>
          </w:p>
        </w:tc>
        <w:tc>
          <w:tcPr>
            <w:tcW w:w="5062" w:type="dxa"/>
          </w:tcPr>
          <w:p w:rsidR="00FD3860" w:rsidRPr="00FD3860" w:rsidRDefault="00FD3860" w:rsidP="00FD3860">
            <w:r w:rsidRPr="00883125">
              <w:t xml:space="preserve">Partitions by firm size; </w:t>
            </w:r>
            <w:r w:rsidRPr="00FD3860">
              <w:t>sub-periods 2001–2005 and 2006–2009.</w:t>
            </w:r>
          </w:p>
        </w:tc>
      </w:tr>
      <w:tr w:rsidR="00FD3860" w:rsidTr="00FD3860">
        <w:trPr>
          <w:cantSplit/>
        </w:trPr>
        <w:tc>
          <w:tcPr>
            <w:tcW w:w="2414" w:type="dxa"/>
          </w:tcPr>
          <w:p w:rsidR="00FD3860" w:rsidRPr="00FD3860" w:rsidRDefault="00FD3860" w:rsidP="00FD3860">
            <w:r w:rsidRPr="00883125">
              <w:t>Beggs and Skeels (2006)</w:t>
            </w:r>
            <w:r w:rsidRPr="00FD3860">
              <w:rPr>
                <w:rStyle w:val="FootnoteReference"/>
              </w:rPr>
              <w:footnoteReference w:id="689"/>
            </w:r>
          </w:p>
        </w:tc>
        <w:tc>
          <w:tcPr>
            <w:tcW w:w="1217" w:type="dxa"/>
          </w:tcPr>
          <w:p w:rsidR="00FD3860" w:rsidRPr="00FD3860" w:rsidRDefault="00FD3860" w:rsidP="00FD3860">
            <w:r w:rsidRPr="00883125">
              <w:t>1986-2004</w:t>
            </w:r>
          </w:p>
        </w:tc>
        <w:tc>
          <w:tcPr>
            <w:tcW w:w="5062" w:type="dxa"/>
          </w:tcPr>
          <w:p w:rsidR="00FD3860" w:rsidRPr="00FD3860" w:rsidRDefault="00FD3860" w:rsidP="00FD3860">
            <w:r w:rsidRPr="00883125">
              <w:t>Key study in the AER's 2009 review of rate of return parameters. Data calculated yearly.</w:t>
            </w:r>
          </w:p>
        </w:tc>
      </w:tr>
      <w:tr w:rsidR="00FD3860" w:rsidTr="00FD3860">
        <w:trPr>
          <w:cnfStyle w:val="000000010000" w:firstRow="0" w:lastRow="0" w:firstColumn="0" w:lastColumn="0" w:oddVBand="0" w:evenVBand="0" w:oddHBand="0" w:evenHBand="1" w:firstRowFirstColumn="0" w:firstRowLastColumn="0" w:lastRowFirstColumn="0" w:lastRowLastColumn="0"/>
          <w:cantSplit/>
        </w:trPr>
        <w:tc>
          <w:tcPr>
            <w:tcW w:w="2414" w:type="dxa"/>
          </w:tcPr>
          <w:p w:rsidR="00FD3860" w:rsidRPr="00FD3860" w:rsidRDefault="00FD3860" w:rsidP="00FD3860">
            <w:r w:rsidRPr="00883125">
              <w:t>Hathaway and Officer (2004)</w:t>
            </w:r>
            <w:r w:rsidRPr="00FD3860">
              <w:rPr>
                <w:rStyle w:val="FootnoteReference"/>
              </w:rPr>
              <w:footnoteReference w:id="690"/>
            </w:r>
          </w:p>
        </w:tc>
        <w:tc>
          <w:tcPr>
            <w:tcW w:w="1217" w:type="dxa"/>
          </w:tcPr>
          <w:p w:rsidR="00FD3860" w:rsidRPr="00FD3860" w:rsidRDefault="00FD3860" w:rsidP="00FD3860">
            <w:r w:rsidRPr="00883125">
              <w:t>1986-2004</w:t>
            </w:r>
          </w:p>
        </w:tc>
        <w:tc>
          <w:tcPr>
            <w:tcW w:w="5062" w:type="dxa"/>
          </w:tcPr>
          <w:p w:rsidR="00FD3860" w:rsidRPr="00FD3860" w:rsidRDefault="00FD3860" w:rsidP="00FD3860">
            <w:r w:rsidRPr="00883125">
              <w:t>Study partitions by firm size, dividend yield level.</w:t>
            </w:r>
          </w:p>
        </w:tc>
      </w:tr>
      <w:tr w:rsidR="00FD3860" w:rsidTr="00FD3860">
        <w:trPr>
          <w:cantSplit/>
        </w:trPr>
        <w:tc>
          <w:tcPr>
            <w:tcW w:w="2414" w:type="dxa"/>
          </w:tcPr>
          <w:p w:rsidR="00FD3860" w:rsidRPr="00FD3860" w:rsidRDefault="00FD3860" w:rsidP="00FD3860">
            <w:r w:rsidRPr="00883125">
              <w:lastRenderedPageBreak/>
              <w:t>Bellamy and Gray (2004)</w:t>
            </w:r>
            <w:r w:rsidRPr="00FD3860">
              <w:rPr>
                <w:rStyle w:val="FootnoteReference"/>
              </w:rPr>
              <w:footnoteReference w:id="691"/>
            </w:r>
          </w:p>
        </w:tc>
        <w:tc>
          <w:tcPr>
            <w:tcW w:w="1217" w:type="dxa"/>
          </w:tcPr>
          <w:p w:rsidR="00FD3860" w:rsidRPr="00FD3860" w:rsidRDefault="00FD3860" w:rsidP="00FD3860">
            <w:r w:rsidRPr="00883125">
              <w:t>1995-2002</w:t>
            </w:r>
          </w:p>
        </w:tc>
        <w:tc>
          <w:tcPr>
            <w:tcW w:w="5062" w:type="dxa"/>
          </w:tcPr>
          <w:p w:rsidR="00FD3860" w:rsidRPr="00FD3860" w:rsidRDefault="00FD3860" w:rsidP="00FD3860">
            <w:r w:rsidRPr="00883125">
              <w:t xml:space="preserve">Several </w:t>
            </w:r>
            <w:r w:rsidRPr="00FD3860">
              <w:t>regression forms and sample selections. Partitions by size and time period (pre and post 45-day holding rule). Use of simulation to inform regression equation.</w:t>
            </w:r>
          </w:p>
        </w:tc>
      </w:tr>
      <w:tr w:rsidR="00FD3860" w:rsidTr="00FD3860">
        <w:trPr>
          <w:cnfStyle w:val="000000010000" w:firstRow="0" w:lastRow="0" w:firstColumn="0" w:lastColumn="0" w:oddVBand="0" w:evenVBand="0" w:oddHBand="0" w:evenHBand="1" w:firstRowFirstColumn="0" w:firstRowLastColumn="0" w:lastRowFirstColumn="0" w:lastRowLastColumn="0"/>
          <w:cantSplit/>
        </w:trPr>
        <w:tc>
          <w:tcPr>
            <w:tcW w:w="2414" w:type="dxa"/>
          </w:tcPr>
          <w:p w:rsidR="00FD3860" w:rsidRPr="00FD3860" w:rsidRDefault="00FD3860" w:rsidP="00FD3860">
            <w:r w:rsidRPr="00883125">
              <w:t>Bruckner et al (1994)</w:t>
            </w:r>
            <w:r w:rsidRPr="00FD3860">
              <w:rPr>
                <w:rStyle w:val="FootnoteReference"/>
              </w:rPr>
              <w:footnoteReference w:id="692"/>
            </w:r>
          </w:p>
        </w:tc>
        <w:tc>
          <w:tcPr>
            <w:tcW w:w="1217" w:type="dxa"/>
          </w:tcPr>
          <w:p w:rsidR="00FD3860" w:rsidRPr="00FD3860" w:rsidRDefault="00FD3860" w:rsidP="00FD3860">
            <w:r w:rsidRPr="00883125">
              <w:t>1987-1993</w:t>
            </w:r>
          </w:p>
        </w:tc>
        <w:tc>
          <w:tcPr>
            <w:tcW w:w="5062" w:type="dxa"/>
          </w:tcPr>
          <w:p w:rsidR="00FD3860" w:rsidRPr="00FD3860" w:rsidRDefault="00FD3860" w:rsidP="00FD3860">
            <w:r w:rsidRPr="00883125">
              <w:t>Early study with limited data; sub-periods 1987–1990 and 1991–1993.</w:t>
            </w:r>
          </w:p>
        </w:tc>
      </w:tr>
      <w:tr w:rsidR="00FD3860" w:rsidTr="00FD3860">
        <w:trPr>
          <w:cantSplit/>
        </w:trPr>
        <w:tc>
          <w:tcPr>
            <w:tcW w:w="2414" w:type="dxa"/>
          </w:tcPr>
          <w:p w:rsidR="00FD3860" w:rsidRPr="00FD3860" w:rsidRDefault="00FD3860" w:rsidP="00FD3860">
            <w:r w:rsidRPr="00883125">
              <w:t>Brown and Clarke (1993)</w:t>
            </w:r>
            <w:r w:rsidRPr="00FD3860">
              <w:rPr>
                <w:rStyle w:val="FootnoteReference"/>
              </w:rPr>
              <w:footnoteReference w:id="693"/>
            </w:r>
          </w:p>
        </w:tc>
        <w:tc>
          <w:tcPr>
            <w:tcW w:w="1217" w:type="dxa"/>
          </w:tcPr>
          <w:p w:rsidR="00FD3860" w:rsidRPr="00FD3860" w:rsidRDefault="00FD3860" w:rsidP="00FD3860">
            <w:r w:rsidRPr="00883125">
              <w:t>1973–1991</w:t>
            </w:r>
          </w:p>
        </w:tc>
        <w:tc>
          <w:tcPr>
            <w:tcW w:w="5062" w:type="dxa"/>
          </w:tcPr>
          <w:p w:rsidR="00FD3860" w:rsidRPr="00FD3860" w:rsidRDefault="00FD3860" w:rsidP="00FD3860">
            <w:r w:rsidRPr="00883125">
              <w:t>Compares dividend drop off before and after imputation; presents yearly figures and sub-periods.</w:t>
            </w:r>
          </w:p>
        </w:tc>
      </w:tr>
    </w:tbl>
    <w:p w:rsidR="00C52695" w:rsidRPr="00883125" w:rsidRDefault="00C52695" w:rsidP="00C52695">
      <w:pPr>
        <w:pStyle w:val="AERtablesource"/>
      </w:pPr>
      <w:r w:rsidRPr="00883125">
        <w:t xml:space="preserve">Source: </w:t>
      </w:r>
      <w:r w:rsidRPr="00883125">
        <w:tab/>
        <w:t>As specified in table.</w:t>
      </w:r>
    </w:p>
    <w:p w:rsidR="00C52695" w:rsidRPr="00883125" w:rsidRDefault="00C52695" w:rsidP="007F6EED">
      <w:pPr>
        <w:pStyle w:val="HeadingBoldItalic"/>
      </w:pPr>
      <w:bookmarkStart w:id="410" w:name="_Toc456614338"/>
      <w:bookmarkStart w:id="411" w:name="_Toc481056718"/>
      <w:bookmarkStart w:id="412" w:name="_Toc481061512"/>
      <w:r w:rsidRPr="00883125">
        <w:t>Alternative implied market value studies</w:t>
      </w:r>
      <w:bookmarkEnd w:id="410"/>
      <w:bookmarkEnd w:id="411"/>
      <w:bookmarkEnd w:id="412"/>
    </w:p>
    <w:p w:rsidR="00C52695" w:rsidRPr="00883125" w:rsidRDefault="00C52695" w:rsidP="00C52695">
      <w:pPr>
        <w:numPr>
          <w:ilvl w:val="0"/>
          <w:numId w:val="24"/>
        </w:numPr>
      </w:pPr>
      <w:r w:rsidRPr="00883125">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these studies typically use simultaneous price differentials that make them less affected by general market movements. That is, the differentials should more accurately reflect the implied market value of the specific dividend event. Some examples of alternative market-based valuation approaches involve:</w:t>
      </w:r>
    </w:p>
    <w:p w:rsidR="00C52695" w:rsidRPr="00883125" w:rsidRDefault="00C52695" w:rsidP="00C52695">
      <w:pPr>
        <w:pStyle w:val="AERbulletlistfirststyle"/>
      </w:pPr>
      <w:r w:rsidRPr="00883125">
        <w:t>Simultaneous trading of shares with and without entitlements.</w:t>
      </w:r>
    </w:p>
    <w:p w:rsidR="00C52695" w:rsidRPr="00883125" w:rsidRDefault="00C52695" w:rsidP="00C52695">
      <w:pPr>
        <w:pStyle w:val="AERbulletlistfirststyle"/>
      </w:pPr>
      <w:r w:rsidRPr="00883125">
        <w:t>Simultaneous trading of derivatives and futures and of their underlying shares.</w:t>
      </w:r>
    </w:p>
    <w:p w:rsidR="00C52695" w:rsidRPr="00883125" w:rsidRDefault="00C52695" w:rsidP="00C52695">
      <w:pPr>
        <w:pStyle w:val="AERbulletlistfirststyle"/>
      </w:pPr>
      <w:r w:rsidRPr="00883125">
        <w:t>Hybrid securities which trade with imputation credits.</w:t>
      </w:r>
    </w:p>
    <w:p w:rsidR="00C52695" w:rsidRPr="00883125" w:rsidRDefault="00C52695" w:rsidP="00C52695">
      <w:pPr>
        <w:pStyle w:val="AERbulletlistfirststyle"/>
      </w:pPr>
      <w:r w:rsidRPr="00883125">
        <w:t>Comparison of the capital gains and (cash) dividend returns across time.</w:t>
      </w:r>
    </w:p>
    <w:p w:rsidR="00C52695" w:rsidRDefault="00C52695" w:rsidP="00C52695">
      <w:pPr>
        <w:rPr>
          <w:rStyle w:val="AERbody"/>
        </w:rPr>
      </w:pPr>
      <w:r w:rsidRPr="00B27BE5">
        <w:rPr>
          <w:rStyle w:val="AERbody"/>
        </w:rPr>
        <w:fldChar w:fldCharType="begin"/>
      </w:r>
      <w:r w:rsidRPr="00B27BE5">
        <w:rPr>
          <w:rStyle w:val="AERbody"/>
        </w:rPr>
        <w:instrText xml:space="preserve"> REF _Ref401075839 \h </w:instrText>
      </w:r>
      <w:r w:rsidRPr="00883125">
        <w:rPr>
          <w:rStyle w:val="AERbody"/>
        </w:rPr>
        <w:instrText xml:space="preserve"> \* MERGEFORMAT </w:instrText>
      </w:r>
      <w:r w:rsidRPr="00B27BE5">
        <w:rPr>
          <w:rStyle w:val="AERbody"/>
        </w:rPr>
      </w:r>
      <w:r w:rsidRPr="00B27BE5">
        <w:rPr>
          <w:rStyle w:val="AERbody"/>
        </w:rPr>
        <w:fldChar w:fldCharType="separate"/>
      </w:r>
      <w:r w:rsidR="00812A72" w:rsidRPr="00E750F8">
        <w:rPr>
          <w:rStyle w:val="AERbody"/>
        </w:rPr>
        <w:t>Table 4</w:t>
      </w:r>
      <w:r w:rsidR="00812A72" w:rsidRPr="00E750F8">
        <w:rPr>
          <w:rStyle w:val="AERbody"/>
        </w:rPr>
        <w:noBreakHyphen/>
        <w:t>17</w:t>
      </w:r>
      <w:r w:rsidRPr="00B27BE5">
        <w:rPr>
          <w:rStyle w:val="AERbody"/>
        </w:rPr>
        <w:fldChar w:fldCharType="end"/>
      </w:r>
      <w:r w:rsidRPr="00B27BE5">
        <w:rPr>
          <w:rStyle w:val="AERbody"/>
        </w:rPr>
        <w:t xml:space="preserve"> identifies the alternative implied market value studies that we are aware of, and describes the methodology of each study. The results from these studies are presented in</w:t>
      </w:r>
      <w:r w:rsidRPr="00883125">
        <w:rPr>
          <w:rStyle w:val="AERbody"/>
        </w:rPr>
        <w:t xml:space="preserve"> </w:t>
      </w:r>
      <w:r w:rsidRPr="00883125">
        <w:rPr>
          <w:rStyle w:val="AERbody"/>
        </w:rPr>
        <w:fldChar w:fldCharType="begin"/>
      </w:r>
      <w:r w:rsidRPr="00883125">
        <w:rPr>
          <w:rStyle w:val="AERbody"/>
        </w:rPr>
        <w:instrText xml:space="preserve"> REF _Ref449538408 \h </w:instrText>
      </w:r>
      <w:r w:rsidRPr="00883125">
        <w:rPr>
          <w:rStyle w:val="AERbody"/>
        </w:rPr>
      </w:r>
      <w:r w:rsidRPr="00883125">
        <w:rPr>
          <w:rStyle w:val="AERbody"/>
        </w:rPr>
        <w:fldChar w:fldCharType="separate"/>
      </w:r>
      <w:r w:rsidR="00812A72" w:rsidRPr="00883125">
        <w:t xml:space="preserve">Table </w:t>
      </w:r>
      <w:r w:rsidR="00812A72">
        <w:rPr>
          <w:noProof/>
        </w:rPr>
        <w:t>4</w:t>
      </w:r>
      <w:r w:rsidR="00812A72">
        <w:noBreakHyphen/>
      </w:r>
      <w:r w:rsidR="00812A72">
        <w:rPr>
          <w:noProof/>
        </w:rPr>
        <w:t>20</w:t>
      </w:r>
      <w:r w:rsidRPr="00883125">
        <w:rPr>
          <w:rStyle w:val="AERbody"/>
        </w:rPr>
        <w:fldChar w:fldCharType="end"/>
      </w:r>
      <w:r w:rsidRPr="00883125">
        <w:rPr>
          <w:rStyle w:val="AERbody"/>
        </w:rPr>
        <w:t>.</w:t>
      </w:r>
    </w:p>
    <w:p w:rsidR="001453E4" w:rsidRPr="00B27BE5" w:rsidRDefault="001453E4" w:rsidP="00C52695">
      <w:pPr>
        <w:rPr>
          <w:rStyle w:val="AERbody"/>
        </w:rPr>
      </w:pPr>
    </w:p>
    <w:p w:rsidR="00C52695" w:rsidRPr="00883125" w:rsidRDefault="00C52695" w:rsidP="00C52695">
      <w:pPr>
        <w:pStyle w:val="Caption"/>
      </w:pPr>
      <w:bookmarkStart w:id="413" w:name="_Ref401075839"/>
      <w:r w:rsidRPr="00883125">
        <w:lastRenderedPageBreak/>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17</w:t>
      </w:r>
      <w:r w:rsidRPr="001D37D5">
        <w:fldChar w:fldCharType="end"/>
      </w:r>
      <w:bookmarkEnd w:id="413"/>
      <w:r w:rsidRPr="00883125">
        <w:tab/>
        <w:t>Summary of alternative implied market value studies</w:t>
      </w:r>
    </w:p>
    <w:tbl>
      <w:tblPr>
        <w:tblStyle w:val="AERtable-text0"/>
        <w:tblW w:w="0" w:type="auto"/>
        <w:tblLook w:val="04A0" w:firstRow="1" w:lastRow="0" w:firstColumn="1" w:lastColumn="0" w:noHBand="0" w:noVBand="1"/>
      </w:tblPr>
      <w:tblGrid>
        <w:gridCol w:w="2536"/>
        <w:gridCol w:w="1072"/>
        <w:gridCol w:w="5085"/>
      </w:tblGrid>
      <w:tr w:rsidR="00C52695" w:rsidTr="006425B8">
        <w:trPr>
          <w:cnfStyle w:val="100000000000" w:firstRow="1" w:lastRow="0" w:firstColumn="0" w:lastColumn="0" w:oddVBand="0" w:evenVBand="0" w:oddHBand="0" w:evenHBand="0" w:firstRowFirstColumn="0" w:firstRowLastColumn="0" w:lastRowFirstColumn="0" w:lastRowLastColumn="0"/>
          <w:cantSplit/>
          <w:tblHeader/>
        </w:trPr>
        <w:tc>
          <w:tcPr>
            <w:tcW w:w="2683" w:type="dxa"/>
          </w:tcPr>
          <w:p w:rsidR="00C52695" w:rsidRPr="00883125" w:rsidRDefault="00C52695" w:rsidP="00C52695">
            <w:pPr>
              <w:numPr>
                <w:ilvl w:val="0"/>
                <w:numId w:val="24"/>
              </w:numPr>
            </w:pPr>
            <w:r w:rsidRPr="00883125">
              <w:t>Authors</w:t>
            </w:r>
          </w:p>
        </w:tc>
        <w:tc>
          <w:tcPr>
            <w:tcW w:w="1111" w:type="dxa"/>
          </w:tcPr>
          <w:p w:rsidR="00C52695" w:rsidRPr="00883125" w:rsidRDefault="00C52695" w:rsidP="00C52695">
            <w:pPr>
              <w:numPr>
                <w:ilvl w:val="0"/>
                <w:numId w:val="24"/>
              </w:numPr>
            </w:pPr>
            <w:r w:rsidRPr="00883125">
              <w:t>Data range</w:t>
            </w:r>
          </w:p>
        </w:tc>
        <w:tc>
          <w:tcPr>
            <w:tcW w:w="5448" w:type="dxa"/>
          </w:tcPr>
          <w:p w:rsidR="00C52695" w:rsidRPr="00883125" w:rsidRDefault="00C52695" w:rsidP="00C52695">
            <w:pPr>
              <w:numPr>
                <w:ilvl w:val="0"/>
                <w:numId w:val="24"/>
              </w:numPr>
            </w:pPr>
            <w:r w:rsidRPr="00883125">
              <w:t>Assessment relative to other studies in that class</w:t>
            </w:r>
          </w:p>
        </w:tc>
      </w:tr>
      <w:tr w:rsidR="00C52695" w:rsidTr="006425B8">
        <w:trPr>
          <w:cantSplit/>
        </w:trPr>
        <w:tc>
          <w:tcPr>
            <w:tcW w:w="9242" w:type="dxa"/>
            <w:gridSpan w:val="3"/>
          </w:tcPr>
          <w:p w:rsidR="00C52695" w:rsidRPr="00883125" w:rsidRDefault="00C52695" w:rsidP="00C52695">
            <w:pPr>
              <w:numPr>
                <w:ilvl w:val="0"/>
                <w:numId w:val="24"/>
              </w:numPr>
            </w:pPr>
            <w:r w:rsidRPr="00883125">
              <w:rPr>
                <w:rStyle w:val="Strong"/>
              </w:rPr>
              <w:t>Dividend drop off using hybrids</w:t>
            </w:r>
            <w:r w:rsidRPr="00883125">
              <w:t xml:space="preserve"> – Similar to standard DDO but using debt/equity hybrid securities.</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Feuerherdt et al (2010)</w:t>
            </w:r>
            <w:r w:rsidRPr="00C52695">
              <w:rPr>
                <w:rStyle w:val="FootnoteReference"/>
              </w:rPr>
              <w:footnoteReference w:id="694"/>
            </w:r>
          </w:p>
        </w:tc>
        <w:tc>
          <w:tcPr>
            <w:tcW w:w="1111" w:type="dxa"/>
          </w:tcPr>
          <w:p w:rsidR="00C52695" w:rsidRPr="00C52695" w:rsidRDefault="00C52695" w:rsidP="00C52695">
            <w:r w:rsidRPr="00883125">
              <w:t>1995–2002</w:t>
            </w:r>
          </w:p>
        </w:tc>
        <w:tc>
          <w:tcPr>
            <w:tcW w:w="5448" w:type="dxa"/>
          </w:tcPr>
          <w:p w:rsidR="00C52695" w:rsidRPr="00C52695" w:rsidRDefault="00C52695" w:rsidP="00C52695">
            <w:r w:rsidRPr="00883125">
              <w:t xml:space="preserve">Uses hybrid securities (such as convertible preference shares), 165 ex-dividend events for 46 securities which </w:t>
            </w:r>
            <w:r w:rsidRPr="00C52695">
              <w:t>are primarily fully franked.</w:t>
            </w:r>
          </w:p>
        </w:tc>
      </w:tr>
      <w:tr w:rsidR="00C52695" w:rsidTr="006425B8">
        <w:trPr>
          <w:cantSplit/>
        </w:trPr>
        <w:tc>
          <w:tcPr>
            <w:tcW w:w="9242" w:type="dxa"/>
            <w:gridSpan w:val="3"/>
          </w:tcPr>
          <w:p w:rsidR="00C52695" w:rsidRPr="00883125" w:rsidRDefault="00C52695" w:rsidP="00C52695">
            <w:pPr>
              <w:numPr>
                <w:ilvl w:val="0"/>
                <w:numId w:val="24"/>
              </w:numPr>
            </w:pPr>
            <w:r w:rsidRPr="00883125">
              <w:rPr>
                <w:rStyle w:val="Strong"/>
              </w:rPr>
              <w:t>Futures study (using individual firms or index)</w:t>
            </w:r>
            <w:r w:rsidRPr="00883125">
              <w:t xml:space="preserve"> – Compare simultaneous prices for securities and futures contracts.</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SFG (2013b)</w:t>
            </w:r>
            <w:r w:rsidRPr="00C52695">
              <w:rPr>
                <w:rStyle w:val="FootnoteReference"/>
              </w:rPr>
              <w:footnoteReference w:id="695"/>
            </w:r>
          </w:p>
        </w:tc>
        <w:tc>
          <w:tcPr>
            <w:tcW w:w="1111" w:type="dxa"/>
          </w:tcPr>
          <w:p w:rsidR="00C52695" w:rsidRPr="00C52695" w:rsidRDefault="00C52695" w:rsidP="00C52695">
            <w:r w:rsidRPr="00883125">
              <w:t>2000–2013</w:t>
            </w:r>
          </w:p>
        </w:tc>
        <w:tc>
          <w:tcPr>
            <w:tcW w:w="5448" w:type="dxa"/>
          </w:tcPr>
          <w:p w:rsidR="00C52695" w:rsidRPr="00C52695" w:rsidRDefault="00C52695" w:rsidP="00C52695">
            <w:r w:rsidRPr="00883125">
              <w:t>Updates Cannavan et al (2004). Compares matched trades in individual shares to futures</w:t>
            </w:r>
            <w:r w:rsidRPr="00C52695">
              <w:t xml:space="preserve"> contracts and low exercise price options for 98 firms (over 52,000 trades).</w:t>
            </w:r>
          </w:p>
        </w:tc>
      </w:tr>
      <w:tr w:rsidR="00C52695" w:rsidTr="006425B8">
        <w:trPr>
          <w:cantSplit/>
        </w:trPr>
        <w:tc>
          <w:tcPr>
            <w:tcW w:w="2683" w:type="dxa"/>
          </w:tcPr>
          <w:p w:rsidR="00C52695" w:rsidRPr="00C52695" w:rsidRDefault="00C52695" w:rsidP="00C52695">
            <w:r w:rsidRPr="00883125">
              <w:t>Cannavan et al (2004)</w:t>
            </w:r>
            <w:r w:rsidRPr="00C52695">
              <w:rPr>
                <w:rStyle w:val="FootnoteReference"/>
              </w:rPr>
              <w:footnoteReference w:id="696"/>
            </w:r>
          </w:p>
        </w:tc>
        <w:tc>
          <w:tcPr>
            <w:tcW w:w="1111" w:type="dxa"/>
          </w:tcPr>
          <w:p w:rsidR="00C52695" w:rsidRPr="00C52695" w:rsidRDefault="00C52695" w:rsidP="00C52695">
            <w:r w:rsidRPr="00883125">
              <w:t>1994–1999</w:t>
            </w:r>
          </w:p>
        </w:tc>
        <w:tc>
          <w:tcPr>
            <w:tcW w:w="5448" w:type="dxa"/>
          </w:tcPr>
          <w:p w:rsidR="00C52695" w:rsidRPr="00C52695" w:rsidRDefault="00C52695" w:rsidP="00C52695">
            <w:r w:rsidRPr="00883125">
              <w:t>Uses matched trades (four minute window) in individual shares and futures contracts for 19 firms (over 14,000 trades). Sub-periods 1994–1997 and 1997–1999.</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Cummings and Frino (2008)</w:t>
            </w:r>
            <w:r w:rsidRPr="00C52695">
              <w:rPr>
                <w:rStyle w:val="FootnoteReference"/>
              </w:rPr>
              <w:footnoteReference w:id="697"/>
            </w:r>
          </w:p>
        </w:tc>
        <w:tc>
          <w:tcPr>
            <w:tcW w:w="1111" w:type="dxa"/>
          </w:tcPr>
          <w:p w:rsidR="00C52695" w:rsidRPr="00C52695" w:rsidRDefault="00C52695" w:rsidP="00C52695">
            <w:r w:rsidRPr="00883125">
              <w:t>2002-2005</w:t>
            </w:r>
          </w:p>
        </w:tc>
        <w:tc>
          <w:tcPr>
            <w:tcW w:w="5448" w:type="dxa"/>
          </w:tcPr>
          <w:p w:rsidR="00C52695" w:rsidRPr="00C52695" w:rsidRDefault="00C52695" w:rsidP="00C52695">
            <w:r w:rsidRPr="00883125">
              <w:t xml:space="preserve">Uses entire ASX200 index (rather than specific firms) and futures over the index, distinct from other studies in this class (which use individual shares). </w:t>
            </w:r>
          </w:p>
        </w:tc>
      </w:tr>
      <w:tr w:rsidR="00C52695" w:rsidTr="006425B8">
        <w:trPr>
          <w:cantSplit/>
        </w:trPr>
        <w:tc>
          <w:tcPr>
            <w:tcW w:w="9242" w:type="dxa"/>
            <w:gridSpan w:val="3"/>
          </w:tcPr>
          <w:p w:rsidR="00C52695" w:rsidRPr="00883125" w:rsidRDefault="00C52695" w:rsidP="00C52695">
            <w:pPr>
              <w:numPr>
                <w:ilvl w:val="0"/>
                <w:numId w:val="24"/>
              </w:numPr>
            </w:pPr>
            <w:r w:rsidRPr="00883125">
              <w:rPr>
                <w:rStyle w:val="Strong"/>
              </w:rPr>
              <w:t>Rate of return study</w:t>
            </w:r>
            <w:r w:rsidRPr="00883125">
              <w:t xml:space="preserve"> – Compare past returns (capital gains and cash dividends) or future returns (dividend forecasts).</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NERA (2013b)</w:t>
            </w:r>
            <w:r w:rsidRPr="00C52695">
              <w:rPr>
                <w:rStyle w:val="FootnoteReference"/>
              </w:rPr>
              <w:footnoteReference w:id="698"/>
            </w:r>
          </w:p>
        </w:tc>
        <w:tc>
          <w:tcPr>
            <w:tcW w:w="1111" w:type="dxa"/>
          </w:tcPr>
          <w:p w:rsidR="00C52695" w:rsidRPr="00C52695" w:rsidRDefault="00C52695" w:rsidP="00C52695">
            <w:r w:rsidRPr="00883125">
              <w:t>1987–2012</w:t>
            </w:r>
          </w:p>
        </w:tc>
        <w:tc>
          <w:tcPr>
            <w:tcW w:w="5448" w:type="dxa"/>
          </w:tcPr>
          <w:p w:rsidR="00C52695" w:rsidRPr="00C52695" w:rsidRDefault="00C52695" w:rsidP="00C52695">
            <w:r w:rsidRPr="00883125">
              <w:t xml:space="preserve">Updates the </w:t>
            </w:r>
            <w:r w:rsidRPr="00C52695">
              <w:t>Lajbcygier and Wheatley paper; same author and more relevant data set. Sub-period splits 1987–2000 and 2000–2012.</w:t>
            </w:r>
          </w:p>
        </w:tc>
      </w:tr>
      <w:tr w:rsidR="00C52695" w:rsidTr="006425B8">
        <w:trPr>
          <w:cantSplit/>
        </w:trPr>
        <w:tc>
          <w:tcPr>
            <w:tcW w:w="2683" w:type="dxa"/>
          </w:tcPr>
          <w:p w:rsidR="00C52695" w:rsidRPr="00C52695" w:rsidRDefault="00C52695" w:rsidP="00C52695">
            <w:r w:rsidRPr="00883125">
              <w:t>Lajbcygier and Wheatley (2012)</w:t>
            </w:r>
            <w:r w:rsidRPr="00C52695">
              <w:rPr>
                <w:rStyle w:val="FootnoteReference"/>
              </w:rPr>
              <w:footnoteReference w:id="699"/>
            </w:r>
          </w:p>
        </w:tc>
        <w:tc>
          <w:tcPr>
            <w:tcW w:w="1111" w:type="dxa"/>
          </w:tcPr>
          <w:p w:rsidR="00C52695" w:rsidRPr="00C52695" w:rsidRDefault="00C52695" w:rsidP="00C52695">
            <w:r w:rsidRPr="00883125">
              <w:t>1987–2009</w:t>
            </w:r>
          </w:p>
        </w:tc>
        <w:tc>
          <w:tcPr>
            <w:tcW w:w="5448" w:type="dxa"/>
          </w:tcPr>
          <w:p w:rsidR="00C52695" w:rsidRPr="00C52695" w:rsidRDefault="00C52695" w:rsidP="00C52695">
            <w:r w:rsidRPr="00883125">
              <w:t xml:space="preserve">Compares current prices to past returns </w:t>
            </w:r>
            <w:r w:rsidRPr="00C52695">
              <w:t>from capital gains and dividends. Includes sub-periods from 1987–2000 and 2000-2009.</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Siau et al (2013)</w:t>
            </w:r>
            <w:r w:rsidRPr="00C52695">
              <w:rPr>
                <w:rStyle w:val="FootnoteReference"/>
              </w:rPr>
              <w:footnoteReference w:id="700"/>
            </w:r>
          </w:p>
        </w:tc>
        <w:tc>
          <w:tcPr>
            <w:tcW w:w="1111" w:type="dxa"/>
          </w:tcPr>
          <w:p w:rsidR="00C52695" w:rsidRPr="00C52695" w:rsidRDefault="00C52695" w:rsidP="00C52695">
            <w:r w:rsidRPr="00883125">
              <w:t>1996–2011</w:t>
            </w:r>
          </w:p>
        </w:tc>
        <w:tc>
          <w:tcPr>
            <w:tcW w:w="5448" w:type="dxa"/>
          </w:tcPr>
          <w:p w:rsidR="00C52695" w:rsidRPr="00C52695" w:rsidRDefault="00C52695" w:rsidP="00C52695">
            <w:r w:rsidRPr="00883125">
              <w:t xml:space="preserve">Compares current prices to expected future returns. Uses ASX300 index firms and consensus analyst dividend forecasts. </w:t>
            </w:r>
          </w:p>
        </w:tc>
      </w:tr>
      <w:tr w:rsidR="00C52695" w:rsidTr="006425B8">
        <w:trPr>
          <w:cantSplit/>
        </w:trPr>
        <w:tc>
          <w:tcPr>
            <w:tcW w:w="2683" w:type="dxa"/>
          </w:tcPr>
          <w:p w:rsidR="00C52695" w:rsidRPr="00C52695" w:rsidRDefault="00C52695" w:rsidP="00C52695">
            <w:r w:rsidRPr="00883125">
              <w:t>Siau et al (2015)</w:t>
            </w:r>
            <w:r w:rsidRPr="00C52695">
              <w:rPr>
                <w:rStyle w:val="FootnoteReference"/>
              </w:rPr>
              <w:footnoteReference w:id="701"/>
            </w:r>
          </w:p>
        </w:tc>
        <w:tc>
          <w:tcPr>
            <w:tcW w:w="1111" w:type="dxa"/>
          </w:tcPr>
          <w:p w:rsidR="00C52695" w:rsidRPr="00C52695" w:rsidRDefault="00C52695" w:rsidP="00C52695">
            <w:r w:rsidRPr="00883125">
              <w:t>1996-2011</w:t>
            </w:r>
          </w:p>
        </w:tc>
        <w:tc>
          <w:tcPr>
            <w:tcW w:w="5448" w:type="dxa"/>
          </w:tcPr>
          <w:p w:rsidR="00C52695" w:rsidRPr="00C52695" w:rsidRDefault="00C52695" w:rsidP="00C52695">
            <w:r w:rsidRPr="00883125">
              <w:t xml:space="preserve">Journal published version of the 2013 paper by Siau et al with relatively minor editorial changes </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NERA (2015)</w:t>
            </w:r>
            <w:r w:rsidRPr="00C52695">
              <w:rPr>
                <w:rStyle w:val="FootnoteReference"/>
              </w:rPr>
              <w:footnoteReference w:id="702"/>
            </w:r>
          </w:p>
        </w:tc>
        <w:tc>
          <w:tcPr>
            <w:tcW w:w="1111" w:type="dxa"/>
          </w:tcPr>
          <w:p w:rsidR="00C52695" w:rsidRPr="00C52695" w:rsidRDefault="00C52695" w:rsidP="00C52695">
            <w:r w:rsidRPr="00883125">
              <w:t>1987-2013</w:t>
            </w:r>
          </w:p>
        </w:tc>
        <w:tc>
          <w:tcPr>
            <w:tcW w:w="5448" w:type="dxa"/>
          </w:tcPr>
          <w:p w:rsidR="00C52695" w:rsidRPr="00C52695" w:rsidRDefault="00C52695" w:rsidP="00C52695">
            <w:r w:rsidRPr="00883125">
              <w:t>Updates the results of the Lajbcygier and Wheatley and NERA (2013) studies.</w:t>
            </w:r>
          </w:p>
        </w:tc>
      </w:tr>
      <w:tr w:rsidR="00C52695" w:rsidTr="006425B8">
        <w:trPr>
          <w:cantSplit/>
        </w:trPr>
        <w:tc>
          <w:tcPr>
            <w:tcW w:w="9242" w:type="dxa"/>
            <w:gridSpan w:val="3"/>
          </w:tcPr>
          <w:p w:rsidR="00C52695" w:rsidRPr="00883125" w:rsidRDefault="00C52695" w:rsidP="00C52695">
            <w:pPr>
              <w:numPr>
                <w:ilvl w:val="0"/>
                <w:numId w:val="24"/>
              </w:numPr>
            </w:pPr>
            <w:r w:rsidRPr="00883125">
              <w:rPr>
                <w:rStyle w:val="Strong"/>
              </w:rPr>
              <w:lastRenderedPageBreak/>
              <w:t>Simultaneous share trades</w:t>
            </w:r>
            <w:r w:rsidRPr="00883125">
              <w:t xml:space="preserve"> – Compare simultaneous prices for shares that are/are not entitled to imputation credits.</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Chu and Partington (2008)</w:t>
            </w:r>
            <w:r w:rsidRPr="00C52695">
              <w:rPr>
                <w:rStyle w:val="FootnoteReference"/>
              </w:rPr>
              <w:footnoteReference w:id="703"/>
            </w:r>
          </w:p>
        </w:tc>
        <w:tc>
          <w:tcPr>
            <w:tcW w:w="1111" w:type="dxa"/>
          </w:tcPr>
          <w:p w:rsidR="00C52695" w:rsidRPr="00C52695" w:rsidRDefault="00C52695" w:rsidP="00C52695">
            <w:r w:rsidRPr="00883125">
              <w:t>1996</w:t>
            </w:r>
          </w:p>
        </w:tc>
        <w:tc>
          <w:tcPr>
            <w:tcW w:w="5448" w:type="dxa"/>
          </w:tcPr>
          <w:p w:rsidR="00C52695" w:rsidRPr="00C52695" w:rsidRDefault="00C52695" w:rsidP="00C52695">
            <w:r w:rsidRPr="00883125">
              <w:t xml:space="preserve">Uses shares trading in two forms (one with dividend, one without) as a result of the CRA bonus issue. 154 matched trades (one minute window) across 3 </w:t>
            </w:r>
            <w:r w:rsidRPr="00C52695">
              <w:t>months.</w:t>
            </w:r>
          </w:p>
        </w:tc>
      </w:tr>
      <w:tr w:rsidR="00C52695" w:rsidTr="006425B8">
        <w:trPr>
          <w:cantSplit/>
        </w:trPr>
        <w:tc>
          <w:tcPr>
            <w:tcW w:w="2683" w:type="dxa"/>
          </w:tcPr>
          <w:p w:rsidR="00C52695" w:rsidRPr="00C52695" w:rsidRDefault="00C52695" w:rsidP="00C52695">
            <w:r w:rsidRPr="00883125">
              <w:t>Chu and Partington (2001)</w:t>
            </w:r>
            <w:r w:rsidRPr="00C52695">
              <w:rPr>
                <w:rStyle w:val="FootnoteReference"/>
              </w:rPr>
              <w:footnoteReference w:id="704"/>
            </w:r>
          </w:p>
        </w:tc>
        <w:tc>
          <w:tcPr>
            <w:tcW w:w="1111" w:type="dxa"/>
          </w:tcPr>
          <w:p w:rsidR="00C52695" w:rsidRPr="00C52695" w:rsidRDefault="00C52695" w:rsidP="00C52695">
            <w:r w:rsidRPr="00883125">
              <w:t>1991–1999</w:t>
            </w:r>
          </w:p>
        </w:tc>
        <w:tc>
          <w:tcPr>
            <w:tcW w:w="5448" w:type="dxa"/>
          </w:tcPr>
          <w:p w:rsidR="00C52695" w:rsidRPr="00C52695" w:rsidDel="003D6627" w:rsidRDefault="00C52695" w:rsidP="00C52695">
            <w:r w:rsidRPr="00883125">
              <w:t>Uses shares trading simultaneously with and without dividend</w:t>
            </w:r>
            <w:r w:rsidRPr="00C52695">
              <w:t xml:space="preserve"> after certain rights issues - 3,356 trades (matched within a minute) from 26 rights issues for 23 firms.</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Walker and Partington (1999)</w:t>
            </w:r>
            <w:r w:rsidRPr="00C52695">
              <w:rPr>
                <w:rStyle w:val="FootnoteReference"/>
              </w:rPr>
              <w:footnoteReference w:id="705"/>
            </w:r>
          </w:p>
        </w:tc>
        <w:tc>
          <w:tcPr>
            <w:tcW w:w="1111" w:type="dxa"/>
          </w:tcPr>
          <w:p w:rsidR="00C52695" w:rsidRPr="00C52695" w:rsidRDefault="00C52695" w:rsidP="00C52695">
            <w:r w:rsidRPr="00883125">
              <w:t>1995–1997</w:t>
            </w:r>
          </w:p>
        </w:tc>
        <w:tc>
          <w:tcPr>
            <w:tcW w:w="5448" w:type="dxa"/>
          </w:tcPr>
          <w:p w:rsidR="00C52695" w:rsidRPr="00C52695" w:rsidRDefault="00C52695" w:rsidP="00C52695">
            <w:r w:rsidRPr="00883125">
              <w:t>Looks at shares trading cum-dividend in the ex-dividend period. 1,015 data points (trades matched within a minute) for 93 ex-dividend events from 50 securities.</w:t>
            </w:r>
          </w:p>
        </w:tc>
      </w:tr>
    </w:tbl>
    <w:p w:rsidR="00C52695" w:rsidRPr="00883125" w:rsidRDefault="00C52695" w:rsidP="00C52695">
      <w:pPr>
        <w:pStyle w:val="AERtablesource"/>
      </w:pPr>
      <w:r w:rsidRPr="00883125">
        <w:t xml:space="preserve">Source: </w:t>
      </w:r>
      <w:r w:rsidRPr="00883125">
        <w:tab/>
        <w:t>As specified in table.</w:t>
      </w:r>
    </w:p>
    <w:p w:rsidR="00C52695" w:rsidRPr="00883125" w:rsidRDefault="00C52695" w:rsidP="00C52695">
      <w:pPr>
        <w:pStyle w:val="Heading9"/>
      </w:pPr>
      <w:bookmarkStart w:id="414" w:name="_Ref403482459"/>
      <w:bookmarkStart w:id="415" w:name="_Toc456614339"/>
      <w:bookmarkStart w:id="416" w:name="_Toc462823343"/>
      <w:bookmarkStart w:id="417" w:name="_Toc481061513"/>
      <w:r w:rsidRPr="00883125">
        <w:t>Estimates from implied market value studies</w:t>
      </w:r>
      <w:bookmarkEnd w:id="414"/>
      <w:bookmarkEnd w:id="415"/>
      <w:bookmarkEnd w:id="416"/>
      <w:bookmarkEnd w:id="417"/>
    </w:p>
    <w:p w:rsidR="00C52695" w:rsidRPr="00883125" w:rsidRDefault="00C52695" w:rsidP="00C52695">
      <w:pPr>
        <w:numPr>
          <w:ilvl w:val="0"/>
          <w:numId w:val="24"/>
        </w:numPr>
      </w:pPr>
      <w:r w:rsidRPr="00883125">
        <w:t>This section presents the results from the available implied market value studies.</w:t>
      </w:r>
    </w:p>
    <w:p w:rsidR="00B52287" w:rsidRPr="00883125" w:rsidRDefault="00C52695" w:rsidP="00C25A56">
      <w:pPr>
        <w:numPr>
          <w:ilvl w:val="0"/>
          <w:numId w:val="24"/>
        </w:numPr>
      </w:pPr>
      <w:r w:rsidRPr="00883125">
        <w:fldChar w:fldCharType="begin"/>
      </w:r>
      <w:r w:rsidRPr="00883125">
        <w:instrText xml:space="preserve"> REF _Ref401075676 \h </w:instrText>
      </w:r>
      <w:r w:rsidRPr="00883125">
        <w:fldChar w:fldCharType="separate"/>
      </w:r>
      <w:r w:rsidR="00812A72" w:rsidRPr="00883125">
        <w:t xml:space="preserve">Table </w:t>
      </w:r>
      <w:r w:rsidR="00812A72">
        <w:rPr>
          <w:noProof/>
        </w:rPr>
        <w:t>4</w:t>
      </w:r>
      <w:r w:rsidR="00812A72">
        <w:noBreakHyphen/>
      </w:r>
      <w:r w:rsidR="00812A72">
        <w:rPr>
          <w:noProof/>
        </w:rPr>
        <w:t>19</w:t>
      </w:r>
      <w:r w:rsidRPr="00883125">
        <w:fldChar w:fldCharType="end"/>
      </w:r>
      <w:r w:rsidRPr="00883125">
        <w:t xml:space="preserve"> reports estimates of the utilisation rate from the set of available dividend drop off studies. As a high level summary table, it attempts to report the single utilisation rate preferred by the authors for the scenario most relevant to our rate of return framework. The service providers consider the AER does not have regard to the estimation period for the market value studies and in particular to whether the analysis is based on pre or post 2000.</w:t>
      </w:r>
      <w:r w:rsidRPr="00883125">
        <w:rPr>
          <w:rStyle w:val="FootnoteReference"/>
        </w:rPr>
        <w:footnoteReference w:id="706"/>
      </w:r>
      <w:r w:rsidRPr="00883125">
        <w:t xml:space="preserve"> This is not true as seen in table 4.10 where the table separately reports results based on whether the underlying data is (primarily) from before or after 2000, when the change in tax law entitled eligible investors to a full refund of excess imputation credits. In the recent</w:t>
      </w:r>
      <w:r w:rsidR="00C25A56">
        <w:t xml:space="preserve"> Ausgrid</w:t>
      </w:r>
      <w:r w:rsidRPr="00883125">
        <w:t xml:space="preserve"> Tribunal decision, the </w:t>
      </w:r>
      <w:r w:rsidR="00C25A56">
        <w:t xml:space="preserve">Ausgrid </w:t>
      </w:r>
      <w:r w:rsidRPr="00883125">
        <w:t>Tribunal stated that the AER could have excluded earlier market based studies that were not relevant, such as the studies that were conducted on pre 2000 data.</w:t>
      </w:r>
      <w:r w:rsidRPr="00883125">
        <w:rPr>
          <w:rStyle w:val="FootnoteReference"/>
        </w:rPr>
        <w:footnoteReference w:id="707"/>
      </w:r>
    </w:p>
    <w:p w:rsidR="00CA7D6A" w:rsidRDefault="00C52695" w:rsidP="00D85C45">
      <w:pPr>
        <w:numPr>
          <w:ilvl w:val="0"/>
          <w:numId w:val="24"/>
        </w:numPr>
      </w:pPr>
      <w:r w:rsidRPr="00883125">
        <w:t>When determining the point estimate from the range in the equity ownership approach (0.4 to 0.4</w:t>
      </w:r>
      <w:r>
        <w:t>1</w:t>
      </w:r>
      <w:r w:rsidRPr="00883125">
        <w:t xml:space="preserve">), the AER considers that studies post 2000 are more relevant, but still has </w:t>
      </w:r>
      <w:r w:rsidRPr="00883125">
        <w:lastRenderedPageBreak/>
        <w:t xml:space="preserve">regard to pre 2000 studies. </w:t>
      </w:r>
      <w:r w:rsidR="00756336">
        <w:t xml:space="preserve">Post 2000 is the most relevant period, as the year 2000 is </w:t>
      </w:r>
      <w:r w:rsidR="00D85C45">
        <w:t xml:space="preserve">the year </w:t>
      </w:r>
      <w:r w:rsidR="00756336">
        <w:t xml:space="preserve">when the last significant event </w:t>
      </w:r>
      <w:r w:rsidR="00A041D8">
        <w:t>that</w:t>
      </w:r>
      <w:r w:rsidR="00DC246F">
        <w:t xml:space="preserve"> </w:t>
      </w:r>
      <w:r w:rsidR="00812A72">
        <w:t>affects</w:t>
      </w:r>
      <w:r w:rsidR="00756336">
        <w:t xml:space="preserve"> the value of imputation credits </w:t>
      </w:r>
      <w:r w:rsidR="00A041D8">
        <w:t>occurred</w:t>
      </w:r>
      <w:r w:rsidR="00756336">
        <w:t xml:space="preserve">. </w:t>
      </w:r>
      <w:r w:rsidR="00D85C45">
        <w:fldChar w:fldCharType="begin"/>
      </w:r>
      <w:r w:rsidR="00D85C45">
        <w:instrText xml:space="preserve"> REF _Ref401075676 \h </w:instrText>
      </w:r>
      <w:r w:rsidR="00D85C45">
        <w:fldChar w:fldCharType="separate"/>
      </w:r>
      <w:r w:rsidR="00812A72" w:rsidRPr="00883125">
        <w:t xml:space="preserve">Table </w:t>
      </w:r>
      <w:r w:rsidR="00812A72">
        <w:rPr>
          <w:noProof/>
        </w:rPr>
        <w:t>4</w:t>
      </w:r>
      <w:r w:rsidR="00812A72">
        <w:noBreakHyphen/>
      </w:r>
      <w:r w:rsidR="00812A72">
        <w:rPr>
          <w:noProof/>
        </w:rPr>
        <w:t>19</w:t>
      </w:r>
      <w:r w:rsidR="00D85C45">
        <w:fldChar w:fldCharType="end"/>
      </w:r>
      <w:r w:rsidR="00D85C45">
        <w:t xml:space="preserve"> highlights the significant events that occurred since the imputation tax system was introduced in Australia. </w:t>
      </w:r>
      <w:r w:rsidRPr="00883125">
        <w:t xml:space="preserve">However, </w:t>
      </w:r>
      <w:r w:rsidR="00D85C45">
        <w:t xml:space="preserve">it should be noted that </w:t>
      </w:r>
      <w:r w:rsidRPr="00883125">
        <w:t xml:space="preserve">even if the AER was to completely disregard the pre 2000 </w:t>
      </w:r>
      <w:r w:rsidR="004E55C5">
        <w:t xml:space="preserve">market </w:t>
      </w:r>
      <w:r w:rsidRPr="00883125">
        <w:t xml:space="preserve">studies this would not change the outcome of selecting the lowest point estimate in the range from the equity ownership approach. </w:t>
      </w:r>
    </w:p>
    <w:p w:rsidR="00756336" w:rsidRPr="00883125" w:rsidRDefault="00756336" w:rsidP="00756336">
      <w:pPr>
        <w:pStyle w:val="Caption"/>
      </w:pPr>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18</w:t>
      </w:r>
      <w:r w:rsidRPr="001D37D5">
        <w:fldChar w:fldCharType="end"/>
      </w:r>
      <w:r w:rsidRPr="00883125">
        <w:tab/>
        <w:t>S</w:t>
      </w:r>
      <w:r w:rsidR="00D85C45">
        <w:t xml:space="preserve">ignificant events </w:t>
      </w:r>
    </w:p>
    <w:tbl>
      <w:tblPr>
        <w:tblStyle w:val="AERtable-text0"/>
        <w:tblW w:w="0" w:type="auto"/>
        <w:tblLook w:val="04A0" w:firstRow="1" w:lastRow="0" w:firstColumn="1" w:lastColumn="0" w:noHBand="0" w:noVBand="1"/>
      </w:tblPr>
      <w:tblGrid>
        <w:gridCol w:w="2235"/>
        <w:gridCol w:w="1430"/>
        <w:gridCol w:w="5028"/>
      </w:tblGrid>
      <w:tr w:rsidR="00756336" w:rsidTr="00E750F8">
        <w:trPr>
          <w:cnfStyle w:val="100000000000" w:firstRow="1" w:lastRow="0" w:firstColumn="0" w:lastColumn="0" w:oddVBand="0" w:evenVBand="0" w:oddHBand="0" w:evenHBand="0" w:firstRowFirstColumn="0" w:firstRowLastColumn="0" w:lastRowFirstColumn="0" w:lastRowLastColumn="0"/>
          <w:cantSplit/>
          <w:tblHeader/>
        </w:trPr>
        <w:tc>
          <w:tcPr>
            <w:tcW w:w="2235" w:type="dxa"/>
          </w:tcPr>
          <w:p w:rsidR="00756336" w:rsidRPr="00883125" w:rsidRDefault="00D85C45" w:rsidP="00756336">
            <w:pPr>
              <w:numPr>
                <w:ilvl w:val="0"/>
                <w:numId w:val="24"/>
              </w:numPr>
            </w:pPr>
            <w:r>
              <w:t>Event:</w:t>
            </w:r>
          </w:p>
        </w:tc>
        <w:tc>
          <w:tcPr>
            <w:tcW w:w="1430" w:type="dxa"/>
          </w:tcPr>
          <w:p w:rsidR="00756336" w:rsidRPr="00883125" w:rsidRDefault="00D85C45" w:rsidP="00756336">
            <w:pPr>
              <w:numPr>
                <w:ilvl w:val="0"/>
                <w:numId w:val="24"/>
              </w:numPr>
            </w:pPr>
            <w:r>
              <w:t>Date</w:t>
            </w:r>
          </w:p>
        </w:tc>
        <w:tc>
          <w:tcPr>
            <w:tcW w:w="5028" w:type="dxa"/>
          </w:tcPr>
          <w:p w:rsidR="00756336" w:rsidRPr="00883125" w:rsidRDefault="00D85C45" w:rsidP="00756336">
            <w:pPr>
              <w:numPr>
                <w:ilvl w:val="0"/>
                <w:numId w:val="24"/>
              </w:numPr>
            </w:pPr>
            <w:r>
              <w:t>Impact on the value of imputation credits</w:t>
            </w:r>
          </w:p>
        </w:tc>
      </w:tr>
      <w:tr w:rsidR="00756336" w:rsidTr="00E750F8">
        <w:trPr>
          <w:cantSplit/>
        </w:trPr>
        <w:tc>
          <w:tcPr>
            <w:tcW w:w="2235" w:type="dxa"/>
          </w:tcPr>
          <w:p w:rsidR="00756336" w:rsidRPr="00756336" w:rsidRDefault="00D85C45" w:rsidP="00756336">
            <w:r>
              <w:t>45-day rule</w:t>
            </w:r>
          </w:p>
        </w:tc>
        <w:tc>
          <w:tcPr>
            <w:tcW w:w="1430" w:type="dxa"/>
          </w:tcPr>
          <w:p w:rsidR="00756336" w:rsidRPr="00756336" w:rsidRDefault="00DC246F" w:rsidP="00DC246F">
            <w:r>
              <w:t>July 1997</w:t>
            </w:r>
          </w:p>
        </w:tc>
        <w:tc>
          <w:tcPr>
            <w:tcW w:w="5028" w:type="dxa"/>
          </w:tcPr>
          <w:p w:rsidR="00756336" w:rsidRPr="00756336" w:rsidRDefault="00DC246F" w:rsidP="00DC246F">
            <w:r>
              <w:t xml:space="preserve">The holding period rule requires investors to continuously hold shares 'at risk' for at least 45 days (90 days for certain preference shares) to be eligible for a franking tax offset. </w:t>
            </w:r>
          </w:p>
        </w:tc>
      </w:tr>
      <w:tr w:rsidR="00756336" w:rsidTr="00E750F8">
        <w:trPr>
          <w:cnfStyle w:val="000000010000" w:firstRow="0" w:lastRow="0" w:firstColumn="0" w:lastColumn="0" w:oddVBand="0" w:evenVBand="0" w:oddHBand="0" w:evenHBand="1" w:firstRowFirstColumn="0" w:firstRowLastColumn="0" w:lastRowFirstColumn="0" w:lastRowLastColumn="0"/>
          <w:cantSplit/>
        </w:trPr>
        <w:tc>
          <w:tcPr>
            <w:tcW w:w="2235" w:type="dxa"/>
          </w:tcPr>
          <w:p w:rsidR="00756336" w:rsidRPr="00756336" w:rsidRDefault="00DC246F" w:rsidP="00756336">
            <w:r>
              <w:t>Capital gains tax</w:t>
            </w:r>
          </w:p>
        </w:tc>
        <w:tc>
          <w:tcPr>
            <w:tcW w:w="1430" w:type="dxa"/>
          </w:tcPr>
          <w:p w:rsidR="00756336" w:rsidRPr="00756336" w:rsidRDefault="00DC246F" w:rsidP="00756336">
            <w:r>
              <w:t xml:space="preserve">September </w:t>
            </w:r>
            <w:r w:rsidR="00D85C45">
              <w:t>1999</w:t>
            </w:r>
          </w:p>
        </w:tc>
        <w:tc>
          <w:tcPr>
            <w:tcW w:w="5028" w:type="dxa"/>
          </w:tcPr>
          <w:p w:rsidR="00756336" w:rsidRPr="00756336" w:rsidRDefault="00DC246F" w:rsidP="00756336">
            <w:r>
              <w:t>The method to calculate capital gains tax change from the indexation method to the CGT discount method.</w:t>
            </w:r>
          </w:p>
        </w:tc>
      </w:tr>
      <w:tr w:rsidR="00D85C45" w:rsidTr="00E750F8">
        <w:trPr>
          <w:cantSplit/>
        </w:trPr>
        <w:tc>
          <w:tcPr>
            <w:tcW w:w="2235" w:type="dxa"/>
          </w:tcPr>
          <w:p w:rsidR="00D85C45" w:rsidRPr="00756336" w:rsidRDefault="00957389" w:rsidP="00756336">
            <w:r>
              <w:t>Refund of excess credits</w:t>
            </w:r>
          </w:p>
        </w:tc>
        <w:tc>
          <w:tcPr>
            <w:tcW w:w="1430" w:type="dxa"/>
          </w:tcPr>
          <w:p w:rsidR="00D85C45" w:rsidRPr="00756336" w:rsidRDefault="00D85C45" w:rsidP="00756336">
            <w:r>
              <w:t>July 2000</w:t>
            </w:r>
          </w:p>
        </w:tc>
        <w:tc>
          <w:tcPr>
            <w:tcW w:w="5028" w:type="dxa"/>
          </w:tcPr>
          <w:p w:rsidR="00D85C45" w:rsidRPr="00756336" w:rsidRDefault="00957389" w:rsidP="00756336">
            <w:r w:rsidRPr="00A3318E">
              <w:t xml:space="preserve">If the </w:t>
            </w:r>
            <w:r w:rsidRPr="00957389">
              <w:t>amount of imputation credits received exceeds an investor's tax liability, that investor can receive a cash refund for the balance</w:t>
            </w:r>
          </w:p>
        </w:tc>
      </w:tr>
    </w:tbl>
    <w:p w:rsidR="00C52695" w:rsidRPr="00B27BE5" w:rsidRDefault="00C52695" w:rsidP="00C52695">
      <w:r w:rsidRPr="00B27BE5">
        <w:fldChar w:fldCharType="begin"/>
      </w:r>
      <w:r w:rsidRPr="00B27BE5">
        <w:instrText xml:space="preserve"> REF _Ref449538408 \h </w:instrText>
      </w:r>
      <w:r w:rsidRPr="00B27BE5">
        <w:fldChar w:fldCharType="separate"/>
      </w:r>
      <w:r w:rsidR="00812A72" w:rsidRPr="00883125">
        <w:t xml:space="preserve">Table </w:t>
      </w:r>
      <w:r w:rsidR="00812A72">
        <w:rPr>
          <w:noProof/>
        </w:rPr>
        <w:t>4</w:t>
      </w:r>
      <w:r w:rsidR="00812A72">
        <w:noBreakHyphen/>
      </w:r>
      <w:r w:rsidR="00812A72">
        <w:rPr>
          <w:noProof/>
        </w:rPr>
        <w:t>20</w:t>
      </w:r>
      <w:r w:rsidRPr="00B27BE5">
        <w:fldChar w:fldCharType="end"/>
      </w:r>
      <w:r w:rsidRPr="00B27BE5">
        <w:t xml:space="preserve"> is the equivalent table for alternative implied market value studies. In this table, several results are recorded as 'N/A',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presented in the 'notes' column.</w:t>
      </w:r>
    </w:p>
    <w:p w:rsidR="00C52695" w:rsidRPr="00883125" w:rsidRDefault="00C52695" w:rsidP="00C52695">
      <w:pPr>
        <w:pStyle w:val="Caption"/>
      </w:pPr>
      <w:bookmarkStart w:id="418" w:name="_Ref401075676"/>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19</w:t>
      </w:r>
      <w:r w:rsidRPr="001D37D5">
        <w:fldChar w:fldCharType="end"/>
      </w:r>
      <w:bookmarkEnd w:id="418"/>
      <w:r w:rsidRPr="00883125">
        <w:tab/>
        <w:t>Estimates of the utilisation rate from dividend drop off studies</w:t>
      </w:r>
    </w:p>
    <w:tbl>
      <w:tblPr>
        <w:tblStyle w:val="AERtable-text0"/>
        <w:tblW w:w="9180" w:type="dxa"/>
        <w:tblLayout w:type="fixed"/>
        <w:tblLook w:val="04A0" w:firstRow="1" w:lastRow="0" w:firstColumn="1" w:lastColumn="0" w:noHBand="0" w:noVBand="1"/>
      </w:tblPr>
      <w:tblGrid>
        <w:gridCol w:w="250"/>
        <w:gridCol w:w="142"/>
        <w:gridCol w:w="2835"/>
        <w:gridCol w:w="1346"/>
        <w:gridCol w:w="1347"/>
        <w:gridCol w:w="3260"/>
      </w:tblGrid>
      <w:tr w:rsidR="00C52695" w:rsidRPr="00222643" w:rsidTr="00BF1C4B">
        <w:trPr>
          <w:cnfStyle w:val="100000000000" w:firstRow="1" w:lastRow="0" w:firstColumn="0" w:lastColumn="0" w:oddVBand="0" w:evenVBand="0" w:oddHBand="0" w:evenHBand="0" w:firstRowFirstColumn="0" w:firstRowLastColumn="0" w:lastRowFirstColumn="0" w:lastRowLastColumn="0"/>
          <w:cantSplit/>
          <w:tblHeader/>
        </w:trPr>
        <w:tc>
          <w:tcPr>
            <w:tcW w:w="392" w:type="dxa"/>
            <w:gridSpan w:val="2"/>
          </w:tcPr>
          <w:p w:rsidR="00C52695" w:rsidRPr="00883125" w:rsidRDefault="00C52695" w:rsidP="00C52695"/>
        </w:tc>
        <w:tc>
          <w:tcPr>
            <w:tcW w:w="2835" w:type="dxa"/>
          </w:tcPr>
          <w:p w:rsidR="00C52695" w:rsidRPr="00C52695" w:rsidRDefault="00C52695" w:rsidP="00C52695">
            <w:r w:rsidRPr="00883125">
              <w:t>Authors</w:t>
            </w:r>
          </w:p>
        </w:tc>
        <w:tc>
          <w:tcPr>
            <w:tcW w:w="1346" w:type="dxa"/>
          </w:tcPr>
          <w:p w:rsidR="00C52695" w:rsidRPr="00C52695" w:rsidRDefault="00C52695" w:rsidP="00C52695">
            <w:r w:rsidRPr="00883125">
              <w:t>Pre-2000 results</w:t>
            </w:r>
          </w:p>
        </w:tc>
        <w:tc>
          <w:tcPr>
            <w:tcW w:w="1347" w:type="dxa"/>
          </w:tcPr>
          <w:p w:rsidR="00C52695" w:rsidRPr="00C52695" w:rsidRDefault="00C52695" w:rsidP="00C52695">
            <w:r w:rsidRPr="00883125">
              <w:t>Post-2000 results</w:t>
            </w:r>
          </w:p>
        </w:tc>
        <w:tc>
          <w:tcPr>
            <w:tcW w:w="3260" w:type="dxa"/>
          </w:tcPr>
          <w:p w:rsidR="00C52695" w:rsidRPr="00C52695" w:rsidRDefault="00C52695" w:rsidP="00C52695">
            <w:r w:rsidRPr="00883125">
              <w:t>Notes</w:t>
            </w:r>
          </w:p>
        </w:tc>
      </w:tr>
      <w:tr w:rsidR="00C52695" w:rsidRPr="00222643" w:rsidTr="00BF1C4B">
        <w:trPr>
          <w:cantSplit/>
          <w:trHeight w:val="426"/>
        </w:trPr>
        <w:tc>
          <w:tcPr>
            <w:tcW w:w="3227" w:type="dxa"/>
            <w:gridSpan w:val="3"/>
          </w:tcPr>
          <w:p w:rsidR="00C52695" w:rsidRPr="00C52695" w:rsidRDefault="00C52695" w:rsidP="00C52695">
            <w:pPr>
              <w:rPr>
                <w:rStyle w:val="Strong"/>
              </w:rPr>
            </w:pPr>
            <w:r w:rsidRPr="00883125">
              <w:rPr>
                <w:rStyle w:val="Strong"/>
              </w:rPr>
              <w:t xml:space="preserve">Dividend drop off </w:t>
            </w:r>
            <w:r w:rsidRPr="00C52695">
              <w:rPr>
                <w:rStyle w:val="Strong"/>
              </w:rPr>
              <w:t>study</w:t>
            </w:r>
          </w:p>
        </w:tc>
        <w:tc>
          <w:tcPr>
            <w:tcW w:w="1346" w:type="dxa"/>
          </w:tcPr>
          <w:p w:rsidR="00C52695" w:rsidRPr="00883125" w:rsidRDefault="00C52695" w:rsidP="00C52695"/>
        </w:tc>
        <w:tc>
          <w:tcPr>
            <w:tcW w:w="1347" w:type="dxa"/>
          </w:tcPr>
          <w:p w:rsidR="00C52695" w:rsidRPr="00883125" w:rsidRDefault="00C52695" w:rsidP="00C52695"/>
        </w:tc>
        <w:tc>
          <w:tcPr>
            <w:tcW w:w="3260" w:type="dxa"/>
          </w:tcPr>
          <w:p w:rsidR="00C52695" w:rsidRPr="00883125" w:rsidRDefault="00C52695" w:rsidP="00C52695"/>
        </w:tc>
      </w:tr>
      <w:tr w:rsidR="00DA4BFB" w:rsidRPr="00222643" w:rsidTr="00BF1C4B">
        <w:trPr>
          <w:cnfStyle w:val="000000010000" w:firstRow="0" w:lastRow="0" w:firstColumn="0" w:lastColumn="0" w:oddVBand="0" w:evenVBand="0" w:oddHBand="0" w:evenHBand="1" w:firstRowFirstColumn="0" w:firstRowLastColumn="0" w:lastRowFirstColumn="0" w:lastRowLastColumn="0"/>
          <w:cantSplit/>
          <w:trHeight w:val="406"/>
        </w:trPr>
        <w:tc>
          <w:tcPr>
            <w:tcW w:w="250" w:type="dxa"/>
          </w:tcPr>
          <w:p w:rsidR="00DA4BFB" w:rsidRPr="00883125" w:rsidRDefault="00DA4BFB" w:rsidP="00C52695"/>
        </w:tc>
        <w:tc>
          <w:tcPr>
            <w:tcW w:w="2977" w:type="dxa"/>
            <w:gridSpan w:val="2"/>
          </w:tcPr>
          <w:p w:rsidR="00DA4BFB" w:rsidRPr="00883125" w:rsidRDefault="00DA4BFB" w:rsidP="00C52695">
            <w:r>
              <w:t>F</w:t>
            </w:r>
            <w:r w:rsidRPr="00DA4BFB">
              <w:t>rontier (2016)</w:t>
            </w:r>
            <w:r w:rsidRPr="00DA4BFB">
              <w:rPr>
                <w:rStyle w:val="FootnoteReference"/>
              </w:rPr>
              <w:footnoteReference w:id="708"/>
            </w:r>
          </w:p>
        </w:tc>
        <w:tc>
          <w:tcPr>
            <w:tcW w:w="1346" w:type="dxa"/>
          </w:tcPr>
          <w:p w:rsidR="00DA4BFB" w:rsidRPr="00883125" w:rsidRDefault="00DA4BFB" w:rsidP="00C52695"/>
        </w:tc>
        <w:tc>
          <w:tcPr>
            <w:tcW w:w="1347" w:type="dxa"/>
          </w:tcPr>
          <w:p w:rsidR="00DA4BFB" w:rsidRPr="00883125" w:rsidRDefault="00DA4BFB" w:rsidP="00C52695">
            <w:r>
              <w:t>0.35</w:t>
            </w:r>
            <w:r>
              <w:br/>
              <w:t>(2001–2016</w:t>
            </w:r>
            <w:r w:rsidRPr="00883125">
              <w:t>)</w:t>
            </w:r>
          </w:p>
        </w:tc>
        <w:tc>
          <w:tcPr>
            <w:tcW w:w="3260" w:type="dxa"/>
          </w:tcPr>
          <w:p w:rsidR="00DA4BFB" w:rsidRPr="00883125" w:rsidRDefault="00E678B4" w:rsidP="00C52695">
            <w:r>
              <w:t>0.26 to 0.41 (95 per cent confidence interval for all of the specifications).</w:t>
            </w:r>
          </w:p>
        </w:tc>
      </w:tr>
      <w:tr w:rsidR="00C52695" w:rsidRPr="00222643" w:rsidTr="00BF1C4B">
        <w:trPr>
          <w:cantSplit/>
          <w:trHeight w:val="406"/>
        </w:trPr>
        <w:tc>
          <w:tcPr>
            <w:tcW w:w="250" w:type="dxa"/>
          </w:tcPr>
          <w:p w:rsidR="00C52695" w:rsidRPr="00883125" w:rsidRDefault="00C52695" w:rsidP="00C52695"/>
        </w:tc>
        <w:tc>
          <w:tcPr>
            <w:tcW w:w="2977" w:type="dxa"/>
            <w:gridSpan w:val="2"/>
          </w:tcPr>
          <w:p w:rsidR="00C52695" w:rsidRPr="00C52695" w:rsidRDefault="00C52695" w:rsidP="00C52695">
            <w:r w:rsidRPr="00883125">
              <w:t>Vo et al (2013)</w:t>
            </w:r>
            <w:r w:rsidRPr="00C52695">
              <w:rPr>
                <w:rStyle w:val="FootnoteReference"/>
              </w:rPr>
              <w:footnoteReference w:id="709"/>
            </w:r>
          </w:p>
        </w:tc>
        <w:tc>
          <w:tcPr>
            <w:tcW w:w="1346" w:type="dxa"/>
          </w:tcPr>
          <w:p w:rsidR="00C52695" w:rsidRPr="00883125" w:rsidRDefault="00C52695" w:rsidP="00C52695"/>
        </w:tc>
        <w:tc>
          <w:tcPr>
            <w:tcW w:w="1347" w:type="dxa"/>
          </w:tcPr>
          <w:p w:rsidR="00C52695" w:rsidRPr="00C52695" w:rsidRDefault="00C52695" w:rsidP="00C52695">
            <w:r w:rsidRPr="00883125">
              <w:t>0.35–0.55</w:t>
            </w:r>
            <w:r w:rsidRPr="00883125">
              <w:br/>
              <w:t>(2001–2012)</w:t>
            </w:r>
          </w:p>
        </w:tc>
        <w:tc>
          <w:tcPr>
            <w:tcW w:w="3260" w:type="dxa"/>
          </w:tcPr>
          <w:p w:rsidR="00C52695" w:rsidRPr="00C52695" w:rsidRDefault="00C52695" w:rsidP="00C52695">
            <w:r w:rsidRPr="00883125">
              <w:t>Range derived from large number of permutations and sensitivity tests.</w:t>
            </w:r>
          </w:p>
        </w:tc>
      </w:tr>
      <w:tr w:rsidR="00C52695" w:rsidRPr="00222643" w:rsidTr="00BF1C4B">
        <w:trPr>
          <w:cnfStyle w:val="000000010000" w:firstRow="0" w:lastRow="0" w:firstColumn="0" w:lastColumn="0" w:oddVBand="0" w:evenVBand="0" w:oddHBand="0" w:evenHBand="1" w:firstRowFirstColumn="0" w:firstRowLastColumn="0" w:lastRowFirstColumn="0" w:lastRowLastColumn="0"/>
          <w:cantSplit/>
        </w:trPr>
        <w:tc>
          <w:tcPr>
            <w:tcW w:w="250" w:type="dxa"/>
          </w:tcPr>
          <w:p w:rsidR="00C52695" w:rsidRPr="00883125" w:rsidRDefault="00C52695" w:rsidP="00C52695"/>
        </w:tc>
        <w:tc>
          <w:tcPr>
            <w:tcW w:w="2977" w:type="dxa"/>
            <w:gridSpan w:val="2"/>
          </w:tcPr>
          <w:p w:rsidR="00C52695" w:rsidRPr="00C52695" w:rsidRDefault="00C52695" w:rsidP="00C52695">
            <w:r w:rsidRPr="00883125">
              <w:t xml:space="preserve">SFG </w:t>
            </w:r>
            <w:r w:rsidRPr="00C52695">
              <w:t>(2013a)</w:t>
            </w:r>
            <w:r w:rsidRPr="00C52695">
              <w:rPr>
                <w:rStyle w:val="FootnoteReference"/>
              </w:rPr>
              <w:footnoteReference w:id="710"/>
            </w:r>
          </w:p>
        </w:tc>
        <w:tc>
          <w:tcPr>
            <w:tcW w:w="1346" w:type="dxa"/>
          </w:tcPr>
          <w:p w:rsidR="00C52695" w:rsidRPr="00883125" w:rsidRDefault="00C52695" w:rsidP="00C52695"/>
        </w:tc>
        <w:tc>
          <w:tcPr>
            <w:tcW w:w="1347" w:type="dxa"/>
          </w:tcPr>
          <w:p w:rsidR="00C52695" w:rsidRPr="00C52695" w:rsidRDefault="00C52695" w:rsidP="00C52695">
            <w:r w:rsidRPr="00883125">
              <w:t>0.35</w:t>
            </w:r>
            <w:r w:rsidRPr="00883125">
              <w:br/>
              <w:t>(2001–2012)</w:t>
            </w:r>
          </w:p>
        </w:tc>
        <w:tc>
          <w:tcPr>
            <w:tcW w:w="3260" w:type="dxa"/>
          </w:tcPr>
          <w:p w:rsidR="00C52695" w:rsidRPr="00C52695" w:rsidRDefault="00C52695" w:rsidP="00C52695">
            <w:r w:rsidRPr="00883125">
              <w:t xml:space="preserve">Author's point estimate </w:t>
            </w:r>
            <w:r w:rsidRPr="00C52695">
              <w:t>across a number of different regression forms.</w:t>
            </w:r>
          </w:p>
        </w:tc>
      </w:tr>
      <w:tr w:rsidR="00C52695" w:rsidRPr="00222643" w:rsidTr="00BF1C4B">
        <w:trPr>
          <w:cantSplit/>
        </w:trPr>
        <w:tc>
          <w:tcPr>
            <w:tcW w:w="250" w:type="dxa"/>
          </w:tcPr>
          <w:p w:rsidR="00C52695" w:rsidRPr="00883125" w:rsidRDefault="00C52695" w:rsidP="00C52695"/>
        </w:tc>
        <w:tc>
          <w:tcPr>
            <w:tcW w:w="2977" w:type="dxa"/>
            <w:gridSpan w:val="2"/>
          </w:tcPr>
          <w:p w:rsidR="00C52695" w:rsidRPr="00C52695" w:rsidRDefault="00C52695" w:rsidP="00C52695">
            <w:r w:rsidRPr="00883125">
              <w:t>SFG (2011)</w:t>
            </w:r>
            <w:r w:rsidRPr="00C52695">
              <w:rPr>
                <w:rStyle w:val="FootnoteReference"/>
              </w:rPr>
              <w:footnoteReference w:id="711"/>
            </w:r>
          </w:p>
        </w:tc>
        <w:tc>
          <w:tcPr>
            <w:tcW w:w="1346" w:type="dxa"/>
          </w:tcPr>
          <w:p w:rsidR="00C52695" w:rsidRPr="00883125" w:rsidRDefault="00C52695" w:rsidP="00C52695"/>
        </w:tc>
        <w:tc>
          <w:tcPr>
            <w:tcW w:w="1347" w:type="dxa"/>
          </w:tcPr>
          <w:p w:rsidR="00C52695" w:rsidRPr="00C52695" w:rsidRDefault="00C52695" w:rsidP="00C52695">
            <w:r w:rsidRPr="00883125">
              <w:t>0.35</w:t>
            </w:r>
            <w:r w:rsidRPr="00883125">
              <w:br/>
            </w:r>
            <w:r w:rsidRPr="00C52695">
              <w:t>(2001–2010)</w:t>
            </w:r>
          </w:p>
        </w:tc>
        <w:tc>
          <w:tcPr>
            <w:tcW w:w="3260" w:type="dxa"/>
          </w:tcPr>
          <w:p w:rsidR="00C52695" w:rsidRPr="00883125" w:rsidRDefault="00C52695" w:rsidP="00C52695"/>
        </w:tc>
      </w:tr>
      <w:tr w:rsidR="00C52695" w:rsidRPr="00222643" w:rsidTr="00BF1C4B">
        <w:trPr>
          <w:cnfStyle w:val="000000010000" w:firstRow="0" w:lastRow="0" w:firstColumn="0" w:lastColumn="0" w:oddVBand="0" w:evenVBand="0" w:oddHBand="0" w:evenHBand="1" w:firstRowFirstColumn="0" w:firstRowLastColumn="0" w:lastRowFirstColumn="0" w:lastRowLastColumn="0"/>
          <w:cantSplit/>
          <w:trHeight w:val="301"/>
        </w:trPr>
        <w:tc>
          <w:tcPr>
            <w:tcW w:w="250" w:type="dxa"/>
          </w:tcPr>
          <w:p w:rsidR="00C52695" w:rsidRPr="00883125" w:rsidRDefault="00C52695" w:rsidP="00C52695"/>
        </w:tc>
        <w:tc>
          <w:tcPr>
            <w:tcW w:w="2977" w:type="dxa"/>
            <w:gridSpan w:val="2"/>
          </w:tcPr>
          <w:p w:rsidR="00C52695" w:rsidRPr="00C52695" w:rsidRDefault="00C52695" w:rsidP="00C52695">
            <w:r w:rsidRPr="00883125">
              <w:t>Minney (2010)</w:t>
            </w:r>
            <w:r w:rsidRPr="00C52695">
              <w:rPr>
                <w:rStyle w:val="FootnoteReference"/>
              </w:rPr>
              <w:footnoteReference w:id="712"/>
            </w:r>
          </w:p>
        </w:tc>
        <w:tc>
          <w:tcPr>
            <w:tcW w:w="1346" w:type="dxa"/>
          </w:tcPr>
          <w:p w:rsidR="00C52695" w:rsidRPr="00883125" w:rsidRDefault="00C52695" w:rsidP="00C52695"/>
        </w:tc>
        <w:tc>
          <w:tcPr>
            <w:tcW w:w="1347" w:type="dxa"/>
          </w:tcPr>
          <w:p w:rsidR="00C52695" w:rsidRPr="00C52695" w:rsidRDefault="00C52695" w:rsidP="00C52695">
            <w:r w:rsidRPr="00883125">
              <w:t>0.39</w:t>
            </w:r>
            <w:r w:rsidRPr="00883125">
              <w:br/>
              <w:t>(2001–2009)</w:t>
            </w:r>
          </w:p>
        </w:tc>
        <w:tc>
          <w:tcPr>
            <w:tcW w:w="3260" w:type="dxa"/>
          </w:tcPr>
          <w:p w:rsidR="00C52695" w:rsidRPr="00C52695" w:rsidRDefault="00C52695" w:rsidP="00C52695">
            <w:r w:rsidRPr="00883125">
              <w:t xml:space="preserve">Average of results from 2001–2005 and 2006–2009 sub-periods. For the most recent </w:t>
            </w:r>
            <w:r w:rsidRPr="00C52695">
              <w:t>sub-period (2006–2009), utilisation rate is 0.53.</w:t>
            </w:r>
          </w:p>
        </w:tc>
      </w:tr>
      <w:tr w:rsidR="00C52695" w:rsidRPr="00222643" w:rsidTr="00BF1C4B">
        <w:trPr>
          <w:cantSplit/>
          <w:trHeight w:val="720"/>
        </w:trPr>
        <w:tc>
          <w:tcPr>
            <w:tcW w:w="250" w:type="dxa"/>
          </w:tcPr>
          <w:p w:rsidR="00C52695" w:rsidRPr="00883125" w:rsidRDefault="00C52695" w:rsidP="00C52695"/>
        </w:tc>
        <w:tc>
          <w:tcPr>
            <w:tcW w:w="2977" w:type="dxa"/>
            <w:gridSpan w:val="2"/>
          </w:tcPr>
          <w:p w:rsidR="00C52695" w:rsidRPr="00C52695" w:rsidRDefault="00C52695" w:rsidP="00C52695">
            <w:r w:rsidRPr="00883125">
              <w:t xml:space="preserve">Beggs </w:t>
            </w:r>
            <w:r w:rsidRPr="00C52695">
              <w:t>and Skeels (2006)</w:t>
            </w:r>
            <w:r w:rsidRPr="00C52695">
              <w:rPr>
                <w:rStyle w:val="FootnoteReference"/>
              </w:rPr>
              <w:footnoteReference w:id="713"/>
            </w:r>
          </w:p>
        </w:tc>
        <w:tc>
          <w:tcPr>
            <w:tcW w:w="1346" w:type="dxa"/>
          </w:tcPr>
          <w:p w:rsidR="00C52695" w:rsidRPr="00C52695" w:rsidRDefault="00C52695" w:rsidP="00C52695">
            <w:r w:rsidRPr="00883125">
              <w:t>0.20</w:t>
            </w:r>
            <w:r w:rsidRPr="00883125">
              <w:br/>
              <w:t>(1992–1997)</w:t>
            </w:r>
          </w:p>
        </w:tc>
        <w:tc>
          <w:tcPr>
            <w:tcW w:w="1347" w:type="dxa"/>
          </w:tcPr>
          <w:p w:rsidR="00C52695" w:rsidRPr="00C52695" w:rsidRDefault="00C52695" w:rsidP="00C52695">
            <w:r w:rsidRPr="00883125">
              <w:t>0.57</w:t>
            </w:r>
            <w:r w:rsidRPr="00883125">
              <w:br/>
              <w:t>(2001–2004)</w:t>
            </w:r>
          </w:p>
        </w:tc>
        <w:tc>
          <w:tcPr>
            <w:tcW w:w="3260" w:type="dxa"/>
          </w:tcPr>
          <w:p w:rsidR="00C52695" w:rsidRPr="00C52695" w:rsidRDefault="00C52695" w:rsidP="00C52695">
            <w:r w:rsidRPr="00883125">
              <w:t xml:space="preserve">Several other </w:t>
            </w:r>
            <w:r w:rsidRPr="00C52695">
              <w:t>pre-2000 periods are presented.</w:t>
            </w:r>
          </w:p>
        </w:tc>
      </w:tr>
      <w:tr w:rsidR="00C52695" w:rsidRPr="00222643" w:rsidTr="00BF1C4B">
        <w:trPr>
          <w:cnfStyle w:val="000000010000" w:firstRow="0" w:lastRow="0" w:firstColumn="0" w:lastColumn="0" w:oddVBand="0" w:evenVBand="0" w:oddHBand="0" w:evenHBand="1" w:firstRowFirstColumn="0" w:firstRowLastColumn="0" w:lastRowFirstColumn="0" w:lastRowLastColumn="0"/>
          <w:cantSplit/>
          <w:trHeight w:val="789"/>
        </w:trPr>
        <w:tc>
          <w:tcPr>
            <w:tcW w:w="250" w:type="dxa"/>
          </w:tcPr>
          <w:p w:rsidR="00C52695" w:rsidRPr="00883125" w:rsidRDefault="00C52695" w:rsidP="00C52695"/>
        </w:tc>
        <w:tc>
          <w:tcPr>
            <w:tcW w:w="2977" w:type="dxa"/>
            <w:gridSpan w:val="2"/>
          </w:tcPr>
          <w:p w:rsidR="00C52695" w:rsidRPr="00C52695" w:rsidRDefault="00C52695" w:rsidP="00C52695">
            <w:r w:rsidRPr="00883125">
              <w:t>Hathaway and Officer (2004)</w:t>
            </w:r>
            <w:r w:rsidRPr="00C52695">
              <w:rPr>
                <w:rStyle w:val="FootnoteReference"/>
              </w:rPr>
              <w:footnoteReference w:id="714"/>
            </w:r>
          </w:p>
        </w:tc>
        <w:tc>
          <w:tcPr>
            <w:tcW w:w="1346" w:type="dxa"/>
          </w:tcPr>
          <w:p w:rsidR="00C52695" w:rsidRPr="00C52695" w:rsidRDefault="00C52695" w:rsidP="00C52695">
            <w:r w:rsidRPr="00883125">
              <w:t>0.49</w:t>
            </w:r>
            <w:r w:rsidRPr="00883125">
              <w:br/>
              <w:t>(1986–2004)</w:t>
            </w:r>
          </w:p>
        </w:tc>
        <w:tc>
          <w:tcPr>
            <w:tcW w:w="1347" w:type="dxa"/>
          </w:tcPr>
          <w:p w:rsidR="00C52695" w:rsidRPr="00883125" w:rsidRDefault="00C52695" w:rsidP="00C52695"/>
        </w:tc>
        <w:tc>
          <w:tcPr>
            <w:tcW w:w="3260" w:type="dxa"/>
          </w:tcPr>
          <w:p w:rsidR="00C52695" w:rsidRPr="00C52695" w:rsidRDefault="00C52695" w:rsidP="00C52695">
            <w:r w:rsidRPr="00883125">
              <w:t xml:space="preserve">Authors suggest that estimate has increased </w:t>
            </w:r>
            <w:r w:rsidRPr="00C52695">
              <w:t>post-2000.</w:t>
            </w:r>
          </w:p>
        </w:tc>
      </w:tr>
      <w:tr w:rsidR="00C52695" w:rsidRPr="00222643" w:rsidTr="00BF1C4B">
        <w:trPr>
          <w:cantSplit/>
        </w:trPr>
        <w:tc>
          <w:tcPr>
            <w:tcW w:w="250" w:type="dxa"/>
          </w:tcPr>
          <w:p w:rsidR="00C52695" w:rsidRPr="00883125" w:rsidRDefault="00C52695" w:rsidP="00C52695"/>
        </w:tc>
        <w:tc>
          <w:tcPr>
            <w:tcW w:w="2977" w:type="dxa"/>
            <w:gridSpan w:val="2"/>
          </w:tcPr>
          <w:p w:rsidR="00C52695" w:rsidRPr="00C52695" w:rsidRDefault="00C52695" w:rsidP="00C52695">
            <w:r w:rsidRPr="00883125">
              <w:t>Bellamy and Gray (2004)</w:t>
            </w:r>
            <w:r w:rsidRPr="00C52695">
              <w:rPr>
                <w:rStyle w:val="FootnoteReference"/>
              </w:rPr>
              <w:footnoteReference w:id="715"/>
            </w:r>
          </w:p>
        </w:tc>
        <w:tc>
          <w:tcPr>
            <w:tcW w:w="1346" w:type="dxa"/>
          </w:tcPr>
          <w:p w:rsidR="00C52695" w:rsidRPr="00C52695" w:rsidRDefault="00C52695" w:rsidP="00C52695">
            <w:r w:rsidRPr="00883125">
              <w:t>0.36</w:t>
            </w:r>
            <w:r w:rsidRPr="00883125">
              <w:br/>
              <w:t>(1995–2002)</w:t>
            </w:r>
          </w:p>
        </w:tc>
        <w:tc>
          <w:tcPr>
            <w:tcW w:w="1347" w:type="dxa"/>
          </w:tcPr>
          <w:p w:rsidR="00C52695" w:rsidRPr="00883125" w:rsidRDefault="00C52695" w:rsidP="00C52695"/>
        </w:tc>
        <w:tc>
          <w:tcPr>
            <w:tcW w:w="3260" w:type="dxa"/>
          </w:tcPr>
          <w:p w:rsidR="00C52695" w:rsidRPr="00C52695" w:rsidRDefault="00C52695" w:rsidP="00C52695">
            <w:r w:rsidRPr="00883125">
              <w:t>Range of</w:t>
            </w:r>
            <w:r w:rsidRPr="00C52695">
              <w:t xml:space="preserve"> 0.0–0.60 is also presented.</w:t>
            </w:r>
          </w:p>
        </w:tc>
      </w:tr>
      <w:tr w:rsidR="00C52695" w:rsidRPr="00222643" w:rsidTr="00BF1C4B">
        <w:trPr>
          <w:cnfStyle w:val="000000010000" w:firstRow="0" w:lastRow="0" w:firstColumn="0" w:lastColumn="0" w:oddVBand="0" w:evenVBand="0" w:oddHBand="0" w:evenHBand="1" w:firstRowFirstColumn="0" w:firstRowLastColumn="0" w:lastRowFirstColumn="0" w:lastRowLastColumn="0"/>
          <w:cantSplit/>
        </w:trPr>
        <w:tc>
          <w:tcPr>
            <w:tcW w:w="250" w:type="dxa"/>
          </w:tcPr>
          <w:p w:rsidR="00C52695" w:rsidRPr="00883125" w:rsidRDefault="00C52695" w:rsidP="00C52695"/>
        </w:tc>
        <w:tc>
          <w:tcPr>
            <w:tcW w:w="2977" w:type="dxa"/>
            <w:gridSpan w:val="2"/>
          </w:tcPr>
          <w:p w:rsidR="00C52695" w:rsidRPr="00C52695" w:rsidRDefault="00C52695" w:rsidP="00C52695">
            <w:r w:rsidRPr="00883125">
              <w:t>Bruckner et al (1994)</w:t>
            </w:r>
            <w:r w:rsidRPr="00C52695">
              <w:rPr>
                <w:rStyle w:val="FootnoteReference"/>
              </w:rPr>
              <w:footnoteReference w:id="716"/>
            </w:r>
          </w:p>
        </w:tc>
        <w:tc>
          <w:tcPr>
            <w:tcW w:w="1346" w:type="dxa"/>
          </w:tcPr>
          <w:p w:rsidR="00C52695" w:rsidRPr="00C52695" w:rsidRDefault="00C52695" w:rsidP="00C52695">
            <w:r w:rsidRPr="00883125">
              <w:t>0.69</w:t>
            </w:r>
            <w:r w:rsidRPr="00883125">
              <w:br/>
            </w:r>
            <w:r w:rsidRPr="00C52695">
              <w:t>(1991–1993)</w:t>
            </w:r>
          </w:p>
        </w:tc>
        <w:tc>
          <w:tcPr>
            <w:tcW w:w="1347" w:type="dxa"/>
          </w:tcPr>
          <w:p w:rsidR="00C52695" w:rsidRPr="00883125" w:rsidRDefault="00C52695" w:rsidP="00C52695"/>
        </w:tc>
        <w:tc>
          <w:tcPr>
            <w:tcW w:w="3260" w:type="dxa"/>
          </w:tcPr>
          <w:p w:rsidR="00C52695" w:rsidRPr="00C52695" w:rsidRDefault="00C52695" w:rsidP="00C52695">
            <w:r w:rsidRPr="00883125">
              <w:t>Also present an earlier period (1987–1990).</w:t>
            </w:r>
          </w:p>
        </w:tc>
      </w:tr>
      <w:tr w:rsidR="00C52695" w:rsidRPr="00222643" w:rsidTr="00BF1C4B">
        <w:trPr>
          <w:cantSplit/>
        </w:trPr>
        <w:tc>
          <w:tcPr>
            <w:tcW w:w="250" w:type="dxa"/>
          </w:tcPr>
          <w:p w:rsidR="00C52695" w:rsidRPr="00883125" w:rsidRDefault="00C52695" w:rsidP="00C52695"/>
        </w:tc>
        <w:tc>
          <w:tcPr>
            <w:tcW w:w="2977" w:type="dxa"/>
            <w:gridSpan w:val="2"/>
          </w:tcPr>
          <w:p w:rsidR="00C52695" w:rsidRPr="00C52695" w:rsidRDefault="00C52695" w:rsidP="00C52695">
            <w:r w:rsidRPr="00883125">
              <w:t>Brown and Clarke (1993)</w:t>
            </w:r>
            <w:r w:rsidRPr="00C52695">
              <w:rPr>
                <w:rStyle w:val="FootnoteReference"/>
              </w:rPr>
              <w:footnoteReference w:id="717"/>
            </w:r>
          </w:p>
        </w:tc>
        <w:tc>
          <w:tcPr>
            <w:tcW w:w="1346" w:type="dxa"/>
          </w:tcPr>
          <w:p w:rsidR="00C52695" w:rsidRPr="00C52695" w:rsidRDefault="00C52695" w:rsidP="00C52695">
            <w:r w:rsidRPr="00883125">
              <w:t>0.80</w:t>
            </w:r>
            <w:r w:rsidRPr="00883125">
              <w:br/>
              <w:t>(1988–1991)</w:t>
            </w:r>
          </w:p>
        </w:tc>
        <w:tc>
          <w:tcPr>
            <w:tcW w:w="1347" w:type="dxa"/>
          </w:tcPr>
          <w:p w:rsidR="00C52695" w:rsidRPr="00883125" w:rsidRDefault="00C52695" w:rsidP="00C52695"/>
        </w:tc>
        <w:tc>
          <w:tcPr>
            <w:tcW w:w="3260" w:type="dxa"/>
          </w:tcPr>
          <w:p w:rsidR="00C52695" w:rsidRPr="00883125" w:rsidRDefault="00C52695" w:rsidP="00C52695"/>
        </w:tc>
      </w:tr>
    </w:tbl>
    <w:p w:rsidR="00C52695" w:rsidRPr="00883125" w:rsidRDefault="00C52695" w:rsidP="00C52695">
      <w:pPr>
        <w:pStyle w:val="AERtablesource"/>
      </w:pPr>
      <w:r w:rsidRPr="00883125">
        <w:t xml:space="preserve">Source: </w:t>
      </w:r>
      <w:r w:rsidRPr="00883125">
        <w:tab/>
        <w:t>As specified in table.</w:t>
      </w:r>
    </w:p>
    <w:p w:rsidR="00C52695" w:rsidRDefault="00C52695" w:rsidP="00C52695">
      <w:pPr>
        <w:rPr>
          <w:rStyle w:val="AERbody"/>
        </w:rPr>
      </w:pPr>
      <w:bookmarkStart w:id="419" w:name="_Ref401076250"/>
      <w:r w:rsidRPr="00883125">
        <w:rPr>
          <w:rStyle w:val="AERbody"/>
        </w:rPr>
        <w:t>As is evident in the table above</w:t>
      </w:r>
      <w:r w:rsidRPr="00B27BE5">
        <w:rPr>
          <w:rStyle w:val="AERbody"/>
        </w:rPr>
        <w:t xml:space="preserve">, dividend drop off studies suggest that the utilisation </w:t>
      </w:r>
      <w:r w:rsidRPr="00B27BE5">
        <w:t xml:space="preserve">value </w:t>
      </w:r>
      <w:r w:rsidRPr="00B27BE5">
        <w:rPr>
          <w:rStyle w:val="AERbody"/>
        </w:rPr>
        <w:t>is in the range of 0.35 to 0.57 when using post 2000 data and is in the range of 0.2 to 0.8 when using pre 2000 data. This is consistent with the finding in Ainsworth, Partington and Warren (2015) which considers that the dividend drop-off and comparative pricing studies they examine would suggest that imputation credits are partially priced at about $0.38 in the dollar.</w:t>
      </w:r>
      <w:r w:rsidRPr="00B27BE5">
        <w:rPr>
          <w:rStyle w:val="FootnoteReference"/>
        </w:rPr>
        <w:footnoteReference w:id="718"/>
      </w:r>
    </w:p>
    <w:p w:rsidR="002D1212" w:rsidRPr="00A962CC" w:rsidRDefault="000C5949" w:rsidP="00C52695">
      <w:pPr>
        <w:rPr>
          <w:rStyle w:val="AERbody"/>
        </w:rPr>
      </w:pPr>
      <w:r w:rsidRPr="00A962CC">
        <w:rPr>
          <w:rStyle w:val="AERbody"/>
        </w:rPr>
        <w:lastRenderedPageBreak/>
        <w:t>R</w:t>
      </w:r>
      <w:r w:rsidR="00D83160" w:rsidRPr="00A962CC">
        <w:rPr>
          <w:rStyle w:val="AERbody"/>
        </w:rPr>
        <w:t xml:space="preserve">egulated businesses </w:t>
      </w:r>
      <w:r w:rsidR="0045326E" w:rsidRPr="00A962CC">
        <w:rPr>
          <w:rStyle w:val="AERbody"/>
        </w:rPr>
        <w:t>have solely rel</w:t>
      </w:r>
      <w:r w:rsidR="0045326E" w:rsidRPr="00E2259C">
        <w:rPr>
          <w:rStyle w:val="AERbody"/>
        </w:rPr>
        <w:t>ied</w:t>
      </w:r>
      <w:r w:rsidR="00D83160" w:rsidRPr="00E2259C">
        <w:rPr>
          <w:rStyle w:val="AERbody"/>
        </w:rPr>
        <w:t xml:space="preserve"> </w:t>
      </w:r>
      <w:r w:rsidRPr="00B7446E">
        <w:rPr>
          <w:rStyle w:val="AERbody"/>
        </w:rPr>
        <w:t>on</w:t>
      </w:r>
      <w:r w:rsidRPr="007A77C1">
        <w:rPr>
          <w:rStyle w:val="AERbody"/>
        </w:rPr>
        <w:t xml:space="preserve"> the SFG 2011 dividend drop off study</w:t>
      </w:r>
      <w:r w:rsidRPr="00313CB3">
        <w:rPr>
          <w:rStyle w:val="AERbody"/>
        </w:rPr>
        <w:t xml:space="preserve"> </w:t>
      </w:r>
      <w:r w:rsidR="0045326E" w:rsidRPr="00B505F7">
        <w:rPr>
          <w:rStyle w:val="AERbody"/>
        </w:rPr>
        <w:t>to determine</w:t>
      </w:r>
      <w:r w:rsidRPr="00B505F7">
        <w:rPr>
          <w:rStyle w:val="AERbody"/>
        </w:rPr>
        <w:t xml:space="preserve"> their theta estimate. Frontier </w:t>
      </w:r>
      <w:r w:rsidRPr="005A48E0">
        <w:rPr>
          <w:rStyle w:val="AERbody"/>
        </w:rPr>
        <w:t xml:space="preserve">has updated </w:t>
      </w:r>
      <w:r w:rsidR="00630BA8" w:rsidRPr="005A48E0">
        <w:rPr>
          <w:rStyle w:val="AERbody"/>
        </w:rPr>
        <w:t>this</w:t>
      </w:r>
      <w:r w:rsidRPr="005A48E0">
        <w:rPr>
          <w:rStyle w:val="AERbody"/>
        </w:rPr>
        <w:t xml:space="preserve"> SFG study for the most recent data and </w:t>
      </w:r>
      <w:r w:rsidR="00630BA8" w:rsidRPr="005A48E0">
        <w:rPr>
          <w:rStyle w:val="AERbody"/>
        </w:rPr>
        <w:t xml:space="preserve">has </w:t>
      </w:r>
      <w:r w:rsidRPr="005A48E0">
        <w:rPr>
          <w:rStyle w:val="AERbody"/>
        </w:rPr>
        <w:t xml:space="preserve">concluded that a theta </w:t>
      </w:r>
      <w:r w:rsidR="00630BA8" w:rsidRPr="005A48E0">
        <w:rPr>
          <w:rStyle w:val="AERbody"/>
        </w:rPr>
        <w:t xml:space="preserve">estimate </w:t>
      </w:r>
      <w:r w:rsidRPr="005A48E0">
        <w:rPr>
          <w:rStyle w:val="AERbody"/>
        </w:rPr>
        <w:t xml:space="preserve">of 0.35 </w:t>
      </w:r>
      <w:r w:rsidR="00630BA8" w:rsidRPr="005A48E0">
        <w:rPr>
          <w:rStyle w:val="AERbody"/>
        </w:rPr>
        <w:t xml:space="preserve">still </w:t>
      </w:r>
      <w:r w:rsidRPr="005A48E0">
        <w:rPr>
          <w:rStyle w:val="AERbody"/>
        </w:rPr>
        <w:t>remains appropriate</w:t>
      </w:r>
      <w:r w:rsidR="00630BA8" w:rsidRPr="00A962CC">
        <w:rPr>
          <w:rStyle w:val="AERbody"/>
        </w:rPr>
        <w:t>.</w:t>
      </w:r>
      <w:r w:rsidR="00630BA8" w:rsidRPr="00A962CC">
        <w:rPr>
          <w:rStyle w:val="FootnoteReference"/>
        </w:rPr>
        <w:footnoteReference w:id="719"/>
      </w:r>
      <w:r w:rsidR="004D4040" w:rsidRPr="00A962CC">
        <w:rPr>
          <w:rStyle w:val="AERbody"/>
        </w:rPr>
        <w:t xml:space="preserve"> </w:t>
      </w:r>
      <w:r w:rsidR="002D1212" w:rsidRPr="00A962CC">
        <w:rPr>
          <w:rStyle w:val="AERbody"/>
        </w:rPr>
        <w:t>It is submitted that Professor Gray has exten</w:t>
      </w:r>
      <w:r w:rsidR="002D1212" w:rsidRPr="00E2259C">
        <w:rPr>
          <w:rStyle w:val="AERbody"/>
        </w:rPr>
        <w:t>ded the dataset from 2</w:t>
      </w:r>
      <w:r w:rsidR="00314175">
        <w:rPr>
          <w:rStyle w:val="AERbody"/>
        </w:rPr>
        <w:t>013 update through to June 2016. H</w:t>
      </w:r>
      <w:r w:rsidR="002D1212" w:rsidRPr="00E2259C">
        <w:rPr>
          <w:rStyle w:val="AERbody"/>
        </w:rPr>
        <w:t xml:space="preserve">aving undertaken the same analysis </w:t>
      </w:r>
      <w:r w:rsidR="00A041D8">
        <w:rPr>
          <w:rStyle w:val="AERbody"/>
        </w:rPr>
        <w:t>as in the SFG 2011 study</w:t>
      </w:r>
      <w:r w:rsidR="00314175">
        <w:rPr>
          <w:rStyle w:val="AERbody"/>
        </w:rPr>
        <w:t>,</w:t>
      </w:r>
      <w:r w:rsidR="00A041D8">
        <w:rPr>
          <w:rStyle w:val="AERbody"/>
        </w:rPr>
        <w:t xml:space="preserve"> Gray </w:t>
      </w:r>
      <w:r w:rsidR="002D1212" w:rsidRPr="00E2259C">
        <w:rPr>
          <w:rStyle w:val="AERbody"/>
        </w:rPr>
        <w:t xml:space="preserve">concludes that the updated </w:t>
      </w:r>
      <w:r w:rsidR="00A041D8">
        <w:rPr>
          <w:rStyle w:val="AERbody"/>
        </w:rPr>
        <w:t xml:space="preserve">data </w:t>
      </w:r>
      <w:r w:rsidR="002D1212" w:rsidRPr="00E2259C">
        <w:rPr>
          <w:rStyle w:val="AERbody"/>
        </w:rPr>
        <w:t xml:space="preserve">supports an unchanged theta </w:t>
      </w:r>
      <w:r w:rsidR="00A041D8" w:rsidRPr="00E2259C">
        <w:rPr>
          <w:rStyle w:val="AERbody"/>
        </w:rPr>
        <w:t xml:space="preserve">estimate </w:t>
      </w:r>
      <w:r w:rsidR="002D1212" w:rsidRPr="00E2259C">
        <w:rPr>
          <w:rStyle w:val="AERbody"/>
        </w:rPr>
        <w:t>of 0.35.</w:t>
      </w:r>
      <w:r w:rsidR="00283213" w:rsidRPr="00A962CC">
        <w:rPr>
          <w:rStyle w:val="FootnoteReference"/>
        </w:rPr>
        <w:footnoteReference w:id="720"/>
      </w:r>
    </w:p>
    <w:p w:rsidR="00EE34C4" w:rsidRPr="00B505F7" w:rsidRDefault="00EE34C4" w:rsidP="00C52695">
      <w:pPr>
        <w:rPr>
          <w:rStyle w:val="AERbody"/>
        </w:rPr>
      </w:pPr>
      <w:r w:rsidRPr="00E2259C">
        <w:rPr>
          <w:rStyle w:val="AERbody"/>
        </w:rPr>
        <w:t>Lally has reviewed the update</w:t>
      </w:r>
      <w:r w:rsidR="00314175">
        <w:rPr>
          <w:rStyle w:val="AERbody"/>
        </w:rPr>
        <w:t>d</w:t>
      </w:r>
      <w:r w:rsidRPr="00E2259C">
        <w:rPr>
          <w:rStyle w:val="AERbody"/>
        </w:rPr>
        <w:t xml:space="preserve"> dividend drop-off study and found</w:t>
      </w:r>
      <w:r w:rsidR="00FA0D11" w:rsidRPr="00B7446E">
        <w:rPr>
          <w:rStyle w:val="AERbody"/>
        </w:rPr>
        <w:t xml:space="preserve"> th</w:t>
      </w:r>
      <w:r w:rsidR="00FA0D11" w:rsidRPr="007A77C1">
        <w:rPr>
          <w:rStyle w:val="AERbody"/>
        </w:rPr>
        <w:t>at</w:t>
      </w:r>
      <w:r w:rsidRPr="00313CB3">
        <w:rPr>
          <w:rStyle w:val="AERbody"/>
        </w:rPr>
        <w:t>:</w:t>
      </w:r>
    </w:p>
    <w:p w:rsidR="00FA0D11" w:rsidRPr="00D75E7C" w:rsidRDefault="00B20921" w:rsidP="00E750F8">
      <w:pPr>
        <w:pStyle w:val="AERbulletlistfirststyle"/>
        <w:rPr>
          <w:rStyle w:val="AERbody"/>
        </w:rPr>
      </w:pPr>
      <w:r w:rsidRPr="00B505F7">
        <w:rPr>
          <w:rStyle w:val="AERbody"/>
        </w:rPr>
        <w:t>Other studies using market prices g</w:t>
      </w:r>
      <w:r w:rsidRPr="005A48E0">
        <w:rPr>
          <w:rStyle w:val="AERbody"/>
        </w:rPr>
        <w:t>enerated a very wide range in the estimates of the utilisation r</w:t>
      </w:r>
      <w:r w:rsidR="00A041D8">
        <w:rPr>
          <w:rStyle w:val="AERbody"/>
        </w:rPr>
        <w:t>ate, even over the same period. T</w:t>
      </w:r>
      <w:r w:rsidRPr="005A48E0">
        <w:rPr>
          <w:rStyle w:val="AERbody"/>
        </w:rPr>
        <w:t>his damages the credibility of all such estimates unless it can be demonstrated that one m</w:t>
      </w:r>
      <w:r w:rsidR="00314175">
        <w:rPr>
          <w:rStyle w:val="AERbody"/>
        </w:rPr>
        <w:t>ethodology is clearly superior, which has not been done</w:t>
      </w:r>
      <w:r w:rsidRPr="00D75E7C">
        <w:rPr>
          <w:rStyle w:val="AERbody"/>
        </w:rPr>
        <w:t>.</w:t>
      </w:r>
      <w:r w:rsidRPr="00D75E7C">
        <w:rPr>
          <w:rStyle w:val="FootnoteReference"/>
        </w:rPr>
        <w:footnoteReference w:id="721"/>
      </w:r>
    </w:p>
    <w:p w:rsidR="00037690" w:rsidRPr="001224E1" w:rsidRDefault="00037690" w:rsidP="00E750F8">
      <w:pPr>
        <w:pStyle w:val="AERbulletlistfirststyle"/>
        <w:rPr>
          <w:rStyle w:val="AERbody"/>
        </w:rPr>
      </w:pPr>
      <w:r w:rsidRPr="00A316DD">
        <w:rPr>
          <w:rStyle w:val="AERbody"/>
        </w:rPr>
        <w:t>The variation over time in results from the same methodology does not exhibit a pattern that is consistent with changes in the tax regime, and this also damages the credibi</w:t>
      </w:r>
      <w:r w:rsidRPr="00E11684">
        <w:rPr>
          <w:rStyle w:val="AERbody"/>
        </w:rPr>
        <w:t>lity of all such estimates.</w:t>
      </w:r>
      <w:r w:rsidRPr="001224E1">
        <w:rPr>
          <w:rStyle w:val="FootnoteReference"/>
        </w:rPr>
        <w:footnoteReference w:id="722"/>
      </w:r>
    </w:p>
    <w:p w:rsidR="004A20C0" w:rsidRPr="000028DB" w:rsidRDefault="004A20C0" w:rsidP="00E750F8">
      <w:pPr>
        <w:pStyle w:val="AERbulletlistfirststyle"/>
        <w:rPr>
          <w:rStyle w:val="AERbody"/>
        </w:rPr>
      </w:pPr>
      <w:r w:rsidRPr="000028DB">
        <w:rPr>
          <w:rStyle w:val="AERbody"/>
        </w:rPr>
        <w:t>Despite the very large sample size in Frontier's analysis, there is considerable statistical uncertainty in the results, arising from 'noise' in the data.</w:t>
      </w:r>
      <w:r w:rsidRPr="000028DB">
        <w:rPr>
          <w:rStyle w:val="FootnoteReference"/>
        </w:rPr>
        <w:footnoteReference w:id="723"/>
      </w:r>
    </w:p>
    <w:p w:rsidR="00283213" w:rsidRPr="00A962CC" w:rsidRDefault="00A041D8" w:rsidP="00E750F8">
      <w:pPr>
        <w:pStyle w:val="AERbulletlistfirststyle"/>
      </w:pPr>
      <w:r>
        <w:t>A</w:t>
      </w:r>
      <w:r w:rsidR="00283213" w:rsidRPr="000028DB">
        <w:t xml:space="preserve">pplying the same methodology and data filtering rules to data </w:t>
      </w:r>
      <w:r w:rsidR="00283213" w:rsidRPr="00F7654C">
        <w:t>from an almost identical period to that in SFG (2013), Vo et al (2013) generate</w:t>
      </w:r>
      <w:r w:rsidR="00E84AD8">
        <w:t>s</w:t>
      </w:r>
      <w:r w:rsidR="00283213" w:rsidRPr="00F7654C">
        <w:t xml:space="preserve"> some quite </w:t>
      </w:r>
      <w:r w:rsidR="00E84AD8" w:rsidRPr="00E84AD8">
        <w:t>significant differen</w:t>
      </w:r>
      <w:r w:rsidR="00E84AD8">
        <w:t>t</w:t>
      </w:r>
      <w:r w:rsidR="00283213" w:rsidRPr="00E750F8">
        <w:t xml:space="preserve"> point estimates for the coefficients on the credits and their standard errors</w:t>
      </w:r>
      <w:r w:rsidR="00E84AD8">
        <w:t xml:space="preserve"> in contrast to </w:t>
      </w:r>
      <w:r w:rsidR="00E84AD8" w:rsidRPr="00F7654C">
        <w:t>SFG (2013)</w:t>
      </w:r>
      <w:r w:rsidR="00283213" w:rsidRPr="00E750F8">
        <w:t>. This damages the credibility of both sets of estimates.</w:t>
      </w:r>
      <w:r w:rsidR="00283213" w:rsidRPr="00A962CC">
        <w:rPr>
          <w:rStyle w:val="FootnoteReference"/>
        </w:rPr>
        <w:t xml:space="preserve"> </w:t>
      </w:r>
      <w:r w:rsidR="00283213" w:rsidRPr="00A962CC">
        <w:rPr>
          <w:rStyle w:val="FootnoteReference"/>
        </w:rPr>
        <w:footnoteReference w:id="724"/>
      </w:r>
    </w:p>
    <w:p w:rsidR="00283213" w:rsidRPr="00A962CC" w:rsidRDefault="00875062" w:rsidP="00E750F8">
      <w:pPr>
        <w:pStyle w:val="AERbulletlistfirststyle"/>
      </w:pPr>
      <w:r w:rsidRPr="00E750F8">
        <w:t>Frontier’s method of assessing the impact of outliers on the result</w:t>
      </w:r>
      <w:r w:rsidRPr="00E750F8">
        <w:rPr>
          <w:rStyle w:val="FootnoteReference"/>
        </w:rPr>
        <w:footnoteReference w:id="725"/>
      </w:r>
      <w:r w:rsidRPr="00E750F8">
        <w:t xml:space="preserve"> is unconventional and would have the effect of suppressing the apparent impact of outliers upon the estimated franking credit coefficient. Consistent with this, Vo et al’s (2013) more conventional approach</w:t>
      </w:r>
      <w:r w:rsidRPr="00E750F8">
        <w:rPr>
          <w:rStyle w:val="FootnoteReference"/>
        </w:rPr>
        <w:footnoteReference w:id="726"/>
      </w:r>
      <w:r w:rsidRPr="00E750F8">
        <w:t xml:space="preserve"> shows more variation in the results.</w:t>
      </w:r>
      <w:r w:rsidRPr="00A962CC">
        <w:rPr>
          <w:rStyle w:val="FootnoteReference"/>
        </w:rPr>
        <w:footnoteReference w:id="727"/>
      </w:r>
    </w:p>
    <w:p w:rsidR="00875062" w:rsidRPr="00A962CC" w:rsidRDefault="00875062" w:rsidP="00E750F8">
      <w:pPr>
        <w:pStyle w:val="AERbulletlistfirststyle"/>
      </w:pPr>
      <w:r w:rsidRPr="00A962CC">
        <w:lastRenderedPageBreak/>
        <w:t>I</w:t>
      </w:r>
      <w:r w:rsidRPr="00E750F8">
        <w:t>n respect of the robust regression models used by both Frontier (2016a) and Vo et al (2013), Frontier adopts the default option value for the “tuning coefficient” in the models whilst Vo et al considers various values of this “tuning coefficient” and obtains significantly different estimates of the coefficient on franking credits to that of SFG (2013), across the range of values for the tuning coefficient and for each of SFG’s four models</w:t>
      </w:r>
      <w:r w:rsidRPr="00A962CC">
        <w:t>.</w:t>
      </w:r>
      <w:r w:rsidRPr="00A962CC">
        <w:rPr>
          <w:rStyle w:val="FootnoteReference"/>
        </w:rPr>
        <w:t xml:space="preserve"> </w:t>
      </w:r>
      <w:r w:rsidRPr="00A962CC">
        <w:rPr>
          <w:rStyle w:val="FootnoteReference"/>
        </w:rPr>
        <w:footnoteReference w:id="728"/>
      </w:r>
    </w:p>
    <w:p w:rsidR="00FF38EE" w:rsidRPr="00A962CC" w:rsidRDefault="00FF38EE" w:rsidP="00E750F8">
      <w:pPr>
        <w:pStyle w:val="AERbulletlistfirststyle"/>
      </w:pPr>
      <w:r w:rsidRPr="00E750F8">
        <w:t>Frontier do</w:t>
      </w:r>
      <w:r w:rsidR="009C7B80">
        <w:t>es</w:t>
      </w:r>
      <w:r w:rsidRPr="00E750F8">
        <w:t xml:space="preserve"> not include a constant in their regression model, the case for doing so is not clear, and </w:t>
      </w:r>
      <w:r w:rsidR="009C7B80">
        <w:t xml:space="preserve">the </w:t>
      </w:r>
      <w:r w:rsidRPr="00E750F8">
        <w:t>omission of the constant could materially alter the estimate for the coefficient on the franking credits.</w:t>
      </w:r>
      <w:r w:rsidRPr="00A962CC">
        <w:rPr>
          <w:rStyle w:val="FootnoteReference"/>
        </w:rPr>
        <w:footnoteReference w:id="729"/>
      </w:r>
    </w:p>
    <w:p w:rsidR="00FF38EE" w:rsidRPr="00A962CC" w:rsidRDefault="00FF38EE" w:rsidP="00E750F8">
      <w:pPr>
        <w:pStyle w:val="AERbulletlistfirststyle"/>
      </w:pPr>
      <w:r w:rsidRPr="00E750F8">
        <w:t>Frontier deletes observations from companies with a market cap below 0.03% of the market index. Since they also (sensibly) delete observations if trades are not present on both the cum and ex-dividend dates, this company size rule has no apparent merit. Furthermore, the choice of 0.03% is highly arbitrary, the rule tends to exclude observations that are least likely to be contaminated by tax arbitrage (the best ones), and the rule may have significantly biased Frontier’s results.</w:t>
      </w:r>
      <w:r w:rsidRPr="00A962CC">
        <w:rPr>
          <w:rStyle w:val="FootnoteReference"/>
        </w:rPr>
        <w:footnoteReference w:id="730"/>
      </w:r>
    </w:p>
    <w:p w:rsidR="00FF38EE" w:rsidRPr="00A962CC" w:rsidRDefault="00FF38EE" w:rsidP="00E750F8">
      <w:pPr>
        <w:pStyle w:val="AERbulletlistfirststyle"/>
      </w:pPr>
      <w:r w:rsidRPr="00E750F8">
        <w:t xml:space="preserve">Frontier </w:t>
      </w:r>
      <w:r w:rsidR="00B505F7" w:rsidRPr="00B505F7">
        <w:t>favours</w:t>
      </w:r>
      <w:r w:rsidRPr="00E750F8">
        <w:t xml:space="preserve"> results from Model 4, but their basis for doing so (as described in SFG, 2011) is inadequate in failing to use formal tests and in using the wrong type of graphical analysis.</w:t>
      </w:r>
      <w:r w:rsidRPr="00E750F8">
        <w:rPr>
          <w:rStyle w:val="FootnoteReference"/>
        </w:rPr>
        <w:footnoteReference w:id="731"/>
      </w:r>
    </w:p>
    <w:p w:rsidR="00A962CC" w:rsidRDefault="00A962CC" w:rsidP="00E750F8">
      <w:pPr>
        <w:pStyle w:val="AERbulletlistfirststyle"/>
      </w:pPr>
      <w:r>
        <w:t>A</w:t>
      </w:r>
      <w:r w:rsidRPr="00A962CC">
        <w:t xml:space="preserve">lthough the utilisation rate is a value-weighted average over all investors in the market, the use of DDO studies will produce an estimate of it that reflects the </w:t>
      </w:r>
      <w:r w:rsidR="0072638E">
        <w:t>action of tax arbitrageurs, and these investors</w:t>
      </w:r>
      <w:r w:rsidRPr="00A962CC">
        <w:t xml:space="preserve"> may be quite unrepresentative of the entire</w:t>
      </w:r>
      <w:r w:rsidR="0072638E">
        <w:t xml:space="preserve"> market</w:t>
      </w:r>
      <w:r w:rsidRPr="00A962CC">
        <w:t>.</w:t>
      </w:r>
      <w:r w:rsidRPr="00A962CC">
        <w:rPr>
          <w:rStyle w:val="FootnoteReference"/>
        </w:rPr>
        <w:footnoteReference w:id="732"/>
      </w:r>
    </w:p>
    <w:p w:rsidR="00A962CC" w:rsidRDefault="00A962CC" w:rsidP="00E750F8">
      <w:pPr>
        <w:pStyle w:val="AERbulletlistfirststyle"/>
      </w:pPr>
      <w:r>
        <w:t>M</w:t>
      </w:r>
      <w:r w:rsidRPr="00A962CC">
        <w:t>any DDO studies have identified various anomalies that cannot be attributed to any kind of tax explanation, this raises the possibility that ex-day behaviour is also affected by factors other than taxes, and this concern has been raised by a number of researchers in this area (including Professor Gray himself).</w:t>
      </w:r>
      <w:r w:rsidRPr="00A962CC">
        <w:rPr>
          <w:rStyle w:val="FootnoteReference"/>
        </w:rPr>
        <w:footnoteReference w:id="733"/>
      </w:r>
    </w:p>
    <w:p w:rsidR="00313CB3" w:rsidRDefault="00313CB3" w:rsidP="00C52695">
      <w:pPr>
        <w:rPr>
          <w:rStyle w:val="AERbody"/>
        </w:rPr>
      </w:pPr>
      <w:r>
        <w:rPr>
          <w:rStyle w:val="AERbody"/>
        </w:rPr>
        <w:t>Lally notes that most of the issues identified above are inherent in the dividend drop off approach and cannot be overcome by an alternative dividend drop off methodology.</w:t>
      </w:r>
      <w:r w:rsidRPr="00313CB3">
        <w:rPr>
          <w:rStyle w:val="FootnoteReference"/>
        </w:rPr>
        <w:t xml:space="preserve"> </w:t>
      </w:r>
      <w:r w:rsidRPr="00A962CC">
        <w:rPr>
          <w:rStyle w:val="FootnoteReference"/>
        </w:rPr>
        <w:footnoteReference w:id="734"/>
      </w:r>
      <w:r>
        <w:rPr>
          <w:rStyle w:val="AERbody"/>
        </w:rPr>
        <w:t xml:space="preserve"> However, some points can be overcome by:</w:t>
      </w:r>
      <w:r w:rsidRPr="00A962CC">
        <w:rPr>
          <w:rStyle w:val="FootnoteReference"/>
        </w:rPr>
        <w:footnoteReference w:id="735"/>
      </w:r>
    </w:p>
    <w:p w:rsidR="00313CB3" w:rsidRDefault="00313CB3" w:rsidP="00E750F8">
      <w:pPr>
        <w:pStyle w:val="AERbulletlistfirststyle"/>
        <w:rPr>
          <w:rStyle w:val="AERbody"/>
        </w:rPr>
      </w:pPr>
      <w:r>
        <w:rPr>
          <w:rStyle w:val="AERbody"/>
        </w:rPr>
        <w:t>Dividing the estimate coefficient</w:t>
      </w:r>
      <w:r w:rsidR="000A20C4">
        <w:rPr>
          <w:rStyle w:val="AERbody"/>
        </w:rPr>
        <w:t xml:space="preserve"> on the credit by </w:t>
      </w:r>
      <w:r w:rsidR="009C7B80">
        <w:rPr>
          <w:rStyle w:val="AERbody"/>
        </w:rPr>
        <w:t>the estimate</w:t>
      </w:r>
      <w:r w:rsidR="000A20C4">
        <w:rPr>
          <w:rStyle w:val="AERbody"/>
        </w:rPr>
        <w:t xml:space="preserve"> on cash dividends</w:t>
      </w:r>
    </w:p>
    <w:p w:rsidR="000A20C4" w:rsidRDefault="000A20C4" w:rsidP="00E750F8">
      <w:pPr>
        <w:pStyle w:val="AERbulletlistfirststyle"/>
        <w:rPr>
          <w:rStyle w:val="AERbody"/>
        </w:rPr>
      </w:pPr>
      <w:r>
        <w:rPr>
          <w:rStyle w:val="AERbody"/>
        </w:rPr>
        <w:t>Assessing the effect of outliers individually rather in pairs</w:t>
      </w:r>
    </w:p>
    <w:p w:rsidR="000A20C4" w:rsidRDefault="000A20C4" w:rsidP="00E750F8">
      <w:pPr>
        <w:pStyle w:val="AERbulletlistfirststyle"/>
        <w:rPr>
          <w:rStyle w:val="AERbody"/>
        </w:rPr>
      </w:pPr>
      <w:r>
        <w:rPr>
          <w:rStyle w:val="AERbody"/>
        </w:rPr>
        <w:lastRenderedPageBreak/>
        <w:t>Presenting resul</w:t>
      </w:r>
      <w:r w:rsidR="00927B0B">
        <w:rPr>
          <w:rStyle w:val="AERbody"/>
        </w:rPr>
        <w:t>ts for a range of values for th</w:t>
      </w:r>
      <w:r>
        <w:rPr>
          <w:rStyle w:val="AERbody"/>
        </w:rPr>
        <w:t>e tuning coefficient in robust regression</w:t>
      </w:r>
    </w:p>
    <w:p w:rsidR="000A20C4" w:rsidRDefault="000A20C4" w:rsidP="00E750F8">
      <w:pPr>
        <w:pStyle w:val="AERbulletlistfirststyle"/>
        <w:rPr>
          <w:rStyle w:val="AERbody"/>
        </w:rPr>
      </w:pPr>
      <w:r>
        <w:rPr>
          <w:rStyle w:val="AERbody"/>
        </w:rPr>
        <w:t>Additionally presenting results with a constant in the regression model</w:t>
      </w:r>
    </w:p>
    <w:p w:rsidR="00313CB3" w:rsidRDefault="009C7B80" w:rsidP="00E750F8">
      <w:pPr>
        <w:pStyle w:val="AERbulletlistfirststyle"/>
        <w:rPr>
          <w:rStyle w:val="AERbody"/>
        </w:rPr>
      </w:pPr>
      <w:r>
        <w:rPr>
          <w:rStyle w:val="AERbody"/>
        </w:rPr>
        <w:t>Not</w:t>
      </w:r>
      <w:r w:rsidR="000A20C4">
        <w:rPr>
          <w:rStyle w:val="AERbody"/>
        </w:rPr>
        <w:t xml:space="preserve"> deleting observations from small companies</w:t>
      </w:r>
    </w:p>
    <w:p w:rsidR="00EE34C4" w:rsidRDefault="00313CB3" w:rsidP="00C52695">
      <w:pPr>
        <w:rPr>
          <w:rStyle w:val="AERbody"/>
        </w:rPr>
      </w:pPr>
      <w:r>
        <w:rPr>
          <w:rStyle w:val="AERbody"/>
        </w:rPr>
        <w:t xml:space="preserve">As a result of the analysis from Lally, we </w:t>
      </w:r>
      <w:r w:rsidR="00944227">
        <w:rPr>
          <w:rStyle w:val="AERbody"/>
        </w:rPr>
        <w:t>remain of the view</w:t>
      </w:r>
      <w:r>
        <w:rPr>
          <w:rStyle w:val="AERbody"/>
        </w:rPr>
        <w:t xml:space="preserve"> </w:t>
      </w:r>
      <w:r w:rsidR="00944227">
        <w:rPr>
          <w:rStyle w:val="AERbody"/>
        </w:rPr>
        <w:t xml:space="preserve">that estimates from </w:t>
      </w:r>
      <w:r>
        <w:rPr>
          <w:rStyle w:val="AERbody"/>
        </w:rPr>
        <w:t>the 2011 SFG dividend drop off study and subsequent 2016 update</w:t>
      </w:r>
      <w:r w:rsidR="00944227">
        <w:rPr>
          <w:rStyle w:val="AERbody"/>
        </w:rPr>
        <w:t xml:space="preserve"> should be given less weight for estimating the value of theta than the use of estimates from taxation statistics and the equity ownership approach</w:t>
      </w:r>
      <w:r>
        <w:rPr>
          <w:rStyle w:val="AERbody"/>
        </w:rPr>
        <w:t>.</w:t>
      </w:r>
      <w:r w:rsidR="00177813">
        <w:rPr>
          <w:rStyle w:val="AERbody"/>
        </w:rPr>
        <w:t xml:space="preserve"> Lally considers that the drawbacks identified are so severs as to warrant giving the lowest weight on the results from </w:t>
      </w:r>
      <w:r w:rsidR="00986246">
        <w:rPr>
          <w:rStyle w:val="AERbody"/>
        </w:rPr>
        <w:t>dividend drop off studies</w:t>
      </w:r>
      <w:r w:rsidR="00177813">
        <w:rPr>
          <w:rStyle w:val="AERbody"/>
        </w:rPr>
        <w:t>.</w:t>
      </w:r>
      <w:r w:rsidR="00177813">
        <w:rPr>
          <w:rStyle w:val="FootnoteReference"/>
        </w:rPr>
        <w:footnoteReference w:id="736"/>
      </w:r>
    </w:p>
    <w:p w:rsidR="00C628EE" w:rsidRDefault="00EE34C4" w:rsidP="00C52695">
      <w:pPr>
        <w:rPr>
          <w:rStyle w:val="AERbody"/>
        </w:rPr>
      </w:pPr>
      <w:r>
        <w:rPr>
          <w:rStyle w:val="AERbody"/>
        </w:rPr>
        <w:t>Further</w:t>
      </w:r>
      <w:r w:rsidR="0093432E">
        <w:rPr>
          <w:rStyle w:val="AERbody"/>
        </w:rPr>
        <w:t>, we</w:t>
      </w:r>
      <w:r w:rsidR="002D1212">
        <w:rPr>
          <w:rStyle w:val="AERbody"/>
        </w:rPr>
        <w:t xml:space="preserve"> do not agree that Professor Gray has undertaken the same analysis that was undertaken in the 2011</w:t>
      </w:r>
      <w:r w:rsidR="00A962CC">
        <w:rPr>
          <w:rStyle w:val="AERbody"/>
        </w:rPr>
        <w:t xml:space="preserve"> study</w:t>
      </w:r>
      <w:r w:rsidR="000A20C4" w:rsidRPr="000A20C4">
        <w:rPr>
          <w:rStyle w:val="AERbody"/>
        </w:rPr>
        <w:t xml:space="preserve"> </w:t>
      </w:r>
      <w:r w:rsidR="000A20C4">
        <w:rPr>
          <w:rStyle w:val="AERbody"/>
        </w:rPr>
        <w:t>when updating the study for the most recent data</w:t>
      </w:r>
      <w:r w:rsidR="002D1212">
        <w:rPr>
          <w:rStyle w:val="AERbody"/>
        </w:rPr>
        <w:t>. We</w:t>
      </w:r>
      <w:r w:rsidR="0093432E">
        <w:rPr>
          <w:rStyle w:val="AERbody"/>
        </w:rPr>
        <w:t xml:space="preserve"> have reviewed </w:t>
      </w:r>
      <w:r w:rsidR="005E25EB">
        <w:rPr>
          <w:rStyle w:val="AERbody"/>
        </w:rPr>
        <w:t xml:space="preserve">the 2016 </w:t>
      </w:r>
      <w:r w:rsidR="0093432E">
        <w:rPr>
          <w:rStyle w:val="AERbody"/>
        </w:rPr>
        <w:t>Frontier</w:t>
      </w:r>
      <w:r w:rsidR="006B14BA">
        <w:rPr>
          <w:rStyle w:val="AERbody"/>
        </w:rPr>
        <w:t>'</w:t>
      </w:r>
      <w:r w:rsidR="0093432E">
        <w:rPr>
          <w:rStyle w:val="AERbody"/>
        </w:rPr>
        <w:t>s paper and note that it does not determine a new point estimate for theta using the most recent data</w:t>
      </w:r>
      <w:r w:rsidR="002D1212">
        <w:rPr>
          <w:rStyle w:val="AERbody"/>
        </w:rPr>
        <w:t xml:space="preserve"> as per the 2011 study</w:t>
      </w:r>
      <w:r w:rsidR="0093432E">
        <w:rPr>
          <w:rStyle w:val="AERbody"/>
        </w:rPr>
        <w:t>. Rather it determines whether a theta of 0.35 is within the confidence intervals around all of the specifications and hence remains an appropriate estimate for theta.</w:t>
      </w:r>
    </w:p>
    <w:p w:rsidR="0093432E" w:rsidRPr="00C32CF1" w:rsidRDefault="00B84FF5" w:rsidP="00C32CF1">
      <w:pPr>
        <w:pStyle w:val="AERquote"/>
        <w:rPr>
          <w:rStyle w:val="AERbody"/>
          <w:color w:val="000000"/>
          <w:sz w:val="20"/>
        </w:rPr>
      </w:pPr>
      <w:r w:rsidRPr="00C32CF1">
        <w:rPr>
          <w:rStyle w:val="AERbody"/>
          <w:color w:val="000000"/>
          <w:sz w:val="20"/>
        </w:rPr>
        <w:t>We begin by noting</w:t>
      </w:r>
      <w:r w:rsidR="003D5B8B" w:rsidRPr="00C32CF1">
        <w:rPr>
          <w:rStyle w:val="AERbody"/>
          <w:color w:val="000000"/>
          <w:sz w:val="20"/>
        </w:rPr>
        <w:t xml:space="preserve"> that our preferred final estimate </w:t>
      </w:r>
      <w:r w:rsidR="00300124" w:rsidRPr="00C32CF1">
        <w:rPr>
          <w:rStyle w:val="AERbody"/>
          <w:color w:val="000000"/>
          <w:sz w:val="20"/>
        </w:rPr>
        <w:t>of 0.35 lies within the standard statistical 95% confidence interval for all of the specifications. The rang</w:t>
      </w:r>
      <w:r w:rsidR="008500FA" w:rsidRPr="00CF236B">
        <w:rPr>
          <w:rStyle w:val="AERbody"/>
          <w:color w:val="000000"/>
          <w:sz w:val="20"/>
        </w:rPr>
        <w:t>e</w:t>
      </w:r>
      <w:r w:rsidR="00300124" w:rsidRPr="00CF236B">
        <w:rPr>
          <w:rStyle w:val="AERbody"/>
          <w:color w:val="000000"/>
          <w:sz w:val="20"/>
        </w:rPr>
        <w:t xml:space="preserve"> of overlap in the </w:t>
      </w:r>
      <w:r w:rsidR="008500FA" w:rsidRPr="00CF236B">
        <w:rPr>
          <w:rStyle w:val="AERbody"/>
          <w:color w:val="000000"/>
          <w:sz w:val="20"/>
        </w:rPr>
        <w:t xml:space="preserve">confidence intervals is from 0.26 to 0.41, which </w:t>
      </w:r>
      <w:r w:rsidR="00E91AA4" w:rsidRPr="00CF236B">
        <w:rPr>
          <w:rStyle w:val="AERbody"/>
          <w:color w:val="000000"/>
          <w:sz w:val="20"/>
        </w:rPr>
        <w:t>has a mid-point of</w:t>
      </w:r>
      <w:r w:rsidR="00E91AA4" w:rsidRPr="008F407D">
        <w:rPr>
          <w:rStyle w:val="AERbody"/>
          <w:color w:val="000000"/>
          <w:sz w:val="20"/>
        </w:rPr>
        <w:t xml:space="preserve"> 0.34.</w:t>
      </w:r>
      <w:r w:rsidR="002C7983" w:rsidRPr="00C32CF1">
        <w:rPr>
          <w:rStyle w:val="FootnoteReference"/>
        </w:rPr>
        <w:footnoteReference w:id="737"/>
      </w:r>
    </w:p>
    <w:p w:rsidR="00DF5547" w:rsidRDefault="00345A28" w:rsidP="00A3116F">
      <w:pPr>
        <w:rPr>
          <w:rStyle w:val="AERbody"/>
        </w:rPr>
      </w:pPr>
      <w:r>
        <w:rPr>
          <w:rStyle w:val="AERbody"/>
        </w:rPr>
        <w:t>However, we consider</w:t>
      </w:r>
      <w:r w:rsidR="00DF5547">
        <w:rPr>
          <w:rStyle w:val="AERbody"/>
        </w:rPr>
        <w:t xml:space="preserve"> that</w:t>
      </w:r>
      <w:r>
        <w:rPr>
          <w:rStyle w:val="AERbody"/>
        </w:rPr>
        <w:t xml:space="preserve"> </w:t>
      </w:r>
      <w:r w:rsidR="00865144">
        <w:rPr>
          <w:rStyle w:val="AERbody"/>
        </w:rPr>
        <w:t xml:space="preserve">such an approach is </w:t>
      </w:r>
      <w:r w:rsidR="00DF5547">
        <w:rPr>
          <w:rStyle w:val="AERbody"/>
        </w:rPr>
        <w:t>in</w:t>
      </w:r>
      <w:r w:rsidR="00865144">
        <w:rPr>
          <w:rStyle w:val="AERbody"/>
        </w:rPr>
        <w:t>appropriate and Frontier</w:t>
      </w:r>
      <w:r w:rsidR="00DF5547">
        <w:rPr>
          <w:rStyle w:val="AERbody"/>
        </w:rPr>
        <w:t xml:space="preserve"> should determine a new point estimate using the most recent data. In the 2011 study </w:t>
      </w:r>
      <w:r w:rsidR="002C7983">
        <w:rPr>
          <w:rStyle w:val="AERbody"/>
        </w:rPr>
        <w:t>SFG used the following methodology to get a point estimate:</w:t>
      </w:r>
    </w:p>
    <w:p w:rsidR="002C7983" w:rsidRPr="00E750F8" w:rsidRDefault="002C7983" w:rsidP="00C32CF1">
      <w:pPr>
        <w:pStyle w:val="AERquote"/>
        <w:rPr>
          <w:rStyle w:val="AERbody"/>
          <w:color w:val="000000"/>
          <w:sz w:val="20"/>
        </w:rPr>
      </w:pPr>
      <w:r w:rsidRPr="00113F3B">
        <w:rPr>
          <w:rStyle w:val="AERbody"/>
          <w:color w:val="000000"/>
          <w:sz w:val="20"/>
        </w:rPr>
        <w:t>In determining a final recommendation point estimate, we assign more weight to the results of Model specification 4 and to the results of robustness regression estimation. This is because these results are the most stable and consistent across the range of sensitivity analysis and robustness checks that we have performed. In this regards, we note that:</w:t>
      </w:r>
    </w:p>
    <w:p w:rsidR="002C7983" w:rsidRPr="00E750F8" w:rsidRDefault="00CF3F33" w:rsidP="00CF236B">
      <w:pPr>
        <w:pStyle w:val="AERquote"/>
        <w:rPr>
          <w:rStyle w:val="AERbody"/>
          <w:color w:val="000000"/>
          <w:sz w:val="20"/>
        </w:rPr>
      </w:pPr>
      <w:r w:rsidRPr="003D598E">
        <w:rPr>
          <w:rStyle w:val="AERbody"/>
          <w:color w:val="000000"/>
          <w:sz w:val="20"/>
        </w:rPr>
        <w:t xml:space="preserve">a. The average of the robust regression estimate of theta in Table 6 is 0.34; and </w:t>
      </w:r>
    </w:p>
    <w:p w:rsidR="00C32CF1" w:rsidRPr="00113F3B" w:rsidRDefault="00CF3F33" w:rsidP="008F407D">
      <w:pPr>
        <w:pStyle w:val="AERquote"/>
        <w:rPr>
          <w:rStyle w:val="AERbody"/>
          <w:color w:val="000000"/>
          <w:sz w:val="20"/>
        </w:rPr>
      </w:pPr>
      <w:r w:rsidRPr="003D598E">
        <w:rPr>
          <w:rStyle w:val="AERbody"/>
          <w:color w:val="000000"/>
          <w:sz w:val="20"/>
        </w:rPr>
        <w:t xml:space="preserve">b. </w:t>
      </w:r>
      <w:r w:rsidR="00C32CF1" w:rsidRPr="003D598E">
        <w:rPr>
          <w:rStyle w:val="AERbody"/>
          <w:color w:val="000000"/>
          <w:sz w:val="20"/>
        </w:rPr>
        <w:t>The average of the estimate of theta from Model Specification 4 across Table 5 to 8 is 0.35.</w:t>
      </w:r>
      <w:r w:rsidR="00C32CF1" w:rsidRPr="003D598E">
        <w:rPr>
          <w:rStyle w:val="FootnoteReference"/>
          <w:vertAlign w:val="baseline"/>
        </w:rPr>
        <w:t xml:space="preserve"> </w:t>
      </w:r>
      <w:r w:rsidR="00C32CF1" w:rsidRPr="00C32CF1">
        <w:rPr>
          <w:rStyle w:val="FootnoteReference"/>
        </w:rPr>
        <w:footnoteReference w:id="738"/>
      </w:r>
    </w:p>
    <w:p w:rsidR="00CB04CA" w:rsidRDefault="00CB04CA" w:rsidP="00A3116F">
      <w:pPr>
        <w:rPr>
          <w:rStyle w:val="AERbody"/>
        </w:rPr>
      </w:pPr>
      <w:r>
        <w:rPr>
          <w:rStyle w:val="AERbody"/>
        </w:rPr>
        <w:t xml:space="preserve">We note that Frontier </w:t>
      </w:r>
      <w:r w:rsidR="00957389">
        <w:rPr>
          <w:rStyle w:val="AERbody"/>
        </w:rPr>
        <w:t xml:space="preserve">in </w:t>
      </w:r>
      <w:r w:rsidR="006B14BA">
        <w:rPr>
          <w:rStyle w:val="AERbody"/>
        </w:rPr>
        <w:t>its</w:t>
      </w:r>
      <w:r w:rsidR="00957389">
        <w:rPr>
          <w:rStyle w:val="AERbody"/>
        </w:rPr>
        <w:t xml:space="preserve"> most recent report </w:t>
      </w:r>
      <w:r w:rsidR="006B14BA">
        <w:rPr>
          <w:rStyle w:val="AERbody"/>
        </w:rPr>
        <w:t>has</w:t>
      </w:r>
      <w:r>
        <w:rPr>
          <w:rStyle w:val="AERbody"/>
        </w:rPr>
        <w:t xml:space="preserve"> not provided enough data to compute a new point estimate</w:t>
      </w:r>
      <w:r w:rsidR="00E84AD8">
        <w:rPr>
          <w:rStyle w:val="AERbody"/>
        </w:rPr>
        <w:t xml:space="preserve"> as per the methodology in the 2011 SFG study</w:t>
      </w:r>
      <w:r>
        <w:rPr>
          <w:rStyle w:val="AERbody"/>
        </w:rPr>
        <w:t xml:space="preserve">. </w:t>
      </w:r>
      <w:r>
        <w:rPr>
          <w:rStyle w:val="AERbody"/>
        </w:rPr>
        <w:lastRenderedPageBreak/>
        <w:t xml:space="preserve">However, from the data that has been presented it appears the point estimate may have </w:t>
      </w:r>
      <w:r w:rsidR="00B505F7">
        <w:rPr>
          <w:rStyle w:val="AERbody"/>
        </w:rPr>
        <w:t xml:space="preserve">slightly </w:t>
      </w:r>
      <w:r>
        <w:rPr>
          <w:rStyle w:val="AERbody"/>
        </w:rPr>
        <w:t>increased.</w:t>
      </w:r>
      <w:r>
        <w:rPr>
          <w:rStyle w:val="FootnoteReference"/>
        </w:rPr>
        <w:footnoteReference w:id="739"/>
      </w:r>
      <w:r>
        <w:rPr>
          <w:rStyle w:val="AERbody"/>
        </w:rPr>
        <w:t xml:space="preserve"> Overall from the new Frontier report the only outcome that can be obtained is that that theta is in between 0.26 to 0.41.</w:t>
      </w:r>
    </w:p>
    <w:p w:rsidR="00B505F7" w:rsidRDefault="00B505F7" w:rsidP="00A3116F">
      <w:pPr>
        <w:rPr>
          <w:rStyle w:val="AERbody"/>
        </w:rPr>
      </w:pPr>
      <w:r>
        <w:rPr>
          <w:rStyle w:val="AERbody"/>
        </w:rPr>
        <w:t>Lally considers that given Frontier methodology and results, and having a preference for Model 4, a 0.35 theta estimate is reasonable.</w:t>
      </w:r>
      <w:r w:rsidRPr="00B505F7">
        <w:rPr>
          <w:rStyle w:val="FootnoteReference"/>
        </w:rPr>
        <w:footnoteReference w:id="740"/>
      </w:r>
      <w:r>
        <w:rPr>
          <w:rStyle w:val="AERbody"/>
        </w:rPr>
        <w:t xml:space="preserve"> However, Lally does have concerns with the methodology and this has been highlighted above.</w:t>
      </w:r>
      <w:r w:rsidRPr="00B505F7">
        <w:rPr>
          <w:rStyle w:val="FootnoteReference"/>
        </w:rPr>
        <w:footnoteReference w:id="741"/>
      </w:r>
    </w:p>
    <w:p w:rsidR="00C52695" w:rsidRPr="00CA67C0" w:rsidRDefault="00C52695" w:rsidP="00C52695">
      <w:pPr>
        <w:rPr>
          <w:rStyle w:val="AERbody"/>
        </w:rPr>
      </w:pPr>
      <w:r>
        <w:rPr>
          <w:rStyle w:val="AERbody"/>
        </w:rPr>
        <w:br w:type="page"/>
      </w:r>
    </w:p>
    <w:p w:rsidR="00C52695" w:rsidRPr="00883125" w:rsidRDefault="00C52695" w:rsidP="00C52695">
      <w:pPr>
        <w:pStyle w:val="Caption"/>
      </w:pPr>
      <w:bookmarkStart w:id="420" w:name="_Ref449538408"/>
      <w:r w:rsidRPr="00883125">
        <w:lastRenderedPageBreak/>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20</w:t>
      </w:r>
      <w:r w:rsidRPr="001D37D5">
        <w:fldChar w:fldCharType="end"/>
      </w:r>
      <w:bookmarkEnd w:id="419"/>
      <w:bookmarkEnd w:id="420"/>
      <w:r w:rsidRPr="00883125">
        <w:tab/>
        <w:t>Estimates of the utilisation rate from alternative market value studies</w:t>
      </w:r>
    </w:p>
    <w:tbl>
      <w:tblPr>
        <w:tblStyle w:val="AERtable-text0"/>
        <w:tblW w:w="0" w:type="auto"/>
        <w:tblLayout w:type="fixed"/>
        <w:tblLook w:val="04A0" w:firstRow="1" w:lastRow="0" w:firstColumn="1" w:lastColumn="0" w:noHBand="0" w:noVBand="1"/>
      </w:tblPr>
      <w:tblGrid>
        <w:gridCol w:w="392"/>
        <w:gridCol w:w="2835"/>
        <w:gridCol w:w="1346"/>
        <w:gridCol w:w="1347"/>
        <w:gridCol w:w="3260"/>
        <w:gridCol w:w="62"/>
      </w:tblGrid>
      <w:tr w:rsidR="00C52695" w:rsidRPr="00222643" w:rsidTr="006425B8">
        <w:trPr>
          <w:gridAfter w:val="1"/>
          <w:cnfStyle w:val="100000000000" w:firstRow="1" w:lastRow="0" w:firstColumn="0" w:lastColumn="0" w:oddVBand="0" w:evenVBand="0" w:oddHBand="0" w:evenHBand="0" w:firstRowFirstColumn="0" w:firstRowLastColumn="0" w:lastRowFirstColumn="0" w:lastRowLastColumn="0"/>
          <w:wAfter w:w="62" w:type="dxa"/>
          <w:cantSplit/>
          <w:tblHeader/>
        </w:trPr>
        <w:tc>
          <w:tcPr>
            <w:tcW w:w="392" w:type="dxa"/>
          </w:tcPr>
          <w:p w:rsidR="00C52695" w:rsidRPr="00883125" w:rsidRDefault="00C52695" w:rsidP="00C52695"/>
        </w:tc>
        <w:tc>
          <w:tcPr>
            <w:tcW w:w="2835" w:type="dxa"/>
          </w:tcPr>
          <w:p w:rsidR="00C52695" w:rsidRPr="00C52695" w:rsidRDefault="00C52695" w:rsidP="00C52695">
            <w:r w:rsidRPr="00883125">
              <w:t>Authors</w:t>
            </w:r>
          </w:p>
        </w:tc>
        <w:tc>
          <w:tcPr>
            <w:tcW w:w="1346" w:type="dxa"/>
          </w:tcPr>
          <w:p w:rsidR="00C52695" w:rsidRPr="00C52695" w:rsidRDefault="00C52695" w:rsidP="00C52695">
            <w:r w:rsidRPr="00883125">
              <w:t>Pre-2000 results</w:t>
            </w:r>
          </w:p>
        </w:tc>
        <w:tc>
          <w:tcPr>
            <w:tcW w:w="1347" w:type="dxa"/>
          </w:tcPr>
          <w:p w:rsidR="00C52695" w:rsidRPr="00C52695" w:rsidRDefault="00C52695" w:rsidP="00C52695">
            <w:r w:rsidRPr="00883125">
              <w:t>Post-2000 results</w:t>
            </w:r>
          </w:p>
        </w:tc>
        <w:tc>
          <w:tcPr>
            <w:tcW w:w="3260" w:type="dxa"/>
          </w:tcPr>
          <w:p w:rsidR="00C52695" w:rsidRPr="00C52695" w:rsidRDefault="00C52695" w:rsidP="00C52695">
            <w:r w:rsidRPr="00883125">
              <w:t>Notes</w:t>
            </w:r>
          </w:p>
        </w:tc>
      </w:tr>
      <w:tr w:rsidR="00C52695" w:rsidRPr="00222643" w:rsidTr="006425B8">
        <w:trPr>
          <w:cantSplit/>
          <w:trHeight w:val="479"/>
        </w:trPr>
        <w:tc>
          <w:tcPr>
            <w:tcW w:w="3227" w:type="dxa"/>
            <w:gridSpan w:val="2"/>
          </w:tcPr>
          <w:p w:rsidR="00C52695" w:rsidRPr="00C52695" w:rsidRDefault="00C52695" w:rsidP="00C52695">
            <w:pPr>
              <w:rPr>
                <w:rStyle w:val="Strong"/>
              </w:rPr>
            </w:pPr>
            <w:r w:rsidRPr="00883125">
              <w:rPr>
                <w:rStyle w:val="Strong"/>
              </w:rPr>
              <w:t>Dividend drop off study using hybrids</w:t>
            </w:r>
          </w:p>
        </w:tc>
        <w:tc>
          <w:tcPr>
            <w:tcW w:w="1346" w:type="dxa"/>
          </w:tcPr>
          <w:p w:rsidR="00C52695" w:rsidRPr="00883125" w:rsidRDefault="00C52695" w:rsidP="00C52695"/>
        </w:tc>
        <w:tc>
          <w:tcPr>
            <w:tcW w:w="1347" w:type="dxa"/>
          </w:tcPr>
          <w:p w:rsidR="00C52695" w:rsidRPr="00883125" w:rsidRDefault="00C52695" w:rsidP="00C52695"/>
        </w:tc>
        <w:tc>
          <w:tcPr>
            <w:tcW w:w="3322" w:type="dxa"/>
            <w:gridSpan w:val="2"/>
          </w:tcPr>
          <w:p w:rsidR="00C52695" w:rsidRPr="00883125" w:rsidRDefault="00C52695" w:rsidP="00C52695"/>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Pr>
        <w:tc>
          <w:tcPr>
            <w:tcW w:w="392" w:type="dxa"/>
          </w:tcPr>
          <w:p w:rsidR="00C52695" w:rsidRPr="00883125" w:rsidRDefault="00C52695" w:rsidP="00C52695"/>
        </w:tc>
        <w:tc>
          <w:tcPr>
            <w:tcW w:w="2835" w:type="dxa"/>
          </w:tcPr>
          <w:p w:rsidR="00C52695" w:rsidRPr="00C52695" w:rsidRDefault="00C52695" w:rsidP="00C52695">
            <w:r w:rsidRPr="00883125">
              <w:t>Feuerherdt, Gray and Hall (2010)</w:t>
            </w:r>
            <w:r w:rsidRPr="00C52695">
              <w:rPr>
                <w:rStyle w:val="FootnoteReference"/>
              </w:rPr>
              <w:footnoteReference w:id="742"/>
            </w:r>
          </w:p>
        </w:tc>
        <w:tc>
          <w:tcPr>
            <w:tcW w:w="1346" w:type="dxa"/>
          </w:tcPr>
          <w:p w:rsidR="00C52695" w:rsidRPr="00C52695" w:rsidRDefault="00C52695" w:rsidP="00C52695">
            <w:r w:rsidRPr="00883125">
              <w:t>N/A</w:t>
            </w:r>
            <w:r w:rsidRPr="00883125">
              <w:br/>
              <w:t>(1995–2002)</w:t>
            </w:r>
          </w:p>
        </w:tc>
        <w:tc>
          <w:tcPr>
            <w:tcW w:w="1347" w:type="dxa"/>
          </w:tcPr>
          <w:p w:rsidR="00C52695" w:rsidRPr="00883125" w:rsidRDefault="00C52695" w:rsidP="00C52695"/>
        </w:tc>
        <w:tc>
          <w:tcPr>
            <w:tcW w:w="3322" w:type="dxa"/>
            <w:gridSpan w:val="2"/>
          </w:tcPr>
          <w:p w:rsidR="00C52695" w:rsidRPr="00C52695" w:rsidRDefault="00C52695" w:rsidP="00C52695">
            <w:r w:rsidRPr="00883125">
              <w:t xml:space="preserve">Combined drop </w:t>
            </w:r>
            <w:r w:rsidRPr="00C52695">
              <w:t>off of 1.0. With dividends at full value, this is a utilisation rate of 0.</w:t>
            </w:r>
          </w:p>
        </w:tc>
      </w:tr>
      <w:tr w:rsidR="00C52695" w:rsidRPr="00222643" w:rsidTr="006425B8">
        <w:trPr>
          <w:cantSplit/>
        </w:trPr>
        <w:tc>
          <w:tcPr>
            <w:tcW w:w="3227" w:type="dxa"/>
            <w:gridSpan w:val="2"/>
          </w:tcPr>
          <w:p w:rsidR="00C52695" w:rsidRPr="00C52695" w:rsidRDefault="00C52695" w:rsidP="00C52695">
            <w:pPr>
              <w:rPr>
                <w:rStyle w:val="Strong"/>
              </w:rPr>
            </w:pPr>
            <w:r w:rsidRPr="00883125">
              <w:rPr>
                <w:rStyle w:val="Strong"/>
              </w:rPr>
              <w:t xml:space="preserve">Futures study (individual or </w:t>
            </w:r>
            <w:r w:rsidRPr="00C52695">
              <w:rPr>
                <w:rStyle w:val="Strong"/>
              </w:rPr>
              <w:t>index)</w:t>
            </w:r>
          </w:p>
        </w:tc>
        <w:tc>
          <w:tcPr>
            <w:tcW w:w="1346" w:type="dxa"/>
          </w:tcPr>
          <w:p w:rsidR="00C52695" w:rsidRPr="00883125" w:rsidRDefault="00C52695" w:rsidP="00C52695">
            <w:pPr>
              <w:rPr>
                <w:rStyle w:val="Strong"/>
              </w:rPr>
            </w:pPr>
          </w:p>
        </w:tc>
        <w:tc>
          <w:tcPr>
            <w:tcW w:w="1347" w:type="dxa"/>
          </w:tcPr>
          <w:p w:rsidR="00C52695" w:rsidRPr="00883125" w:rsidRDefault="00C52695" w:rsidP="00C52695"/>
        </w:tc>
        <w:tc>
          <w:tcPr>
            <w:tcW w:w="3322" w:type="dxa"/>
            <w:gridSpan w:val="2"/>
          </w:tcPr>
          <w:p w:rsidR="00C52695" w:rsidRPr="00883125" w:rsidRDefault="00C52695" w:rsidP="00C52695"/>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Height w:val="542"/>
        </w:trPr>
        <w:tc>
          <w:tcPr>
            <w:tcW w:w="392" w:type="dxa"/>
          </w:tcPr>
          <w:p w:rsidR="00C52695" w:rsidRPr="00883125" w:rsidRDefault="00C52695" w:rsidP="00C52695"/>
        </w:tc>
        <w:tc>
          <w:tcPr>
            <w:tcW w:w="2835" w:type="dxa"/>
          </w:tcPr>
          <w:p w:rsidR="00C52695" w:rsidRPr="00C52695" w:rsidRDefault="00C52695" w:rsidP="00C52695">
            <w:r w:rsidRPr="00883125">
              <w:t xml:space="preserve">SFG </w:t>
            </w:r>
            <w:r w:rsidRPr="00C52695">
              <w:t>(2013b)</w:t>
            </w:r>
            <w:r w:rsidRPr="00C52695">
              <w:rPr>
                <w:rStyle w:val="FootnoteReference"/>
              </w:rPr>
              <w:footnoteReference w:id="743"/>
            </w:r>
          </w:p>
        </w:tc>
        <w:tc>
          <w:tcPr>
            <w:tcW w:w="1346" w:type="dxa"/>
          </w:tcPr>
          <w:p w:rsidR="00C52695" w:rsidRPr="00883125" w:rsidRDefault="00C52695" w:rsidP="00C52695"/>
        </w:tc>
        <w:tc>
          <w:tcPr>
            <w:tcW w:w="1347" w:type="dxa"/>
          </w:tcPr>
          <w:p w:rsidR="00C52695" w:rsidRPr="00C52695" w:rsidRDefault="00C52695" w:rsidP="00C52695">
            <w:r w:rsidRPr="00883125">
              <w:t>0.12</w:t>
            </w:r>
            <w:r w:rsidRPr="00883125">
              <w:br/>
              <w:t>(2000–2013)</w:t>
            </w:r>
          </w:p>
        </w:tc>
        <w:tc>
          <w:tcPr>
            <w:tcW w:w="3322" w:type="dxa"/>
            <w:gridSpan w:val="2"/>
          </w:tcPr>
          <w:p w:rsidR="00C52695" w:rsidRPr="00C52695" w:rsidRDefault="00C52695" w:rsidP="00C52695">
            <w:r w:rsidRPr="00883125">
              <w:t>Uses individual firms.</w:t>
            </w:r>
          </w:p>
        </w:tc>
      </w:tr>
      <w:tr w:rsidR="00C52695" w:rsidRPr="00222643" w:rsidTr="006425B8">
        <w:trPr>
          <w:cantSplit/>
          <w:trHeight w:val="465"/>
        </w:trPr>
        <w:tc>
          <w:tcPr>
            <w:tcW w:w="392" w:type="dxa"/>
          </w:tcPr>
          <w:p w:rsidR="00C52695" w:rsidRPr="00883125" w:rsidRDefault="00C52695" w:rsidP="00C52695"/>
        </w:tc>
        <w:tc>
          <w:tcPr>
            <w:tcW w:w="2835" w:type="dxa"/>
          </w:tcPr>
          <w:p w:rsidR="00C52695" w:rsidRPr="00C52695" w:rsidRDefault="00C52695" w:rsidP="00C52695">
            <w:r w:rsidRPr="00883125">
              <w:t>Cannavan et al (2004)</w:t>
            </w:r>
            <w:r w:rsidRPr="00C52695">
              <w:rPr>
                <w:rStyle w:val="FootnoteReference"/>
              </w:rPr>
              <w:footnoteReference w:id="744"/>
            </w:r>
          </w:p>
        </w:tc>
        <w:tc>
          <w:tcPr>
            <w:tcW w:w="1346" w:type="dxa"/>
          </w:tcPr>
          <w:p w:rsidR="00C52695" w:rsidRPr="00C52695" w:rsidRDefault="00C52695" w:rsidP="00C52695">
            <w:r w:rsidRPr="00883125">
              <w:t>0–0.15</w:t>
            </w:r>
            <w:r w:rsidRPr="00883125">
              <w:br/>
              <w:t>(1994–1999)</w:t>
            </w:r>
          </w:p>
        </w:tc>
        <w:tc>
          <w:tcPr>
            <w:tcW w:w="1347" w:type="dxa"/>
          </w:tcPr>
          <w:p w:rsidR="00C52695" w:rsidRPr="00883125" w:rsidRDefault="00C52695" w:rsidP="00C52695"/>
        </w:tc>
        <w:tc>
          <w:tcPr>
            <w:tcW w:w="3322" w:type="dxa"/>
            <w:gridSpan w:val="2"/>
          </w:tcPr>
          <w:p w:rsidR="00C52695" w:rsidRPr="00C52695" w:rsidRDefault="00C52695" w:rsidP="00C52695">
            <w:r w:rsidRPr="00883125">
              <w:t>Uses individual firms.</w:t>
            </w:r>
          </w:p>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Pr>
        <w:tc>
          <w:tcPr>
            <w:tcW w:w="392" w:type="dxa"/>
          </w:tcPr>
          <w:p w:rsidR="00C52695" w:rsidRPr="00883125" w:rsidRDefault="00C52695" w:rsidP="00C52695"/>
        </w:tc>
        <w:tc>
          <w:tcPr>
            <w:tcW w:w="2835" w:type="dxa"/>
          </w:tcPr>
          <w:p w:rsidR="00C52695" w:rsidRPr="00C52695" w:rsidRDefault="00C52695" w:rsidP="00C52695">
            <w:r w:rsidRPr="00883125">
              <w:t xml:space="preserve">Cummings and </w:t>
            </w:r>
            <w:r w:rsidRPr="00C52695">
              <w:t>Frino (2008)</w:t>
            </w:r>
            <w:r w:rsidRPr="00C52695">
              <w:rPr>
                <w:rStyle w:val="FootnoteReference"/>
              </w:rPr>
              <w:footnoteReference w:id="745"/>
            </w:r>
          </w:p>
        </w:tc>
        <w:tc>
          <w:tcPr>
            <w:tcW w:w="1346" w:type="dxa"/>
          </w:tcPr>
          <w:p w:rsidR="00C52695" w:rsidRPr="00883125" w:rsidRDefault="00C52695" w:rsidP="00C52695"/>
        </w:tc>
        <w:tc>
          <w:tcPr>
            <w:tcW w:w="1347" w:type="dxa"/>
          </w:tcPr>
          <w:p w:rsidR="00C52695" w:rsidRPr="00C52695" w:rsidRDefault="00C52695" w:rsidP="00C52695">
            <w:r w:rsidRPr="00883125">
              <w:t>0.52</w:t>
            </w:r>
            <w:r w:rsidRPr="00883125">
              <w:br/>
              <w:t>(2002–2005)</w:t>
            </w:r>
          </w:p>
        </w:tc>
        <w:tc>
          <w:tcPr>
            <w:tcW w:w="3322" w:type="dxa"/>
            <w:gridSpan w:val="2"/>
          </w:tcPr>
          <w:p w:rsidR="00C52695" w:rsidRPr="00C52695" w:rsidRDefault="00C52695" w:rsidP="00C52695">
            <w:r w:rsidRPr="00883125">
              <w:t>Uses index.</w:t>
            </w:r>
          </w:p>
        </w:tc>
      </w:tr>
      <w:tr w:rsidR="00C52695" w:rsidRPr="00222643" w:rsidTr="006425B8">
        <w:trPr>
          <w:cantSplit/>
        </w:trPr>
        <w:tc>
          <w:tcPr>
            <w:tcW w:w="3227" w:type="dxa"/>
            <w:gridSpan w:val="2"/>
          </w:tcPr>
          <w:p w:rsidR="00C52695" w:rsidRPr="00C52695" w:rsidRDefault="00C52695" w:rsidP="00C52695">
            <w:pPr>
              <w:rPr>
                <w:rStyle w:val="Strong"/>
              </w:rPr>
            </w:pPr>
            <w:r w:rsidRPr="00883125">
              <w:rPr>
                <w:rStyle w:val="Strong"/>
              </w:rPr>
              <w:t>Rate of return study</w:t>
            </w:r>
          </w:p>
        </w:tc>
        <w:tc>
          <w:tcPr>
            <w:tcW w:w="1346" w:type="dxa"/>
          </w:tcPr>
          <w:p w:rsidR="00C52695" w:rsidRPr="00883125" w:rsidRDefault="00C52695" w:rsidP="00C52695"/>
        </w:tc>
        <w:tc>
          <w:tcPr>
            <w:tcW w:w="1347" w:type="dxa"/>
          </w:tcPr>
          <w:p w:rsidR="00C52695" w:rsidRPr="00883125" w:rsidRDefault="00C52695" w:rsidP="00C52695"/>
        </w:tc>
        <w:tc>
          <w:tcPr>
            <w:tcW w:w="3322" w:type="dxa"/>
            <w:gridSpan w:val="2"/>
          </w:tcPr>
          <w:p w:rsidR="00C52695" w:rsidRPr="00883125" w:rsidRDefault="00C52695" w:rsidP="00C52695"/>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Pr>
        <w:tc>
          <w:tcPr>
            <w:tcW w:w="392" w:type="dxa"/>
          </w:tcPr>
          <w:p w:rsidR="00C52695" w:rsidRPr="00883125" w:rsidRDefault="00C52695" w:rsidP="00C52695"/>
        </w:tc>
        <w:tc>
          <w:tcPr>
            <w:tcW w:w="2835" w:type="dxa"/>
          </w:tcPr>
          <w:p w:rsidR="00C52695" w:rsidRPr="00C52695" w:rsidRDefault="00C52695" w:rsidP="00C52695">
            <w:r w:rsidRPr="00883125">
              <w:t>NERA (2013b)</w:t>
            </w:r>
            <w:r w:rsidRPr="00C52695">
              <w:rPr>
                <w:rStyle w:val="FootnoteReference"/>
              </w:rPr>
              <w:footnoteReference w:id="746"/>
            </w:r>
          </w:p>
        </w:tc>
        <w:tc>
          <w:tcPr>
            <w:tcW w:w="1346" w:type="dxa"/>
          </w:tcPr>
          <w:p w:rsidR="00C52695" w:rsidRPr="00C52695" w:rsidRDefault="00C52695" w:rsidP="00C52695">
            <w:r w:rsidRPr="00883125">
              <w:t>-1.57</w:t>
            </w:r>
            <w:r w:rsidRPr="00883125">
              <w:br/>
              <w:t>(1987–2000)</w:t>
            </w:r>
          </w:p>
        </w:tc>
        <w:tc>
          <w:tcPr>
            <w:tcW w:w="1347" w:type="dxa"/>
          </w:tcPr>
          <w:p w:rsidR="00C52695" w:rsidRPr="00C52695" w:rsidRDefault="00C52695" w:rsidP="00C52695">
            <w:r w:rsidRPr="00883125">
              <w:t>-1.90</w:t>
            </w:r>
            <w:r w:rsidRPr="00883125">
              <w:br/>
              <w:t>(2000–2012)</w:t>
            </w:r>
          </w:p>
        </w:tc>
        <w:tc>
          <w:tcPr>
            <w:tcW w:w="3322" w:type="dxa"/>
            <w:gridSpan w:val="2"/>
          </w:tcPr>
          <w:p w:rsidR="00C52695" w:rsidRPr="00C52695" w:rsidRDefault="00C52695" w:rsidP="00C52695">
            <w:r w:rsidRPr="00883125">
              <w:t>Uses past returns. For the entire period, estimate is -1.50.</w:t>
            </w:r>
          </w:p>
        </w:tc>
      </w:tr>
      <w:tr w:rsidR="00C52695" w:rsidRPr="00222643" w:rsidTr="006425B8">
        <w:trPr>
          <w:cantSplit/>
          <w:trHeight w:val="535"/>
        </w:trPr>
        <w:tc>
          <w:tcPr>
            <w:tcW w:w="392" w:type="dxa"/>
          </w:tcPr>
          <w:p w:rsidR="00C52695" w:rsidRPr="00883125" w:rsidRDefault="00C52695" w:rsidP="00C52695"/>
        </w:tc>
        <w:tc>
          <w:tcPr>
            <w:tcW w:w="2835" w:type="dxa"/>
          </w:tcPr>
          <w:p w:rsidR="00C52695" w:rsidRPr="00C52695" w:rsidRDefault="00C52695" w:rsidP="00C52695">
            <w:r w:rsidRPr="00883125">
              <w:t>Lajbcygier and Wheatley (2012)</w:t>
            </w:r>
            <w:r w:rsidRPr="00C52695">
              <w:rPr>
                <w:rStyle w:val="FootnoteReference"/>
              </w:rPr>
              <w:footnoteReference w:id="747"/>
            </w:r>
          </w:p>
        </w:tc>
        <w:tc>
          <w:tcPr>
            <w:tcW w:w="1346" w:type="dxa"/>
          </w:tcPr>
          <w:p w:rsidR="00C52695" w:rsidRPr="00C52695" w:rsidRDefault="00C52695" w:rsidP="00C52695">
            <w:r w:rsidRPr="00883125">
              <w:t>-1.57</w:t>
            </w:r>
            <w:r w:rsidRPr="00883125">
              <w:br/>
              <w:t>(1987–2000)</w:t>
            </w:r>
          </w:p>
        </w:tc>
        <w:tc>
          <w:tcPr>
            <w:tcW w:w="1347" w:type="dxa"/>
          </w:tcPr>
          <w:p w:rsidR="00C52695" w:rsidRPr="00C52695" w:rsidRDefault="00C52695" w:rsidP="00C52695">
            <w:r w:rsidRPr="00883125">
              <w:t>-1.68</w:t>
            </w:r>
            <w:r w:rsidRPr="00883125">
              <w:br/>
            </w:r>
            <w:r w:rsidRPr="00C52695">
              <w:t>(2000–2009)</w:t>
            </w:r>
          </w:p>
        </w:tc>
        <w:tc>
          <w:tcPr>
            <w:tcW w:w="3322" w:type="dxa"/>
            <w:gridSpan w:val="2"/>
          </w:tcPr>
          <w:p w:rsidR="00C52695" w:rsidRPr="00C52695" w:rsidRDefault="00C52695" w:rsidP="00C52695">
            <w:r w:rsidRPr="00883125">
              <w:t>Uses</w:t>
            </w:r>
            <w:r w:rsidRPr="00C52695">
              <w:t xml:space="preserve"> past returns. For the entire period, estimate is -1.88</w:t>
            </w:r>
          </w:p>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C52695" w:rsidRPr="00883125" w:rsidRDefault="00C52695" w:rsidP="00C52695"/>
        </w:tc>
        <w:tc>
          <w:tcPr>
            <w:tcW w:w="2835" w:type="dxa"/>
          </w:tcPr>
          <w:p w:rsidR="00C52695" w:rsidRPr="00C52695" w:rsidRDefault="00C52695" w:rsidP="00C52695">
            <w:r w:rsidRPr="00883125">
              <w:t>Siau et al (2013)</w:t>
            </w:r>
            <w:r w:rsidRPr="00C52695">
              <w:rPr>
                <w:rStyle w:val="FootnoteReference"/>
              </w:rPr>
              <w:footnoteReference w:id="748"/>
            </w:r>
          </w:p>
        </w:tc>
        <w:tc>
          <w:tcPr>
            <w:tcW w:w="1346" w:type="dxa"/>
          </w:tcPr>
          <w:p w:rsidR="00C52695" w:rsidRPr="00883125" w:rsidRDefault="00C52695" w:rsidP="00C52695"/>
        </w:tc>
        <w:tc>
          <w:tcPr>
            <w:tcW w:w="1347" w:type="dxa"/>
          </w:tcPr>
          <w:p w:rsidR="00C52695" w:rsidRPr="00C52695" w:rsidRDefault="00C52695" w:rsidP="00C52695">
            <w:r w:rsidRPr="00883125">
              <w:t>-0.29–0.30</w:t>
            </w:r>
            <w:r w:rsidRPr="00883125">
              <w:br/>
              <w:t>(1996–2011)</w:t>
            </w:r>
          </w:p>
        </w:tc>
        <w:tc>
          <w:tcPr>
            <w:tcW w:w="3322" w:type="dxa"/>
            <w:gridSpan w:val="2"/>
          </w:tcPr>
          <w:p w:rsidR="00C52695" w:rsidRPr="00C52695" w:rsidRDefault="00C52695" w:rsidP="00C52695">
            <w:r w:rsidRPr="00883125">
              <w:t xml:space="preserve">Uses forecast </w:t>
            </w:r>
            <w:r w:rsidRPr="00C52695">
              <w:t>returns. Note range is from negative 0.29 to positive 0.30.</w:t>
            </w:r>
          </w:p>
        </w:tc>
      </w:tr>
      <w:tr w:rsidR="00C52695" w:rsidRPr="00222643" w:rsidTr="006425B8">
        <w:trPr>
          <w:cantSplit/>
          <w:trHeight w:val="299"/>
        </w:trPr>
        <w:tc>
          <w:tcPr>
            <w:tcW w:w="392" w:type="dxa"/>
          </w:tcPr>
          <w:p w:rsidR="00C52695" w:rsidRPr="00883125" w:rsidRDefault="00C52695" w:rsidP="00C52695"/>
        </w:tc>
        <w:tc>
          <w:tcPr>
            <w:tcW w:w="2835" w:type="dxa"/>
          </w:tcPr>
          <w:p w:rsidR="00C52695" w:rsidRPr="00C52695" w:rsidRDefault="00C52695" w:rsidP="00C52695">
            <w:r w:rsidRPr="00883125">
              <w:t>Siau et al (2015)</w:t>
            </w:r>
            <w:r w:rsidRPr="00C52695">
              <w:rPr>
                <w:rStyle w:val="FootnoteReference"/>
              </w:rPr>
              <w:footnoteReference w:id="749"/>
            </w:r>
          </w:p>
        </w:tc>
        <w:tc>
          <w:tcPr>
            <w:tcW w:w="1346" w:type="dxa"/>
          </w:tcPr>
          <w:p w:rsidR="00C52695" w:rsidRPr="00883125" w:rsidRDefault="00C52695" w:rsidP="00C52695"/>
        </w:tc>
        <w:tc>
          <w:tcPr>
            <w:tcW w:w="1347" w:type="dxa"/>
          </w:tcPr>
          <w:p w:rsidR="00C52695" w:rsidRPr="00C52695" w:rsidRDefault="00C52695" w:rsidP="00C52695">
            <w:r w:rsidRPr="00883125">
              <w:t>-0.29–0.30</w:t>
            </w:r>
            <w:r w:rsidRPr="00883125">
              <w:br/>
              <w:t>(1996–2011)</w:t>
            </w:r>
          </w:p>
        </w:tc>
        <w:tc>
          <w:tcPr>
            <w:tcW w:w="3322" w:type="dxa"/>
            <w:gridSpan w:val="2"/>
          </w:tcPr>
          <w:p w:rsidR="00C52695" w:rsidRPr="00C52695" w:rsidRDefault="00C52695" w:rsidP="00C52695">
            <w:r w:rsidRPr="00883125">
              <w:t xml:space="preserve">Uses forecast returns. Note range is from negative 0.29 to positive 0.30. </w:t>
            </w:r>
          </w:p>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C52695" w:rsidRPr="00883125" w:rsidRDefault="00C52695" w:rsidP="00C52695"/>
        </w:tc>
        <w:tc>
          <w:tcPr>
            <w:tcW w:w="2835" w:type="dxa"/>
          </w:tcPr>
          <w:p w:rsidR="00C52695" w:rsidRPr="00C52695" w:rsidRDefault="00C52695" w:rsidP="00C52695">
            <w:r w:rsidRPr="00883125">
              <w:t>NERA (2015)</w:t>
            </w:r>
            <w:r w:rsidRPr="00C52695">
              <w:rPr>
                <w:rStyle w:val="FootnoteReference"/>
              </w:rPr>
              <w:footnoteReference w:id="750"/>
            </w:r>
          </w:p>
        </w:tc>
        <w:tc>
          <w:tcPr>
            <w:tcW w:w="1346" w:type="dxa"/>
          </w:tcPr>
          <w:p w:rsidR="00C52695" w:rsidRPr="00C52695" w:rsidRDefault="00C52695" w:rsidP="00C52695">
            <w:r w:rsidRPr="00883125">
              <w:t>-0.90                         (1987-2000)</w:t>
            </w:r>
          </w:p>
        </w:tc>
        <w:tc>
          <w:tcPr>
            <w:tcW w:w="1347" w:type="dxa"/>
          </w:tcPr>
          <w:p w:rsidR="00C52695" w:rsidRPr="00C52695" w:rsidRDefault="00C52695" w:rsidP="00C52695">
            <w:r w:rsidRPr="00883125">
              <w:t xml:space="preserve">-3.18              </w:t>
            </w:r>
            <w:r w:rsidRPr="00C52695">
              <w:t xml:space="preserve">      (2000-2013)</w:t>
            </w:r>
          </w:p>
        </w:tc>
        <w:tc>
          <w:tcPr>
            <w:tcW w:w="3322" w:type="dxa"/>
            <w:gridSpan w:val="2"/>
          </w:tcPr>
          <w:p w:rsidR="00C52695" w:rsidRPr="00C52695" w:rsidRDefault="00C52695" w:rsidP="00C52695">
            <w:r w:rsidRPr="00883125">
              <w:t>Uses past returns. For the entire period, estimate is -1.76</w:t>
            </w:r>
          </w:p>
        </w:tc>
      </w:tr>
      <w:tr w:rsidR="00C52695" w:rsidRPr="00222643" w:rsidTr="006425B8">
        <w:trPr>
          <w:cantSplit/>
          <w:trHeight w:val="402"/>
        </w:trPr>
        <w:tc>
          <w:tcPr>
            <w:tcW w:w="3227" w:type="dxa"/>
            <w:gridSpan w:val="2"/>
          </w:tcPr>
          <w:p w:rsidR="00C52695" w:rsidRPr="00C52695" w:rsidRDefault="00C52695" w:rsidP="00C52695">
            <w:pPr>
              <w:rPr>
                <w:rStyle w:val="Strong"/>
              </w:rPr>
            </w:pPr>
            <w:r w:rsidRPr="00883125">
              <w:rPr>
                <w:rStyle w:val="Strong"/>
              </w:rPr>
              <w:lastRenderedPageBreak/>
              <w:t>Simultaneous share trades</w:t>
            </w:r>
          </w:p>
        </w:tc>
        <w:tc>
          <w:tcPr>
            <w:tcW w:w="1346" w:type="dxa"/>
          </w:tcPr>
          <w:p w:rsidR="00C52695" w:rsidRPr="00883125" w:rsidRDefault="00C52695" w:rsidP="00C52695"/>
        </w:tc>
        <w:tc>
          <w:tcPr>
            <w:tcW w:w="1347" w:type="dxa"/>
          </w:tcPr>
          <w:p w:rsidR="00C52695" w:rsidRPr="00883125" w:rsidRDefault="00C52695" w:rsidP="00C52695"/>
        </w:tc>
        <w:tc>
          <w:tcPr>
            <w:tcW w:w="3322" w:type="dxa"/>
            <w:gridSpan w:val="2"/>
          </w:tcPr>
          <w:p w:rsidR="00C52695" w:rsidRPr="00883125" w:rsidRDefault="00C52695" w:rsidP="00C52695"/>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Height w:val="402"/>
        </w:trPr>
        <w:tc>
          <w:tcPr>
            <w:tcW w:w="392" w:type="dxa"/>
          </w:tcPr>
          <w:p w:rsidR="00C52695" w:rsidRPr="00883125" w:rsidRDefault="00C52695" w:rsidP="00C52695"/>
        </w:tc>
        <w:tc>
          <w:tcPr>
            <w:tcW w:w="2835" w:type="dxa"/>
          </w:tcPr>
          <w:p w:rsidR="00C52695" w:rsidRPr="00C52695" w:rsidRDefault="00C52695" w:rsidP="00C52695">
            <w:r w:rsidRPr="00883125">
              <w:t>Chu and Partington (2008)</w:t>
            </w:r>
            <w:r w:rsidRPr="00C52695">
              <w:rPr>
                <w:rStyle w:val="FootnoteReference"/>
              </w:rPr>
              <w:footnoteReference w:id="751"/>
            </w:r>
          </w:p>
        </w:tc>
        <w:tc>
          <w:tcPr>
            <w:tcW w:w="1346" w:type="dxa"/>
          </w:tcPr>
          <w:p w:rsidR="00C52695" w:rsidRPr="00C52695" w:rsidRDefault="00C52695" w:rsidP="00C52695">
            <w:r w:rsidRPr="00883125">
              <w:t>N/A</w:t>
            </w:r>
            <w:r w:rsidRPr="00883125">
              <w:br/>
              <w:t>(1996)</w:t>
            </w:r>
          </w:p>
        </w:tc>
        <w:tc>
          <w:tcPr>
            <w:tcW w:w="1347" w:type="dxa"/>
          </w:tcPr>
          <w:p w:rsidR="00C52695" w:rsidRPr="00883125" w:rsidRDefault="00C52695" w:rsidP="00C52695"/>
        </w:tc>
        <w:tc>
          <w:tcPr>
            <w:tcW w:w="3322" w:type="dxa"/>
            <w:gridSpan w:val="2"/>
          </w:tcPr>
          <w:p w:rsidR="00C52695" w:rsidRPr="00C52695" w:rsidRDefault="00C52695" w:rsidP="00C52695">
            <w:r w:rsidRPr="00883125">
              <w:t>Combined drop off of 1.29. With dividends at full value, this is a utilisation rate of 0.68.</w:t>
            </w:r>
          </w:p>
        </w:tc>
      </w:tr>
      <w:tr w:rsidR="00C52695" w:rsidRPr="00222643" w:rsidTr="006425B8">
        <w:trPr>
          <w:cantSplit/>
          <w:trHeight w:val="284"/>
        </w:trPr>
        <w:tc>
          <w:tcPr>
            <w:tcW w:w="392" w:type="dxa"/>
          </w:tcPr>
          <w:p w:rsidR="00C52695" w:rsidRPr="00883125" w:rsidRDefault="00C52695" w:rsidP="00C52695"/>
        </w:tc>
        <w:tc>
          <w:tcPr>
            <w:tcW w:w="2835" w:type="dxa"/>
          </w:tcPr>
          <w:p w:rsidR="00C52695" w:rsidRPr="00C52695" w:rsidRDefault="00C52695" w:rsidP="00C52695">
            <w:r w:rsidRPr="00883125">
              <w:t xml:space="preserve">Walker and </w:t>
            </w:r>
            <w:r w:rsidRPr="00C52695">
              <w:t>Partington (1999)</w:t>
            </w:r>
            <w:r w:rsidRPr="00C52695">
              <w:rPr>
                <w:rStyle w:val="FootnoteReference"/>
              </w:rPr>
              <w:footnoteReference w:id="752"/>
            </w:r>
          </w:p>
        </w:tc>
        <w:tc>
          <w:tcPr>
            <w:tcW w:w="1346" w:type="dxa"/>
          </w:tcPr>
          <w:p w:rsidR="00C52695" w:rsidRPr="00C52695" w:rsidRDefault="00C52695" w:rsidP="00C52695">
            <w:r w:rsidRPr="00883125">
              <w:t>0.88–0.96</w:t>
            </w:r>
            <w:r w:rsidRPr="00883125">
              <w:br/>
              <w:t>(1995–1997)</w:t>
            </w:r>
          </w:p>
        </w:tc>
        <w:tc>
          <w:tcPr>
            <w:tcW w:w="1347" w:type="dxa"/>
          </w:tcPr>
          <w:p w:rsidR="00C52695" w:rsidRPr="00883125" w:rsidRDefault="00C52695" w:rsidP="00C52695"/>
        </w:tc>
        <w:tc>
          <w:tcPr>
            <w:tcW w:w="3322" w:type="dxa"/>
            <w:gridSpan w:val="2"/>
          </w:tcPr>
          <w:p w:rsidR="00C52695" w:rsidRPr="00883125" w:rsidDel="003D6627" w:rsidRDefault="00C52695" w:rsidP="00C52695"/>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Height w:val="658"/>
        </w:trPr>
        <w:tc>
          <w:tcPr>
            <w:tcW w:w="392" w:type="dxa"/>
          </w:tcPr>
          <w:p w:rsidR="00C52695" w:rsidRPr="00883125" w:rsidRDefault="00C52695" w:rsidP="00C52695"/>
        </w:tc>
        <w:tc>
          <w:tcPr>
            <w:tcW w:w="2835" w:type="dxa"/>
          </w:tcPr>
          <w:p w:rsidR="00C52695" w:rsidRPr="00C52695" w:rsidRDefault="00C52695" w:rsidP="00C52695">
            <w:r w:rsidRPr="00883125">
              <w:t>Chu and Partington (2001)</w:t>
            </w:r>
            <w:r w:rsidRPr="00C52695">
              <w:rPr>
                <w:rStyle w:val="FootnoteReference"/>
              </w:rPr>
              <w:footnoteReference w:id="753"/>
            </w:r>
          </w:p>
        </w:tc>
        <w:tc>
          <w:tcPr>
            <w:tcW w:w="1346" w:type="dxa"/>
          </w:tcPr>
          <w:p w:rsidR="00C52695" w:rsidRPr="00C52695" w:rsidRDefault="00C52695" w:rsidP="00C52695">
            <w:r w:rsidRPr="00883125">
              <w:t>N/A</w:t>
            </w:r>
            <w:r w:rsidRPr="00883125">
              <w:br/>
              <w:t>(1991–1999)</w:t>
            </w:r>
          </w:p>
        </w:tc>
        <w:tc>
          <w:tcPr>
            <w:tcW w:w="1347" w:type="dxa"/>
          </w:tcPr>
          <w:p w:rsidR="00C52695" w:rsidRPr="00883125" w:rsidRDefault="00C52695" w:rsidP="00C52695"/>
        </w:tc>
        <w:tc>
          <w:tcPr>
            <w:tcW w:w="3322" w:type="dxa"/>
            <w:gridSpan w:val="2"/>
          </w:tcPr>
          <w:p w:rsidR="00C52695" w:rsidRPr="00C52695" w:rsidDel="003D6627" w:rsidRDefault="00C52695" w:rsidP="00C52695">
            <w:r w:rsidRPr="00883125">
              <w:t>Combined drop off</w:t>
            </w:r>
            <w:r w:rsidRPr="00C52695">
              <w:t xml:space="preserve"> of 1.5. With dividends at full value, this is a utilisation rate above 1.</w:t>
            </w:r>
          </w:p>
        </w:tc>
      </w:tr>
    </w:tbl>
    <w:p w:rsidR="00C52695" w:rsidRPr="00883125" w:rsidRDefault="00C52695" w:rsidP="00C52695">
      <w:pPr>
        <w:pStyle w:val="AERtablesource"/>
      </w:pPr>
      <w:r w:rsidRPr="00883125">
        <w:t xml:space="preserve">Source: </w:t>
      </w:r>
      <w:r w:rsidRPr="00883125">
        <w:tab/>
        <w:t>As specified in table.</w:t>
      </w:r>
    </w:p>
    <w:p w:rsidR="00C52695" w:rsidRPr="00883125" w:rsidRDefault="00C52695" w:rsidP="00A3116F">
      <w:r w:rsidRPr="00883125">
        <w:t>In relation to the 2015 study by Siau et al, this is an academic journal published version of the early study by Siau et al already considered by us. The 2015 paper has relatively minor editorial changes and gives us no cause to change our views.</w:t>
      </w:r>
      <w:r w:rsidRPr="00883125">
        <w:rPr>
          <w:rStyle w:val="FootnoteReference"/>
        </w:rPr>
        <w:footnoteReference w:id="754"/>
      </w:r>
    </w:p>
    <w:p w:rsidR="00C52695" w:rsidRDefault="00C52695" w:rsidP="00A3116F">
      <w:r w:rsidRPr="00883125">
        <w:t>In relation to the 2015 study by NERA, this is an update of the 2013 study by NERA using one extra year's data. The results are somewhat similar to the 2013 study and we consider the results do not provide compelling evidence on the value of imputation credits, particularly given the large negative estimate for the value of imputation credits.</w:t>
      </w:r>
      <w:r w:rsidRPr="00883125">
        <w:rPr>
          <w:rStyle w:val="FootnoteReference"/>
        </w:rPr>
        <w:footnoteReference w:id="755"/>
      </w:r>
      <w:r w:rsidRPr="00883125">
        <w:t xml:space="preserve"> While NERA has responded to the criticism effectively stating the results may indicate there is something wrong with the SLCAPM</w:t>
      </w:r>
      <w:r w:rsidRPr="00883125">
        <w:rPr>
          <w:rStyle w:val="FootnoteReference"/>
        </w:rPr>
        <w:footnoteReference w:id="756"/>
      </w:r>
      <w:r w:rsidRPr="00883125">
        <w:t>, this does not resolve the issue of the reliability of the theta estimate for use in the SLCAPM.</w:t>
      </w:r>
      <w:r w:rsidRPr="00883125">
        <w:rPr>
          <w:rStyle w:val="FootnoteReference"/>
        </w:rPr>
        <w:footnoteReference w:id="757"/>
      </w:r>
      <w:r w:rsidRPr="00883125">
        <w:t xml:space="preserve"> </w:t>
      </w:r>
      <w:r>
        <w:t>A</w:t>
      </w:r>
      <w:r w:rsidRPr="00883125">
        <w:t>s outlined by Ainsworth, Partington and Warren (2015) the negative value on imputation credits is implausible and the sign on the coefficient probably flags issues with the empirical method.</w:t>
      </w:r>
      <w:r w:rsidRPr="00883125">
        <w:rPr>
          <w:rStyle w:val="FootnoteReference"/>
        </w:rPr>
        <w:footnoteReference w:id="758"/>
      </w:r>
    </w:p>
    <w:p w:rsidR="00E37CE4" w:rsidRPr="00883125" w:rsidRDefault="00E37CE4" w:rsidP="00A3116F"/>
    <w:p w:rsidR="00C52695" w:rsidRPr="00CA67C0" w:rsidRDefault="00C52695" w:rsidP="00C52695">
      <w:pPr>
        <w:pStyle w:val="Heading9"/>
      </w:pPr>
      <w:bookmarkStart w:id="421" w:name="_Ref435171205"/>
      <w:bookmarkStart w:id="422" w:name="_Toc456614340"/>
      <w:bookmarkStart w:id="423" w:name="_Toc462823344"/>
      <w:bookmarkStart w:id="424" w:name="_Toc481061514"/>
      <w:r w:rsidRPr="00883125">
        <w:lastRenderedPageBreak/>
        <w:t>Comparison with other market-based estimation approaches</w:t>
      </w:r>
      <w:bookmarkEnd w:id="421"/>
      <w:bookmarkEnd w:id="422"/>
      <w:bookmarkEnd w:id="423"/>
      <w:bookmarkEnd w:id="424"/>
    </w:p>
    <w:p w:rsidR="00C52695" w:rsidRPr="00CA67C0" w:rsidRDefault="00C52695" w:rsidP="00C52695">
      <w:r w:rsidRPr="00883125">
        <w:t>The majority of service providers have submitted that the use of implied market value studies to estimate the value of imputation credits is consistent with the approach to estimating other rate of return parameters.</w:t>
      </w:r>
      <w:r w:rsidRPr="00CA67C0">
        <w:rPr>
          <w:rStyle w:val="FootnoteReference"/>
        </w:rPr>
        <w:footnoteReference w:id="759"/>
      </w:r>
      <w:r w:rsidRPr="00CA67C0">
        <w:t xml:space="preserve"> We disagree. As we set our prior decisions, we consider that the use of market prices to estimate the value of imputation credits is fundamentally different to using market prices to estimate other rate of return parameters. </w:t>
      </w:r>
      <w:r w:rsidR="0006482A">
        <w:t xml:space="preserve">This is further discussed in section </w:t>
      </w:r>
      <w:r w:rsidR="00001B62">
        <w:fldChar w:fldCharType="begin"/>
      </w:r>
      <w:r w:rsidR="00001B62">
        <w:instrText xml:space="preserve"> REF _Ref450298425 \r \h </w:instrText>
      </w:r>
      <w:r w:rsidR="00001B62">
        <w:fldChar w:fldCharType="separate"/>
      </w:r>
      <w:r w:rsidR="00812A72">
        <w:t>A.8.2</w:t>
      </w:r>
      <w:r w:rsidR="00001B62">
        <w:fldChar w:fldCharType="end"/>
      </w:r>
      <w:r w:rsidR="00CB5775">
        <w:t>, which shows our approach is internally consistent.</w:t>
      </w:r>
    </w:p>
    <w:p w:rsidR="00C52695" w:rsidRPr="00883125" w:rsidRDefault="00C52695" w:rsidP="00C52695">
      <w:r w:rsidRPr="00883125">
        <w:t>For example, bonds are separately and (generally) regularly traded, and we can observe the market price that arises from this trading. As correctly noted by Gray (for SFG), '…when estimating the cost of debt the AER uses traded bond prices which reflect the value of those bonds to investors…'.</w:t>
      </w:r>
      <w:r w:rsidRPr="00883125">
        <w:rPr>
          <w:rStyle w:val="FootnoteReference"/>
        </w:rPr>
        <w:footnoteReference w:id="760"/>
      </w:r>
      <w:r w:rsidRPr="00883125">
        <w:t xml:space="preserve"> By contrast, imputation credits are not separately traded. Therefore, no market price exists for imputation credits in the same manner as that for separately traded assets.</w:t>
      </w:r>
    </w:p>
    <w:p w:rsidR="00C52695" w:rsidRPr="00883125" w:rsidRDefault="00C52695" w:rsidP="00C52695">
      <w:r w:rsidRPr="00883125">
        <w:t>Further, when returns are calculated on bonds for the cost of debt, and capital gains/loss for the return on equity, these returns are</w:t>
      </w:r>
      <w:r>
        <w:t xml:space="preserve"> post (company) tax</w:t>
      </w:r>
      <w:r w:rsidRPr="00883125">
        <w:t xml:space="preserve"> </w:t>
      </w:r>
      <w:r>
        <w:t>(pre-personal tax) returns</w:t>
      </w:r>
      <w:r w:rsidRPr="00883125">
        <w:t>. However, imputation credits and dividends market values derived from drop off studies are influenced by differential personal tax</w:t>
      </w:r>
      <w:r>
        <w:t xml:space="preserve"> resulting in these values being neither pre nor post personal tax values</w:t>
      </w:r>
      <w:r w:rsidRPr="00883125">
        <w:t xml:space="preserve">. </w:t>
      </w:r>
      <w:r>
        <w:t>Lally notes that differential personal taxes on different types of income should affect the pre personal tax costs of debt and equity but they should not affect the estimate of theta.</w:t>
      </w:r>
      <w:r w:rsidRPr="00B64830">
        <w:rPr>
          <w:rStyle w:val="FootnoteReference"/>
        </w:rPr>
        <w:t xml:space="preserve"> </w:t>
      </w:r>
      <w:r>
        <w:rPr>
          <w:rStyle w:val="FootnoteReference"/>
        </w:rPr>
        <w:footnoteReference w:id="761"/>
      </w:r>
      <w:r>
        <w:t xml:space="preserve"> </w:t>
      </w:r>
      <w:r w:rsidRPr="00883125">
        <w:t xml:space="preserve">This is further discussed in detail in section </w:t>
      </w:r>
      <w:r>
        <w:fldChar w:fldCharType="begin"/>
      </w:r>
      <w:r>
        <w:instrText xml:space="preserve"> REF _Ref450840388 \r \h </w:instrText>
      </w:r>
      <w:r>
        <w:fldChar w:fldCharType="separate"/>
      </w:r>
      <w:r w:rsidR="00812A72">
        <w:t>A.8.2</w:t>
      </w:r>
      <w:r>
        <w:fldChar w:fldCharType="end"/>
      </w:r>
      <w:r w:rsidRPr="00883125">
        <w:t xml:space="preserve"> and an example is provided to demonstrate the impact below.</w:t>
      </w:r>
    </w:p>
    <w:p w:rsidR="00C52695" w:rsidRPr="00883125" w:rsidRDefault="00C52695" w:rsidP="00C52695">
      <w:r w:rsidRPr="00883125">
        <w:t xml:space="preserve">We also noted in the decisions released in 2014 and April and June 2015 that, because no market price exists for imputation credits in the same manner as that for separately traded assets, dividend drop off studies must infer using ex-dividend price changes and econometric techniques the value attributed to imputation credits by investors. This is in contrast to simply observing or measuring the value attributed to imputation credits by investors via prices resulting from market transactions in imputation credits. Gray (for both SFG and Frontier) noted that we apply econometric </w:t>
      </w:r>
      <w:r w:rsidRPr="00883125">
        <w:lastRenderedPageBreak/>
        <w:t>techniques (that is, regression analysis) to observed market prices when estimating beta.</w:t>
      </w:r>
      <w:r w:rsidRPr="00883125">
        <w:rPr>
          <w:rStyle w:val="FootnoteReference"/>
        </w:rPr>
        <w:footnoteReference w:id="762"/>
      </w:r>
      <w:r w:rsidRPr="00883125">
        <w:t xml:space="preserve"> This is correct, but beta is not a measure of the value attributed to an asset by investors; for example, Gray's definition of beta (for SFG) is ‘the risk of the asset or firm in question relative to the average firm or asset’.</w:t>
      </w:r>
      <w:r w:rsidRPr="00883125">
        <w:rPr>
          <w:rStyle w:val="FootnoteReference"/>
        </w:rPr>
        <w:footnoteReference w:id="763"/>
      </w:r>
    </w:p>
    <w:p w:rsidR="00C52695" w:rsidRPr="00883125" w:rsidRDefault="00C52695" w:rsidP="00C52695">
      <w:r w:rsidRPr="00883125">
        <w:t>A number of service providers also submitted, consistent with advice from Gray (for SFG), that we do not seek to adjust other rate of return parameters for personal costs.</w:t>
      </w:r>
      <w:r w:rsidRPr="00883125">
        <w:rPr>
          <w:rStyle w:val="FootnoteReference"/>
        </w:rPr>
        <w:footnoteReference w:id="764"/>
      </w:r>
      <w:r w:rsidRPr="00883125">
        <w:t xml:space="preserve"> They consider that the value of imputation credits will reflect transaction costs</w:t>
      </w:r>
      <w:r>
        <w:t xml:space="preserve"> that are associated </w:t>
      </w:r>
      <w:r w:rsidRPr="00883125">
        <w:t>with redeeming imputation credits.</w:t>
      </w:r>
      <w:r w:rsidRPr="00883125">
        <w:rPr>
          <w:rStyle w:val="FootnoteReference"/>
        </w:rPr>
        <w:footnoteReference w:id="765"/>
      </w:r>
    </w:p>
    <w:p w:rsidR="00C52695" w:rsidRPr="00883125" w:rsidRDefault="00C52695" w:rsidP="00C52695">
      <w:r w:rsidRPr="00883125">
        <w:t>However, this consideration did not change Handley’s view—which we accept—that the value of imputation credits should be estimated on a before-personal-tax and before-personal-costs basis:</w:t>
      </w:r>
      <w:r w:rsidRPr="00883125">
        <w:rPr>
          <w:rStyle w:val="FootnoteReference"/>
        </w:rPr>
        <w:footnoteReference w:id="766"/>
      </w:r>
    </w:p>
    <w:p w:rsidR="00C52695" w:rsidRPr="00883125" w:rsidRDefault="00C52695" w:rsidP="00C52695">
      <w:pPr>
        <w:pStyle w:val="AERquote"/>
      </w:pPr>
      <w:r w:rsidRPr="00883125">
        <w:t xml:space="preserve">In other words,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 This approach is also consistent with the standard approach to calculating a return in a classical tax system – you take the observed capital gain and the observed dividend without making any adjustment for personal taxes or personal costs associated with trading the share or receiving the dividend.</w:t>
      </w:r>
    </w:p>
    <w:p w:rsidR="00C52695" w:rsidRPr="00883125" w:rsidRDefault="00C52695" w:rsidP="00C52695">
      <w:r w:rsidRPr="00883125">
        <w:t>That is, we take the observed distribution of $1 of dividends to yield $1 of value to investors. We do not take it to yield $1 of value minus personal taxes and personal costs associated with that dividend. Similarly, we take a $1 change in stock prices (capital gain) to yield $1 of value to investors. We do not take it to yield $1 of value minus personal taxes and personal costs associated with that capital gain.</w:t>
      </w:r>
    </w:p>
    <w:p w:rsidR="00C52695" w:rsidRPr="00883125" w:rsidRDefault="00C52695" w:rsidP="00C52695">
      <w:r w:rsidRPr="00883125">
        <w:t>To explain how personal taxes influence market price/returns in the dividend drop off studies we present a simple example below. Dividend drop off studies work on a no arbitrage argument</w:t>
      </w:r>
      <w:r>
        <w:t>. In perfect capital with no transaction cost, no differential tax on dividends relative to capital gains and no risk, the theory of no arbitrage predicts an ex-</w:t>
      </w:r>
      <w:r>
        <w:lastRenderedPageBreak/>
        <w:t>dividend drop-off being equal to the face value of the dividend. A representative</w:t>
      </w:r>
      <w:r w:rsidRPr="00883125">
        <w:t xml:space="preserve"> investor should be indifferent between the two following strategies:</w:t>
      </w:r>
      <w:r w:rsidRPr="00883125">
        <w:rPr>
          <w:rStyle w:val="FootnoteReference"/>
        </w:rPr>
        <w:footnoteReference w:id="767"/>
      </w:r>
    </w:p>
    <w:p w:rsidR="00C52695" w:rsidRPr="001D37D5" w:rsidRDefault="00C52695" w:rsidP="00C52695">
      <w:pPr>
        <w:pStyle w:val="AERbulletlistfirststyle"/>
      </w:pPr>
      <w:r w:rsidRPr="00883125">
        <w:t>Sell</w:t>
      </w:r>
      <w:r w:rsidRPr="001D37D5">
        <w:t>ing their stock the day before the shareholder is entitled to receive the dividend at the cum-dividend price (P</w:t>
      </w:r>
      <w:r w:rsidRPr="001D37D5">
        <w:rPr>
          <w:rStyle w:val="AERsubscript"/>
        </w:rPr>
        <w:t>cum-div</w:t>
      </w:r>
      <w:r w:rsidRPr="001D37D5">
        <w:t>). In this scenario the shareholder receives only the proceeds from the sale of the shares.</w:t>
      </w:r>
    </w:p>
    <w:p w:rsidR="00C52695" w:rsidRPr="001D37D5" w:rsidRDefault="00C52695" w:rsidP="00C52695">
      <w:pPr>
        <w:pStyle w:val="AERbulletlistfirststyle"/>
      </w:pPr>
      <w:r w:rsidRPr="00883125">
        <w:t>Se</w:t>
      </w:r>
      <w:r w:rsidRPr="001D37D5">
        <w:t>lling their stock when the shareholder is entitled to receive the dividend at the ex-dividend price (P</w:t>
      </w:r>
      <w:r w:rsidRPr="001D37D5">
        <w:rPr>
          <w:rStyle w:val="AERsubscript"/>
        </w:rPr>
        <w:t>ex-div</w:t>
      </w:r>
      <w:r w:rsidRPr="001D37D5">
        <w:t>). In this scenario the shareholder receives both the dividend (D) and proceeds from the sale of the shares.</w:t>
      </w:r>
    </w:p>
    <w:p w:rsidR="00C52695" w:rsidRPr="00883125" w:rsidRDefault="00C52695" w:rsidP="00C52695">
      <w:r w:rsidRPr="00883125">
        <w:t>An investor should be indifferent between the two strategies given that if one strategy is more profitable then arbitrage opportunities will exist. However, arbitrage opportunities will be eliminated as the buying pressure on the more profitable strategy combined with the selling pressure on less profitable strategy will result in an equilibrium outcome, where the two strategies yield the same return.</w:t>
      </w:r>
      <w:r>
        <w:t xml:space="preserve"> Note that </w:t>
      </w:r>
      <w:r w:rsidRPr="00883125">
        <w:t>investors care about their post-personal tax return and not their pre-personal tax return. What is important to investors is the return they get after paying their taxes and not what they receive before taxes.</w:t>
      </w:r>
    </w:p>
    <w:p w:rsidR="00C52695" w:rsidRPr="00883125" w:rsidRDefault="00C52695" w:rsidP="00C52695">
      <w:r>
        <w:t xml:space="preserve">Where income and capital gains are taxed at the same rate, </w:t>
      </w:r>
      <w:r w:rsidRPr="00883125">
        <w:t>the investor should be indifferent between receiving the cum-dividend price or the ex-divide</w:t>
      </w:r>
      <w:r w:rsidR="00FE3642">
        <w:t>nd price plus the dividend. That is,</w:t>
      </w:r>
    </w:p>
    <w:p w:rsidR="00C52695" w:rsidRPr="00883125" w:rsidRDefault="00C52695" w:rsidP="00C52695"/>
    <w:p w:rsidR="00C52695" w:rsidRDefault="00C52695" w:rsidP="00C52695">
      <w:pPr>
        <w:pStyle w:val="AERbodytextcentre"/>
      </w:pPr>
      <w:r w:rsidRPr="00883125">
        <w:t>P</w:t>
      </w:r>
      <w:r w:rsidRPr="00B27BE5">
        <w:rPr>
          <w:rStyle w:val="AERsubscript"/>
        </w:rPr>
        <w:t>cum-div</w:t>
      </w:r>
      <w:r w:rsidRPr="00B27BE5">
        <w:t xml:space="preserve"> = P</w:t>
      </w:r>
      <w:r w:rsidRPr="00B27BE5">
        <w:rPr>
          <w:rStyle w:val="AERsubscript"/>
        </w:rPr>
        <w:t>ex-div</w:t>
      </w:r>
      <w:r w:rsidRPr="00B27BE5">
        <w:t xml:space="preserve"> + D</w:t>
      </w:r>
    </w:p>
    <w:p w:rsidR="00C52695" w:rsidRPr="00B27BE5" w:rsidRDefault="00C52695" w:rsidP="00C52695"/>
    <w:p w:rsidR="00C52695" w:rsidRPr="00883125" w:rsidRDefault="00C52695" w:rsidP="00C52695">
      <w:r>
        <w:t xml:space="preserve">More generally, </w:t>
      </w:r>
      <w:r w:rsidRPr="00883125">
        <w:t xml:space="preserve">the results </w:t>
      </w:r>
      <w:r>
        <w:t xml:space="preserve">of market studies </w:t>
      </w:r>
      <w:r w:rsidRPr="00883125">
        <w:t>are influenced by personal taxes and need to be interpreted in light of this. For our regulatory purposes the efficient costs that are imposed on the benchmark efficient firm is what matters. That is, the pre personal taxes and personal costs impact. Market parameter estimates that are influenced by personal tax and personal cost factors which do not correctly reflect the efficient post-</w:t>
      </w:r>
      <w:r>
        <w:t xml:space="preserve">company </w:t>
      </w:r>
      <w:r w:rsidRPr="00883125">
        <w:t xml:space="preserve">tax costs faced by the benchmark efficient entity are not appropriate estimates under our post tax regulatory framework. </w:t>
      </w:r>
    </w:p>
    <w:p w:rsidR="00C52695" w:rsidRPr="00883125" w:rsidRDefault="00C52695" w:rsidP="00C52695">
      <w:r w:rsidRPr="00883125">
        <w:t>To demonstrate assume an investor faces the following investment scenario:</w:t>
      </w:r>
    </w:p>
    <w:p w:rsidR="00C52695" w:rsidRPr="00B27BE5" w:rsidRDefault="00C52695" w:rsidP="00D414CC">
      <w:pPr>
        <w:pStyle w:val="AERbulletlistfirststyle"/>
      </w:pPr>
      <w:r w:rsidRPr="00883125">
        <w:t>(P</w:t>
      </w:r>
      <w:r w:rsidRPr="00B27BE5">
        <w:rPr>
          <w:rStyle w:val="AERsubscript"/>
        </w:rPr>
        <w:t>cost</w:t>
      </w:r>
      <w:r w:rsidRPr="00B27BE5">
        <w:t>) Purchased share in 2010 for $10</w:t>
      </w:r>
    </w:p>
    <w:p w:rsidR="00C52695" w:rsidRPr="00B27BE5" w:rsidRDefault="00C52695" w:rsidP="00D414CC">
      <w:pPr>
        <w:pStyle w:val="AERbulletlistfirststyle"/>
      </w:pPr>
      <w:r w:rsidRPr="00883125">
        <w:t>(P</w:t>
      </w:r>
      <w:r w:rsidRPr="00B27BE5">
        <w:rPr>
          <w:rStyle w:val="AERsubscript"/>
        </w:rPr>
        <w:t>cum-div</w:t>
      </w:r>
      <w:r w:rsidRPr="00B27BE5">
        <w:t>) Current cum dividend price in 2016 is $20</w:t>
      </w:r>
    </w:p>
    <w:p w:rsidR="00C52695" w:rsidRPr="00B27BE5" w:rsidRDefault="00C52695" w:rsidP="00D414CC">
      <w:pPr>
        <w:pStyle w:val="AERbulletlistfirststyle"/>
      </w:pPr>
      <w:r w:rsidRPr="00883125">
        <w:t xml:space="preserve">(D) </w:t>
      </w:r>
      <w:r w:rsidRPr="00B27BE5">
        <w:t>2016 dividend is $1 assume fully unfranked</w:t>
      </w:r>
    </w:p>
    <w:p w:rsidR="00C52695" w:rsidRPr="00B27BE5" w:rsidRDefault="00C52695" w:rsidP="00D414CC">
      <w:pPr>
        <w:pStyle w:val="AERbulletlistfirststyle"/>
      </w:pPr>
      <w:r w:rsidRPr="00883125">
        <w:t>(P</w:t>
      </w:r>
      <w:r w:rsidRPr="00B27BE5">
        <w:rPr>
          <w:rStyle w:val="AERsubscript"/>
        </w:rPr>
        <w:t>ex-div</w:t>
      </w:r>
      <w:r w:rsidRPr="00B27BE5">
        <w:t>) Ex-dividend price in 2016 is $19 (calculated as cum-div price minus dividend)</w:t>
      </w:r>
    </w:p>
    <w:p w:rsidR="00C52695" w:rsidRPr="00B27BE5" w:rsidRDefault="00C52695" w:rsidP="00D414CC">
      <w:pPr>
        <w:pStyle w:val="AERbulletlistfirststyle"/>
      </w:pPr>
      <w:r w:rsidRPr="00883125">
        <w:lastRenderedPageBreak/>
        <w:t xml:space="preserve">(MTR) </w:t>
      </w:r>
      <w:r w:rsidRPr="00B27BE5">
        <w:t>Investors marginal tax rate = 47 %</w:t>
      </w:r>
    </w:p>
    <w:p w:rsidR="00C52695" w:rsidRPr="00B27BE5" w:rsidRDefault="00C52695" w:rsidP="00D414CC">
      <w:pPr>
        <w:pStyle w:val="AERbulletlistfirststyle"/>
      </w:pPr>
      <w:r w:rsidRPr="00883125">
        <w:t>(CGT</w:t>
      </w:r>
      <w:r w:rsidRPr="00B27BE5">
        <w:rPr>
          <w:rStyle w:val="AERsubscript"/>
        </w:rPr>
        <w:t>discount</w:t>
      </w:r>
      <w:r w:rsidRPr="00B27BE5">
        <w:t>) capital gains discount (0.5 when shares held for more than 12 months, otherwise 1)</w:t>
      </w:r>
    </w:p>
    <w:p w:rsidR="00C52695" w:rsidRPr="00B27BE5" w:rsidRDefault="00C52695" w:rsidP="00D414CC">
      <w:pPr>
        <w:pStyle w:val="AERbulletlistfirststyle"/>
      </w:pPr>
      <w:r w:rsidRPr="00883125">
        <w:t xml:space="preserve">For the time being it will </w:t>
      </w:r>
      <w:r w:rsidRPr="00B27BE5">
        <w:t>be assumed that there is one type of investor in the economy, however, this assumption will be relaxed.</w:t>
      </w:r>
    </w:p>
    <w:p w:rsidR="00C52695" w:rsidRPr="00E1560E" w:rsidRDefault="00C52695" w:rsidP="00C52695">
      <w:pPr>
        <w:rPr>
          <w:rStyle w:val="AERbody"/>
        </w:rPr>
      </w:pPr>
      <w:r w:rsidRPr="00E1560E">
        <w:rPr>
          <w:rStyle w:val="AERbody"/>
        </w:rPr>
        <w:t>Under this scenario ex-dividend and cum-dividend returns are equal on a pre-personal tax basis:</w:t>
      </w:r>
    </w:p>
    <w:p w:rsidR="00C52695" w:rsidRPr="00883125" w:rsidRDefault="00C52695" w:rsidP="00C52695">
      <w:pPr>
        <w:rPr>
          <w:rStyle w:val="AERbody"/>
        </w:rPr>
      </w:pPr>
    </w:p>
    <w:p w:rsidR="00C52695" w:rsidRPr="00883125" w:rsidRDefault="00C52695" w:rsidP="00C52695">
      <w:pPr>
        <w:pStyle w:val="AERbodytextcentre"/>
      </w:pPr>
      <w:r w:rsidRPr="00883125">
        <w:t>P</w:t>
      </w:r>
      <w:r w:rsidRPr="00883125">
        <w:rPr>
          <w:rStyle w:val="AERsubscript"/>
        </w:rPr>
        <w:t>cum-div</w:t>
      </w:r>
      <w:r w:rsidRPr="00883125">
        <w:t xml:space="preserve"> = P</w:t>
      </w:r>
      <w:r w:rsidRPr="00883125">
        <w:rPr>
          <w:rStyle w:val="AERsubscript"/>
        </w:rPr>
        <w:t>ex-div</w:t>
      </w:r>
      <w:r w:rsidRPr="00883125">
        <w:t xml:space="preserve"> + D</w:t>
      </w:r>
    </w:p>
    <w:p w:rsidR="00C52695" w:rsidRPr="00883125" w:rsidRDefault="00C52695" w:rsidP="00C52695">
      <w:pPr>
        <w:pStyle w:val="AERbodytextcentre"/>
      </w:pPr>
      <w:r w:rsidRPr="00883125">
        <w:t>20 = 19 +1</w:t>
      </w:r>
    </w:p>
    <w:p w:rsidR="00C52695" w:rsidRPr="00B27BE5" w:rsidRDefault="00C52695" w:rsidP="00C52695">
      <w:pPr>
        <w:rPr>
          <w:rStyle w:val="AERbody"/>
        </w:rPr>
      </w:pPr>
    </w:p>
    <w:p w:rsidR="00C52695" w:rsidRPr="00B27BE5" w:rsidRDefault="00C52695" w:rsidP="00C52695">
      <w:pPr>
        <w:rPr>
          <w:rStyle w:val="AERbody"/>
        </w:rPr>
      </w:pPr>
      <w:r w:rsidRPr="00B27BE5">
        <w:rPr>
          <w:rStyle w:val="AERbody"/>
        </w:rPr>
        <w:t>However, investors care about their post personal tax return and not their pre-personal tax returns. As a result, the investors post personal tax return if they sell cum-dividend is:</w:t>
      </w:r>
    </w:p>
    <w:p w:rsidR="00C52695" w:rsidRPr="00B27BE5" w:rsidRDefault="00C52695" w:rsidP="00C52695">
      <w:pPr>
        <w:rPr>
          <w:rStyle w:val="AERbody"/>
        </w:rPr>
      </w:pPr>
    </w:p>
    <w:p w:rsidR="00C52695" w:rsidRPr="00883125" w:rsidRDefault="00C52695" w:rsidP="00C52695">
      <w:pPr>
        <w:pStyle w:val="AERbodytextcentre"/>
      </w:pPr>
      <w:r w:rsidRPr="00883125">
        <w:t>Post Tax return = P</w:t>
      </w:r>
      <w:r w:rsidRPr="00883125">
        <w:rPr>
          <w:rStyle w:val="AERsubscript"/>
        </w:rPr>
        <w:t>cum-div</w:t>
      </w:r>
      <w:r w:rsidRPr="00883125">
        <w:t xml:space="preserve"> - Personal Tax (CGT)</w:t>
      </w:r>
    </w:p>
    <w:p w:rsidR="00C52695" w:rsidRPr="00883125" w:rsidRDefault="00C52695" w:rsidP="00C52695">
      <w:pPr>
        <w:pStyle w:val="AERbodytextcentre"/>
      </w:pPr>
      <w:r w:rsidRPr="00883125">
        <w:t>Personal Tax (CGT) = (P</w:t>
      </w:r>
      <w:r w:rsidRPr="00883125">
        <w:rPr>
          <w:rStyle w:val="AERsubscript"/>
        </w:rPr>
        <w:t xml:space="preserve">cum-div </w:t>
      </w:r>
      <w:r w:rsidRPr="00883125">
        <w:t>- P</w:t>
      </w:r>
      <w:r w:rsidRPr="00883125">
        <w:rPr>
          <w:rStyle w:val="AERsubscript"/>
        </w:rPr>
        <w:t>cost</w:t>
      </w:r>
      <w:r w:rsidRPr="00883125">
        <w:t>) * MTR * CGT</w:t>
      </w:r>
      <w:r w:rsidRPr="00883125">
        <w:rPr>
          <w:rStyle w:val="AERsubscript"/>
        </w:rPr>
        <w:t>discount</w:t>
      </w:r>
    </w:p>
    <w:p w:rsidR="00C52695" w:rsidRPr="00883125" w:rsidRDefault="00C52695" w:rsidP="00C52695">
      <w:pPr>
        <w:pStyle w:val="AERbodytextcentre"/>
      </w:pPr>
      <w:r w:rsidRPr="00883125">
        <w:t>Personal Tax Capital Gain = (20-10) * 0.5 * 0.47</w:t>
      </w:r>
    </w:p>
    <w:p w:rsidR="00C52695" w:rsidRPr="00883125" w:rsidRDefault="00C52695" w:rsidP="00C52695">
      <w:pPr>
        <w:pStyle w:val="AERbodytextcentre"/>
      </w:pPr>
      <w:r w:rsidRPr="00883125">
        <w:t>Personal Tax Capital Gain = 2.35</w:t>
      </w:r>
    </w:p>
    <w:p w:rsidR="00C52695" w:rsidRPr="00883125" w:rsidRDefault="00C52695" w:rsidP="00C52695">
      <w:pPr>
        <w:pStyle w:val="AERbodytextcentre"/>
      </w:pPr>
      <w:r w:rsidRPr="00883125">
        <w:t>Post Tax return = 20 - 2.35 = 17.65</w:t>
      </w:r>
    </w:p>
    <w:p w:rsidR="00C52695" w:rsidRPr="00883125" w:rsidRDefault="00C52695" w:rsidP="00C52695"/>
    <w:p w:rsidR="00C52695" w:rsidRPr="00883125" w:rsidRDefault="00C52695" w:rsidP="00C52695">
      <w:r w:rsidRPr="00883125">
        <w:t>The investors post personal tax return if they sell ex-dividend is:</w:t>
      </w:r>
    </w:p>
    <w:p w:rsidR="00C52695" w:rsidRPr="00883125" w:rsidRDefault="00C52695" w:rsidP="00C52695"/>
    <w:p w:rsidR="00C52695" w:rsidRPr="00883125" w:rsidRDefault="00C52695" w:rsidP="00C52695">
      <w:pPr>
        <w:pStyle w:val="AERbodytextcentre"/>
      </w:pPr>
      <w:r w:rsidRPr="00883125">
        <w:t>Post Tax return = P</w:t>
      </w:r>
      <w:r w:rsidRPr="00883125">
        <w:rPr>
          <w:rStyle w:val="AERsubscript"/>
        </w:rPr>
        <w:t>ex-div</w:t>
      </w:r>
      <w:r w:rsidRPr="00883125">
        <w:t xml:space="preserve"> + D - Personal Tax (CGT) - Personal Tax (Dividend)</w:t>
      </w:r>
    </w:p>
    <w:p w:rsidR="00C52695" w:rsidRPr="00883125" w:rsidRDefault="00C52695" w:rsidP="00C52695">
      <w:pPr>
        <w:pStyle w:val="AERbodytextcentre"/>
      </w:pPr>
      <w:r w:rsidRPr="00883125">
        <w:t>Personal Tax (CGT) = (19-10) * 0.5 * 0.47 = 2.115</w:t>
      </w:r>
    </w:p>
    <w:p w:rsidR="00C52695" w:rsidRPr="00883125" w:rsidRDefault="00C52695" w:rsidP="00C52695">
      <w:pPr>
        <w:pStyle w:val="AERbodytextcentre"/>
      </w:pPr>
      <w:r w:rsidRPr="00883125">
        <w:t>Personal Tax (Dividend) = 1 * 0.47 = 0.47</w:t>
      </w:r>
    </w:p>
    <w:p w:rsidR="00C52695" w:rsidRPr="00883125" w:rsidRDefault="00C52695" w:rsidP="00C52695">
      <w:pPr>
        <w:pStyle w:val="AERbodytextcentre"/>
      </w:pPr>
      <w:r w:rsidRPr="00883125">
        <w:t>Total Tax = 2.115 + 0.47 = 2.585</w:t>
      </w:r>
    </w:p>
    <w:p w:rsidR="00C52695" w:rsidRPr="00883125" w:rsidRDefault="00C52695" w:rsidP="00C52695">
      <w:pPr>
        <w:pStyle w:val="AERbodytextcentre"/>
      </w:pPr>
      <w:r w:rsidRPr="00883125">
        <w:t>Post Tax return = P</w:t>
      </w:r>
      <w:r w:rsidRPr="00883125">
        <w:rPr>
          <w:rStyle w:val="AERsubscript"/>
        </w:rPr>
        <w:t>ex-div</w:t>
      </w:r>
      <w:r w:rsidRPr="00883125">
        <w:t xml:space="preserve"> + D - Personal Tax (CGT) - Personal Tax (Dividend)</w:t>
      </w:r>
    </w:p>
    <w:p w:rsidR="00C52695" w:rsidRPr="00883125" w:rsidRDefault="00C52695" w:rsidP="00C52695">
      <w:pPr>
        <w:pStyle w:val="AERbodytextcentre"/>
      </w:pPr>
      <w:r w:rsidRPr="00883125">
        <w:t>Post Tax return = 19 + 1 - 2.115 - 0.47 = 17.415</w:t>
      </w:r>
    </w:p>
    <w:p w:rsidR="00C52695" w:rsidRPr="00883125" w:rsidRDefault="00C52695" w:rsidP="00C52695"/>
    <w:p w:rsidR="00C52695" w:rsidRPr="00B27BE5" w:rsidRDefault="00C52695" w:rsidP="00C52695">
      <w:r w:rsidRPr="00883125">
        <w:lastRenderedPageBreak/>
        <w:t xml:space="preserve">As is evident on a post personal tax basis the investor is better off </w:t>
      </w:r>
      <w:r w:rsidRPr="00B27BE5">
        <w:t xml:space="preserve">by selling cum-dividend ($17.65) in contrast to selling ex-dividend ($17.415). Such a situation cannot exist in practice as arbitrage opportunities would exist. These arbitrage opportunities would increase </w:t>
      </w:r>
      <w:r>
        <w:t>supply</w:t>
      </w:r>
      <w:r w:rsidRPr="00B27BE5">
        <w:t xml:space="preserve"> for cum-dividend pushing </w:t>
      </w:r>
      <w:r>
        <w:t>down</w:t>
      </w:r>
      <w:r w:rsidRPr="00B27BE5">
        <w:t xml:space="preserve"> the cum-dividend price and increased </w:t>
      </w:r>
      <w:r>
        <w:t>demand for</w:t>
      </w:r>
      <w:r w:rsidRPr="00B27BE5">
        <w:t xml:space="preserve"> ex-dividend would push the ex-dividend price </w:t>
      </w:r>
      <w:r>
        <w:t>up</w:t>
      </w:r>
      <w:r w:rsidRPr="00B27BE5">
        <w:t>.</w:t>
      </w:r>
    </w:p>
    <w:p w:rsidR="00C52695" w:rsidRPr="00B27BE5" w:rsidRDefault="00C52695" w:rsidP="00C52695">
      <w:r w:rsidRPr="00883125">
        <w:t>For</w:t>
      </w:r>
      <w:r w:rsidRPr="00B27BE5">
        <w:t xml:space="preserve"> no arbitrage opportunities to exist the post personal tax return must be the same cum dividend and ex-dividend</w:t>
      </w:r>
      <w:r>
        <w:t>,</w:t>
      </w:r>
      <w:r w:rsidRPr="00B27BE5">
        <w:t xml:space="preserve"> ignoring market volatility between cum-dividend price and ex-dividend price</w:t>
      </w:r>
      <w:r>
        <w:t xml:space="preserve"> for simplicity</w:t>
      </w:r>
      <w:r w:rsidRPr="00B27BE5">
        <w:t>. Therefore:</w:t>
      </w:r>
    </w:p>
    <w:p w:rsidR="00C52695" w:rsidRPr="00883125" w:rsidRDefault="00C52695" w:rsidP="00C52695"/>
    <w:p w:rsidR="00C52695" w:rsidRPr="00883125" w:rsidRDefault="00C52695" w:rsidP="00C52695">
      <w:pPr>
        <w:pStyle w:val="AERbodytextcentre"/>
      </w:pPr>
      <w:r w:rsidRPr="00883125">
        <w:t>Post Tax return cum div = Post Tax return ex div</w:t>
      </w:r>
    </w:p>
    <w:p w:rsidR="00C52695" w:rsidRPr="00883125" w:rsidRDefault="00C52695" w:rsidP="00C52695">
      <w:pPr>
        <w:pStyle w:val="AERbodytextcentre"/>
      </w:pPr>
      <w:r w:rsidRPr="00883125">
        <w:t>P</w:t>
      </w:r>
      <w:r w:rsidRPr="00883125">
        <w:rPr>
          <w:rStyle w:val="AERsubscript"/>
        </w:rPr>
        <w:t>cum-div</w:t>
      </w:r>
      <w:r w:rsidRPr="00883125">
        <w:t xml:space="preserve"> - Personal Tax (CGT) = P</w:t>
      </w:r>
      <w:r w:rsidRPr="00883125">
        <w:rPr>
          <w:rStyle w:val="AERsubscript"/>
        </w:rPr>
        <w:t>ex-div</w:t>
      </w:r>
      <w:r w:rsidRPr="00883125">
        <w:t xml:space="preserve"> + D - Personal Tax (CGT) - Personal Tax (Dividend)</w:t>
      </w:r>
    </w:p>
    <w:p w:rsidR="00C52695" w:rsidRPr="00883125" w:rsidRDefault="00C52695" w:rsidP="00C52695">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ex-div</w:t>
      </w:r>
      <w:r w:rsidRPr="00883125">
        <w:t xml:space="preserve"> + D - (P</w:t>
      </w:r>
      <w:r w:rsidRPr="00883125">
        <w:rPr>
          <w:rStyle w:val="AERsubscript"/>
        </w:rPr>
        <w:t>ex-div</w:t>
      </w:r>
      <w:r w:rsidRPr="00883125">
        <w:t xml:space="preserve"> - P</w:t>
      </w:r>
      <w:r w:rsidRPr="00883125">
        <w:rPr>
          <w:rStyle w:val="AERsubscript"/>
        </w:rPr>
        <w:t>cost</w:t>
      </w:r>
      <w:r w:rsidRPr="00883125">
        <w:t>)* CGT</w:t>
      </w:r>
      <w:r w:rsidRPr="00883125">
        <w:rPr>
          <w:rStyle w:val="AERsubscript"/>
        </w:rPr>
        <w:t>discount</w:t>
      </w:r>
      <w:r w:rsidRPr="00883125">
        <w:t>*MTR - D*MTR</w:t>
      </w:r>
    </w:p>
    <w:p w:rsidR="00C52695" w:rsidRPr="00883125" w:rsidRDefault="00C52695" w:rsidP="00C52695">
      <w:pPr>
        <w:pStyle w:val="AERbodytextcentre"/>
      </w:pPr>
      <w:r w:rsidRPr="00883125">
        <w:t>This is the equilibrium condition.</w:t>
      </w:r>
    </w:p>
    <w:p w:rsidR="00C52695" w:rsidRPr="00883125" w:rsidRDefault="00C52695" w:rsidP="00C52695"/>
    <w:p w:rsidR="00C52695" w:rsidRPr="00B27BE5" w:rsidRDefault="00C52695" w:rsidP="00C52695">
      <w:r w:rsidRPr="00883125">
        <w:t>Let: P</w:t>
      </w:r>
      <w:r w:rsidRPr="00B27BE5">
        <w:rPr>
          <w:rStyle w:val="AERsubscript"/>
        </w:rPr>
        <w:t xml:space="preserve">ex-div </w:t>
      </w:r>
      <w:r w:rsidRPr="00B27BE5">
        <w:t>= P</w:t>
      </w:r>
      <w:r w:rsidRPr="00B27BE5">
        <w:rPr>
          <w:rStyle w:val="AERsubscript"/>
        </w:rPr>
        <w:t>cum-div</w:t>
      </w:r>
      <w:r w:rsidRPr="00B27BE5">
        <w:t xml:space="preserve"> - xD where x is the market value of dividends implied by the dividend drop off studies. </w:t>
      </w:r>
      <w:r>
        <w:t xml:space="preserve">In this example, x is the dividend drop off ratio. </w:t>
      </w:r>
      <w:r w:rsidRPr="00B27BE5">
        <w:t xml:space="preserve">Also </w:t>
      </w:r>
      <w:r>
        <w:t xml:space="preserve">for simplicity, </w:t>
      </w:r>
      <w:r w:rsidRPr="00B27BE5">
        <w:t xml:space="preserve">assume the arbitrage opportunities only influence the ex-dividend price and not the cum-dividend price. With this assumption the equilibrium condition </w:t>
      </w:r>
      <w:r>
        <w:t>is</w:t>
      </w:r>
      <w:r w:rsidRPr="00B27BE5">
        <w:t xml:space="preserve"> as:</w:t>
      </w:r>
    </w:p>
    <w:p w:rsidR="00C52695" w:rsidRPr="00883125" w:rsidRDefault="00C52695" w:rsidP="00C52695"/>
    <w:p w:rsidR="00C52695" w:rsidRPr="00883125" w:rsidRDefault="00C52695" w:rsidP="00C52695">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C52695" w:rsidRPr="00883125" w:rsidRDefault="00C52695" w:rsidP="00C52695"/>
    <w:p w:rsidR="00C52695" w:rsidRPr="00B27BE5" w:rsidRDefault="00C52695" w:rsidP="00A3116F">
      <w:r w:rsidRPr="00883125">
        <w:t>S</w:t>
      </w:r>
      <w:r w:rsidRPr="00B27BE5">
        <w:t>ubstituting in all the parameters into the formula and solving for D we get the following:</w:t>
      </w:r>
    </w:p>
    <w:p w:rsidR="00C52695" w:rsidRPr="00883125" w:rsidRDefault="00C52695" w:rsidP="00C52695"/>
    <w:p w:rsidR="00C52695" w:rsidRPr="00883125" w:rsidRDefault="00C52695" w:rsidP="00C52695">
      <w:pPr>
        <w:pStyle w:val="AERbodytextcentre"/>
      </w:pPr>
      <w:r w:rsidRPr="00883125">
        <w:t>20 - (20 - 10)* 0.5*0.47 = 20 - x + 1 - (20 - x - 10) * 0.5 * 0.47 - 0.47</w:t>
      </w:r>
    </w:p>
    <w:p w:rsidR="00C52695" w:rsidRPr="00883125" w:rsidRDefault="00C52695" w:rsidP="00C52695">
      <w:pPr>
        <w:pStyle w:val="AERbodytextcentre"/>
      </w:pPr>
      <w:r w:rsidRPr="00883125">
        <w:t xml:space="preserve">17.65 = 21 - x - (10 - x) * 0.235 - 0.47 </w:t>
      </w:r>
    </w:p>
    <w:p w:rsidR="00C52695" w:rsidRPr="00883125" w:rsidRDefault="00C52695" w:rsidP="00C52695">
      <w:pPr>
        <w:pStyle w:val="AERbodytextcentre"/>
      </w:pPr>
      <w:r w:rsidRPr="00883125">
        <w:t>X = 0.6928</w:t>
      </w:r>
    </w:p>
    <w:p w:rsidR="00C52695" w:rsidRPr="00883125" w:rsidRDefault="00C52695" w:rsidP="00C52695"/>
    <w:p w:rsidR="00C52695" w:rsidRPr="00883125" w:rsidRDefault="00C52695" w:rsidP="00C52695">
      <w:r w:rsidRPr="00883125">
        <w:t>As a result, for arbitrage opportunities to not exist the dollar face value dividend must be worth 69 cents in the dividend drop off study. In such a situation the following market prices will persist in the market:</w:t>
      </w:r>
    </w:p>
    <w:p w:rsidR="00C52695" w:rsidRPr="00883125" w:rsidRDefault="00C52695" w:rsidP="00C52695"/>
    <w:p w:rsidR="00C52695" w:rsidRPr="00883125" w:rsidRDefault="00C52695" w:rsidP="00D414CC">
      <w:pPr>
        <w:pStyle w:val="AERbulletlistfirststyle"/>
      </w:pPr>
      <w:r w:rsidRPr="00883125">
        <w:lastRenderedPageBreak/>
        <w:t>P</w:t>
      </w:r>
      <w:r w:rsidRPr="00883125">
        <w:rPr>
          <w:rStyle w:val="AERsubscript"/>
        </w:rPr>
        <w:t>cum-div</w:t>
      </w:r>
      <w:r w:rsidRPr="00883125">
        <w:t>: $20</w:t>
      </w:r>
    </w:p>
    <w:p w:rsidR="00C52695" w:rsidRPr="00883125" w:rsidRDefault="00C52695" w:rsidP="00D414CC">
      <w:pPr>
        <w:pStyle w:val="AERbulletlistfirststyle"/>
      </w:pPr>
      <w:r w:rsidRPr="00883125">
        <w:t>D: Face value = $1, as per dividend drop off $0.6928</w:t>
      </w:r>
    </w:p>
    <w:p w:rsidR="00C52695" w:rsidRPr="00883125" w:rsidRDefault="00C52695" w:rsidP="00D414CC">
      <w:pPr>
        <w:pStyle w:val="AERbulletlistfirststyle"/>
      </w:pPr>
      <w:r w:rsidRPr="00883125">
        <w:t>P</w:t>
      </w:r>
      <w:r w:rsidRPr="00883125">
        <w:rPr>
          <w:rStyle w:val="AERsubscript"/>
        </w:rPr>
        <w:t>ex-div</w:t>
      </w:r>
      <w:r w:rsidRPr="00883125">
        <w:t>: $19.3072</w:t>
      </w:r>
      <w:r w:rsidRPr="00883125">
        <w:rPr>
          <w:rStyle w:val="FootnoteReference"/>
        </w:rPr>
        <w:footnoteReference w:id="768"/>
      </w:r>
    </w:p>
    <w:p w:rsidR="00C52695" w:rsidRPr="00883125" w:rsidRDefault="00C52695" w:rsidP="00FE3642">
      <w:pPr>
        <w:pStyle w:val="AERbulletlistfirststyle"/>
        <w:numPr>
          <w:ilvl w:val="0"/>
          <w:numId w:val="0"/>
        </w:numPr>
      </w:pPr>
    </w:p>
    <w:p w:rsidR="00C52695" w:rsidRPr="00883125" w:rsidRDefault="00C52695" w:rsidP="00C52695">
      <w:r w:rsidRPr="00883125">
        <w:t>With these arbitrage free market parameters the investors post personal tax return is as follows:</w:t>
      </w:r>
    </w:p>
    <w:p w:rsidR="00C52695" w:rsidRPr="00883125" w:rsidRDefault="00C52695" w:rsidP="00C52695"/>
    <w:p w:rsidR="00C52695" w:rsidRPr="00883125" w:rsidRDefault="00C52695" w:rsidP="00C52695">
      <w:pPr>
        <w:pStyle w:val="AERbodytextcentre"/>
      </w:pPr>
      <w:r w:rsidRPr="00883125">
        <w:t>Post Tax return cum div = P</w:t>
      </w:r>
      <w:r w:rsidRPr="00883125">
        <w:rPr>
          <w:rStyle w:val="AERsubscript"/>
        </w:rPr>
        <w:t>cum-div</w:t>
      </w:r>
      <w:r w:rsidRPr="00883125">
        <w:t xml:space="preserve"> - Personal Tax (CGT)</w:t>
      </w:r>
    </w:p>
    <w:p w:rsidR="00C52695" w:rsidRPr="00883125" w:rsidRDefault="00C52695" w:rsidP="00C52695">
      <w:pPr>
        <w:pStyle w:val="AERbodytextcentre"/>
      </w:pPr>
      <w:r w:rsidRPr="00883125">
        <w:t>Post Tax return cum div = 20 - 0.5 * 0.47 * (20-10)</w:t>
      </w:r>
    </w:p>
    <w:p w:rsidR="00C52695" w:rsidRPr="00AC2168" w:rsidRDefault="00C52695" w:rsidP="00C52695">
      <w:pPr>
        <w:pStyle w:val="AERbodytextcentre"/>
      </w:pPr>
      <w:r w:rsidRPr="00AC2168">
        <w:t>Post Tax return cum div = 20 - 2.35 = 17.65</w:t>
      </w:r>
    </w:p>
    <w:p w:rsidR="00C52695" w:rsidRPr="00883125" w:rsidRDefault="00C52695" w:rsidP="00C52695"/>
    <w:p w:rsidR="00C52695" w:rsidRPr="00883125" w:rsidRDefault="00C52695" w:rsidP="00C52695">
      <w:pPr>
        <w:pStyle w:val="AERbodytextcentre"/>
      </w:pPr>
      <w:r w:rsidRPr="00883125">
        <w:t>Post Tax return ex div = P</w:t>
      </w:r>
      <w:r w:rsidRPr="00883125">
        <w:rPr>
          <w:rStyle w:val="AERsubscript"/>
        </w:rPr>
        <w:t>ex-div</w:t>
      </w:r>
      <w:r w:rsidRPr="00883125">
        <w:t xml:space="preserve"> + D - Personal Tax (CGT) - Personal Tax (Dividend)</w:t>
      </w:r>
    </w:p>
    <w:p w:rsidR="00C52695" w:rsidRPr="00883125" w:rsidRDefault="00C52695" w:rsidP="00C52695">
      <w:pPr>
        <w:pStyle w:val="AERbodytextcentre"/>
      </w:pPr>
      <w:r w:rsidRPr="00883125">
        <w:t>Post Tax return ex div = 19.3072 + 1 - ((19.3072 - 10)*0.47*0.5) - 1*0.47</w:t>
      </w:r>
    </w:p>
    <w:p w:rsidR="00C52695" w:rsidRPr="00883125" w:rsidRDefault="00C52695" w:rsidP="00C52695">
      <w:pPr>
        <w:pStyle w:val="AERbodytextcentre"/>
      </w:pPr>
      <w:r w:rsidRPr="00883125">
        <w:t xml:space="preserve">Post Tax return ex div = </w:t>
      </w:r>
      <w:r w:rsidRPr="00AC2168">
        <w:t>17.65</w:t>
      </w:r>
    </w:p>
    <w:p w:rsidR="00C52695" w:rsidRPr="00883125" w:rsidRDefault="00C52695" w:rsidP="00C52695">
      <w:pPr>
        <w:rPr>
          <w:rStyle w:val="AERbody"/>
        </w:rPr>
      </w:pPr>
    </w:p>
    <w:p w:rsidR="00C52695" w:rsidRPr="00CB38D8" w:rsidRDefault="00C52695" w:rsidP="00C52695">
      <w:pPr>
        <w:rPr>
          <w:rStyle w:val="AERbody"/>
        </w:rPr>
      </w:pPr>
      <w:r w:rsidRPr="00CB38D8">
        <w:rPr>
          <w:rStyle w:val="AERbody"/>
        </w:rPr>
        <w:t>As evident from above, the post-personal tax return cum dividend is equal to the post-personal tax return ex dividend. I.e. no arbitrage opportunities exist and the investor is indifferent between selling their share the day before they are entitled to receive the dividend and the next day when they are entitled to the dividend. This is ignoring the market volatility that may exist between the cum-div price and the ex-div price.</w:t>
      </w:r>
    </w:p>
    <w:p w:rsidR="00C52695" w:rsidRPr="00CB38D8" w:rsidRDefault="00C52695" w:rsidP="00C52695">
      <w:pPr>
        <w:rPr>
          <w:rStyle w:val="AERbody"/>
        </w:rPr>
      </w:pPr>
      <w:r w:rsidRPr="00CB38D8">
        <w:rPr>
          <w:rStyle w:val="AERbody"/>
        </w:rPr>
        <w:t>As a result, the investor's pre-personal tax return is:</w:t>
      </w:r>
    </w:p>
    <w:p w:rsidR="00C52695" w:rsidRPr="00B27BE5" w:rsidRDefault="00C52695" w:rsidP="00D414CC">
      <w:pPr>
        <w:pStyle w:val="AERbulletlistfirststyle"/>
        <w:rPr>
          <w:rStyle w:val="AERbody"/>
        </w:rPr>
      </w:pPr>
      <w:r w:rsidRPr="00883125">
        <w:rPr>
          <w:rStyle w:val="AERbody"/>
        </w:rPr>
        <w:t>$20 if they sold on the cum-dividend date</w:t>
      </w:r>
    </w:p>
    <w:p w:rsidR="00C52695" w:rsidRPr="00B27BE5" w:rsidRDefault="00C52695" w:rsidP="00D414CC">
      <w:pPr>
        <w:pStyle w:val="AERbulletlistfirststyle"/>
        <w:rPr>
          <w:rStyle w:val="AERbody"/>
        </w:rPr>
      </w:pPr>
      <w:r w:rsidRPr="00883125">
        <w:rPr>
          <w:rStyle w:val="AERbody"/>
        </w:rPr>
        <w:t xml:space="preserve">$20.3072 </w:t>
      </w:r>
      <w:r w:rsidRPr="00B27BE5">
        <w:rPr>
          <w:rStyle w:val="AERbody"/>
        </w:rPr>
        <w:t>($19.3072 + $1) if they sold on the ex-dividend date</w:t>
      </w:r>
      <w:r w:rsidR="00E37CE4">
        <w:rPr>
          <w:rStyle w:val="AERbody"/>
        </w:rPr>
        <w:t>.</w:t>
      </w:r>
    </w:p>
    <w:p w:rsidR="00C52695" w:rsidRPr="00883125" w:rsidRDefault="00C52695" w:rsidP="00C52695">
      <w:pPr>
        <w:rPr>
          <w:rStyle w:val="AERbody"/>
        </w:rPr>
      </w:pPr>
      <w:r w:rsidRPr="00883125">
        <w:rPr>
          <w:rStyle w:val="AERbody"/>
        </w:rPr>
        <w:t>The investor's post-personal tax return is:</w:t>
      </w:r>
    </w:p>
    <w:p w:rsidR="00C52695" w:rsidRPr="00883125" w:rsidRDefault="00C52695" w:rsidP="00D414CC">
      <w:pPr>
        <w:pStyle w:val="AERbulletlistfirststyle"/>
        <w:rPr>
          <w:rStyle w:val="AERbody"/>
        </w:rPr>
      </w:pPr>
      <w:r w:rsidRPr="00883125">
        <w:rPr>
          <w:rStyle w:val="AERbody"/>
        </w:rPr>
        <w:t>$17.65 ($20 - $2.35) if they sold on the cum-dividend date</w:t>
      </w:r>
    </w:p>
    <w:p w:rsidR="00C52695" w:rsidRPr="00883125" w:rsidRDefault="00C52695" w:rsidP="00D414CC">
      <w:pPr>
        <w:pStyle w:val="AERbulletlistfirststyle"/>
        <w:rPr>
          <w:rStyle w:val="AERbody"/>
        </w:rPr>
      </w:pPr>
      <w:r w:rsidRPr="00883125">
        <w:rPr>
          <w:rStyle w:val="AERbody"/>
        </w:rPr>
        <w:t>$17.65 ($20.3072 - $2.6572) if they sold on the ex-dividend date</w:t>
      </w:r>
      <w:r w:rsidR="00E37CE4">
        <w:rPr>
          <w:rStyle w:val="AERbody"/>
        </w:rPr>
        <w:t>.</w:t>
      </w:r>
    </w:p>
    <w:p w:rsidR="00C52695" w:rsidRPr="00883125" w:rsidRDefault="00C52695" w:rsidP="00C52695">
      <w:r w:rsidRPr="00883125">
        <w:rPr>
          <w:rStyle w:val="AERbody"/>
        </w:rPr>
        <w:t xml:space="preserve">On a pre-personal tax basis, the investor values the dividend at $1. On a post-personal tax basis, the investor values the dividend at $0.53 ($1 - </w:t>
      </w:r>
      <w:r>
        <w:rPr>
          <w:rStyle w:val="AERbody"/>
        </w:rPr>
        <w:t>$</w:t>
      </w:r>
      <w:r w:rsidRPr="00883125">
        <w:rPr>
          <w:rStyle w:val="AERbody"/>
        </w:rPr>
        <w:t>1*0.47). The $0.</w:t>
      </w:r>
      <w:r w:rsidRPr="00883125">
        <w:t xml:space="preserve">6928 dividend value that is derived from dividend drop off studies is neither a pre-personal or post-personal value of the dividend. It is the difference between the cum-dividend and ex-dividend price, which is determined by the face value of the dividend and the </w:t>
      </w:r>
      <w:r w:rsidRPr="00883125">
        <w:lastRenderedPageBreak/>
        <w:t>relative difference in in the tax level on ordinary income (of which dividends are classed) and on capital gains. It is driven by investor's preference for capital gains over dividend income, as capital gains are taxed at a concessional rate relative to dividends assuming the shares are held for more than 12 months.</w:t>
      </w:r>
    </w:p>
    <w:p w:rsidR="00C52695" w:rsidRPr="00883125" w:rsidRDefault="00C52695" w:rsidP="00C52695">
      <w:r w:rsidRPr="00883125">
        <w:t xml:space="preserve">As will be shown below, only when dividends and capital gains are taxed at the same rate will the dividend drop off studies yield a value of the dividend on a correct pre-personal tax basis (i.e. not impacted by differential personal taxes on dividends and capital gains). </w:t>
      </w:r>
      <w:r w:rsidR="00AD7E20">
        <w:t>This supported by Lally.</w:t>
      </w:r>
      <w:r w:rsidR="00AD7E20">
        <w:rPr>
          <w:rStyle w:val="FootnoteReference"/>
        </w:rPr>
        <w:footnoteReference w:id="769"/>
      </w:r>
    </w:p>
    <w:p w:rsidR="00C52695" w:rsidRPr="00883125" w:rsidRDefault="00C52695" w:rsidP="00C52695">
      <w:pPr>
        <w:rPr>
          <w:rStyle w:val="AERbody"/>
        </w:rPr>
      </w:pPr>
      <w:r w:rsidRPr="00883125">
        <w:t xml:space="preserve">For regulatory purposes what matters is the investor's pre-personal tax value of dividends which is $1, which is equal to the cost of the dividend imposed on the firm (i.e. the post company tax cost). The AER uses the full face value of dividends in its estimation of the MRP (i.e. it assumes $1 of distributed dividend income has a post company tax value of $1 to investors). The AER does not use the </w:t>
      </w:r>
      <w:r>
        <w:t xml:space="preserve">market </w:t>
      </w:r>
      <w:r w:rsidRPr="00883125">
        <w:t>value of dividends from dividend drop off studies to estimate the MRP. To do so would be incorrect given this value is influenced by differential personal taxes on dividends and capital gains.</w:t>
      </w:r>
      <w:r w:rsidRPr="00883125">
        <w:rPr>
          <w:rStyle w:val="FootnoteReference"/>
        </w:rPr>
        <w:footnoteReference w:id="770"/>
      </w:r>
    </w:p>
    <w:p w:rsidR="00C52695" w:rsidRPr="00883125" w:rsidRDefault="00C52695" w:rsidP="00C52695">
      <w:pPr>
        <w:rPr>
          <w:rStyle w:val="AERbody"/>
        </w:rPr>
      </w:pPr>
      <w:r w:rsidRPr="00883125">
        <w:rPr>
          <w:rStyle w:val="AERbody"/>
        </w:rPr>
        <w:t>Earlier an assumption was made that the investor's tax rate was 47 per cent and that investor purchased the</w:t>
      </w:r>
      <w:r>
        <w:rPr>
          <w:rStyle w:val="AERbody"/>
        </w:rPr>
        <w:t xml:space="preserve"> share</w:t>
      </w:r>
      <w:r w:rsidRPr="00883125">
        <w:rPr>
          <w:rStyle w:val="AERbody"/>
        </w:rPr>
        <w:t xml:space="preserve"> more than 12 months ago which allowed them to receive a 50 per cent discount on capital gains tax. We will now relax these assumptions and see how it changes the market value of the dividends in the dividend drop off study. As shown above, for post personal tax return to be equal </w:t>
      </w:r>
      <w:r>
        <w:rPr>
          <w:rStyle w:val="AERbody"/>
        </w:rPr>
        <w:t xml:space="preserve">between </w:t>
      </w:r>
      <w:r w:rsidRPr="00883125">
        <w:rPr>
          <w:rStyle w:val="AERbody"/>
        </w:rPr>
        <w:t>cum-dividend and ex-dividend the following condition must hold:</w:t>
      </w:r>
    </w:p>
    <w:p w:rsidR="00C52695" w:rsidRPr="00883125" w:rsidRDefault="00C52695" w:rsidP="00C52695">
      <w:pPr>
        <w:rPr>
          <w:rStyle w:val="AERbody"/>
        </w:rPr>
      </w:pPr>
    </w:p>
    <w:p w:rsidR="00C52695" w:rsidRPr="00883125" w:rsidRDefault="00C52695" w:rsidP="00C52695">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C52695" w:rsidRPr="00883125" w:rsidRDefault="00C52695" w:rsidP="00C52695">
      <w:pPr>
        <w:pStyle w:val="AERbodytextcentre"/>
      </w:pPr>
      <w:r w:rsidRPr="00883125">
        <w:t>Solving for X the formula simplifies to:</w:t>
      </w:r>
    </w:p>
    <w:p w:rsidR="00C52695" w:rsidRPr="00B27BE5" w:rsidRDefault="00C52695" w:rsidP="00C52695">
      <w:pPr>
        <w:pStyle w:val="AERbodytextcentre"/>
      </w:pPr>
      <m:oMathPara>
        <m:oMath>
          <m:r>
            <w:rPr>
              <w:rFonts w:ascii="Cambria Math" w:hAnsi="Cambria Math"/>
            </w:rPr>
            <m:t>X=</m:t>
          </m:r>
          <m:f>
            <m:fPr>
              <m:ctrlPr>
                <w:rPr>
                  <w:rFonts w:ascii="Cambria Math" w:hAnsi="Cambria Math"/>
                </w:rPr>
              </m:ctrlPr>
            </m:fPr>
            <m:num>
              <m:r>
                <w:rPr>
                  <w:rFonts w:ascii="Cambria Math" w:hAnsi="Cambria Math"/>
                </w:rPr>
                <m:t>1-MTR</m:t>
              </m:r>
            </m:num>
            <m:den>
              <m:r>
                <w:rPr>
                  <w:rFonts w:ascii="Cambria Math" w:hAnsi="Cambria Math"/>
                </w:rPr>
                <m:t>1-</m:t>
              </m:r>
              <m:sSub>
                <m:sSubPr>
                  <m:ctrlPr>
                    <w:rPr>
                      <w:rFonts w:ascii="Cambria Math" w:hAnsi="Cambria Math"/>
                    </w:rPr>
                  </m:ctrlPr>
                </m:sSubPr>
                <m:e>
                  <m:r>
                    <w:rPr>
                      <w:rFonts w:ascii="Cambria Math" w:hAnsi="Cambria Math"/>
                    </w:rPr>
                    <m:t>CGT</m:t>
                  </m:r>
                </m:e>
                <m:sub>
                  <m:r>
                    <w:rPr>
                      <w:rFonts w:ascii="Cambria Math" w:hAnsi="Cambria Math"/>
                    </w:rPr>
                    <m:t>discount</m:t>
                  </m:r>
                </m:sub>
              </m:sSub>
              <m:r>
                <w:rPr>
                  <w:rFonts w:ascii="Cambria Math" w:hAnsi="Cambria Math"/>
                </w:rPr>
                <m:t>*MTR</m:t>
              </m:r>
            </m:den>
          </m:f>
        </m:oMath>
      </m:oMathPara>
    </w:p>
    <w:p w:rsidR="00C52695" w:rsidRPr="00883125" w:rsidRDefault="00C52695" w:rsidP="00C52695">
      <w:pPr>
        <w:pStyle w:val="AERbodytextcentre"/>
        <w:rPr>
          <w:rStyle w:val="AERbody"/>
        </w:rPr>
      </w:pPr>
    </w:p>
    <w:p w:rsidR="00C52695" w:rsidRPr="00883125" w:rsidRDefault="00C52695" w:rsidP="00C52695">
      <w:pPr>
        <w:rPr>
          <w:rStyle w:val="AERbody"/>
        </w:rPr>
      </w:pPr>
      <w:r w:rsidRPr="00883125">
        <w:rPr>
          <w:rStyle w:val="AERbody"/>
        </w:rPr>
        <w:t>This is consistent with the formula in the Elton and Gruber (1970) paper which defined ex-dividend behaviour as:</w:t>
      </w:r>
      <w:r w:rsidRPr="00883125">
        <w:rPr>
          <w:rStyle w:val="FootnoteReference"/>
        </w:rPr>
        <w:footnoteReference w:id="771"/>
      </w:r>
    </w:p>
    <w:p w:rsidR="00C52695" w:rsidRPr="00883125" w:rsidRDefault="00C52695" w:rsidP="00C52695">
      <w:pPr>
        <w:rPr>
          <w:rStyle w:val="AERbody"/>
        </w:rPr>
      </w:pPr>
    </w:p>
    <w:p w:rsidR="00C52695" w:rsidRPr="00883125" w:rsidRDefault="005E2A05" w:rsidP="00C52695">
      <w:pPr>
        <w:rPr>
          <w:rStyle w:val="AERbody"/>
        </w:rPr>
      </w:pPr>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cum-div</m:t>
                  </m:r>
                </m:sub>
              </m:sSub>
              <m:r>
                <m:rPr>
                  <m:sty m:val="p"/>
                </m:rPr>
                <w:rPr>
                  <w:rStyle w:val="AERsubscript"/>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ex-div</m:t>
                  </m:r>
                </m:sub>
              </m:sSub>
            </m:num>
            <m:den>
              <m:r>
                <w:rPr>
                  <w:rFonts w:ascii="Cambria Math" w:hAnsi="Cambria Math"/>
                </w:rPr>
                <m:t>D</m:t>
              </m:r>
            </m:den>
          </m:f>
          <m:r>
            <w:rPr>
              <w:rFonts w:ascii="Cambria Math" w:hAnsi="Cambria Math"/>
            </w:rPr>
            <m:t>=</m:t>
          </m:r>
          <m:f>
            <m:fPr>
              <m:ctrlPr>
                <w:rPr>
                  <w:rFonts w:ascii="Cambria Math" w:hAnsi="Cambria Math"/>
                </w:rPr>
              </m:ctrlPr>
            </m:fPr>
            <m:num>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0</m:t>
                  </m:r>
                </m:sub>
              </m:sSub>
            </m:num>
            <m:den>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c</m:t>
                  </m:r>
                </m:sub>
              </m:sSub>
            </m:den>
          </m:f>
        </m:oMath>
      </m:oMathPara>
    </w:p>
    <w:p w:rsidR="00C52695" w:rsidRPr="00883125" w:rsidRDefault="00C52695" w:rsidP="00C52695">
      <w:pPr>
        <w:rPr>
          <w:rStyle w:val="AERbody"/>
        </w:rPr>
      </w:pPr>
    </w:p>
    <w:p w:rsidR="00C52695" w:rsidRPr="00883125" w:rsidRDefault="00C52695" w:rsidP="00C52695">
      <w:pPr>
        <w:rPr>
          <w:rStyle w:val="AERbody"/>
        </w:rPr>
      </w:pPr>
      <w:r w:rsidRPr="00883125">
        <w:rPr>
          <w:rStyle w:val="AERbody"/>
        </w:rPr>
        <w:t xml:space="preserve">Where </w:t>
      </w:r>
      <w:r w:rsidRPr="00883125">
        <w:t>t</w:t>
      </w:r>
      <w:r w:rsidRPr="00883125">
        <w:rPr>
          <w:rStyle w:val="AERsubscript"/>
        </w:rPr>
        <w:t>0</w:t>
      </w:r>
      <w:r w:rsidRPr="00883125">
        <w:t xml:space="preserve"> is the tax rate of ordinary income and t</w:t>
      </w:r>
      <w:r w:rsidRPr="00883125">
        <w:rPr>
          <w:rStyle w:val="AERsubscript"/>
        </w:rPr>
        <w:t xml:space="preserve">0 </w:t>
      </w:r>
      <w:r w:rsidRPr="00883125">
        <w:t xml:space="preserve">is the capital gains tax rate. </w:t>
      </w:r>
    </w:p>
    <w:p w:rsidR="00C52695" w:rsidRDefault="00C52695" w:rsidP="00C52695">
      <w:r>
        <w:t>Further, Lally generalises the dividend relationship to the following:</w:t>
      </w:r>
      <w:r>
        <w:rPr>
          <w:rStyle w:val="FootnoteReference"/>
        </w:rPr>
        <w:footnoteReference w:id="772"/>
      </w:r>
    </w:p>
    <w:p w:rsidR="00C52695" w:rsidRDefault="00C52695" w:rsidP="00C52695"/>
    <w:p w:rsidR="00C52695" w:rsidRPr="00883125" w:rsidRDefault="00C52695" w:rsidP="00C52695">
      <w:pPr>
        <w:rPr>
          <w:rStyle w:val="AERbody"/>
        </w:rPr>
      </w:pPr>
      <m:oMathPara>
        <m:oMath>
          <m:r>
            <w:rPr>
              <w:rFonts w:ascii="Cambria Math" w:hAnsi="Cambria Math"/>
            </w:rPr>
            <m:t>∆P= δD+δθ</m:t>
          </m:r>
          <m:d>
            <m:dPr>
              <m:ctrlPr>
                <w:rPr>
                  <w:rFonts w:ascii="Cambria Math" w:hAnsi="Cambria Math"/>
                </w:rPr>
              </m:ctrlPr>
            </m:dPr>
            <m:e>
              <m:r>
                <w:rPr>
                  <w:rFonts w:ascii="Cambria Math" w:hAnsi="Cambria Math"/>
                </w:rPr>
                <m:t>IC</m:t>
              </m:r>
            </m:e>
          </m:d>
          <m:r>
            <w:rPr>
              <w:rFonts w:ascii="Cambria Math" w:hAnsi="Cambria Math"/>
            </w:rPr>
            <m:t>+ε</m:t>
          </m:r>
        </m:oMath>
      </m:oMathPara>
    </w:p>
    <w:p w:rsidR="00C52695" w:rsidRDefault="00C52695" w:rsidP="00C52695"/>
    <w:p w:rsidR="00C52695" w:rsidRDefault="00C52695" w:rsidP="00C52695">
      <w:r>
        <w:t xml:space="preserve">Where </w:t>
      </w:r>
      <m:oMath>
        <m:r>
          <w:rPr>
            <w:rFonts w:ascii="Cambria Math" w:hAnsi="Cambria Math"/>
          </w:rPr>
          <m:t>δ</m:t>
        </m:r>
      </m:oMath>
      <w:r>
        <w:t xml:space="preserve"> reflects the effect of the personal tax differential, risk, transaction costs and other frictions and </w:t>
      </w:r>
      <m:oMath>
        <m:r>
          <w:rPr>
            <w:rFonts w:ascii="Cambria Math" w:hAnsi="Cambria Math"/>
          </w:rPr>
          <m:t>ε</m:t>
        </m:r>
      </m:oMath>
      <w:r>
        <w:t xml:space="preserve"> reflects noise in the data.</w:t>
      </w:r>
      <w:r w:rsidRPr="002D2E1B">
        <w:rPr>
          <w:rStyle w:val="FootnoteReference"/>
        </w:rPr>
        <w:t xml:space="preserve"> </w:t>
      </w:r>
      <w:r>
        <w:rPr>
          <w:rStyle w:val="FootnoteReference"/>
        </w:rPr>
        <w:footnoteReference w:id="773"/>
      </w:r>
      <w:r>
        <w:rPr>
          <w:rStyle w:val="FootnoteReference"/>
        </w:rPr>
        <w:t xml:space="preserve"> </w:t>
      </w:r>
    </w:p>
    <w:p w:rsidR="00C52695" w:rsidRPr="00883125" w:rsidRDefault="00C52695" w:rsidP="00C52695">
      <w:r w:rsidRPr="00883125">
        <w:t>Using different values for MTR (0%, 15%, 21%, 34.5%. 39% 47%) and CGT discount (50% if shares held for more than 12 months and 100% if shares held for less than 12 months)</w:t>
      </w:r>
      <w:r>
        <w:rPr>
          <w:rStyle w:val="FootnoteReference"/>
        </w:rPr>
        <w:footnoteReference w:id="774"/>
      </w:r>
      <w:r w:rsidRPr="00883125">
        <w:t xml:space="preserve"> the market value for the dividend in the dividend drop off study changes. As seen in the table below a lower tax rate results in a higher </w:t>
      </w:r>
      <w:r>
        <w:t xml:space="preserve">market </w:t>
      </w:r>
      <w:r w:rsidRPr="00883125">
        <w:t xml:space="preserve">value of dividend in the dividend drop off studies. This is due </w:t>
      </w:r>
      <w:r>
        <w:t xml:space="preserve">to </w:t>
      </w:r>
      <w:r w:rsidRPr="00883125">
        <w:t>the differential taxes being smaller at a lower MTR.</w:t>
      </w:r>
    </w:p>
    <w:p w:rsidR="00C52695" w:rsidRPr="00883125" w:rsidRDefault="00C52695" w:rsidP="00C52695">
      <w:r>
        <w:t xml:space="preserve">The </w:t>
      </w:r>
      <w:r w:rsidRPr="00883125">
        <w:t xml:space="preserve">table </w:t>
      </w:r>
      <w:r>
        <w:t xml:space="preserve">also shows </w:t>
      </w:r>
      <w:r w:rsidRPr="00883125">
        <w:t>that when the stocks are held for less than 12 months and the CGT is taxed at the MTR rate rather than 50 per cent of the MTR, the dividends are worth one dollar in a dividend drop of study. This is because when the stocks are held for less than 12 months capital gains are taxed at the same rate as dividends. The same is also true for the 0 per cent tax rate when stocks are held for more than 12 months. In this situation dividend tax and capital gains tax is consistent at 0 per cent.</w:t>
      </w:r>
    </w:p>
    <w:p w:rsidR="00C52695" w:rsidRDefault="00C52695" w:rsidP="00C52695">
      <w:r w:rsidRPr="00883125">
        <w:t xml:space="preserve">As noted above, the difference between the cum-dividend price and ex-dividend price is driven by differential personal taxes on dividends and capital gains. Hence, </w:t>
      </w:r>
      <w:r>
        <w:t>only when</w:t>
      </w:r>
      <w:r w:rsidRPr="00883125">
        <w:t xml:space="preserve"> dividends and capital gains are taxed at the same rate, the drop off just represents the face value of the dividend. This is the value that is required for regulatory purposes and is the post company tax (pre-personal tax) value.</w:t>
      </w:r>
    </w:p>
    <w:p w:rsidR="00E37CE4" w:rsidRDefault="00E37CE4" w:rsidP="00C52695"/>
    <w:p w:rsidR="00E37CE4" w:rsidRDefault="00E37CE4" w:rsidP="00C52695"/>
    <w:p w:rsidR="00E37CE4" w:rsidRPr="00883125" w:rsidRDefault="00E37CE4" w:rsidP="00C52695"/>
    <w:p w:rsidR="00C52695" w:rsidRPr="00B27BE5" w:rsidRDefault="00C52695" w:rsidP="00C52695">
      <w:pPr>
        <w:pStyle w:val="Caption"/>
      </w:pPr>
      <w:r w:rsidRPr="00883125">
        <w:lastRenderedPageBreak/>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rsidRPr="00B27BE5">
        <w:noBreakHyphen/>
      </w:r>
      <w:r w:rsidRPr="001D37D5">
        <w:fldChar w:fldCharType="begin"/>
      </w:r>
      <w:r>
        <w:instrText xml:space="preserve"> SEQ Table \* ARABIC \s 1 </w:instrText>
      </w:r>
      <w:r w:rsidRPr="001D37D5">
        <w:fldChar w:fldCharType="separate"/>
      </w:r>
      <w:r w:rsidR="00812A72">
        <w:rPr>
          <w:noProof/>
        </w:rPr>
        <w:t>21</w:t>
      </w:r>
      <w:r w:rsidRPr="001D37D5">
        <w:fldChar w:fldCharType="end"/>
      </w:r>
      <w:r w:rsidRPr="00B27BE5">
        <w:tab/>
        <w:t xml:space="preserve">Dividend drop off ratio with varying </w:t>
      </w:r>
      <w:r>
        <w:t>tax rates</w:t>
      </w:r>
    </w:p>
    <w:tbl>
      <w:tblPr>
        <w:tblW w:w="4520" w:type="dxa"/>
        <w:tblInd w:w="93" w:type="dxa"/>
        <w:tblLook w:val="04A0" w:firstRow="1" w:lastRow="0" w:firstColumn="1" w:lastColumn="0" w:noHBand="0" w:noVBand="1"/>
      </w:tblPr>
      <w:tblGrid>
        <w:gridCol w:w="721"/>
        <w:gridCol w:w="1074"/>
        <w:gridCol w:w="2063"/>
        <w:gridCol w:w="1019"/>
      </w:tblGrid>
      <w:tr w:rsidR="00C52695" w:rsidRPr="00CF5360" w:rsidTr="006425B8">
        <w:trPr>
          <w:trHeight w:val="300"/>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C52695" w:rsidRPr="00C52695" w:rsidRDefault="00C52695" w:rsidP="00C52695">
            <w:pPr>
              <w:pStyle w:val="ListContinue2"/>
            </w:pPr>
            <w:r w:rsidRPr="00F1222E">
              <w:t> </w:t>
            </w:r>
          </w:p>
        </w:tc>
        <w:tc>
          <w:tcPr>
            <w:tcW w:w="2960" w:type="dxa"/>
            <w:gridSpan w:val="2"/>
            <w:tcBorders>
              <w:top w:val="single" w:sz="4" w:space="0" w:color="auto"/>
              <w:left w:val="nil"/>
              <w:bottom w:val="single" w:sz="4" w:space="0" w:color="auto"/>
              <w:right w:val="single" w:sz="4" w:space="0" w:color="auto"/>
            </w:tcBorders>
            <w:shd w:val="clear" w:color="000000" w:fill="FDE9D9"/>
            <w:noWrap/>
            <w:vAlign w:val="bottom"/>
            <w:hideMark/>
          </w:tcPr>
          <w:p w:rsidR="00C52695" w:rsidRPr="00C52695" w:rsidRDefault="00C52695" w:rsidP="00C52695">
            <w:r w:rsidRPr="005764F6">
              <w:t>CGT</w:t>
            </w:r>
          </w:p>
        </w:tc>
      </w:tr>
      <w:tr w:rsidR="00C52695" w:rsidRPr="00CF5360" w:rsidTr="006425B8">
        <w:trPr>
          <w:trHeight w:val="30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52695" w:rsidRPr="00F1222E" w:rsidRDefault="00C52695" w:rsidP="00C52695">
            <w:pPr>
              <w:pStyle w:val="ListContinue2"/>
            </w:pPr>
          </w:p>
        </w:tc>
        <w:tc>
          <w:tcPr>
            <w:tcW w:w="2063" w:type="dxa"/>
            <w:tcBorders>
              <w:top w:val="nil"/>
              <w:left w:val="nil"/>
              <w:bottom w:val="nil"/>
              <w:right w:val="single" w:sz="4" w:space="0" w:color="auto"/>
            </w:tcBorders>
            <w:shd w:val="clear" w:color="000000" w:fill="FDE9D9"/>
            <w:noWrap/>
            <w:vAlign w:val="bottom"/>
            <w:hideMark/>
          </w:tcPr>
          <w:p w:rsidR="00C52695" w:rsidRPr="00C52695" w:rsidRDefault="00C52695" w:rsidP="00C52695">
            <w:r w:rsidRPr="005764F6">
              <w:t>50%</w:t>
            </w:r>
          </w:p>
        </w:tc>
        <w:tc>
          <w:tcPr>
            <w:tcW w:w="897" w:type="dxa"/>
            <w:tcBorders>
              <w:top w:val="nil"/>
              <w:left w:val="nil"/>
              <w:bottom w:val="nil"/>
              <w:right w:val="single" w:sz="4" w:space="0" w:color="auto"/>
            </w:tcBorders>
            <w:shd w:val="clear" w:color="000000" w:fill="FDE9D9"/>
            <w:noWrap/>
            <w:vAlign w:val="bottom"/>
            <w:hideMark/>
          </w:tcPr>
          <w:p w:rsidR="00C52695" w:rsidRPr="00C52695" w:rsidRDefault="00C52695" w:rsidP="00C52695">
            <w:r w:rsidRPr="005764F6">
              <w:t>100%</w:t>
            </w:r>
          </w:p>
        </w:tc>
      </w:tr>
      <w:tr w:rsidR="00C52695" w:rsidRPr="00CF5360" w:rsidTr="006425B8">
        <w:trPr>
          <w:trHeight w:val="300"/>
        </w:trPr>
        <w:tc>
          <w:tcPr>
            <w:tcW w:w="486" w:type="dxa"/>
            <w:vMerge w:val="restart"/>
            <w:tcBorders>
              <w:top w:val="nil"/>
              <w:left w:val="single" w:sz="4" w:space="0" w:color="auto"/>
              <w:bottom w:val="single" w:sz="4" w:space="0" w:color="auto"/>
              <w:right w:val="single" w:sz="4" w:space="0" w:color="auto"/>
            </w:tcBorders>
            <w:shd w:val="clear" w:color="000000" w:fill="FDE9D9"/>
            <w:noWrap/>
            <w:textDirection w:val="btLr"/>
            <w:vAlign w:val="center"/>
            <w:hideMark/>
          </w:tcPr>
          <w:p w:rsidR="00C52695" w:rsidRPr="00C52695" w:rsidRDefault="00C52695" w:rsidP="00C52695">
            <w:r w:rsidRPr="005764F6">
              <w:t>Tax Rate</w:t>
            </w:r>
          </w:p>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C52695">
            <w:r w:rsidRPr="005764F6">
              <w:t>0%</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C52695" w:rsidRPr="00C52695" w:rsidRDefault="00C52695" w:rsidP="00C52695">
            <w:pPr>
              <w:pStyle w:val="ListContinue2"/>
            </w:pPr>
            <w:r w:rsidRPr="00F1222E">
              <w:t>1</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C52695" w:rsidRPr="00C52695" w:rsidRDefault="00C52695" w:rsidP="00C52695">
            <w:pPr>
              <w:pStyle w:val="ListContinue2"/>
            </w:pPr>
            <w:r w:rsidRPr="00F1222E">
              <w:t>1</w:t>
            </w:r>
          </w:p>
        </w:tc>
      </w:tr>
      <w:tr w:rsidR="00C52695" w:rsidRPr="00CF5360" w:rsidTr="006425B8">
        <w:trPr>
          <w:trHeight w:val="300"/>
        </w:trPr>
        <w:tc>
          <w:tcPr>
            <w:tcW w:w="486" w:type="dxa"/>
            <w:vMerge/>
            <w:tcBorders>
              <w:top w:val="nil"/>
              <w:left w:val="single" w:sz="4" w:space="0" w:color="auto"/>
              <w:bottom w:val="single" w:sz="4" w:space="0" w:color="auto"/>
              <w:right w:val="single" w:sz="4" w:space="0" w:color="auto"/>
            </w:tcBorders>
            <w:vAlign w:val="center"/>
            <w:hideMark/>
          </w:tcPr>
          <w:p w:rsidR="00C52695" w:rsidRPr="00AC2168" w:rsidRDefault="00C52695" w:rsidP="00C52695"/>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C52695">
            <w:r w:rsidRPr="005764F6">
              <w:t>15%</w:t>
            </w:r>
          </w:p>
        </w:tc>
        <w:tc>
          <w:tcPr>
            <w:tcW w:w="2063"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C52695">
            <w:pPr>
              <w:pStyle w:val="ListContinue2"/>
            </w:pPr>
            <w:r w:rsidRPr="00F1222E">
              <w:t>0.9189</w:t>
            </w:r>
          </w:p>
        </w:tc>
        <w:tc>
          <w:tcPr>
            <w:tcW w:w="897"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C52695">
            <w:pPr>
              <w:pStyle w:val="ListContinue2"/>
            </w:pPr>
            <w:r w:rsidRPr="00F1222E">
              <w:t>1</w:t>
            </w:r>
          </w:p>
        </w:tc>
      </w:tr>
      <w:tr w:rsidR="00C52695" w:rsidRPr="00CF5360" w:rsidTr="006425B8">
        <w:trPr>
          <w:trHeight w:val="300"/>
        </w:trPr>
        <w:tc>
          <w:tcPr>
            <w:tcW w:w="486" w:type="dxa"/>
            <w:vMerge/>
            <w:tcBorders>
              <w:top w:val="nil"/>
              <w:left w:val="single" w:sz="4" w:space="0" w:color="auto"/>
              <w:bottom w:val="single" w:sz="4" w:space="0" w:color="auto"/>
              <w:right w:val="single" w:sz="4" w:space="0" w:color="auto"/>
            </w:tcBorders>
            <w:vAlign w:val="center"/>
            <w:hideMark/>
          </w:tcPr>
          <w:p w:rsidR="00C52695" w:rsidRPr="00AC2168" w:rsidRDefault="00C52695" w:rsidP="00C52695"/>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C52695">
            <w:r w:rsidRPr="005764F6">
              <w:t>21%</w:t>
            </w:r>
          </w:p>
        </w:tc>
        <w:tc>
          <w:tcPr>
            <w:tcW w:w="2063"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C52695">
            <w:pPr>
              <w:pStyle w:val="ListContinue2"/>
            </w:pPr>
            <w:r w:rsidRPr="00F1222E">
              <w:t>0.8827</w:t>
            </w:r>
          </w:p>
        </w:tc>
        <w:tc>
          <w:tcPr>
            <w:tcW w:w="897"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C52695">
            <w:pPr>
              <w:pStyle w:val="ListContinue2"/>
            </w:pPr>
            <w:r w:rsidRPr="00F1222E">
              <w:t>1</w:t>
            </w:r>
          </w:p>
        </w:tc>
      </w:tr>
      <w:tr w:rsidR="00C52695" w:rsidRPr="00CF5360" w:rsidTr="006425B8">
        <w:trPr>
          <w:trHeight w:val="300"/>
        </w:trPr>
        <w:tc>
          <w:tcPr>
            <w:tcW w:w="486" w:type="dxa"/>
            <w:vMerge/>
            <w:tcBorders>
              <w:top w:val="nil"/>
              <w:left w:val="single" w:sz="4" w:space="0" w:color="auto"/>
              <w:bottom w:val="single" w:sz="4" w:space="0" w:color="auto"/>
              <w:right w:val="single" w:sz="4" w:space="0" w:color="auto"/>
            </w:tcBorders>
            <w:vAlign w:val="center"/>
            <w:hideMark/>
          </w:tcPr>
          <w:p w:rsidR="00C52695" w:rsidRPr="00AC2168" w:rsidRDefault="00C52695" w:rsidP="00C52695"/>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C52695">
            <w:r w:rsidRPr="005764F6">
              <w:t>34.50%</w:t>
            </w:r>
          </w:p>
        </w:tc>
        <w:tc>
          <w:tcPr>
            <w:tcW w:w="2063"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C52695">
            <w:pPr>
              <w:pStyle w:val="ListContinue2"/>
            </w:pPr>
            <w:r w:rsidRPr="00F1222E">
              <w:t>0.7915</w:t>
            </w:r>
          </w:p>
        </w:tc>
        <w:tc>
          <w:tcPr>
            <w:tcW w:w="897"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C52695">
            <w:pPr>
              <w:pStyle w:val="ListContinue2"/>
            </w:pPr>
            <w:r w:rsidRPr="00F1222E">
              <w:t>1</w:t>
            </w:r>
          </w:p>
        </w:tc>
      </w:tr>
      <w:tr w:rsidR="00C52695" w:rsidRPr="00CF5360" w:rsidTr="006425B8">
        <w:trPr>
          <w:trHeight w:val="300"/>
        </w:trPr>
        <w:tc>
          <w:tcPr>
            <w:tcW w:w="486" w:type="dxa"/>
            <w:vMerge/>
            <w:tcBorders>
              <w:top w:val="nil"/>
              <w:left w:val="single" w:sz="4" w:space="0" w:color="auto"/>
              <w:bottom w:val="single" w:sz="4" w:space="0" w:color="auto"/>
              <w:right w:val="single" w:sz="4" w:space="0" w:color="auto"/>
            </w:tcBorders>
            <w:vAlign w:val="center"/>
            <w:hideMark/>
          </w:tcPr>
          <w:p w:rsidR="00C52695" w:rsidRPr="00AC2168" w:rsidRDefault="00C52695" w:rsidP="00C52695"/>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C52695">
            <w:r w:rsidRPr="005764F6">
              <w:t>39%</w:t>
            </w:r>
          </w:p>
        </w:tc>
        <w:tc>
          <w:tcPr>
            <w:tcW w:w="2063"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C52695">
            <w:pPr>
              <w:pStyle w:val="ListContinue2"/>
            </w:pPr>
            <w:r w:rsidRPr="00F1222E">
              <w:t>0.7578</w:t>
            </w:r>
          </w:p>
        </w:tc>
        <w:tc>
          <w:tcPr>
            <w:tcW w:w="897"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C52695">
            <w:pPr>
              <w:pStyle w:val="ListContinue2"/>
            </w:pPr>
            <w:r w:rsidRPr="00F1222E">
              <w:t>1</w:t>
            </w:r>
          </w:p>
        </w:tc>
      </w:tr>
      <w:tr w:rsidR="00C52695" w:rsidRPr="00CF5360" w:rsidTr="006425B8">
        <w:trPr>
          <w:trHeight w:val="300"/>
        </w:trPr>
        <w:tc>
          <w:tcPr>
            <w:tcW w:w="486" w:type="dxa"/>
            <w:vMerge/>
            <w:tcBorders>
              <w:top w:val="nil"/>
              <w:left w:val="single" w:sz="4" w:space="0" w:color="auto"/>
              <w:bottom w:val="single" w:sz="4" w:space="0" w:color="auto"/>
              <w:right w:val="single" w:sz="4" w:space="0" w:color="auto"/>
            </w:tcBorders>
            <w:vAlign w:val="center"/>
            <w:hideMark/>
          </w:tcPr>
          <w:p w:rsidR="00C52695" w:rsidRPr="00AC2168" w:rsidRDefault="00C52695" w:rsidP="00C52695"/>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C52695">
            <w:r w:rsidRPr="005764F6">
              <w:t>47%</w:t>
            </w:r>
          </w:p>
        </w:tc>
        <w:tc>
          <w:tcPr>
            <w:tcW w:w="2063"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C52695">
            <w:pPr>
              <w:pStyle w:val="ListContinue2"/>
            </w:pPr>
            <w:r w:rsidRPr="00F1222E">
              <w:t>0.6928</w:t>
            </w:r>
          </w:p>
        </w:tc>
        <w:tc>
          <w:tcPr>
            <w:tcW w:w="897"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C52695">
            <w:pPr>
              <w:pStyle w:val="ListContinue2"/>
            </w:pPr>
            <w:r w:rsidRPr="00F1222E">
              <w:t>1</w:t>
            </w:r>
          </w:p>
        </w:tc>
      </w:tr>
    </w:tbl>
    <w:p w:rsidR="00C52695" w:rsidRPr="00883125" w:rsidRDefault="00C52695" w:rsidP="00C52695">
      <w:r w:rsidRPr="00883125">
        <w:t xml:space="preserve">The example shows why estimates of the value of dividends (and imputation credits) </w:t>
      </w:r>
      <w:r>
        <w:t>from</w:t>
      </w:r>
      <w:r w:rsidRPr="00883125">
        <w:t xml:space="preserve"> market based studies </w:t>
      </w:r>
      <w:r>
        <w:t>are</w:t>
      </w:r>
      <w:r w:rsidRPr="00883125">
        <w:t xml:space="preserve"> influenced by personal tax factors and this is not appropriate in our regulatory context. Adjustment for the impact of differential personal taxation of income and capital gains must be made to the estimates from dividend drop off studies to ensure the</w:t>
      </w:r>
      <w:r>
        <w:t>ir</w:t>
      </w:r>
      <w:r w:rsidRPr="00883125">
        <w:t xml:space="preserve"> consisten</w:t>
      </w:r>
      <w:r>
        <w:t>cy</w:t>
      </w:r>
      <w:r w:rsidRPr="00883125">
        <w:t xml:space="preserve"> with our post tax framework.</w:t>
      </w:r>
    </w:p>
    <w:p w:rsidR="00C52695" w:rsidRPr="00883125" w:rsidRDefault="00C52695" w:rsidP="00C52695">
      <w:r w:rsidRPr="00883125">
        <w:t>As is evident above, different investors have a different dividend drop off ratio and this is determined by many factors such as:</w:t>
      </w:r>
    </w:p>
    <w:p w:rsidR="00C52695" w:rsidRPr="00B27BE5" w:rsidRDefault="00C52695" w:rsidP="00D414CC">
      <w:pPr>
        <w:pStyle w:val="AERbulletlistfirststyle"/>
      </w:pPr>
      <w:r w:rsidRPr="00883125">
        <w:t xml:space="preserve">Investor </w:t>
      </w:r>
      <w:r w:rsidRPr="00B27BE5">
        <w:t>marginal income tax rate</w:t>
      </w:r>
    </w:p>
    <w:p w:rsidR="00C52695" w:rsidRDefault="00C52695" w:rsidP="00D414CC">
      <w:pPr>
        <w:pStyle w:val="AERbulletlistfirststyle"/>
      </w:pPr>
      <w:r w:rsidRPr="00883125">
        <w:t>Whether the investor held the share for more than 12 months</w:t>
      </w:r>
    </w:p>
    <w:p w:rsidR="00C52695" w:rsidRPr="00B27BE5" w:rsidRDefault="00C52695" w:rsidP="00D414CC">
      <w:pPr>
        <w:pStyle w:val="AERbulletlistfirststyle"/>
      </w:pPr>
      <w:r>
        <w:t>Whether the investor is super fund or not</w:t>
      </w:r>
    </w:p>
    <w:p w:rsidR="00C52695" w:rsidRPr="00B27BE5" w:rsidRDefault="00C52695" w:rsidP="00D414CC">
      <w:pPr>
        <w:pStyle w:val="AERbulletlistfirststyle"/>
      </w:pPr>
      <w:r w:rsidRPr="00883125">
        <w:t xml:space="preserve">Whether the investor is foreign and how foreign income is taxed </w:t>
      </w:r>
      <w:r w:rsidRPr="00B27BE5">
        <w:t>at their home country</w:t>
      </w:r>
      <w:r w:rsidR="00E37CE4">
        <w:t>.</w:t>
      </w:r>
    </w:p>
    <w:p w:rsidR="00C52695" w:rsidRPr="00883125" w:rsidRDefault="00C52695" w:rsidP="00C52695">
      <w:pPr>
        <w:rPr>
          <w:rStyle w:val="AERbody"/>
        </w:rPr>
      </w:pPr>
      <w:r w:rsidRPr="00883125">
        <w:rPr>
          <w:rStyle w:val="AERbody"/>
        </w:rPr>
        <w:t>What determines the dividend drop off price in the market is based on who the marginal investors are around the ex-dividend dates. For instance, if only local investors with a marginal tax rate of 39% are trading around the ex-dividend date then the dividend drop off should be 0.7578 cents per dollar of face value of dividends. If there is a mixture of investors trading around the ex-dividend date then the drop off price will be determined by supply and demand on those days.</w:t>
      </w:r>
      <w:r>
        <w:rPr>
          <w:rStyle w:val="AERbody"/>
        </w:rPr>
        <w:t xml:space="preserve"> In real capital markets with multiple types of investors facing differential tax rates and where those investors may or may not be able to utilise franking credits, the resulting equilibrium is much more complex.</w:t>
      </w:r>
      <w:r>
        <w:rPr>
          <w:rStyle w:val="FootnoteReference"/>
        </w:rPr>
        <w:footnoteReference w:id="775"/>
      </w:r>
    </w:p>
    <w:p w:rsidR="00C52695" w:rsidRPr="00883125" w:rsidRDefault="00C52695" w:rsidP="00C52695">
      <w:r w:rsidRPr="00883125">
        <w:lastRenderedPageBreak/>
        <w:t xml:space="preserve">In the analysis above we focused on the impact on cash (unfranked) dividends and ignored the effect of imputation credits. This was a simplifying assumption which should not distract from the fact that imputation credits are similarly impacted in market based studies by differential personal tax. </w:t>
      </w:r>
      <w:r>
        <w:t>The simple analysis can be extended to cover franked dividends.</w:t>
      </w:r>
      <w:r>
        <w:rPr>
          <w:rStyle w:val="FootnoteReference"/>
        </w:rPr>
        <w:footnoteReference w:id="776"/>
      </w:r>
      <w:r w:rsidRPr="00883125">
        <w:t xml:space="preserve"> Overall personal tax is levied on the grossed up dividend which is the </w:t>
      </w:r>
      <w:r>
        <w:t xml:space="preserve">face value of the cash </w:t>
      </w:r>
      <w:r w:rsidRPr="00883125">
        <w:t>dividend plus the face value of the attached imputation credit</w:t>
      </w:r>
      <w:r>
        <w:t xml:space="preserve"> that can be utilised</w:t>
      </w:r>
      <w:r w:rsidRPr="00883125">
        <w:t>, both of whic</w:t>
      </w:r>
      <w:r w:rsidR="001B2BD0">
        <w:t>h are taxed as ordinary income.</w:t>
      </w:r>
    </w:p>
    <w:p w:rsidR="00C52695" w:rsidRPr="00B27BE5" w:rsidRDefault="00C52695" w:rsidP="00C52695">
      <w:pPr>
        <w:rPr>
          <w:rStyle w:val="AERbody"/>
        </w:rPr>
      </w:pPr>
      <w:r>
        <w:rPr>
          <w:rStyle w:val="AERbody"/>
        </w:rPr>
        <w:t>Furthermore</w:t>
      </w:r>
      <w:r w:rsidRPr="00883125">
        <w:rPr>
          <w:rStyle w:val="AERbody"/>
        </w:rPr>
        <w:t xml:space="preserve">, the marginal investor's valuation is not relevant for the purposes of calculating the taxation building block. What is required is what proportion of the company tax is a prepayment of the investor's personal tax. For the taxation building block what matters is the value to all investors in aggregate and not the marginal investors that trade around the cum-dividend and ex-dividend dates. This would suggest that dividends drop off studies are not the best method for determining the gamma adjustment </w:t>
      </w:r>
      <w:r w:rsidR="001B2BD0">
        <w:rPr>
          <w:rStyle w:val="AERbody"/>
        </w:rPr>
        <w:t>to the taxation building block.</w:t>
      </w:r>
    </w:p>
    <w:p w:rsidR="00C52695" w:rsidRPr="00883125" w:rsidRDefault="00C52695" w:rsidP="00C52695">
      <w:r w:rsidRPr="00883125">
        <w:t xml:space="preserve">In the recent </w:t>
      </w:r>
      <w:r w:rsidR="003249E9">
        <w:t xml:space="preserve">Ausgrid </w:t>
      </w:r>
      <w:r w:rsidRPr="00883125">
        <w:t xml:space="preserve">Tribunal decision, the </w:t>
      </w:r>
      <w:r w:rsidR="00C25A56">
        <w:t xml:space="preserve">Ausgrid </w:t>
      </w:r>
      <w:r w:rsidRPr="00883125">
        <w:t xml:space="preserve">Tribunal considered </w:t>
      </w:r>
      <w:r>
        <w:t>we were</w:t>
      </w:r>
      <w:r w:rsidRPr="00883125">
        <w:t xml:space="preserve"> being inconsistent with </w:t>
      </w:r>
      <w:r>
        <w:t>our</w:t>
      </w:r>
      <w:r w:rsidRPr="00883125">
        <w:t xml:space="preserve"> approach as other allowed rate of return parameters were determined by market prices which are influenced by personal taxes. </w:t>
      </w:r>
      <w:r>
        <w:t>We</w:t>
      </w:r>
      <w:r w:rsidRPr="00883125">
        <w:t xml:space="preserve"> do not agree. Other allowed rate of return parameters in the cost of equity and cost of debt are not influence by personal tax factors in a manner that results in estimates not being a gen</w:t>
      </w:r>
      <w:r w:rsidR="001B2BD0">
        <w:t>uine expected post tax returns.</w:t>
      </w:r>
    </w:p>
    <w:p w:rsidR="00C52695" w:rsidRPr="00883125" w:rsidRDefault="00C52695" w:rsidP="00C52695">
      <w:r w:rsidRPr="00883125">
        <w:t xml:space="preserve">For instance, </w:t>
      </w:r>
      <w:r>
        <w:t xml:space="preserve">the returns derived from </w:t>
      </w:r>
      <w:r w:rsidRPr="00883125">
        <w:t>equity price</w:t>
      </w:r>
      <w:r>
        <w:t>s</w:t>
      </w:r>
      <w:r w:rsidRPr="00883125">
        <w:t xml:space="preserve"> is a post company tax (pre-personal tax) </w:t>
      </w:r>
      <w:r>
        <w:t>return</w:t>
      </w:r>
      <w:r w:rsidRPr="00883125">
        <w:t xml:space="preserve"> that is subject to capital gains tax when it is sold by an investor. This contrast to the cash dividends and imputation credits estimate</w:t>
      </w:r>
      <w:r>
        <w:t>s</w:t>
      </w:r>
      <w:r w:rsidRPr="00883125">
        <w:t xml:space="preserve"> from market based dividend drop off studies which are neither pre nor post-personal tax estim</w:t>
      </w:r>
      <w:r w:rsidR="001B2BD0">
        <w:t>ates of the value to investors.</w:t>
      </w:r>
    </w:p>
    <w:p w:rsidR="00C52695" w:rsidRPr="00883125" w:rsidRDefault="00C52695" w:rsidP="00C52695">
      <w:r w:rsidRPr="00883125">
        <w:t>When calculating the MRP using historical data we use the face value of capital gains and dividends and not market value implied by dividend drop off studies. Likewise when calculating the MRP in the dividend growth model we discount the dividends at face value and not the value implied in the dividend drop off studies.</w:t>
      </w:r>
    </w:p>
    <w:p w:rsidR="00C52695" w:rsidRPr="00883125" w:rsidRDefault="00C52695" w:rsidP="00C52695">
      <w:r w:rsidRPr="00883125">
        <w:t xml:space="preserve">Similarly, </w:t>
      </w:r>
      <w:r>
        <w:t>t</w:t>
      </w:r>
      <w:r w:rsidRPr="00883125">
        <w:t xml:space="preserve">he bond </w:t>
      </w:r>
      <w:r>
        <w:t xml:space="preserve">returns derived from bond market </w:t>
      </w:r>
      <w:r w:rsidRPr="00883125">
        <w:t xml:space="preserve">price </w:t>
      </w:r>
      <w:r>
        <w:t>are</w:t>
      </w:r>
      <w:r w:rsidRPr="00883125">
        <w:t xml:space="preserve"> a post company tax (pre-personal tax) </w:t>
      </w:r>
      <w:r>
        <w:t>returns</w:t>
      </w:r>
      <w:r w:rsidRPr="00883125">
        <w:t xml:space="preserve">. When </w:t>
      </w:r>
      <w:r>
        <w:t>we</w:t>
      </w:r>
      <w:r w:rsidRPr="00883125">
        <w:t xml:space="preserve"> or a third party service provider calculates the yield to maturity on bonds and government securities, the face value of coupons and the face value of the principa</w:t>
      </w:r>
      <w:r w:rsidR="00A3116F">
        <w:t>l are used in the calculations.</w:t>
      </w:r>
    </w:p>
    <w:p w:rsidR="00C52695" w:rsidRPr="00883125" w:rsidRDefault="00C52695" w:rsidP="00C52695">
      <w:r w:rsidRPr="00883125">
        <w:t xml:space="preserve">The above examples demonstrate why </w:t>
      </w:r>
      <w:r>
        <w:t>we</w:t>
      </w:r>
      <w:r w:rsidRPr="00883125">
        <w:t xml:space="preserve"> consider its approach to estimating gamma is consistent with how it estimates the rate of return parameters when estimating in the allowed rate of return for the benchmark efficient entity. This is further discussed in section </w:t>
      </w:r>
      <w:r w:rsidRPr="00883125">
        <w:fldChar w:fldCharType="begin"/>
      </w:r>
      <w:r w:rsidRPr="00883125">
        <w:instrText xml:space="preserve"> REF _Ref450300692 \r \h </w:instrText>
      </w:r>
      <w:r w:rsidRPr="00883125">
        <w:fldChar w:fldCharType="separate"/>
      </w:r>
      <w:r w:rsidR="00812A72">
        <w:t>A.8.2</w:t>
      </w:r>
      <w:r w:rsidRPr="00883125">
        <w:fldChar w:fldCharType="end"/>
      </w:r>
      <w:r w:rsidRPr="00883125">
        <w:t>.</w:t>
      </w:r>
    </w:p>
    <w:p w:rsidR="00C52695" w:rsidRPr="00883125" w:rsidRDefault="00C52695" w:rsidP="00C52695">
      <w:r w:rsidRPr="00883125">
        <w:lastRenderedPageBreak/>
        <w:t xml:space="preserve">The above example shows that if market based dividend drop off studies are to be used to estimate </w:t>
      </w:r>
      <w:r>
        <w:t>the utilisation value</w:t>
      </w:r>
      <w:r w:rsidRPr="00883125">
        <w:t>, adjustments have to be made for the impact of personal tax and personal cost factors. However, for reasons outlined above this is not ideal. For estimating the taxation building block we want to know what proportion of corporate tax is a pre-payment of personal tax</w:t>
      </w:r>
      <w:r>
        <w:t xml:space="preserve"> (as this is the direct value investors will get from the reduction in their tax bill payable to the government, or via a rebate from the government)</w:t>
      </w:r>
      <w:r w:rsidRPr="00883125">
        <w:t xml:space="preserve">. We consider this is currently best estimated using the equity ownership approach. </w:t>
      </w:r>
    </w:p>
    <w:p w:rsidR="00C52695" w:rsidRPr="00883125" w:rsidRDefault="00C52695" w:rsidP="00C52695">
      <w:r w:rsidRPr="00883125">
        <w:t>The analysis above ignored the impact of personal transaction costs but they similarly impact the share price drop ratio as differential personal taxes. As outlined above, local shareholders that have held shares for more than 12 months prefer a dollar of capital gains over a dollar of unfranked dividends on a pre-personal tax basis. This is due to capital gains being more valuable as they are taxed at a concessional tax rate relative to unfranked dividends. Similarly, investors value the cash flow that has lower personal transaction costs more than the cash flow that has higher personal transaction costs. For example, investor on personal cost basis might value dividends more than capital gains. This is due to investor having to pay brokerage fees in order to realise a capital gains while dividends are distributed without brokerage costs. However, personal transaction costs are not relevant in our regulatory context as they are not costs impost on the regulated business (i.e. they are irrelevant to the post tax return under the Officer WACC framework).</w:t>
      </w:r>
    </w:p>
    <w:p w:rsidR="00C52695" w:rsidRPr="00883125" w:rsidRDefault="00C52695" w:rsidP="00C52695">
      <w:r w:rsidRPr="00883125">
        <w:t>The analysis above is based around dividend drop off studies but is equally applicable to alternative market value studies.</w:t>
      </w:r>
    </w:p>
    <w:p w:rsidR="00C52695" w:rsidRPr="00883125" w:rsidRDefault="00C52695" w:rsidP="00C52695">
      <w:pPr>
        <w:pStyle w:val="Heading9"/>
      </w:pPr>
      <w:bookmarkStart w:id="425" w:name="_Ref415065117"/>
      <w:bookmarkStart w:id="426" w:name="_Toc456614341"/>
      <w:bookmarkStart w:id="427" w:name="_Toc462823345"/>
      <w:bookmarkStart w:id="428" w:name="_Toc481061515"/>
      <w:r w:rsidRPr="00883125">
        <w:t>Adjustment of estimates from implied market value studies</w:t>
      </w:r>
      <w:bookmarkEnd w:id="425"/>
      <w:bookmarkEnd w:id="426"/>
      <w:bookmarkEnd w:id="427"/>
      <w:bookmarkEnd w:id="428"/>
    </w:p>
    <w:p w:rsidR="00C52695" w:rsidRDefault="00C52695" w:rsidP="00C52695">
      <w:r w:rsidRPr="00883125">
        <w:t>Although not proposing this approach, a number of service providers submitted that estimates of the utilisation rate from implied market value studies can be adjusted to make them consistent with the before-personal-tax and before-personal-costs value of imputation credits.</w:t>
      </w:r>
      <w:r w:rsidRPr="00883125">
        <w:rPr>
          <w:rStyle w:val="FootnoteReference"/>
        </w:rPr>
        <w:footnoteReference w:id="777"/>
      </w:r>
      <w:r w:rsidRPr="00883125">
        <w:t xml:space="preserve"> </w:t>
      </w:r>
      <w:r>
        <w:t>However, the service providers do not propose this adjustment as they consider it to be unnecessary and inappropriate.</w:t>
      </w:r>
      <w:r w:rsidRPr="00883125">
        <w:rPr>
          <w:rStyle w:val="FootnoteReference"/>
        </w:rPr>
        <w:footnoteReference w:id="778"/>
      </w:r>
    </w:p>
    <w:p w:rsidR="00C52695" w:rsidRPr="00883125" w:rsidRDefault="00C52695" w:rsidP="00C52695">
      <w:r>
        <w:lastRenderedPageBreak/>
        <w:t>W</w:t>
      </w:r>
      <w:r w:rsidRPr="00883125">
        <w:t xml:space="preserve">e do not consider that the relevant adjustment—proposed by Handley and Lally and discussed in section </w:t>
      </w:r>
      <w:r w:rsidR="00D647C5">
        <w:fldChar w:fldCharType="begin"/>
      </w:r>
      <w:r w:rsidR="00D647C5">
        <w:instrText xml:space="preserve"> REF _Ref475972971 \r \h </w:instrText>
      </w:r>
      <w:r w:rsidR="00D647C5">
        <w:fldChar w:fldCharType="separate"/>
      </w:r>
      <w:r w:rsidR="00812A72">
        <w:t>4.4</w:t>
      </w:r>
      <w:r w:rsidR="00D647C5">
        <w:fldChar w:fldCharType="end"/>
      </w:r>
      <w:r w:rsidRPr="00883125">
        <w:t>—will fully account for the potential effect of personal taxes and costs. This is because the proposed adjustment seeks to remove from the estimates of investors’ valuation of dividends and imputation credits the effect of factors that suggest that investors’ valuation of $1 of dividends is less than $1. However, according to Gray (for SFG), there are:</w:t>
      </w:r>
      <w:r w:rsidRPr="00883125">
        <w:rPr>
          <w:rStyle w:val="FootnoteReference"/>
        </w:rPr>
        <w:footnoteReference w:id="779"/>
      </w:r>
    </w:p>
    <w:p w:rsidR="00C52695" w:rsidRPr="00883125" w:rsidRDefault="00C52695" w:rsidP="00C52695">
      <w:pPr>
        <w:pStyle w:val="AERquote"/>
      </w:pPr>
      <w:r w:rsidRPr="00883125">
        <w:t>…costs that reasonable, efficient investors would incur in relation to imputation credits, which do not apply to dividends or capital gains.</w:t>
      </w:r>
    </w:p>
    <w:p w:rsidR="00C52695" w:rsidRPr="00883125" w:rsidRDefault="00C52695" w:rsidP="00C52695">
      <w:r w:rsidRPr="00883125">
        <w:t>Thus, Gray's view (for SFG) appears to be that there are factors which affect investors' valuation of imputation credits (as reflected in share prices) which do not affect investors' valuation of dividends.</w:t>
      </w:r>
      <w:r w:rsidRPr="00883125">
        <w:rPr>
          <w:rStyle w:val="FootnoteReference"/>
        </w:rPr>
        <w:footnoteReference w:id="780"/>
      </w:r>
      <w:r w:rsidRPr="00883125">
        <w:t xml:space="preserve"> Therefore, it does not appear that the proposed adjustment—which only addresses factors which affect both dividends and imputation credits—would exclude the effect of the factors identified by SFG as affecting just imputation credits.</w:t>
      </w:r>
    </w:p>
    <w:p w:rsidR="00C52695" w:rsidRDefault="00C52695" w:rsidP="00C52695">
      <w:r w:rsidRPr="00883125">
        <w:t xml:space="preserve">As outlined above in section </w:t>
      </w:r>
      <w:r w:rsidRPr="00883125">
        <w:fldChar w:fldCharType="begin"/>
      </w:r>
      <w:r w:rsidRPr="00883125">
        <w:instrText xml:space="preserve"> REF _Ref435171205 \r \h </w:instrText>
      </w:r>
      <w:r w:rsidRPr="00883125">
        <w:fldChar w:fldCharType="separate"/>
      </w:r>
      <w:r w:rsidR="00812A72">
        <w:t>A.15.3</w:t>
      </w:r>
      <w:r w:rsidRPr="00883125">
        <w:fldChar w:fldCharType="end"/>
      </w:r>
      <w:r w:rsidRPr="00883125">
        <w:t>, the adjustment for the impact of differential personal taxes is equivalent for dividends and imputation credits. Therefore, if market value studies are to be used to estimate the utilisation value then at a minimum the adjustment proposed by Lally and Handley should be used.</w:t>
      </w:r>
    </w:p>
    <w:p w:rsidR="00C52695" w:rsidRDefault="00C52695" w:rsidP="00C52695">
      <w:r>
        <w:t xml:space="preserve">Lally considered that the coefficient on imputation credits in dividend drop off studies is not </w:t>
      </w:r>
      <m:oMath>
        <m:r>
          <w:rPr>
            <w:rFonts w:ascii="Cambria Math" w:hAnsi="Cambria Math"/>
          </w:rPr>
          <m:t>θ</m:t>
        </m:r>
      </m:oMath>
      <w:r>
        <w:t xml:space="preserve"> but </w:t>
      </w:r>
      <m:oMath>
        <m:r>
          <w:rPr>
            <w:rFonts w:ascii="Cambria Math" w:hAnsi="Cambria Math"/>
          </w:rPr>
          <m:t>δθ</m:t>
        </m:r>
      </m:oMath>
      <w:r>
        <w:t>. Therefore the estimated value of imputation credits in the dividend drop off study must be divided by the estimate value of the cash dividend.</w:t>
      </w:r>
      <w:r>
        <w:rPr>
          <w:rStyle w:val="FootnoteReference"/>
        </w:rPr>
        <w:footnoteReference w:id="781"/>
      </w:r>
    </w:p>
    <w:p w:rsidR="00D0581B" w:rsidRDefault="00404C06" w:rsidP="00C52695">
      <w:r>
        <w:t xml:space="preserve">Frontier </w:t>
      </w:r>
      <w:r w:rsidR="009119B6">
        <w:t>submits</w:t>
      </w:r>
      <w:r w:rsidR="00483A35">
        <w:t xml:space="preserve"> that if the coefficient on the dividend is less than one</w:t>
      </w:r>
      <w:r w:rsidR="009119B6">
        <w:t>,</w:t>
      </w:r>
      <w:r w:rsidR="00483A35">
        <w:t xml:space="preserve"> </w:t>
      </w:r>
      <w:r w:rsidR="00D0581B">
        <w:t xml:space="preserve">then </w:t>
      </w:r>
      <w:r w:rsidR="00483A35">
        <w:t xml:space="preserve">the </w:t>
      </w:r>
      <w:r w:rsidR="009119B6">
        <w:t xml:space="preserve">total </w:t>
      </w:r>
      <w:r w:rsidR="00483A35">
        <w:t xml:space="preserve">revenue should be increased and not decreased as is the case with the AER's </w:t>
      </w:r>
      <w:r w:rsidR="009119B6">
        <w:t>proposed adjustment.</w:t>
      </w:r>
      <w:r w:rsidR="0095204D">
        <w:rPr>
          <w:rStyle w:val="FootnoteReference"/>
        </w:rPr>
        <w:footnoteReference w:id="782"/>
      </w:r>
      <w:r w:rsidR="009119B6">
        <w:t xml:space="preserve"> This is </w:t>
      </w:r>
      <w:r w:rsidR="00D0581B">
        <w:t>due to shareholders requiring a higher compensation for them valuing dividend at less than face value. However, Lally does not agree with this proposition.</w:t>
      </w:r>
      <w:r w:rsidR="00D0581B" w:rsidRPr="00BF2DCE">
        <w:rPr>
          <w:rStyle w:val="FootnoteReference"/>
        </w:rPr>
        <w:footnoteReference w:id="783"/>
      </w:r>
      <w:r w:rsidR="00D0581B">
        <w:t xml:space="preserve"> </w:t>
      </w:r>
      <w:r w:rsidR="0057145F">
        <w:t>Lally considers that if dividend drop off studies produce an estimate of cash dividends of less than one this implies that shareholders do not value dividends as highly as capital gain and this does not suggest that revenue should be increased.</w:t>
      </w:r>
      <w:r w:rsidR="0057145F" w:rsidRPr="00BF2DCE">
        <w:rPr>
          <w:rStyle w:val="FootnoteReference"/>
        </w:rPr>
        <w:footnoteReference w:id="784"/>
      </w:r>
      <w:r w:rsidR="0057145F">
        <w:t xml:space="preserve"> </w:t>
      </w:r>
      <w:r w:rsidR="00E21D08">
        <w:t xml:space="preserve">The result is an artefact of personal costs, almost certainly differential </w:t>
      </w:r>
      <w:r w:rsidR="00E21D08">
        <w:lastRenderedPageBreak/>
        <w:t>taxation on dividends and capital gains biasing the dividend drop off results.  The effect of differential taxation</w:t>
      </w:r>
      <w:r w:rsidR="005A5848">
        <w:t xml:space="preserve"> </w:t>
      </w:r>
      <w:r w:rsidR="0057145F">
        <w:t xml:space="preserve">is demonstrated in section </w:t>
      </w:r>
      <w:r w:rsidR="0057145F">
        <w:fldChar w:fldCharType="begin"/>
      </w:r>
      <w:r w:rsidR="0057145F">
        <w:instrText xml:space="preserve"> REF _Ref435171205 \r \h </w:instrText>
      </w:r>
      <w:r w:rsidR="0057145F">
        <w:fldChar w:fldCharType="separate"/>
      </w:r>
      <w:r w:rsidR="00812A72">
        <w:t>A.15.3</w:t>
      </w:r>
      <w:r w:rsidR="0057145F">
        <w:fldChar w:fldCharType="end"/>
      </w:r>
      <w:r w:rsidR="0057145F">
        <w:t xml:space="preserve"> above.</w:t>
      </w:r>
      <w:r w:rsidR="00E21D08">
        <w:t xml:space="preserve"> </w:t>
      </w:r>
    </w:p>
    <w:p w:rsidR="00C52695" w:rsidRPr="00883125" w:rsidRDefault="00C52695" w:rsidP="00C52695">
      <w:pPr>
        <w:pStyle w:val="Heading9"/>
      </w:pPr>
      <w:bookmarkStart w:id="429" w:name="_Ref414624721"/>
      <w:bookmarkStart w:id="430" w:name="_Toc456614342"/>
      <w:bookmarkStart w:id="431" w:name="_Toc462823346"/>
      <w:bookmarkStart w:id="432" w:name="_Toc481061516"/>
      <w:r w:rsidRPr="00883125">
        <w:t>Limitations of SFG's dividend drop off study</w:t>
      </w:r>
      <w:bookmarkEnd w:id="429"/>
      <w:bookmarkEnd w:id="430"/>
      <w:bookmarkEnd w:id="431"/>
      <w:bookmarkEnd w:id="432"/>
    </w:p>
    <w:p w:rsidR="00C52695" w:rsidRPr="00883125" w:rsidRDefault="00C52695" w:rsidP="00C52695">
      <w:r w:rsidRPr="00883125">
        <w:t>A number of service providers submitted that ‘several of the general limitations [of implied market value studies identified] do not apply to the SFG study’.</w:t>
      </w:r>
      <w:r w:rsidRPr="00883125">
        <w:rPr>
          <w:rStyle w:val="FootnoteReference"/>
        </w:rPr>
        <w:footnoteReference w:id="785"/>
      </w:r>
      <w:r w:rsidRPr="00883125">
        <w:t xml:space="preserve"> Namely, the service providers consider that the SFG dividend drop off study does not produce nonsensical results and is not subject to problematic estimation methodologies.</w:t>
      </w:r>
      <w:r w:rsidRPr="00883125">
        <w:rPr>
          <w:rStyle w:val="FootnoteReference"/>
        </w:rPr>
        <w:footnoteReference w:id="786"/>
      </w:r>
      <w:r w:rsidRPr="00883125">
        <w:t xml:space="preserve"> The service providers consider </w:t>
      </w:r>
      <w:r>
        <w:t>we</w:t>
      </w:r>
      <w:r w:rsidRPr="00883125">
        <w:t xml:space="preserve"> ha</w:t>
      </w:r>
      <w:r>
        <w:t>ve</w:t>
      </w:r>
      <w:r w:rsidRPr="00883125">
        <w:t xml:space="preserve"> not assessed the SFG study as a standalone basis, rather they consider </w:t>
      </w:r>
      <w:r>
        <w:t>we</w:t>
      </w:r>
      <w:r w:rsidRPr="00883125">
        <w:t xml:space="preserve"> assess it together with all drop off studies.</w:t>
      </w:r>
      <w:r w:rsidRPr="00883125">
        <w:rPr>
          <w:rStyle w:val="FootnoteReference"/>
        </w:rPr>
        <w:footnoteReference w:id="787"/>
      </w:r>
      <w:r w:rsidRPr="00883125">
        <w:t xml:space="preserve"> </w:t>
      </w:r>
      <w:r>
        <w:t>We</w:t>
      </w:r>
      <w:r w:rsidRPr="00883125">
        <w:t xml:space="preserve"> do not agree and below we set out the limitations that we consider apply generally to implied market value studies and consider whether these apply to SFG’s dividend drop off study on a standalone basis. We conclude that there is reasonable evidence to suggest that several of the limitations do apply to SFG's dividend drop off study. There appears to be no information in the proposals lodged in 201</w:t>
      </w:r>
      <w:r>
        <w:t>6</w:t>
      </w:r>
      <w:r w:rsidRPr="00883125">
        <w:t xml:space="preserve"> or in Gray's June 201</w:t>
      </w:r>
      <w:r>
        <w:t>6</w:t>
      </w:r>
      <w:r w:rsidRPr="00883125">
        <w:t xml:space="preserve"> report (for Frontier),</w:t>
      </w:r>
      <w:r w:rsidRPr="00883125">
        <w:rPr>
          <w:rStyle w:val="FootnoteReference"/>
        </w:rPr>
        <w:footnoteReference w:id="788"/>
      </w:r>
      <w:r w:rsidRPr="00883125">
        <w:t xml:space="preserve"> to warrant us changing our view on any of the material below set out in our decisions released in </w:t>
      </w:r>
      <w:r>
        <w:t>October</w:t>
      </w:r>
      <w:r w:rsidRPr="00883125">
        <w:t xml:space="preserve"> and </w:t>
      </w:r>
      <w:r>
        <w:t xml:space="preserve">November </w:t>
      </w:r>
      <w:r w:rsidRPr="00883125">
        <w:t xml:space="preserve"> 2015.</w:t>
      </w:r>
    </w:p>
    <w:p w:rsidR="00C52695" w:rsidRPr="001B2BD0" w:rsidRDefault="00C52695" w:rsidP="007F6EED">
      <w:pPr>
        <w:pStyle w:val="HeadingBoldItalic"/>
      </w:pPr>
      <w:bookmarkStart w:id="433" w:name="_Toc456614343"/>
      <w:bookmarkStart w:id="434" w:name="_Toc481056723"/>
      <w:bookmarkStart w:id="435" w:name="_Toc481061517"/>
      <w:r w:rsidRPr="001B2BD0">
        <w:t>These studies can produce nonsensical estimates of the utilisation rate; that is, greater than one or less than zero.</w:t>
      </w:r>
      <w:bookmarkEnd w:id="433"/>
      <w:bookmarkEnd w:id="434"/>
      <w:bookmarkEnd w:id="435"/>
    </w:p>
    <w:p w:rsidR="00C52695" w:rsidRPr="00883125" w:rsidRDefault="00C52695" w:rsidP="00C52695">
      <w:r w:rsidRPr="00883125">
        <w:t>We accept that this limitation does not apply to SFG’s study. Its estimate of the utilisation rate is 0.35.</w:t>
      </w:r>
    </w:p>
    <w:p w:rsidR="00C52695" w:rsidRPr="00D414CC" w:rsidRDefault="00C52695" w:rsidP="007F6EED">
      <w:pPr>
        <w:pStyle w:val="HeadingBoldItalic"/>
      </w:pPr>
      <w:bookmarkStart w:id="436" w:name="_Toc456614344"/>
      <w:bookmarkStart w:id="437" w:name="_Toc481056724"/>
      <w:bookmarkStart w:id="438" w:name="_Toc481061518"/>
      <w:r w:rsidRPr="00226744">
        <w:lastRenderedPageBreak/>
        <w:t>The results of these studies can reflect factors, such as differential personal taxes and risk, which are not relevant to the utilisation rate.</w:t>
      </w:r>
      <w:bookmarkEnd w:id="436"/>
      <w:bookmarkEnd w:id="437"/>
      <w:bookmarkEnd w:id="438"/>
    </w:p>
    <w:p w:rsidR="00C52695" w:rsidRPr="00883125" w:rsidRDefault="00C52695" w:rsidP="00C52695">
      <w:r w:rsidRPr="00883125">
        <w:t>Both Handley and Lally advised that the results from SFG’s dividend drop off study reflect these factors.</w:t>
      </w:r>
      <w:r w:rsidRPr="00883125">
        <w:rPr>
          <w:rStyle w:val="FootnoteReference"/>
        </w:rPr>
        <w:footnoteReference w:id="789"/>
      </w:r>
      <w:r w:rsidRPr="00883125">
        <w:t xml:space="preserve"> A number of service providers themselves also acknowledged this elsewhere in their proposals:</w:t>
      </w:r>
      <w:r w:rsidRPr="00883125">
        <w:rPr>
          <w:rStyle w:val="FootnoteReference"/>
        </w:rPr>
        <w:footnoteReference w:id="790"/>
      </w:r>
    </w:p>
    <w:p w:rsidR="00C52695" w:rsidRPr="00883125" w:rsidRDefault="00C52695" w:rsidP="00C52695">
      <w:pPr>
        <w:pStyle w:val="AERquote"/>
      </w:pPr>
      <w:r w:rsidRPr="00883125">
        <w:t>…even if the AER’s definition of theta were to be adopted, there is a relatively simple adjustment that can be made to estimates from market value studies to address this concern. As explained by Associate Professor Handley, this involves ‘grossing up’ the theta estimate from a market value study to reflect the effect of personal taxes and personal costs.</w:t>
      </w:r>
    </w:p>
    <w:p w:rsidR="00C52695" w:rsidRPr="00883125" w:rsidRDefault="00C52695" w:rsidP="00C52695">
      <w:r w:rsidRPr="00883125">
        <w:t>Therefore, we conclude that this limitation does apply to SFG’s study.</w:t>
      </w:r>
    </w:p>
    <w:p w:rsidR="00C52695" w:rsidRPr="00883125" w:rsidRDefault="00C52695" w:rsidP="00C52695">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812A72">
        <w:t>A.15.3</w:t>
      </w:r>
      <w:r w:rsidRPr="00883125">
        <w:rPr>
          <w:rStyle w:val="AERtexthighlight"/>
        </w:rPr>
        <w:fldChar w:fldCharType="end"/>
      </w:r>
      <w:r w:rsidRPr="00883125">
        <w:t xml:space="preserve"> we have also provided a worked example of how personal taxes influence market value of dividend and imputation credits in market studies.</w:t>
      </w:r>
    </w:p>
    <w:p w:rsidR="00C52695" w:rsidRPr="00D414CC" w:rsidRDefault="00C52695" w:rsidP="007F6EED">
      <w:pPr>
        <w:pStyle w:val="HeadingBoldItalic"/>
      </w:pPr>
      <w:bookmarkStart w:id="439" w:name="_Toc456614345"/>
      <w:bookmarkStart w:id="440" w:name="_Toc481056725"/>
      <w:bookmarkStart w:id="441" w:name="_Toc481061519"/>
      <w:r w:rsidRPr="00226744">
        <w:t>The results of these studies might not be reflective of the value o</w:t>
      </w:r>
      <w:r w:rsidRPr="00D414CC">
        <w:t>f imputation credits to investors in the market as a whole.</w:t>
      </w:r>
      <w:bookmarkEnd w:id="439"/>
      <w:bookmarkEnd w:id="440"/>
      <w:bookmarkEnd w:id="441"/>
    </w:p>
    <w:p w:rsidR="00C52695" w:rsidRPr="00883125" w:rsidRDefault="00C52695" w:rsidP="00C52695">
      <w:r w:rsidRPr="00883125">
        <w:t>Gray’s response to this point (for SFG) was:</w:t>
      </w:r>
      <w:r w:rsidRPr="00883125">
        <w:rPr>
          <w:rStyle w:val="FootnoteReference"/>
        </w:rPr>
        <w:footnoteReference w:id="791"/>
      </w:r>
    </w:p>
    <w:p w:rsidR="00C52695" w:rsidRPr="00883125" w:rsidRDefault="00C52695" w:rsidP="00C52695">
      <w:pPr>
        <w:pStyle w:val="AERquote"/>
      </w:pPr>
      <w:r w:rsidRPr="00883125">
        <w:t>The AER has previously argued that the increased trading volume that occurs around ex-dividend dates could potentially affect the estimates. I have previously responded to this point in great detail, explaining why, if anything, this additional trading would have the effect of increasing the estimate of theta.</w:t>
      </w:r>
    </w:p>
    <w:p w:rsidR="00C52695" w:rsidRPr="00883125" w:rsidRDefault="00C52695" w:rsidP="00C52695">
      <w:pPr>
        <w:pStyle w:val="AERquote"/>
      </w:pPr>
      <w:r w:rsidRPr="00883125">
        <w:t>I have previously addressed this issue at pp. 31-32 of SFG (2014 Gamma) and at ENA (2013), Section 7.9, pp.119-123.</w:t>
      </w:r>
    </w:p>
    <w:p w:rsidR="00C52695" w:rsidRPr="00883125" w:rsidRDefault="00C52695" w:rsidP="00C52695">
      <w:r w:rsidRPr="00883125">
        <w:t>The ENA (2013) report referred to by Gray (for SFG) was a response to our draft rate of return Guideline. Lally reviewed our draft Guideline and the ENA response. His conclusion was:</w:t>
      </w:r>
      <w:r w:rsidRPr="00883125">
        <w:rPr>
          <w:rStyle w:val="FootnoteReference"/>
        </w:rPr>
        <w:footnoteReference w:id="792"/>
      </w:r>
    </w:p>
    <w:p w:rsidR="00C52695" w:rsidRPr="00883125" w:rsidRDefault="00C52695" w:rsidP="00C52695">
      <w:pPr>
        <w:pStyle w:val="AERquote"/>
      </w:pPr>
      <w:r w:rsidRPr="00883125">
        <w:t>The AER’s third approach to estimating [the utilisation rate] involves estimates derived from market prices (AER, 2013, pp. 133–134, 239–247). The AER does not consider that these estimates are useful for a number of reasons.</w:t>
      </w:r>
    </w:p>
    <w:p w:rsidR="00C52695" w:rsidRPr="00883125" w:rsidRDefault="00C52695" w:rsidP="00C52695">
      <w:pPr>
        <w:pStyle w:val="AERquote"/>
      </w:pPr>
      <w:r w:rsidRPr="00883125">
        <w:lastRenderedPageBreak/>
        <w:t>…</w:t>
      </w:r>
    </w:p>
    <w:p w:rsidR="00C52695" w:rsidRPr="00883125" w:rsidRDefault="00C52695" w:rsidP="00C52695">
      <w:pPr>
        <w:pStyle w:val="AERquote"/>
      </w:pPr>
      <w:r w:rsidRPr="00883125">
        <w:t>I concur with all of these concerns, and I have additional concerns about these studies or their interpretation.</w:t>
      </w:r>
    </w:p>
    <w:p w:rsidR="00C52695" w:rsidRPr="00883125" w:rsidRDefault="00C52695" w:rsidP="00C52695">
      <w:r w:rsidRPr="00883125">
        <w:t>Regarding the particular limitation at hand, Lally noted:</w:t>
      </w:r>
      <w:r w:rsidRPr="00883125">
        <w:rPr>
          <w:rStyle w:val="FootnoteReference"/>
        </w:rPr>
        <w:footnoteReference w:id="793"/>
      </w:r>
    </w:p>
    <w:p w:rsidR="00C52695" w:rsidRPr="00883125" w:rsidRDefault="00C52695" w:rsidP="00C52695">
      <w:pPr>
        <w:pStyle w:val="AERquote"/>
      </w:pPr>
      <w:r w:rsidRPr="00883125">
        <w:t>Tenthly, although the utilisation rate is a value-weighted average over all investors in the market, the use of market prices will produce an estimate that reflects the tax position, transactions costs and motives of those investors who transact at the relevant times (such as tax arbitrageurs) and these investors may be quite unrepresentative of the entire market.</w:t>
      </w:r>
    </w:p>
    <w:p w:rsidR="00C52695" w:rsidRPr="00883125" w:rsidRDefault="00C52695" w:rsidP="00C52695">
      <w:r w:rsidRPr="00883125">
        <w:t>And on the effect of trading around the ex-dividend date, Lally noted:</w:t>
      </w:r>
      <w:r w:rsidRPr="00883125">
        <w:rPr>
          <w:rStyle w:val="FootnoteReference"/>
        </w:rPr>
        <w:footnoteReference w:id="794"/>
      </w:r>
    </w:p>
    <w:p w:rsidR="00C52695" w:rsidRPr="00883125" w:rsidRDefault="00C52695" w:rsidP="00C52695">
      <w:pPr>
        <w:pStyle w:val="AERquote"/>
      </w:pPr>
      <w:r w:rsidRPr="00883125">
        <w:t>In respect of tax arbitrage around dividend ex-days, the ENA (2013, section 7.9) argues that this would lead to [the utilisation rate] being overestimated by such studies (because these arbitrageurs would tend to drive up the prices of shares with large imputation credits prior to ex-day in the course of buying them, and then depress them shortly afterwards in the course of selling them).  This point would be plausible if tax considerations fully explained ex-dividend day results.  However, as described above, this is not the case.</w:t>
      </w:r>
    </w:p>
    <w:p w:rsidR="00C52695" w:rsidRPr="00883125" w:rsidRDefault="00C52695" w:rsidP="00C52695">
      <w:r w:rsidRPr="00883125">
        <w:t>Thus, Lally appeared unconvinced by the ENA’s views and provided no indication that SFG’s study (or any implied market value study) should necessarily be deemed free of this limitation.</w:t>
      </w:r>
    </w:p>
    <w:p w:rsidR="00C52695" w:rsidRPr="00883125" w:rsidRDefault="00C52695" w:rsidP="00C52695">
      <w:r w:rsidRPr="00883125">
        <w:t>Handley also appeared unconvinced by the views of Gray (for SFG) in his 2014 report on this limitation, noting in his September 2014 report:</w:t>
      </w:r>
      <w:r w:rsidRPr="00883125">
        <w:rPr>
          <w:rStyle w:val="FootnoteReference"/>
        </w:rPr>
        <w:footnoteReference w:id="795"/>
      </w:r>
    </w:p>
    <w:p w:rsidR="00C52695" w:rsidRPr="00883125" w:rsidRDefault="00C52695" w:rsidP="00C52695">
      <w:pPr>
        <w:pStyle w:val="AERquote"/>
      </w:pPr>
      <w:r w:rsidRPr="00883125">
        <w:t>…there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C52695" w:rsidRPr="00883125" w:rsidRDefault="00C52695" w:rsidP="00C52695">
      <w:r w:rsidRPr="00883125">
        <w:t>Handley reiterated this view in his April 2015 report.</w:t>
      </w:r>
      <w:r w:rsidRPr="00883125">
        <w:rPr>
          <w:rStyle w:val="FootnoteReference"/>
        </w:rPr>
        <w:footnoteReference w:id="796"/>
      </w:r>
    </w:p>
    <w:p w:rsidR="00C52695" w:rsidRPr="00883125" w:rsidRDefault="00C52695" w:rsidP="00C52695">
      <w:r w:rsidRPr="00883125">
        <w:t>Finally, we note the South Australian Centre for Economic Studies recommended disregarding evidence from all dividend drop off studies due to this limitation entirely:</w:t>
      </w:r>
      <w:r w:rsidRPr="00883125">
        <w:rPr>
          <w:rStyle w:val="FootnoteReference"/>
        </w:rPr>
        <w:footnoteReference w:id="797"/>
      </w:r>
    </w:p>
    <w:p w:rsidR="00C52695" w:rsidRPr="00883125" w:rsidRDefault="00C52695" w:rsidP="00C52695">
      <w:pPr>
        <w:pStyle w:val="AERquote"/>
      </w:pPr>
      <w:r w:rsidRPr="00883125">
        <w:lastRenderedPageBreak/>
        <w:t>The studies included by SFG consulting in their review of estimates for theta all appear to be of good quality and are undertaken in a manner which reflects the current best practice in the literature.</w:t>
      </w:r>
    </w:p>
    <w:p w:rsidR="00C52695" w:rsidRPr="00883125" w:rsidRDefault="00C52695" w:rsidP="00C52695">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C52695" w:rsidRPr="00883125" w:rsidRDefault="00C52695" w:rsidP="00C52695">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C52695" w:rsidRPr="00883125" w:rsidRDefault="00C52695" w:rsidP="00C52695">
      <w:pPr>
        <w:pStyle w:val="AERquote"/>
      </w:pPr>
      <w:r w:rsidRPr="00883125">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C52695" w:rsidRPr="00883125" w:rsidRDefault="00C52695" w:rsidP="00C52695">
      <w:r w:rsidRPr="00883125">
        <w:t>We consider that there is sufficient evidence in the expert views quoted above to suggest that SFG's dividend drop off study is subject to this limitation.</w:t>
      </w:r>
    </w:p>
    <w:p w:rsidR="00D45F43" w:rsidRDefault="00607633" w:rsidP="00C52695">
      <w:r>
        <w:t>In their most recent report, Frontier submits that McKenzie and Partington support that tax-induced trading around ex-dividend days would "inflate' the estimate of the utilisation rate.</w:t>
      </w:r>
      <w:r w:rsidR="0095204D">
        <w:rPr>
          <w:rStyle w:val="FootnoteReference"/>
        </w:rPr>
        <w:footnoteReference w:id="798"/>
      </w:r>
      <w:r>
        <w:t xml:space="preserve"> Lally does not agree and considers that Frontier is misrepresenting what McKenzie and Partington said </w:t>
      </w:r>
      <w:r w:rsidR="00CF3D56">
        <w:t>in their report:</w:t>
      </w:r>
      <w:r w:rsidR="00CF3D56" w:rsidRPr="00CF3D56">
        <w:rPr>
          <w:rStyle w:val="FootnoteReference"/>
        </w:rPr>
        <w:t xml:space="preserve"> </w:t>
      </w:r>
      <w:r w:rsidR="00CF3D56" w:rsidRPr="003A0C07">
        <w:rPr>
          <w:rStyle w:val="FootnoteReference"/>
        </w:rPr>
        <w:footnoteReference w:id="799"/>
      </w:r>
    </w:p>
    <w:p w:rsidR="00D45F43" w:rsidRPr="00CF3D56" w:rsidRDefault="00CF3D56" w:rsidP="00E750F8">
      <w:pPr>
        <w:pStyle w:val="AERquote"/>
      </w:pPr>
      <w:r w:rsidRPr="00CF3D56">
        <w:t xml:space="preserve">… </w:t>
      </w:r>
      <w:r w:rsidRPr="00E750F8">
        <w:t>the statements quoted by Frontier represent a summary from McKenzie and Partington of only two of the many papers examined by them.  Subsequently, in expressing their own views, McKenzie and Partington (2011, page 10) state that “Arbitrageurs can be engaged in both dividend avoidance (e.g.: foreign investors with lower franking credit values) and dividend capture (e.g.: domestic investors with higher franking credit values).”  The latter of these activities would raise the estimate of the utilization rate but the former would have the reverse effect.  McKenzie and Partington (2011, page 11) also state that “..if short-term traders did determine prices, then the observed price drop would underestimate the value of dividends and franking credits…” due to the effect of transactions costs.  McKenzie and Partington (2011, page 13) also summarise results from various papers that examine contemporaneous trades on cum and ex-dividend shares, which suggests that the dividend drop-off studies give “downward biased estimates of dividends and franking credit value.”</w:t>
      </w:r>
    </w:p>
    <w:p w:rsidR="00F354FC" w:rsidRDefault="00F354FC">
      <w:r>
        <w:lastRenderedPageBreak/>
        <w:t xml:space="preserve">In his </w:t>
      </w:r>
      <w:r w:rsidR="00805CE3">
        <w:t xml:space="preserve">latest </w:t>
      </w:r>
      <w:r>
        <w:t xml:space="preserve">report, Lally </w:t>
      </w:r>
      <w:r w:rsidR="00B57E75">
        <w:t>demonstrates tax-induced trading around the ex-dividend date can bias the utilisation rate in either direction and there is no apparent means of determining whether overall there will be an over or under estimation.</w:t>
      </w:r>
      <w:r w:rsidR="00B57E75" w:rsidRPr="003A0C07">
        <w:rPr>
          <w:rStyle w:val="FootnoteReference"/>
        </w:rPr>
        <w:footnoteReference w:id="800"/>
      </w:r>
      <w:r w:rsidR="0021673C">
        <w:rPr>
          <w:rStyle w:val="FootnoteReference"/>
        </w:rPr>
        <w:t xml:space="preserve"> </w:t>
      </w:r>
      <w:r w:rsidR="0021673C">
        <w:t>In his simple example, Lally demonstrates the if the actual utilisation value is 0.5 dividend drop off studies can produce a utilisation value in the range of 0 to 1.</w:t>
      </w:r>
      <w:r w:rsidR="0021673C">
        <w:rPr>
          <w:rStyle w:val="FootnoteReference"/>
        </w:rPr>
        <w:footnoteReference w:id="801"/>
      </w:r>
    </w:p>
    <w:p w:rsidR="00C52695" w:rsidRPr="00883125" w:rsidRDefault="00C52695" w:rsidP="00C52695">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812A72">
        <w:t>A.15.3</w:t>
      </w:r>
      <w:r w:rsidRPr="00883125">
        <w:rPr>
          <w:rStyle w:val="AERtexthighlight"/>
        </w:rPr>
        <w:fldChar w:fldCharType="end"/>
      </w:r>
      <w:r w:rsidRPr="00883125">
        <w:t xml:space="preserve"> it was outlined the dividend drop off ratio in market studies varies depending on the investor's marginal tax rate. Low (high) marginal tax rate investors have a higher (lower) dividend drop off ratio all else equal. The dividend drop off ratio that prevails in the market is determined by the marginal investor that trades around the ex-dividend date</w:t>
      </w:r>
      <w:r>
        <w:t>,</w:t>
      </w:r>
      <w:r w:rsidRPr="00883125">
        <w:t xml:space="preserve"> marginal tax rate. However, the marginal investor dividend drop off ratio is not relevant for estimating gamma in the regulatory context for two reasons:</w:t>
      </w:r>
    </w:p>
    <w:p w:rsidR="00C52695" w:rsidRPr="001D37D5" w:rsidRDefault="00C52695" w:rsidP="00C52695">
      <w:pPr>
        <w:pStyle w:val="AERbulletlistfirststyle"/>
      </w:pPr>
      <w:r w:rsidRPr="00883125">
        <w:t xml:space="preserve">The purpose of gamma </w:t>
      </w:r>
      <w:r w:rsidRPr="001D37D5">
        <w:t>is to deduct the proportion of company tax is a pre-payment of personal tax from the allowed regulated revenues. In order to determine this proportion the analysis has to focus on the aggregate investors and not the marginal investors that trade around the ex-dividend date.</w:t>
      </w:r>
    </w:p>
    <w:p w:rsidR="00C52695" w:rsidRPr="001D37D5" w:rsidRDefault="00C52695" w:rsidP="00C52695">
      <w:pPr>
        <w:pStyle w:val="AERbulletlistfirststyle"/>
      </w:pPr>
      <w:r w:rsidRPr="00883125">
        <w:t>This dividend drop off ratio is neither a pre-personal nor a post-persona tax measure of dividends</w:t>
      </w:r>
      <w:r w:rsidRPr="001D37D5">
        <w:t xml:space="preserve"> and imputation credits. It is just the change in the stock price between the cum and ex-dividend date which is determined by the size of the dividend, imputation credits and influenced by differential personal taxation of dividend/imputation credit and capital gains. This is further discussed in section </w:t>
      </w:r>
      <w:r w:rsidRPr="001D37D5">
        <w:rPr>
          <w:rStyle w:val="AERtexthighlight"/>
        </w:rPr>
        <w:fldChar w:fldCharType="begin"/>
      </w:r>
      <w:r w:rsidRPr="001D37D5">
        <w:instrText xml:space="preserve"> REF _Ref435171205 \r \h </w:instrText>
      </w:r>
      <w:r w:rsidRPr="001D37D5">
        <w:rPr>
          <w:rStyle w:val="AERtexthighlight"/>
        </w:rPr>
      </w:r>
      <w:r w:rsidRPr="001D37D5">
        <w:rPr>
          <w:rStyle w:val="AERtexthighlight"/>
        </w:rPr>
        <w:fldChar w:fldCharType="separate"/>
      </w:r>
      <w:r w:rsidR="00812A72">
        <w:t>A.15.3</w:t>
      </w:r>
      <w:r w:rsidRPr="001D37D5">
        <w:rPr>
          <w:rStyle w:val="AERtexthighlight"/>
        </w:rPr>
        <w:fldChar w:fldCharType="end"/>
      </w:r>
      <w:r w:rsidRPr="001D37D5">
        <w:t>.</w:t>
      </w:r>
    </w:p>
    <w:p w:rsidR="00C52695" w:rsidRPr="00D414CC" w:rsidRDefault="00C52695" w:rsidP="007F6EED">
      <w:pPr>
        <w:pStyle w:val="HeadingBoldItalic"/>
      </w:pPr>
      <w:bookmarkStart w:id="442" w:name="_Toc456614346"/>
      <w:bookmarkStart w:id="443" w:name="_Toc481056726"/>
      <w:bookmarkStart w:id="444" w:name="_Toc481061520"/>
      <w:r w:rsidRPr="00226744">
        <w:t>These studies can be data intensive and employ complex and sometimes problematic estimation methodologies.</w:t>
      </w:r>
      <w:bookmarkEnd w:id="442"/>
      <w:bookmarkEnd w:id="443"/>
      <w:bookmarkEnd w:id="444"/>
    </w:p>
    <w:p w:rsidR="00C52695" w:rsidRPr="00883125" w:rsidRDefault="00C52695" w:rsidP="00C52695">
      <w:r w:rsidRPr="00883125">
        <w:t>We consider the idea that the SFG dividend drop off study is data intensive is evident in pages 4 to 14 of the 2011 version of that study and section 3 of the updated 2013 version.</w:t>
      </w:r>
      <w:r w:rsidRPr="00883125">
        <w:rPr>
          <w:rStyle w:val="FootnoteReference"/>
        </w:rPr>
        <w:footnoteReference w:id="802"/>
      </w:r>
    </w:p>
    <w:p w:rsidR="00C52695" w:rsidRPr="00883125" w:rsidRDefault="00C52695" w:rsidP="00C52695">
      <w:r w:rsidRPr="00883125">
        <w:t xml:space="preserve">Regarding whether the SFG study employs a complex and potentially problematic estimation methodology, we have regard to the views on dividend drop off studies expressed by academics and other regulators. A wide selection of these views is set out in section </w:t>
      </w:r>
      <w:r w:rsidR="001B2BD0">
        <w:fldChar w:fldCharType="begin"/>
      </w:r>
      <w:r w:rsidR="001B2BD0">
        <w:instrText xml:space="preserve"> REF _Ref415065117 \r \h </w:instrText>
      </w:r>
      <w:r w:rsidR="001B2BD0">
        <w:fldChar w:fldCharType="separate"/>
      </w:r>
      <w:r w:rsidR="001B2BD0">
        <w:t>A.15.4</w:t>
      </w:r>
      <w:r w:rsidR="001B2BD0">
        <w:fldChar w:fldCharType="end"/>
      </w:r>
      <w:r w:rsidRPr="00883125">
        <w:t xml:space="preserve"> below. All but one of these views were expressed subsequent to SFG's dividend drop off study. It is not clear why experts would continue to canvass the methodological issues associated with dividend drop off studies in general if SFG's dividend drop off study overcame these issues. This notwithstanding, we also have </w:t>
      </w:r>
      <w:r w:rsidRPr="00883125">
        <w:lastRenderedPageBreak/>
        <w:t xml:space="preserve">regard to the </w:t>
      </w:r>
      <w:r w:rsidR="00C25A56">
        <w:t xml:space="preserve">Energex </w:t>
      </w:r>
      <w:r w:rsidRPr="00883125">
        <w:t>Tribunal's acceptance of the results from SFG's dividend drop off study in 2011.</w:t>
      </w:r>
    </w:p>
    <w:p w:rsidR="00C52695" w:rsidRPr="00883125" w:rsidRDefault="00C52695" w:rsidP="00C52695">
      <w:r w:rsidRPr="00883125">
        <w:t>Therefore, we consider that there is evidence both for and against the idea that this limitation applies to SFG's dividend drop off study.</w:t>
      </w:r>
    </w:p>
    <w:p w:rsidR="00C52695" w:rsidRPr="00883125" w:rsidRDefault="00C52695" w:rsidP="00C52695">
      <w:r w:rsidRPr="00883125">
        <w:t>It is only the value of the combined package of dividends and imputation credits that can be observed in the market, and there is no consensus among experts on how to separate the value to the market of dividends from the value to the market of imputation credits.</w:t>
      </w:r>
    </w:p>
    <w:p w:rsidR="00C52695" w:rsidRDefault="00C52695" w:rsidP="00C52695">
      <w:r w:rsidRPr="00883125">
        <w:t>First, we note that it is strictly incorrect to say that the value of the combined package of dividends and imputation credits can be 'observed'. The service providers support this by quoting Gray that empirical evidence provides a very clear and consistent view of the combined value of credit and dividend.</w:t>
      </w:r>
      <w:r w:rsidRPr="00883125">
        <w:rPr>
          <w:rStyle w:val="FootnoteReference"/>
        </w:rPr>
        <w:footnoteReference w:id="803"/>
      </w:r>
      <w:r w:rsidRPr="00883125">
        <w:t xml:space="preserve"> This is because this value is actually estimated based on assumptions about what the ex-dividend price change represents. In any case, because imputation credits are only ever distributed with franked dividends, all dividend drop off studies must make this allocation/separation. Therefore this limitation applies to SFG's dividend drop off study. </w:t>
      </w:r>
      <w:bookmarkStart w:id="445" w:name="_Ref402180002"/>
      <w:bookmarkStart w:id="446" w:name="_Ref414619467"/>
    </w:p>
    <w:p w:rsidR="00C52695" w:rsidRPr="00B27BE5" w:rsidRDefault="00C52695" w:rsidP="00C52695">
      <w:pPr>
        <w:pStyle w:val="Heading9"/>
      </w:pPr>
      <w:bookmarkStart w:id="447" w:name="_Toc456614347"/>
      <w:bookmarkStart w:id="448" w:name="_Toc462823347"/>
      <w:bookmarkStart w:id="449" w:name="_Toc481061521"/>
      <w:r w:rsidRPr="00883125">
        <w:t>The views of academics and other regulators</w:t>
      </w:r>
      <w:bookmarkEnd w:id="445"/>
      <w:r w:rsidRPr="00883125">
        <w:t xml:space="preserve"> on dividend drop off studies</w:t>
      </w:r>
      <w:bookmarkEnd w:id="446"/>
      <w:bookmarkEnd w:id="447"/>
      <w:bookmarkEnd w:id="448"/>
      <w:bookmarkEnd w:id="449"/>
    </w:p>
    <w:p w:rsidR="00C52695" w:rsidRPr="00883125" w:rsidRDefault="00C52695" w:rsidP="00C52695">
      <w:pPr>
        <w:numPr>
          <w:ilvl w:val="0"/>
          <w:numId w:val="24"/>
        </w:numPr>
      </w:pPr>
      <w:r w:rsidRPr="00883125">
        <w:t xml:space="preserve">A number of academics and regulators have recognised the limitations of dividend drop off studies. Moreover, many of these concerns continue to be expressed even after the first version of SFG's dividend drop off study in 2011 (which was relied upon by the </w:t>
      </w:r>
      <w:r w:rsidR="00C25A56">
        <w:t xml:space="preserve">Energex </w:t>
      </w:r>
      <w:r w:rsidR="001B2BD0">
        <w:t>Tribunal), and the 2016</w:t>
      </w:r>
      <w:r w:rsidRPr="00883125">
        <w:t xml:space="preserve"> update of that study (which was relied upon in service providers' current proposals).</w:t>
      </w:r>
      <w:r w:rsidRPr="00883125">
        <w:rPr>
          <w:rStyle w:val="FootnoteReference"/>
        </w:rPr>
        <w:footnoteReference w:id="804"/>
      </w:r>
      <w:r w:rsidRPr="00883125">
        <w:t xml:space="preserve"> The comments of academics and other regulators support the lesser reliance we place on SFG's dividend drop off study in estimating the utilisation rate. </w:t>
      </w:r>
    </w:p>
    <w:p w:rsidR="00C52695" w:rsidRPr="00883125" w:rsidRDefault="00C52695" w:rsidP="00C52695">
      <w:pPr>
        <w:numPr>
          <w:ilvl w:val="0"/>
          <w:numId w:val="24"/>
        </w:numPr>
      </w:pPr>
      <w:r w:rsidRPr="00883125">
        <w:t>Some academics have identified a number of practical and methodological issues:</w:t>
      </w:r>
    </w:p>
    <w:p w:rsidR="00C52695" w:rsidRPr="00CA67C0" w:rsidRDefault="00C52695" w:rsidP="00C52695">
      <w:pPr>
        <w:pStyle w:val="AERbulletlistfirststyle"/>
      </w:pPr>
      <w:r w:rsidRPr="00883125">
        <w:t>Cannavan, Finn and Gray (2004):</w:t>
      </w:r>
      <w:r w:rsidRPr="00CA67C0">
        <w:rPr>
          <w:rStyle w:val="FootnoteReference"/>
        </w:rPr>
        <w:footnoteReference w:id="805"/>
      </w:r>
    </w:p>
    <w:p w:rsidR="00C52695" w:rsidRPr="00CA67C0" w:rsidRDefault="00C52695" w:rsidP="00C52695">
      <w:pPr>
        <w:pStyle w:val="AERquote"/>
      </w:pPr>
      <w:r w:rsidRPr="00883125">
        <w:lastRenderedPageBreak/>
        <w:t>…it is unlikely that the traditional ex-dividend day drop-off methodology will be able to separately identify the value of cash dividends and imputation credits.</w:t>
      </w:r>
    </w:p>
    <w:p w:rsidR="00C52695" w:rsidRPr="001D37D5" w:rsidRDefault="00C52695" w:rsidP="00C52695">
      <w:pPr>
        <w:pStyle w:val="AERbulletlistfirststyle"/>
      </w:pPr>
      <w:r w:rsidRPr="00883125">
        <w:t>Siau, Sault and Warren (2013):</w:t>
      </w:r>
      <w:r w:rsidRPr="001D37D5">
        <w:rPr>
          <w:rStyle w:val="FootnoteReference"/>
        </w:rPr>
        <w:footnoteReference w:id="806"/>
      </w:r>
    </w:p>
    <w:p w:rsidR="00C52695" w:rsidRPr="00883125" w:rsidRDefault="00C52695" w:rsidP="00C52695">
      <w:pPr>
        <w:pStyle w:val="AERquote"/>
      </w:pPr>
      <w:r w:rsidRPr="00883125">
        <w:t xml:space="preserve">Despite a large number of studies, the market value of imputation credits remains broadly disputed (see, for example, Gray and Hall, 2006; Lally, 2008; Partington and Truong, 2008; Gray, 2008). The majority of empirical studies have drawn inferences by focusing on the pricing of dividend distributions. This includes analysis of stock price declines around ex-dividend dates (‘ex-dividend drop-off studies’); and comparative pricing of instruments that differ only in their dividend and imputation entitlements. These studies are subject to a number of issues, such as imprecise estimates that may be influenced by the presence of short-term traders arbitraging dividends and limited samples in the case of comparative studies. </w:t>
      </w:r>
    </w:p>
    <w:p w:rsidR="00C52695" w:rsidRPr="00883125" w:rsidRDefault="00C52695" w:rsidP="00C52695">
      <w:pPr>
        <w:pStyle w:val="AERquote"/>
      </w:pPr>
      <w:r w:rsidRPr="00883125">
        <w:t>…</w:t>
      </w:r>
    </w:p>
    <w:p w:rsidR="00C52695" w:rsidRPr="00883125" w:rsidRDefault="00C52695" w:rsidP="00C52695">
      <w:pPr>
        <w:pStyle w:val="AERquote"/>
      </w:pPr>
      <w:r w:rsidRPr="00883125">
        <w:t>The variability of estimates joins with issues over design to cast some doubt over estimates for the market value of imputation credits arising from drop-off studies. A key methodological issue is that price movements around ex-dividend events encapsulate not only the tax differential effect, but may also reflect the presence of traders seeking to arbitrage dividends and noise associated with trading activity around ex-dividend dates. Drop-off ratios can be distorted by the need to compensate traders for transaction costs (Eades, Hess, and Kim ,1984); Lakonishok and Vermaelen, 1986; Karpoff and Walkling, 1988, 1990; Bali and Francis, 2011); or the risk involved (Fedenia and Grammatikos, 1993; Grammatikos, 1989; Heath and Jarrow, 1988; Michaely and Vila, 1995). Transaction costs may be substantial, and can drive the drop-off ratio below one (Kalay 1982, 1984; Boyd and Jagannathan, 1994). Market microstructure effects may also complicate estimation of market value, as discrete tick sizes can bias drop-off ratios downwards (Dubofsky, 1992; Bali and Hite, 1998).</w:t>
      </w:r>
    </w:p>
    <w:p w:rsidR="00C52695" w:rsidRPr="00883125" w:rsidRDefault="00C52695" w:rsidP="00C52695">
      <w:pPr>
        <w:pStyle w:val="AERquote"/>
      </w:pPr>
      <w:r w:rsidRPr="00883125">
        <w:t xml:space="preserve">A further key methodological issue is the difficulty in attributing the observed drop-off value between cash dividends and imputation credits. Dempsey and Partington (2008) nominate this identification problem as a serious limitation of ex-dividend drop-off studies. Drop-off studies are afflicted by multicollinearity issues. Cannavan et al. (2004) and Bellamy and Gray (2006) reveal that imputation credits are nearly perfectly collinear with their respective cash dividends. This is exacerbated by corporate tax rates being almost constant and partially-franked dividends being the exception rather than the norm. Gray (2008) points out that the value attributed to imputation credits is conditional on the assumed value on cash dividends by design, to the extent that they are supplementary components within a single package. This notion is reinforced </w:t>
      </w:r>
      <w:r w:rsidRPr="00883125">
        <w:lastRenderedPageBreak/>
        <w:t>by evidence of offsetting variation in the value attributed to dividends and imputation credits across samples (see Bellamy and Gray, 2006; Gray, 2008).</w:t>
      </w:r>
    </w:p>
    <w:p w:rsidR="00C52695" w:rsidRPr="001D37D5" w:rsidRDefault="00C52695" w:rsidP="00C52695">
      <w:pPr>
        <w:pStyle w:val="AERbulletlistfirststyle"/>
      </w:pPr>
      <w:r w:rsidRPr="00883125">
        <w:t>McKenzie and Partington (2013):</w:t>
      </w:r>
      <w:r w:rsidRPr="001D37D5">
        <w:rPr>
          <w:rStyle w:val="FootnoteReference"/>
        </w:rPr>
        <w:footnoteReference w:id="807"/>
      </w:r>
    </w:p>
    <w:p w:rsidR="00C52695" w:rsidRPr="00883125" w:rsidRDefault="00C52695" w:rsidP="00C52695">
      <w:pPr>
        <w:pStyle w:val="AERquote"/>
      </w:pPr>
      <w:r w:rsidRPr="00883125">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franking credits is a major challenge.</w:t>
      </w:r>
    </w:p>
    <w:p w:rsidR="00C52695" w:rsidRPr="00883125" w:rsidRDefault="00C52695" w:rsidP="00C52695">
      <w:pPr>
        <w:pStyle w:val="AERquote"/>
      </w:pPr>
      <w:r w:rsidRPr="00883125">
        <w:t>It is well understood that the market value of the package of dividends and franking credits mixes together not just dividends and credits, but the effects of income and capital gains taxes, transactions costs, discounting for time and risk and possibly market microstructure effects as well. This leads to what we call the allocation problem. That is how we attribute the value consequence of these effects between the value of dividends and the value of franking credits. All methods of splitting up the package value of dividends and franking credit involve an explicit or implicit allocation. The problem with allocations is that by their nature they are arbitrary. Thus, separating out the estimated value of the franking credits is also a major challenge.</w:t>
      </w:r>
    </w:p>
    <w:p w:rsidR="00C52695" w:rsidRPr="00883125" w:rsidRDefault="00C52695" w:rsidP="00C52695">
      <w:pPr>
        <w:pStyle w:val="AERquote"/>
      </w:pPr>
      <w:r w:rsidRPr="00883125">
        <w:t>One approach to the estimation of the value of dividends and franking credits is to measure the price drop when the stock goes ex-dividend. It is on the basis of [SFG's dividend drop off study] that theta was taken to be 0.35 and hence the value of gamma is given by 0.7 x 0.35, which rounded up furnishes a value of 0.25 or 25%.</w:t>
      </w:r>
    </w:p>
    <w:p w:rsidR="00C52695" w:rsidRPr="00883125" w:rsidRDefault="00C52695" w:rsidP="00C52695">
      <w:pPr>
        <w:pStyle w:val="AERquote"/>
      </w:pPr>
      <w:r w:rsidRPr="00883125">
        <w:t xml:space="preserve">We have several problems with this estimate of gamma. First, given the difficulties in estimating theta, the estimate of theta and hence gamma should not be based on one study, or on one method. Rather, it should be triangulated across multiple studies and multiple methods. In particular the estimate of theta should not just be reliant on ex-dividend studies, which are afflicted with many problems. This issue is discussed extensively in McKenzie and Partington (2010). In this paper, we argue that it is very unlikely that an accurate and reliable estimate of the value of franking credits will come out of a traditional ex-dividend study due to a number of problems including the extremely noisy data (it is not unusual to have a price movement up or down of more than twenty times the dividend on the ex-dividend day). Results are also sensitive to data filtering, the choice of estimation method and whether the ex-dividend day price is measured at the open or close of trading. Biased results can also arise from market microstructure effects such as bid-ask bounce. There are also abnormal volumes and abnormal returns about the ex-dividend day, which clearly indicate that trading is abnormal about the ex-dividend date. Consequently, it is an open question whether an ex-dividend study gives a dividend and franking credit valuation that reflects the clientele of investors normally holding the </w:t>
      </w:r>
      <w:r w:rsidRPr="00883125">
        <w:lastRenderedPageBreak/>
        <w:t>stock. Finally, there are conceptual and econometric problems. For example, multicollinearity in the regression equation used to separate the value of the dividends and franking credits. Reflecting the inaccuracy of the ex-dividend method and associated regression technique, the standard errors of the estimates from the regression equations are typically quite large.</w:t>
      </w:r>
    </w:p>
    <w:p w:rsidR="00C52695" w:rsidRPr="001D37D5" w:rsidRDefault="00C52695" w:rsidP="00C52695">
      <w:pPr>
        <w:pStyle w:val="AERbulletlistfirststyle"/>
      </w:pPr>
      <w:r w:rsidRPr="00883125">
        <w:t>Lally (2013):</w:t>
      </w:r>
      <w:r w:rsidRPr="001D37D5">
        <w:rPr>
          <w:rStyle w:val="FootnoteReference"/>
        </w:rPr>
        <w:footnoteReference w:id="808"/>
      </w:r>
    </w:p>
    <w:p w:rsidR="00C52695" w:rsidRPr="00883125" w:rsidRDefault="00C52695" w:rsidP="00C52695">
      <w:pPr>
        <w:pStyle w:val="AERquote"/>
      </w:pPr>
      <w:r w:rsidRPr="00883125">
        <w:t xml:space="preserve">The AER’s third approach to estimating </w:t>
      </w:r>
      <w:r w:rsidRPr="00883125">
        <w:rPr>
          <w:rStyle w:val="AERtextitalic"/>
        </w:rPr>
        <w:t>U</w:t>
      </w:r>
      <w:r w:rsidRPr="00883125">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C52695" w:rsidRPr="00883125" w:rsidRDefault="00C52695" w:rsidP="00C52695">
      <w:pPr>
        <w:pStyle w:val="AERquote"/>
      </w:pPr>
      <w:r w:rsidRPr="00883125">
        <w:t>I concur with all of these concerns, and I have additional concerns about these studies or their interpretation.</w:t>
      </w:r>
    </w:p>
    <w:p w:rsidR="00C52695" w:rsidRPr="00883125" w:rsidRDefault="00C52695" w:rsidP="00C52695">
      <w:r w:rsidRPr="00883125">
        <w:t>Other academics have focussed on the specific issue of whether dividend drop off studies produce results that are reflective of investors in the market as a whole:</w:t>
      </w:r>
    </w:p>
    <w:p w:rsidR="00C52695" w:rsidRPr="001D37D5" w:rsidRDefault="00C52695" w:rsidP="00C52695">
      <w:pPr>
        <w:pStyle w:val="AERbulletlistfirststyle"/>
      </w:pPr>
      <w:r w:rsidRPr="00883125">
        <w:t>Handley (2014):</w:t>
      </w:r>
      <w:r w:rsidRPr="001D37D5">
        <w:rPr>
          <w:rStyle w:val="FootnoteReference"/>
        </w:rPr>
        <w:footnoteReference w:id="809"/>
      </w:r>
    </w:p>
    <w:p w:rsidR="00C52695" w:rsidRPr="00883125" w:rsidRDefault="00C52695" w:rsidP="00C52695">
      <w:pPr>
        <w:pStyle w:val="AERquote"/>
      </w:pPr>
      <w:r w:rsidRPr="00883125">
        <w:t>The second issue also concerns the correct interpretation of the regression coefficient – but at a more fundamental level. Adjusting the coefficient to remove the impact of differential personal taxes and risk gives us the (after-company-before-personal-tax) value of a dollar of imputation credits but the question is value to whom? In other words, 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C52695" w:rsidRPr="00CA67C0" w:rsidRDefault="00C52695" w:rsidP="00C52695">
      <w:pPr>
        <w:pStyle w:val="AERbulletlistfirststyle"/>
      </w:pPr>
      <w:r w:rsidRPr="00883125">
        <w:t>South Australian Centre for Economic Studies (2015):</w:t>
      </w:r>
      <w:r w:rsidRPr="00CA67C0">
        <w:rPr>
          <w:rStyle w:val="FootnoteReference"/>
        </w:rPr>
        <w:footnoteReference w:id="810"/>
      </w:r>
    </w:p>
    <w:p w:rsidR="00C52695" w:rsidRPr="00CA67C0" w:rsidRDefault="00C52695" w:rsidP="00C52695">
      <w:pPr>
        <w:pStyle w:val="AERquote"/>
      </w:pPr>
      <w:r w:rsidRPr="00883125">
        <w:lastRenderedPageBreak/>
        <w:t>In order for a dividend drop-off study to provide useful evidence of the value of franking credits to a representative owner of equity three conditions need to be met:</w:t>
      </w:r>
    </w:p>
    <w:p w:rsidR="00C52695" w:rsidRPr="00883125" w:rsidRDefault="00C52695" w:rsidP="00C52695">
      <w:pPr>
        <w:pStyle w:val="AERquotebullet1"/>
      </w:pPr>
      <w:r w:rsidRPr="00883125">
        <w:t>the studies being drawn on need to be of high quality;</w:t>
      </w:r>
    </w:p>
    <w:p w:rsidR="00C52695" w:rsidRPr="00883125" w:rsidRDefault="00C52695" w:rsidP="00C52695">
      <w:pPr>
        <w:pStyle w:val="AERquotebullet1"/>
      </w:pPr>
      <w:r w:rsidRPr="00883125">
        <w:t>the equity holders who buy shares in the period after dividends are issued need to be representative of the whole class of equity holders; and</w:t>
      </w:r>
    </w:p>
    <w:p w:rsidR="00C52695" w:rsidRPr="00883125" w:rsidRDefault="00C52695" w:rsidP="00C52695">
      <w:pPr>
        <w:pStyle w:val="AERquotebullet1"/>
      </w:pPr>
      <w:r w:rsidRPr="00883125">
        <w:t>the equity for which data is drawn on for the dividend drop off study needs to be representative of the overall stock of equity in the Australian economy</w:t>
      </w:r>
    </w:p>
    <w:p w:rsidR="00C52695" w:rsidRPr="00883125" w:rsidRDefault="00C52695" w:rsidP="00C52695">
      <w:pPr>
        <w:pStyle w:val="AERquote"/>
      </w:pPr>
      <w:r w:rsidRPr="00883125">
        <w:t>We would contend that only the first of these three conditions is definitely met.</w:t>
      </w:r>
    </w:p>
    <w:p w:rsidR="00C52695" w:rsidRPr="00883125" w:rsidRDefault="00C52695" w:rsidP="00C52695">
      <w:pPr>
        <w:pStyle w:val="AERquote"/>
      </w:pPr>
      <w:r w:rsidRPr="00883125">
        <w:t>The studies included by SFG consulting in their review of estimates for theta all appear to be of good quality and are undertaken in a manner which reflects the current best practice in the literature.</w:t>
      </w:r>
    </w:p>
    <w:p w:rsidR="00C52695" w:rsidRPr="00883125" w:rsidRDefault="00C52695" w:rsidP="00C52695">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C52695" w:rsidRPr="00883125" w:rsidRDefault="00C52695" w:rsidP="00C52695">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C52695" w:rsidRPr="00883125" w:rsidRDefault="00C52695" w:rsidP="00C52695">
      <w:pPr>
        <w:pStyle w:val="AERquote"/>
      </w:pPr>
      <w:r w:rsidRPr="00883125">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C52695" w:rsidRPr="00883125" w:rsidRDefault="00C52695" w:rsidP="00C52695">
      <w:r w:rsidRPr="00883125">
        <w:t>The limitations identified have been recognised by other regulators and reflected in their respective approaches to determining the utilisation rate:</w:t>
      </w:r>
    </w:p>
    <w:p w:rsidR="00C52695" w:rsidRPr="001D37D5" w:rsidRDefault="00C52695" w:rsidP="00C52695">
      <w:pPr>
        <w:pStyle w:val="AERbulletlistfirststyle"/>
      </w:pPr>
      <w:r w:rsidRPr="00883125">
        <w:t>QCA (2014):</w:t>
      </w:r>
      <w:r w:rsidRPr="001D37D5">
        <w:rPr>
          <w:rStyle w:val="FootnoteReference"/>
        </w:rPr>
        <w:footnoteReference w:id="811"/>
      </w:r>
    </w:p>
    <w:p w:rsidR="00C52695" w:rsidRPr="00883125" w:rsidRDefault="00C52695" w:rsidP="00C52695">
      <w:pPr>
        <w:pStyle w:val="AERquote"/>
      </w:pPr>
      <w:r w:rsidRPr="00883125">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C52695" w:rsidRPr="001D37D5" w:rsidRDefault="00C52695" w:rsidP="00C52695">
      <w:pPr>
        <w:pStyle w:val="AERbulletlistfirststyle"/>
      </w:pPr>
      <w:r w:rsidRPr="00883125">
        <w:lastRenderedPageBreak/>
        <w:t>The ERA, which until the publication of a revised draft Guideline in November 2014 preferred the use of dividend drop off studies, stated:</w:t>
      </w:r>
      <w:r w:rsidRPr="001D37D5">
        <w:rPr>
          <w:rStyle w:val="FootnoteReference"/>
        </w:rPr>
        <w:footnoteReference w:id="812"/>
      </w:r>
    </w:p>
    <w:p w:rsidR="00C52695" w:rsidRPr="00883125" w:rsidRDefault="00C52695" w:rsidP="00C52695">
      <w:pPr>
        <w:pStyle w:val="AERquote"/>
      </w:pPr>
      <w:r w:rsidRPr="00883125">
        <w:t>…dividend drop-off studies are known to suffer from a variety of estimation issues that result in the estimated value of theta being vulnerable to the dividend sample, parametric form of the regression equation and regression technique used. As a consequence, the Authority is of the view that it is more appropriate to use a range of dividend drop-off studies.</w:t>
      </w:r>
    </w:p>
    <w:p w:rsidR="00C52695" w:rsidRPr="00373BE8" w:rsidRDefault="00C52695" w:rsidP="00C52695">
      <w:pPr>
        <w:pStyle w:val="Heading8"/>
      </w:pPr>
      <w:bookmarkStart w:id="450" w:name="_Ref403481482"/>
      <w:bookmarkStart w:id="451" w:name="_Toc433449226"/>
      <w:bookmarkStart w:id="452" w:name="_Toc451938317"/>
      <w:bookmarkStart w:id="453" w:name="_Toc456614348"/>
      <w:bookmarkStart w:id="454" w:name="_Toc462823348"/>
      <w:bookmarkStart w:id="455" w:name="_Toc481061522"/>
      <w:r w:rsidRPr="00373BE8">
        <w:t>Revised consideration of the conceptual goalposts approach</w:t>
      </w:r>
      <w:bookmarkEnd w:id="450"/>
      <w:bookmarkEnd w:id="451"/>
      <w:bookmarkEnd w:id="452"/>
      <w:bookmarkEnd w:id="453"/>
      <w:bookmarkEnd w:id="454"/>
      <w:bookmarkEnd w:id="455"/>
    </w:p>
    <w:p w:rsidR="00C52695" w:rsidRPr="00373BE8" w:rsidRDefault="00C52695" w:rsidP="00C52695">
      <w:pPr>
        <w:numPr>
          <w:ilvl w:val="0"/>
          <w:numId w:val="24"/>
        </w:numPr>
      </w:pPr>
      <w:r w:rsidRPr="00373BE8">
        <w:t>We placed a degree of reliance upon the conceptual goalposts approach when coming to an estimate for the utilisation rate in the Guideline. However, we do not rely on the conceptual goalposts approach in this decision. This is mainly to be consistent with Handley's advice on the conceptual framework, which we have accepted in making this</w:t>
      </w:r>
      <w:r>
        <w:t xml:space="preserve"> </w:t>
      </w:r>
      <w:r w:rsidR="00022C1D">
        <w:t>final</w:t>
      </w:r>
      <w:r w:rsidR="00022C1D" w:rsidRPr="00373BE8">
        <w:t xml:space="preserve"> </w:t>
      </w:r>
      <w:r w:rsidRPr="00373BE8">
        <w:t>decision. Further, we do not consider this to be a significant departure from the Guideline given we placed only limited reliance on the conceptual goalposts approach in the Guideline.</w:t>
      </w:r>
      <w:r w:rsidRPr="00373BE8" w:rsidDel="007E6C35">
        <w:t xml:space="preserve"> </w:t>
      </w:r>
      <w:r w:rsidRPr="00373BE8">
        <w:t>We note we do not consider Lally's support of the conceptual goal posts approach, upon which we do not rely, supports the proposition that our conceptual analysis is confused and unsafe.</w:t>
      </w:r>
      <w:r w:rsidRPr="00373BE8">
        <w:rPr>
          <w:rStyle w:val="FootnoteReference"/>
        </w:rPr>
        <w:footnoteReference w:id="813"/>
      </w:r>
      <w:r w:rsidRPr="00373BE8">
        <w:t xml:space="preserve"> We also note the preference for Handley's advice over Lally's is to the benefit of the service providers as it results in a lower estimate of the value for imputation credits than would have been the case had we followed Lally's advice on this issue. Our revised consideration of the approach is set out in this section.</w:t>
      </w:r>
    </w:p>
    <w:p w:rsidR="00C52695" w:rsidRPr="00373BE8" w:rsidRDefault="00C52695" w:rsidP="00C52695">
      <w:pPr>
        <w:pStyle w:val="Heading9"/>
      </w:pPr>
      <w:bookmarkStart w:id="456" w:name="_Toc456614349"/>
      <w:bookmarkStart w:id="457" w:name="_Toc462823349"/>
      <w:bookmarkStart w:id="458" w:name="_Toc481061523"/>
      <w:r w:rsidRPr="00373BE8">
        <w:t>Description of the approach</w:t>
      </w:r>
      <w:bookmarkEnd w:id="456"/>
      <w:bookmarkEnd w:id="457"/>
      <w:bookmarkEnd w:id="458"/>
    </w:p>
    <w:p w:rsidR="00C52695" w:rsidRPr="00373BE8" w:rsidRDefault="00C52695" w:rsidP="00C52695">
      <w:pPr>
        <w:numPr>
          <w:ilvl w:val="0"/>
          <w:numId w:val="24"/>
        </w:numPr>
      </w:pPr>
      <w:r w:rsidRPr="00373BE8">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sidRPr="00373BE8">
        <w:rPr>
          <w:rStyle w:val="FootnoteReference"/>
        </w:rPr>
        <w:footnoteReference w:id="814"/>
      </w:r>
      <w:r w:rsidRPr="00373BE8">
        <w:t xml:space="preserve"> In the Officer CAPM, the given set of assets is the domestic market and Lally considered that the given set of investors is domestic investors; that is, the domestic market is assumed to be 'fully segmented' from international markets.</w:t>
      </w:r>
      <w:r w:rsidRPr="00373BE8">
        <w:rPr>
          <w:rStyle w:val="FootnoteReference"/>
        </w:rPr>
        <w:footnoteReference w:id="815"/>
      </w:r>
    </w:p>
    <w:p w:rsidR="00C52695" w:rsidRPr="00373BE8" w:rsidRDefault="00C52695" w:rsidP="00C52695">
      <w:pPr>
        <w:numPr>
          <w:ilvl w:val="0"/>
          <w:numId w:val="24"/>
        </w:numPr>
      </w:pPr>
      <w:r w:rsidRPr="00373BE8">
        <w:lastRenderedPageBreak/>
        <w:t>Lally considered it paramount to estimate the utilisation rate consistently with the underlying theoretical framework:</w:t>
      </w:r>
      <w:r w:rsidRPr="00373BE8">
        <w:rPr>
          <w:rStyle w:val="FootnoteReference"/>
        </w:rPr>
        <w:footnoteReference w:id="816"/>
      </w:r>
    </w:p>
    <w:p w:rsidR="00C52695" w:rsidRPr="00373BE8" w:rsidRDefault="00C52695" w:rsidP="00C52695">
      <w:pPr>
        <w:pStyle w:val="AERquote"/>
      </w:pPr>
      <w:r w:rsidRPr="00373BE8">
        <w:t xml:space="preserve">In my view, the most important requirements in selecting a methodology for estimating </w:t>
      </w:r>
      <w:r w:rsidRPr="00373BE8">
        <w:rPr>
          <w:rStyle w:val="AERtextitalic"/>
        </w:rPr>
        <w:t>U</w:t>
      </w:r>
      <w:r w:rsidRPr="00373BE8">
        <w:t xml:space="preserve"> [the utilisation rate] are that the estimate be consistent with the definition of </w:t>
      </w:r>
      <w:r w:rsidRPr="00373BE8">
        <w:rPr>
          <w:rStyle w:val="AERtextitalic"/>
        </w:rPr>
        <w:t>U</w:t>
      </w:r>
      <w:r w:rsidRPr="00373BE8">
        <w:t>, as a value-weighted average over the utilisation rates of all investors who are relevant to the Officer CAPM, that the parameter estimate is likely to give rise to an estimated cost of equity from the Officer model that lies within the bounds arising from either complete segmentation or complete integration of equity markets, and that the estimate is reasonably precise.</w:t>
      </w:r>
    </w:p>
    <w:p w:rsidR="00C52695" w:rsidRPr="00373BE8" w:rsidRDefault="00C52695" w:rsidP="00C52695">
      <w:pPr>
        <w:numPr>
          <w:ilvl w:val="0"/>
          <w:numId w:val="24"/>
        </w:numPr>
      </w:pPr>
      <w:r w:rsidRPr="00373BE8">
        <w:t>The importance of theoretical consistency led Lally to recommend that the optimal estimate of the utilisation rate is 1, on these conceptual grounds:</w:t>
      </w:r>
      <w:r w:rsidRPr="00373BE8">
        <w:rPr>
          <w:rStyle w:val="FootnoteReference"/>
        </w:rPr>
        <w:footnoteReference w:id="817"/>
      </w:r>
    </w:p>
    <w:p w:rsidR="00C52695" w:rsidRPr="00373BE8" w:rsidRDefault="00C52695" w:rsidP="00C52695">
      <w:pPr>
        <w:pStyle w:val="AERquote"/>
      </w:pPr>
      <w:r w:rsidRPr="00373BE8">
        <w:t xml:space="preserve">In respect of </w:t>
      </w:r>
      <w:r w:rsidRPr="00373BE8">
        <w:rPr>
          <w:rStyle w:val="AERtextitalic"/>
        </w:rPr>
        <w:t>U</w:t>
      </w:r>
      <w:r w:rsidRPr="00373BE8">
        <w:t>, there are five possible approaches to estimating it. The first of these arises from the definition of the parameter as a weighted average across all investors; coupled with ignoring foreigners (consistent with the Officer CAPM), this yields an estimate of 1 (the utilisation rate of local investors).</w:t>
      </w:r>
    </w:p>
    <w:p w:rsidR="00C52695" w:rsidRPr="00373BE8" w:rsidRDefault="00C52695" w:rsidP="00C52695">
      <w:pPr>
        <w:pStyle w:val="AERquote"/>
      </w:pPr>
      <w:r w:rsidRPr="00373BE8">
        <w:t>…</w:t>
      </w:r>
    </w:p>
    <w:p w:rsidR="00C52695" w:rsidRPr="00373BE8" w:rsidRDefault="00C52695" w:rsidP="00C52695">
      <w:pPr>
        <w:pStyle w:val="AERquote"/>
      </w:pPr>
      <w:r w:rsidRPr="00373BE8">
        <w:t>Using the three criteria described above, my preferred estimate is 1 from the first approach…</w:t>
      </w:r>
    </w:p>
    <w:p w:rsidR="00C52695" w:rsidRPr="00373BE8" w:rsidRDefault="00C52695" w:rsidP="00C52695">
      <w:pPr>
        <w:numPr>
          <w:ilvl w:val="0"/>
          <w:numId w:val="24"/>
        </w:numPr>
      </w:pPr>
      <w:r w:rsidRPr="00373BE8">
        <w:t>An alternative to the 'domestic' Officer CAPM is an international CAPM, whereby the relevant set of assets is all assets in the world and the relevant set of investors is all investors in the world; that is, the domestic market is assumed to be 'fully integrated' with international markets.  Using this model would require inputs based on international benchmarks, including a utilisation rate of 0 because the proportion of global investors eligible to make use of domestic imputation credits  is close to zero.</w:t>
      </w:r>
    </w:p>
    <w:p w:rsidR="00C52695" w:rsidRPr="00373BE8" w:rsidRDefault="00C52695" w:rsidP="00C52695">
      <w:pPr>
        <w:numPr>
          <w:ilvl w:val="0"/>
          <w:numId w:val="24"/>
        </w:numPr>
      </w:pPr>
      <w:r w:rsidRPr="00373BE8">
        <w:t xml:space="preserve">Both in the Guideline and in this </w:t>
      </w:r>
      <w:r w:rsidR="00022C1D">
        <w:t xml:space="preserve">final </w:t>
      </w:r>
      <w:r w:rsidRPr="00373BE8">
        <w:t>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sidRPr="00373BE8">
        <w:rPr>
          <w:rStyle w:val="FootnoteReference"/>
        </w:rPr>
        <w:footnoteReference w:id="818"/>
      </w:r>
    </w:p>
    <w:p w:rsidR="00C52695" w:rsidRPr="00373BE8" w:rsidRDefault="00C52695" w:rsidP="00C52695">
      <w:pPr>
        <w:pStyle w:val="AERquote"/>
      </w:pPr>
      <w:r w:rsidRPr="00373BE8">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373BE8">
        <w:rPr>
          <w:rStyle w:val="AERtextitalic"/>
        </w:rPr>
        <w:t>U</w:t>
      </w:r>
      <w:r w:rsidRPr="00373BE8">
        <w:t>) that is inconsistent with this model.</w:t>
      </w:r>
    </w:p>
    <w:p w:rsidR="00C52695" w:rsidRPr="00373BE8" w:rsidRDefault="00C52695" w:rsidP="00C52695">
      <w:pPr>
        <w:numPr>
          <w:ilvl w:val="0"/>
          <w:numId w:val="24"/>
        </w:numPr>
      </w:pPr>
      <w:r w:rsidRPr="00373BE8">
        <w:t xml:space="preserve">Lally considered the overarching concern is whether the inconsistency between input parameters and model definitions might produce an unreasonable outcome. That is, </w:t>
      </w:r>
      <w:r w:rsidRPr="00373BE8">
        <w:lastRenderedPageBreak/>
        <w:t>even if the individual components are each justified in isolation, the combination might produce an overall result that is no longer reasonable:</w:t>
      </w:r>
      <w:r w:rsidRPr="00373BE8">
        <w:rPr>
          <w:rStyle w:val="FootnoteReference"/>
        </w:rPr>
        <w:footnoteReference w:id="819"/>
      </w:r>
      <w:r w:rsidRPr="00373BE8">
        <w:t xml:space="preserve"> </w:t>
      </w:r>
    </w:p>
    <w:p w:rsidR="00C52695" w:rsidRPr="00373BE8" w:rsidRDefault="00C52695" w:rsidP="00C52695">
      <w:pPr>
        <w:pStyle w:val="AERquote"/>
      </w:pPr>
      <w:r w:rsidRPr="00373BE8">
        <w:t xml:space="preserve">The Officer (1994) CAPM implicitly assumes that national markets for risky assets are completely segmented, in the sense that investors are precluded from purchasing foreign risky assets. However, most estimates of </w:t>
      </w:r>
      <w:r w:rsidRPr="00373BE8">
        <w:rPr>
          <w:rStyle w:val="AERtextitalic"/>
        </w:rPr>
        <w:t>U</w:t>
      </w:r>
      <w:r w:rsidRPr="00373BE8">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event the partial recognition of foreign investors would effectively constitute cherry-picking that maximises the revenue or price cap, i.e., ignoring foreign investors when it is favourable to regulated firms (choosing the CAPM) and also estimating </w:t>
      </w:r>
      <w:r w:rsidRPr="00373BE8">
        <w:rPr>
          <w:rStyle w:val="AERtextitalic"/>
        </w:rPr>
        <w:t>U</w:t>
      </w:r>
      <w:r w:rsidRPr="00373BE8">
        <w:t xml:space="preserve"> by a methodology that reflects the presence of these investors when it is also favourable to regulated firms. We therefore assess whether various estimates of </w:t>
      </w:r>
      <w:r w:rsidRPr="00373BE8">
        <w:rPr>
          <w:rStyle w:val="AERtextitalic"/>
        </w:rPr>
        <w:t>U</w:t>
      </w:r>
      <w:r w:rsidRPr="00373BE8">
        <w:t xml:space="preserve"> lead to this outcome.</w:t>
      </w:r>
    </w:p>
    <w:p w:rsidR="00C52695" w:rsidRPr="00373BE8" w:rsidRDefault="00C52695" w:rsidP="00C52695">
      <w:pPr>
        <w:pStyle w:val="AERquote"/>
      </w:pPr>
      <w:r w:rsidRPr="00373BE8">
        <w:t>To do so it is necessary to consider the implications for the cost of equity of complete integration and complete segmentation of national markets for risky assets.</w:t>
      </w:r>
    </w:p>
    <w:p w:rsidR="00C52695" w:rsidRPr="00373BE8" w:rsidRDefault="00C52695" w:rsidP="00C52695">
      <w:pPr>
        <w:numPr>
          <w:ilvl w:val="0"/>
          <w:numId w:val="24"/>
        </w:numPr>
      </w:pPr>
      <w:r w:rsidRPr="00373BE8">
        <w:t>Lally pointed out that, while there is some uncertainty about the return on equity in a partial integration scenario, it must lie within two boundaries. At one end, there is the return on equity that would be required if the domestic market was fully segmented from international markets. At the other extreme is the return on equity if the capital market was fully integrated with international markets. To assess whether the approach in the draft Guideline passed this test, Lally estimated for the average Australian firm:</w:t>
      </w:r>
      <w:r w:rsidRPr="00373BE8">
        <w:rPr>
          <w:rStyle w:val="FootnoteReference"/>
        </w:rPr>
        <w:footnoteReference w:id="820"/>
      </w:r>
      <w:r w:rsidRPr="00373BE8">
        <w:t xml:space="preserve"> </w:t>
      </w:r>
    </w:p>
    <w:p w:rsidR="00C52695" w:rsidRPr="00373BE8" w:rsidRDefault="00C52695" w:rsidP="00C52695">
      <w:pPr>
        <w:pStyle w:val="AERbulletlistfirststyle"/>
      </w:pPr>
      <w:r w:rsidRPr="00373BE8">
        <w:t>The return on equity under segmentation, using a domestic-only (segmented) CAPM populated with domestic parameters. That is, a market risk premium for a segmented Australian market, an equity beta relative to the Australian market, and a utilisation rate of 1.</w:t>
      </w:r>
    </w:p>
    <w:p w:rsidR="00C52695" w:rsidRPr="00373BE8" w:rsidRDefault="00C52695" w:rsidP="00C52695">
      <w:pPr>
        <w:pStyle w:val="AERbulletlistfirststyle"/>
      </w:pPr>
      <w:r w:rsidRPr="00373BE8">
        <w:t>The return on equity under integration, using an international CAPM (based on Solnik, 1974) populated with global parameters. That is, using a market risk premium for an integrated (global) market, an equity beta relative to the global market and a utilisation rate of 0.</w:t>
      </w:r>
    </w:p>
    <w:p w:rsidR="00C52695" w:rsidRPr="00373BE8" w:rsidRDefault="00C52695" w:rsidP="00C52695">
      <w:pPr>
        <w:pStyle w:val="AERbulletlistfirststyle"/>
      </w:pPr>
      <w:r w:rsidRPr="00373BE8">
        <w:t xml:space="preserve">The return on equity using a segmented (Officer) CAPM, populated with parameters that accord with our 'partially integrated' market definition. That is, a market risk premium and an equity beta that reflect the domestic market, but recognising foreign investors to the extent that they invest in the domestic (Australian) market. </w:t>
      </w:r>
    </w:p>
    <w:p w:rsidR="00C52695" w:rsidRPr="00373BE8" w:rsidRDefault="00C52695" w:rsidP="00C52695">
      <w:pPr>
        <w:numPr>
          <w:ilvl w:val="0"/>
          <w:numId w:val="24"/>
        </w:numPr>
      </w:pPr>
      <w:r w:rsidRPr="00373BE8">
        <w:lastRenderedPageBreak/>
        <w:t>Lally's aim was to ascertain what utilisation rates under the third scenario will result in a return on equity that lies between the two 'goalposts' represented by the return on equity from the first two scenarios (full segmentation and full integration). This is how Lally presented the results of this assessment:</w:t>
      </w:r>
      <w:r w:rsidRPr="00373BE8">
        <w:rPr>
          <w:rStyle w:val="FootnoteReference"/>
        </w:rPr>
        <w:footnoteReference w:id="821"/>
      </w:r>
      <w:r w:rsidRPr="00373BE8">
        <w:t xml:space="preserve"> </w:t>
      </w:r>
    </w:p>
    <w:p w:rsidR="00C52695" w:rsidRPr="00373BE8" w:rsidRDefault="00C52695" w:rsidP="00C52695">
      <w:pPr>
        <w:pStyle w:val="AERquote"/>
      </w:pPr>
      <w:r w:rsidRPr="00373BE8">
        <w:t xml:space="preserve">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integration).  However, estimates of </w:t>
      </w:r>
      <w:r w:rsidRPr="00373BE8">
        <w:rPr>
          <w:rStyle w:val="AERtextitalic"/>
        </w:rPr>
        <w:t>U</w:t>
      </w:r>
      <w:r w:rsidRPr="00373BE8">
        <w:t xml:space="preserve"> that are significantly less than 1 fail this test in virtually every case examined, and are therefore deficient. In effect, combining Officer’s CAPM with a 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C52695" w:rsidRPr="00373BE8" w:rsidRDefault="00C52695" w:rsidP="00C52695">
      <w:pPr>
        <w:numPr>
          <w:ilvl w:val="0"/>
          <w:numId w:val="24"/>
        </w:numPr>
      </w:pPr>
      <w:r w:rsidRPr="00373BE8">
        <w:t>This analysis contributes to Lally's conclusion that the utilisation rate should be 1 or close to it. To refine this estimate, we undertook further analysis using the approach set out by Lally. This indicated that utilisation rates between 0.8 and 1 generate a reasonable return on equity (that is, one that lies between the goalposts) in the majority of permutation scenarios.  Further, when interpreting this sensitivity analysis, it is also relevant to consider whether each particular scenario has arisen from an extreme permutation—that is, if the individual parameters are all at their highest (or lowest) possible values. Such a scenario is much less likely than a permutation where most of the parameters are at their expected values. A utilisation rate of 0.6 or below generates very few return on equity results that are reasonable (between the goalposts), and these all arise at extreme permutations.</w:t>
      </w:r>
    </w:p>
    <w:p w:rsidR="00C52695" w:rsidRPr="00373BE8" w:rsidRDefault="00C52695" w:rsidP="00C52695">
      <w:pPr>
        <w:numPr>
          <w:ilvl w:val="0"/>
          <w:numId w:val="24"/>
        </w:numPr>
      </w:pPr>
      <w:r w:rsidRPr="00373BE8">
        <w:t>In conclusion, in the Guideline we considered that the conceptual goalposts approach supported an estimate of the utilisation rate in the range 0.8 to 1. We considered also that it suggested that a utilisation rate of 0.6 or below was unreasonable.</w:t>
      </w:r>
    </w:p>
    <w:p w:rsidR="00C52695" w:rsidRPr="00CA67C0" w:rsidRDefault="00C52695" w:rsidP="00C52695">
      <w:pPr>
        <w:pStyle w:val="Heading9"/>
      </w:pPr>
      <w:bookmarkStart w:id="459" w:name="_Toc456614350"/>
      <w:bookmarkStart w:id="460" w:name="_Toc462823350"/>
      <w:bookmarkStart w:id="461" w:name="_Toc481061524"/>
      <w:r w:rsidRPr="00373BE8">
        <w:t>Advice received since the Guideline</w:t>
      </w:r>
      <w:bookmarkEnd w:id="459"/>
      <w:bookmarkEnd w:id="460"/>
      <w:bookmarkEnd w:id="461"/>
    </w:p>
    <w:p w:rsidR="00C52695" w:rsidRPr="00373BE8" w:rsidRDefault="00C52695" w:rsidP="00C52695">
      <w:pPr>
        <w:numPr>
          <w:ilvl w:val="0"/>
          <w:numId w:val="24"/>
        </w:numPr>
      </w:pPr>
      <w:r w:rsidRPr="00373BE8">
        <w:t>In advice received since the Guideline's publication, Handley advised that he does not consider the conceptual goalposts approach to be a reasonable approach to estimating the utilisation rate:</w:t>
      </w:r>
      <w:r w:rsidRPr="00373BE8">
        <w:rPr>
          <w:rStyle w:val="FootnoteReference"/>
        </w:rPr>
        <w:footnoteReference w:id="822"/>
      </w:r>
    </w:p>
    <w:p w:rsidR="00C52695" w:rsidRPr="00373BE8" w:rsidRDefault="00C52695" w:rsidP="00C52695">
      <w:pPr>
        <w:pStyle w:val="AERquote"/>
      </w:pPr>
      <w:r w:rsidRPr="00373BE8">
        <w:lastRenderedPageBreak/>
        <w:t>I do not consider the conceptual goalpost approach to be a reasonable approach to estimation as first, it is motivated by a faulty premise – that the CAPM suggested by Officer implicitly assumes that national markets for risky assets are completely segmented in the sense that all domestic assets are held by domestic investors only and all foreign assets are held by foreign investors only – and second, that it seeks to sure up one uncertain estimate by reference to two other estimates (the “goalposts”) which themselves are subject to substantial uncertainty.</w:t>
      </w:r>
    </w:p>
    <w:p w:rsidR="00C52695" w:rsidRPr="00373BE8" w:rsidRDefault="00C52695" w:rsidP="00C52695">
      <w:pPr>
        <w:numPr>
          <w:ilvl w:val="0"/>
          <w:numId w:val="24"/>
        </w:numPr>
      </w:pPr>
      <w:r w:rsidRPr="00373BE8">
        <w:t>Handley expanded on his first point elsewhere in his advice:</w:t>
      </w:r>
      <w:r w:rsidRPr="00373BE8">
        <w:rPr>
          <w:rStyle w:val="FootnoteReference"/>
        </w:rPr>
        <w:footnoteReference w:id="823"/>
      </w:r>
    </w:p>
    <w:p w:rsidR="00C52695" w:rsidRPr="00373BE8" w:rsidRDefault="00C52695" w:rsidP="00C52695">
      <w:pPr>
        <w:pStyle w:val="AERquote"/>
      </w:pPr>
      <w:r w:rsidRPr="00373BE8">
        <w:t xml:space="preserve">Lally (2013) adopts an unnecessarily narrow interpretation of segmentation in suggesting that foreign investors should be excluded completely. But once you choose a proxy for the market portfolio you define not only the set of assets that are relevant for pricing purposes but you also define the set of investors that are relevant for pricing purposes – in other words, it is a joint assumption. Lally’s suggestion that we include the full set of </w:t>
      </w:r>
      <w:r w:rsidRPr="00373BE8">
        <w:rPr>
          <w:rStyle w:val="AERtextitalic"/>
        </w:rPr>
        <w:t>n</w:t>
      </w:r>
      <w:r w:rsidRPr="00373BE8">
        <w:t xml:space="preserve"> assets but only a subset of the of </w:t>
      </w:r>
      <w:r w:rsidRPr="00373BE8">
        <w:rPr>
          <w:rStyle w:val="AERtextitalic"/>
        </w:rPr>
        <w:t>m</w:t>
      </w:r>
      <w:r w:rsidRPr="00373BE8">
        <w:t xml:space="preserve"> investors not only contradicts the starting point of the CAPM but also does not accord with the reality that foreign investors are present in and influence the pricing of assets in the domestic market. This notion of (complete) segmentation – that only domestic assets are held by domestic investors – is an assumption of Lally but is not an assumption of the CAPM.</w:t>
      </w:r>
    </w:p>
    <w:p w:rsidR="00C52695" w:rsidRPr="00373BE8" w:rsidRDefault="00C52695" w:rsidP="00C52695">
      <w:pPr>
        <w:numPr>
          <w:ilvl w:val="0"/>
          <w:numId w:val="24"/>
        </w:numPr>
      </w:pPr>
      <w:r w:rsidRPr="00373BE8">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sidRPr="00373BE8">
        <w:rPr>
          <w:rStyle w:val="FootnoteReference"/>
        </w:rPr>
        <w:footnoteReference w:id="824"/>
      </w:r>
    </w:p>
    <w:p w:rsidR="00C52695" w:rsidRDefault="00C52695" w:rsidP="00C52695">
      <w:r w:rsidRPr="00373BE8">
        <w:t>Gray (for SFG) also raised concerns with the approach, and a number of these have been responded to by Lally.</w:t>
      </w:r>
      <w:r w:rsidRPr="00373BE8">
        <w:rPr>
          <w:rStyle w:val="FootnoteReference"/>
        </w:rPr>
        <w:footnoteReference w:id="825"/>
      </w:r>
    </w:p>
    <w:p w:rsidR="00C52695" w:rsidRPr="00373BE8" w:rsidRDefault="00C52695" w:rsidP="00C52695"/>
    <w:p w:rsidR="000B321F" w:rsidRDefault="000B321F" w:rsidP="00C52695">
      <w:pPr>
        <w:rPr>
          <w:rStyle w:val="AERbody"/>
        </w:rPr>
      </w:pPr>
    </w:p>
    <w:sectPr w:rsidR="000B321F"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F98" w:rsidRPr="00290C63" w:rsidRDefault="00021F98" w:rsidP="00290C63">
      <w:r>
        <w:separator/>
      </w:r>
    </w:p>
    <w:p w:rsidR="00021F98" w:rsidRDefault="00021F98"/>
  </w:endnote>
  <w:endnote w:type="continuationSeparator" w:id="0">
    <w:p w:rsidR="00021F98" w:rsidRPr="00290C63" w:rsidRDefault="00021F98" w:rsidP="00290C63">
      <w:r>
        <w:continuationSeparator/>
      </w:r>
    </w:p>
    <w:p w:rsidR="00021F98" w:rsidRDefault="00021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98" w:rsidRPr="00290C63" w:rsidRDefault="00021F9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21F98" w:rsidRDefault="00021F98"/>
  <w:p w:rsidR="00021F98" w:rsidRDefault="00021F98"/>
  <w:p w:rsidR="00021F98" w:rsidRDefault="00021F98"/>
  <w:p w:rsidR="00021F98" w:rsidRDefault="00021F98"/>
  <w:p w:rsidR="00021F98" w:rsidRDefault="00021F98"/>
  <w:p w:rsidR="00021F98" w:rsidRDefault="00021F98"/>
  <w:p w:rsidR="00021F98" w:rsidRDefault="00021F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487441"/>
      <w:docPartObj>
        <w:docPartGallery w:val="Page Numbers (Bottom of Page)"/>
        <w:docPartUnique/>
      </w:docPartObj>
    </w:sdtPr>
    <w:sdtEndPr/>
    <w:sdtContent>
      <w:p w:rsidR="00021F98" w:rsidRPr="00022C1D" w:rsidRDefault="00021F98" w:rsidP="00022C1D">
        <w:pPr>
          <w:pStyle w:val="Footer"/>
        </w:pPr>
        <w:r w:rsidRPr="00D81354">
          <w:fldChar w:fldCharType="begin"/>
        </w:r>
        <w:r w:rsidRPr="00022C1D">
          <w:instrText xml:space="preserve"> PAGE   \* MERGEFORMAT </w:instrText>
        </w:r>
        <w:r w:rsidRPr="00D81354">
          <w:fldChar w:fldCharType="separate"/>
        </w:r>
        <w:r w:rsidR="005A7817">
          <w:rPr>
            <w:noProof/>
          </w:rPr>
          <w:t>4-2</w:t>
        </w:r>
        <w:r w:rsidRPr="00D81354">
          <w:fldChar w:fldCharType="end"/>
        </w:r>
        <w:r w:rsidRPr="00D81354">
          <w:t xml:space="preserve">          Attachment 4 – Value of imputation credits | </w:t>
        </w:r>
        <w:r w:rsidRPr="00022C1D">
          <w:t>Final</w:t>
        </w:r>
        <w:r w:rsidRPr="00D81354">
          <w:t xml:space="preserve"> decision: AusNet Ser</w:t>
        </w:r>
        <w:r w:rsidRPr="00022C1D">
          <w:t>v</w:t>
        </w:r>
        <w:r w:rsidRPr="00D81354">
          <w:t>ices transmission determination 2017–22</w:t>
        </w:r>
      </w:p>
    </w:sdtContent>
  </w:sdt>
  <w:p w:rsidR="00021F98" w:rsidRDefault="00021F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98" w:rsidRPr="00290C63" w:rsidRDefault="00021F9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21F98" w:rsidRDefault="00021F98">
    <w:pPr>
      <w:pStyle w:val="Footer"/>
    </w:pPr>
  </w:p>
  <w:p w:rsidR="00021F98" w:rsidRDefault="00021F98"/>
  <w:p w:rsidR="00021F98" w:rsidRDefault="00021F98"/>
  <w:p w:rsidR="00021F98" w:rsidRDefault="00021F98"/>
  <w:p w:rsidR="00021F98" w:rsidRDefault="00021F98"/>
  <w:p w:rsidR="00021F98" w:rsidRDefault="00021F98"/>
  <w:p w:rsidR="00021F98" w:rsidRDefault="00021F98"/>
  <w:p w:rsidR="00021F98" w:rsidRDefault="00021F9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686420"/>
      <w:docPartObj>
        <w:docPartGallery w:val="Page Numbers (Bottom of Page)"/>
        <w:docPartUnique/>
      </w:docPartObj>
    </w:sdtPr>
    <w:sdtEndPr/>
    <w:sdtContent>
      <w:p w:rsidR="00021F98" w:rsidRPr="00824CC8" w:rsidRDefault="00021F98" w:rsidP="006425B8">
        <w:pPr>
          <w:pStyle w:val="Footer"/>
        </w:pPr>
        <w:r w:rsidRPr="00824CC8">
          <w:fldChar w:fldCharType="begin"/>
        </w:r>
        <w:r w:rsidRPr="00824CC8">
          <w:instrText xml:space="preserve"> PAGE   \* MERGEFORMAT </w:instrText>
        </w:r>
        <w:r w:rsidRPr="00824CC8">
          <w:fldChar w:fldCharType="separate"/>
        </w:r>
        <w:r>
          <w:rPr>
            <w:noProof/>
          </w:rPr>
          <w:t>4-186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98" w:rsidRPr="00C86DFC" w:rsidRDefault="00021F98" w:rsidP="006425B8">
    <w:pPr>
      <w:pStyle w:val="Footer"/>
    </w:pPr>
    <w:r w:rsidRPr="00C97C1E">
      <w:fldChar w:fldCharType="begin"/>
    </w:r>
    <w:r w:rsidRPr="00C97C1E">
      <w:instrText xml:space="preserve"> PAGE   \* MERGEFORMAT </w:instrText>
    </w:r>
    <w:r w:rsidRPr="00C97C1E">
      <w:fldChar w:fldCharType="separate"/>
    </w:r>
    <w:r w:rsidR="005E2A05">
      <w:rPr>
        <w:noProof/>
      </w:rPr>
      <w:t>4-5</w:t>
    </w:r>
    <w:r w:rsidRPr="00C97C1E">
      <w:fldChar w:fldCharType="end"/>
    </w:r>
    <w:r w:rsidRPr="00C86DFC">
      <w:t xml:space="preserve">          </w:t>
    </w:r>
    <w:r w:rsidRPr="0052479E">
      <w:t xml:space="preserve">Attachment 4 – Value of imputation credits | </w:t>
    </w:r>
    <w:r w:rsidRPr="00022C1D">
      <w:t>Final</w:t>
    </w:r>
    <w:r w:rsidRPr="0052479E">
      <w:t xml:space="preserve"> decision: AusNet Ser</w:t>
    </w:r>
    <w:r w:rsidRPr="00022C1D">
      <w:t>v</w:t>
    </w:r>
    <w:r w:rsidRPr="0052479E">
      <w:t>ices transmission determination 2017–22</w:t>
    </w:r>
    <w:r w:rsidDel="00997BDC">
      <w:t xml:space="preserve"> </w:t>
    </w:r>
  </w:p>
  <w:p w:rsidR="00021F98" w:rsidRPr="00C86DFC" w:rsidRDefault="00021F98" w:rsidP="006425B8">
    <w:pPr>
      <w:pStyle w:val="Footer"/>
    </w:pPr>
  </w:p>
  <w:p w:rsidR="00021F98" w:rsidRPr="00C97C1E" w:rsidRDefault="00021F98" w:rsidP="006425B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296171"/>
      <w:docPartObj>
        <w:docPartGallery w:val="Page Numbers (Bottom of Page)"/>
        <w:docPartUnique/>
      </w:docPartObj>
    </w:sdtPr>
    <w:sdtEndPr/>
    <w:sdtContent>
      <w:p w:rsidR="00021F98" w:rsidRPr="00824CC8" w:rsidRDefault="00021F98" w:rsidP="006425B8">
        <w:pPr>
          <w:pStyle w:val="Footer"/>
        </w:pPr>
        <w:r w:rsidRPr="00824CC8">
          <w:fldChar w:fldCharType="begin"/>
        </w:r>
        <w:r w:rsidRPr="00824CC8">
          <w:instrText xml:space="preserve"> PAGE   \* MERGEFORMAT </w:instrText>
        </w:r>
        <w:r w:rsidRPr="00824CC8">
          <w:fldChar w:fldCharType="separate"/>
        </w:r>
        <w:r>
          <w:rPr>
            <w:noProof/>
          </w:rPr>
          <w:t>4-186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98" w:rsidRPr="00C86DFC" w:rsidRDefault="00021F98" w:rsidP="006425B8">
    <w:pPr>
      <w:pStyle w:val="Footer"/>
    </w:pPr>
    <w:r w:rsidRPr="00C97C1E">
      <w:fldChar w:fldCharType="begin"/>
    </w:r>
    <w:r w:rsidRPr="00C97C1E">
      <w:instrText xml:space="preserve"> PAGE   \* MERGEFORMAT </w:instrText>
    </w:r>
    <w:r w:rsidRPr="00C97C1E">
      <w:fldChar w:fldCharType="separate"/>
    </w:r>
    <w:r w:rsidR="005E2A05">
      <w:rPr>
        <w:noProof/>
      </w:rPr>
      <w:t>4-94</w:t>
    </w:r>
    <w:r w:rsidRPr="00C97C1E">
      <w:fldChar w:fldCharType="end"/>
    </w:r>
    <w:r w:rsidRPr="00C86DFC">
      <w:t xml:space="preserve">          </w:t>
    </w:r>
    <w:r w:rsidRPr="0052479E">
      <w:t xml:space="preserve">Attachment 4 – Value of imputation credits | </w:t>
    </w:r>
    <w:r w:rsidRPr="00022C1D">
      <w:t>Final</w:t>
    </w:r>
    <w:r w:rsidRPr="0052479E">
      <w:t xml:space="preserve"> decision: AusNet Ser</w:t>
    </w:r>
    <w:r w:rsidRPr="00022C1D">
      <w:t>v</w:t>
    </w:r>
    <w:r w:rsidRPr="0052479E">
      <w:t>ices transmission determination 2017–22</w:t>
    </w:r>
  </w:p>
  <w:p w:rsidR="00021F98" w:rsidRPr="00C86DFC" w:rsidRDefault="00021F98" w:rsidP="006425B8">
    <w:pPr>
      <w:pStyle w:val="Footer"/>
    </w:pPr>
  </w:p>
  <w:p w:rsidR="00021F98" w:rsidRPr="00C97C1E" w:rsidRDefault="00021F98" w:rsidP="00642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F98" w:rsidRPr="00290C63" w:rsidRDefault="00021F98" w:rsidP="00290C63">
      <w:r>
        <w:separator/>
      </w:r>
    </w:p>
    <w:p w:rsidR="00021F98" w:rsidRDefault="00021F98"/>
  </w:footnote>
  <w:footnote w:type="continuationSeparator" w:id="0">
    <w:p w:rsidR="00021F98" w:rsidRPr="00290C63" w:rsidRDefault="00021F98" w:rsidP="00290C63">
      <w:r>
        <w:continuationSeparator/>
      </w:r>
    </w:p>
    <w:p w:rsidR="00021F98" w:rsidRDefault="00021F98"/>
  </w:footnote>
  <w:footnote w:id="1">
    <w:p w:rsidR="00021F98" w:rsidRDefault="00021F98" w:rsidP="00437CA2">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021F98" w:rsidRDefault="00021F98" w:rsidP="00437CA2">
      <w:pPr>
        <w:pStyle w:val="FootnoteText"/>
      </w:pPr>
      <w:r>
        <w:rPr>
          <w:rStyle w:val="FootnoteReference"/>
        </w:rPr>
        <w:footnoteRef/>
      </w:r>
      <w:r>
        <w:t xml:space="preserve"> </w:t>
      </w:r>
      <w:r>
        <w:tab/>
        <w:t>While the return on equity is not reduced to take into account the value of imputation credits, we note our estimate of the market risk premium (MRP) does consider the value we use for imputation credits to ensure it reflects the value to investors in the domestic Australian market inclusive of credits.</w:t>
      </w:r>
    </w:p>
  </w:footnote>
  <w:footnote w:id="3">
    <w:p w:rsidR="00021F98" w:rsidRDefault="00021F98" w:rsidP="00437CA2">
      <w:pPr>
        <w:pStyle w:val="FootnoteText"/>
      </w:pPr>
      <w:r>
        <w:rPr>
          <w:rStyle w:val="FootnoteReference"/>
        </w:rPr>
        <w:footnoteRef/>
      </w:r>
      <w:r>
        <w:t xml:space="preserve"> </w:t>
      </w:r>
      <w:r>
        <w:tab/>
        <w:t>NER, cll. 6.4.3(a)(4), 6.4.3(b)(4), 6.5.3, 6A.5.4(a)(4), 6A.5.4(b)(4), 6A.6.4; NGR, rr. 76(c), 87A.</w:t>
      </w:r>
    </w:p>
  </w:footnote>
  <w:footnote w:id="4">
    <w:p w:rsidR="00021F98" w:rsidRDefault="00021F98" w:rsidP="00437CA2">
      <w:pPr>
        <w:pStyle w:val="FootnoteText"/>
      </w:pPr>
      <w:r>
        <w:rPr>
          <w:rStyle w:val="FootnoteReference"/>
        </w:rPr>
        <w:footnoteRef/>
      </w:r>
      <w:r>
        <w:t xml:space="preserve"> </w:t>
      </w:r>
      <w:r>
        <w:tab/>
        <w:t xml:space="preserve">See section </w:t>
      </w:r>
      <w:r>
        <w:fldChar w:fldCharType="begin"/>
      </w:r>
      <w:r>
        <w:instrText xml:space="preserve"> REF _Ref414621676 \r \h </w:instrText>
      </w:r>
      <w:r>
        <w:fldChar w:fldCharType="separate"/>
      </w:r>
      <w:r>
        <w:t>A.1</w:t>
      </w:r>
      <w:r>
        <w:fldChar w:fldCharType="end"/>
      </w:r>
      <w:r>
        <w:t xml:space="preserve"> of appendix A.</w:t>
      </w:r>
    </w:p>
  </w:footnote>
  <w:footnote w:id="5">
    <w:p w:rsidR="00021F98" w:rsidRDefault="00021F98" w:rsidP="00437CA2">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6">
    <w:p w:rsidR="00021F98" w:rsidRDefault="00021F98" w:rsidP="00437CA2">
      <w:pPr>
        <w:pStyle w:val="FootnoteText"/>
      </w:pPr>
      <w:r>
        <w:rPr>
          <w:rStyle w:val="FootnoteReference"/>
        </w:rPr>
        <w:footnoteRef/>
      </w:r>
      <w:r>
        <w:t xml:space="preserve"> </w:t>
      </w:r>
      <w:r>
        <w:tab/>
        <w:t xml:space="preserve">The Officer framework is discussed in detail in section </w:t>
      </w:r>
      <w:r>
        <w:fldChar w:fldCharType="begin"/>
      </w:r>
      <w:r>
        <w:instrText xml:space="preserve"> REF _Ref400965182 \r \h </w:instrText>
      </w:r>
      <w:r>
        <w:fldChar w:fldCharType="separate"/>
      </w:r>
      <w:r>
        <w:t>A.6</w:t>
      </w:r>
      <w:r>
        <w:fldChar w:fldCharType="end"/>
      </w:r>
      <w:r>
        <w:t>.</w:t>
      </w:r>
    </w:p>
  </w:footnote>
  <w:footnote w:id="7">
    <w:p w:rsidR="00021F98" w:rsidRDefault="00021F98" w:rsidP="00437CA2">
      <w:pPr>
        <w:pStyle w:val="FootnoteText"/>
      </w:pPr>
      <w:r>
        <w:rPr>
          <w:rStyle w:val="FootnoteReference"/>
        </w:rPr>
        <w:footnoteRef/>
      </w:r>
      <w:r>
        <w:t xml:space="preserve"> </w:t>
      </w:r>
      <w:r>
        <w:tab/>
        <w:t>Post-tax refers to after company tax and before personal tax.</w:t>
      </w:r>
    </w:p>
  </w:footnote>
  <w:footnote w:id="8">
    <w:p w:rsidR="00021F98" w:rsidRDefault="00021F98" w:rsidP="00437CA2">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9">
    <w:p w:rsidR="00021F98" w:rsidRDefault="00021F98" w:rsidP="00437CA2">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r w:rsidRPr="005A04E5">
        <w:t>Peirson, Brown, Easton, Howard</w:t>
      </w:r>
      <w:r>
        <w:t>,</w:t>
      </w:r>
      <w:r w:rsidRPr="005A04E5">
        <w:t xml:space="preserve"> Pinder, </w:t>
      </w:r>
      <w:r w:rsidRPr="0069770C">
        <w:rPr>
          <w:rStyle w:val="AERtextitalic"/>
        </w:rPr>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p>
  </w:footnote>
  <w:footnote w:id="10">
    <w:p w:rsidR="00021F98" w:rsidRDefault="00021F98" w:rsidP="00437CA2">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_Ref476648777 \r \h </w:instrText>
      </w:r>
      <w:r>
        <w:fldChar w:fldCharType="separate"/>
      </w:r>
      <w:r>
        <w:t>4.4</w:t>
      </w:r>
      <w:r>
        <w:fldChar w:fldCharType="end"/>
      </w:r>
      <w:r>
        <w:t>.</w:t>
      </w:r>
    </w:p>
  </w:footnote>
  <w:footnote w:id="11">
    <w:p w:rsidR="00021F98" w:rsidRDefault="00021F98" w:rsidP="00437CA2">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2">
    <w:p w:rsidR="00021F98" w:rsidRDefault="00021F98">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w:t>
      </w:r>
    </w:p>
  </w:footnote>
  <w:footnote w:id="13">
    <w:p w:rsidR="00021F98" w:rsidRDefault="00021F98">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28 October 2016.</w:t>
      </w:r>
    </w:p>
  </w:footnote>
  <w:footnote w:id="14">
    <w:p w:rsidR="00021F98" w:rsidRDefault="00021F98" w:rsidP="00E26B5E">
      <w:pPr>
        <w:pStyle w:val="FootnoteText"/>
      </w:pPr>
      <w:r>
        <w:rPr>
          <w:rStyle w:val="FootnoteReference"/>
        </w:rPr>
        <w:footnoteRef/>
      </w:r>
      <w:r>
        <w:t xml:space="preserve"> </w:t>
      </w:r>
      <w:r>
        <w:tab/>
      </w:r>
      <w:r w:rsidRPr="009A6FC1">
        <w:t xml:space="preserve">Lally, </w:t>
      </w:r>
      <w:r w:rsidRPr="00CD376D">
        <w:rPr>
          <w:rStyle w:val="AERtextitalic"/>
        </w:rPr>
        <w:t>Gamma and the ACT Decision</w:t>
      </w:r>
      <w:r w:rsidRPr="009A6FC1">
        <w:t>, May 2016, pp. 18–20</w:t>
      </w:r>
      <w:r>
        <w:t xml:space="preserve">; Lally, </w:t>
      </w:r>
      <w:r w:rsidRPr="004744FB">
        <w:rPr>
          <w:rStyle w:val="AERtextitalic"/>
        </w:rPr>
        <w:t>Issues in the estimation of gamma</w:t>
      </w:r>
      <w:r>
        <w:t>, March 2017</w:t>
      </w:r>
      <w:r w:rsidRPr="00F5204A">
        <w:rPr>
          <w:rStyle w:val="AERtextitalic"/>
          <w:i w:val="0"/>
        </w:rPr>
        <w:t>, p. 13.</w:t>
      </w:r>
    </w:p>
  </w:footnote>
  <w:footnote w:id="15">
    <w:p w:rsidR="00021F98" w:rsidRDefault="00021F98" w:rsidP="001E6A60">
      <w:pPr>
        <w:pStyle w:val="FootnoteText"/>
      </w:pPr>
      <w:r>
        <w:rPr>
          <w:rStyle w:val="FootnoteReference"/>
        </w:rPr>
        <w:footnoteRef/>
      </w:r>
      <w:r>
        <w:t xml:space="preserve"> </w:t>
      </w:r>
      <w:r>
        <w:tab/>
      </w:r>
      <w:r w:rsidRPr="009A6FC1">
        <w:t xml:space="preserve">Australian Competition Tribunal, </w:t>
      </w:r>
      <w:r w:rsidRPr="00F143A3">
        <w:rPr>
          <w:rStyle w:val="AERtextitalic"/>
        </w:rPr>
        <w:t>Application by Public Interest Advocacy Centre Ltd and Ausgrid [2016] ACompT 1</w:t>
      </w:r>
      <w:r w:rsidRPr="009A6FC1">
        <w:t>, 26 February 2016, paras. 1048, 1090 and 1095.</w:t>
      </w:r>
    </w:p>
  </w:footnote>
  <w:footnote w:id="16">
    <w:p w:rsidR="00021F98" w:rsidRDefault="00021F98" w:rsidP="00493F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193</w:t>
      </w:r>
      <w:r w:rsidRPr="008F5D24">
        <w:t>.</w:t>
      </w:r>
    </w:p>
  </w:footnote>
  <w:footnote w:id="17">
    <w:p w:rsidR="00021F98" w:rsidRDefault="00021F98" w:rsidP="00E26B5E">
      <w:pPr>
        <w:pStyle w:val="FootnoteText"/>
      </w:pPr>
      <w:r>
        <w:rPr>
          <w:rStyle w:val="FootnoteReference"/>
        </w:rPr>
        <w:footnoteRef/>
      </w:r>
      <w:r>
        <w:t xml:space="preserve"> </w:t>
      </w:r>
      <w:r>
        <w:tab/>
      </w:r>
      <w:r w:rsidRPr="009A6FC1">
        <w:t xml:space="preserve">Lally, </w:t>
      </w:r>
      <w:r w:rsidRPr="00E750F8">
        <w:rPr>
          <w:rStyle w:val="AERtextitalic"/>
        </w:rPr>
        <w:t>Gamma and the ACT Decision</w:t>
      </w:r>
      <w:r>
        <w:t xml:space="preserve">, May 2016, p. 20; Lally, </w:t>
      </w:r>
      <w:r w:rsidRPr="004744FB">
        <w:rPr>
          <w:rStyle w:val="AERtextitalic"/>
        </w:rPr>
        <w:t>Issues in the estimation of gamma</w:t>
      </w:r>
      <w:r>
        <w:t>, March 2017</w:t>
      </w:r>
      <w:r w:rsidRPr="00E26B5E">
        <w:rPr>
          <w:rStyle w:val="AERtextitalic"/>
        </w:rPr>
        <w:t xml:space="preserve">, </w:t>
      </w:r>
      <w:r w:rsidRPr="00F5204A">
        <w:rPr>
          <w:rStyle w:val="AERtextitalic"/>
          <w:i w:val="0"/>
        </w:rPr>
        <w:t>p. 13.</w:t>
      </w:r>
    </w:p>
  </w:footnote>
  <w:footnote w:id="18">
    <w:p w:rsidR="00021F98" w:rsidRDefault="00021F98" w:rsidP="00E26B5E">
      <w:pPr>
        <w:pStyle w:val="FootnoteText"/>
      </w:pPr>
      <w:r>
        <w:rPr>
          <w:rStyle w:val="FootnoteReference"/>
        </w:rPr>
        <w:footnoteRef/>
      </w:r>
      <w:r>
        <w:t xml:space="preserve"> </w:t>
      </w:r>
      <w:r>
        <w:tab/>
      </w:r>
      <w:r w:rsidRPr="009A6FC1">
        <w:t xml:space="preserve">Lally, </w:t>
      </w:r>
      <w:r w:rsidRPr="00CD376D">
        <w:rPr>
          <w:rStyle w:val="AERtextitalic"/>
        </w:rPr>
        <w:t>Gamma and the ACT Decision</w:t>
      </w:r>
      <w:r w:rsidRPr="009A6FC1">
        <w:t>, May 2016, p. 22</w:t>
      </w:r>
      <w:r>
        <w:t xml:space="preserve">; Lally, </w:t>
      </w:r>
      <w:r w:rsidRPr="004744FB">
        <w:rPr>
          <w:rStyle w:val="AERtextitalic"/>
        </w:rPr>
        <w:t>Issues in the estimation of gamma</w:t>
      </w:r>
      <w:r>
        <w:t>, March 2017</w:t>
      </w:r>
      <w:r w:rsidRPr="00E26B5E">
        <w:rPr>
          <w:rStyle w:val="AERtextitalic"/>
        </w:rPr>
        <w:t>,</w:t>
      </w:r>
      <w:r w:rsidRPr="00F5204A">
        <w:rPr>
          <w:rStyle w:val="AERtextitalic"/>
          <w:i w:val="0"/>
        </w:rPr>
        <w:t xml:space="preserve"> p. 24.</w:t>
      </w:r>
    </w:p>
  </w:footnote>
  <w:footnote w:id="19">
    <w:p w:rsidR="00021F98" w:rsidRDefault="00021F98" w:rsidP="001E6A60">
      <w:pPr>
        <w:pStyle w:val="FootnoteText"/>
      </w:pPr>
      <w:r>
        <w:rPr>
          <w:rStyle w:val="FootnoteReference"/>
        </w:rPr>
        <w:footnoteRef/>
      </w:r>
      <w:r>
        <w:t xml:space="preserve"> </w:t>
      </w:r>
      <w:r>
        <w:tab/>
        <w:t xml:space="preserve">See M </w:t>
      </w:r>
      <w:r w:rsidRPr="001B2D3D">
        <w:t xml:space="preserve">Lally, </w:t>
      </w:r>
      <w:r w:rsidRPr="005764F6">
        <w:rPr>
          <w:rStyle w:val="AERtextitalic"/>
        </w:rPr>
        <w:t>Gamma and the ACT Decision</w:t>
      </w:r>
      <w:r>
        <w:t>, May 2016, pp. 24–26</w:t>
      </w:r>
      <w:r w:rsidRPr="001B2D3D">
        <w:t>.</w:t>
      </w:r>
    </w:p>
  </w:footnote>
  <w:footnote w:id="20">
    <w:p w:rsidR="00021F98" w:rsidRPr="00EA3C68" w:rsidRDefault="00021F98" w:rsidP="001E6A6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E71C3">
        <w:rPr>
          <w:rStyle w:val="AERtextitalic"/>
          <w:i w:val="0"/>
        </w:rPr>
        <w:t>, p. 13.</w:t>
      </w:r>
    </w:p>
  </w:footnote>
  <w:footnote w:id="21">
    <w:p w:rsidR="00021F98" w:rsidRDefault="00021F98" w:rsidP="001E6A60">
      <w:pPr>
        <w:pStyle w:val="FootnoteText"/>
      </w:pPr>
      <w:r>
        <w:rPr>
          <w:rStyle w:val="FootnoteReference"/>
        </w:rPr>
        <w:footnoteRef/>
      </w:r>
      <w:r>
        <w:t xml:space="preserve"> </w:t>
      </w:r>
      <w:r>
        <w:tab/>
      </w:r>
      <w:r w:rsidRPr="00E0166D">
        <w:t xml:space="preserve">Lally, </w:t>
      </w:r>
      <w:r w:rsidRPr="00886601">
        <w:rPr>
          <w:rStyle w:val="AERtextitalic"/>
        </w:rPr>
        <w:t>Gamma and the ACT Decision</w:t>
      </w:r>
      <w:r>
        <w:t>, May 2016, p. 4–6</w:t>
      </w:r>
      <w:r w:rsidRPr="00E0166D">
        <w:t>.</w:t>
      </w:r>
    </w:p>
  </w:footnote>
  <w:footnote w:id="22">
    <w:p w:rsidR="00021F98" w:rsidRDefault="00021F98" w:rsidP="001E6A60">
      <w:pPr>
        <w:pStyle w:val="FootnoteText"/>
      </w:pPr>
      <w:r>
        <w:rPr>
          <w:rStyle w:val="FootnoteReference"/>
        </w:rPr>
        <w:footnoteRef/>
      </w:r>
      <w:r>
        <w:t xml:space="preserve"> </w:t>
      </w:r>
      <w:r>
        <w:tab/>
      </w:r>
      <w:r w:rsidRPr="00F14413">
        <w:t xml:space="preserve">Lally, </w:t>
      </w:r>
      <w:r w:rsidRPr="005764F6">
        <w:rPr>
          <w:rStyle w:val="AERtextitalic"/>
        </w:rPr>
        <w:t>Gamma and the ACT Decision</w:t>
      </w:r>
      <w:r w:rsidRPr="00F14413">
        <w:t>, May 2016, p</w:t>
      </w:r>
      <w:r>
        <w:t>p. 3–6</w:t>
      </w:r>
      <w:r w:rsidRPr="00F14413">
        <w:t>.</w:t>
      </w:r>
    </w:p>
  </w:footnote>
  <w:footnote w:id="23">
    <w:p w:rsidR="00021F98" w:rsidRDefault="00021F98"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 20.</w:t>
      </w:r>
    </w:p>
  </w:footnote>
  <w:footnote w:id="24">
    <w:p w:rsidR="00021F98" w:rsidRDefault="00021F98">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12-15.</w:t>
      </w:r>
    </w:p>
  </w:footnote>
  <w:footnote w:id="25">
    <w:p w:rsidR="00021F98" w:rsidRDefault="00021F98"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19, 30.</w:t>
      </w:r>
    </w:p>
  </w:footnote>
  <w:footnote w:id="26">
    <w:p w:rsidR="00021F98" w:rsidRDefault="00021F98"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xml:space="preserve">, May 2016, p. 20. </w:t>
      </w:r>
      <w:r w:rsidRPr="00583683">
        <w:t>We note Lally considered the 0.45 from our previous decisions in his report. However, his analysis would hold with respect to our updated estimate from taxations statistics of 0.48.</w:t>
      </w:r>
    </w:p>
  </w:footnote>
  <w:footnote w:id="27">
    <w:p w:rsidR="00021F98" w:rsidRDefault="00021F98" w:rsidP="00437CA2">
      <w:pPr>
        <w:pStyle w:val="FootnoteText"/>
      </w:pPr>
      <w:r>
        <w:rPr>
          <w:rStyle w:val="FootnoteReference"/>
        </w:rPr>
        <w:footnoteRef/>
      </w:r>
      <w:r>
        <w:t xml:space="preserve"> </w:t>
      </w:r>
      <w:r>
        <w:tab/>
        <w:t xml:space="preserve">This relies on cumulative distribution rate based on FAB data being used which matches to the 0.48 tax statistic. </w:t>
      </w:r>
    </w:p>
  </w:footnote>
  <w:footnote w:id="28">
    <w:p w:rsidR="00021F98" w:rsidRDefault="00021F98" w:rsidP="00CD04C8">
      <w:pPr>
        <w:pStyle w:val="FootnoteText"/>
      </w:pPr>
      <w:r>
        <w:rPr>
          <w:rStyle w:val="FootnoteReference"/>
        </w:rPr>
        <w:footnoteRef/>
      </w:r>
      <w:r>
        <w:t xml:space="preserve"> </w:t>
      </w:r>
      <w:r>
        <w:tab/>
        <w:t>This utilisation rate is for all equity, as tax statistics do not provide data on the listed equity utilisation. For the purpose of the calculation of the listed equity value of imputation credits, this utilisation rate has been combined with the listed equity distribution rate.</w:t>
      </w:r>
    </w:p>
  </w:footnote>
  <w:footnote w:id="29">
    <w:p w:rsidR="00021F98" w:rsidRDefault="00021F98" w:rsidP="00437CA2">
      <w:pPr>
        <w:pStyle w:val="FootnoteText"/>
      </w:pPr>
      <w:r>
        <w:rPr>
          <w:rStyle w:val="FootnoteReference"/>
        </w:rPr>
        <w:footnoteRef/>
      </w:r>
      <w:r>
        <w:t xml:space="preserve"> </w:t>
      </w:r>
      <w:r>
        <w:tab/>
        <w:t>This relies on cumulative distribution rate based on FAB data being used which matches to the 0.48 tax statistic.</w:t>
      </w:r>
    </w:p>
  </w:footnote>
  <w:footnote w:id="30">
    <w:p w:rsidR="00021F98" w:rsidRDefault="00021F98">
      <w:pPr>
        <w:pStyle w:val="FootnoteText"/>
      </w:pPr>
      <w:r>
        <w:rPr>
          <w:rStyle w:val="FootnoteReference"/>
        </w:rPr>
        <w:footnoteRef/>
      </w:r>
      <w:r>
        <w:t xml:space="preserve"> </w:t>
      </w:r>
      <w:r>
        <w:tab/>
        <w:t xml:space="preserve">Depending on whether dividend data or FAB data is used, tax statistics can provide a different utilisation rate. See: </w:t>
      </w:r>
      <w:r w:rsidRPr="005764F6">
        <w:t xml:space="preserve">Lally, </w:t>
      </w:r>
      <w:r w:rsidRPr="00583683">
        <w:rPr>
          <w:rStyle w:val="AERtextitalic"/>
        </w:rPr>
        <w:t>Gamma and the ACT Decision</w:t>
      </w:r>
      <w:r>
        <w:t>, May 2016, p</w:t>
      </w:r>
      <w:r w:rsidRPr="005764F6">
        <w:t>. </w:t>
      </w:r>
      <w:r>
        <w:t>20</w:t>
      </w:r>
      <w:r w:rsidRPr="005764F6">
        <w:t>.</w:t>
      </w:r>
    </w:p>
  </w:footnote>
  <w:footnote w:id="31">
    <w:p w:rsidR="00021F98" w:rsidRDefault="00021F98" w:rsidP="00437CA2">
      <w:pPr>
        <w:pStyle w:val="FootnoteText"/>
      </w:pPr>
      <w:r>
        <w:rPr>
          <w:rStyle w:val="FootnoteReference"/>
        </w:rPr>
        <w:footnoteRef/>
      </w:r>
      <w:r>
        <w:t xml:space="preserve"> </w:t>
      </w:r>
      <w:r>
        <w:tab/>
        <w:t>This relies on the distribution rate of the top 20 firms. Lally considers that financial statements are more reliable to estimate the distribution rate that ATO data.</w:t>
      </w:r>
    </w:p>
  </w:footnote>
  <w:footnote w:id="32">
    <w:p w:rsidR="00021F98" w:rsidRDefault="00021F98" w:rsidP="00437CA2">
      <w:pPr>
        <w:pStyle w:val="FootnoteText"/>
      </w:pPr>
      <w:r>
        <w:rPr>
          <w:rStyle w:val="FootnoteReference"/>
        </w:rPr>
        <w:footnoteRef/>
      </w:r>
      <w:r>
        <w:t xml:space="preserve"> </w:t>
      </w:r>
      <w:r>
        <w:tab/>
        <w:t>We note even if the FAB data is reliable and therefore we can use an estimate a of the  utilisation rate of around 0.48 (with uncertainty around it), the 0.48 point estimate still gives an estimate of 0.4 when combined with Lally preferred estimate of the distribution rate for the efficient benchmark entity of 0.83.</w:t>
      </w:r>
    </w:p>
  </w:footnote>
  <w:footnote w:id="33">
    <w:p w:rsidR="00021F98" w:rsidRDefault="00021F98" w:rsidP="00437CA2">
      <w:pPr>
        <w:pStyle w:val="FootnoteText"/>
      </w:pPr>
      <w:r>
        <w:rPr>
          <w:rStyle w:val="FootnoteReference"/>
        </w:rPr>
        <w:footnoteRef/>
      </w:r>
      <w:r>
        <w:t xml:space="preserve"> </w:t>
      </w:r>
      <w:r>
        <w:tab/>
      </w:r>
      <w:r w:rsidRPr="004E65F8">
        <w:t xml:space="preserve">N. Hathaway, </w:t>
      </w:r>
      <w:r w:rsidRPr="00452E57">
        <w:rPr>
          <w:rStyle w:val="AERtextitalic"/>
        </w:rPr>
        <w:t>Imputation credit redemption ATO data 1988–2011: Where have all the credits gone?,</w:t>
      </w:r>
      <w:r w:rsidRPr="004E65F8">
        <w:t xml:space="preserve"> September 2013</w:t>
      </w:r>
      <w:r>
        <w:t>.</w:t>
      </w:r>
    </w:p>
  </w:footnote>
  <w:footnote w:id="34">
    <w:p w:rsidR="00021F98" w:rsidRPr="00AB0B17" w:rsidRDefault="00021F98" w:rsidP="00437CA2">
      <w:pPr>
        <w:pStyle w:val="FootnoteText"/>
      </w:pPr>
      <w:r>
        <w:rPr>
          <w:rStyle w:val="FootnoteReference"/>
        </w:rPr>
        <w:footnoteRef/>
      </w:r>
      <w:r>
        <w:t xml:space="preserve"> </w:t>
      </w:r>
      <w:r>
        <w:tab/>
      </w:r>
      <w:r w:rsidRPr="004E65F8">
        <w:t xml:space="preserve">N. Hathaway, </w:t>
      </w:r>
      <w:r w:rsidRPr="00452E57">
        <w:rPr>
          <w:rStyle w:val="AERtextitalic"/>
        </w:rPr>
        <w:t>Imputation credit redemption ATO data 1988–2011: Where have all the credits gone?,</w:t>
      </w:r>
      <w:r w:rsidRPr="004E65F8">
        <w:t xml:space="preserve"> September 2013.</w:t>
      </w:r>
    </w:p>
  </w:footnote>
  <w:footnote w:id="35">
    <w:p w:rsidR="00021F98" w:rsidRDefault="00021F98"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May 2016, p. 29.</w:t>
      </w:r>
    </w:p>
  </w:footnote>
  <w:footnote w:id="36">
    <w:p w:rsidR="00021F98" w:rsidRDefault="00021F98"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May 2016, p. 26.</w:t>
      </w:r>
    </w:p>
  </w:footnote>
  <w:footnote w:id="37">
    <w:p w:rsidR="00021F98" w:rsidRDefault="00021F98" w:rsidP="00437CA2">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21 September 2016, p. 198.</w:t>
      </w:r>
    </w:p>
  </w:footnote>
  <w:footnote w:id="38">
    <w:p w:rsidR="00021F98" w:rsidRDefault="00021F98">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21 September 2016, p. 199.</w:t>
      </w:r>
    </w:p>
  </w:footnote>
  <w:footnote w:id="39">
    <w:p w:rsidR="00021F98" w:rsidRDefault="00021F98">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21 September 2016, p. 198.</w:t>
      </w:r>
    </w:p>
  </w:footnote>
  <w:footnote w:id="40">
    <w:p w:rsidR="00021F98" w:rsidRDefault="00021F98">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21 September 2016, p. 209.</w:t>
      </w:r>
    </w:p>
  </w:footnote>
  <w:footnote w:id="41">
    <w:p w:rsidR="00021F98" w:rsidRDefault="00021F98" w:rsidP="003979E9">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 201; Frontier Economics, </w:t>
      </w:r>
      <w:r>
        <w:rPr>
          <w:rStyle w:val="AERtextitalic"/>
        </w:rPr>
        <w:t>Regulatory An updated dividend drop-off estimate of theta</w:t>
      </w:r>
      <w:r>
        <w:t xml:space="preserve">, September 2016 and Frontier Economics, </w:t>
      </w:r>
      <w:r>
        <w:rPr>
          <w:rStyle w:val="AERtextitalic"/>
        </w:rPr>
        <w:t>Issues in the estimation of gamma</w:t>
      </w:r>
      <w:r>
        <w:t>, September 2016.</w:t>
      </w:r>
    </w:p>
  </w:footnote>
  <w:footnote w:id="42">
    <w:p w:rsidR="00021F98" w:rsidRDefault="00021F98">
      <w:pPr>
        <w:pStyle w:val="FootnoteText"/>
      </w:pPr>
      <w:r>
        <w:rPr>
          <w:rStyle w:val="FootnoteReference"/>
        </w:rPr>
        <w:footnoteRef/>
      </w:r>
      <w:r>
        <w:t xml:space="preserve"> </w:t>
      </w:r>
      <w:r>
        <w:tab/>
        <w:t xml:space="preserve">Frontier Economics, </w:t>
      </w:r>
      <w:r>
        <w:rPr>
          <w:rStyle w:val="AERtextitalic"/>
        </w:rPr>
        <w:t>Regulatory An updated dividend drop-off estimate of theta</w:t>
      </w:r>
      <w:r>
        <w:t xml:space="preserve">, September 2016 and Frontier Economics, </w:t>
      </w:r>
      <w:r>
        <w:rPr>
          <w:rStyle w:val="AERtextitalic"/>
        </w:rPr>
        <w:t>Issues in the estimation of gamma</w:t>
      </w:r>
      <w:r>
        <w:t>, September 2016, p. 6.</w:t>
      </w:r>
    </w:p>
  </w:footnote>
  <w:footnote w:id="43">
    <w:p w:rsidR="00021F98" w:rsidRDefault="00021F98" w:rsidP="003C692F">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36-11.</w:t>
      </w:r>
    </w:p>
  </w:footnote>
  <w:footnote w:id="44">
    <w:p w:rsidR="00021F98" w:rsidRDefault="00021F98" w:rsidP="007D69CB">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12-15.</w:t>
      </w:r>
    </w:p>
  </w:footnote>
  <w:footnote w:id="45">
    <w:p w:rsidR="00021F98" w:rsidRPr="00FA217B" w:rsidRDefault="00021F98" w:rsidP="004423C9">
      <w:pPr>
        <w:pStyle w:val="FootnoteText"/>
        <w:rPr>
          <w:rStyle w:val="AERtextitalic"/>
          <w:i w:val="0"/>
        </w:rPr>
      </w:pPr>
      <w:r>
        <w:rPr>
          <w:rStyle w:val="FootnoteReference"/>
        </w:rPr>
        <w:footnoteRef/>
      </w:r>
      <w:r>
        <w:t xml:space="preserve"> </w:t>
      </w:r>
      <w:r>
        <w:tab/>
        <w:t xml:space="preserve">AusNet Services, </w:t>
      </w:r>
      <w:r>
        <w:rPr>
          <w:rStyle w:val="AERtextitalic"/>
        </w:rPr>
        <w:t xml:space="preserve">Submission on revised proposal, </w:t>
      </w:r>
      <w:r>
        <w:rPr>
          <w:rStyle w:val="AERtextitalic"/>
          <w:i w:val="0"/>
        </w:rPr>
        <w:t>20 December 2016, p. 4</w:t>
      </w:r>
      <w:r>
        <w:rPr>
          <w:rStyle w:val="AERtextitalic"/>
        </w:rPr>
        <w:t>.</w:t>
      </w:r>
    </w:p>
  </w:footnote>
  <w:footnote w:id="46">
    <w:p w:rsidR="00021F98" w:rsidRDefault="00021F98" w:rsidP="00437CA2">
      <w:pPr>
        <w:pStyle w:val="FootnoteText"/>
      </w:pPr>
      <w:r>
        <w:rPr>
          <w:rStyle w:val="FootnoteReference"/>
        </w:rPr>
        <w:footnoteRef/>
      </w:r>
      <w:r>
        <w:t xml:space="preserve"> </w:t>
      </w:r>
      <w:r>
        <w:tab/>
        <w:t>NER, cll. 6.5.3, 6A.6.4; NGR, r. 87A.</w:t>
      </w:r>
    </w:p>
  </w:footnote>
  <w:footnote w:id="47">
    <w:p w:rsidR="00021F98" w:rsidRDefault="00021F98" w:rsidP="00437CA2">
      <w:pPr>
        <w:pStyle w:val="FootnoteText"/>
      </w:pPr>
      <w:r>
        <w:rPr>
          <w:rStyle w:val="FootnoteReference"/>
        </w:rPr>
        <w:footnoteRef/>
      </w:r>
      <w:r>
        <w:t xml:space="preserve"> </w:t>
      </w:r>
      <w:r>
        <w:tab/>
        <w:t>NER, cll. 6.5.2(d)(2), 6A.6.2(d)(2); NGR, r. 87(4)(b).</w:t>
      </w:r>
    </w:p>
  </w:footnote>
  <w:footnote w:id="48">
    <w:p w:rsidR="00021F98" w:rsidRDefault="00021F98" w:rsidP="00437CA2">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49">
    <w:p w:rsidR="00021F98" w:rsidRDefault="00021F98" w:rsidP="00437CA2">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50">
    <w:p w:rsidR="00021F98" w:rsidRDefault="00021F98" w:rsidP="00437CA2">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51">
    <w:p w:rsidR="00021F98" w:rsidRDefault="00021F98" w:rsidP="00437CA2">
      <w:pPr>
        <w:pStyle w:val="FootnoteText"/>
      </w:pPr>
      <w:r>
        <w:rPr>
          <w:rStyle w:val="FootnoteReference"/>
        </w:rPr>
        <w:footnoteRef/>
      </w:r>
      <w:r>
        <w:t xml:space="preserve"> </w:t>
      </w:r>
      <w:r>
        <w:tab/>
        <w:t xml:space="preserve">SFG, </w:t>
      </w:r>
      <w:r w:rsidRPr="007C38AD">
        <w:rPr>
          <w:rStyle w:val="AERtextitalic"/>
        </w:rPr>
        <w:t>Response to submissions on rule change proposals, Report for the AEMC</w:t>
      </w:r>
      <w:r>
        <w:t>, 5 November 2012, para. 2.</w:t>
      </w:r>
    </w:p>
  </w:footnote>
  <w:footnote w:id="52">
    <w:p w:rsidR="00021F98" w:rsidRDefault="00021F98" w:rsidP="00437CA2">
      <w:pPr>
        <w:pStyle w:val="FootnoteText"/>
      </w:pPr>
      <w:r>
        <w:rPr>
          <w:rStyle w:val="FootnoteReference"/>
        </w:rPr>
        <w:footnoteRef/>
      </w:r>
      <w:r>
        <w:t xml:space="preserve"> </w:t>
      </w:r>
      <w:r>
        <w:tab/>
        <w:t xml:space="preserve">ENA, </w:t>
      </w:r>
      <w:r>
        <w:rPr>
          <w:rStyle w:val="AERtextitalic"/>
        </w:rPr>
        <w:t>Response to the 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xml:space="preserve">, 11 October 2013, p. 49. </w:t>
      </w:r>
    </w:p>
  </w:footnote>
  <w:footnote w:id="53">
    <w:p w:rsidR="00021F98" w:rsidRDefault="00021F98" w:rsidP="00437CA2">
      <w:pPr>
        <w:pStyle w:val="FootnoteText"/>
      </w:pPr>
      <w:r>
        <w:rPr>
          <w:rStyle w:val="FootnoteReference"/>
        </w:rPr>
        <w:footnoteRef/>
      </w:r>
      <w:r>
        <w:t xml:space="preserve"> </w:t>
      </w:r>
      <w:r>
        <w:tab/>
        <w:t>NER, cll. 6.5.2, 6A.6.2;</w:t>
      </w:r>
      <w:r w:rsidRPr="0042735A">
        <w:t xml:space="preserve"> </w:t>
      </w:r>
      <w:r>
        <w:t>NGR, r. 87.</w:t>
      </w:r>
    </w:p>
  </w:footnote>
  <w:footnote w:id="54">
    <w:p w:rsidR="00021F98" w:rsidRDefault="00021F98" w:rsidP="00437CA2">
      <w:pPr>
        <w:pStyle w:val="FootnoteText"/>
      </w:pPr>
      <w:r>
        <w:rPr>
          <w:rStyle w:val="FootnoteReference"/>
        </w:rPr>
        <w:footnoteRef/>
      </w:r>
      <w:r>
        <w:t xml:space="preserve"> </w:t>
      </w:r>
      <w:r>
        <w:tab/>
        <w:t xml:space="preserve">For a detailed discussion of the Officer framework, see: </w:t>
      </w:r>
      <w:r w:rsidRPr="00582678">
        <w:t xml:space="preserve">J. Handley, </w:t>
      </w:r>
      <w:r w:rsidRPr="00582678">
        <w:rPr>
          <w:rStyle w:val="AERtextitalic"/>
        </w:rPr>
        <w:t>Report prepared for the Australian Energy Regulator: Advice on the value of imputation credits</w:t>
      </w:r>
      <w:r w:rsidRPr="00582678">
        <w:t>, 29 September 2014</w:t>
      </w:r>
      <w:r>
        <w:t>, pp. 7–12.</w:t>
      </w:r>
    </w:p>
  </w:footnote>
  <w:footnote w:id="55">
    <w:p w:rsidR="00021F98" w:rsidRDefault="00021F98" w:rsidP="00437CA2">
      <w:pPr>
        <w:pStyle w:val="FootnoteText"/>
      </w:pPr>
      <w:r>
        <w:rPr>
          <w:rStyle w:val="FootnoteReference"/>
        </w:rPr>
        <w:footnoteRef/>
      </w:r>
      <w:r>
        <w:tab/>
        <w:t>NEL, s. 16(1)(a); NGL, s. 28(1)(a).</w:t>
      </w:r>
    </w:p>
  </w:footnote>
  <w:footnote w:id="56">
    <w:p w:rsidR="00021F98" w:rsidRDefault="00021F98" w:rsidP="00437CA2">
      <w:pPr>
        <w:pStyle w:val="FootnoteText"/>
      </w:pPr>
      <w:r>
        <w:rPr>
          <w:rStyle w:val="FootnoteReference"/>
        </w:rPr>
        <w:footnoteRef/>
      </w:r>
      <w:r>
        <w:t xml:space="preserve"> </w:t>
      </w:r>
      <w:r>
        <w:tab/>
        <w:t>Although the term 'personal' is used, we note that classes of investors other than individual persons can value imputation credits (for example, superannuation funds and charities). Therefore, an alternative characterisation might be 'before-investor-tax' and 'before-investor-costs'.</w:t>
      </w:r>
    </w:p>
  </w:footnote>
  <w:footnote w:id="57">
    <w:p w:rsidR="00021F98" w:rsidRDefault="00021F98" w:rsidP="00437CA2">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58">
    <w:p w:rsidR="00021F98" w:rsidRDefault="00021F98" w:rsidP="00437CA2">
      <w:pPr>
        <w:pStyle w:val="FootnoteText"/>
      </w:pPr>
      <w:r>
        <w:rPr>
          <w:rStyle w:val="FootnoteReference"/>
        </w:rPr>
        <w:footnoteRef/>
      </w:r>
      <w:r>
        <w:tab/>
        <w:t>NEL, s. 16(1)(a); NGL, s. 28(1)(a).</w:t>
      </w:r>
    </w:p>
  </w:footnote>
  <w:footnote w:id="59">
    <w:p w:rsidR="00021F98" w:rsidRDefault="00021F98" w:rsidP="00437CA2">
      <w:pPr>
        <w:pStyle w:val="FootnoteText"/>
      </w:pPr>
      <w:r>
        <w:rPr>
          <w:rStyle w:val="FootnoteReference"/>
        </w:rPr>
        <w:footnoteRef/>
      </w:r>
      <w:r>
        <w:t xml:space="preserve"> </w:t>
      </w:r>
      <w:r>
        <w:tab/>
        <w:t>NEL, s. 16(2)(a)(i); NGL, s. 28(2)(a)(i).</w:t>
      </w:r>
    </w:p>
  </w:footnote>
  <w:footnote w:id="60">
    <w:p w:rsidR="00021F98" w:rsidRDefault="00021F98" w:rsidP="00437CA2">
      <w:pPr>
        <w:pStyle w:val="FootnoteText"/>
      </w:pPr>
      <w:r>
        <w:rPr>
          <w:rStyle w:val="FootnoteReference"/>
        </w:rPr>
        <w:footnoteRef/>
      </w:r>
      <w:r>
        <w:t xml:space="preserve"> </w:t>
      </w:r>
      <w:r>
        <w:tab/>
        <w:t>NEL, ss. 7A(2)–(7); NGL, ss. 24(2)–(7).</w:t>
      </w:r>
    </w:p>
  </w:footnote>
  <w:footnote w:id="61">
    <w:p w:rsidR="00021F98" w:rsidRDefault="00021F98" w:rsidP="00437CA2">
      <w:pPr>
        <w:pStyle w:val="FootnoteText"/>
      </w:pPr>
      <w:r>
        <w:rPr>
          <w:rStyle w:val="FootnoteReference"/>
        </w:rPr>
        <w:footnoteRef/>
      </w:r>
      <w:r>
        <w:t xml:space="preserve"> </w:t>
      </w:r>
      <w:r>
        <w:tab/>
        <w:t xml:space="preserve">The requirements to make and publish the Guideline are set out in: NER, cll. 6.5.2(m) and 6A.6.2(m); NGR, r. 87(13). </w:t>
      </w:r>
      <w:r w:rsidRPr="004B0617">
        <w:t xml:space="preserve">The </w:t>
      </w:r>
      <w:r>
        <w:t>Guideline</w:t>
      </w:r>
      <w:r w:rsidRPr="004B0617">
        <w:t xml:space="preserve"> is available at: </w:t>
      </w:r>
      <w:r w:rsidRPr="00F8556F">
        <w:t>http://www.aer.gov.au/node/18859</w:t>
      </w:r>
      <w:r>
        <w:t>.</w:t>
      </w:r>
    </w:p>
  </w:footnote>
  <w:footnote w:id="62">
    <w:p w:rsidR="00021F98" w:rsidRDefault="00021F98" w:rsidP="00437CA2">
      <w:pPr>
        <w:pStyle w:val="FootnoteText"/>
      </w:pPr>
      <w:r>
        <w:rPr>
          <w:rStyle w:val="FootnoteReference"/>
        </w:rPr>
        <w:footnoteRef/>
      </w:r>
      <w:r>
        <w:t xml:space="preserve"> </w:t>
      </w:r>
      <w:r>
        <w:tab/>
        <w:t>NER, cll. 6.5.2(n</w:t>
      </w:r>
      <w:r w:rsidRPr="0090536E">
        <w:t>)</w:t>
      </w:r>
      <w:r>
        <w:t>,</w:t>
      </w:r>
      <w:r w:rsidRPr="0090536E">
        <w:t xml:space="preserve"> </w:t>
      </w:r>
      <w:r>
        <w:t>6A.6.2(n); NGR, r. 87(14).</w:t>
      </w:r>
    </w:p>
  </w:footnote>
  <w:footnote w:id="63">
    <w:p w:rsidR="00021F98" w:rsidRDefault="00021F98" w:rsidP="00437CA2">
      <w:pPr>
        <w:pStyle w:val="FootnoteText"/>
      </w:pPr>
      <w:r>
        <w:rPr>
          <w:rStyle w:val="FootnoteReference"/>
        </w:rPr>
        <w:footnoteRef/>
      </w:r>
      <w:r>
        <w:t xml:space="preserve"> </w:t>
      </w:r>
      <w:r>
        <w:tab/>
        <w:t xml:space="preserve">NER, cll. </w:t>
      </w:r>
      <w:r w:rsidRPr="001E5B06">
        <w:t>6.5.2(n)</w:t>
      </w:r>
      <w:r>
        <w:t>(2), 6.A.6.2(n)(2); NGR, r. 87(14)(b).</w:t>
      </w:r>
    </w:p>
  </w:footnote>
  <w:footnote w:id="64">
    <w:p w:rsidR="00021F98" w:rsidRDefault="00021F98" w:rsidP="00437CA2">
      <w:pPr>
        <w:pStyle w:val="FootnoteText"/>
      </w:pPr>
      <w:r>
        <w:rPr>
          <w:rStyle w:val="FootnoteReference"/>
        </w:rPr>
        <w:footnoteRef/>
      </w:r>
      <w:r>
        <w:t xml:space="preserve"> </w:t>
      </w:r>
      <w:r>
        <w:tab/>
        <w:t>NER, cll. 6.2.8(c), 6A.2.3(c); NGR, r. 87(18).</w:t>
      </w:r>
    </w:p>
  </w:footnote>
  <w:footnote w:id="65">
    <w:p w:rsidR="00021F98" w:rsidRDefault="00021F98" w:rsidP="00437CA2">
      <w:pPr>
        <w:pStyle w:val="FootnoteText"/>
      </w:pPr>
      <w:r>
        <w:rPr>
          <w:rStyle w:val="FootnoteReference"/>
        </w:rPr>
        <w:footnoteRef/>
      </w:r>
      <w:r>
        <w:t xml:space="preserve"> </w:t>
      </w:r>
      <w:r>
        <w:tab/>
        <w:t xml:space="preserve">NER, ss. </w:t>
      </w:r>
      <w:r w:rsidRPr="00A609E3">
        <w:t>S6.1.3</w:t>
      </w:r>
      <w:r>
        <w:t>(9)–(9B), S6A.1.3(4)(vi),(4A)–(4C); NGR, r. 72(1)(g).</w:t>
      </w:r>
    </w:p>
  </w:footnote>
  <w:footnote w:id="66">
    <w:p w:rsidR="00021F98" w:rsidRDefault="00021F98" w:rsidP="00437CA2">
      <w:pPr>
        <w:pStyle w:val="FootnoteText"/>
      </w:pPr>
      <w:r>
        <w:rPr>
          <w:rStyle w:val="FootnoteReference"/>
        </w:rPr>
        <w:footnoteRef/>
      </w:r>
      <w:r>
        <w:t xml:space="preserve"> </w:t>
      </w:r>
      <w:r>
        <w:tab/>
      </w:r>
      <w:r w:rsidRPr="007646B1">
        <w:t xml:space="preserve">AER, </w:t>
      </w:r>
      <w:r w:rsidRPr="007646B1">
        <w:rPr>
          <w:rStyle w:val="AERtextitalic"/>
        </w:rPr>
        <w:t xml:space="preserve">Better </w:t>
      </w:r>
      <w:r>
        <w:rPr>
          <w:rStyle w:val="AERtextitalic"/>
        </w:rPr>
        <w:t>Regulation:</w:t>
      </w:r>
      <w:r w:rsidRPr="007646B1">
        <w:rPr>
          <w:rStyle w:val="AERtextitalic"/>
        </w:rPr>
        <w:t xml:space="preserve"> </w:t>
      </w:r>
      <w:r>
        <w:rPr>
          <w:rStyle w:val="AERtextitalic"/>
        </w:rPr>
        <w:t>R</w:t>
      </w:r>
      <w:r w:rsidRPr="007646B1">
        <w:rPr>
          <w:rStyle w:val="AERtextitalic"/>
        </w:rPr>
        <w:t>ate</w:t>
      </w:r>
      <w:r>
        <w:rPr>
          <w:rStyle w:val="AERtextitalic"/>
        </w:rPr>
        <w:t xml:space="preserve"> of Return Guideline</w:t>
      </w:r>
      <w:r w:rsidRPr="007646B1">
        <w:t>, December 2013</w:t>
      </w:r>
      <w:r>
        <w:t>, p. 8.</w:t>
      </w:r>
    </w:p>
  </w:footnote>
  <w:footnote w:id="67">
    <w:p w:rsidR="00021F98" w:rsidRDefault="00021F98" w:rsidP="00437CA2">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pp. 48–49.</w:t>
      </w:r>
    </w:p>
  </w:footnote>
  <w:footnote w:id="68">
    <w:p w:rsidR="00021F98" w:rsidRDefault="00021F98" w:rsidP="00437CA2">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69">
    <w:p w:rsidR="00021F98" w:rsidRDefault="00021F98" w:rsidP="00437CA2">
      <w:pPr>
        <w:pStyle w:val="FootnoteText"/>
      </w:pPr>
      <w:r>
        <w:rPr>
          <w:rStyle w:val="FootnoteReference"/>
        </w:rPr>
        <w:footnoteRef/>
      </w:r>
      <w:r>
        <w:t xml:space="preserve"> </w:t>
      </w:r>
      <w:r>
        <w:tab/>
        <w:t>NER, cll. 6.5.2(d)(2), 6A.6.2(d)(2); NGR, r. 87(4)(b).</w:t>
      </w:r>
    </w:p>
  </w:footnote>
  <w:footnote w:id="70">
    <w:p w:rsidR="00021F98" w:rsidRDefault="00021F98" w:rsidP="00437CA2">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71">
    <w:p w:rsidR="00021F98" w:rsidRDefault="00021F98" w:rsidP="00DB720E">
      <w:pPr>
        <w:pStyle w:val="FootnoteText"/>
      </w:pPr>
      <w:r>
        <w:rPr>
          <w:rStyle w:val="FootnoteReference"/>
        </w:rPr>
        <w:footnoteRef/>
      </w:r>
      <w:r>
        <w:t xml:space="preserve"> </w:t>
      </w:r>
      <w:r>
        <w:tab/>
      </w:r>
      <w:r w:rsidRPr="00583683">
        <w:t xml:space="preserve">J. Handley, </w:t>
      </w:r>
      <w:r w:rsidRPr="00583683">
        <w:rPr>
          <w:rStyle w:val="AERtextitalic"/>
        </w:rPr>
        <w:t>Report prepared for the Australian Energy Regulator: Advice on the value of imputation credits</w:t>
      </w:r>
      <w:r w:rsidRPr="00583683">
        <w:t xml:space="preserve">, 29 September 2014; J. Handley, </w:t>
      </w:r>
      <w:r w:rsidRPr="00583683">
        <w:rPr>
          <w:rStyle w:val="AERtextitalic"/>
        </w:rPr>
        <w:t>Report prepared for the Australian Energy Regulator: Further advice on the value of imputation credits</w:t>
      </w:r>
      <w:r w:rsidRPr="00583683">
        <w:t xml:space="preserve">, 16 April 2015. J. Handley, </w:t>
      </w:r>
      <w:r w:rsidRPr="00583683">
        <w:rPr>
          <w:rStyle w:val="AERtextitalic"/>
        </w:rPr>
        <w:t>Report prepared for the Australian Energy Regulator: Advice on the NERA report 'Estimating distribution and redemption rates from taxation statistics'</w:t>
      </w:r>
      <w:r w:rsidRPr="00583683">
        <w:t>, 20 May 2015</w:t>
      </w:r>
      <w:r>
        <w:t>;</w:t>
      </w:r>
      <w:r w:rsidRPr="00583683">
        <w:t xml:space="preserve"> Lally, </w:t>
      </w:r>
      <w:r w:rsidRPr="00583683">
        <w:rPr>
          <w:rStyle w:val="AERtextitalic"/>
        </w:rPr>
        <w:t>Gamma and the ACT decision</w:t>
      </w:r>
      <w:r w:rsidRPr="005764F6">
        <w:t>, May 2016</w:t>
      </w:r>
      <w:r>
        <w:t xml:space="preserve">; M. Lally, </w:t>
      </w:r>
      <w:r w:rsidRPr="00E750F8">
        <w:rPr>
          <w:rStyle w:val="AERtextitalic"/>
        </w:rPr>
        <w:t>Issues in the estimation of gamma</w:t>
      </w:r>
      <w:r>
        <w:t>, April 2017</w:t>
      </w:r>
      <w:r w:rsidRPr="009E16C6">
        <w:rPr>
          <w:rStyle w:val="AERtextitalic"/>
          <w:i w:val="0"/>
        </w:rPr>
        <w:t>.</w:t>
      </w:r>
    </w:p>
  </w:footnote>
  <w:footnote w:id="72">
    <w:p w:rsidR="00021F98" w:rsidRDefault="00021F98" w:rsidP="00437CA2">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SFG, </w:t>
      </w:r>
      <w:r>
        <w:rPr>
          <w:rStyle w:val="AERtextitalic"/>
        </w:rPr>
        <w:t>Estimating gamma for regulatory purposes</w:t>
      </w:r>
      <w:r>
        <w:t xml:space="preserve">, 6 February 2015; Frontier Economics, </w:t>
      </w:r>
      <w:r w:rsidRPr="00D14DE4">
        <w:rPr>
          <w:rStyle w:val="AERtextitalic"/>
        </w:rPr>
        <w:t>An appropriate regulatory estimate of gamma</w:t>
      </w:r>
      <w:r>
        <w:t xml:space="preserve">, June 2015; Frontier, </w:t>
      </w:r>
      <w:r>
        <w:rPr>
          <w:i/>
        </w:rPr>
        <w:t xml:space="preserve">The appropriate use of tax statistics when estimating gamma, </w:t>
      </w:r>
      <w:r>
        <w:t xml:space="preserve">January 2016; Frontier, </w:t>
      </w:r>
      <w:r w:rsidRPr="0074444C">
        <w:rPr>
          <w:rStyle w:val="AERtextitalic"/>
        </w:rPr>
        <w:t xml:space="preserve">Regulatory estimation of gamma report prepared for </w:t>
      </w:r>
      <w:r>
        <w:rPr>
          <w:rStyle w:val="AERtextitalic"/>
        </w:rPr>
        <w:t>P</w:t>
      </w:r>
      <w:r w:rsidRPr="0074444C">
        <w:rPr>
          <w:rStyle w:val="AERtextitalic"/>
        </w:rPr>
        <w:t>owerlink</w:t>
      </w:r>
      <w:r w:rsidRPr="00213B4B">
        <w:t xml:space="preserve">, </w:t>
      </w:r>
      <w:r>
        <w:t xml:space="preserve">January 2016; </w:t>
      </w:r>
      <w:r w:rsidRPr="009C153C">
        <w:t xml:space="preserve"> </w:t>
      </w:r>
      <w:r>
        <w:t xml:space="preserve">Frontier Economics, </w:t>
      </w:r>
      <w:r>
        <w:rPr>
          <w:rStyle w:val="AERtextitalic"/>
        </w:rPr>
        <w:t>Regulatory An updated dividend drop-off estimate of theta</w:t>
      </w:r>
      <w:r>
        <w:t xml:space="preserve">, September 2016; Frontier Economics, </w:t>
      </w:r>
      <w:r>
        <w:rPr>
          <w:rStyle w:val="AERtextitalic"/>
        </w:rPr>
        <w:t>Issues in the estimation of gamma</w:t>
      </w:r>
      <w:r>
        <w:t>, September 2016.</w:t>
      </w:r>
    </w:p>
  </w:footnote>
  <w:footnote w:id="73">
    <w:p w:rsidR="00021F98" w:rsidRDefault="00021F98" w:rsidP="00437CA2">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xml:space="preserve">, March 2015. NERA, </w:t>
      </w:r>
      <w:r w:rsidRPr="00906B59">
        <w:rPr>
          <w:rStyle w:val="AERtextitalic"/>
        </w:rPr>
        <w:t>Do imputation credits lower the cost of equity? Cross-sectional tests</w:t>
      </w:r>
      <w:r>
        <w:t xml:space="preserve">, April 2015; NERA, </w:t>
      </w:r>
      <w:r w:rsidRPr="00D54762">
        <w:rPr>
          <w:rStyle w:val="AERtextitalic"/>
        </w:rPr>
        <w:t>Estimating distribution and redemption rates: Response to the AER's final decisions for the NSW and ACT electricity distributors, and for Jemena Gas Networks</w:t>
      </w:r>
      <w:r>
        <w:t>, June 2015.</w:t>
      </w:r>
    </w:p>
  </w:footnote>
  <w:footnote w:id="74">
    <w:p w:rsidR="00021F98" w:rsidRDefault="00021F98" w:rsidP="00437CA2">
      <w:pPr>
        <w:pStyle w:val="FootnoteText"/>
      </w:pPr>
      <w:r>
        <w:rPr>
          <w:rStyle w:val="FootnoteReference"/>
        </w:rPr>
        <w:footnoteRef/>
      </w:r>
      <w:r>
        <w:t xml:space="preserve"> </w:t>
      </w:r>
      <w:r>
        <w:tab/>
        <w:t xml:space="preserve">M. Lally, </w:t>
      </w:r>
      <w:r w:rsidRPr="002519FD">
        <w:rPr>
          <w:rStyle w:val="AERtextitalic"/>
        </w:rPr>
        <w:t>Estimating gamma</w:t>
      </w:r>
      <w:r>
        <w:t xml:space="preserve">, 25 November 2013. M. Lally, </w:t>
      </w:r>
      <w:r w:rsidRPr="008916E4">
        <w:rPr>
          <w:rStyle w:val="AERtextitalic"/>
        </w:rPr>
        <w:t>Review of submissions to the QCA on the MRP, risk-free rate and gamma</w:t>
      </w:r>
      <w:r>
        <w:t>, 12 March 2014.</w:t>
      </w:r>
    </w:p>
  </w:footnote>
  <w:footnote w:id="75">
    <w:p w:rsidR="00021F98" w:rsidRDefault="00021F98" w:rsidP="00437CA2">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76">
    <w:p w:rsidR="00021F98" w:rsidRDefault="00021F98" w:rsidP="00437CA2">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77">
    <w:p w:rsidR="00021F98" w:rsidRDefault="00021F98" w:rsidP="00437CA2">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78">
    <w:p w:rsidR="00021F98" w:rsidRDefault="00021F98" w:rsidP="00437CA2">
      <w:pPr>
        <w:pStyle w:val="FootnoteText"/>
      </w:pPr>
      <w:r>
        <w:rPr>
          <w:rStyle w:val="FootnoteReference"/>
        </w:rPr>
        <w:footnoteRef/>
      </w:r>
      <w:r>
        <w:t xml:space="preserve"> </w:t>
      </w:r>
      <w:r>
        <w:tab/>
        <w:t xml:space="preserve">See sections </w:t>
      </w:r>
      <w:r>
        <w:fldChar w:fldCharType="begin"/>
      </w:r>
      <w:r>
        <w:instrText xml:space="preserve"> REF _Ref414621676 \r \h </w:instrText>
      </w:r>
      <w:r>
        <w:fldChar w:fldCharType="separate"/>
      </w:r>
      <w:r>
        <w:t>A.1</w:t>
      </w:r>
      <w:r>
        <w:fldChar w:fldCharType="end"/>
      </w:r>
      <w:r>
        <w:t xml:space="preserve"> and </w:t>
      </w:r>
      <w:r>
        <w:fldChar w:fldCharType="begin"/>
      </w:r>
      <w:r>
        <w:instrText xml:space="preserve"> REF _Ref414621875 \r \h </w:instrText>
      </w:r>
      <w:r>
        <w:fldChar w:fldCharType="separate"/>
      </w:r>
      <w:r>
        <w:t>A.2</w:t>
      </w:r>
      <w:r>
        <w:fldChar w:fldCharType="end"/>
      </w:r>
      <w:r>
        <w:t xml:space="preserve"> of appendix A.</w:t>
      </w:r>
    </w:p>
  </w:footnote>
  <w:footnote w:id="79">
    <w:p w:rsidR="00021F98" w:rsidRDefault="00021F98" w:rsidP="00437CA2">
      <w:pPr>
        <w:pStyle w:val="FootnoteText"/>
      </w:pPr>
      <w:r>
        <w:rPr>
          <w:rStyle w:val="FootnoteReference"/>
        </w:rPr>
        <w:footnoteRef/>
      </w:r>
      <w:r>
        <w:t xml:space="preserve"> </w:t>
      </w:r>
      <w:r>
        <w:tab/>
        <w:t xml:space="preserve">See section </w:t>
      </w:r>
      <w:r>
        <w:fldChar w:fldCharType="begin"/>
      </w:r>
      <w:r>
        <w:instrText xml:space="preserve"> REF _Ref415144114 \r \h </w:instrText>
      </w:r>
      <w:r>
        <w:fldChar w:fldCharType="separate"/>
      </w:r>
      <w:r>
        <w:t>A.5</w:t>
      </w:r>
      <w:r>
        <w:fldChar w:fldCharType="end"/>
      </w:r>
      <w:r>
        <w:t xml:space="preserve"> of appendix A.</w:t>
      </w:r>
    </w:p>
  </w:footnote>
  <w:footnote w:id="80">
    <w:p w:rsidR="00021F98" w:rsidRDefault="00021F98" w:rsidP="00437CA2">
      <w:pPr>
        <w:pStyle w:val="FootnoteText"/>
      </w:pPr>
      <w:r>
        <w:rPr>
          <w:rStyle w:val="FootnoteReference"/>
        </w:rPr>
        <w:footnoteRef/>
      </w:r>
      <w:r>
        <w:t xml:space="preserve"> </w:t>
      </w:r>
      <w:r>
        <w:tab/>
        <w:t xml:space="preserve">See sections </w:t>
      </w:r>
      <w:r>
        <w:fldChar w:fldCharType="begin"/>
      </w:r>
      <w:r>
        <w:instrText xml:space="preserve"> REF _Ref416802130 \r \h </w:instrText>
      </w:r>
      <w:r>
        <w:fldChar w:fldCharType="separate"/>
      </w:r>
      <w:r>
        <w:t>4.3.1</w:t>
      </w:r>
      <w:r>
        <w:fldChar w:fldCharType="end"/>
      </w:r>
      <w:r>
        <w:t xml:space="preserve"> and </w:t>
      </w:r>
      <w:r>
        <w:fldChar w:fldCharType="begin"/>
      </w:r>
      <w:r>
        <w:instrText xml:space="preserve"> REF _Ref400965182 \r \h </w:instrText>
      </w:r>
      <w:r>
        <w:fldChar w:fldCharType="separate"/>
      </w:r>
      <w:r>
        <w:t>A.6</w:t>
      </w:r>
      <w:r>
        <w:fldChar w:fldCharType="end"/>
      </w:r>
      <w:r>
        <w:t xml:space="preserve"> of appendix A.</w:t>
      </w:r>
    </w:p>
  </w:footnote>
  <w:footnote w:id="81">
    <w:p w:rsidR="00021F98" w:rsidRDefault="00021F98" w:rsidP="00437CA2">
      <w:pPr>
        <w:pStyle w:val="FootnoteText"/>
      </w:pPr>
      <w:r>
        <w:rPr>
          <w:rStyle w:val="FootnoteReference"/>
        </w:rPr>
        <w:footnoteRef/>
      </w:r>
      <w:r>
        <w:t xml:space="preserve"> </w:t>
      </w:r>
      <w:r>
        <w:tab/>
        <w:t xml:space="preserve">Assuming retained imputation credits have no value. See section </w:t>
      </w:r>
      <w:r>
        <w:fldChar w:fldCharType="begin"/>
      </w:r>
      <w:r>
        <w:instrText xml:space="preserve"> REF _Ref400965182 \r \h </w:instrText>
      </w:r>
      <w:r>
        <w:fldChar w:fldCharType="separate"/>
      </w:r>
      <w:r>
        <w:t>A.6</w:t>
      </w:r>
      <w:r>
        <w:fldChar w:fldCharType="end"/>
      </w:r>
      <w:r>
        <w:t xml:space="preserve"> of appendix A.</w:t>
      </w:r>
    </w:p>
  </w:footnote>
  <w:footnote w:id="82">
    <w:p w:rsidR="00021F98" w:rsidRDefault="00021F98" w:rsidP="00437CA2">
      <w:pPr>
        <w:pStyle w:val="FootnoteText"/>
      </w:pPr>
      <w:r>
        <w:rPr>
          <w:rStyle w:val="FootnoteReference"/>
        </w:rPr>
        <w:footnoteRef/>
      </w:r>
      <w:r>
        <w:t xml:space="preserve"> </w:t>
      </w:r>
      <w:r>
        <w:tab/>
      </w:r>
      <w:r w:rsidRPr="00AB4156">
        <w:t xml:space="preserve">Lally, </w:t>
      </w:r>
      <w:r w:rsidRPr="005764F6">
        <w:rPr>
          <w:rStyle w:val="AERtextitalic"/>
        </w:rPr>
        <w:t>Gamma and the ACT Decision</w:t>
      </w:r>
      <w:r>
        <w:t>, May 2016, p. 29.</w:t>
      </w:r>
    </w:p>
  </w:footnote>
  <w:footnote w:id="83">
    <w:p w:rsidR="00021F98" w:rsidRDefault="00021F98" w:rsidP="00437CA2">
      <w:pPr>
        <w:pStyle w:val="FootnoteText"/>
      </w:pPr>
      <w:r>
        <w:rPr>
          <w:rStyle w:val="FootnoteReference"/>
        </w:rPr>
        <w:footnoteRef/>
      </w:r>
      <w:r>
        <w:t xml:space="preserve"> </w:t>
      </w:r>
      <w:r>
        <w:tab/>
        <w:t xml:space="preserve">See section </w:t>
      </w:r>
      <w:r>
        <w:fldChar w:fldCharType="begin"/>
      </w:r>
      <w:r>
        <w:instrText xml:space="preserve"> REF _Ref476520189 \r \h </w:instrText>
      </w:r>
      <w:r>
        <w:fldChar w:fldCharType="separate"/>
      </w:r>
      <w:r>
        <w:t>4.4</w:t>
      </w:r>
      <w:r>
        <w:fldChar w:fldCharType="end"/>
      </w:r>
      <w:r>
        <w:t>.</w:t>
      </w:r>
    </w:p>
  </w:footnote>
  <w:footnote w:id="84">
    <w:p w:rsidR="00021F98" w:rsidRDefault="00021F98" w:rsidP="00437CA2">
      <w:pPr>
        <w:pStyle w:val="FootnoteText"/>
      </w:pPr>
      <w:r>
        <w:rPr>
          <w:rStyle w:val="FootnoteReference"/>
        </w:rPr>
        <w:footnoteRef/>
      </w:r>
      <w:r>
        <w:t xml:space="preserve"> </w:t>
      </w:r>
      <w:r>
        <w:tab/>
        <w:t xml:space="preserve">See section </w:t>
      </w:r>
      <w:r>
        <w:fldChar w:fldCharType="begin"/>
      </w:r>
      <w:r>
        <w:instrText xml:space="preserve"> REF _Ref476520204 \r \h </w:instrText>
      </w:r>
      <w:r>
        <w:fldChar w:fldCharType="separate"/>
      </w:r>
      <w:r>
        <w:t>4.4</w:t>
      </w:r>
      <w:r>
        <w:fldChar w:fldCharType="end"/>
      </w:r>
      <w:r>
        <w:t>.</w:t>
      </w:r>
    </w:p>
  </w:footnote>
  <w:footnote w:id="85">
    <w:p w:rsidR="00021F98" w:rsidRDefault="00021F98" w:rsidP="00437CA2">
      <w:pPr>
        <w:pStyle w:val="FootnoteText"/>
      </w:pPr>
      <w:r>
        <w:rPr>
          <w:rStyle w:val="FootnoteReference"/>
        </w:rPr>
        <w:footnoteRef/>
      </w:r>
      <w:r>
        <w:t xml:space="preserve"> </w:t>
      </w:r>
      <w:r>
        <w:tab/>
        <w:t xml:space="preserve">See section </w:t>
      </w:r>
      <w:r>
        <w:fldChar w:fldCharType="begin"/>
      </w:r>
      <w:r>
        <w:instrText xml:space="preserve"> REF _Ref476520210 \r \h </w:instrText>
      </w:r>
      <w:r>
        <w:fldChar w:fldCharType="separate"/>
      </w:r>
      <w:r>
        <w:t>4.4</w:t>
      </w:r>
      <w:r>
        <w:fldChar w:fldCharType="end"/>
      </w:r>
      <w:r>
        <w:t>.</w:t>
      </w:r>
    </w:p>
  </w:footnote>
  <w:footnote w:id="86">
    <w:p w:rsidR="00021F98" w:rsidRDefault="00021F98"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4–5.</w:t>
      </w:r>
    </w:p>
  </w:footnote>
  <w:footnote w:id="87">
    <w:p w:rsidR="00021F98" w:rsidRDefault="00021F98" w:rsidP="00437CA2">
      <w:pPr>
        <w:pStyle w:val="FootnoteText"/>
      </w:pPr>
      <w:r>
        <w:rPr>
          <w:rStyle w:val="FootnoteReference"/>
        </w:rPr>
        <w:footnoteRef/>
      </w:r>
      <w:r>
        <w:t xml:space="preserve"> </w:t>
      </w:r>
      <w:r>
        <w:tab/>
      </w:r>
      <w:r w:rsidRPr="00DE7959">
        <w:t>Rather, they measure the dividend drop off ratio which is influenced</w:t>
      </w:r>
      <w:r>
        <w:t xml:space="preserve"> by personal tax factors. This i</w:t>
      </w:r>
      <w:r w:rsidRPr="00DE7959">
        <w:t>s not appropriate given our post (corporate) tax regulatory framework based on Officer's 1994 paper</w:t>
      </w:r>
      <w:r>
        <w:t xml:space="preserve"> (see </w:t>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r w:rsidRPr="00DE7959">
        <w:t>.</w:t>
      </w:r>
    </w:p>
  </w:footnote>
  <w:footnote w:id="88">
    <w:p w:rsidR="00021F98" w:rsidRDefault="00021F98" w:rsidP="00437CA2">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We note that Lally, in his latest report, recommends that the distribution rate should be set with reference to the financial reports of the top 20 listed companies (as he considers this is most representative of the firm specific distribution rate for a benchmark efficient entity) and the utilisation rate should be set with reference to all equity (as he considers this likely the best estimate of the economy wide theta value) (see </w:t>
      </w:r>
      <w:r w:rsidRPr="00BD34F4">
        <w:t xml:space="preserve">Lally, </w:t>
      </w:r>
      <w:r w:rsidRPr="005764F6">
        <w:rPr>
          <w:rStyle w:val="AERtextitalic"/>
        </w:rPr>
        <w:t>Gamma and the ACT Decision</w:t>
      </w:r>
      <w:r>
        <w:t xml:space="preserve">, May 2016, pp. 4–6). See section </w:t>
      </w:r>
      <w:r>
        <w:fldChar w:fldCharType="begin"/>
      </w:r>
      <w:r>
        <w:instrText xml:space="preserve"> REF _Ref401048631 \r \h </w:instrText>
      </w:r>
      <w:r>
        <w:fldChar w:fldCharType="separate"/>
      </w:r>
      <w:r>
        <w:t>A.9.1</w:t>
      </w:r>
      <w:r>
        <w:fldChar w:fldCharType="end"/>
      </w:r>
      <w:r>
        <w:t xml:space="preserve"> of appendix A for more discussion. </w:t>
      </w:r>
    </w:p>
  </w:footnote>
  <w:footnote w:id="89">
    <w:p w:rsidR="00021F98" w:rsidRDefault="00021F98"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90">
    <w:p w:rsidR="00021F98" w:rsidRDefault="00021F98" w:rsidP="007D69CB">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and M. Lally, </w:t>
      </w:r>
      <w:r w:rsidRPr="00E750F8">
        <w:rPr>
          <w:rStyle w:val="AERtextitalic"/>
        </w:rPr>
        <w:t>Issues in the estimation of gamma</w:t>
      </w:r>
      <w:r>
        <w:t>, April 2017</w:t>
      </w:r>
      <w:r w:rsidRPr="000E71C3">
        <w:rPr>
          <w:rStyle w:val="AERtextitalic"/>
          <w:i w:val="0"/>
        </w:rPr>
        <w:t>, pp. </w:t>
      </w:r>
      <w:r w:rsidRPr="00B12938">
        <w:rPr>
          <w:rStyle w:val="AERtextitalic"/>
          <w:i w:val="0"/>
        </w:rPr>
        <w:t>27,29</w:t>
      </w:r>
      <w:r>
        <w:t>;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91">
    <w:p w:rsidR="00021F98" w:rsidRDefault="00021F98"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92">
    <w:p w:rsidR="00021F98" w:rsidRDefault="00021F98" w:rsidP="00C52695">
      <w:pPr>
        <w:pStyle w:val="FootnoteText"/>
      </w:pPr>
      <w:r>
        <w:rPr>
          <w:rStyle w:val="FootnoteReference"/>
        </w:rPr>
        <w:footnoteRef/>
      </w:r>
      <w:r>
        <w:t xml:space="preserve"> </w:t>
      </w:r>
      <w:r>
        <w:tab/>
        <w:t xml:space="preserve">M. </w:t>
      </w:r>
      <w:r w:rsidRPr="005942A6">
        <w:t xml:space="preserve">Lally, </w:t>
      </w:r>
      <w:r w:rsidRPr="005764F6">
        <w:rPr>
          <w:rStyle w:val="AERtextitalic"/>
        </w:rPr>
        <w:t>Gamma and the ACT Decision</w:t>
      </w:r>
      <w:r w:rsidRPr="005942A6">
        <w:t xml:space="preserve">, </w:t>
      </w:r>
      <w:r>
        <w:t>May 2016, pp. 3–6</w:t>
      </w:r>
      <w:r w:rsidRPr="005942A6">
        <w:t>.</w:t>
      </w:r>
    </w:p>
  </w:footnote>
  <w:footnote w:id="93">
    <w:p w:rsidR="00021F98" w:rsidRDefault="00021F98"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_Ref414621676 \r \h </w:instrText>
      </w:r>
      <w:r>
        <w:fldChar w:fldCharType="separate"/>
      </w:r>
      <w:r>
        <w:t>A.1</w:t>
      </w:r>
      <w:r>
        <w:fldChar w:fldCharType="end"/>
      </w:r>
      <w:r>
        <w:t xml:space="preserve"> of appendix A.</w:t>
      </w:r>
    </w:p>
  </w:footnote>
  <w:footnote w:id="94">
    <w:p w:rsidR="00021F98" w:rsidRDefault="00021F98"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95">
    <w:p w:rsidR="00021F98" w:rsidRPr="00EA3C68" w:rsidRDefault="00021F98" w:rsidP="00CF4EC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403D5">
        <w:rPr>
          <w:rStyle w:val="AERtextitalic"/>
          <w:i w:val="0"/>
        </w:rPr>
        <w:t>, p. 13.</w:t>
      </w:r>
    </w:p>
  </w:footnote>
  <w:footnote w:id="96">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pp. 4–6, 18, 25. In making this choice, Lally considered there is </w:t>
      </w:r>
      <w:r w:rsidRPr="0035206C">
        <w:t>a trade-off between statistical reliability (</w:t>
      </w:r>
      <w:r>
        <w:t xml:space="preserve">which is </w:t>
      </w:r>
      <w:r w:rsidRPr="0035206C">
        <w:t xml:space="preserve">greater </w:t>
      </w:r>
      <w:r>
        <w:t xml:space="preserve">if </w:t>
      </w:r>
      <w:r w:rsidRPr="0035206C">
        <w:t>a market-wide estimate</w:t>
      </w:r>
      <w:r>
        <w:t xml:space="preserve"> is used</w:t>
      </w:r>
      <w:r w:rsidRPr="0035206C">
        <w:t>) versus potential bias (</w:t>
      </w:r>
      <w:r>
        <w:t>worse from a sector-wide estimate</w:t>
      </w:r>
      <w:r w:rsidRPr="0035206C">
        <w:t>).</w:t>
      </w:r>
      <w:r>
        <w:t xml:space="preserve"> Lally discussed various issues with using firm-specific data, industry averages and market-wide data to estimate the distribution rate.</w:t>
      </w:r>
    </w:p>
  </w:footnote>
  <w:footnote w:id="97">
    <w:p w:rsidR="00021F98" w:rsidRDefault="00021F98" w:rsidP="00C52695">
      <w:pPr>
        <w:pStyle w:val="FootnoteText"/>
      </w:pPr>
      <w:r>
        <w:rPr>
          <w:rStyle w:val="FootnoteReference"/>
        </w:rPr>
        <w:footnoteRef/>
      </w:r>
      <w:r>
        <w:t xml:space="preserve"> </w:t>
      </w:r>
      <w:r>
        <w:tab/>
        <w:t xml:space="preserve">Note that our estimates of the distribution rate for listed equity come from ATO data on public companies. Handley advised that it is not strictly correct to refer to ATO data on public companies as data on listed companies. This is because the ATO definition of a public company includes but is not limited to listed companies. However, Handley also advised that referring to the public company data as relating to listed companies is suitable for our purpose. </w:t>
      </w:r>
      <w:r w:rsidRPr="00874F27">
        <w:t xml:space="preserve">J. Handley, </w:t>
      </w:r>
      <w:r w:rsidRPr="00874F27">
        <w:rPr>
          <w:rStyle w:val="AERtextitalic"/>
        </w:rPr>
        <w:t xml:space="preserve">Report prepared for the Australian Energy Regulator: </w:t>
      </w:r>
      <w:r>
        <w:rPr>
          <w:rStyle w:val="AERtextitalic"/>
        </w:rPr>
        <w:t>Further a</w:t>
      </w:r>
      <w:r w:rsidRPr="00874F27">
        <w:rPr>
          <w:rStyle w:val="AERtextitalic"/>
        </w:rPr>
        <w:t>dvice on the value of imputation credits</w:t>
      </w:r>
      <w:r w:rsidRPr="00874F27">
        <w:t xml:space="preserve">, </w:t>
      </w:r>
      <w:r>
        <w:t>16 April 2015, footnote 26</w:t>
      </w:r>
      <w:r w:rsidRPr="00874F27">
        <w:t>.</w:t>
      </w:r>
    </w:p>
  </w:footnote>
  <w:footnote w:id="98">
    <w:p w:rsidR="00021F98" w:rsidRDefault="00021F98">
      <w:pPr>
        <w:pStyle w:val="FootnoteText"/>
      </w:pPr>
      <w:r>
        <w:rPr>
          <w:rStyle w:val="FootnoteReference"/>
        </w:rPr>
        <w:footnoteRef/>
      </w:r>
      <w:r>
        <w:t xml:space="preserve"> </w:t>
      </w:r>
      <w:r>
        <w:tab/>
        <w:t xml:space="preserve">Lally does no use a range for the utilisation rate, rather Lally recommends a utilisation rate of at least 0.6 (all equity). See </w:t>
      </w:r>
      <w:r w:rsidRPr="005764F6">
        <w:t xml:space="preserve">Lally, </w:t>
      </w:r>
      <w:r w:rsidRPr="00583683">
        <w:rPr>
          <w:rStyle w:val="AERtextitalic"/>
        </w:rPr>
        <w:t>Gamma and the ACT Decision</w:t>
      </w:r>
      <w:r w:rsidRPr="005764F6">
        <w:t>, May 2016, pp. </w:t>
      </w:r>
      <w:r>
        <w:t>5, 6, 21, 23, 31, 32</w:t>
      </w:r>
      <w:r w:rsidRPr="005764F6">
        <w:t>.</w:t>
      </w:r>
    </w:p>
  </w:footnote>
  <w:footnote w:id="99">
    <w:p w:rsidR="00021F98" w:rsidRDefault="00021F98" w:rsidP="00C52695">
      <w:pPr>
        <w:pStyle w:val="FootnoteText"/>
      </w:pPr>
      <w:r>
        <w:rPr>
          <w:rStyle w:val="FootnoteReference"/>
        </w:rPr>
        <w:footnoteRef/>
      </w:r>
      <w:r>
        <w:t xml:space="preserve"> </w:t>
      </w:r>
      <w:r>
        <w:tab/>
        <w:t>Lally recommends a gamma estimate of at least 0.5 which is based on a distribution rate of at least 0.83 and a utilisation rate of 0.6. See:</w:t>
      </w:r>
      <w:r w:rsidRPr="004B7D28">
        <w:t xml:space="preserve"> </w:t>
      </w:r>
      <w:r w:rsidRPr="00712BC2">
        <w:t xml:space="preserve">M. Lally, </w:t>
      </w:r>
      <w:r>
        <w:rPr>
          <w:rStyle w:val="AERtextitalic"/>
        </w:rPr>
        <w:t>Gamma and the ACT Decision</w:t>
      </w:r>
      <w:r>
        <w:t>, May 2016, p. 6.</w:t>
      </w:r>
    </w:p>
  </w:footnote>
  <w:footnote w:id="100">
    <w:p w:rsidR="00021F98" w:rsidRDefault="00021F98" w:rsidP="00C52695">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101">
    <w:p w:rsidR="00021F98" w:rsidRPr="00C4634F" w:rsidRDefault="00021F98" w:rsidP="00C4634F">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AF1BD9">
        <w:rPr>
          <w:rStyle w:val="AERtextitalic"/>
          <w:i w:val="0"/>
        </w:rPr>
        <w:t>, p. 29.</w:t>
      </w:r>
    </w:p>
  </w:footnote>
  <w:footnote w:id="102">
    <w:p w:rsidR="00021F98" w:rsidRDefault="00021F98" w:rsidP="00C52695">
      <w:pPr>
        <w:pStyle w:val="FootnoteText"/>
      </w:pPr>
      <w:r>
        <w:rPr>
          <w:rStyle w:val="FootnoteReference"/>
        </w:rPr>
        <w:footnoteRef/>
      </w:r>
      <w:r>
        <w:t xml:space="preserve"> </w:t>
      </w:r>
      <w:r>
        <w:tab/>
        <w:t xml:space="preserve">For example, </w:t>
      </w:r>
      <w:r w:rsidRPr="00883125">
        <w:t>Handley and Lally advised that other classes of evidence are more valuable.</w:t>
      </w:r>
      <w:r w:rsidRPr="00E405F1">
        <w:t xml:space="preserve"> </w:t>
      </w:r>
      <w:r>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_Ref450761230 \r \h </w:instrText>
      </w:r>
      <w:r>
        <w:fldChar w:fldCharType="separate"/>
      </w:r>
      <w:r>
        <w:t>4.4.1</w:t>
      </w:r>
      <w:r>
        <w:fldChar w:fldCharType="end"/>
      </w:r>
      <w:r>
        <w:t xml:space="preserve">. Also, </w:t>
      </w:r>
      <w:r w:rsidRPr="00883125">
        <w:t xml:space="preserve">McKenzie and Partington's report for the Queensland Resources Council </w:t>
      </w:r>
      <w:r>
        <w:t xml:space="preserve">also </w:t>
      </w:r>
      <w:r w:rsidRPr="00883125">
        <w:t>suggested that it is reasonable to have regard to other classes of evidence</w:t>
      </w:r>
      <w:r>
        <w:t xml:space="preserve">. 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103">
    <w:p w:rsidR="00021F98" w:rsidRDefault="00021F98" w:rsidP="00C52695">
      <w:pPr>
        <w:pStyle w:val="FootnoteText"/>
      </w:pPr>
      <w:r>
        <w:rPr>
          <w:rStyle w:val="FootnoteReference"/>
        </w:rPr>
        <w:footnoteRef/>
      </w:r>
      <w:r>
        <w:t xml:space="preserve"> </w:t>
      </w:r>
      <w:r>
        <w:tab/>
        <w:t xml:space="preserve">SA Centre for Economic Studies suggested this in a </w:t>
      </w:r>
      <w:r w:rsidRPr="00883125">
        <w:t>report for the South Australian Council of Social Service</w:t>
      </w:r>
      <w:r>
        <w:t>.</w:t>
      </w:r>
      <w:r w:rsidRPr="00883125">
        <w:t xml:space="preserve"> </w:t>
      </w:r>
      <w:r>
        <w:t xml:space="preserve">See 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104">
    <w:p w:rsidR="00021F98" w:rsidRDefault="00021F98" w:rsidP="00C52695">
      <w:pPr>
        <w:pStyle w:val="FootnoteText"/>
      </w:pPr>
      <w:r>
        <w:rPr>
          <w:rStyle w:val="FootnoteReference"/>
        </w:rPr>
        <w:footnoteRef/>
      </w:r>
      <w:r>
        <w:t xml:space="preserve"> </w:t>
      </w:r>
      <w:r>
        <w:tab/>
      </w:r>
      <w:r w:rsidRPr="00CE62A1">
        <w:t xml:space="preserve">R. Officer, 'The cost of capital of a company under an imputation system', </w:t>
      </w:r>
      <w:r w:rsidRPr="00CE62A1">
        <w:rPr>
          <w:rStyle w:val="AERtextitalic"/>
        </w:rPr>
        <w:t>Accounting and finance</w:t>
      </w:r>
      <w:r w:rsidRPr="00CE62A1">
        <w:t>, vol. 34(1), May 1994, pg</w:t>
      </w:r>
      <w:r w:rsidRPr="005764F6">
        <w:t>. </w:t>
      </w:r>
      <w:r w:rsidRPr="00CE62A1">
        <w:t>8.</w:t>
      </w:r>
    </w:p>
  </w:footnote>
  <w:footnote w:id="105">
    <w:p w:rsidR="00021F98" w:rsidRDefault="00021F98" w:rsidP="00C52695">
      <w:pPr>
        <w:pStyle w:val="FootnoteText"/>
      </w:pPr>
      <w:r>
        <w:rPr>
          <w:rStyle w:val="FootnoteReference"/>
        </w:rPr>
        <w:footnoteRef/>
      </w:r>
      <w:r>
        <w:t xml:space="preserve"> </w:t>
      </w:r>
      <w:r>
        <w:tab/>
        <w:t xml:space="preserve">We note that there may be a very small diminution in value from face value due to the time value of money. However, we consider this immaterial for the reasons discussed in section </w:t>
      </w:r>
      <w:r>
        <w:fldChar w:fldCharType="begin"/>
      </w:r>
      <w:r>
        <w:instrText xml:space="preserve"> REF _Ref414099389 \r \h </w:instrText>
      </w:r>
      <w:r>
        <w:fldChar w:fldCharType="separate"/>
      </w:r>
      <w:r>
        <w:t>A.8.3</w:t>
      </w:r>
      <w:r>
        <w:fldChar w:fldCharType="end"/>
      </w:r>
      <w:r>
        <w:t>.</w:t>
      </w:r>
    </w:p>
  </w:footnote>
  <w:footnote w:id="106">
    <w:p w:rsidR="00021F98" w:rsidRDefault="00021F98" w:rsidP="00C52695">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107">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6.</w:t>
      </w:r>
    </w:p>
  </w:footnote>
  <w:footnote w:id="108">
    <w:p w:rsidR="00021F98" w:rsidRDefault="00021F98" w:rsidP="00C52695">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t>A.10</w:t>
      </w:r>
      <w:r>
        <w:fldChar w:fldCharType="end"/>
      </w:r>
      <w:r w:rsidRPr="007F4E38">
        <w:t xml:space="preserve"> of </w:t>
      </w:r>
      <w:r>
        <w:t>appendix A.</w:t>
      </w:r>
    </w:p>
  </w:footnote>
  <w:footnote w:id="109">
    <w:p w:rsidR="00021F98" w:rsidRDefault="00021F98"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110">
    <w:p w:rsidR="00021F98" w:rsidRDefault="00021F98" w:rsidP="00C52695">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11">
    <w:p w:rsidR="00021F98" w:rsidRDefault="00021F98"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12">
    <w:p w:rsidR="00021F98" w:rsidRDefault="00021F98" w:rsidP="00C52695">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t>A.10</w:t>
      </w:r>
      <w:r>
        <w:fldChar w:fldCharType="end"/>
      </w:r>
      <w:r>
        <w:t xml:space="preserve"> of appendix A. NERA, </w:t>
      </w:r>
      <w:r w:rsidRPr="001763FD">
        <w:rPr>
          <w:rStyle w:val="AERtextitalic"/>
        </w:rPr>
        <w:t>Estimating distribution and redemption rates from taxation statistics</w:t>
      </w:r>
      <w:r>
        <w:t xml:space="preserve">, March 2015. J. Handley, </w:t>
      </w:r>
      <w:r w:rsidRPr="005B7CF2">
        <w:rPr>
          <w:rStyle w:val="AERtextitalic"/>
        </w:rPr>
        <w:t>Report prepared for the Australian Energy Regulator: Advice on the NERA report 'Estimating distribution and redemption rates from taxation statistics'</w:t>
      </w:r>
      <w:r>
        <w:t>, 20 May 2015.</w:t>
      </w:r>
    </w:p>
  </w:footnote>
  <w:footnote w:id="113">
    <w:p w:rsidR="00021F98" w:rsidRDefault="00021F98" w:rsidP="00C52695">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pp. 7, 18-19.</w:t>
      </w:r>
    </w:p>
  </w:footnote>
  <w:footnote w:id="114">
    <w:p w:rsidR="00021F98" w:rsidRDefault="00021F98" w:rsidP="00C52695">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 7.</w:t>
      </w:r>
    </w:p>
  </w:footnote>
  <w:footnote w:id="115">
    <w:p w:rsidR="00021F98" w:rsidRDefault="00021F98"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16">
    <w:p w:rsidR="00021F98" w:rsidRDefault="00021F98" w:rsidP="00C52695">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t>A.10</w:t>
      </w:r>
      <w:r>
        <w:fldChar w:fldCharType="end"/>
      </w:r>
      <w:r>
        <w:t xml:space="preserve"> for more detail.</w:t>
      </w:r>
    </w:p>
  </w:footnote>
  <w:footnote w:id="117">
    <w:p w:rsidR="00021F98" w:rsidRDefault="00021F98" w:rsidP="00C52695">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t>A.10</w:t>
      </w:r>
      <w:r>
        <w:fldChar w:fldCharType="end"/>
      </w:r>
      <w:r>
        <w:t xml:space="preserve"> of appendix A. </w:t>
      </w:r>
    </w:p>
  </w:footnote>
  <w:footnote w:id="118">
    <w:p w:rsidR="00021F98" w:rsidRDefault="00021F98" w:rsidP="00C52695">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119">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120">
    <w:p w:rsidR="00021F98" w:rsidRPr="00EA3C68" w:rsidRDefault="00021F98" w:rsidP="00CF4EC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403D5">
        <w:rPr>
          <w:rStyle w:val="AERtextitalic"/>
          <w:i w:val="0"/>
        </w:rPr>
        <w:t>, p. 13.</w:t>
      </w:r>
    </w:p>
  </w:footnote>
  <w:footnote w:id="121">
    <w:p w:rsidR="00021F98" w:rsidRDefault="00021F98" w:rsidP="00C52695">
      <w:pPr>
        <w:pStyle w:val="FootnoteText"/>
      </w:pPr>
      <w:r>
        <w:rPr>
          <w:rStyle w:val="FootnoteReference"/>
        </w:rPr>
        <w:footnoteRef/>
      </w:r>
      <w:r>
        <w:t xml:space="preserve"> </w:t>
      </w:r>
      <w:r>
        <w:tab/>
      </w:r>
      <w:r w:rsidRPr="005764F6">
        <w:rPr>
          <w:rStyle w:val="FootnoteReference"/>
          <w:vertAlign w:val="baseline"/>
        </w:rPr>
        <w:t xml:space="preserve">Lally's view on this issue appears consistent with the views of Gray. See Frontier Economics, </w:t>
      </w:r>
      <w:r w:rsidRPr="00CE62A1">
        <w:rPr>
          <w:rStyle w:val="AERtextitalic"/>
        </w:rPr>
        <w:t>An appropriate regulatory estimate of gamma</w:t>
      </w:r>
      <w:r w:rsidRPr="005764F6">
        <w:rPr>
          <w:rStyle w:val="FootnoteReference"/>
          <w:vertAlign w:val="baseline"/>
        </w:rPr>
        <w:t>, June 2015, pp. 12–13.</w:t>
      </w:r>
    </w:p>
  </w:footnote>
  <w:footnote w:id="122">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123">
    <w:p w:rsidR="00021F98" w:rsidRPr="00EA3C68" w:rsidRDefault="00021F98" w:rsidP="00AC26C8">
      <w:pPr>
        <w:pStyle w:val="FootnoteText"/>
      </w:pPr>
      <w:r>
        <w:rPr>
          <w:rStyle w:val="FootnoteReference"/>
        </w:rPr>
        <w:footnoteRef/>
      </w:r>
      <w:r>
        <w:t xml:space="preserve"> </w:t>
      </w:r>
      <w:r>
        <w:tab/>
        <w:t xml:space="preserve">M. Lally, </w:t>
      </w:r>
      <w:r w:rsidRPr="00E750F8">
        <w:rPr>
          <w:rStyle w:val="AERtextitalic"/>
        </w:rPr>
        <w:t>Issues in the estimation of gamma</w:t>
      </w:r>
      <w:r>
        <w:t xml:space="preserve">, </w:t>
      </w:r>
      <w:r w:rsidRPr="00AC26C8">
        <w:t>A</w:t>
      </w:r>
      <w:r w:rsidRPr="00A42583">
        <w:t>pril</w:t>
      </w:r>
      <w:r w:rsidRPr="00D81354">
        <w:t xml:space="preserve"> 2017</w:t>
      </w:r>
      <w:r w:rsidRPr="00D81354">
        <w:rPr>
          <w:rStyle w:val="AERtextitalic"/>
          <w:i w:val="0"/>
        </w:rPr>
        <w:t>, p. </w:t>
      </w:r>
      <w:r w:rsidRPr="004423C9">
        <w:rPr>
          <w:rStyle w:val="AERtextitalic"/>
          <w:i w:val="0"/>
        </w:rPr>
        <w:t>27</w:t>
      </w:r>
      <w:r w:rsidRPr="00AC26C8">
        <w:rPr>
          <w:rStyle w:val="AERtextitalic"/>
          <w:i w:val="0"/>
        </w:rPr>
        <w:t>.</w:t>
      </w:r>
    </w:p>
  </w:footnote>
  <w:footnote w:id="124">
    <w:p w:rsidR="00021F98" w:rsidRDefault="00021F98" w:rsidP="00C52695">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25">
    <w:p w:rsidR="00021F98" w:rsidRDefault="00021F98" w:rsidP="00C52695">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t>A.8.1</w:t>
      </w:r>
      <w:r>
        <w:fldChar w:fldCharType="end"/>
      </w:r>
      <w:r>
        <w:t xml:space="preserve"> of appendix A.</w:t>
      </w:r>
    </w:p>
  </w:footnote>
  <w:footnote w:id="126">
    <w:p w:rsidR="00021F98" w:rsidRDefault="00021F98" w:rsidP="00226CBF">
      <w:pPr>
        <w:pStyle w:val="FootnoteText"/>
      </w:pPr>
      <w:r>
        <w:rPr>
          <w:rStyle w:val="FootnoteReference"/>
        </w:rPr>
        <w:footnoteRef/>
      </w:r>
      <w:r>
        <w:t xml:space="preserve"> </w:t>
      </w:r>
      <w:r>
        <w:tab/>
        <w:t xml:space="preserve">M. Lally, </w:t>
      </w:r>
      <w:r w:rsidRPr="004744FB">
        <w:rPr>
          <w:rStyle w:val="AERtextitalic"/>
        </w:rPr>
        <w:t>Issues in the estimation of gamma</w:t>
      </w:r>
      <w:r>
        <w:t>, April 2017</w:t>
      </w:r>
      <w:r w:rsidRPr="00CA6B82">
        <w:rPr>
          <w:rStyle w:val="AERtextitalic"/>
        </w:rPr>
        <w:t xml:space="preserve">, </w:t>
      </w:r>
      <w:r w:rsidRPr="00F5204A">
        <w:rPr>
          <w:rStyle w:val="AERtextitalic"/>
          <w:i w:val="0"/>
        </w:rPr>
        <w:t>p</w:t>
      </w:r>
      <w:r w:rsidRPr="00434A21">
        <w:rPr>
          <w:rStyle w:val="AERtextitalic"/>
          <w:i w:val="0"/>
        </w:rPr>
        <w:t>p. </w:t>
      </w:r>
      <w:r w:rsidRPr="00BF534C">
        <w:rPr>
          <w:rStyle w:val="AERtextitalic"/>
          <w:i w:val="0"/>
        </w:rPr>
        <w:t>21-22.</w:t>
      </w:r>
    </w:p>
  </w:footnote>
  <w:footnote w:id="127">
    <w:p w:rsidR="00021F98" w:rsidRDefault="00021F98"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p>
  </w:footnote>
  <w:footnote w:id="128">
    <w:p w:rsidR="00021F98" w:rsidRDefault="00021F98" w:rsidP="00C52695">
      <w:pPr>
        <w:pStyle w:val="FootnoteText"/>
      </w:pPr>
      <w:r>
        <w:rPr>
          <w:rStyle w:val="FootnoteReference"/>
        </w:rPr>
        <w:footnoteRef/>
      </w:r>
      <w:r>
        <w:t xml:space="preserve"> </w:t>
      </w:r>
      <w:r>
        <w:tab/>
        <w:t>Personal tax is levied on the gross dividend which is the sum of the face value of the franked dividend and the face value of the imputation credit.</w:t>
      </w:r>
    </w:p>
  </w:footnote>
  <w:footnote w:id="129">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30">
    <w:p w:rsidR="00021F98" w:rsidRDefault="00021F98">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159</w:t>
      </w:r>
      <w:r w:rsidRPr="008F5D24">
        <w:t>.</w:t>
      </w:r>
    </w:p>
  </w:footnote>
  <w:footnote w:id="131">
    <w:p w:rsidR="00021F98" w:rsidRDefault="00021F9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132">
    <w:p w:rsidR="00021F98" w:rsidRDefault="00021F98" w:rsidP="00C52695">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t>A.11</w:t>
      </w:r>
      <w:r>
        <w:fldChar w:fldCharType="end"/>
      </w:r>
      <w:r>
        <w:t xml:space="preserve"> of appendix A.</w:t>
      </w:r>
    </w:p>
  </w:footnote>
  <w:footnote w:id="133">
    <w:p w:rsidR="00021F98" w:rsidRDefault="00021F98" w:rsidP="00C52695">
      <w:pPr>
        <w:pStyle w:val="FootnoteText"/>
      </w:pPr>
      <w:r>
        <w:rPr>
          <w:rStyle w:val="FootnoteReference"/>
        </w:rPr>
        <w:footnoteRef/>
      </w:r>
      <w:r>
        <w:t xml:space="preserve"> </w:t>
      </w:r>
      <w:r>
        <w:tab/>
        <w:t xml:space="preserve">Specifically, we use data from </w:t>
      </w:r>
      <w:r w:rsidRPr="0061054A">
        <w:t>Australian National Accounts:</w:t>
      </w:r>
      <w:r>
        <w:t xml:space="preserve"> Finance and Wealth </w:t>
      </w:r>
      <w:r w:rsidRPr="0061054A">
        <w:t>(ABS cat. 5232.0)</w:t>
      </w:r>
      <w:r>
        <w:t>.</w:t>
      </w:r>
    </w:p>
  </w:footnote>
  <w:footnote w:id="134">
    <w:p w:rsidR="00021F98" w:rsidRDefault="00021F98" w:rsidP="00C52695">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1048.</w:t>
      </w:r>
    </w:p>
  </w:footnote>
  <w:footnote w:id="135">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23.</w:t>
      </w:r>
    </w:p>
  </w:footnote>
  <w:footnote w:id="136">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137">
    <w:p w:rsidR="00021F98" w:rsidRDefault="00021F98" w:rsidP="00C52695">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138">
    <w:p w:rsidR="00021F98" w:rsidRDefault="00021F9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39">
    <w:p w:rsidR="00021F98" w:rsidRDefault="00021F98"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Also see </w:t>
      </w:r>
      <w:r w:rsidRPr="00712BC2">
        <w:t xml:space="preserve">M. Lally, </w:t>
      </w:r>
      <w:r>
        <w:rPr>
          <w:rStyle w:val="AERtextitalic"/>
        </w:rPr>
        <w:t>Gamma and the ACT Decision</w:t>
      </w:r>
      <w:r>
        <w:t>, May 2016, p. 4–5.</w:t>
      </w:r>
    </w:p>
  </w:footnote>
  <w:footnote w:id="140">
    <w:p w:rsidR="00021F98" w:rsidRDefault="00021F98"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t>, 25</w:t>
      </w:r>
      <w:r w:rsidRPr="00582678">
        <w:t xml:space="preserve"> November 2013</w:t>
      </w:r>
      <w:r>
        <w:t xml:space="preserve">, p. 4. Also see </w:t>
      </w:r>
      <w:r w:rsidRPr="00712BC2">
        <w:t xml:space="preserve">M. Lally, </w:t>
      </w:r>
      <w:r>
        <w:rPr>
          <w:rStyle w:val="AERtextitalic"/>
        </w:rPr>
        <w:t>Gamma and the ACT Decision</w:t>
      </w:r>
      <w:r>
        <w:t>, May 2016, p. 4–5.</w:t>
      </w:r>
    </w:p>
  </w:footnote>
  <w:footnote w:id="141">
    <w:p w:rsidR="00021F98" w:rsidRDefault="00021F98"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142">
    <w:p w:rsidR="00021F98" w:rsidRDefault="00021F98" w:rsidP="00C52695">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the regulations</w:t>
      </w:r>
      <w:r w:rsidRPr="00293592">
        <w:t>.</w:t>
      </w:r>
      <w:r>
        <w:t xml:space="preserve"> See: </w:t>
      </w:r>
      <w:r w:rsidRPr="00057D4F">
        <w:t>https://www.ato.gov.au/Non-profit/Franking-credits/In-detail/FAQs/Refund-of-franking-credits--endorsed-entities---FAQs/?page=3</w:t>
      </w:r>
      <w:r>
        <w:t>. Accessed 9 April 2015.</w:t>
      </w:r>
    </w:p>
  </w:footnote>
  <w:footnote w:id="143">
    <w:p w:rsidR="00021F98" w:rsidRDefault="00021F98" w:rsidP="00C52695">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t>A.9.1</w:t>
      </w:r>
      <w:r>
        <w:fldChar w:fldCharType="end"/>
      </w:r>
      <w:r>
        <w:t xml:space="preserve"> of appendix A.</w:t>
      </w:r>
    </w:p>
  </w:footnote>
  <w:footnote w:id="144">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 26, 30.</w:t>
      </w:r>
    </w:p>
  </w:footnote>
  <w:footnote w:id="145">
    <w:p w:rsidR="00021F98" w:rsidRDefault="00021F98"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146">
    <w:p w:rsidR="00021F98" w:rsidRDefault="00021F98"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147">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 25.</w:t>
      </w:r>
    </w:p>
  </w:footnote>
  <w:footnote w:id="148">
    <w:p w:rsidR="00021F98" w:rsidRDefault="00021F98" w:rsidP="00C52695">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p>
  </w:footnote>
  <w:footnote w:id="149">
    <w:p w:rsidR="00021F98" w:rsidRDefault="00021F98">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34, 12-15.</w:t>
      </w:r>
    </w:p>
  </w:footnote>
  <w:footnote w:id="150">
    <w:p w:rsidR="00021F98" w:rsidRDefault="00021F9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51">
    <w:p w:rsidR="00021F98" w:rsidRDefault="00021F98" w:rsidP="00AA7999">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M. Lally, </w:t>
      </w:r>
      <w:r w:rsidRPr="00E750F8">
        <w:rPr>
          <w:rStyle w:val="AERtextitalic"/>
        </w:rPr>
        <w:t>Issues in the estimation of gamma</w:t>
      </w:r>
      <w:r>
        <w:t>, April 2017</w:t>
      </w:r>
      <w:r w:rsidRPr="00AF1BD9">
        <w:rPr>
          <w:rStyle w:val="AERtextitalic"/>
          <w:i w:val="0"/>
        </w:rPr>
        <w:t>, p</w:t>
      </w:r>
      <w:r w:rsidRPr="009E16C6">
        <w:rPr>
          <w:rStyle w:val="AERtextitalic"/>
          <w:i w:val="0"/>
        </w:rPr>
        <w:t>p</w:t>
      </w:r>
      <w:r w:rsidRPr="00705600">
        <w:rPr>
          <w:rStyle w:val="AERtextitalic"/>
          <w:i w:val="0"/>
        </w:rPr>
        <w:t>.</w:t>
      </w:r>
      <w:r w:rsidRPr="009A213E">
        <w:rPr>
          <w:rStyle w:val="AERtextitalic"/>
          <w:i w:val="0"/>
        </w:rPr>
        <w:t> 4-6.</w:t>
      </w:r>
    </w:p>
  </w:footnote>
  <w:footnote w:id="152">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w:t>
      </w:r>
    </w:p>
  </w:footnote>
  <w:footnote w:id="153">
    <w:p w:rsidR="00021F98" w:rsidRDefault="00021F9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54">
    <w:p w:rsidR="00021F98" w:rsidRDefault="00021F9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55">
    <w:p w:rsidR="00021F98" w:rsidRDefault="00021F98" w:rsidP="00AA7999">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AF1BD9">
        <w:rPr>
          <w:rStyle w:val="AERtextitalic"/>
          <w:i w:val="0"/>
        </w:rPr>
        <w:t>, pp. 4-6.</w:t>
      </w:r>
    </w:p>
  </w:footnote>
  <w:footnote w:id="156">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57">
    <w:p w:rsidR="00021F98" w:rsidRDefault="00021F98"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58">
    <w:p w:rsidR="00021F98" w:rsidRDefault="00021F98" w:rsidP="00C52695">
      <w:pPr>
        <w:pStyle w:val="FootnoteText"/>
      </w:pPr>
      <w:r>
        <w:rPr>
          <w:rStyle w:val="FootnoteReference"/>
        </w:rPr>
        <w:footnoteRef/>
      </w:r>
      <w:r>
        <w:t xml:space="preserve"> </w:t>
      </w:r>
      <w:r>
        <w:tab/>
        <w:t xml:space="preserve">Economic Regulation Authority, </w:t>
      </w:r>
      <w:r w:rsidRPr="00D5068A">
        <w:rPr>
          <w:rStyle w:val="AERtextitalic"/>
        </w:rPr>
        <w:t xml:space="preserve">Explanatory </w:t>
      </w:r>
      <w:r>
        <w:rPr>
          <w:rStyle w:val="AERtextitalic"/>
        </w:rPr>
        <w:t>S</w:t>
      </w:r>
      <w:r w:rsidRPr="00D5068A">
        <w:rPr>
          <w:rStyle w:val="AERtextitalic"/>
        </w:rPr>
        <w:t xml:space="preserve">tatement for the </w:t>
      </w:r>
      <w:r>
        <w:rPr>
          <w:rStyle w:val="AERtextitalic"/>
        </w:rPr>
        <w:t>R</w:t>
      </w:r>
      <w:r w:rsidRPr="00D5068A">
        <w:rPr>
          <w:rStyle w:val="AERtextitalic"/>
        </w:rPr>
        <w:t xml:space="preserve">ate of </w:t>
      </w:r>
      <w:r>
        <w:rPr>
          <w:rStyle w:val="AERtextitalic"/>
        </w:rPr>
        <w:t>R</w:t>
      </w:r>
      <w:r w:rsidRPr="00D5068A">
        <w:rPr>
          <w:rStyle w:val="AERtextitalic"/>
        </w:rPr>
        <w:t xml:space="preserve">eturn </w:t>
      </w:r>
      <w:r>
        <w:rPr>
          <w:rStyle w:val="AERtextitalic"/>
        </w:rPr>
        <w:t>G</w:t>
      </w:r>
      <w:r w:rsidRPr="00D5068A">
        <w:rPr>
          <w:rStyle w:val="AERtextitalic"/>
        </w:rPr>
        <w:t>uidelines</w:t>
      </w:r>
      <w:r>
        <w:t>, 13 December 2013, para. 921.</w:t>
      </w:r>
    </w:p>
  </w:footnote>
  <w:footnote w:id="159">
    <w:p w:rsidR="00021F98" w:rsidRDefault="00021F98"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160">
    <w:p w:rsidR="00021F98" w:rsidRDefault="00021F98" w:rsidP="00682278">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24–26 and 28–29; M. Lally, </w:t>
      </w:r>
      <w:r w:rsidRPr="008916E4">
        <w:rPr>
          <w:rStyle w:val="AERtextitalic"/>
        </w:rPr>
        <w:t>Review of submissions to the QCA on the MRP, risk-free rate and gamma</w:t>
      </w:r>
      <w:r>
        <w:t xml:space="preserve">, 12 March 2014, pp. 35–38; M. Lally, </w:t>
      </w:r>
      <w:r w:rsidRPr="00E750F8">
        <w:rPr>
          <w:rStyle w:val="AERtextitalic"/>
        </w:rPr>
        <w:t>Issues in the estimation of gamma</w:t>
      </w:r>
      <w:r>
        <w:t>, April 2017</w:t>
      </w:r>
      <w:r w:rsidRPr="00AF1BD9">
        <w:rPr>
          <w:rStyle w:val="AERtextitalic"/>
          <w:i w:val="0"/>
        </w:rPr>
        <w:t>, pp. 4-6.</w:t>
      </w:r>
    </w:p>
  </w:footnote>
  <w:footnote w:id="161">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 23, 31.</w:t>
      </w:r>
    </w:p>
  </w:footnote>
  <w:footnote w:id="162">
    <w:p w:rsidR="00021F98" w:rsidRDefault="00021F98" w:rsidP="00C52695">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163">
    <w:p w:rsidR="00021F98" w:rsidRDefault="00021F9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64">
    <w:p w:rsidR="00021F98" w:rsidRDefault="00021F98"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xml:space="preserve">, p. 21. </w:t>
      </w:r>
    </w:p>
  </w:footnote>
  <w:footnote w:id="165">
    <w:p w:rsidR="00021F98" w:rsidRDefault="00021F98" w:rsidP="00C52695">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166">
    <w:p w:rsidR="00021F98" w:rsidRDefault="00021F98" w:rsidP="00C52695">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167">
    <w:p w:rsidR="00021F98" w:rsidRDefault="00021F98"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68">
    <w:p w:rsidR="00021F98" w:rsidRDefault="00021F9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 33; </w:t>
      </w:r>
      <w:r w:rsidRPr="00C13949">
        <w:t xml:space="preserve"> </w:t>
      </w:r>
      <w:r>
        <w:t xml:space="preserve">Frontier Economics, </w:t>
      </w:r>
      <w:r>
        <w:rPr>
          <w:rStyle w:val="AERtextitalic"/>
        </w:rPr>
        <w:t>Regulatory estimation of gamma report prepared for Powerlink</w:t>
      </w:r>
      <w:r>
        <w:t xml:space="preserve">, January 2016, p. 10; </w:t>
      </w:r>
      <w:r w:rsidRPr="002110F5">
        <w:t xml:space="preserve"> </w:t>
      </w:r>
      <w:r>
        <w:t xml:space="preserve">Frontier Economics, </w:t>
      </w:r>
      <w:r>
        <w:rPr>
          <w:rStyle w:val="AERtextitalic"/>
        </w:rPr>
        <w:t>Regulatory An updated dividend drop-off estimate of theta</w:t>
      </w:r>
      <w:r>
        <w:t>, September 2016.</w:t>
      </w:r>
    </w:p>
  </w:footnote>
  <w:footnote w:id="169">
    <w:p w:rsidR="00021F98" w:rsidRDefault="00021F9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70">
    <w:p w:rsidR="00021F98" w:rsidRDefault="00021F98"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288 and 289;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2, 4, 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171">
    <w:p w:rsidR="00021F98" w:rsidRDefault="00021F98" w:rsidP="00C52695">
      <w:pPr>
        <w:pStyle w:val="FootnoteText"/>
      </w:pPr>
      <w:r>
        <w:rPr>
          <w:rStyle w:val="FootnoteReference"/>
        </w:rPr>
        <w:footnoteRef/>
      </w:r>
      <w:r>
        <w:t xml:space="preserve"> </w:t>
      </w:r>
      <w:r>
        <w:tab/>
        <w:t>Powerlink</w:t>
      </w:r>
      <w:r w:rsidRPr="003E1CE7">
        <w:t xml:space="preserve">, </w:t>
      </w:r>
      <w:r>
        <w:rPr>
          <w:rStyle w:val="AERtextitalic"/>
        </w:rPr>
        <w:t>Powerlink Queensland Revenue Proposal Appendix 9.02</w:t>
      </w:r>
      <w:r w:rsidRPr="003E1CE7">
        <w:t xml:space="preserve">, </w:t>
      </w:r>
      <w:r>
        <w:t>31 January 2016, p</w:t>
      </w:r>
      <w:r w:rsidRPr="003E1CE7">
        <w:t>. </w:t>
      </w:r>
      <w:r>
        <w:t xml:space="preserve">6; Frontier Economics, </w:t>
      </w:r>
      <w:r>
        <w:rPr>
          <w:rStyle w:val="AERtextitalic"/>
        </w:rPr>
        <w:t>Regulatory estimation of gamma report prepared for Powerlink</w:t>
      </w:r>
      <w:r>
        <w:t>, January 2016, pp. 7-10.</w:t>
      </w:r>
    </w:p>
  </w:footnote>
  <w:footnote w:id="172">
    <w:p w:rsidR="00021F98" w:rsidRDefault="00021F98" w:rsidP="00C52695">
      <w:pPr>
        <w:pStyle w:val="FootnoteText"/>
      </w:pPr>
      <w:r>
        <w:rPr>
          <w:rStyle w:val="FootnoteReference"/>
        </w:rPr>
        <w:footnoteRef/>
      </w:r>
      <w:r>
        <w:t xml:space="preserve"> </w:t>
      </w:r>
      <w:r>
        <w:tab/>
        <w:t>Powerlink</w:t>
      </w:r>
      <w:r w:rsidRPr="003E1CE7">
        <w:t xml:space="preserve">, </w:t>
      </w:r>
      <w:r>
        <w:rPr>
          <w:rStyle w:val="AERtextitalic"/>
        </w:rPr>
        <w:t>Powerlink Queensland Revenue Proposal Appendix 9.02</w:t>
      </w:r>
      <w:r w:rsidRPr="003E1CE7">
        <w:t xml:space="preserve">, </w:t>
      </w:r>
      <w:r>
        <w:t>31 January 2016, p</w:t>
      </w:r>
      <w:r w:rsidRPr="003E1CE7">
        <w:t>. </w:t>
      </w:r>
      <w:r>
        <w:t>6.</w:t>
      </w:r>
    </w:p>
  </w:footnote>
  <w:footnote w:id="173">
    <w:p w:rsidR="00021F98" w:rsidRDefault="00021F98" w:rsidP="00C52695">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1095</w:t>
      </w:r>
      <w:r w:rsidRPr="005764F6">
        <w:t>.</w:t>
      </w:r>
    </w:p>
  </w:footnote>
  <w:footnote w:id="174">
    <w:p w:rsidR="00021F98" w:rsidRDefault="00021F98"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286;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xml:space="preserve">, January 2016, pp. 353-354; AusNet Transmission, </w:t>
      </w:r>
      <w:r>
        <w:rPr>
          <w:rStyle w:val="AERtextitalic"/>
        </w:rPr>
        <w:t>Transmission Revenue Proposal Review 2017-2022, Revised Revenue Proposal</w:t>
      </w:r>
      <w:r>
        <w:t xml:space="preserve">, 21 September 2016, pp. 205-206; Frontier Economics, </w:t>
      </w:r>
      <w:r>
        <w:rPr>
          <w:rStyle w:val="AERtextitalic"/>
        </w:rPr>
        <w:t>Issues in the estimation of gamma</w:t>
      </w:r>
      <w:r>
        <w:t>, September 2016, p. 3.</w:t>
      </w:r>
    </w:p>
  </w:footnote>
  <w:footnote w:id="175">
    <w:p w:rsidR="00021F98" w:rsidRDefault="00021F98"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292; 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xml:space="preserve">, January 2016, pp. 353-354. Also see </w:t>
      </w:r>
      <w:r w:rsidRPr="005764F6">
        <w:t xml:space="preserve">HoustonKemp, </w:t>
      </w:r>
      <w:r w:rsidRPr="00195F35">
        <w:rPr>
          <w:rStyle w:val="AERtextitalic"/>
        </w:rPr>
        <w:t>A response to the Australian Energy Regulator Draft Decision on Austra</w:t>
      </w:r>
      <w:r w:rsidRPr="001A60DE">
        <w:rPr>
          <w:rStyle w:val="AERtextitalic"/>
        </w:rPr>
        <w:t>lian Gas Networks AA2016 Revenue Reset</w:t>
      </w:r>
      <w:r w:rsidRPr="005764F6">
        <w:t>, February 2016, p. 3</w:t>
      </w:r>
      <w:r>
        <w:t xml:space="preserve">0; AusNet Transmission, </w:t>
      </w:r>
      <w:r>
        <w:rPr>
          <w:rStyle w:val="AERtextitalic"/>
        </w:rPr>
        <w:t>Transmission Revenue Proposal Review 2017-2022, Revised Revenue Proposal</w:t>
      </w:r>
      <w:r>
        <w:t>, 21 September 2016, pp. 205-206.</w:t>
      </w:r>
    </w:p>
  </w:footnote>
  <w:footnote w:id="176">
    <w:p w:rsidR="00021F98"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1106.</w:t>
      </w:r>
    </w:p>
  </w:footnote>
  <w:footnote w:id="177">
    <w:p w:rsidR="00021F98" w:rsidRDefault="00021F98" w:rsidP="00C52695">
      <w:pPr>
        <w:pStyle w:val="FootnoteText"/>
      </w:pPr>
      <w:r>
        <w:rPr>
          <w:rStyle w:val="FootnoteReference"/>
        </w:rPr>
        <w:footnoteRef/>
      </w:r>
      <w:r>
        <w:t xml:space="preserve"> </w:t>
      </w:r>
      <w:r>
        <w:tab/>
      </w:r>
      <w:r w:rsidRPr="00CC0A37">
        <w:t xml:space="preserve">Australian Gas Networks, </w:t>
      </w:r>
      <w:r w:rsidRPr="00CC0A37">
        <w:rPr>
          <w:rStyle w:val="AERtextitalic"/>
        </w:rPr>
        <w:t>Attachment 11 Response to Draft Decision: Cost of Tax</w:t>
      </w:r>
      <w:r>
        <w:t xml:space="preserve">, January 2016, </w:t>
      </w:r>
      <w:r w:rsidRPr="00CC0A37">
        <w:t>p. </w:t>
      </w:r>
      <w:r>
        <w:t>4</w:t>
      </w:r>
      <w:r w:rsidRPr="00CC0A37">
        <w:t xml:space="preserve">; ActewAGL, </w:t>
      </w:r>
      <w:r w:rsidRPr="00CC0A37">
        <w:rPr>
          <w:rStyle w:val="AERtextitalic"/>
        </w:rPr>
        <w:t>Appendix 5.01 Detailed response to rate of return, gamma and inflation</w:t>
      </w:r>
      <w:r w:rsidRPr="00CC0A37">
        <w:t>, January 2016, pp</w:t>
      </w:r>
      <w:r>
        <w:t>. 41, 111, 128</w:t>
      </w:r>
      <w:r w:rsidRPr="00CC0A37">
        <w:t xml:space="preserve">; AusNet Electricity Services, </w:t>
      </w:r>
      <w:r w:rsidRPr="00CC0A37">
        <w:rPr>
          <w:rStyle w:val="AERtextitalic"/>
        </w:rPr>
        <w:t>Revised Regulatory Proposal</w:t>
      </w:r>
      <w:r w:rsidRPr="00CC0A37">
        <w:t>, January 2016, pp. </w:t>
      </w:r>
      <w:r>
        <w:t>7-81, 7-95</w:t>
      </w:r>
      <w:r w:rsidRPr="00CC0A37">
        <w:t xml:space="preserve">; United Energy, </w:t>
      </w:r>
      <w:r w:rsidRPr="00CC0A37">
        <w:rPr>
          <w:rStyle w:val="AERtextitalic"/>
        </w:rPr>
        <w:t>Response to AER Preliminary Determination Re: Rate of return and gamma</w:t>
      </w:r>
      <w:r w:rsidRPr="00CC0A37">
        <w:t>, January 2016, pp. </w:t>
      </w:r>
      <w:r>
        <w:t>82, 96</w:t>
      </w:r>
      <w:r w:rsidRPr="00CC0A37">
        <w:t xml:space="preserve">; CitiPower, </w:t>
      </w:r>
      <w:r w:rsidRPr="00CC0A37">
        <w:rPr>
          <w:rStyle w:val="AERtextitalic"/>
        </w:rPr>
        <w:t>Revised Regulatory Proposal 2016-2020</w:t>
      </w:r>
      <w:r w:rsidRPr="00CC0A37">
        <w:t>; January 2016, pp. 36</w:t>
      </w:r>
      <w:r>
        <w:t>0-374</w:t>
      </w:r>
      <w:r w:rsidRPr="00CC0A37">
        <w:t xml:space="preserve">; Jemena Electricity Networks, </w:t>
      </w:r>
      <w:r w:rsidRPr="00CC0A37">
        <w:rPr>
          <w:rStyle w:val="AERtextitalic"/>
        </w:rPr>
        <w:t>Attachment 6-1 Rate of return, gamma, forecast inflation, and debt and equity raising costs</w:t>
      </w:r>
      <w:r w:rsidRPr="00CC0A37">
        <w:t>, January 2016, pp.</w:t>
      </w:r>
      <w:r>
        <w:t>88, 103</w:t>
      </w:r>
      <w:r w:rsidRPr="00CC0A37">
        <w:t xml:space="preserve">; Powercor, </w:t>
      </w:r>
      <w:r w:rsidRPr="00CC0A37">
        <w:rPr>
          <w:rStyle w:val="AERtextitalic"/>
        </w:rPr>
        <w:t>Revised Regulatory Proposal 2016-2020</w:t>
      </w:r>
      <w:r w:rsidRPr="00CC0A37">
        <w:t>, January 2016, pp. </w:t>
      </w:r>
      <w:r>
        <w:t xml:space="preserve">354, 368; AusNet Transmission, </w:t>
      </w:r>
      <w:r>
        <w:rPr>
          <w:rStyle w:val="AERtextitalic"/>
        </w:rPr>
        <w:t>Transmission Revenue Proposal Review 2017-2022, Revised Revenue Proposal</w:t>
      </w:r>
      <w:r>
        <w:t>, 21 September 2016, p. 205.</w:t>
      </w:r>
    </w:p>
  </w:footnote>
  <w:footnote w:id="178">
    <w:p w:rsidR="00021F98" w:rsidRPr="00EA3C68" w:rsidRDefault="00021F98" w:rsidP="003B47A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403D5">
        <w:rPr>
          <w:rStyle w:val="AERtextitalic"/>
          <w:i w:val="0"/>
        </w:rPr>
        <w:t>, p. 13.</w:t>
      </w:r>
    </w:p>
  </w:footnote>
  <w:footnote w:id="179">
    <w:p w:rsidR="00021F98" w:rsidRPr="00EA3C68" w:rsidRDefault="00021F98" w:rsidP="00CC480F">
      <w:pPr>
        <w:pStyle w:val="FootnoteText"/>
      </w:pPr>
      <w:r>
        <w:rPr>
          <w:rStyle w:val="FootnoteReference"/>
        </w:rPr>
        <w:footnoteRef/>
      </w:r>
      <w:r>
        <w:t xml:space="preserve"> </w:t>
      </w:r>
      <w:r>
        <w:tab/>
        <w:t xml:space="preserve">M. Lally, </w:t>
      </w:r>
      <w:r w:rsidRPr="004744FB">
        <w:rPr>
          <w:rStyle w:val="AERtextitalic"/>
        </w:rPr>
        <w:t>Issues in the estimation of gamma</w:t>
      </w:r>
      <w:r>
        <w:t>, April 2017</w:t>
      </w:r>
      <w:r>
        <w:rPr>
          <w:rStyle w:val="AERtextitalic"/>
          <w:i w:val="0"/>
        </w:rPr>
        <w:t>, p. </w:t>
      </w:r>
      <w:r w:rsidRPr="00F5204A">
        <w:rPr>
          <w:rStyle w:val="AERtextitalic"/>
          <w:i w:val="0"/>
        </w:rPr>
        <w:t>27</w:t>
      </w:r>
      <w:r w:rsidRPr="00CC480F">
        <w:rPr>
          <w:rStyle w:val="AERtextitalic"/>
          <w:i w:val="0"/>
        </w:rPr>
        <w:t>.</w:t>
      </w:r>
    </w:p>
  </w:footnote>
  <w:footnote w:id="180">
    <w:p w:rsidR="00021F98" w:rsidRDefault="00021F98"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286 and 288;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10-11;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84-85; CitiPower, </w:t>
      </w:r>
      <w:r w:rsidRPr="00AF5B33">
        <w:rPr>
          <w:rStyle w:val="AERtextitalic"/>
        </w:rPr>
        <w:t>Revised Regulatory Proposal 2016-2020</w:t>
      </w:r>
      <w:r>
        <w:t xml:space="preserve">; January 2016, pp. 362-363;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January 2016, pp. 356-357.</w:t>
      </w:r>
    </w:p>
  </w:footnote>
  <w:footnote w:id="181">
    <w:p w:rsidR="00021F98" w:rsidRDefault="00021F98" w:rsidP="00C52695">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xml:space="preserve">, 26 February 2016, paras. 1048, </w:t>
      </w:r>
      <w:r w:rsidRPr="005764F6">
        <w:t>1090, 1092.</w:t>
      </w:r>
    </w:p>
  </w:footnote>
  <w:footnote w:id="182">
    <w:p w:rsidR="00021F98" w:rsidRDefault="00021F98" w:rsidP="00C52695">
      <w:pPr>
        <w:pStyle w:val="FootnoteText"/>
      </w:pPr>
      <w:r>
        <w:rPr>
          <w:rStyle w:val="FootnoteReference"/>
        </w:rPr>
        <w:footnoteRef/>
      </w:r>
      <w:r>
        <w:t xml:space="preserve"> </w:t>
      </w:r>
      <w:r>
        <w:tab/>
      </w:r>
      <w:r w:rsidRPr="00CE62A1">
        <w:t xml:space="preserve">M. Lally, </w:t>
      </w:r>
      <w:r w:rsidRPr="00CE62A1">
        <w:rPr>
          <w:rStyle w:val="AERtextitalic"/>
        </w:rPr>
        <w:t>Gamma and the ACT Decision</w:t>
      </w:r>
      <w:r w:rsidRPr="00CE62A1">
        <w:t>, May 2016, p. 21.</w:t>
      </w:r>
    </w:p>
  </w:footnote>
  <w:footnote w:id="183">
    <w:p w:rsidR="00021F98" w:rsidRDefault="00021F98" w:rsidP="00C52695">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w:t>
      </w:r>
      <w:r w:rsidRPr="00D20C5C">
        <w:t xml:space="preserve">Australian Competition Tribunal, </w:t>
      </w:r>
      <w:r w:rsidRPr="00D20C5C">
        <w:rPr>
          <w:rStyle w:val="AERtextitalic"/>
        </w:rPr>
        <w:t>Application by Public Interest Advocacy Centre Ltd and Ausgrid [2016] ACompT 1</w:t>
      </w:r>
      <w:r w:rsidRPr="00D20C5C">
        <w:t xml:space="preserve">, </w:t>
      </w:r>
      <w:r>
        <w:t>26 February 2016</w:t>
      </w:r>
      <w:r w:rsidRPr="00D20C5C">
        <w:t>, para</w:t>
      </w:r>
      <w:r>
        <w:t>. 1095</w:t>
      </w:r>
      <w:r w:rsidRPr="00243100">
        <w:rPr>
          <w:rStyle w:val="AERtexthighlight"/>
          <w:shd w:val="clear" w:color="auto" w:fill="auto"/>
        </w:rPr>
        <w:t>.</w:t>
      </w:r>
    </w:p>
  </w:footnote>
  <w:footnote w:id="184">
    <w:p w:rsidR="00021F98" w:rsidRDefault="00021F98"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286, 294, 296, 298;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xml:space="preserve">, January 2016, p. 356; AusNet Transmission, </w:t>
      </w:r>
      <w:r>
        <w:rPr>
          <w:rStyle w:val="AERtextitalic"/>
        </w:rPr>
        <w:t>Transmission Revenue Proposal Review 2017-2022, Revised Revenue Proposal</w:t>
      </w:r>
      <w:r>
        <w:t>, 21 September 2016, pp. 204, 207.</w:t>
      </w:r>
    </w:p>
  </w:footnote>
  <w:footnote w:id="185">
    <w:p w:rsidR="00021F98" w:rsidRDefault="00021F98"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288; </w:t>
      </w:r>
      <w:r w:rsidRPr="002D5177">
        <w:t xml:space="preserve">United Energy, </w:t>
      </w:r>
      <w:r w:rsidRPr="002D5177">
        <w:rPr>
          <w:rStyle w:val="AERtextitalic"/>
        </w:rPr>
        <w:t>Submission on AER preliminary determination - Submission on gamma</w:t>
      </w:r>
      <w:r w:rsidRPr="002D5177">
        <w:t xml:space="preserve">, 26 April 2016; Australian Gas Networks, </w:t>
      </w:r>
      <w:r w:rsidRPr="002D5177">
        <w:rPr>
          <w:rStyle w:val="AERtextitalic"/>
        </w:rPr>
        <w:t>Attachment 11 Response to Draft Decision: Cost of Tax</w:t>
      </w:r>
      <w:r w:rsidRPr="002D5177">
        <w:t xml:space="preserve">, January 2016, pp. 10-11; ActewAGL, </w:t>
      </w:r>
      <w:r w:rsidRPr="002D5177">
        <w:rPr>
          <w:rStyle w:val="AERtextitalic"/>
        </w:rPr>
        <w:t>Appendix 5.01 Detailed response to rate of return, gamma and inflation</w:t>
      </w:r>
      <w:r w:rsidRPr="002D5177">
        <w:t xml:space="preserve">, January 2016, p. 114; AusNet Electricity Services, </w:t>
      </w:r>
      <w:r w:rsidRPr="002D5177">
        <w:rPr>
          <w:rStyle w:val="AERtextitalic"/>
        </w:rPr>
        <w:t>Revised Regulatory Proposal</w:t>
      </w:r>
      <w:r w:rsidRPr="002D5177">
        <w:t xml:space="preserve">, January 2016, pp. 7-83, 7-84; United Energy, </w:t>
      </w:r>
      <w:r w:rsidRPr="002D5177">
        <w:rPr>
          <w:rStyle w:val="AERtextitalic"/>
        </w:rPr>
        <w:t>Response to AER Preliminary Determination Re: Rate of return and gamma</w:t>
      </w:r>
      <w:r w:rsidRPr="002D5177">
        <w:t xml:space="preserve">, January 2016, p. 85; CitiPower, </w:t>
      </w:r>
      <w:r w:rsidRPr="002D5177">
        <w:rPr>
          <w:rStyle w:val="AERtextitalic"/>
        </w:rPr>
        <w:t>Revised Regulatory Proposal 2016-2020</w:t>
      </w:r>
      <w:r w:rsidRPr="002D5177">
        <w:t xml:space="preserve">; January 2016, pp. 362-363; Jemena Electricity Networks, </w:t>
      </w:r>
      <w:r w:rsidRPr="002D5177">
        <w:rPr>
          <w:rStyle w:val="AERtextitalic"/>
        </w:rPr>
        <w:t>Attachment 6-1 Rate of return, gamma, forecast inflation, and debt and equity raising costs</w:t>
      </w:r>
      <w:r w:rsidRPr="002D5177">
        <w:t xml:space="preserve">, January 2016, p. 91; Powercor, </w:t>
      </w:r>
      <w:r w:rsidRPr="002D5177">
        <w:rPr>
          <w:rStyle w:val="AERtextitalic"/>
        </w:rPr>
        <w:t>Revised Regulatory Proposal 2016-2020</w:t>
      </w:r>
      <w:r w:rsidRPr="002D5177">
        <w:t xml:space="preserve">, January 2016, pp. 356-357; Australian Competition Tribunal, </w:t>
      </w:r>
      <w:r w:rsidRPr="002D5177">
        <w:rPr>
          <w:rStyle w:val="AERtextitalic"/>
        </w:rPr>
        <w:t>Application by Public Interest Advocacy Centre Ltd and Ausgrid [2016] ACompT 1</w:t>
      </w:r>
      <w:r w:rsidRPr="002D5177">
        <w:t>, 26 February 2016, para. 1095</w:t>
      </w:r>
      <w:r>
        <w:t>;</w:t>
      </w:r>
      <w:r w:rsidRPr="00CA79AB">
        <w:t xml:space="preserve"> </w:t>
      </w:r>
      <w:r>
        <w:t xml:space="preserve">Frontier Economics, </w:t>
      </w:r>
      <w:r>
        <w:rPr>
          <w:rStyle w:val="AERtextitalic"/>
        </w:rPr>
        <w:t>Regulatory estimation of gamma report prepared for Powerlink</w:t>
      </w:r>
      <w:r>
        <w:t xml:space="preserve">, January 2016, p. 10; AusNet Transmission, </w:t>
      </w:r>
      <w:r>
        <w:rPr>
          <w:rStyle w:val="AERtextitalic"/>
        </w:rPr>
        <w:t>Transmission Revenue Proposal Review 2017-2022, Revised Revenue Proposal</w:t>
      </w:r>
      <w:r>
        <w:t>, 21 September 2016, p. 208.</w:t>
      </w:r>
    </w:p>
  </w:footnote>
  <w:footnote w:id="186">
    <w:p w:rsidR="00021F98" w:rsidRDefault="00021F98"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17-18; ActewAGL, </w:t>
      </w:r>
      <w:r w:rsidRPr="00AF5B33">
        <w:rPr>
          <w:rStyle w:val="AERtextitalic"/>
        </w:rPr>
        <w:t>Appendix 5.01 Detailed response to rate of return, gamma and inflation</w:t>
      </w:r>
      <w:r>
        <w:t xml:space="preserve">, January 2016, pp. 121-122; AusNet Electricity Services, </w:t>
      </w:r>
      <w:r w:rsidRPr="00AF5B33">
        <w:rPr>
          <w:rStyle w:val="AERtextitalic"/>
        </w:rPr>
        <w:t>Revised Regulatory Proposal</w:t>
      </w:r>
      <w:r>
        <w:t xml:space="preserve">, January 2016, pp. 7-90–7-91; United Energy, </w:t>
      </w:r>
      <w:r w:rsidRPr="00AF5B33">
        <w:rPr>
          <w:rStyle w:val="AERtextitalic"/>
        </w:rPr>
        <w:t>Response to AER Preliminary Determination Re: Rate of return and gamma</w:t>
      </w:r>
      <w:r>
        <w:t xml:space="preserve">, January 2016, pp. 91–92; CitiPower, </w:t>
      </w:r>
      <w:r w:rsidRPr="00AF5B33">
        <w:rPr>
          <w:rStyle w:val="AERtextitalic"/>
        </w:rPr>
        <w:t>Revised Regulatory Proposal 2016-2020</w:t>
      </w:r>
      <w:r>
        <w:t xml:space="preserve">; January 2016, pp. 369-370; Jemena Electricity Networks, </w:t>
      </w:r>
      <w:r w:rsidRPr="00AF5B33">
        <w:rPr>
          <w:rStyle w:val="AERtextitalic"/>
        </w:rPr>
        <w:t>Attachment 6-1 Rate of return, gamma, forecast inflation, and debt and equity raising costs</w:t>
      </w:r>
      <w:r>
        <w:t xml:space="preserve">, January 2016, pp. 98-99; Powercor, </w:t>
      </w:r>
      <w:r w:rsidRPr="00AF5B33">
        <w:rPr>
          <w:rStyle w:val="AERtextitalic"/>
        </w:rPr>
        <w:t>Revised Regulatory Proposal 2016-2020</w:t>
      </w:r>
      <w:r>
        <w:t>, January 2016, pp. 363-364.</w:t>
      </w:r>
    </w:p>
  </w:footnote>
  <w:footnote w:id="187">
    <w:p w:rsidR="00021F98" w:rsidRDefault="00021F98"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18-19; ActewAGL, </w:t>
      </w:r>
      <w:r w:rsidRPr="00AF5B33">
        <w:rPr>
          <w:rStyle w:val="AERtextitalic"/>
        </w:rPr>
        <w:t>Appendix 5.01 Detailed response to rate of return, gamma and inflation</w:t>
      </w:r>
      <w:r>
        <w:t xml:space="preserve">, January 2016, pp. 123-124; AusNet Electricity Services, </w:t>
      </w:r>
      <w:r w:rsidRPr="00AF5B33">
        <w:rPr>
          <w:rStyle w:val="AERtextitalic"/>
        </w:rPr>
        <w:t>Revised Regulatory Proposal</w:t>
      </w:r>
      <w:r>
        <w:t xml:space="preserve">, January 2016, pp. 7-91–7-92; United Energy, </w:t>
      </w:r>
      <w:r w:rsidRPr="00AF5B33">
        <w:rPr>
          <w:rStyle w:val="AERtextitalic"/>
        </w:rPr>
        <w:t>Response to AER Preliminary Determination Re: Rate of return and gamma</w:t>
      </w:r>
      <w:r>
        <w:t xml:space="preserve">, January 2016, pp. 92–93; CitiPower, </w:t>
      </w:r>
      <w:r w:rsidRPr="00AF5B33">
        <w:rPr>
          <w:rStyle w:val="AERtextitalic"/>
        </w:rPr>
        <w:t>Revised Regulatory Proposal 2016-2020</w:t>
      </w:r>
      <w:r>
        <w:t xml:space="preserve">; January 2016, pp. 370-371; Jemena Electricity Networks, </w:t>
      </w:r>
      <w:r w:rsidRPr="00AF5B33">
        <w:rPr>
          <w:rStyle w:val="AERtextitalic"/>
        </w:rPr>
        <w:t>Attachment 6-1 Rate of return, gamma, forecast inflation, and debt and equity raising costs</w:t>
      </w:r>
      <w:r>
        <w:t xml:space="preserve">, January 2016, pp. 99-100; Powercor, </w:t>
      </w:r>
      <w:r w:rsidRPr="00AF5B33">
        <w:rPr>
          <w:rStyle w:val="AERtextitalic"/>
        </w:rPr>
        <w:t>Revised Regulatory Proposal 2016-2020</w:t>
      </w:r>
      <w:r>
        <w:t xml:space="preserve">, January 2016, pp. 364-365; Frontier Economics, </w:t>
      </w:r>
      <w:r>
        <w:rPr>
          <w:rStyle w:val="AERtextitalic"/>
        </w:rPr>
        <w:t>Regulatory estimation of gamma report prepared for Powerlink</w:t>
      </w:r>
      <w:r>
        <w:t>, January 2016, pp. 13-15.</w:t>
      </w:r>
    </w:p>
  </w:footnote>
  <w:footnote w:id="188">
    <w:p w:rsidR="00021F98" w:rsidRDefault="00021F98" w:rsidP="00C52695">
      <w:pPr>
        <w:pStyle w:val="FootnoteText"/>
      </w:pPr>
      <w:r>
        <w:rPr>
          <w:rStyle w:val="FootnoteReference"/>
        </w:rPr>
        <w:footnoteRef/>
      </w:r>
      <w:r>
        <w:t xml:space="preserve"> </w:t>
      </w:r>
      <w:r>
        <w:tab/>
      </w:r>
      <w:r w:rsidRPr="000D4ED8">
        <w:t xml:space="preserve">United Energy, </w:t>
      </w:r>
      <w:r w:rsidRPr="000D4ED8">
        <w:rPr>
          <w:rStyle w:val="AERtextitalic"/>
        </w:rPr>
        <w:t>Submission on AER preliminary determination - Submission on gamma</w:t>
      </w:r>
      <w:r w:rsidRPr="000D4ED8">
        <w:t>, 26 April 2016</w:t>
      </w:r>
      <w:r w:rsidRPr="005764F6">
        <w:t>.</w:t>
      </w:r>
    </w:p>
  </w:footnote>
  <w:footnote w:id="189">
    <w:p w:rsidR="00021F98" w:rsidRDefault="00021F98"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294; 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pp. 357-358; AusNet Transmission, </w:t>
      </w:r>
      <w:r>
        <w:rPr>
          <w:rStyle w:val="AERtextitalic"/>
        </w:rPr>
        <w:t>Transmission Revenue Proposal Review 2017-2022, Revised Revenue Proposal</w:t>
      </w:r>
      <w:r>
        <w:t>, 21 September 2016, pp. 204, 210.</w:t>
      </w:r>
    </w:p>
  </w:footnote>
  <w:footnote w:id="190">
    <w:p w:rsidR="00021F98" w:rsidRDefault="00021F98"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286, 288, 305;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4, 20, 23; ActewAGL, </w:t>
      </w:r>
      <w:r w:rsidRPr="00AF5B33">
        <w:rPr>
          <w:rStyle w:val="AERtextitalic"/>
        </w:rPr>
        <w:t>Appendix 5.01 Detailed response to rate of return, gamma and inflation</w:t>
      </w:r>
      <w:r>
        <w:t xml:space="preserve">, January 2016, pp. 41, 115, 125; AusNet Electricity Services, </w:t>
      </w:r>
      <w:r w:rsidRPr="00AF5B33">
        <w:rPr>
          <w:rStyle w:val="AERtextitalic"/>
        </w:rPr>
        <w:t>Revised Regulatory Proposal</w:t>
      </w:r>
      <w:r>
        <w:t xml:space="preserve">, January 2016, pp. 7-84, 7-93, 7-107; United Energy, </w:t>
      </w:r>
      <w:r w:rsidRPr="00AF5B33">
        <w:rPr>
          <w:rStyle w:val="AERtextitalic"/>
        </w:rPr>
        <w:t>Response to AER Preliminary Determination Re: Rate of return and gamma</w:t>
      </w:r>
      <w:r>
        <w:t xml:space="preserve">, January 2016, pp. 86, 94, 97; CitiPower, </w:t>
      </w:r>
      <w:r w:rsidRPr="00AF5B33">
        <w:rPr>
          <w:rStyle w:val="AERtextitalic"/>
        </w:rPr>
        <w:t>Revised Regulatory Proposal 2016-2020</w:t>
      </w:r>
      <w:r>
        <w:t xml:space="preserve">; January 2016, pp. 364, 372, 375; Jemena Electricity Networks, </w:t>
      </w:r>
      <w:r w:rsidRPr="00AF5B33">
        <w:rPr>
          <w:rStyle w:val="AERtextitalic"/>
        </w:rPr>
        <w:t>Attachment 6-1 Rate of return, gamma, forecast inflation, and debt and equity raising costs</w:t>
      </w:r>
      <w:r>
        <w:t xml:space="preserve">, January 2016, pp. 92, 101, 104; Powercor, </w:t>
      </w:r>
      <w:r w:rsidRPr="00AF5B33">
        <w:rPr>
          <w:rStyle w:val="AERtextitalic"/>
        </w:rPr>
        <w:t>Revised Regulatory Proposal 2016-2020</w:t>
      </w:r>
      <w:r>
        <w:t xml:space="preserve">, January 2016, pp. 358, 366, 369; </w:t>
      </w:r>
      <w:r w:rsidRPr="008F5D24">
        <w:t>Australian Competition Tribunal, Application by Public Interest Advocacy Centre Ltd and Ausgrid [2016] ACompT 1, 26 February 2016, paras. 1048, 1090 and 1095</w:t>
      </w:r>
      <w:r>
        <w:t>; Powerlink</w:t>
      </w:r>
      <w:r w:rsidRPr="003E1CE7">
        <w:t xml:space="preserve">, </w:t>
      </w:r>
      <w:r>
        <w:rPr>
          <w:rStyle w:val="AERtextitalic"/>
        </w:rPr>
        <w:t>Powerlink Queensland Revenue Proposal Appendix 9.02</w:t>
      </w:r>
      <w:r w:rsidRPr="003E1CE7">
        <w:t xml:space="preserve">, </w:t>
      </w:r>
      <w:r>
        <w:t>31 January 2016, p</w:t>
      </w:r>
      <w:r w:rsidRPr="003E1CE7">
        <w:t>. </w:t>
      </w:r>
      <w:r>
        <w:t>6;</w:t>
      </w:r>
      <w:r w:rsidRPr="00F07197">
        <w:t xml:space="preserve"> </w:t>
      </w:r>
      <w:r>
        <w:t xml:space="preserve">AusNet Transmission, </w:t>
      </w:r>
      <w:r>
        <w:rPr>
          <w:rStyle w:val="AERtextitalic"/>
        </w:rPr>
        <w:t>Transmission Revenue Proposal Review 2017-2022, Revised Revenue Proposal</w:t>
      </w:r>
      <w:r>
        <w:t xml:space="preserve">, 21 September 2016, pp. 208, 210; Frontier Economics, </w:t>
      </w:r>
      <w:r>
        <w:rPr>
          <w:rStyle w:val="AERtextitalic"/>
        </w:rPr>
        <w:t>Issues in the estimation of gamma</w:t>
      </w:r>
      <w:r>
        <w:t>, September 2016, p. 4.</w:t>
      </w:r>
    </w:p>
  </w:footnote>
  <w:footnote w:id="191">
    <w:p w:rsidR="00021F98" w:rsidRDefault="00021F98" w:rsidP="00C52695">
      <w:pPr>
        <w:pStyle w:val="FootnoteText"/>
      </w:pPr>
      <w:r>
        <w:rPr>
          <w:rStyle w:val="FootnoteReference"/>
        </w:rPr>
        <w:footnoteRef/>
      </w:r>
      <w:r>
        <w:t xml:space="preserve"> </w:t>
      </w:r>
      <w:r>
        <w:tab/>
        <w:t xml:space="preserve">For an example of the correct use of the term "upper bound" see John. C. Hull, Options Futures and other Derivatives, Fourth Edition, 2000, p. 171. </w:t>
      </w:r>
    </w:p>
  </w:footnote>
  <w:footnote w:id="192">
    <w:p w:rsidR="00021F98" w:rsidRDefault="00021F98" w:rsidP="00C52695">
      <w:pPr>
        <w:pStyle w:val="FootnoteText"/>
      </w:pPr>
      <w:r>
        <w:rPr>
          <w:rStyle w:val="FootnoteReference"/>
        </w:rPr>
        <w:footnoteRef/>
      </w:r>
      <w:r>
        <w:t xml:space="preserve"> </w:t>
      </w:r>
      <w:r>
        <w:tab/>
      </w:r>
      <w:r w:rsidRPr="00345C01">
        <w:t xml:space="preserve">M. Lally, </w:t>
      </w:r>
      <w:r w:rsidRPr="00345C01">
        <w:rPr>
          <w:rStyle w:val="AERtextitalic"/>
        </w:rPr>
        <w:t>Gamma and the ACT Decision</w:t>
      </w:r>
      <w:r w:rsidRPr="00345C01">
        <w:t>, May 2016, p. 23.</w:t>
      </w:r>
    </w:p>
  </w:footnote>
  <w:footnote w:id="193">
    <w:p w:rsidR="00021F98" w:rsidRPr="00341F69" w:rsidRDefault="00021F98" w:rsidP="00CC480F">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85A29">
        <w:rPr>
          <w:rStyle w:val="AERtextitalic"/>
          <w:i w:val="0"/>
        </w:rPr>
        <w:t xml:space="preserve">September 2016, </w:t>
      </w:r>
      <w:r w:rsidRPr="00CC480F">
        <w:rPr>
          <w:rStyle w:val="AERtextitalic"/>
          <w:i w:val="0"/>
        </w:rPr>
        <w:t>p</w:t>
      </w:r>
      <w:r w:rsidRPr="00F5204A">
        <w:rPr>
          <w:rStyle w:val="AERtextitalic"/>
          <w:i w:val="0"/>
        </w:rPr>
        <w:t>p</w:t>
      </w:r>
      <w:r w:rsidRPr="00CC480F">
        <w:rPr>
          <w:rStyle w:val="AERtextitalic"/>
          <w:i w:val="0"/>
        </w:rPr>
        <w:t>. 3-4</w:t>
      </w:r>
      <w:r w:rsidRPr="00F5204A">
        <w:rPr>
          <w:rStyle w:val="AERtextitalic"/>
          <w:i w:val="0"/>
        </w:rPr>
        <w:t>, 12-15</w:t>
      </w:r>
      <w:r>
        <w:rPr>
          <w:rStyle w:val="AERtextitalic"/>
        </w:rPr>
        <w:t xml:space="preserve">; </w:t>
      </w:r>
      <w:r>
        <w:t xml:space="preserve">AusNet Transmission, </w:t>
      </w:r>
      <w:r>
        <w:rPr>
          <w:rStyle w:val="AERtextitalic"/>
        </w:rPr>
        <w:t>Transmission Revenue Proposal Review 2017-2022, Revised Revenue Proposal</w:t>
      </w:r>
      <w:r>
        <w:t>, 21 September 2016, p. 210.</w:t>
      </w:r>
    </w:p>
  </w:footnote>
  <w:footnote w:id="194">
    <w:p w:rsidR="00021F98" w:rsidRDefault="00021F98"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286;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pp. 41, 46;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pp. 364-365; Jemena Electricity Networks, </w:t>
      </w:r>
      <w:r w:rsidRPr="00AF5B33">
        <w:rPr>
          <w:rStyle w:val="AERtextitalic"/>
        </w:rPr>
        <w:t>Attachment 6-1 Rate of return, gamma, forecast inflation, and debt and equity raising costs</w:t>
      </w:r>
      <w:r>
        <w:t xml:space="preserve">, January 2016, pp. 92-93; Powercor, </w:t>
      </w:r>
      <w:r w:rsidRPr="00AF5B33">
        <w:rPr>
          <w:rStyle w:val="AERtextitalic"/>
        </w:rPr>
        <w:t>Revised Regulatory Proposal 2016-2020</w:t>
      </w:r>
      <w:r>
        <w:t xml:space="preserve">, January 2016, pp. 358-359; APNT, </w:t>
      </w:r>
      <w:r w:rsidRPr="00903ED1">
        <w:rPr>
          <w:rStyle w:val="AERtextitalic"/>
        </w:rPr>
        <w:t>Access Arrangement Revised Proposal to Draft Decision</w:t>
      </w:r>
      <w:r>
        <w:t xml:space="preserve">, January 2016, p. 93; AusNet Transmission, </w:t>
      </w:r>
      <w:r>
        <w:rPr>
          <w:rStyle w:val="AERtextitalic"/>
        </w:rPr>
        <w:t>Transmission Revenue Proposal Review 2017-2022, Revised Revenue Proposal</w:t>
      </w:r>
      <w:r>
        <w:t>, 21 September 2016, p. 211.</w:t>
      </w:r>
    </w:p>
  </w:footnote>
  <w:footnote w:id="195">
    <w:p w:rsidR="00021F98" w:rsidRDefault="00021F98" w:rsidP="00C52695">
      <w:pPr>
        <w:pStyle w:val="FootnoteText"/>
      </w:pPr>
      <w:r>
        <w:rPr>
          <w:rStyle w:val="FootnoteReference"/>
        </w:rPr>
        <w:footnoteRef/>
      </w:r>
      <w:r>
        <w:t xml:space="preserve"> </w:t>
      </w:r>
      <w:r>
        <w:tab/>
        <w:t>Powerlink</w:t>
      </w:r>
      <w:r w:rsidRPr="003E1CE7">
        <w:t xml:space="preserve">, </w:t>
      </w:r>
      <w:r>
        <w:rPr>
          <w:rStyle w:val="AERtextitalic"/>
        </w:rPr>
        <w:t>Powerlink Queensland Revenue Proposal Appendix 9.02</w:t>
      </w:r>
      <w:r w:rsidRPr="003E1CE7">
        <w:t xml:space="preserve">, </w:t>
      </w:r>
      <w:r>
        <w:t>31 January 2016, p</w:t>
      </w:r>
      <w:r w:rsidRPr="003E1CE7">
        <w:t>. </w:t>
      </w:r>
      <w:r>
        <w:t>7.</w:t>
      </w:r>
    </w:p>
  </w:footnote>
  <w:footnote w:id="196">
    <w:p w:rsidR="00021F98" w:rsidRDefault="00021F98" w:rsidP="00C52695">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1096.</w:t>
      </w:r>
    </w:p>
  </w:footnote>
  <w:footnote w:id="197">
    <w:p w:rsidR="00021F98" w:rsidRDefault="00021F98"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17 and 20; Frontier Economics, </w:t>
      </w:r>
      <w:r w:rsidRPr="00D14DE4">
        <w:rPr>
          <w:rStyle w:val="AERtextitalic"/>
        </w:rPr>
        <w:t>An appropriate regulatory estimate of gamma</w:t>
      </w:r>
      <w:r>
        <w:t xml:space="preserve">, June 2015, p. 33; Frontier Economics, </w:t>
      </w:r>
      <w:r>
        <w:rPr>
          <w:rStyle w:val="AERtextitalic"/>
        </w:rPr>
        <w:t>Regulatory estimation of gamma report prepared for Powerlink</w:t>
      </w:r>
      <w:r>
        <w:t>, January 2016, p. 10; Powerlink</w:t>
      </w:r>
      <w:r w:rsidRPr="003E1CE7">
        <w:t xml:space="preserve">, </w:t>
      </w:r>
      <w:r>
        <w:rPr>
          <w:rStyle w:val="AERtextitalic"/>
        </w:rPr>
        <w:t>Powerlink Queensland Revenue Proposal Appendix 9.02</w:t>
      </w:r>
      <w:r w:rsidRPr="003E1CE7">
        <w:t xml:space="preserve">, </w:t>
      </w:r>
      <w:r>
        <w:t>31 January 2016, p</w:t>
      </w:r>
      <w:r w:rsidRPr="003E1CE7">
        <w:t>. </w:t>
      </w:r>
      <w:r>
        <w:t xml:space="preserve">7; AusNet Transmission, </w:t>
      </w:r>
      <w:r>
        <w:rPr>
          <w:rStyle w:val="AERtextitalic"/>
        </w:rPr>
        <w:t>Transmission Revenue Proposal Review 2017-2022, Revised Revenue Proposal</w:t>
      </w:r>
      <w:r>
        <w:t>, 21 September 2016, pp. 209, 211-212.</w:t>
      </w:r>
    </w:p>
  </w:footnote>
  <w:footnote w:id="198">
    <w:p w:rsidR="00021F98" w:rsidRDefault="00021F98"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300; Australian Gas Networks, </w:t>
      </w:r>
      <w:r>
        <w:rPr>
          <w:rStyle w:val="AERtextitalic"/>
        </w:rPr>
        <w:t>Attachment 11 Response to Draft Decision: Cost of Tax</w:t>
      </w:r>
      <w:r>
        <w:t xml:space="preserve">, January 2016, p. 13; ActewAGL, </w:t>
      </w:r>
      <w:r w:rsidRPr="00C3341F">
        <w:rPr>
          <w:rStyle w:val="AERtextitalic"/>
        </w:rPr>
        <w:t>Appendix 5.01 Detailed response to rate of return, gamma and inflation</w:t>
      </w:r>
      <w:r>
        <w:t xml:space="preserve">, January 2016, p. 117; AusNet Electricity Services, </w:t>
      </w:r>
      <w:r w:rsidRPr="00C3341F">
        <w:rPr>
          <w:rStyle w:val="AERtextitalic"/>
        </w:rPr>
        <w:t>Revised Regulatory Proposal</w:t>
      </w:r>
      <w:r>
        <w:t>, January 2016, p. 7-85; United Energy, Re</w:t>
      </w:r>
      <w:r w:rsidRPr="00C3341F">
        <w:rPr>
          <w:rStyle w:val="AERtextitalic"/>
        </w:rPr>
        <w:t>sponse to AER Preliminary Determination Re: Rate of return and gamma</w:t>
      </w:r>
      <w:r>
        <w:t xml:space="preserve">, January 2016, p. 87; CitiPower, </w:t>
      </w:r>
      <w:r w:rsidRPr="00C3341F">
        <w:rPr>
          <w:rStyle w:val="AERtextitalic"/>
        </w:rPr>
        <w:t>Revised Regulatory Proposal 2016-2020</w:t>
      </w:r>
      <w:r>
        <w:t xml:space="preserve">; January 2016, p. 365; Jemena Electricity Networks, </w:t>
      </w:r>
      <w:r w:rsidRPr="00C3341F">
        <w:rPr>
          <w:rStyle w:val="AERtextitalic"/>
        </w:rPr>
        <w:t>Attachment 6-1 Rate of return, gamma, forecast inflation, and debt and equity raising costs</w:t>
      </w:r>
      <w:r>
        <w:t xml:space="preserve">, January 2016, p. 93; Powercor, </w:t>
      </w:r>
      <w:r w:rsidRPr="00C3341F">
        <w:rPr>
          <w:rStyle w:val="AERtextitalic"/>
        </w:rPr>
        <w:t>Revised Regulatory Proposal 2016-2020</w:t>
      </w:r>
      <w:r>
        <w:t xml:space="preserve">, January 2016, p. 359; AusNet Transmission, </w:t>
      </w:r>
      <w:r>
        <w:rPr>
          <w:rStyle w:val="AERtextitalic"/>
        </w:rPr>
        <w:t>Transmission Revenue Proposal Review 2017-2022, Revised Revenue Proposal</w:t>
      </w:r>
      <w:r>
        <w:t>, 21 September 2016, p. 204.</w:t>
      </w:r>
    </w:p>
  </w:footnote>
  <w:footnote w:id="199">
    <w:p w:rsidR="00021F98" w:rsidRDefault="00021F98"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4, 13, 22; ActewAGL, </w:t>
      </w:r>
      <w:r w:rsidRPr="005764F6">
        <w:rPr>
          <w:rStyle w:val="AERtextitalic"/>
        </w:rPr>
        <w:t>Appendix 5.01 Detailed response to rate of return, gamma and inflation</w:t>
      </w:r>
      <w:r>
        <w:t xml:space="preserve">, January 2016, pp. 41,117,127; AusNet Electricity Services, </w:t>
      </w:r>
      <w:r w:rsidRPr="005764F6">
        <w:rPr>
          <w:rStyle w:val="AERtextitalic"/>
        </w:rPr>
        <w:t>Revised Regulatory Proposal</w:t>
      </w:r>
      <w:r>
        <w:t xml:space="preserve">, January 2016, pp. 7-86, 7-94; United Energy, </w:t>
      </w:r>
      <w:r w:rsidRPr="005764F6">
        <w:rPr>
          <w:rStyle w:val="AERtextitalic"/>
        </w:rPr>
        <w:t>Response to AER Preliminary Determination Re: Rate of return and gamma</w:t>
      </w:r>
      <w:r>
        <w:t xml:space="preserve">, January 2016, pp. 87, 95; CitiPower, </w:t>
      </w:r>
      <w:r w:rsidRPr="005764F6">
        <w:rPr>
          <w:rStyle w:val="AERtextitalic"/>
        </w:rPr>
        <w:t>Revised Regulatory Proposal 2016-2020</w:t>
      </w:r>
      <w:r>
        <w:t xml:space="preserve">; January 2016, pp. 365, 373; Jemena Electricity Networks, </w:t>
      </w:r>
      <w:r w:rsidRPr="005764F6">
        <w:rPr>
          <w:rStyle w:val="AERtextitalic"/>
        </w:rPr>
        <w:t>Attachment 6-1 Rate of return, gamma, forecast inflation, and debt and equity raising costs</w:t>
      </w:r>
      <w:r>
        <w:t xml:space="preserve">, January 2016, pp. 94, 103; Powercor, </w:t>
      </w:r>
      <w:r w:rsidRPr="005764F6">
        <w:rPr>
          <w:rStyle w:val="AERtextitalic"/>
        </w:rPr>
        <w:t>Revised Regulatory Proposal 2016-2020</w:t>
      </w:r>
      <w:r>
        <w:t>, January 2016, pp. 359, 367.</w:t>
      </w:r>
    </w:p>
  </w:footnote>
  <w:footnote w:id="200">
    <w:p w:rsidR="00021F98" w:rsidRDefault="00021F98"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301, 303, 306; Australian Gas Networks, </w:t>
      </w:r>
      <w:r>
        <w:rPr>
          <w:rStyle w:val="AERtextitalic"/>
        </w:rPr>
        <w:t>Attachment 11 Response to Draft Decision: Cost of Tax</w:t>
      </w:r>
      <w:r>
        <w:t xml:space="preserve">, January 2016, pp. 13-14, 20; ActewAGL, Appendix 5.01 Detailed response to rate of return, gamma and inflation, January 2016, pp. 117-120, 125-12:  AusNet Electricity Services, </w:t>
      </w:r>
      <w:r w:rsidRPr="00793854">
        <w:rPr>
          <w:rStyle w:val="AERtextitalic"/>
        </w:rPr>
        <w:t>Revised Regulatory Proposal</w:t>
      </w:r>
      <w:r>
        <w:t xml:space="preserve">, January 2016, pp. 7-86, 7-87, 7-93; United Energy, </w:t>
      </w:r>
      <w:r w:rsidRPr="00793854">
        <w:rPr>
          <w:rStyle w:val="AERtextitalic"/>
        </w:rPr>
        <w:t>Response to AER Preliminary Determination Re: Rate of return and gamma</w:t>
      </w:r>
      <w:r>
        <w:t xml:space="preserve">, January 2016, pp. 87, 88, 94; CitiPower, </w:t>
      </w:r>
      <w:r w:rsidRPr="00793854">
        <w:rPr>
          <w:rStyle w:val="AERtextitalic"/>
        </w:rPr>
        <w:t>Revised Regulatory Proposal 2016-2020</w:t>
      </w:r>
      <w:r>
        <w:t xml:space="preserve">; January 2016, pp. 365-366, 372; Jemena Electricity Networks, </w:t>
      </w:r>
      <w:r w:rsidRPr="00793854">
        <w:rPr>
          <w:rStyle w:val="AERtextitalic"/>
        </w:rPr>
        <w:t>Attachment 6-1 Rate of return, gamma, forecast inflation, and debt and equity raising costs</w:t>
      </w:r>
      <w:r>
        <w:t xml:space="preserve">, January 2016, pp. 94-95, 102; Powercor, </w:t>
      </w:r>
      <w:r w:rsidRPr="00793854">
        <w:rPr>
          <w:rStyle w:val="AERtextitalic"/>
        </w:rPr>
        <w:t>Revised Regulatory Proposal 2016-2020</w:t>
      </w:r>
      <w:r>
        <w:t>, January 2016, pp. 359-360, 366.</w:t>
      </w:r>
    </w:p>
  </w:footnote>
  <w:footnote w:id="201">
    <w:p w:rsidR="00021F98" w:rsidRDefault="00021F98" w:rsidP="003B47A6">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37–38; Frontier Economics, </w:t>
      </w:r>
      <w:r>
        <w:rPr>
          <w:rStyle w:val="AERtextitalic"/>
        </w:rPr>
        <w:t>Issues in the estimation of gamma</w:t>
      </w:r>
      <w:r>
        <w:t>, September 2016, pp. 23-24.</w:t>
      </w:r>
    </w:p>
  </w:footnote>
  <w:footnote w:id="202">
    <w:p w:rsidR="00021F98" w:rsidRPr="00D81354" w:rsidRDefault="00021F98" w:rsidP="00AC26C8">
      <w:pPr>
        <w:pStyle w:val="FootnoteText"/>
      </w:pPr>
      <w:r>
        <w:rPr>
          <w:rStyle w:val="FootnoteReference"/>
        </w:rPr>
        <w:footnoteRef/>
      </w:r>
      <w:r>
        <w:t xml:space="preserve"> </w:t>
      </w:r>
      <w:r>
        <w:tab/>
        <w:t xml:space="preserve">M. Lally, </w:t>
      </w:r>
      <w:r w:rsidRPr="00E750F8">
        <w:rPr>
          <w:rStyle w:val="AERtextitalic"/>
        </w:rPr>
        <w:t xml:space="preserve">Issues in the estimation of gamma, </w:t>
      </w:r>
      <w:r w:rsidRPr="004423C9">
        <w:rPr>
          <w:rStyle w:val="AERtextitalic"/>
          <w:i w:val="0"/>
        </w:rPr>
        <w:t>April</w:t>
      </w:r>
      <w:r w:rsidRPr="00E750F8">
        <w:rPr>
          <w:rStyle w:val="AERtextitalic"/>
          <w:i w:val="0"/>
        </w:rPr>
        <w:t xml:space="preserve"> 2017</w:t>
      </w:r>
      <w:r w:rsidRPr="00AC26C8">
        <w:rPr>
          <w:rStyle w:val="AERtextitalic"/>
          <w:i w:val="0"/>
        </w:rPr>
        <w:t xml:space="preserve">, </w:t>
      </w:r>
      <w:r w:rsidRPr="00A42583">
        <w:rPr>
          <w:rStyle w:val="AERtextitalic"/>
          <w:i w:val="0"/>
        </w:rPr>
        <w:t>p</w:t>
      </w:r>
      <w:r w:rsidRPr="00D81354">
        <w:rPr>
          <w:rStyle w:val="AERtextitalic"/>
          <w:i w:val="0"/>
        </w:rPr>
        <w:t>p. 21-22</w:t>
      </w:r>
      <w:r w:rsidRPr="004423C9">
        <w:rPr>
          <w:rStyle w:val="AERtextitalic"/>
          <w:i w:val="0"/>
        </w:rPr>
        <w:t>,</w:t>
      </w:r>
      <w:r w:rsidRPr="00AC26C8">
        <w:rPr>
          <w:rStyle w:val="AERtextitalic"/>
          <w:i w:val="0"/>
        </w:rPr>
        <w:t xml:space="preserve"> 26</w:t>
      </w:r>
      <w:r w:rsidRPr="00A42583">
        <w:rPr>
          <w:rStyle w:val="AERtextitalic"/>
          <w:i w:val="0"/>
        </w:rPr>
        <w:t>.</w:t>
      </w:r>
    </w:p>
  </w:footnote>
  <w:footnote w:id="203">
    <w:p w:rsidR="00021F98" w:rsidRDefault="00021F98" w:rsidP="00C52695">
      <w:pPr>
        <w:pStyle w:val="FootnoteText"/>
      </w:pPr>
      <w:r>
        <w:rPr>
          <w:rStyle w:val="FootnoteReference"/>
        </w:rPr>
        <w:footnoteRef/>
      </w:r>
      <w:r>
        <w:t xml:space="preserve"> </w:t>
      </w:r>
      <w:r>
        <w:tab/>
      </w:r>
      <w:r w:rsidRPr="008F5D24">
        <w:t xml:space="preserve">HoustonKemp, </w:t>
      </w:r>
      <w:r w:rsidRPr="00D414CC">
        <w:rPr>
          <w:rStyle w:val="Emphasis"/>
        </w:rPr>
        <w:t>A response to the Australian Energy Regulator Draft Decision on Australian Gas Networks AA2016 Revenue Reset</w:t>
      </w:r>
      <w:r w:rsidRPr="008F5D24">
        <w:t xml:space="preserve">, February 2016, p. </w:t>
      </w:r>
      <w:r>
        <w:t>28</w:t>
      </w:r>
      <w:r w:rsidRPr="008F5D24">
        <w:t>.</w:t>
      </w:r>
    </w:p>
  </w:footnote>
  <w:footnote w:id="204">
    <w:p w:rsidR="00021F98" w:rsidRDefault="00021F98" w:rsidP="00C52695">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205">
    <w:p w:rsidR="00021F98" w:rsidRPr="001966E3" w:rsidRDefault="00021F98" w:rsidP="00C52695">
      <w:pPr>
        <w:pStyle w:val="FootnoteText"/>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xml:space="preserve">, 8 August 2014, pp. 90–92; PIAC, </w:t>
      </w:r>
      <w:r w:rsidRPr="001966E3">
        <w:rPr>
          <w:rStyle w:val="AERtextitalic"/>
        </w:rPr>
        <w:t>A missed opportunity? Submission to the Australian Energy Regulator’s draft determination for Ausgrid, Endeavour Energy and Essential Energy</w:t>
      </w:r>
      <w:r>
        <w:t>, 13 February 2015, p. 46.</w:t>
      </w:r>
    </w:p>
  </w:footnote>
  <w:footnote w:id="206">
    <w:p w:rsidR="00021F98" w:rsidRDefault="00021F98" w:rsidP="00C52695">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207">
    <w:p w:rsidR="00021F98" w:rsidRDefault="00021F98" w:rsidP="00C52695">
      <w:pPr>
        <w:pStyle w:val="FootnoteText"/>
      </w:pPr>
      <w:r>
        <w:rPr>
          <w:rStyle w:val="FootnoteReference"/>
        </w:rPr>
        <w:footnoteRef/>
      </w:r>
      <w:r>
        <w:t xml:space="preserve"> </w:t>
      </w:r>
      <w:r>
        <w:tab/>
        <w:t xml:space="preserve">PIAC, </w:t>
      </w:r>
      <w:r w:rsidRPr="001966E3">
        <w:rPr>
          <w:rStyle w:val="AERtextitalic"/>
        </w:rPr>
        <w:t>A missed opportunity? Submission to the Australian Energy Regulator’s draft determination for Ausgrid, Endeavour Energy and Essential Energy</w:t>
      </w:r>
      <w:r>
        <w:t>, 13 February 2015, pp. 19–20.</w:t>
      </w:r>
    </w:p>
  </w:footnote>
  <w:footnote w:id="208">
    <w:p w:rsidR="00021F98" w:rsidRDefault="00021F98" w:rsidP="00C52695">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209">
    <w:p w:rsidR="00021F98" w:rsidRDefault="00021F98" w:rsidP="00C52695">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210">
    <w:p w:rsidR="00021F98" w:rsidRDefault="00021F98" w:rsidP="00C52695">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211">
    <w:p w:rsidR="00021F98" w:rsidRDefault="00021F98" w:rsidP="00C52695">
      <w:pPr>
        <w:pStyle w:val="FootnoteText"/>
      </w:pPr>
      <w:r>
        <w:rPr>
          <w:rStyle w:val="FootnoteReference"/>
        </w:rPr>
        <w:footnoteRef/>
      </w:r>
      <w:r>
        <w:t xml:space="preserve"> </w:t>
      </w:r>
      <w:r>
        <w:tab/>
        <w:t xml:space="preserve">SACOSS, </w:t>
      </w:r>
      <w:r w:rsidRPr="00B36753">
        <w:rPr>
          <w:rStyle w:val="AERtextitalic"/>
        </w:rPr>
        <w:t>Submission to Australian Energy Regulator on SA Power Networks’ 2015 – 2020 Regulatory Proposal</w:t>
      </w:r>
      <w:r>
        <w:t>, January 2015, p. 21.</w:t>
      </w:r>
    </w:p>
  </w:footnote>
  <w:footnote w:id="212">
    <w:p w:rsidR="00021F98" w:rsidRDefault="00021F98" w:rsidP="00C52695">
      <w:pPr>
        <w:pStyle w:val="FootnoteText"/>
      </w:pPr>
      <w:r>
        <w:rPr>
          <w:rStyle w:val="FootnoteReference"/>
        </w:rPr>
        <w:footnoteRef/>
      </w:r>
      <w:r>
        <w:t xml:space="preserve"> </w:t>
      </w:r>
      <w:r>
        <w:tab/>
        <w:t xml:space="preserve">SACOSS, </w:t>
      </w:r>
      <w:r w:rsidRPr="00B36753">
        <w:rPr>
          <w:rStyle w:val="AERtextitalic"/>
        </w:rPr>
        <w:t xml:space="preserve">Submission to Australian Energy Regulator on SA Power Networks’ 2015 – 2020 </w:t>
      </w:r>
      <w:r>
        <w:rPr>
          <w:rStyle w:val="AERtextitalic"/>
        </w:rPr>
        <w:t xml:space="preserve">AER Preliminary Decision </w:t>
      </w:r>
      <w:r>
        <w:t>June 2015, p. 5.</w:t>
      </w:r>
    </w:p>
  </w:footnote>
  <w:footnote w:id="213">
    <w:p w:rsidR="00021F98" w:rsidRDefault="00021F98" w:rsidP="00C52695">
      <w:pPr>
        <w:pStyle w:val="FootnoteText"/>
      </w:pPr>
      <w:r>
        <w:rPr>
          <w:rStyle w:val="FootnoteReference"/>
        </w:rPr>
        <w:footnoteRef/>
      </w:r>
      <w:r>
        <w:t xml:space="preserve"> </w:t>
      </w:r>
      <w:r>
        <w:tab/>
        <w:t xml:space="preserve">ECCSA, </w:t>
      </w:r>
      <w:r w:rsidRPr="003504FC">
        <w:rPr>
          <w:rStyle w:val="AERtextitalic"/>
        </w:rPr>
        <w:t>SA Electricity Distribution Revenue Reset, SA Power</w:t>
      </w:r>
      <w:r>
        <w:rPr>
          <w:rStyle w:val="AERtextitalic"/>
        </w:rPr>
        <w:t xml:space="preserve"> </w:t>
      </w:r>
      <w:r w:rsidRPr="003504FC">
        <w:rPr>
          <w:rStyle w:val="AERtextitalic"/>
        </w:rPr>
        <w:t>Networks</w:t>
      </w:r>
      <w:r>
        <w:rPr>
          <w:rStyle w:val="AERtextitalic"/>
        </w:rPr>
        <w:t>'</w:t>
      </w:r>
      <w:r w:rsidRPr="003504FC">
        <w:rPr>
          <w:rStyle w:val="AERtextitalic"/>
        </w:rPr>
        <w:t xml:space="preserve"> Application, A response</w:t>
      </w:r>
      <w:r>
        <w:t>, December 2014, pp. 80–81.</w:t>
      </w:r>
    </w:p>
  </w:footnote>
  <w:footnote w:id="214">
    <w:p w:rsidR="00021F98" w:rsidRDefault="00021F98" w:rsidP="00C52695">
      <w:pPr>
        <w:pStyle w:val="FootnoteText"/>
      </w:pPr>
      <w:r>
        <w:rPr>
          <w:rStyle w:val="FootnoteReference"/>
        </w:rPr>
        <w:footnoteRef/>
      </w:r>
      <w:r>
        <w:t xml:space="preserve"> </w:t>
      </w:r>
      <w:r>
        <w:tab/>
        <w:t xml:space="preserve">ECCSA, </w:t>
      </w:r>
      <w:r w:rsidRPr="003504FC">
        <w:rPr>
          <w:rStyle w:val="AERtextitalic"/>
        </w:rPr>
        <w:t>SA Electricity Distribution Revenue Res</w:t>
      </w:r>
      <w:r>
        <w:rPr>
          <w:rStyle w:val="AERtextitalic"/>
        </w:rPr>
        <w:t>et, The AER preliminary decision</w:t>
      </w:r>
      <w:r w:rsidRPr="003504FC">
        <w:rPr>
          <w:rStyle w:val="AERtextitalic"/>
        </w:rPr>
        <w:t>, A response</w:t>
      </w:r>
      <w:r>
        <w:t>, June 2015, p. 42.</w:t>
      </w:r>
    </w:p>
  </w:footnote>
  <w:footnote w:id="215">
    <w:p w:rsidR="00021F98" w:rsidRDefault="00021F98" w:rsidP="00C52695">
      <w:pPr>
        <w:pStyle w:val="FootnoteText"/>
      </w:pPr>
      <w:r>
        <w:rPr>
          <w:rStyle w:val="FootnoteReference"/>
        </w:rPr>
        <w:footnoteRef/>
      </w:r>
      <w:r>
        <w:t xml:space="preserve"> </w:t>
      </w:r>
      <w:r>
        <w:tab/>
        <w:t xml:space="preserve">ECCSA, </w:t>
      </w:r>
      <w:r>
        <w:rPr>
          <w:rStyle w:val="AERtextitalic"/>
        </w:rPr>
        <w:t>A response to the Australian Energy Regulator Draft Decision on Australian Gas Networks AA2016 Revenue Reset</w:t>
      </w:r>
      <w:r>
        <w:t>, February 2016, p. 35.</w:t>
      </w:r>
    </w:p>
  </w:footnote>
  <w:footnote w:id="216">
    <w:p w:rsidR="00021F98" w:rsidRDefault="00021F98" w:rsidP="00C52695">
      <w:pPr>
        <w:pStyle w:val="FootnoteText"/>
      </w:pPr>
      <w:r>
        <w:rPr>
          <w:rStyle w:val="FootnoteReference"/>
        </w:rPr>
        <w:footnoteRef/>
      </w:r>
      <w:r>
        <w:t xml:space="preserve"> </w:t>
      </w:r>
      <w:r>
        <w:tab/>
      </w:r>
      <w:r w:rsidRPr="009A6FC1">
        <w:t xml:space="preserve">ECCSA, </w:t>
      </w:r>
      <w:r w:rsidRPr="00D414CC">
        <w:rPr>
          <w:rStyle w:val="Emphasis"/>
        </w:rPr>
        <w:t>A response to the Australian Energy Regulator Draft Decision on Australian Gas Networks AA2016 Revenue Reset</w:t>
      </w:r>
      <w:r w:rsidRPr="009A6FC1">
        <w:t>, February 2016, p. 35.</w:t>
      </w:r>
    </w:p>
  </w:footnote>
  <w:footnote w:id="217">
    <w:p w:rsidR="00021F98" w:rsidRDefault="00021F98" w:rsidP="00C52695">
      <w:pPr>
        <w:pStyle w:val="FootnoteText"/>
      </w:pPr>
      <w:r>
        <w:rPr>
          <w:rStyle w:val="FootnoteReference"/>
        </w:rPr>
        <w:footnoteRef/>
      </w:r>
      <w:r>
        <w:t xml:space="preserve"> </w:t>
      </w:r>
      <w:r>
        <w:tab/>
        <w:t xml:space="preserve">QCOSS, </w:t>
      </w:r>
      <w:r w:rsidRPr="0014196F">
        <w:rPr>
          <w:rStyle w:val="AERtextitalic"/>
        </w:rPr>
        <w:t>Understanding the long term interests of electricity customers, Submission to the AER’s Queensland electricity distribution determination 2015-2020</w:t>
      </w:r>
      <w:r>
        <w:t>, 30 January 2015, p. 81.</w:t>
      </w:r>
    </w:p>
  </w:footnote>
  <w:footnote w:id="218">
    <w:p w:rsidR="00021F98" w:rsidRDefault="00021F98" w:rsidP="00C52695">
      <w:pPr>
        <w:pStyle w:val="FootnoteText"/>
      </w:pPr>
      <w:r>
        <w:rPr>
          <w:rStyle w:val="FootnoteReference"/>
        </w:rPr>
        <w:footnoteRef/>
      </w:r>
      <w:r>
        <w:t xml:space="preserve"> </w:t>
      </w:r>
      <w:r>
        <w:tab/>
        <w:t xml:space="preserve">Alliance of Electricity Consumers, </w:t>
      </w:r>
      <w:r w:rsidRPr="00F31D12">
        <w:rPr>
          <w:rStyle w:val="AERtextitalic"/>
        </w:rPr>
        <w:t>Submission on Ergon Energy’s Regulatory Proposal 2015-­2020</w:t>
      </w:r>
      <w:r>
        <w:t>, 30 January 2015, p. 24.</w:t>
      </w:r>
    </w:p>
  </w:footnote>
  <w:footnote w:id="219">
    <w:p w:rsidR="00021F98" w:rsidRDefault="00021F98" w:rsidP="00C52695">
      <w:pPr>
        <w:pStyle w:val="FootnoteText"/>
      </w:pPr>
      <w:r>
        <w:rPr>
          <w:rStyle w:val="FootnoteReference"/>
        </w:rPr>
        <w:footnoteRef/>
      </w:r>
      <w:r>
        <w:t xml:space="preserve"> </w:t>
      </w:r>
      <w:r>
        <w:tab/>
        <w:t xml:space="preserve">Uniting Care Australia, </w:t>
      </w:r>
      <w:r w:rsidRPr="00D414CC">
        <w:rPr>
          <w:rStyle w:val="Emphasis"/>
        </w:rPr>
        <w:t>Submission to the Australian Energy Regulator -Response to Electricity Distribution Business Revised Regulatory Proposal from 2015–20 from SA Power Networks, and AER Preliminary Determination</w:t>
      </w:r>
      <w:r w:rsidRPr="00B239C6">
        <w:t>, July 2015, p.</w:t>
      </w:r>
      <w:r>
        <w:t> </w:t>
      </w:r>
      <w:r w:rsidRPr="00B239C6">
        <w:t>29.</w:t>
      </w:r>
    </w:p>
  </w:footnote>
  <w:footnote w:id="220">
    <w:p w:rsidR="00021F98" w:rsidRDefault="00021F98" w:rsidP="00C52695">
      <w:pPr>
        <w:pStyle w:val="FootnoteText"/>
      </w:pPr>
      <w:r>
        <w:rPr>
          <w:rStyle w:val="FootnoteReference"/>
        </w:rPr>
        <w:footnoteRef/>
      </w:r>
      <w:r>
        <w:t xml:space="preserve"> </w:t>
      </w:r>
      <w:r>
        <w:tab/>
        <w:t xml:space="preserve">CCP, </w:t>
      </w:r>
      <w:r>
        <w:rPr>
          <w:rStyle w:val="AERtextitalic"/>
        </w:rPr>
        <w:t>Transmission for the Generators</w:t>
      </w:r>
      <w:r>
        <w:t>, February 2016, pp. 6, 43.</w:t>
      </w:r>
    </w:p>
  </w:footnote>
  <w:footnote w:id="221">
    <w:p w:rsidR="00021F98" w:rsidRDefault="00021F98" w:rsidP="00C52695">
      <w:pPr>
        <w:pStyle w:val="FootnoteText"/>
      </w:pPr>
      <w:r>
        <w:rPr>
          <w:rStyle w:val="FootnoteReference"/>
        </w:rPr>
        <w:footnoteRef/>
      </w:r>
      <w:r>
        <w:t xml:space="preserve"> </w:t>
      </w:r>
      <w:r>
        <w:tab/>
        <w:t xml:space="preserve">CCP, </w:t>
      </w:r>
      <w:r>
        <w:rPr>
          <w:rStyle w:val="AERtextitalic"/>
        </w:rPr>
        <w:t>Transmission for the Generators</w:t>
      </w:r>
      <w:r>
        <w:t>, February 2016, p. 43.</w:t>
      </w:r>
    </w:p>
  </w:footnote>
  <w:footnote w:id="222">
    <w:p w:rsidR="00021F98" w:rsidRDefault="00021F98" w:rsidP="00C52695">
      <w:pPr>
        <w:pStyle w:val="FootnoteText"/>
      </w:pPr>
      <w:r>
        <w:rPr>
          <w:rStyle w:val="FootnoteReference"/>
        </w:rPr>
        <w:footnoteRef/>
      </w:r>
      <w:r>
        <w:t xml:space="preserve"> </w:t>
      </w:r>
      <w:r>
        <w:tab/>
        <w:t xml:space="preserve">TasCOSS, </w:t>
      </w:r>
      <w:r w:rsidRPr="00D414CC">
        <w:rPr>
          <w:rStyle w:val="Emphasis"/>
        </w:rPr>
        <w:t>Submission on the AER issues paper regarding TasNetworks regulatory proposal</w:t>
      </w:r>
      <w:r>
        <w:t>, April 2016, p. 2.</w:t>
      </w:r>
    </w:p>
  </w:footnote>
  <w:footnote w:id="223">
    <w:p w:rsidR="00021F98" w:rsidRDefault="00021F98" w:rsidP="00C52695">
      <w:pPr>
        <w:pStyle w:val="FootnoteText"/>
      </w:pPr>
      <w:r>
        <w:rPr>
          <w:rStyle w:val="FootnoteReference"/>
        </w:rPr>
        <w:footnoteRef/>
      </w:r>
      <w:r>
        <w:t xml:space="preserve"> </w:t>
      </w:r>
      <w:r>
        <w:tab/>
        <w:t xml:space="preserve">Tasmanian Small Business Council, </w:t>
      </w:r>
      <w:r>
        <w:rPr>
          <w:rStyle w:val="AERtextitalic"/>
        </w:rPr>
        <w:t>Submission on TasNetworks' regulatory proposal</w:t>
      </w:r>
      <w:r>
        <w:t>, May 2016, p. 36.</w:t>
      </w:r>
    </w:p>
  </w:footnote>
  <w:footnote w:id="224">
    <w:p w:rsidR="00021F98" w:rsidRDefault="00021F98" w:rsidP="00C52695">
      <w:pPr>
        <w:pStyle w:val="FootnoteText"/>
        <w:rPr>
          <w:rStyle w:val="AERtextitalic"/>
        </w:rPr>
      </w:pPr>
      <w:r>
        <w:rPr>
          <w:rStyle w:val="FootnoteReference"/>
        </w:rPr>
        <w:footnoteRef/>
      </w:r>
      <w:r>
        <w:t xml:space="preserve"> </w:t>
      </w:r>
      <w:r>
        <w:tab/>
        <w:t xml:space="preserve">CCP sub panel 4, </w:t>
      </w:r>
      <w:r>
        <w:rPr>
          <w:rStyle w:val="AERtextitalic"/>
        </w:rPr>
        <w:t xml:space="preserve">Submission on TasNetworks' regulatory proposal, </w:t>
      </w:r>
      <w:r>
        <w:rPr>
          <w:rStyle w:val="AERtextitalic"/>
          <w:i w:val="0"/>
        </w:rPr>
        <w:t>May 2016, pp. 44-45.</w:t>
      </w:r>
      <w:r>
        <w:rPr>
          <w:rStyle w:val="AERtextitalic"/>
        </w:rPr>
        <w:t> </w:t>
      </w:r>
    </w:p>
  </w:footnote>
  <w:footnote w:id="225">
    <w:p w:rsidR="00021F98" w:rsidRDefault="00021F98">
      <w:pPr>
        <w:pStyle w:val="FootnoteText"/>
      </w:pPr>
      <w:r>
        <w:rPr>
          <w:rStyle w:val="FootnoteReference"/>
        </w:rPr>
        <w:footnoteRef/>
      </w:r>
      <w:r>
        <w:t xml:space="preserve"> </w:t>
      </w:r>
      <w:r>
        <w:tab/>
        <w:t xml:space="preserve">CCP sub panel 4, </w:t>
      </w:r>
      <w:r w:rsidRPr="00E750F8">
        <w:rPr>
          <w:rStyle w:val="AERtextitalic"/>
        </w:rPr>
        <w:t>Submission on TasNetworks' revised proposal and AER's draft decision</w:t>
      </w:r>
      <w:r>
        <w:t>, December 2016, pp. 30-31.</w:t>
      </w:r>
    </w:p>
  </w:footnote>
  <w:footnote w:id="226">
    <w:p w:rsidR="00021F98" w:rsidRDefault="00021F98" w:rsidP="000E71C3">
      <w:pPr>
        <w:pStyle w:val="FootnoteText"/>
      </w:pPr>
      <w:r>
        <w:rPr>
          <w:rStyle w:val="FootnoteReference"/>
        </w:rPr>
        <w:footnoteRef/>
      </w:r>
      <w:r>
        <w:t xml:space="preserve"> </w:t>
      </w:r>
      <w:r>
        <w:tab/>
        <w:t xml:space="preserve">CCP, </w:t>
      </w:r>
      <w:r>
        <w:rPr>
          <w:rStyle w:val="AERtextitalic"/>
        </w:rPr>
        <w:t>Transmission for the Generators II</w:t>
      </w:r>
      <w:r>
        <w:t xml:space="preserve">, September 2016, pp. 6, 43; CCP, </w:t>
      </w:r>
      <w:r>
        <w:rPr>
          <w:rStyle w:val="AERtextitalic"/>
        </w:rPr>
        <w:t>Transmission for the Generators III</w:t>
      </w:r>
      <w:r>
        <w:t>, October 2016, p. 13.</w:t>
      </w:r>
    </w:p>
  </w:footnote>
  <w:footnote w:id="227">
    <w:p w:rsidR="00021F98" w:rsidRDefault="00021F98">
      <w:pPr>
        <w:pStyle w:val="FootnoteText"/>
      </w:pPr>
      <w:r>
        <w:rPr>
          <w:rStyle w:val="FootnoteReference"/>
        </w:rPr>
        <w:footnoteRef/>
      </w:r>
      <w:r>
        <w:t xml:space="preserve"> </w:t>
      </w:r>
      <w:r>
        <w:tab/>
        <w:t xml:space="preserve">Consumer Challenge Panel Sub Panel 4 (David Headberry), </w:t>
      </w:r>
      <w:r w:rsidRPr="00E750F8">
        <w:rPr>
          <w:rStyle w:val="AERtextitalic"/>
        </w:rPr>
        <w:t>Response to the AER's Draft Decision and Revised Proposal to Tasmania's electricity distribution network service provider for a revenue reset for the 2017-19 regulatory period</w:t>
      </w:r>
      <w:r>
        <w:t>, 25 November 2016, p. 28.</w:t>
      </w:r>
    </w:p>
  </w:footnote>
  <w:footnote w:id="228">
    <w:p w:rsidR="00021F98" w:rsidRDefault="00021F98">
      <w:pPr>
        <w:pStyle w:val="FootnoteText"/>
      </w:pPr>
      <w:r>
        <w:rPr>
          <w:rStyle w:val="FootnoteReference"/>
        </w:rPr>
        <w:footnoteRef/>
      </w:r>
      <w:r>
        <w:t xml:space="preserve"> </w:t>
      </w:r>
      <w:r>
        <w:tab/>
        <w:t xml:space="preserve">Tasmanian Small Business Council, </w:t>
      </w:r>
      <w:r w:rsidRPr="00E750F8">
        <w:rPr>
          <w:rStyle w:val="AERtextitalic"/>
        </w:rPr>
        <w:t>Submission: TasNetworks Distribution - Draft Regulatory and Tariff Structure Statement Determination,</w:t>
      </w:r>
      <w:r>
        <w:t xml:space="preserve"> November 2016, p. 9.</w:t>
      </w:r>
    </w:p>
  </w:footnote>
  <w:footnote w:id="229">
    <w:p w:rsidR="00021F98" w:rsidRDefault="00021F98">
      <w:pPr>
        <w:pStyle w:val="FootnoteText"/>
      </w:pPr>
      <w:r>
        <w:rPr>
          <w:rStyle w:val="FootnoteReference"/>
        </w:rPr>
        <w:footnoteRef/>
      </w:r>
      <w:r>
        <w:t xml:space="preserve"> </w:t>
      </w:r>
      <w:r>
        <w:tab/>
        <w:t xml:space="preserve">Consumer Challenge Panel sub Panel 4 (CCP4), </w:t>
      </w:r>
      <w:r w:rsidRPr="00E750F8">
        <w:rPr>
          <w:rStyle w:val="AERtextitalic"/>
        </w:rPr>
        <w:t>Response to the AER Draft decision and Revised Proposal to Powerlink's electricity transmission network for a revenue reset for the 2017-2019 regulatory period</w:t>
      </w:r>
      <w:r>
        <w:t>, 19 December 2016, p. 3.</w:t>
      </w:r>
    </w:p>
  </w:footnote>
  <w:footnote w:id="230">
    <w:p w:rsidR="00021F98" w:rsidRDefault="00021F98" w:rsidP="00001B62">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21 September 2016, p. 198.</w:t>
      </w:r>
    </w:p>
  </w:footnote>
  <w:footnote w:id="231">
    <w:p w:rsidR="00021F98" w:rsidRDefault="00021F98" w:rsidP="00001B62">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21 September 2016, p. 199.</w:t>
      </w:r>
    </w:p>
  </w:footnote>
  <w:footnote w:id="232">
    <w:p w:rsidR="00021F98" w:rsidRDefault="00021F98" w:rsidP="00001B62">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21 September 2016, p. 198.</w:t>
      </w:r>
    </w:p>
  </w:footnote>
  <w:footnote w:id="233">
    <w:p w:rsidR="00021F98" w:rsidRDefault="00021F98" w:rsidP="00001B62">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 201; Frontier Economics, </w:t>
      </w:r>
      <w:r>
        <w:rPr>
          <w:rStyle w:val="AERtextitalic"/>
        </w:rPr>
        <w:t>Regulatory An updated dividend drop-off estimate of theta</w:t>
      </w:r>
      <w:r>
        <w:t xml:space="preserve">, September 2016 and Frontier Economics, </w:t>
      </w:r>
      <w:r>
        <w:rPr>
          <w:rStyle w:val="AERtextitalic"/>
        </w:rPr>
        <w:t>Issues in the estimation of gamma</w:t>
      </w:r>
      <w:r>
        <w:t>, September 2016.</w:t>
      </w:r>
    </w:p>
  </w:footnote>
  <w:footnote w:id="234">
    <w:p w:rsidR="00021F98" w:rsidRDefault="00021F98" w:rsidP="0036034D">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rsidRPr="00C2259D">
        <w:t xml:space="preserve">, </w:t>
      </w:r>
      <w:r>
        <w:t xml:space="preserve">January 2016; Frontier, </w:t>
      </w:r>
      <w:r>
        <w:rPr>
          <w:rStyle w:val="AERtextitalic"/>
        </w:rPr>
        <w:t>Regulatory estimation of gamma report prepared form Powerlink</w:t>
      </w:r>
      <w:r w:rsidRPr="00C2259D">
        <w:t xml:space="preserve">, </w:t>
      </w:r>
      <w:r>
        <w:t xml:space="preserve">January 2016; Frontier Economics, </w:t>
      </w:r>
      <w:r>
        <w:rPr>
          <w:rStyle w:val="AERtextitalic"/>
        </w:rPr>
        <w:t>Regulatory An updated dividend drop-off estimate of theta</w:t>
      </w:r>
      <w:r>
        <w:t xml:space="preserve">, September 2016 and Frontier Economics, </w:t>
      </w:r>
      <w:r>
        <w:rPr>
          <w:rStyle w:val="AERtextitalic"/>
        </w:rPr>
        <w:t>Issues in the estimation of gamma</w:t>
      </w:r>
      <w:r>
        <w:t>, September 2016.</w:t>
      </w:r>
    </w:p>
  </w:footnote>
  <w:footnote w:id="235">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w:t>
      </w:r>
    </w:p>
  </w:footnote>
  <w:footnote w:id="236">
    <w:p w:rsidR="00021F98" w:rsidRPr="0036034D" w:rsidRDefault="00021F98" w:rsidP="00AC26C8">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6; M. Lally, </w:t>
      </w:r>
      <w:r w:rsidRPr="00E750F8">
        <w:rPr>
          <w:rStyle w:val="AERtextitalic"/>
        </w:rPr>
        <w:t>Issues in the estimation of gamma</w:t>
      </w:r>
      <w:r w:rsidRPr="00E750F8">
        <w:rPr>
          <w:rStyle w:val="AERtextitalic"/>
          <w:i w:val="0"/>
        </w:rPr>
        <w:t xml:space="preserve">, </w:t>
      </w:r>
      <w:r w:rsidRPr="004423C9">
        <w:rPr>
          <w:rStyle w:val="AERtextitalic"/>
          <w:i w:val="0"/>
        </w:rPr>
        <w:t xml:space="preserve">April </w:t>
      </w:r>
      <w:r w:rsidRPr="00E750F8">
        <w:rPr>
          <w:rStyle w:val="AERtextitalic"/>
          <w:i w:val="0"/>
        </w:rPr>
        <w:t>2017</w:t>
      </w:r>
      <w:r w:rsidRPr="00AC26C8">
        <w:rPr>
          <w:rStyle w:val="AERtextitalic"/>
          <w:i w:val="0"/>
        </w:rPr>
        <w:t>, pp. 27, 29.</w:t>
      </w:r>
    </w:p>
  </w:footnote>
  <w:footnote w:id="237">
    <w:p w:rsidR="00021F98" w:rsidRDefault="00021F98" w:rsidP="00C52695">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M. Lally, </w:t>
      </w:r>
      <w:r w:rsidRPr="002519FD">
        <w:rPr>
          <w:rStyle w:val="AERtextitalic"/>
        </w:rPr>
        <w:t>Estimating gamma</w:t>
      </w:r>
      <w:r>
        <w:t xml:space="preserve">, 25 November 2013; </w:t>
      </w:r>
      <w:r w:rsidRPr="00712BC2">
        <w:t xml:space="preserve">M. Lally, </w:t>
      </w:r>
      <w:r w:rsidRPr="00712BC2">
        <w:rPr>
          <w:rStyle w:val="AERtextitalic"/>
        </w:rPr>
        <w:t>Review of submissions to the QCA on the MRP, risk-free rate and gamma</w:t>
      </w:r>
      <w:r>
        <w:t>, 12 March 2014.</w:t>
      </w:r>
    </w:p>
  </w:footnote>
  <w:footnote w:id="238">
    <w:p w:rsidR="00021F98" w:rsidRDefault="00021F98" w:rsidP="00C52695">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239">
    <w:p w:rsidR="00021F98" w:rsidRDefault="00021F98" w:rsidP="00C52695">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240">
    <w:p w:rsidR="00021F98" w:rsidRPr="00EB47DF" w:rsidRDefault="00021F98" w:rsidP="00C52695">
      <w:pPr>
        <w:pStyle w:val="FootnoteText"/>
        <w:rPr>
          <w:i/>
        </w:rPr>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w:t>
      </w:r>
    </w:p>
  </w:footnote>
  <w:footnote w:id="241">
    <w:p w:rsidR="00021F98" w:rsidRDefault="00021F98" w:rsidP="00C52695">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242">
    <w:p w:rsidR="00021F98" w:rsidRDefault="00021F98" w:rsidP="00C52695">
      <w:pPr>
        <w:pStyle w:val="FootnoteText"/>
      </w:pPr>
      <w:r>
        <w:rPr>
          <w:rStyle w:val="FootnoteReference"/>
        </w:rPr>
        <w:footnoteRef/>
      </w:r>
      <w:r>
        <w:t xml:space="preserve"> </w:t>
      </w:r>
      <w:r>
        <w:tab/>
      </w:r>
      <w:r w:rsidRPr="00712BC2">
        <w:t xml:space="preserve">SFG, </w:t>
      </w:r>
      <w:r>
        <w:rPr>
          <w:rStyle w:val="AERtextitalic"/>
        </w:rPr>
        <w:t>Estimating gamma for regulatory purposes</w:t>
      </w:r>
      <w:r>
        <w:t xml:space="preserve">, February 2015 and Frontier Economics, </w:t>
      </w:r>
      <w:r>
        <w:rPr>
          <w:rStyle w:val="AERtextitalic"/>
        </w:rPr>
        <w:t>Regulatory estimation of gamma report prepared for Powerlink</w:t>
      </w:r>
      <w:r>
        <w:t>, January 2016, p. 10.</w:t>
      </w:r>
    </w:p>
  </w:footnote>
  <w:footnote w:id="243">
    <w:p w:rsidR="00021F98" w:rsidRDefault="00021F98" w:rsidP="00DB750D">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and Frontier, </w:t>
      </w:r>
      <w:r w:rsidRPr="00C2259D">
        <w:t xml:space="preserve">The appropriate use of tax statistics when estimating gamma, </w:t>
      </w:r>
      <w:r>
        <w:t xml:space="preserve">January 2016; Frontier Economics, </w:t>
      </w:r>
      <w:r>
        <w:rPr>
          <w:rStyle w:val="AERtextitalic"/>
        </w:rPr>
        <w:t>Regulatory An updated dividend drop-off estimate of theta</w:t>
      </w:r>
      <w:r>
        <w:t xml:space="preserve">, September 2016 and Frontier Economics, </w:t>
      </w:r>
      <w:r w:rsidRPr="00DB750D">
        <w:rPr>
          <w:rStyle w:val="AERtextitalic"/>
        </w:rPr>
        <w:t>Issues in the estimation of gamma</w:t>
      </w:r>
      <w:r w:rsidRPr="00DB750D">
        <w:t>, September 2016.</w:t>
      </w:r>
    </w:p>
  </w:footnote>
  <w:footnote w:id="244">
    <w:p w:rsidR="00021F98" w:rsidRPr="00664394" w:rsidRDefault="00021F98" w:rsidP="00664394">
      <w:pPr>
        <w:pStyle w:val="FootnoteText"/>
      </w:pPr>
      <w:r>
        <w:rPr>
          <w:rStyle w:val="FootnoteReference"/>
        </w:rPr>
        <w:footnoteRef/>
      </w:r>
      <w:r>
        <w:t xml:space="preserve"> </w:t>
      </w:r>
      <w:r>
        <w:tab/>
        <w:t xml:space="preserve">M. Lally, </w:t>
      </w:r>
      <w:r w:rsidRPr="00E750F8">
        <w:rPr>
          <w:rStyle w:val="AERtextitalic"/>
        </w:rPr>
        <w:t>Issues in the estimation of gamma</w:t>
      </w:r>
      <w:r>
        <w:t xml:space="preserve">, April </w:t>
      </w:r>
      <w:r w:rsidRPr="00664394">
        <w:t>2017</w:t>
      </w:r>
      <w:r w:rsidRPr="00F5204A">
        <w:rPr>
          <w:rStyle w:val="AERtextitalic"/>
          <w:i w:val="0"/>
        </w:rPr>
        <w:t>, p. 13.</w:t>
      </w:r>
    </w:p>
  </w:footnote>
  <w:footnote w:id="245">
    <w:p w:rsidR="00021F98" w:rsidRDefault="00021F98" w:rsidP="00C52695">
      <w:pPr>
        <w:pStyle w:val="FootnoteText"/>
      </w:pPr>
      <w:r>
        <w:rPr>
          <w:rStyle w:val="FootnoteReference"/>
        </w:rPr>
        <w:footnoteRef/>
      </w:r>
      <w:r>
        <w:t xml:space="preserve"> </w:t>
      </w:r>
      <w:r>
        <w:tab/>
      </w:r>
      <w:r w:rsidRPr="00227D75">
        <w:t>Independent Pricing and Regulatory Tribunal</w:t>
      </w:r>
      <w:r>
        <w:t xml:space="preserve">, </w:t>
      </w:r>
      <w:r w:rsidRPr="00E750F8">
        <w:rPr>
          <w:rStyle w:val="AERtextitalic"/>
        </w:rPr>
        <w:t xml:space="preserve">Sydney Desalination Plant </w:t>
      </w:r>
      <w:r w:rsidRPr="006D36C8">
        <w:rPr>
          <w:rStyle w:val="AERtextitalic"/>
        </w:rPr>
        <w:t>Revi</w:t>
      </w:r>
      <w:r w:rsidRPr="00227D75">
        <w:rPr>
          <w:rStyle w:val="AERtextitalic"/>
        </w:rPr>
        <w:t>ew</w:t>
      </w:r>
      <w:r>
        <w:rPr>
          <w:rStyle w:val="AERtextitalic"/>
        </w:rPr>
        <w:t xml:space="preserve"> of prices from 1 July 2017 to June 2022</w:t>
      </w:r>
      <w:r w:rsidRPr="00227D75">
        <w:rPr>
          <w:rStyle w:val="AERtextitalic"/>
        </w:rPr>
        <w:t>—</w:t>
      </w:r>
      <w:r>
        <w:rPr>
          <w:rStyle w:val="AERtextitalic"/>
        </w:rPr>
        <w:t>Draft Report</w:t>
      </w:r>
      <w:r w:rsidRPr="00227D75">
        <w:rPr>
          <w:rStyle w:val="AERtextitalic"/>
        </w:rPr>
        <w:t xml:space="preserve"> decision</w:t>
      </w:r>
      <w:r>
        <w:t xml:space="preserve">, March 2017, p. 94. Note IPART completed a major review of WACC in 2013 (see: </w:t>
      </w:r>
      <w:r w:rsidRPr="00227D75">
        <w:t>Independent Pricing and Regulatory Tribunal</w:t>
      </w:r>
      <w:r>
        <w:t xml:space="preserve">, </w:t>
      </w:r>
      <w:r w:rsidRPr="00E750F8">
        <w:rPr>
          <w:rStyle w:val="AERtextitalic"/>
        </w:rPr>
        <w:t>Review of WACC methodology-Final Report</w:t>
      </w:r>
      <w:r>
        <w:t>, December 2013, p. 17</w:t>
      </w:r>
      <w:hyperlink w:history="1"/>
      <w:r>
        <w:t>).</w:t>
      </w:r>
    </w:p>
  </w:footnote>
  <w:footnote w:id="246">
    <w:p w:rsidR="00021F98" w:rsidRDefault="00021F98" w:rsidP="00C52695">
      <w:pPr>
        <w:pStyle w:val="FootnoteText"/>
      </w:pPr>
      <w:r>
        <w:rPr>
          <w:rStyle w:val="FootnoteReference"/>
        </w:rPr>
        <w:footnoteRef/>
      </w:r>
      <w:r>
        <w:t xml:space="preserve"> </w:t>
      </w:r>
      <w:r>
        <w:tab/>
        <w:t>Essential Services Commission</w:t>
      </w:r>
      <w:r w:rsidRPr="00922C37">
        <w:t xml:space="preserve">, </w:t>
      </w:r>
      <w:r>
        <w:rPr>
          <w:rStyle w:val="AERtextitalic"/>
        </w:rPr>
        <w:t xml:space="preserve">Melbourne Water price Review 2016-Final </w:t>
      </w:r>
      <w:r w:rsidRPr="00922C37">
        <w:rPr>
          <w:rStyle w:val="AERtextitalic"/>
        </w:rPr>
        <w:t>decision</w:t>
      </w:r>
      <w:r w:rsidRPr="00922C37">
        <w:t xml:space="preserve">, </w:t>
      </w:r>
      <w:r>
        <w:t>June 2016, p. 53</w:t>
      </w:r>
      <w:r w:rsidRPr="00922C37">
        <w:t>.</w:t>
      </w:r>
    </w:p>
  </w:footnote>
  <w:footnote w:id="247">
    <w:p w:rsidR="00021F98" w:rsidRDefault="00021F98" w:rsidP="00C52695">
      <w:pPr>
        <w:pStyle w:val="FootnoteText"/>
      </w:pPr>
      <w:r>
        <w:rPr>
          <w:rStyle w:val="FootnoteReference"/>
        </w:rPr>
        <w:footnoteRef/>
      </w:r>
      <w:r>
        <w:t xml:space="preserve"> </w:t>
      </w:r>
      <w:r>
        <w:tab/>
        <w:t xml:space="preserve">Queensland Competition Authority, </w:t>
      </w:r>
      <w:r>
        <w:rPr>
          <w:rStyle w:val="AERtextitalic"/>
        </w:rPr>
        <w:t>DBCT Management's 2015 draft access undertaking - Final decision</w:t>
      </w:r>
      <w:r>
        <w:t>, November 2016, pp. 107-121, 123, 155.</w:t>
      </w:r>
    </w:p>
  </w:footnote>
  <w:footnote w:id="248">
    <w:p w:rsidR="00021F98" w:rsidRDefault="00021F98" w:rsidP="00C52695">
      <w:pPr>
        <w:pStyle w:val="FootnoteText"/>
      </w:pPr>
      <w:r>
        <w:rPr>
          <w:rStyle w:val="FootnoteReference"/>
        </w:rPr>
        <w:footnoteRef/>
      </w:r>
      <w:r>
        <w:t xml:space="preserve"> </w:t>
      </w:r>
      <w:r>
        <w:tab/>
        <w:t xml:space="preserve">Economic Regulation Authority, </w:t>
      </w:r>
      <w:r>
        <w:rPr>
          <w:rStyle w:val="AERtextitalic"/>
        </w:rPr>
        <w:t>Appendix 5 - Gamma: Proposed Revisions to the Access Arrangement for the Dampier to Bunbury Natural Gas pipeline 2016-2020, Final decision</w:t>
      </w:r>
      <w:r>
        <w:t>, 30 June 2016, p. 48.</w:t>
      </w:r>
    </w:p>
  </w:footnote>
  <w:footnote w:id="249">
    <w:p w:rsidR="00021F98" w:rsidRDefault="00021F98"/>
  </w:footnote>
  <w:footnote w:id="250">
    <w:p w:rsidR="00021F98" w:rsidRDefault="00021F98" w:rsidP="006C6D7F">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175</w:t>
      </w:r>
      <w:r w:rsidRPr="008F5D24">
        <w:t>.</w:t>
      </w:r>
    </w:p>
  </w:footnote>
  <w:footnote w:id="251">
    <w:p w:rsidR="00021F98" w:rsidRDefault="00021F98" w:rsidP="006C6D7F">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175</w:t>
      </w:r>
      <w:r w:rsidRPr="008F5D24">
        <w:t>.</w:t>
      </w:r>
    </w:p>
  </w:footnote>
  <w:footnote w:id="252">
    <w:p w:rsidR="00021F98" w:rsidRDefault="00021F98" w:rsidP="006C6D7F">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176</w:t>
      </w:r>
      <w:r w:rsidRPr="008F5D24">
        <w:t>.</w:t>
      </w:r>
    </w:p>
  </w:footnote>
  <w:footnote w:id="253">
    <w:p w:rsidR="00021F98" w:rsidRDefault="00021F98" w:rsidP="007B43C4">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177</w:t>
      </w:r>
      <w:r w:rsidRPr="008F5D24">
        <w:t>.</w:t>
      </w:r>
    </w:p>
  </w:footnote>
  <w:footnote w:id="254">
    <w:p w:rsidR="00021F98" w:rsidRDefault="00021F98" w:rsidP="0042439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177</w:t>
      </w:r>
      <w:r w:rsidRPr="008F5D24">
        <w:t>.</w:t>
      </w:r>
    </w:p>
  </w:footnote>
  <w:footnote w:id="255">
    <w:p w:rsidR="00021F98" w:rsidRDefault="00021F98" w:rsidP="001F50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186</w:t>
      </w:r>
      <w:r w:rsidRPr="008F5D24">
        <w:t>.</w:t>
      </w:r>
    </w:p>
  </w:footnote>
  <w:footnote w:id="256">
    <w:p w:rsidR="00021F98" w:rsidRDefault="00021F98" w:rsidP="001F50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186</w:t>
      </w:r>
      <w:r w:rsidRPr="008F5D24">
        <w:t>.</w:t>
      </w:r>
    </w:p>
  </w:footnote>
  <w:footnote w:id="257">
    <w:p w:rsidR="00021F98" w:rsidRDefault="00021F98" w:rsidP="001F50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188</w:t>
      </w:r>
      <w:r w:rsidRPr="008F5D24">
        <w:t>.</w:t>
      </w:r>
    </w:p>
  </w:footnote>
  <w:footnote w:id="258">
    <w:p w:rsidR="00021F98" w:rsidRDefault="00021F98" w:rsidP="00942BB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190</w:t>
      </w:r>
      <w:r w:rsidRPr="008F5D24">
        <w:t>.</w:t>
      </w:r>
    </w:p>
  </w:footnote>
  <w:footnote w:id="259">
    <w:p w:rsidR="00021F98" w:rsidRDefault="00021F98" w:rsidP="00E119AC">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193</w:t>
      </w:r>
      <w:r w:rsidRPr="008F5D24">
        <w:t>.</w:t>
      </w:r>
    </w:p>
  </w:footnote>
  <w:footnote w:id="260">
    <w:p w:rsidR="00021F98" w:rsidRDefault="00021F98" w:rsidP="00112F3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195</w:t>
      </w:r>
      <w:r w:rsidRPr="008F5D24">
        <w:t>.</w:t>
      </w:r>
    </w:p>
  </w:footnote>
  <w:footnote w:id="261">
    <w:p w:rsidR="00021F98" w:rsidRDefault="00021F98" w:rsidP="00C2776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170</w:t>
      </w:r>
      <w:r w:rsidRPr="008F5D24">
        <w:t>.</w:t>
      </w:r>
    </w:p>
  </w:footnote>
  <w:footnote w:id="262">
    <w:p w:rsidR="00021F98" w:rsidRDefault="00021F98" w:rsidP="00D6595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171</w:t>
      </w:r>
      <w:r w:rsidRPr="008F5D24">
        <w:t>.</w:t>
      </w:r>
    </w:p>
  </w:footnote>
  <w:footnote w:id="263">
    <w:p w:rsidR="00021F98" w:rsidRDefault="00021F98" w:rsidP="00D6595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176</w:t>
      </w:r>
      <w:r w:rsidRPr="008F5D24">
        <w:t>.</w:t>
      </w:r>
    </w:p>
  </w:footnote>
  <w:footnote w:id="264">
    <w:p w:rsidR="00021F98" w:rsidRDefault="00021F98" w:rsidP="00D6595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138</w:t>
      </w:r>
      <w:r w:rsidRPr="008F5D24">
        <w:t>.</w:t>
      </w:r>
    </w:p>
  </w:footnote>
  <w:footnote w:id="265">
    <w:p w:rsidR="00021F98" w:rsidRDefault="00021F98" w:rsidP="00332686">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159</w:t>
      </w:r>
      <w:r w:rsidRPr="008F5D24">
        <w:t>.</w:t>
      </w:r>
    </w:p>
  </w:footnote>
  <w:footnote w:id="266">
    <w:p w:rsidR="00021F98" w:rsidRDefault="00021F98" w:rsidP="003F3CEB">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196</w:t>
      </w:r>
      <w:r w:rsidRPr="008F5D24">
        <w:t>.</w:t>
      </w:r>
    </w:p>
  </w:footnote>
  <w:footnote w:id="267">
    <w:p w:rsidR="00021F98" w:rsidRDefault="00021F98" w:rsidP="0012604C">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184</w:t>
      </w:r>
      <w:r w:rsidRPr="008F5D24">
        <w:t>.</w:t>
      </w:r>
    </w:p>
  </w:footnote>
  <w:footnote w:id="268">
    <w:p w:rsidR="00021F98" w:rsidRDefault="00021F98" w:rsidP="001176FB">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184</w:t>
      </w:r>
      <w:r w:rsidRPr="008F5D24">
        <w:t>.</w:t>
      </w:r>
    </w:p>
  </w:footnote>
  <w:footnote w:id="269">
    <w:p w:rsidR="00021F98" w:rsidRDefault="00021F98" w:rsidP="001E51E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146</w:t>
      </w:r>
      <w:r w:rsidRPr="008F5D24">
        <w:t>.</w:t>
      </w:r>
    </w:p>
  </w:footnote>
  <w:footnote w:id="270">
    <w:p w:rsidR="00021F98" w:rsidRDefault="00021F98" w:rsidP="001E51E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146</w:t>
      </w:r>
      <w:r w:rsidRPr="008F5D24">
        <w:t>.</w:t>
      </w:r>
    </w:p>
  </w:footnote>
  <w:footnote w:id="271">
    <w:p w:rsidR="00021F98" w:rsidRDefault="00021F98" w:rsidP="00716BB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110</w:t>
      </w:r>
      <w:r w:rsidRPr="008F5D24">
        <w:t>.</w:t>
      </w:r>
    </w:p>
  </w:footnote>
  <w:footnote w:id="272">
    <w:p w:rsidR="00021F98" w:rsidRDefault="00021F98" w:rsidP="00716BB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112</w:t>
      </w:r>
      <w:r w:rsidRPr="008F5D24">
        <w:t>.</w:t>
      </w:r>
    </w:p>
  </w:footnote>
  <w:footnote w:id="273">
    <w:p w:rsidR="00021F98" w:rsidRDefault="00021F98" w:rsidP="00716BB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159</w:t>
      </w:r>
      <w:r w:rsidRPr="008F5D24">
        <w:t>.</w:t>
      </w:r>
    </w:p>
  </w:footnote>
  <w:footnote w:id="274">
    <w:p w:rsidR="00021F98" w:rsidRDefault="00021F98" w:rsidP="00C52695">
      <w:pPr>
        <w:pStyle w:val="FootnoteText"/>
      </w:pPr>
      <w:r>
        <w:rPr>
          <w:rStyle w:val="FootnoteReference"/>
        </w:rPr>
        <w:footnoteRef/>
      </w:r>
      <w:r>
        <w:t xml:space="preserve"> </w:t>
      </w:r>
      <w:r>
        <w:tab/>
        <w:t xml:space="preserve">See for example,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The Tribunal gave similar reasoning in its decisions for applications by the other service providers.</w:t>
      </w:r>
    </w:p>
  </w:footnote>
  <w:footnote w:id="275">
    <w:p w:rsidR="00021F98"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276">
    <w:p w:rsidR="00021F98" w:rsidRPr="00395D01"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277">
    <w:p w:rsidR="00021F98" w:rsidRPr="00395D01"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1081.</w:t>
      </w:r>
    </w:p>
  </w:footnote>
  <w:footnote w:id="278">
    <w:p w:rsidR="00021F98" w:rsidRPr="00395D01"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1076.</w:t>
      </w:r>
    </w:p>
  </w:footnote>
  <w:footnote w:id="279">
    <w:p w:rsidR="00021F98" w:rsidRPr="00395D01"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8F5D24">
        <w:t>1106.</w:t>
      </w:r>
    </w:p>
  </w:footnote>
  <w:footnote w:id="280">
    <w:p w:rsidR="00021F98" w:rsidRDefault="00021F98" w:rsidP="00C52695">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281">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282">
    <w:p w:rsidR="00021F98" w:rsidRPr="00434A21" w:rsidRDefault="00021F98" w:rsidP="00434A21">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541886">
        <w:rPr>
          <w:rStyle w:val="AERtextitalic"/>
          <w:i w:val="0"/>
        </w:rPr>
        <w:t>, p. 13.</w:t>
      </w:r>
    </w:p>
  </w:footnote>
  <w:footnote w:id="283">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p>
  </w:footnote>
  <w:footnote w:id="284">
    <w:p w:rsidR="00021F98" w:rsidRPr="00395D01"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1090.</w:t>
      </w:r>
    </w:p>
  </w:footnote>
  <w:footnote w:id="285">
    <w:p w:rsidR="00021F98" w:rsidRPr="00395D01"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1048 and 1090.</w:t>
      </w:r>
    </w:p>
  </w:footnote>
  <w:footnote w:id="286">
    <w:p w:rsidR="00021F98" w:rsidRPr="00395D01"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1093.</w:t>
      </w:r>
    </w:p>
  </w:footnote>
  <w:footnote w:id="287">
    <w:p w:rsidR="00021F98" w:rsidRPr="00395D01"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1095.</w:t>
      </w:r>
    </w:p>
  </w:footnote>
  <w:footnote w:id="288">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289">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4.</w:t>
      </w:r>
    </w:p>
  </w:footnote>
  <w:footnote w:id="290">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5.</w:t>
      </w:r>
    </w:p>
  </w:footnote>
  <w:footnote w:id="291">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20-21.</w:t>
      </w:r>
    </w:p>
  </w:footnote>
  <w:footnote w:id="292">
    <w:p w:rsidR="00021F98" w:rsidRPr="00395D01" w:rsidRDefault="00021F98" w:rsidP="00C52695">
      <w:pPr>
        <w:pStyle w:val="FootnoteText"/>
      </w:pPr>
      <w:r>
        <w:rPr>
          <w:rStyle w:val="FootnoteReference"/>
        </w:rPr>
        <w:footnoteRef/>
      </w:r>
      <w:r>
        <w:t xml:space="preserve"> </w:t>
      </w:r>
      <w:r>
        <w:tab/>
      </w:r>
      <w:r w:rsidRPr="008F5D24">
        <w:t xml:space="preserve">Australian Competition Tribunal, </w:t>
      </w:r>
      <w:r w:rsidRPr="00922C6D">
        <w:rPr>
          <w:rStyle w:val="AERtextitalic"/>
        </w:rPr>
        <w:t>Application by Public Interest Advocacy Centre Ltd and Ausgrid [2016] ACompT 1</w:t>
      </w:r>
      <w:r w:rsidRPr="008F5D24">
        <w:t>, 26 February 2016, paras. 1048, 1090 and 1095.</w:t>
      </w:r>
    </w:p>
  </w:footnote>
  <w:footnote w:id="293">
    <w:p w:rsidR="00021F98"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94">
    <w:p w:rsidR="00021F98" w:rsidRPr="00395D01"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95">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296">
    <w:p w:rsidR="00021F98" w:rsidRPr="00395D01"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97">
    <w:p w:rsidR="00021F98" w:rsidRPr="00395D01"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1096</w:t>
      </w:r>
      <w:r w:rsidRPr="00E87CA4">
        <w:t>.</w:t>
      </w:r>
    </w:p>
  </w:footnote>
  <w:footnote w:id="298">
    <w:p w:rsidR="00021F98"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1092.</w:t>
      </w:r>
    </w:p>
  </w:footnote>
  <w:footnote w:id="299">
    <w:p w:rsidR="00021F98" w:rsidRPr="00395D01"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105</w:t>
      </w:r>
      <w:r w:rsidRPr="00E87CA4">
        <w:t>2.</w:t>
      </w:r>
    </w:p>
  </w:footnote>
  <w:footnote w:id="300">
    <w:p w:rsidR="00021F98" w:rsidRPr="00395D01"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paras. 1101-1103.</w:t>
      </w:r>
    </w:p>
  </w:footnote>
  <w:footnote w:id="301">
    <w:p w:rsidR="00021F98" w:rsidRPr="00395D01"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 1118.</w:t>
      </w:r>
    </w:p>
  </w:footnote>
  <w:footnote w:id="302">
    <w:p w:rsidR="00021F98"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1073.</w:t>
      </w:r>
    </w:p>
  </w:footnote>
  <w:footnote w:id="303">
    <w:p w:rsidR="00021F98" w:rsidRPr="00395D01"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395D01">
        <w:t xml:space="preserve">. </w:t>
      </w:r>
      <w:r w:rsidRPr="00E87CA4">
        <w:t>1074 and 1097.</w:t>
      </w:r>
    </w:p>
  </w:footnote>
  <w:footnote w:id="304">
    <w:p w:rsidR="00021F98" w:rsidRPr="00395D01"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1098.</w:t>
      </w:r>
    </w:p>
  </w:footnote>
  <w:footnote w:id="305">
    <w:p w:rsidR="00021F98" w:rsidRPr="00395D01"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306">
    <w:p w:rsidR="00021F98" w:rsidRPr="00395D01"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307">
    <w:p w:rsidR="00021F98" w:rsidRPr="00395D01"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83</w:t>
      </w:r>
      <w:r w:rsidRPr="00E87CA4">
        <w:t>.</w:t>
      </w:r>
    </w:p>
  </w:footnote>
  <w:footnote w:id="308">
    <w:p w:rsidR="00021F98" w:rsidRPr="00395D01"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w:t>
      </w:r>
      <w:r>
        <w:t>84</w:t>
      </w:r>
      <w:r w:rsidRPr="00E87CA4">
        <w:t>.</w:t>
      </w:r>
    </w:p>
  </w:footnote>
  <w:footnote w:id="309">
    <w:p w:rsidR="00021F98" w:rsidRPr="00395D01"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w:t>
      </w:r>
      <w:r w:rsidRPr="00E87CA4">
        <w:t>8.</w:t>
      </w:r>
    </w:p>
  </w:footnote>
  <w:footnote w:id="310">
    <w:p w:rsidR="00021F98" w:rsidRPr="00395D01"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84</w:t>
      </w:r>
      <w:r w:rsidRPr="00E87CA4">
        <w:t>.</w:t>
      </w:r>
    </w:p>
  </w:footnote>
  <w:footnote w:id="311">
    <w:p w:rsidR="00021F98" w:rsidRDefault="00021F98" w:rsidP="00C52695">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312">
    <w:p w:rsidR="00021F98"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313">
    <w:p w:rsidR="00021F98" w:rsidRDefault="00021F98" w:rsidP="00C52695">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314">
    <w:p w:rsidR="00021F98" w:rsidRDefault="00021F98" w:rsidP="00C52695">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315">
    <w:p w:rsidR="00021F98" w:rsidRDefault="00021F98" w:rsidP="00C52695">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316">
    <w:p w:rsidR="00021F98" w:rsidRDefault="00021F98" w:rsidP="00C52695">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317">
    <w:p w:rsidR="00021F98" w:rsidRDefault="00021F98" w:rsidP="00C52695">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318">
    <w:p w:rsidR="00021F98" w:rsidRDefault="00021F98" w:rsidP="00C52695">
      <w:pPr>
        <w:pStyle w:val="FootnoteText"/>
      </w:pPr>
      <w:r>
        <w:rPr>
          <w:rStyle w:val="FootnoteReference"/>
        </w:rPr>
        <w:footnoteRef/>
      </w:r>
      <w:r>
        <w:t xml:space="preserve"> </w:t>
      </w:r>
      <w:r>
        <w:tab/>
        <w:t xml:space="preserve">For example, see: 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11 October 2013.</w:t>
      </w:r>
    </w:p>
  </w:footnote>
  <w:footnote w:id="319">
    <w:p w:rsidR="00021F98" w:rsidRDefault="00021F98"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301, 303, 306; Australian Gas Networks, </w:t>
      </w:r>
      <w:r>
        <w:rPr>
          <w:rStyle w:val="AERtextitalic"/>
        </w:rPr>
        <w:t>Attachment 11 Response to Draft Decision: Cost of Tax</w:t>
      </w:r>
      <w:r>
        <w:t xml:space="preserve">, January 2016, pp. 14-16, 21; ActewAGL, </w:t>
      </w:r>
      <w:r w:rsidRPr="00AF5B33">
        <w:rPr>
          <w:rStyle w:val="AERtextitalic"/>
        </w:rPr>
        <w:t>Appendix 5.01 Detailed response to rate of return, gamma and inflation</w:t>
      </w:r>
      <w:r>
        <w:t xml:space="preserve">, January 2016, pp. 117-118; AusNet Electricity Services, </w:t>
      </w:r>
      <w:r w:rsidRPr="00AF5B33">
        <w:rPr>
          <w:rStyle w:val="AERtextitalic"/>
        </w:rPr>
        <w:t>Revised Regulatory Proposal</w:t>
      </w:r>
      <w:r>
        <w:t xml:space="preserve">, January 2016, p. 7-86;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pp. 365-366; Jemena Electricity Networks, </w:t>
      </w:r>
      <w:r w:rsidRPr="00AF5B33">
        <w:rPr>
          <w:rStyle w:val="AERtextitalic"/>
        </w:rPr>
        <w:t>Attachment 6-1 Rate of return, gamma, forecast inflation, and debt and equity raising costs</w:t>
      </w:r>
      <w:r>
        <w:t xml:space="preserve">, January 2016, p. 94; Powercor, </w:t>
      </w:r>
      <w:r w:rsidRPr="00AF5B33">
        <w:rPr>
          <w:rStyle w:val="AERtextitalic"/>
        </w:rPr>
        <w:t>Revised Regulatory Proposal 2016-2020</w:t>
      </w:r>
      <w:r>
        <w:t>, January 2016, pp. 359-360.</w:t>
      </w:r>
    </w:p>
  </w:footnote>
  <w:footnote w:id="320">
    <w:p w:rsidR="00021F98" w:rsidRDefault="00021F98" w:rsidP="00C52695">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321">
    <w:p w:rsidR="00021F98" w:rsidRDefault="00021F98" w:rsidP="00C52695">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322">
    <w:p w:rsidR="00021F98" w:rsidRDefault="00021F98">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Ausgrid, </w:t>
      </w:r>
      <w:r w:rsidRPr="00D75F7A">
        <w:rPr>
          <w:rStyle w:val="AERtextitalic"/>
        </w:rPr>
        <w:t>Ausgrid's revised proposal on gamma</w:t>
      </w:r>
      <w:r>
        <w:t xml:space="preserve">, January 2015; Directlink, </w:t>
      </w:r>
      <w:r w:rsidRPr="0000771B">
        <w:rPr>
          <w:rStyle w:val="AERtextitalic"/>
        </w:rPr>
        <w:t>Directlink submission on gamma (updated)</w:t>
      </w:r>
      <w:r>
        <w:t xml:space="preserve">, January 2015; Endeavour Energy, </w:t>
      </w:r>
      <w:r w:rsidRPr="00DF3162">
        <w:rPr>
          <w:rStyle w:val="AERtextitalic"/>
        </w:rPr>
        <w:t>Endeavour Energy's response to the AER draft decision re gamma</w:t>
      </w:r>
      <w:r>
        <w:t xml:space="preserve">, January 2015; Essential Energy, </w:t>
      </w:r>
      <w:r w:rsidRPr="000E181F">
        <w:rPr>
          <w:rStyle w:val="AERtextitalic"/>
        </w:rPr>
        <w:t>Essential's response to AER draft decision re gamma</w:t>
      </w:r>
      <w:r>
        <w:t xml:space="preserve">, January 2015; and JGN, </w:t>
      </w:r>
      <w:r w:rsidRPr="000E181F">
        <w:rPr>
          <w:rStyle w:val="AERtextitalic"/>
        </w:rPr>
        <w:t>Gamma - response to the draft decision</w:t>
      </w:r>
      <w:r>
        <w:t xml:space="preserve">, February 2015; TransGrid, </w:t>
      </w:r>
      <w:r>
        <w:rPr>
          <w:rStyle w:val="AERtextitalic"/>
        </w:rPr>
        <w:t>TransGrid</w:t>
      </w:r>
      <w:r w:rsidRPr="00B53917">
        <w:rPr>
          <w:rStyle w:val="AERtextitalic"/>
        </w:rPr>
        <w:t>'s approach to gamma</w:t>
      </w:r>
      <w:r>
        <w:t>, May 2014.</w:t>
      </w:r>
    </w:p>
  </w:footnote>
  <w:footnote w:id="323">
    <w:p w:rsidR="00021F98" w:rsidRDefault="00021F98">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Ergon, </w:t>
      </w:r>
      <w:r w:rsidRPr="00922C6D">
        <w:rPr>
          <w:rStyle w:val="AERtextitalic"/>
        </w:rPr>
        <w:t>Submission on value of imputation credits (gamma)</w:t>
      </w:r>
      <w:r>
        <w:t>, July 2015</w:t>
      </w:r>
      <w:r w:rsidRPr="008D7509">
        <w:t xml:space="preserve">; </w:t>
      </w:r>
      <w:r>
        <w:t xml:space="preserve">Energex, </w:t>
      </w:r>
      <w:r w:rsidRPr="00D414CC">
        <w:rPr>
          <w:rStyle w:val="Emphasis"/>
        </w:rPr>
        <w:t>Submission on Energex's regulatory proposal 2015-20 and AER issues paper - attachment 2</w:t>
      </w:r>
      <w:r>
        <w:t>, January 2015.</w:t>
      </w:r>
    </w:p>
  </w:footnote>
  <w:footnote w:id="324">
    <w:p w:rsidR="00021F98" w:rsidRDefault="00021F98">
      <w:pPr>
        <w:pStyle w:val="FootnoteText"/>
      </w:pPr>
      <w:r>
        <w:rPr>
          <w:rStyle w:val="FootnoteReference"/>
        </w:rPr>
        <w:footnoteRef/>
      </w:r>
      <w:r>
        <w:t xml:space="preserve"> </w:t>
      </w:r>
      <w:r>
        <w:tab/>
        <w:t xml:space="preserve">AusNet Services, </w:t>
      </w:r>
      <w:r w:rsidRPr="00D414CC">
        <w:rPr>
          <w:rStyle w:val="Emphasis"/>
        </w:rPr>
        <w:t>2016-20 Regulatory Proposal</w:t>
      </w:r>
      <w:r>
        <w:t xml:space="preserve">, April 2015; United Energy, </w:t>
      </w:r>
      <w:r w:rsidRPr="00D414CC">
        <w:rPr>
          <w:rStyle w:val="Emphasis"/>
        </w:rPr>
        <w:t>Assessment of the Value of Imputation Credits - Gamma, Proposal for 2016 to 2020</w:t>
      </w:r>
      <w:r>
        <w:t xml:space="preserve">, April 2015; CitiPower, </w:t>
      </w:r>
      <w:r w:rsidRPr="00D414CC">
        <w:rPr>
          <w:rStyle w:val="Emphasis"/>
        </w:rPr>
        <w:t>Appendix J - Gamma</w:t>
      </w:r>
      <w:r>
        <w:t xml:space="preserve">, April 2015; Powercor, </w:t>
      </w:r>
      <w:r w:rsidRPr="00D414CC">
        <w:rPr>
          <w:rStyle w:val="Emphasis"/>
        </w:rPr>
        <w:t>Appendix J - Gamma</w:t>
      </w:r>
      <w:r>
        <w:t xml:space="preserve">, April 2015; Jemena Electricity, </w:t>
      </w:r>
      <w:r w:rsidRPr="00D414CC">
        <w:rPr>
          <w:rStyle w:val="Emphasis"/>
        </w:rPr>
        <w:t>Attachment 06-06 Gamma proposal</w:t>
      </w:r>
      <w:r>
        <w:t xml:space="preserve">, April 2015; ActewAGL Distribution, </w:t>
      </w:r>
      <w:r w:rsidRPr="00D414CC">
        <w:rPr>
          <w:rStyle w:val="Emphasis"/>
        </w:rPr>
        <w:t>Attachment 8 Detailed gamma proposal</w:t>
      </w:r>
      <w:r>
        <w:t xml:space="preserve">; Australian Gas Networks, </w:t>
      </w:r>
      <w:r w:rsidRPr="00D414CC">
        <w:rPr>
          <w:rStyle w:val="Emphasis"/>
        </w:rPr>
        <w:t>Attachment 11.2 Value of Imputation Credits</w:t>
      </w:r>
      <w:r>
        <w:t>, July 2015.</w:t>
      </w:r>
    </w:p>
  </w:footnote>
  <w:footnote w:id="325">
    <w:p w:rsidR="00021F98" w:rsidRDefault="00021F98" w:rsidP="00BF534C">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TasNetworks, </w:t>
      </w:r>
      <w:r>
        <w:rPr>
          <w:rStyle w:val="AERtextitalic"/>
        </w:rPr>
        <w:t xml:space="preserve">Tasmanian Distribution Revised Regulatory Proposal, </w:t>
      </w:r>
      <w:r w:rsidRPr="00541886">
        <w:rPr>
          <w:rStyle w:val="AERtextitalic"/>
          <w:i w:val="0"/>
        </w:rPr>
        <w:t>2 December 2016;</w:t>
      </w:r>
      <w:r>
        <w:rPr>
          <w:rStyle w:val="AERtextitalic"/>
        </w:rPr>
        <w:t xml:space="preserve"> </w:t>
      </w:r>
      <w:r>
        <w:t xml:space="preserve">Powerlink, </w:t>
      </w:r>
      <w:r>
        <w:rPr>
          <w:rStyle w:val="AERtextitalic"/>
        </w:rPr>
        <w:t xml:space="preserve">Revised Revenue Proposal, </w:t>
      </w:r>
      <w:r w:rsidRPr="00541886">
        <w:rPr>
          <w:rStyle w:val="AERtextitalic"/>
          <w:i w:val="0"/>
        </w:rPr>
        <w:t>1 December 2016.</w:t>
      </w:r>
    </w:p>
  </w:footnote>
  <w:footnote w:id="326">
    <w:p w:rsidR="00021F98" w:rsidRDefault="00021F98" w:rsidP="00BF534C">
      <w:pPr>
        <w:pStyle w:val="FootnoteText"/>
      </w:pPr>
      <w:r>
        <w:rPr>
          <w:rStyle w:val="FootnoteReference"/>
        </w:rPr>
        <w:footnoteRef/>
      </w:r>
      <w:r>
        <w:t xml:space="preserve"> </w:t>
      </w:r>
      <w:r>
        <w:tab/>
        <w:t xml:space="preserve">TasNetworks, </w:t>
      </w:r>
      <w:r>
        <w:rPr>
          <w:rStyle w:val="AERtextitalic"/>
        </w:rPr>
        <w:t xml:space="preserve">Tasmanian Distribution Revised Regulatory Proposal, </w:t>
      </w:r>
      <w:r w:rsidRPr="00541886">
        <w:rPr>
          <w:rStyle w:val="AERtextitalic"/>
          <w:i w:val="0"/>
        </w:rPr>
        <w:t>2 December 2016, p. 17</w:t>
      </w:r>
      <w:r>
        <w:rPr>
          <w:rStyle w:val="AERtextitalic"/>
        </w:rPr>
        <w:t xml:space="preserve">; </w:t>
      </w:r>
      <w:r>
        <w:t xml:space="preserve">Powerlink, </w:t>
      </w:r>
      <w:r>
        <w:rPr>
          <w:rStyle w:val="AERtextitalic"/>
        </w:rPr>
        <w:t>Revised Revenue Proposal,</w:t>
      </w:r>
      <w:r w:rsidRPr="004744FB">
        <w:rPr>
          <w:rStyle w:val="AERtextitalic"/>
        </w:rPr>
        <w:t xml:space="preserve"> </w:t>
      </w:r>
      <w:r w:rsidRPr="00541886">
        <w:rPr>
          <w:rStyle w:val="AERtextitalic"/>
          <w:i w:val="0"/>
        </w:rPr>
        <w:t xml:space="preserve">1 December 2016, </w:t>
      </w:r>
      <w:r w:rsidRPr="00823068">
        <w:rPr>
          <w:rStyle w:val="AERtextitalic"/>
          <w:i w:val="0"/>
        </w:rPr>
        <w:t>p</w:t>
      </w:r>
      <w:r w:rsidRPr="00023359">
        <w:rPr>
          <w:rStyle w:val="AERtextitalic"/>
          <w:i w:val="0"/>
        </w:rPr>
        <w:t>p. 10</w:t>
      </w:r>
      <w:r w:rsidRPr="00CB3A71">
        <w:rPr>
          <w:rStyle w:val="AERtextitalic"/>
          <w:i w:val="0"/>
        </w:rPr>
        <w:t>-11.</w:t>
      </w:r>
    </w:p>
  </w:footnote>
  <w:footnote w:id="327">
    <w:p w:rsidR="00021F98" w:rsidRDefault="00021F98" w:rsidP="00C52695">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xml:space="preserve">, January 2015, pp. 1–2;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328">
    <w:p w:rsidR="00021F98" w:rsidRDefault="00021F98" w:rsidP="00C52695">
      <w:pPr>
        <w:pStyle w:val="FootnoteText"/>
      </w:pPr>
      <w:r>
        <w:rPr>
          <w:rStyle w:val="FootnoteReference"/>
        </w:rPr>
        <w:footnoteRef/>
      </w:r>
      <w:r>
        <w:t xml:space="preserve"> </w:t>
      </w:r>
      <w:r>
        <w:tab/>
        <w:t>We note that these issues have been raised by other service providers. However SA Power Networks, Ergon Energy and Energex have clarified that they consider these to be the key issues in dispute with the AER. We also note Gray did not explicitly identify these as the key issues in dispute, although they featured prominently in his report.</w:t>
      </w:r>
    </w:p>
  </w:footnote>
  <w:footnote w:id="329">
    <w:p w:rsidR="00021F98" w:rsidRDefault="00021F98" w:rsidP="00C52695">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pp. 370–371; Ergon, </w:t>
      </w:r>
      <w:r w:rsidRPr="00D414CC">
        <w:rPr>
          <w:rStyle w:val="Emphasis"/>
        </w:rPr>
        <w:t>Submission on value of imputation credits (gamma)</w:t>
      </w:r>
      <w:r>
        <w:t xml:space="preserve">, July 2015, p. 7; Frontier Economics, </w:t>
      </w:r>
      <w:r w:rsidRPr="00D414CC">
        <w:rPr>
          <w:rStyle w:val="Emphasis"/>
        </w:rPr>
        <w:t>An appropriate regulatory estimate of gamma</w:t>
      </w:r>
      <w:r>
        <w:t>, p. 8, June 2015.</w:t>
      </w:r>
    </w:p>
  </w:footnote>
  <w:footnote w:id="330">
    <w:p w:rsidR="00021F98" w:rsidRDefault="00021F98" w:rsidP="00C52695">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pp. 370–371; Ergon, </w:t>
      </w:r>
      <w:r w:rsidRPr="00D414CC">
        <w:rPr>
          <w:rStyle w:val="Emphasis"/>
        </w:rPr>
        <w:t>Submission on value of imputation credits (gamma)</w:t>
      </w:r>
      <w:r>
        <w:t xml:space="preserve">, July 2015, p. 7; Frontier Economics, </w:t>
      </w:r>
      <w:r w:rsidRPr="00596AF9">
        <w:rPr>
          <w:i/>
        </w:rPr>
        <w:t>An appropriate regulatory estimate of gamma, pp. 2</w:t>
      </w:r>
      <w:r>
        <w:rPr>
          <w:i/>
        </w:rPr>
        <w:t>6–</w:t>
      </w:r>
      <w:r w:rsidRPr="00596AF9">
        <w:rPr>
          <w:i/>
        </w:rPr>
        <w:t>30, June 2015</w:t>
      </w:r>
      <w:r>
        <w:t>.</w:t>
      </w:r>
    </w:p>
  </w:footnote>
  <w:footnote w:id="331">
    <w:p w:rsidR="00021F98" w:rsidRDefault="00021F98" w:rsidP="00C52695">
      <w:pPr>
        <w:pStyle w:val="FootnoteText"/>
      </w:pPr>
      <w:r>
        <w:rPr>
          <w:rStyle w:val="FootnoteReference"/>
        </w:rPr>
        <w:footnoteRef/>
      </w:r>
      <w:r>
        <w:t xml:space="preserve"> </w:t>
      </w:r>
      <w:r>
        <w:tab/>
        <w:t>We note we have used an estimate of the distribution rate of 0.77 in this decision. This was updated to 0.77 in our JGN decision released in June 2015 from 0.8 used in our final decisions released in April 2015.</w:t>
      </w:r>
    </w:p>
  </w:footnote>
  <w:footnote w:id="332">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25–26, 28–29.</w:t>
      </w:r>
    </w:p>
  </w:footnote>
  <w:footnote w:id="333">
    <w:p w:rsidR="00021F98" w:rsidRDefault="00021F98" w:rsidP="00651C88">
      <w:pPr>
        <w:pStyle w:val="FootnoteText"/>
      </w:pPr>
      <w:r>
        <w:rPr>
          <w:rStyle w:val="FootnoteReference"/>
        </w:rPr>
        <w:footnoteRef/>
      </w:r>
      <w:r>
        <w:t xml:space="preserve"> </w:t>
      </w:r>
      <w:r>
        <w:tab/>
        <w:t xml:space="preserve">AusNet Services, </w:t>
      </w:r>
      <w:r w:rsidRPr="00596AF9">
        <w:rPr>
          <w:i/>
        </w:rPr>
        <w:t>2016-20 Regulatory Proposal</w:t>
      </w:r>
      <w:r>
        <w:t xml:space="preserve">, April 2015, p. 354; United Energy, </w:t>
      </w:r>
      <w:r w:rsidRPr="00596AF9">
        <w:rPr>
          <w:i/>
        </w:rPr>
        <w:t>Assessment of the Value of Imputation Credits - Gamma, Proposal for 2016 to 2020</w:t>
      </w:r>
      <w:r>
        <w:t xml:space="preserve">, April 2015, p. 2; CitiPower, </w:t>
      </w:r>
      <w:r w:rsidRPr="00596AF9">
        <w:rPr>
          <w:i/>
        </w:rPr>
        <w:t>Appendix J - Gamma</w:t>
      </w:r>
      <w:r>
        <w:t xml:space="preserve">, April 2015, p. 4; Powercor, </w:t>
      </w:r>
      <w:r w:rsidRPr="00596AF9">
        <w:rPr>
          <w:i/>
        </w:rPr>
        <w:t>Appendix J - Gamma</w:t>
      </w:r>
      <w:r>
        <w:t xml:space="preserve">, April 2015, p. 4; Jemena Electricity, </w:t>
      </w:r>
      <w:r w:rsidRPr="00596AF9">
        <w:rPr>
          <w:i/>
        </w:rPr>
        <w:t>Attachment 06-06 Gamma proposal</w:t>
      </w:r>
      <w:r>
        <w:t xml:space="preserve">, April 2015, p. 5; ActewAGL Distribution, </w:t>
      </w:r>
      <w:r w:rsidRPr="00596AF9">
        <w:rPr>
          <w:i/>
        </w:rPr>
        <w:t>Attachment 8 Detailed gamma proposal</w:t>
      </w:r>
      <w:r>
        <w:t xml:space="preserve">, p. 2; Australian Gas Networks, </w:t>
      </w:r>
      <w:r w:rsidRPr="00596AF9">
        <w:rPr>
          <w:i/>
        </w:rPr>
        <w:t>Attachment 11.2 Value of Imputation Credits</w:t>
      </w:r>
      <w:r>
        <w:t xml:space="preserve">, pp. 9–10, July 2015; Amadeus Gas Pipeline, </w:t>
      </w:r>
      <w:r w:rsidRPr="00596AF9">
        <w:rPr>
          <w:i/>
        </w:rPr>
        <w:t>Access Arrangement revision submission</w:t>
      </w:r>
      <w:r>
        <w:t>, August 2015, p. 151.</w:t>
      </w:r>
    </w:p>
  </w:footnote>
  <w:footnote w:id="334">
    <w:p w:rsidR="00021F98" w:rsidRDefault="00021F98" w:rsidP="00651C88">
      <w:pPr>
        <w:pStyle w:val="FootnoteText"/>
      </w:pPr>
      <w:r>
        <w:rPr>
          <w:rStyle w:val="FootnoteReference"/>
        </w:rPr>
        <w:footnoteRef/>
      </w:r>
      <w:r>
        <w:t xml:space="preserve"> </w:t>
      </w:r>
      <w:r>
        <w:tab/>
        <w:t xml:space="preserve">AusNet Services, </w:t>
      </w:r>
      <w:r w:rsidRPr="00596AF9">
        <w:rPr>
          <w:i/>
        </w:rPr>
        <w:t>2016-20 Regulatory Proposal</w:t>
      </w:r>
      <w:r>
        <w:t xml:space="preserve">, April 2015, p. 367; United Energy, </w:t>
      </w:r>
      <w:r w:rsidRPr="00596AF9">
        <w:rPr>
          <w:i/>
        </w:rPr>
        <w:t>Assessment of the Value of Imputation Credits - Gamma, Proposal for 2016 to 2020</w:t>
      </w:r>
      <w:r>
        <w:t xml:space="preserve">, April 2015, p. 18; CitiPower, </w:t>
      </w:r>
      <w:r w:rsidRPr="00596AF9">
        <w:rPr>
          <w:i/>
        </w:rPr>
        <w:t>Appendix J - Gamma</w:t>
      </w:r>
      <w:r>
        <w:t xml:space="preserve">, April 2015, p. 16; Powercor, </w:t>
      </w:r>
      <w:r w:rsidRPr="00596AF9">
        <w:rPr>
          <w:i/>
        </w:rPr>
        <w:t>Appendix J - Gamma</w:t>
      </w:r>
      <w:r>
        <w:t xml:space="preserve">, April 2015, p. 16; Jemena Electricity, </w:t>
      </w:r>
      <w:r w:rsidRPr="00596AF9">
        <w:rPr>
          <w:i/>
        </w:rPr>
        <w:t>Attachment 06-06 Gamma proposal</w:t>
      </w:r>
      <w:r>
        <w:t xml:space="preserve">, April 2015, p.  </w:t>
      </w:r>
      <w:r w:rsidRPr="00EF0AE9">
        <w:t>7;</w:t>
      </w:r>
      <w:r>
        <w:t xml:space="preserve"> ActewAGL Distribution, </w:t>
      </w:r>
      <w:r w:rsidRPr="00596AF9">
        <w:rPr>
          <w:i/>
        </w:rPr>
        <w:t>Attachment 8 Detailed gamma proposal</w:t>
      </w:r>
      <w:r>
        <w:t xml:space="preserve">, p. 15; Australian Gas Networks, </w:t>
      </w:r>
      <w:r w:rsidRPr="00596AF9">
        <w:rPr>
          <w:i/>
        </w:rPr>
        <w:t>Attachment 11.2 Value of Imputation Credits</w:t>
      </w:r>
      <w:r>
        <w:t>, p. 3, July 2015.</w:t>
      </w:r>
    </w:p>
  </w:footnote>
  <w:footnote w:id="335">
    <w:p w:rsidR="00021F98" w:rsidRDefault="00021F98"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7-96; United Energy, </w:t>
      </w:r>
      <w:r w:rsidRPr="00AF5B33">
        <w:rPr>
          <w:rStyle w:val="AERtextitalic"/>
        </w:rPr>
        <w:t>Response to AER Preliminary Determination Re: Rate of return and gamma</w:t>
      </w:r>
      <w:r>
        <w:t xml:space="preserve">, January 2016, p. 97; CitiPower, </w:t>
      </w:r>
      <w:r w:rsidRPr="00AF5B33">
        <w:rPr>
          <w:rStyle w:val="AERtextitalic"/>
        </w:rPr>
        <w:t>Revised Regulatory Proposal 2016-2020</w:t>
      </w:r>
      <w:r>
        <w:t xml:space="preserve">; January 2016, p. 375; Jemena Electricity Networks, </w:t>
      </w:r>
      <w:r w:rsidRPr="00AF5B33">
        <w:rPr>
          <w:rStyle w:val="AERtextitalic"/>
        </w:rPr>
        <w:t>Attachment 6-1 Rate of return, gamma, forecast inflation, and debt and equity raising costs</w:t>
      </w:r>
      <w:r>
        <w:t xml:space="preserve">, January 2016, pp. 104-105; Powercor, </w:t>
      </w:r>
      <w:r w:rsidRPr="00AF5B33">
        <w:rPr>
          <w:rStyle w:val="AERtextitalic"/>
        </w:rPr>
        <w:t>Revised Regulatory Proposal 2016-2020</w:t>
      </w:r>
      <w:r>
        <w:t>, January 2016, p. 369.</w:t>
      </w:r>
    </w:p>
  </w:footnote>
  <w:footnote w:id="336">
    <w:p w:rsidR="00021F98" w:rsidRDefault="00021F98"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2; ActewAGL, </w:t>
      </w:r>
      <w:r w:rsidRPr="00AF5B33">
        <w:rPr>
          <w:rStyle w:val="AERtextitalic"/>
        </w:rPr>
        <w:t>Appendix 5.01 Detailed response to rate of return, gamma and inflation</w:t>
      </w:r>
      <w:r>
        <w:t xml:space="preserve">, January 2016, pp.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337">
    <w:p w:rsidR="00021F98" w:rsidRDefault="00021F98"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125; AusNet Electricity Services, </w:t>
      </w:r>
      <w:r w:rsidRPr="00AF5B33">
        <w:rPr>
          <w:rStyle w:val="AERtextitalic"/>
        </w:rPr>
        <w:t>Revised Regulatory Proposal</w:t>
      </w:r>
      <w:r>
        <w:t xml:space="preserve">, January 2016, pp. 7-84, 7-83; United Energy, </w:t>
      </w:r>
      <w:r w:rsidRPr="00AF5B33">
        <w:rPr>
          <w:rStyle w:val="AERtextitalic"/>
        </w:rPr>
        <w:t>Response to AER Preliminary Determination Re: Rate of return and gamma</w:t>
      </w:r>
      <w:r>
        <w:t xml:space="preserve">, January 2016, pp. 85, 86; CitiPower, </w:t>
      </w:r>
      <w:r w:rsidRPr="00AF5B33">
        <w:rPr>
          <w:rStyle w:val="AERtextitalic"/>
        </w:rPr>
        <w:t>Revised Regulatory Proposal 2016-2020</w:t>
      </w:r>
      <w:r>
        <w:t xml:space="preserve">; January 2016, pp. 362, 364; Jemena Electricity Networks, </w:t>
      </w:r>
      <w:r w:rsidRPr="00AF5B33">
        <w:rPr>
          <w:rStyle w:val="AERtextitalic"/>
        </w:rPr>
        <w:t>Attachment 6-1 Rate of return, gamma, forecast inflation, and debt and equity raising costs</w:t>
      </w:r>
      <w:r>
        <w:t xml:space="preserve">, January 2016, pp. 91, 92; Powercor, </w:t>
      </w:r>
      <w:r w:rsidRPr="00AF5B33">
        <w:rPr>
          <w:rStyle w:val="AERtextitalic"/>
        </w:rPr>
        <w:t>Revised Regulatory Proposal 2016-2020</w:t>
      </w:r>
      <w:r>
        <w:t>, January 2016, pp. 356, 358.</w:t>
      </w:r>
    </w:p>
  </w:footnote>
  <w:footnote w:id="338">
    <w:p w:rsidR="00021F98" w:rsidRDefault="00021F98"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January 2016, p. 41.</w:t>
      </w:r>
    </w:p>
  </w:footnote>
  <w:footnote w:id="339">
    <w:p w:rsidR="00021F98" w:rsidRDefault="00021F98"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January 2016, pp. 354, 368.</w:t>
      </w:r>
    </w:p>
  </w:footnote>
  <w:footnote w:id="340">
    <w:p w:rsidR="00021F98" w:rsidRDefault="00021F98"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127;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374; Jemena Electricity Networks, </w:t>
      </w:r>
      <w:r w:rsidRPr="00AF5B33">
        <w:rPr>
          <w:rStyle w:val="AERtextitalic"/>
        </w:rPr>
        <w:t>Attachment 6-1 Rate of return, gamma, forecast inflation, and debt and equity raising costs</w:t>
      </w:r>
      <w:r>
        <w:t xml:space="preserve">, January 2016, p. 103; Powercor, </w:t>
      </w:r>
      <w:r w:rsidRPr="00AF5B33">
        <w:rPr>
          <w:rStyle w:val="AERtextitalic"/>
        </w:rPr>
        <w:t>Revised Regulatory Proposal 2016-2020</w:t>
      </w:r>
      <w:r>
        <w:t>, January 2016, p. 368.</w:t>
      </w:r>
    </w:p>
  </w:footnote>
  <w:footnote w:id="341">
    <w:p w:rsidR="00021F98" w:rsidRDefault="00021F98">
      <w:pPr>
        <w:pStyle w:val="FootnoteText"/>
      </w:pPr>
      <w:r>
        <w:rPr>
          <w:rStyle w:val="FootnoteReference"/>
        </w:rPr>
        <w:footnoteRef/>
      </w:r>
      <w:r>
        <w:t xml:space="preserve"> </w:t>
      </w:r>
      <w:r>
        <w:tab/>
        <w:t xml:space="preserve">Frontier Economics, </w:t>
      </w:r>
      <w:r>
        <w:rPr>
          <w:rStyle w:val="AERtextitalic"/>
        </w:rPr>
        <w:t>Regulatory An updated dividend drop-off estimate of theta</w:t>
      </w:r>
      <w:r>
        <w:t xml:space="preserve">, September 2016; Frontier Economics, </w:t>
      </w:r>
      <w:r>
        <w:rPr>
          <w:rStyle w:val="AERtextitalic"/>
        </w:rPr>
        <w:t>Issues in the estimation of gamma</w:t>
      </w:r>
      <w:r>
        <w:t>, September 2016.</w:t>
      </w:r>
    </w:p>
  </w:footnote>
  <w:footnote w:id="342">
    <w:p w:rsidR="00021F98" w:rsidRDefault="00021F98">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pp. 209, 212; Frontier Economics, </w:t>
      </w:r>
      <w:r>
        <w:rPr>
          <w:rStyle w:val="AERtextitalic"/>
        </w:rPr>
        <w:t>Regulatory An updated dividend drop-off estimate of theta</w:t>
      </w:r>
      <w:r>
        <w:t>, September 2016.</w:t>
      </w:r>
    </w:p>
  </w:footnote>
  <w:footnote w:id="343">
    <w:p w:rsidR="00021F98" w:rsidRPr="00E750F8" w:rsidRDefault="00021F98" w:rsidP="00E5634C">
      <w:pPr>
        <w:pStyle w:val="FootnoteText"/>
        <w:rPr>
          <w:rStyle w:val="AERtextitalic"/>
        </w:rPr>
      </w:pPr>
      <w:r>
        <w:rPr>
          <w:rStyle w:val="FootnoteReference"/>
        </w:rPr>
        <w:footnoteRef/>
      </w:r>
      <w:r>
        <w:t xml:space="preserve"> </w:t>
      </w:r>
      <w:r>
        <w:tab/>
        <w:t xml:space="preserve">M. Lally, </w:t>
      </w:r>
      <w:r>
        <w:rPr>
          <w:rStyle w:val="AERtextitalic"/>
        </w:rPr>
        <w:t>Issues in the estimation of gamma,</w:t>
      </w:r>
      <w:r w:rsidRPr="004423C9">
        <w:rPr>
          <w:rStyle w:val="AERtextitalic"/>
          <w:i w:val="0"/>
        </w:rPr>
        <w:t xml:space="preserve"> April</w:t>
      </w:r>
      <w:r w:rsidRPr="00E5634C">
        <w:rPr>
          <w:rStyle w:val="AERtextitalic"/>
          <w:i w:val="0"/>
        </w:rPr>
        <w:t xml:space="preserve"> 2017</w:t>
      </w:r>
      <w:r w:rsidRPr="00541886">
        <w:rPr>
          <w:rStyle w:val="AERtextitalic"/>
          <w:i w:val="0"/>
        </w:rPr>
        <w:t>, p</w:t>
      </w:r>
      <w:r w:rsidRPr="00823068">
        <w:rPr>
          <w:rStyle w:val="AERtextitalic"/>
          <w:i w:val="0"/>
        </w:rPr>
        <w:t>p</w:t>
      </w:r>
      <w:r w:rsidRPr="00023359">
        <w:rPr>
          <w:rStyle w:val="AERtextitalic"/>
          <w:i w:val="0"/>
        </w:rPr>
        <w:t>.</w:t>
      </w:r>
      <w:r w:rsidRPr="00CB3A71">
        <w:rPr>
          <w:rStyle w:val="AERtextitalic"/>
          <w:i w:val="0"/>
        </w:rPr>
        <w:t> 6-9.</w:t>
      </w:r>
    </w:p>
  </w:footnote>
  <w:footnote w:id="344">
    <w:p w:rsidR="00021F98" w:rsidRDefault="00021F98">
      <w:pPr>
        <w:pStyle w:val="FootnoteText"/>
      </w:pPr>
      <w:r>
        <w:rPr>
          <w:rStyle w:val="FootnoteReference"/>
        </w:rPr>
        <w:footnoteRef/>
      </w:r>
      <w:r>
        <w:t xml:space="preserve"> </w:t>
      </w:r>
      <w:r>
        <w:tab/>
      </w:r>
      <w:r w:rsidRPr="00C4792B">
        <w:t xml:space="preserve">AusNet Transmission, </w:t>
      </w:r>
      <w:r w:rsidRPr="00C4792B">
        <w:rPr>
          <w:rStyle w:val="AERtextitalic"/>
        </w:rPr>
        <w:t>Transmission Revenue Proposal Review 2017-2022, Revised Revenue Proposal</w:t>
      </w:r>
      <w:r w:rsidRPr="00C4792B">
        <w:t>, 21 September 2016, p. </w:t>
      </w:r>
      <w:r>
        <w:t xml:space="preserve">210; Frontier Economics, </w:t>
      </w:r>
      <w:r>
        <w:rPr>
          <w:rStyle w:val="AERtextitalic"/>
        </w:rPr>
        <w:t>Issues in the estimation of gamma</w:t>
      </w:r>
      <w:r>
        <w:t>, September 2016, pp. 3-4, 12-15.</w:t>
      </w:r>
    </w:p>
  </w:footnote>
  <w:footnote w:id="345">
    <w:p w:rsidR="00021F98" w:rsidRDefault="00021F98">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 205; Frontier Economics, </w:t>
      </w:r>
      <w:r>
        <w:rPr>
          <w:rStyle w:val="AERtextitalic"/>
        </w:rPr>
        <w:t>Issues in the estimation of gamma</w:t>
      </w:r>
      <w:r>
        <w:t>, September 2016, pp. 6-11.</w:t>
      </w:r>
    </w:p>
  </w:footnote>
  <w:footnote w:id="346">
    <w:p w:rsidR="00021F98" w:rsidRDefault="00021F98">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 205; Frontier Economics, </w:t>
      </w:r>
      <w:r>
        <w:rPr>
          <w:rStyle w:val="AERtextitalic"/>
        </w:rPr>
        <w:t>Issues in the estimation of gamma</w:t>
      </w:r>
      <w:r>
        <w:t>, September 2016, pp. 6-11.</w:t>
      </w:r>
    </w:p>
  </w:footnote>
  <w:footnote w:id="347">
    <w:p w:rsidR="00021F98" w:rsidRDefault="00021F98" w:rsidP="0048052E">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873B3">
        <w:rPr>
          <w:rStyle w:val="AERtextitalic"/>
          <w:i w:val="0"/>
        </w:rPr>
        <w:t>, p</w:t>
      </w:r>
      <w:r w:rsidRPr="009F08EB">
        <w:rPr>
          <w:rStyle w:val="AERtextitalic"/>
          <w:i w:val="0"/>
        </w:rPr>
        <w:t>p</w:t>
      </w:r>
      <w:r w:rsidRPr="007B2660">
        <w:rPr>
          <w:rStyle w:val="AERtextitalic"/>
          <w:i w:val="0"/>
        </w:rPr>
        <w:t>. </w:t>
      </w:r>
      <w:r w:rsidRPr="009608B3">
        <w:rPr>
          <w:rStyle w:val="AERtextitalic"/>
          <w:i w:val="0"/>
        </w:rPr>
        <w:t>9-12.</w:t>
      </w:r>
    </w:p>
  </w:footnote>
  <w:footnote w:id="348">
    <w:p w:rsidR="00021F98" w:rsidRDefault="00021F98" w:rsidP="0048052E">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873B3">
        <w:rPr>
          <w:rStyle w:val="AERtextitalic"/>
          <w:i w:val="0"/>
        </w:rPr>
        <w:t>, pp. 9-12</w:t>
      </w:r>
      <w:r w:rsidRPr="0048052E">
        <w:rPr>
          <w:rStyle w:val="AERtextitalic"/>
        </w:rPr>
        <w:t>.</w:t>
      </w:r>
    </w:p>
  </w:footnote>
  <w:footnote w:id="349">
    <w:p w:rsidR="00021F98" w:rsidRDefault="00021F98" w:rsidP="00C52695">
      <w:pPr>
        <w:pStyle w:val="FootnoteText"/>
      </w:pPr>
      <w:r>
        <w:rPr>
          <w:rStyle w:val="FootnoteReference"/>
        </w:rPr>
        <w:footnoteRef/>
      </w:r>
      <w:r>
        <w:t xml:space="preserve"> </w:t>
      </w:r>
      <w:r>
        <w:tab/>
      </w:r>
      <w:r w:rsidRPr="00FF5DB5">
        <w:t>NER, cl</w:t>
      </w:r>
      <w:r>
        <w:t xml:space="preserve">l. 6.4.3, </w:t>
      </w:r>
      <w:r w:rsidRPr="00FF5DB5">
        <w:t>6A.5.4; NGR, r. 76.</w:t>
      </w:r>
    </w:p>
  </w:footnote>
  <w:footnote w:id="350">
    <w:p w:rsidR="00021F98" w:rsidRDefault="00021F9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 and footnote 2.</w:t>
      </w:r>
    </w:p>
  </w:footnote>
  <w:footnote w:id="351">
    <w:p w:rsidR="00021F98" w:rsidRDefault="00021F98" w:rsidP="00C52695">
      <w:pPr>
        <w:pStyle w:val="FootnoteText"/>
      </w:pPr>
      <w:r>
        <w:rPr>
          <w:rStyle w:val="FootnoteReference"/>
        </w:rPr>
        <w:footnoteRef/>
      </w:r>
      <w:r>
        <w:t xml:space="preserve"> </w:t>
      </w:r>
      <w:r>
        <w:tab/>
        <w:t xml:space="preserve">We note that if there was a post-tax market for imputation credits they should trade for approximately their face value as this is the amount of post-tax cash flow from the government they entitle the claimant to receive from the government. </w:t>
      </w:r>
    </w:p>
  </w:footnote>
  <w:footnote w:id="352">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11-12.</w:t>
      </w:r>
    </w:p>
  </w:footnote>
  <w:footnote w:id="353">
    <w:p w:rsidR="00021F98" w:rsidRDefault="00021F98"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7.</w:t>
      </w:r>
    </w:p>
  </w:footnote>
  <w:footnote w:id="354">
    <w:p w:rsidR="00021F98" w:rsidRDefault="00021F98"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6.</w:t>
      </w:r>
    </w:p>
  </w:footnote>
  <w:footnote w:id="355">
    <w:p w:rsidR="00021F98" w:rsidRDefault="00021F9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pp. 4–5 and footnote 2; </w:t>
      </w:r>
      <w:r w:rsidRPr="00DA582A">
        <w:t xml:space="preserve"> </w:t>
      </w:r>
      <w:r w:rsidRPr="00712BC2">
        <w:t xml:space="preserve">M. Lally, </w:t>
      </w:r>
      <w:r>
        <w:rPr>
          <w:rStyle w:val="AERtextitalic"/>
        </w:rPr>
        <w:t>Gamma and the ACT Decision</w:t>
      </w:r>
      <w:r>
        <w:t>, May 2016, pp. 7, 11, 12.</w:t>
      </w:r>
    </w:p>
  </w:footnote>
  <w:footnote w:id="356">
    <w:p w:rsidR="00021F98" w:rsidRDefault="00021F98" w:rsidP="00C52695">
      <w:pPr>
        <w:pStyle w:val="FootnoteText"/>
      </w:pPr>
      <w:r>
        <w:rPr>
          <w:rStyle w:val="FootnoteReference"/>
        </w:rPr>
        <w:footnoteRef/>
      </w:r>
      <w:r>
        <w:t xml:space="preserve"> </w:t>
      </w:r>
      <w:r>
        <w:tab/>
        <w:t>NER, cll. 6.5.2, 6A.6.2;</w:t>
      </w:r>
      <w:r w:rsidRPr="0042735A">
        <w:t xml:space="preserve"> </w:t>
      </w:r>
      <w:r>
        <w:t>NGR, r. 87.</w:t>
      </w:r>
    </w:p>
  </w:footnote>
  <w:footnote w:id="357">
    <w:p w:rsidR="00021F98" w:rsidRDefault="00021F98" w:rsidP="00C52695">
      <w:pPr>
        <w:pStyle w:val="FootnoteText"/>
      </w:pPr>
      <w:r>
        <w:rPr>
          <w:rStyle w:val="FootnoteReference"/>
        </w:rPr>
        <w:footnoteRef/>
      </w:r>
      <w:r>
        <w:t xml:space="preserve"> </w:t>
      </w:r>
      <w:r>
        <w:tab/>
        <w:t>Although we consider that it is implied that the 'value of imputation credits' refers to the value of imputation credits to investors in the benchmark efficient entity, we note that the NER/NGR are not explicit on this point.</w:t>
      </w:r>
    </w:p>
  </w:footnote>
  <w:footnote w:id="358">
    <w:p w:rsidR="00021F98" w:rsidRDefault="00021F98"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359">
    <w:p w:rsidR="00021F98" w:rsidRDefault="00021F98"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360">
    <w:p w:rsidR="00021F98" w:rsidRDefault="00021F9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361">
    <w:p w:rsidR="00021F98" w:rsidRDefault="00021F98" w:rsidP="00C52695">
      <w:pPr>
        <w:pStyle w:val="FootnoteText"/>
      </w:pPr>
      <w:r>
        <w:rPr>
          <w:rStyle w:val="FootnoteReference"/>
        </w:rPr>
        <w:footnoteRef/>
      </w:r>
      <w:r>
        <w:t xml:space="preserve"> </w:t>
      </w:r>
      <w:r>
        <w:tab/>
        <w:t>NER, cll. 6.5.2, 6A.6.2;</w:t>
      </w:r>
      <w:r w:rsidRPr="0042735A">
        <w:t xml:space="preserve"> </w:t>
      </w:r>
      <w:r>
        <w:t>NGR, r. 87.</w:t>
      </w:r>
    </w:p>
  </w:footnote>
  <w:footnote w:id="362">
    <w:p w:rsidR="00021F98" w:rsidRDefault="00021F98" w:rsidP="00C52695">
      <w:pPr>
        <w:pStyle w:val="FootnoteText"/>
      </w:pPr>
      <w:r>
        <w:rPr>
          <w:rStyle w:val="FootnoteReference"/>
        </w:rPr>
        <w:footnoteRef/>
      </w:r>
      <w:r>
        <w:t xml:space="preserve"> </w:t>
      </w:r>
      <w:r>
        <w:tab/>
      </w:r>
      <w:r w:rsidRPr="00ED480E">
        <w:t xml:space="preserve">Handley, </w:t>
      </w:r>
      <w:r w:rsidRPr="005764F6">
        <w:rPr>
          <w:rStyle w:val="AERtextitalic"/>
        </w:rPr>
        <w:t>Report prepared for the Australian Energy Regulator: Advice on the value of imputation credits</w:t>
      </w:r>
      <w:r w:rsidRPr="00ED480E">
        <w:t>, 29</w:t>
      </w:r>
      <w:r>
        <w:t xml:space="preserve"> </w:t>
      </w:r>
      <w:r w:rsidRPr="00ED480E">
        <w:t>September 2014, pp</w:t>
      </w:r>
      <w:r>
        <w:t>. </w:t>
      </w:r>
      <w:r w:rsidRPr="00ED480E">
        <w:t>9, 17.</w:t>
      </w:r>
    </w:p>
  </w:footnote>
  <w:footnote w:id="363">
    <w:p w:rsidR="00021F98" w:rsidRDefault="00021F98"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64">
    <w:p w:rsidR="00021F98" w:rsidRDefault="00021F98"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65">
    <w:p w:rsidR="00021F98" w:rsidRDefault="00021F9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366">
    <w:p w:rsidR="00021F98" w:rsidRDefault="00021F98" w:rsidP="00C52695">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26 February 2016, para. 1100</w:t>
      </w:r>
      <w:r w:rsidRPr="005764F6">
        <w:t xml:space="preserve">; 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12 May 2016.</w:t>
      </w:r>
    </w:p>
  </w:footnote>
  <w:footnote w:id="367">
    <w:p w:rsidR="00021F98" w:rsidRDefault="00021F98" w:rsidP="00C52695">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January 2016, para. 1100.</w:t>
      </w:r>
    </w:p>
  </w:footnote>
  <w:footnote w:id="368">
    <w:p w:rsidR="00021F98" w:rsidRPr="00CD707C" w:rsidRDefault="00021F98" w:rsidP="00C52695">
      <w:pPr>
        <w:pStyle w:val="FootnoteText"/>
      </w:pPr>
      <w:r>
        <w:rPr>
          <w:rStyle w:val="FootnoteReference"/>
        </w:rPr>
        <w:footnoteRef/>
      </w:r>
      <w:r>
        <w:t xml:space="preserve"> </w:t>
      </w:r>
      <w:r>
        <w:tab/>
      </w:r>
      <w:r w:rsidRPr="005764F6">
        <w:t xml:space="preserve">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xml:space="preserve">, 12 May 2016; </w:t>
      </w:r>
      <w:r w:rsidRPr="006D49F4">
        <w:t xml:space="preserve">Australian Competition Tribunal, </w:t>
      </w:r>
      <w:r w:rsidRPr="006D49F4">
        <w:rPr>
          <w:rStyle w:val="AERtextitalic"/>
        </w:rPr>
        <w:t>Application by Public Interest Advocacy Centre Ltd and Ausgrid [2016] ACompT 1</w:t>
      </w:r>
      <w:r w:rsidRPr="006D49F4">
        <w:t>, 26 February 2016, para. 1100.</w:t>
      </w:r>
    </w:p>
  </w:footnote>
  <w:footnote w:id="369">
    <w:p w:rsidR="00021F98" w:rsidRDefault="00021F98" w:rsidP="00C52695">
      <w:pPr>
        <w:pStyle w:val="FootnoteText"/>
      </w:pPr>
      <w:r>
        <w:rPr>
          <w:rStyle w:val="FootnoteReference"/>
        </w:rPr>
        <w:footnoteRef/>
      </w:r>
      <w:r>
        <w:t xml:space="preserve"> </w:t>
      </w:r>
      <w:r>
        <w:tab/>
        <w:t xml:space="preserve">It is approximately equal due to the time value of money that impacts the present valuation of distributed imputation credits. However, we consider any discounting for this would be immaterial for the reasons discussed in section </w:t>
      </w:r>
      <w:r>
        <w:fldChar w:fldCharType="begin"/>
      </w:r>
      <w:r>
        <w:instrText xml:space="preserve"> REF _Ref414099389 \r \h </w:instrText>
      </w:r>
      <w:r>
        <w:fldChar w:fldCharType="separate"/>
      </w:r>
      <w:r>
        <w:t>A.8.3</w:t>
      </w:r>
      <w:r>
        <w:fldChar w:fldCharType="end"/>
      </w:r>
    </w:p>
  </w:footnote>
  <w:footnote w:id="370">
    <w:p w:rsidR="00021F98" w:rsidRDefault="00021F98" w:rsidP="00C52695">
      <w:pPr>
        <w:pStyle w:val="FootnoteText"/>
      </w:pPr>
      <w:r>
        <w:rPr>
          <w:rStyle w:val="FootnoteReference"/>
        </w:rPr>
        <w:footnoteRef/>
      </w:r>
      <w:r>
        <w:t xml:space="preserve"> </w:t>
      </w:r>
      <w:r>
        <w:tab/>
        <w:t>This is evident in companies having positive franking account balances in aggregate.</w:t>
      </w:r>
    </w:p>
  </w:footnote>
  <w:footnote w:id="371">
    <w:p w:rsidR="00021F98" w:rsidRDefault="00021F98" w:rsidP="00C52695">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372">
    <w:p w:rsidR="00021F98" w:rsidRDefault="00021F9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18</w:t>
      </w:r>
      <w:r>
        <w:rPr>
          <w:rFonts w:cs="Arial"/>
        </w:rPr>
        <w:t>–</w:t>
      </w:r>
      <w:r>
        <w:t>20.</w:t>
      </w:r>
    </w:p>
  </w:footnote>
  <w:footnote w:id="373">
    <w:p w:rsidR="00021F98" w:rsidRDefault="00021F98" w:rsidP="00C52695">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374">
    <w:p w:rsidR="00021F98" w:rsidRDefault="00021F98" w:rsidP="00C52695">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375">
    <w:p w:rsidR="00021F98" w:rsidRDefault="00021F9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14.</w:t>
      </w:r>
    </w:p>
  </w:footnote>
  <w:footnote w:id="376">
    <w:p w:rsidR="00021F98" w:rsidRDefault="00021F98" w:rsidP="00C52695">
      <w:pPr>
        <w:pStyle w:val="FootnoteText"/>
      </w:pPr>
      <w:r>
        <w:rPr>
          <w:rStyle w:val="FootnoteReference"/>
        </w:rPr>
        <w:footnoteRef/>
      </w:r>
      <w:r>
        <w:t xml:space="preserve"> </w:t>
      </w:r>
      <w:r>
        <w:tab/>
      </w:r>
      <w:r w:rsidRPr="003B4589">
        <w:t xml:space="preserve">L. Gitman, R. Juchau and J. Flanagan, </w:t>
      </w:r>
      <w:r w:rsidRPr="00D414CC">
        <w:rPr>
          <w:rStyle w:val="Emphasis"/>
        </w:rPr>
        <w:t>Principles of Managerial Finance</w:t>
      </w:r>
      <w:r>
        <w:t>, 6th Edition, 2011, p</w:t>
      </w:r>
      <w:r w:rsidRPr="003B4589">
        <w:t xml:space="preserve">. </w:t>
      </w:r>
      <w:r>
        <w:t>475</w:t>
      </w:r>
      <w:r w:rsidRPr="003B4589">
        <w:t>.</w:t>
      </w:r>
    </w:p>
  </w:footnote>
  <w:footnote w:id="377">
    <w:p w:rsidR="00021F98" w:rsidRDefault="00021F98" w:rsidP="00C52695">
      <w:pPr>
        <w:pStyle w:val="FootnoteText"/>
      </w:pPr>
      <w:r>
        <w:rPr>
          <w:rStyle w:val="FootnoteReference"/>
        </w:rPr>
        <w:footnoteRef/>
      </w:r>
      <w:r>
        <w:t xml:space="preserve"> </w:t>
      </w:r>
      <w:r>
        <w:tab/>
        <w:t xml:space="preserve">Caltex Australia Limited, </w:t>
      </w:r>
      <w:r w:rsidRPr="005764F6">
        <w:rPr>
          <w:rStyle w:val="AERtextitalic"/>
        </w:rPr>
        <w:t>Off-market buy-back booklet</w:t>
      </w:r>
      <w:r>
        <w:t>, 26 February 2016; Caltex Australia Limited</w:t>
      </w:r>
      <w:r w:rsidRPr="005764F6">
        <w:rPr>
          <w:rStyle w:val="AERtextitalic"/>
        </w:rPr>
        <w:t>, Caltex successfully completes $270m off-market share buy-back</w:t>
      </w:r>
      <w:r>
        <w:t>, 11 April 2016.</w:t>
      </w:r>
    </w:p>
  </w:footnote>
  <w:footnote w:id="378">
    <w:p w:rsidR="00021F98" w:rsidRDefault="00021F98" w:rsidP="00C52695">
      <w:pPr>
        <w:pStyle w:val="FootnoteText"/>
      </w:pPr>
      <w:r>
        <w:rPr>
          <w:rStyle w:val="FootnoteReference"/>
        </w:rPr>
        <w:footnoteRef/>
      </w:r>
      <w:r>
        <w:t xml:space="preserve"> </w:t>
      </w:r>
      <w:r>
        <w:tab/>
        <w:t xml:space="preserve">Professor Gray undertook reports for both SFG and Frontier economics. To avoid confusion, we have generally referred to Professor Gray by name with the consulting firm after his name. </w:t>
      </w:r>
    </w:p>
  </w:footnote>
  <w:footnote w:id="379">
    <w:p w:rsidR="00021F98" w:rsidRDefault="00021F98" w:rsidP="00C52695">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380">
    <w:p w:rsidR="00021F98" w:rsidRDefault="00021F9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381">
    <w:p w:rsidR="00021F98" w:rsidRPr="00CD707C" w:rsidRDefault="00021F98" w:rsidP="00C52695">
      <w:pPr>
        <w:pStyle w:val="FootnoteText"/>
      </w:pPr>
      <w:r>
        <w:rPr>
          <w:rStyle w:val="FootnoteReference"/>
        </w:rPr>
        <w:footnoteRef/>
      </w:r>
      <w:r>
        <w:t xml:space="preserve"> </w:t>
      </w:r>
      <w:r>
        <w:tab/>
      </w:r>
      <w:r w:rsidRPr="006D49F4">
        <w:t xml:space="preserve">United Energy, </w:t>
      </w:r>
      <w:r w:rsidRPr="00D414CC">
        <w:rPr>
          <w:rStyle w:val="Emphasis"/>
        </w:rPr>
        <w:t>Submission on AER preliminary determination - Submission on gamma</w:t>
      </w:r>
      <w:r w:rsidRPr="006D49F4">
        <w:t xml:space="preserve">, 26 April 2016; CitiPower/Powercor, </w:t>
      </w:r>
      <w:r w:rsidRPr="00D414CC">
        <w:rPr>
          <w:rStyle w:val="Emphasis"/>
        </w:rPr>
        <w:t>Submission on implications of recent Australian Competition Tribunal Decision</w:t>
      </w:r>
      <w:r w:rsidRPr="006D49F4">
        <w:t xml:space="preserve">, 18 April 2016; ActewAGL, </w:t>
      </w:r>
      <w:r w:rsidRPr="00D414CC">
        <w:rPr>
          <w:rStyle w:val="Emphasis"/>
        </w:rPr>
        <w:t>Implication of recent Tribunal decisions for final decision and updates to the allowed rate of return and forecast inflation estimate</w:t>
      </w:r>
      <w:r w:rsidRPr="006D49F4">
        <w:t xml:space="preserve">, 12 May 2016; Australian Competition Tribunal, </w:t>
      </w:r>
      <w:r w:rsidRPr="00D414CC">
        <w:rPr>
          <w:rStyle w:val="Emphasis"/>
        </w:rPr>
        <w:t>Application by Public Interest Advocacy Centre Ltd and Ausgrid</w:t>
      </w:r>
      <w:r w:rsidRPr="006D49F4">
        <w:t xml:space="preserve"> [2016] ACompT 1, 26 February 2016, para. 1073.</w:t>
      </w:r>
    </w:p>
  </w:footnote>
  <w:footnote w:id="382">
    <w:p w:rsidR="00021F98" w:rsidRDefault="00021F9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383">
    <w:p w:rsidR="00021F98" w:rsidRDefault="00021F9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53.</w:t>
      </w:r>
    </w:p>
  </w:footnote>
  <w:footnote w:id="384">
    <w:p w:rsidR="00021F98" w:rsidRDefault="00021F98"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294–313, 331–334 and 341(b).</w:t>
      </w:r>
    </w:p>
  </w:footnote>
  <w:footnote w:id="385">
    <w:p w:rsidR="00021F98" w:rsidRDefault="00021F98" w:rsidP="00C52695">
      <w:pPr>
        <w:pStyle w:val="FootnoteText"/>
      </w:pPr>
      <w:r>
        <w:rPr>
          <w:rStyle w:val="FootnoteReference"/>
        </w:rPr>
        <w:footnoteRef/>
      </w:r>
      <w:r>
        <w:t xml:space="preserve"> </w:t>
      </w:r>
      <w:r>
        <w:tab/>
        <w:t>See section A.6.1 of the draft decisions.</w:t>
      </w:r>
    </w:p>
  </w:footnote>
  <w:footnote w:id="386">
    <w:p w:rsidR="00021F98" w:rsidRDefault="00021F9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paras. 111–121 and 136–137.</w:t>
      </w:r>
    </w:p>
  </w:footnote>
  <w:footnote w:id="387">
    <w:p w:rsidR="00021F98" w:rsidRDefault="00021F9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paras. 122–123.</w:t>
      </w:r>
    </w:p>
  </w:footnote>
  <w:footnote w:id="388">
    <w:p w:rsidR="00021F98" w:rsidRDefault="00021F98"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pp. 8–9.</w:t>
      </w:r>
    </w:p>
  </w:footnote>
  <w:footnote w:id="389">
    <w:p w:rsidR="00021F98" w:rsidRDefault="00021F9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390">
    <w:p w:rsidR="00021F98" w:rsidRDefault="00021F98"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391">
    <w:p w:rsidR="00021F98" w:rsidRDefault="00021F9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4.</w:t>
      </w:r>
    </w:p>
  </w:footnote>
  <w:footnote w:id="392">
    <w:p w:rsidR="00021F98" w:rsidRDefault="00021F98" w:rsidP="00C52695">
      <w:pPr>
        <w:pStyle w:val="FootnoteText"/>
      </w:pPr>
      <w:r>
        <w:rPr>
          <w:rStyle w:val="FootnoteReference"/>
        </w:rPr>
        <w:footnoteRef/>
      </w:r>
      <w:r>
        <w:t xml:space="preserve"> </w:t>
      </w:r>
      <w:r>
        <w:tab/>
        <w:t>Recall that the utilisation rate equals gamma under Officer's perpetuity framework.</w:t>
      </w:r>
    </w:p>
  </w:footnote>
  <w:footnote w:id="393">
    <w:p w:rsidR="00021F98" w:rsidRDefault="00021F98"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319.</w:t>
      </w:r>
    </w:p>
  </w:footnote>
  <w:footnote w:id="394">
    <w:p w:rsidR="00021F98" w:rsidRDefault="00021F98"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pp. 11–17.</w:t>
      </w:r>
    </w:p>
  </w:footnote>
  <w:footnote w:id="395">
    <w:p w:rsidR="00021F98" w:rsidRDefault="00021F9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paras. 126–127.</w:t>
      </w:r>
    </w:p>
  </w:footnote>
  <w:footnote w:id="396">
    <w:p w:rsidR="00021F98" w:rsidRDefault="00021F9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397">
    <w:p w:rsidR="00021F98" w:rsidRDefault="00021F9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398">
    <w:p w:rsidR="00021F98" w:rsidRDefault="00021F98" w:rsidP="00C52695">
      <w:pPr>
        <w:pStyle w:val="FootnoteText"/>
      </w:pPr>
      <w:r>
        <w:rPr>
          <w:rStyle w:val="FootnoteReference"/>
        </w:rPr>
        <w:footnoteRef/>
      </w:r>
      <w:r>
        <w:t xml:space="preserve"> </w:t>
      </w:r>
      <w:r>
        <w:tab/>
      </w:r>
      <w:r w:rsidRPr="00182E64">
        <w:t xml:space="preserve">G. Peirson, R. Brown, S. Easton and P. Howard, </w:t>
      </w:r>
      <w:r w:rsidRPr="00182E64">
        <w:rPr>
          <w:rStyle w:val="AERtextitalic"/>
        </w:rPr>
        <w:t>Business Finance</w:t>
      </w:r>
      <w:r>
        <w:t>, 10th Edition, 2009</w:t>
      </w:r>
      <w:r w:rsidRPr="00182E64">
        <w:t>, p</w:t>
      </w:r>
      <w:r>
        <w:t>p. 429 and 432</w:t>
      </w:r>
      <w:r w:rsidRPr="00182E64">
        <w:t>.</w:t>
      </w:r>
    </w:p>
  </w:footnote>
  <w:footnote w:id="399">
    <w:p w:rsidR="00021F98" w:rsidRDefault="00021F98" w:rsidP="00C52695">
      <w:pPr>
        <w:pStyle w:val="FootnoteText"/>
      </w:pPr>
      <w:r>
        <w:rPr>
          <w:rStyle w:val="FootnoteReference"/>
        </w:rPr>
        <w:footnoteRef/>
      </w:r>
      <w:r>
        <w:t xml:space="preserve"> </w:t>
      </w:r>
      <w:r>
        <w:tab/>
        <w:t xml:space="preserve">J. Berk, P. DeMarzo, J. Harford, G. Ford, V. Mollica and N. Finch, </w:t>
      </w:r>
      <w:r w:rsidRPr="00B27E42">
        <w:rPr>
          <w:rStyle w:val="AERtextitalic"/>
        </w:rPr>
        <w:t>Fundamentals of Corporate Finance</w:t>
      </w:r>
      <w:r>
        <w:t>, 2nd Edition, 2014, p. 535.</w:t>
      </w:r>
    </w:p>
  </w:footnote>
  <w:footnote w:id="400">
    <w:p w:rsidR="00021F98" w:rsidRDefault="00021F98" w:rsidP="00C52695">
      <w:pPr>
        <w:pStyle w:val="FootnoteText"/>
      </w:pPr>
      <w:r>
        <w:rPr>
          <w:rStyle w:val="FootnoteReference"/>
        </w:rPr>
        <w:footnoteRef/>
      </w:r>
      <w:r>
        <w:t xml:space="preserve"> </w:t>
      </w:r>
      <w:r>
        <w:tab/>
        <w:t xml:space="preserve">L. Gitman, R. Juchau and J. Flanagan, </w:t>
      </w:r>
      <w:r w:rsidRPr="00D414CC">
        <w:rPr>
          <w:rStyle w:val="Emphasis"/>
        </w:rPr>
        <w:t>Principles of Managerial Finance</w:t>
      </w:r>
      <w:r>
        <w:t>, 6th Edition, 2011, pp. 543 and 546.</w:t>
      </w:r>
    </w:p>
  </w:footnote>
  <w:footnote w:id="401">
    <w:p w:rsidR="00021F98" w:rsidRDefault="00021F9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402">
    <w:p w:rsidR="00021F98" w:rsidRDefault="00021F98"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9.</w:t>
      </w:r>
    </w:p>
  </w:footnote>
  <w:footnote w:id="403">
    <w:p w:rsidR="00021F98" w:rsidRDefault="00021F98" w:rsidP="00C52695">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523, footnote 8.</w:t>
      </w:r>
    </w:p>
  </w:footnote>
  <w:footnote w:id="404">
    <w:p w:rsidR="00021F98" w:rsidRDefault="00021F98" w:rsidP="00C52695">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526.</w:t>
      </w:r>
    </w:p>
  </w:footnote>
  <w:footnote w:id="405">
    <w:p w:rsidR="00021F98" w:rsidRDefault="00021F9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406">
    <w:p w:rsidR="00021F98" w:rsidRDefault="00021F9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407">
    <w:p w:rsidR="00021F98" w:rsidRDefault="00021F9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6.</w:t>
      </w:r>
    </w:p>
  </w:footnote>
  <w:footnote w:id="408">
    <w:p w:rsidR="00021F98" w:rsidRDefault="00021F98"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409">
    <w:p w:rsidR="00021F98" w:rsidRDefault="00021F9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45–48.</w:t>
      </w:r>
    </w:p>
  </w:footnote>
  <w:footnote w:id="410">
    <w:p w:rsidR="00021F98" w:rsidRDefault="00021F98"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w:t>
      </w:r>
    </w:p>
  </w:footnote>
  <w:footnote w:id="411">
    <w:p w:rsidR="00021F98" w:rsidRDefault="00021F98"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14.</w:t>
      </w:r>
    </w:p>
  </w:footnote>
  <w:footnote w:id="412">
    <w:p w:rsidR="00021F98" w:rsidRDefault="00021F9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46.</w:t>
      </w:r>
    </w:p>
  </w:footnote>
  <w:footnote w:id="413">
    <w:p w:rsidR="00021F98" w:rsidRDefault="00021F98"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414">
    <w:p w:rsidR="00021F98" w:rsidRDefault="00021F98"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415">
    <w:p w:rsidR="00021F98" w:rsidRPr="001224E1" w:rsidRDefault="00021F98" w:rsidP="00E6185B">
      <w:pPr>
        <w:pStyle w:val="FootnoteText"/>
      </w:pPr>
      <w:r>
        <w:rPr>
          <w:rStyle w:val="FootnoteReference"/>
        </w:rPr>
        <w:footnoteRef/>
      </w:r>
      <w:r>
        <w:t xml:space="preserve"> </w:t>
      </w:r>
      <w:r>
        <w:tab/>
        <w:t xml:space="preserve">M. Lally, </w:t>
      </w:r>
      <w:r w:rsidRPr="0006518E">
        <w:rPr>
          <w:rStyle w:val="AERtextitalic"/>
        </w:rPr>
        <w:t>Issues in the estimation of gamma</w:t>
      </w:r>
      <w:r>
        <w:t>, April 2017</w:t>
      </w:r>
      <w:r w:rsidRPr="00AD7E20">
        <w:rPr>
          <w:rStyle w:val="AERtextitalic"/>
          <w:i w:val="0"/>
        </w:rPr>
        <w:t>,</w:t>
      </w:r>
      <w:r w:rsidRPr="005B77D3">
        <w:rPr>
          <w:rStyle w:val="AERtextitalic"/>
          <w:i w:val="0"/>
        </w:rPr>
        <w:t xml:space="preserve"> p</w:t>
      </w:r>
      <w:r w:rsidRPr="00D7695B">
        <w:rPr>
          <w:rStyle w:val="AERtextitalic"/>
          <w:i w:val="0"/>
        </w:rPr>
        <w:t>p</w:t>
      </w:r>
      <w:r w:rsidRPr="00AD7E20">
        <w:rPr>
          <w:rStyle w:val="AERtextitalic"/>
          <w:i w:val="0"/>
        </w:rPr>
        <w:t>. </w:t>
      </w:r>
      <w:r w:rsidRPr="005B77D3">
        <w:rPr>
          <w:rStyle w:val="AERtextitalic"/>
          <w:i w:val="0"/>
        </w:rPr>
        <w:t>3</w:t>
      </w:r>
      <w:r w:rsidRPr="00D7695B">
        <w:rPr>
          <w:rStyle w:val="AERtextitalic"/>
          <w:i w:val="0"/>
        </w:rPr>
        <w:t>, 26</w:t>
      </w:r>
      <w:r w:rsidRPr="00AD7E20">
        <w:rPr>
          <w:rStyle w:val="AERtextitalic"/>
          <w:i w:val="0"/>
        </w:rPr>
        <w:t>.</w:t>
      </w:r>
    </w:p>
  </w:footnote>
  <w:footnote w:id="416">
    <w:p w:rsidR="00021F98" w:rsidRDefault="00021F98">
      <w:pPr>
        <w:pStyle w:val="FootnoteText"/>
      </w:pPr>
      <w:r>
        <w:rPr>
          <w:rStyle w:val="FootnoteReference"/>
        </w:rPr>
        <w:footnoteRef/>
      </w:r>
      <w:r>
        <w:t xml:space="preserve"> </w:t>
      </w:r>
      <w:r>
        <w:tab/>
        <w:t xml:space="preserve">Frontier Economics, </w:t>
      </w:r>
      <w:r>
        <w:rPr>
          <w:rStyle w:val="AERtextitalic"/>
        </w:rPr>
        <w:t>Issues in the estimation of gamma</w:t>
      </w:r>
      <w:r>
        <w:t>, September 2016, p. 20.</w:t>
      </w:r>
    </w:p>
  </w:footnote>
  <w:footnote w:id="417">
    <w:p w:rsidR="00021F98" w:rsidRPr="001224E1" w:rsidRDefault="00021F98" w:rsidP="00BD2C2C">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w:t>
      </w:r>
      <w:r w:rsidRPr="00BD2C2C">
        <w:rPr>
          <w:rStyle w:val="AERtextitalic"/>
          <w:i w:val="0"/>
        </w:rPr>
        <w:t> </w:t>
      </w:r>
      <w:r w:rsidRPr="002D7AA8">
        <w:rPr>
          <w:rStyle w:val="AERtextitalic"/>
          <w:i w:val="0"/>
        </w:rPr>
        <w:t>16</w:t>
      </w:r>
      <w:r w:rsidRPr="00BD2C2C">
        <w:rPr>
          <w:rStyle w:val="AERtextitalic"/>
          <w:i w:val="0"/>
        </w:rPr>
        <w:t>.</w:t>
      </w:r>
    </w:p>
  </w:footnote>
  <w:footnote w:id="418">
    <w:p w:rsidR="00021F98" w:rsidRDefault="00021F98" w:rsidP="0043564A">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20-21.</w:t>
      </w:r>
    </w:p>
  </w:footnote>
  <w:footnote w:id="419">
    <w:p w:rsidR="00021F98" w:rsidRPr="001224E1" w:rsidRDefault="00021F98" w:rsidP="00BD2C2C">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w:t>
      </w:r>
      <w:r w:rsidRPr="002D7AA8">
        <w:rPr>
          <w:rStyle w:val="AERtextitalic"/>
          <w:i w:val="0"/>
        </w:rPr>
        <w:t>p</w:t>
      </w:r>
      <w:r w:rsidRPr="00BD2C2C">
        <w:rPr>
          <w:rStyle w:val="AERtextitalic"/>
          <w:i w:val="0"/>
        </w:rPr>
        <w:t>. </w:t>
      </w:r>
      <w:r w:rsidRPr="002D7AA8">
        <w:rPr>
          <w:rStyle w:val="AERtextitalic"/>
          <w:i w:val="0"/>
        </w:rPr>
        <w:t>16-17</w:t>
      </w:r>
      <w:r w:rsidRPr="00BD2C2C">
        <w:rPr>
          <w:rStyle w:val="AERtextitalic"/>
          <w:i w:val="0"/>
        </w:rPr>
        <w:t>.</w:t>
      </w:r>
    </w:p>
  </w:footnote>
  <w:footnote w:id="420">
    <w:p w:rsidR="00021F98" w:rsidRDefault="00021F98" w:rsidP="0043564A">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21-22.</w:t>
      </w:r>
    </w:p>
  </w:footnote>
  <w:footnote w:id="421">
    <w:p w:rsidR="00021F98" w:rsidRPr="001224E1" w:rsidRDefault="00021F98" w:rsidP="005C46D8">
      <w:pPr>
        <w:pStyle w:val="FootnoteText"/>
      </w:pPr>
      <w:r>
        <w:rPr>
          <w:rStyle w:val="FootnoteReference"/>
        </w:rPr>
        <w:footnoteRef/>
      </w:r>
      <w:r>
        <w:t xml:space="preserve"> </w:t>
      </w:r>
      <w:r>
        <w:tab/>
        <w:t xml:space="preserve">M. Lally, </w:t>
      </w:r>
      <w:r w:rsidRPr="0006518E">
        <w:rPr>
          <w:rStyle w:val="AERtextitalic"/>
        </w:rPr>
        <w:t>Issues in the estimation of gamma</w:t>
      </w:r>
      <w:r>
        <w:t>, April 2017</w:t>
      </w:r>
      <w:r w:rsidRPr="001224E1">
        <w:rPr>
          <w:rStyle w:val="AERtextitalic"/>
          <w:i w:val="0"/>
        </w:rPr>
        <w:t>, p</w:t>
      </w:r>
      <w:r w:rsidRPr="002D7AA8">
        <w:rPr>
          <w:rStyle w:val="AERtextitalic"/>
          <w:i w:val="0"/>
        </w:rPr>
        <w:t>p</w:t>
      </w:r>
      <w:r w:rsidRPr="00BD2C2C">
        <w:rPr>
          <w:rStyle w:val="AERtextitalic"/>
          <w:i w:val="0"/>
        </w:rPr>
        <w:t>.</w:t>
      </w:r>
      <w:r w:rsidRPr="005C46D8">
        <w:rPr>
          <w:rStyle w:val="AERtextitalic"/>
          <w:i w:val="0"/>
        </w:rPr>
        <w:t> </w:t>
      </w:r>
      <w:r w:rsidRPr="007D76DD">
        <w:rPr>
          <w:rStyle w:val="AERtextitalic"/>
          <w:i w:val="0"/>
        </w:rPr>
        <w:t>1</w:t>
      </w:r>
      <w:r w:rsidRPr="00541886">
        <w:rPr>
          <w:rStyle w:val="AERtextitalic"/>
          <w:i w:val="0"/>
        </w:rPr>
        <w:t>7</w:t>
      </w:r>
      <w:r w:rsidRPr="005C46D8">
        <w:rPr>
          <w:rStyle w:val="AERtextitalic"/>
          <w:i w:val="0"/>
        </w:rPr>
        <w:t>-</w:t>
      </w:r>
      <w:r w:rsidRPr="00541886">
        <w:rPr>
          <w:rStyle w:val="AERtextitalic"/>
          <w:i w:val="0"/>
        </w:rPr>
        <w:t>20</w:t>
      </w:r>
      <w:r w:rsidRPr="00BD2C2C">
        <w:rPr>
          <w:rStyle w:val="AERtextitalic"/>
          <w:i w:val="0"/>
        </w:rPr>
        <w:t>.</w:t>
      </w:r>
    </w:p>
  </w:footnote>
  <w:footnote w:id="422">
    <w:p w:rsidR="00021F98" w:rsidRDefault="00021F98">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14.</w:t>
      </w:r>
    </w:p>
  </w:footnote>
  <w:footnote w:id="423">
    <w:p w:rsidR="00021F98" w:rsidRDefault="00021F98" w:rsidP="0043564A">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21-22.</w:t>
      </w:r>
    </w:p>
  </w:footnote>
  <w:footnote w:id="424">
    <w:p w:rsidR="00021F98" w:rsidRPr="001224E1" w:rsidRDefault="00021F98" w:rsidP="00BD2C2C">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BD2C2C">
        <w:rPr>
          <w:rStyle w:val="AERtextitalic"/>
          <w:i w:val="0"/>
        </w:rPr>
        <w:t>p. </w:t>
      </w:r>
      <w:r w:rsidRPr="002D7AA8">
        <w:rPr>
          <w:rStyle w:val="AERtextitalic"/>
          <w:i w:val="0"/>
        </w:rPr>
        <w:t>20</w:t>
      </w:r>
      <w:r w:rsidRPr="00BD2C2C">
        <w:rPr>
          <w:rStyle w:val="AERtextitalic"/>
          <w:i w:val="0"/>
        </w:rPr>
        <w:t>.</w:t>
      </w:r>
    </w:p>
  </w:footnote>
  <w:footnote w:id="425">
    <w:p w:rsidR="00021F98" w:rsidRDefault="00021F98"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section 4.</w:t>
      </w:r>
    </w:p>
  </w:footnote>
  <w:footnote w:id="426">
    <w:p w:rsidR="00021F98" w:rsidRDefault="00021F9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17–18.</w:t>
      </w:r>
    </w:p>
  </w:footnote>
  <w:footnote w:id="427">
    <w:p w:rsidR="00021F98" w:rsidRDefault="00021F98"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428">
    <w:p w:rsidR="00021F98" w:rsidRDefault="00021F9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89.</w:t>
      </w:r>
    </w:p>
  </w:footnote>
  <w:footnote w:id="429">
    <w:p w:rsidR="00021F98" w:rsidRDefault="00021F9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10–11.</w:t>
      </w:r>
    </w:p>
  </w:footnote>
  <w:footnote w:id="430">
    <w:p w:rsidR="00021F98" w:rsidRDefault="00021F98"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paras. 103–105.</w:t>
      </w:r>
    </w:p>
  </w:footnote>
  <w:footnote w:id="431">
    <w:p w:rsidR="00021F98" w:rsidRDefault="00021F9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14.</w:t>
      </w:r>
    </w:p>
  </w:footnote>
  <w:footnote w:id="432">
    <w:p w:rsidR="00021F98" w:rsidRDefault="00021F98"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433">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8-9.</w:t>
      </w:r>
    </w:p>
  </w:footnote>
  <w:footnote w:id="434">
    <w:p w:rsidR="00021F98" w:rsidRDefault="00021F9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435">
    <w:p w:rsidR="00021F98" w:rsidRDefault="00021F9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436">
    <w:p w:rsidR="00021F98" w:rsidRDefault="00021F98"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2,4,6;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xml:space="preserve">, January 2016, p. 352; AusNet Transmission, </w:t>
      </w:r>
      <w:r>
        <w:rPr>
          <w:rStyle w:val="AERtextitalic"/>
        </w:rPr>
        <w:t>Transmission Revenue Proposal Review 2017-2022, Revised Revenue Proposal</w:t>
      </w:r>
      <w:r>
        <w:t>, 21 September 2016, p. 199.</w:t>
      </w:r>
    </w:p>
  </w:footnote>
  <w:footnote w:id="437">
    <w:p w:rsidR="00021F98" w:rsidRDefault="00021F98"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6; ActewAGL, </w:t>
      </w:r>
      <w:r w:rsidRPr="00AF5B33">
        <w:rPr>
          <w:rStyle w:val="AERtextitalic"/>
        </w:rPr>
        <w:t>Appendix 5.01 Detailed response to rate of return, gamma and inflation</w:t>
      </w:r>
      <w:r>
        <w:t xml:space="preserve">, January 2016, pp. 41, 108; AusNet Electricity Services, </w:t>
      </w:r>
      <w:r w:rsidRPr="00AF5B33">
        <w:rPr>
          <w:rStyle w:val="AERtextitalic"/>
        </w:rPr>
        <w:t>Revised Regulatory Proposal</w:t>
      </w:r>
      <w:r>
        <w:t xml:space="preserve">, January 2016, pp. 7-79,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January 2016, p. 352; Powerlink</w:t>
      </w:r>
      <w:r w:rsidRPr="003E1CE7">
        <w:t xml:space="preserve">, </w:t>
      </w:r>
      <w:r>
        <w:rPr>
          <w:rStyle w:val="AERtextitalic"/>
        </w:rPr>
        <w:t>Powerlink Queensland Revenue Proposal Appendix 9.02</w:t>
      </w:r>
      <w:r w:rsidRPr="003E1CE7">
        <w:t xml:space="preserve">, </w:t>
      </w:r>
      <w:r>
        <w:t>31 January 2016, p</w:t>
      </w:r>
      <w:r w:rsidRPr="003E1CE7">
        <w:t>. </w:t>
      </w:r>
      <w:r>
        <w:t>6.</w:t>
      </w:r>
    </w:p>
  </w:footnote>
  <w:footnote w:id="438">
    <w:p w:rsidR="00021F98" w:rsidRDefault="00021F98"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2; Ausgrid, </w:t>
      </w:r>
      <w:r w:rsidRPr="00D75F7A">
        <w:rPr>
          <w:rStyle w:val="AERtextitalic"/>
        </w:rPr>
        <w:t>Ausgrid's revised proposal on gamma</w:t>
      </w:r>
      <w:r>
        <w:t xml:space="preserve">, January 2015, p. 4; Directlink, </w:t>
      </w:r>
      <w:r w:rsidRPr="0000771B">
        <w:rPr>
          <w:rStyle w:val="AERtextitalic"/>
        </w:rPr>
        <w:t>Directlink submission on gamma (updated)</w:t>
      </w:r>
      <w:r>
        <w:t xml:space="preserve">, January 2015, p. 5; Endeavour Energy, </w:t>
      </w:r>
      <w:r w:rsidRPr="00DF3162">
        <w:rPr>
          <w:rStyle w:val="AERtextitalic"/>
        </w:rPr>
        <w:t>Endeavour Energy's response to the AER draft decision re gamma</w:t>
      </w:r>
      <w:r>
        <w:t xml:space="preserve">, January 2015, p. 4; Essential Energy, </w:t>
      </w:r>
      <w:r w:rsidRPr="000E181F">
        <w:rPr>
          <w:rStyle w:val="AERtextitalic"/>
        </w:rPr>
        <w:t>Essential's response to AER draft decision re gamma</w:t>
      </w:r>
      <w:r>
        <w:t xml:space="preserve">, January 2015, p. 4; JGN, </w:t>
      </w:r>
      <w:r w:rsidRPr="000E181F">
        <w:rPr>
          <w:rStyle w:val="AERtextitalic"/>
        </w:rPr>
        <w:t>Gamma - response to the draft decision</w:t>
      </w:r>
      <w:r>
        <w:t xml:space="preserve">, February 2015, p. 6; AusNet Services, </w:t>
      </w:r>
      <w:r w:rsidRPr="00596AF9">
        <w:rPr>
          <w:i/>
        </w:rPr>
        <w:t>2016-20 Regulatory Proposal</w:t>
      </w:r>
      <w:r>
        <w:t xml:space="preserve">, April 2015, p. 360; United Energy, </w:t>
      </w:r>
      <w:r w:rsidRPr="00596AF9">
        <w:rPr>
          <w:i/>
        </w:rPr>
        <w:t>Assessment of the Value of Imputation Credits - Gamma, Proposal for 2016 to 2020</w:t>
      </w:r>
      <w:r>
        <w:t xml:space="preserve">, April 2015, p. 9; CitiPower,- </w:t>
      </w:r>
      <w:r w:rsidRPr="00596AF9">
        <w:rPr>
          <w:i/>
        </w:rPr>
        <w:t>Appendix J - Gamma</w:t>
      </w:r>
      <w:r>
        <w:t xml:space="preserve">, April 2015, p. 9; Powercor, </w:t>
      </w:r>
      <w:r w:rsidRPr="00596AF9">
        <w:rPr>
          <w:i/>
        </w:rPr>
        <w:t>Appendix J - Gamma</w:t>
      </w:r>
      <w:r>
        <w:t xml:space="preserve">, April 2015, p. 9; Jemena Electricity, </w:t>
      </w:r>
      <w:r w:rsidRPr="00596AF9">
        <w:rPr>
          <w:i/>
        </w:rPr>
        <w:t>Attachment 06-06 Gamma proposal</w:t>
      </w:r>
      <w:r>
        <w:t xml:space="preserve">, April 2015, p. 9 ; Energex, </w:t>
      </w:r>
      <w:r w:rsidRPr="00596AF9">
        <w:rPr>
          <w:i/>
        </w:rPr>
        <w:t>Submission on Energex's regulatory proposal 2015-20 and AER issues paper - attachment 2</w:t>
      </w:r>
      <w:r>
        <w:t xml:space="preserve">, January 2015, p. 6; ActewAGL Distribution, </w:t>
      </w:r>
      <w:r w:rsidRPr="00596AF9">
        <w:rPr>
          <w:i/>
        </w:rPr>
        <w:t xml:space="preserve">Attachment 8 Detailed gamma proposal, </w:t>
      </w:r>
      <w:r>
        <w:t>June 2015, p. 7.</w:t>
      </w:r>
    </w:p>
  </w:footnote>
  <w:footnote w:id="439">
    <w:p w:rsidR="00021F98" w:rsidRDefault="00021F98"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9.</w:t>
      </w:r>
    </w:p>
  </w:footnote>
  <w:footnote w:id="440">
    <w:p w:rsidR="00021F98" w:rsidRDefault="00021F98"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10.</w:t>
      </w:r>
    </w:p>
  </w:footnote>
  <w:footnote w:id="441">
    <w:p w:rsidR="00021F98" w:rsidRDefault="00021F98" w:rsidP="00C52695">
      <w:pPr>
        <w:pStyle w:val="FootnoteText"/>
      </w:pPr>
      <w:r>
        <w:rPr>
          <w:rStyle w:val="FootnoteReference"/>
        </w:rPr>
        <w:footnoteRef/>
      </w:r>
      <w:r>
        <w:t xml:space="preserve"> </w:t>
      </w:r>
      <w:r>
        <w:tab/>
        <w:t xml:space="preserve">See section A.5 of the draft decisions and: </w:t>
      </w:r>
      <w:r w:rsidRPr="007646B1">
        <w:t xml:space="preserve">AER, </w:t>
      </w:r>
      <w:r w:rsidRPr="007646B1">
        <w:rPr>
          <w:rStyle w:val="AERtextitalic"/>
        </w:rPr>
        <w:t xml:space="preserve">Better regulation: Explanatory </w:t>
      </w:r>
      <w:r>
        <w:rPr>
          <w:rStyle w:val="AERtextitalic"/>
        </w:rPr>
        <w:t>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 Appendices,</w:t>
      </w:r>
      <w:r w:rsidRPr="007646B1">
        <w:t xml:space="preserve"> December 2013</w:t>
      </w:r>
      <w:r>
        <w:t>, p. 138.</w:t>
      </w:r>
    </w:p>
  </w:footnote>
  <w:footnote w:id="442">
    <w:p w:rsidR="00021F98" w:rsidRDefault="00021F9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3-4.</w:t>
      </w:r>
    </w:p>
  </w:footnote>
  <w:footnote w:id="443">
    <w:p w:rsidR="00021F98" w:rsidRDefault="00021F9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 3.</w:t>
      </w:r>
    </w:p>
  </w:footnote>
  <w:footnote w:id="444">
    <w:p w:rsidR="00021F98" w:rsidRDefault="00021F9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445">
    <w:p w:rsidR="00021F98" w:rsidRDefault="00021F98" w:rsidP="00C52695">
      <w:pPr>
        <w:pStyle w:val="FootnoteText"/>
      </w:pPr>
      <w:r>
        <w:rPr>
          <w:rStyle w:val="FootnoteReference"/>
        </w:rPr>
        <w:footnoteRef/>
      </w:r>
      <w:r>
        <w:t xml:space="preserve"> </w:t>
      </w:r>
      <w:r>
        <w:tab/>
      </w:r>
      <w:r w:rsidRPr="00AF088D">
        <w:t xml:space="preserve">SFG, </w:t>
      </w:r>
      <w:r w:rsidRPr="00AF088D">
        <w:rPr>
          <w:rStyle w:val="AERtextitalic"/>
        </w:rPr>
        <w:t>Updated dividend drop-off estimate of theta: Report for the Energy Networks Association</w:t>
      </w:r>
      <w:r w:rsidRPr="00AF088D">
        <w:t>, 7 </w:t>
      </w:r>
      <w:r>
        <w:t>June 2013, pp. 18-20.</w:t>
      </w:r>
    </w:p>
  </w:footnote>
  <w:footnote w:id="446">
    <w:p w:rsidR="00021F98" w:rsidRDefault="00021F98" w:rsidP="00C52695">
      <w:pPr>
        <w:pStyle w:val="FootnoteText"/>
      </w:pPr>
      <w:r>
        <w:rPr>
          <w:rStyle w:val="FootnoteReference"/>
        </w:rPr>
        <w:footnoteRef/>
      </w:r>
      <w:r>
        <w:t xml:space="preserve"> </w:t>
      </w:r>
      <w:r>
        <w:tab/>
        <w:t xml:space="preserve">Capital gains are normally taxed at half the marginal tax rate if the investment was held for a period of 12 months or more. See ATO: </w:t>
      </w:r>
      <w:r w:rsidRPr="005764F6">
        <w:t>https://www.ato.gov.au/general/capital-gains-tax/working-out-your-capital-gain-or-loss/working-out-your-capital-gain/</w:t>
      </w:r>
      <w:r>
        <w:t xml:space="preserve"> accessed: 20 May 2016.</w:t>
      </w:r>
    </w:p>
  </w:footnote>
  <w:footnote w:id="447">
    <w:p w:rsidR="00021F98" w:rsidRDefault="00021F98" w:rsidP="00C52695">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448">
    <w:p w:rsidR="00021F98"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590D86">
        <w:t xml:space="preserve">. </w:t>
      </w:r>
      <w:r w:rsidRPr="006D49F4">
        <w:t>1073.</w:t>
      </w:r>
    </w:p>
  </w:footnote>
  <w:footnote w:id="449">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12.</w:t>
      </w:r>
    </w:p>
  </w:footnote>
  <w:footnote w:id="450">
    <w:p w:rsidR="00021F98" w:rsidRDefault="00021F98" w:rsidP="005B77D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D7695B">
        <w:rPr>
          <w:rStyle w:val="AERtextitalic"/>
          <w:i w:val="0"/>
        </w:rPr>
        <w:t>, p. 27.</w:t>
      </w:r>
    </w:p>
  </w:footnote>
  <w:footnote w:id="451">
    <w:p w:rsidR="00021F98" w:rsidRDefault="00021F98" w:rsidP="0056734B">
      <w:pPr>
        <w:pStyle w:val="FootnoteText"/>
      </w:pPr>
      <w:r>
        <w:rPr>
          <w:rStyle w:val="FootnoteReference"/>
        </w:rPr>
        <w:footnoteRef/>
      </w:r>
      <w:r>
        <w:t xml:space="preserve"> </w:t>
      </w:r>
      <w:r>
        <w:tab/>
      </w:r>
      <w:r w:rsidRPr="005D01B1">
        <w:t>Brailsford, Handley, Maheswaran</w:t>
      </w:r>
      <w:r w:rsidRPr="0056734B">
        <w:t>, ‘</w:t>
      </w:r>
      <w:r w:rsidRPr="0056734B">
        <w:rPr>
          <w:rStyle w:val="AERtextitalic"/>
          <w:i w:val="0"/>
        </w:rPr>
        <w:t>Re-examination of the historical equity risk premium in Australia’</w:t>
      </w:r>
      <w:r w:rsidRPr="005D01B1">
        <w:t xml:space="preserve">, </w:t>
      </w:r>
      <w:r w:rsidRPr="0056734B">
        <w:rPr>
          <w:rStyle w:val="AERtextitalic"/>
        </w:rPr>
        <w:t>Accounting and Finance</w:t>
      </w:r>
      <w:r w:rsidRPr="005D01B1">
        <w:t>, Vol. 48, 2008, pp. 84–85</w:t>
      </w:r>
      <w:r>
        <w:t>.</w:t>
      </w:r>
    </w:p>
  </w:footnote>
  <w:footnote w:id="452">
    <w:p w:rsidR="00021F98" w:rsidRDefault="00021F98" w:rsidP="00E750F8">
      <w:pPr>
        <w:pStyle w:val="FootnoteText"/>
      </w:pPr>
      <w:r>
        <w:rPr>
          <w:rStyle w:val="FootnoteReference"/>
        </w:rPr>
        <w:footnoteRef/>
      </w:r>
      <w:r>
        <w:t xml:space="preserve"> </w:t>
      </w:r>
      <w:r>
        <w:tab/>
        <w:t>Source:</w:t>
      </w:r>
    </w:p>
    <w:p w:rsidR="00021F98" w:rsidRDefault="00021F98">
      <w:pPr>
        <w:pStyle w:val="FootnoteText"/>
      </w:pPr>
      <w:r>
        <w:tab/>
      </w:r>
      <w:r w:rsidRPr="00245EB8">
        <w:t>https://www.ato.gov.au/Rates/Company-tax---imputation--average-franking-credit---rebate-yields/?page=2#List_of_yields</w:t>
      </w:r>
    </w:p>
  </w:footnote>
  <w:footnote w:id="453">
    <w:p w:rsidR="00021F98" w:rsidRDefault="00021F98" w:rsidP="00C52695">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 xml:space="preserve"> 294; Australian Gas Networks, </w:t>
      </w:r>
      <w:r>
        <w:rPr>
          <w:rStyle w:val="AERtextitalic"/>
        </w:rPr>
        <w:t>Attachment 11 Response to Draft Decision: Cost of Tax</w:t>
      </w:r>
      <w:r>
        <w:t xml:space="preserve">, January 2016, 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xml:space="preserve">, January 2016, pp. 356-358; AusNet Transmission, </w:t>
      </w:r>
      <w:r>
        <w:rPr>
          <w:rStyle w:val="AERtextitalic"/>
        </w:rPr>
        <w:t>Transmission Revenue Proposal Review 2017-2022, Revised Revenue Proposal</w:t>
      </w:r>
      <w:r>
        <w:t>, 21 September 2016, pp. 204, 207.</w:t>
      </w:r>
    </w:p>
  </w:footnote>
  <w:footnote w:id="454">
    <w:p w:rsidR="00021F98" w:rsidRDefault="00021F98" w:rsidP="00C52695">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p</w:t>
      </w:r>
      <w:r w:rsidRPr="00B51819">
        <w:t>.</w:t>
      </w:r>
      <w:r>
        <w:t xml:space="preserve"> 296, 298;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January 2016, pp. 356-358.</w:t>
      </w:r>
    </w:p>
  </w:footnote>
  <w:footnote w:id="455">
    <w:p w:rsidR="00021F98" w:rsidRDefault="00021F98" w:rsidP="00C52695">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p</w:t>
      </w:r>
      <w:r w:rsidRPr="00B51819">
        <w:t>. </w:t>
      </w:r>
      <w:r>
        <w:t xml:space="preserve">298-299, 305; 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357-358.</w:t>
      </w:r>
    </w:p>
  </w:footnote>
  <w:footnote w:id="456">
    <w:p w:rsidR="00021F98" w:rsidRDefault="00021F98" w:rsidP="00C52695">
      <w:pPr>
        <w:pStyle w:val="FootnoteText"/>
      </w:pPr>
      <w:r>
        <w:rPr>
          <w:rStyle w:val="FootnoteReference"/>
        </w:rPr>
        <w:footnoteRef/>
      </w:r>
      <w:r>
        <w:t xml:space="preserve"> </w:t>
      </w:r>
      <w:r>
        <w:tab/>
        <w:t xml:space="preserve">Frontier Economics, </w:t>
      </w:r>
      <w:r w:rsidRPr="00E750F8">
        <w:rPr>
          <w:rStyle w:val="AERtextitalic"/>
        </w:rPr>
        <w:t>The appropriate use of tax statistics when estimating gamma</w:t>
      </w:r>
      <w:r>
        <w:t>, January 2016, p. 7.</w:t>
      </w:r>
    </w:p>
  </w:footnote>
  <w:footnote w:id="457">
    <w:p w:rsidR="00021F98" w:rsidRDefault="00021F98"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10.</w:t>
      </w:r>
    </w:p>
  </w:footnote>
  <w:footnote w:id="458">
    <w:p w:rsidR="00021F98" w:rsidRDefault="00021F98" w:rsidP="00C52695">
      <w:pPr>
        <w:pStyle w:val="FootnoteText"/>
      </w:pPr>
      <w:r>
        <w:rPr>
          <w:rStyle w:val="FootnoteReference"/>
        </w:rPr>
        <w:footnoteRef/>
      </w:r>
      <w:r>
        <w:t xml:space="preserve"> </w:t>
      </w:r>
      <w:r>
        <w:tab/>
        <w:t xml:space="preserve">Frontier Economics, </w:t>
      </w:r>
      <w:r w:rsidRPr="00E750F8">
        <w:rPr>
          <w:rStyle w:val="AERtextitalic"/>
        </w:rPr>
        <w:t>The appropriate use of tax statistics when estimating gamma</w:t>
      </w:r>
      <w:r>
        <w:t>, January 2016, p. 7.</w:t>
      </w:r>
    </w:p>
  </w:footnote>
  <w:footnote w:id="459">
    <w:p w:rsidR="00021F98" w:rsidRDefault="00021F98" w:rsidP="00C52695">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9 April 2015.</w:t>
      </w:r>
    </w:p>
  </w:footnote>
  <w:footnote w:id="460">
    <w:p w:rsidR="00021F98" w:rsidRDefault="00021F98" w:rsidP="00C52695">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461">
    <w:p w:rsidR="00021F98" w:rsidRDefault="00021F98" w:rsidP="00C52695">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462">
    <w:p w:rsidR="00021F98" w:rsidRDefault="00021F98" w:rsidP="00C52695">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463">
    <w:p w:rsidR="00021F98" w:rsidRDefault="00021F9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29.</w:t>
      </w:r>
    </w:p>
  </w:footnote>
  <w:footnote w:id="464">
    <w:p w:rsidR="00021F98"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1048 and 1090.</w:t>
      </w:r>
    </w:p>
  </w:footnote>
  <w:footnote w:id="465">
    <w:p w:rsidR="00021F98" w:rsidRPr="00590D86"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1092.</w:t>
      </w:r>
    </w:p>
  </w:footnote>
  <w:footnote w:id="466">
    <w:p w:rsidR="00021F98" w:rsidRDefault="00021F98" w:rsidP="00C52695">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467">
    <w:p w:rsidR="00021F98" w:rsidRDefault="00021F98" w:rsidP="00C52695">
      <w:pPr>
        <w:pStyle w:val="FootnoteText"/>
      </w:pPr>
      <w:r>
        <w:rPr>
          <w:rStyle w:val="FootnoteReference"/>
        </w:rPr>
        <w:footnoteRef/>
      </w:r>
      <w:r>
        <w:t xml:space="preserve"> </w:t>
      </w:r>
      <w:r>
        <w:tab/>
        <w:t>Franked dividends must be paid out of after-tax profits. Accordingly, if the corporate tax rate is 30 per cent, then the pre-tax profit (X) that gives rise to $1 dollar of fully franked dividends is given by the expression X - 0.3X = $1 where X = $1.43. Therefore, $0.43 of tax is paid on (and $0.43 of imputation credits can be attached to) each $1 of fully franked dividends.</w:t>
      </w:r>
    </w:p>
  </w:footnote>
  <w:footnote w:id="468">
    <w:p w:rsidR="00021F98" w:rsidRDefault="00021F98" w:rsidP="00C52695">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_Ref477266198 \r \h </w:instrText>
      </w:r>
      <w:r>
        <w:fldChar w:fldCharType="separate"/>
      </w:r>
      <w:r>
        <w:t>4.4</w:t>
      </w:r>
      <w:r>
        <w:fldChar w:fldCharType="end"/>
      </w:r>
      <w:r>
        <w:t xml:space="preserve"> of attachment 4.  </w:t>
      </w:r>
    </w:p>
  </w:footnote>
  <w:footnote w:id="469">
    <w:p w:rsidR="00021F98" w:rsidRDefault="00021F98" w:rsidP="00C52695">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 </w:t>
      </w:r>
      <w:r>
        <w:t xml:space="preserve">288; Australian Gas Networks, </w:t>
      </w:r>
      <w:r>
        <w:rPr>
          <w:rStyle w:val="AERtextitalic"/>
        </w:rPr>
        <w:t>Attachment 11 Response to Draft Decision: Cost of Tax</w:t>
      </w:r>
      <w:r>
        <w:t xml:space="preserve">, January 2016, p. 10; ActewAGL, </w:t>
      </w:r>
      <w:r w:rsidRPr="00AF5B33">
        <w:rPr>
          <w:rStyle w:val="AERtextitalic"/>
        </w:rPr>
        <w:t>Appendix 5.01 Detailed response to rate of return, gamma and inflation</w:t>
      </w:r>
      <w:r>
        <w:t xml:space="preserve">, January 2016, p. 113;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 90; Powercor, </w:t>
      </w:r>
      <w:r w:rsidRPr="00AF5B33">
        <w:rPr>
          <w:rStyle w:val="AERtextitalic"/>
        </w:rPr>
        <w:t>Revised Regulatory Proposal 2016-2020</w:t>
      </w:r>
      <w:r>
        <w:t>, January 2016, p. 356.</w:t>
      </w:r>
    </w:p>
  </w:footnote>
  <w:footnote w:id="470">
    <w:p w:rsidR="00021F98" w:rsidRDefault="00021F98"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4; Ausgrid, </w:t>
      </w:r>
      <w:r w:rsidRPr="00D75F7A">
        <w:rPr>
          <w:rStyle w:val="AERtextitalic"/>
        </w:rPr>
        <w:t>Ausgrid's revised proposal on gamma</w:t>
      </w:r>
      <w:r>
        <w:t xml:space="preserve">, January 2015, pp. 5–6; Directlink, </w:t>
      </w:r>
      <w:r w:rsidRPr="0000771B">
        <w:rPr>
          <w:rStyle w:val="AERtextitalic"/>
        </w:rPr>
        <w:t>Directlink submission on gamma (updated)</w:t>
      </w:r>
      <w:r>
        <w:t xml:space="preserve">, January 2015, p. 7; Endeavour Energy, </w:t>
      </w:r>
      <w:r w:rsidRPr="00DF3162">
        <w:rPr>
          <w:rStyle w:val="AERtextitalic"/>
        </w:rPr>
        <w:t>Endeavour Energy's response to the AER draft decision re gamma</w:t>
      </w:r>
      <w:r>
        <w:t xml:space="preserve">, January 2015, pp. 5–6; Essential Energy, </w:t>
      </w:r>
      <w:r w:rsidRPr="000E181F">
        <w:rPr>
          <w:rStyle w:val="AERtextitalic"/>
        </w:rPr>
        <w:t>Essential's response to AER draft decision re gamma</w:t>
      </w:r>
      <w:r>
        <w:t xml:space="preserve">, January 2015, pp. 5–6; and JGN, </w:t>
      </w:r>
      <w:r w:rsidRPr="000E181F">
        <w:rPr>
          <w:rStyle w:val="AERtextitalic"/>
        </w:rPr>
        <w:t>Gamma - response to the draft decision</w:t>
      </w:r>
      <w:r>
        <w:t>, February 2015, p. 7.</w:t>
      </w:r>
    </w:p>
  </w:footnote>
  <w:footnote w:id="471">
    <w:p w:rsidR="00021F98" w:rsidRDefault="00021F98" w:rsidP="00C52695">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472">
    <w:p w:rsidR="00021F98" w:rsidRDefault="00021F98" w:rsidP="00C52695">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p</w:t>
      </w:r>
      <w:r w:rsidRPr="00B51819">
        <w:t>. </w:t>
      </w:r>
      <w:r>
        <w:t xml:space="preserve">286, 288, 305; 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473">
    <w:p w:rsidR="00021F98" w:rsidRDefault="00021F98" w:rsidP="00C52695">
      <w:pPr>
        <w:pStyle w:val="FootnoteText"/>
      </w:pPr>
      <w:r>
        <w:rPr>
          <w:rStyle w:val="FootnoteReference"/>
        </w:rPr>
        <w:footnoteRef/>
      </w:r>
      <w:r>
        <w:t xml:space="preserve"> </w:t>
      </w:r>
      <w:r>
        <w:tab/>
        <w:t xml:space="preserve">Frontier Economics, </w:t>
      </w:r>
      <w:r w:rsidRPr="00E750F8">
        <w:rPr>
          <w:rStyle w:val="AERtextitalic"/>
        </w:rPr>
        <w:t>The appropriate use of tax statistics when estimating gamma</w:t>
      </w:r>
      <w:r>
        <w:t xml:space="preserve">, January 2016, </w:t>
      </w:r>
      <w:r w:rsidRPr="006D49F4">
        <w:t>p. 28.</w:t>
      </w:r>
    </w:p>
  </w:footnote>
  <w:footnote w:id="474">
    <w:p w:rsidR="00021F98" w:rsidRDefault="00021F98" w:rsidP="00C52695">
      <w:pPr>
        <w:pStyle w:val="FootnoteText"/>
      </w:pPr>
      <w:r>
        <w:rPr>
          <w:rStyle w:val="FootnoteReference"/>
        </w:rPr>
        <w:footnoteRef/>
      </w:r>
      <w:r>
        <w:t xml:space="preserve"> </w:t>
      </w:r>
      <w:r>
        <w:tab/>
        <w:t xml:space="preserve">See: </w:t>
      </w:r>
      <w:r w:rsidRPr="00F0207D">
        <w:t>http://taxreview.treasury.gov.au/content/FinalReport.aspx?doc=html/publications/Papers/Final_Report_Part_2/chapter_b2-3.htm</w:t>
      </w:r>
      <w:r>
        <w:t xml:space="preserve">. Accessed: 21 May 2016; </w:t>
      </w:r>
      <w:r w:rsidRPr="00F0207D">
        <w:t xml:space="preserve">M. Lally, </w:t>
      </w:r>
      <w:r w:rsidRPr="00F0207D">
        <w:rPr>
          <w:rStyle w:val="AERtextitalic"/>
        </w:rPr>
        <w:t>Gamma and the ACT Decision</w:t>
      </w:r>
      <w:r w:rsidRPr="00F0207D">
        <w:t>, May 2016, p</w:t>
      </w:r>
      <w:r>
        <w:t>. </w:t>
      </w:r>
      <w:r w:rsidRPr="00F0207D">
        <w:t>20.</w:t>
      </w:r>
    </w:p>
  </w:footnote>
  <w:footnote w:id="475">
    <w:p w:rsidR="00021F98" w:rsidRDefault="00021F98" w:rsidP="00C52695">
      <w:pPr>
        <w:pStyle w:val="FootnoteText"/>
        <w:ind w:left="0" w:firstLine="0"/>
      </w:pPr>
      <w:r>
        <w:rPr>
          <w:rStyle w:val="FootnoteReference"/>
        </w:rPr>
        <w:footnoteRef/>
      </w:r>
      <w:r>
        <w:t xml:space="preserve"> </w:t>
      </w:r>
      <w:r>
        <w:tab/>
        <w:t xml:space="preserve">Frontier Economics, </w:t>
      </w:r>
      <w:r w:rsidRPr="00D14DE4">
        <w:rPr>
          <w:rStyle w:val="AERtextitalic"/>
        </w:rPr>
        <w:t>An appropriate regulatory estimate of gamma</w:t>
      </w:r>
      <w:r>
        <w:t>, June 2015, p. 41.</w:t>
      </w:r>
    </w:p>
  </w:footnote>
  <w:footnote w:id="476">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477">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478">
    <w:p w:rsidR="00021F98" w:rsidRDefault="00021F98" w:rsidP="00C52695">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 </w:t>
      </w:r>
      <w:r>
        <w:t xml:space="preserve">299;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479">
    <w:p w:rsidR="00021F98" w:rsidRDefault="00021F98" w:rsidP="00C52695">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w:t>
      </w:r>
      <w:r>
        <w:t>p</w:t>
      </w:r>
      <w:r w:rsidRPr="00DD218F">
        <w:t>. </w:t>
      </w:r>
      <w:r>
        <w:t xml:space="preserve">297, 299;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 357; AusNet Transmission, </w:t>
      </w:r>
      <w:r>
        <w:rPr>
          <w:rStyle w:val="AERtextitalic"/>
        </w:rPr>
        <w:t>Transmission Revenue Proposal Review 2017-2022, Revised Revenue Proposal</w:t>
      </w:r>
      <w:r>
        <w:t>, 21 September 2016, pp. 204, 207</w:t>
      </w:r>
    </w:p>
  </w:footnote>
  <w:footnote w:id="480">
    <w:p w:rsidR="00021F98" w:rsidRDefault="00021F98" w:rsidP="00C52695">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481">
    <w:p w:rsidR="00021F98" w:rsidRDefault="00021F98">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21 September 2016, pp. 199, 204.</w:t>
      </w:r>
    </w:p>
  </w:footnote>
  <w:footnote w:id="482">
    <w:p w:rsidR="00021F98" w:rsidRDefault="00021F98" w:rsidP="00C21B8A">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E4542B">
        <w:rPr>
          <w:rStyle w:val="AERtextitalic"/>
          <w:i w:val="0"/>
        </w:rPr>
        <w:t>, p. 25</w:t>
      </w:r>
      <w:r>
        <w:rPr>
          <w:rStyle w:val="AERtextitalic"/>
        </w:rPr>
        <w:t>.</w:t>
      </w:r>
    </w:p>
  </w:footnote>
  <w:footnote w:id="483">
    <w:p w:rsidR="00021F98" w:rsidRDefault="00021F98">
      <w:pPr>
        <w:pStyle w:val="FootnoteText"/>
      </w:pPr>
      <w:r>
        <w:rPr>
          <w:rStyle w:val="FootnoteReference"/>
        </w:rPr>
        <w:footnoteRef/>
      </w:r>
      <w:r>
        <w:t xml:space="preserve"> </w:t>
      </w:r>
      <w:r>
        <w:tab/>
        <w:t>See tables 3-11 and 3-12 in Attachment 3.</w:t>
      </w:r>
    </w:p>
  </w:footnote>
  <w:footnote w:id="484">
    <w:p w:rsidR="00021F98" w:rsidRDefault="00021F98" w:rsidP="0059076A">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D7695B">
        <w:rPr>
          <w:rStyle w:val="AERtextitalic"/>
          <w:i w:val="0"/>
        </w:rPr>
        <w:t>, pp. 28-29.</w:t>
      </w:r>
    </w:p>
  </w:footnote>
  <w:footnote w:id="485">
    <w:p w:rsidR="00021F98" w:rsidRDefault="00021F98" w:rsidP="00177AB1">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873B3">
        <w:rPr>
          <w:rStyle w:val="AERtextitalic"/>
          <w:i w:val="0"/>
        </w:rPr>
        <w:t xml:space="preserve">, </w:t>
      </w:r>
      <w:r w:rsidRPr="00177AB1">
        <w:rPr>
          <w:rStyle w:val="AERtextitalic"/>
          <w:i w:val="0"/>
        </w:rPr>
        <w:t>p</w:t>
      </w:r>
      <w:r w:rsidRPr="004423C9">
        <w:rPr>
          <w:rStyle w:val="AERtextitalic"/>
          <w:i w:val="0"/>
        </w:rPr>
        <w:t>p</w:t>
      </w:r>
      <w:r w:rsidRPr="00177AB1">
        <w:rPr>
          <w:rStyle w:val="AERtextitalic"/>
          <w:i w:val="0"/>
        </w:rPr>
        <w:t>. 25</w:t>
      </w:r>
      <w:r w:rsidRPr="004423C9">
        <w:rPr>
          <w:rStyle w:val="AERtextitalic"/>
          <w:i w:val="0"/>
        </w:rPr>
        <w:t>, 27, 29</w:t>
      </w:r>
      <w:r w:rsidRPr="00177AB1">
        <w:rPr>
          <w:rStyle w:val="AERtextitalic"/>
          <w:i w:val="0"/>
        </w:rPr>
        <w:t>.</w:t>
      </w:r>
    </w:p>
  </w:footnote>
  <w:footnote w:id="486">
    <w:p w:rsidR="00021F98" w:rsidRDefault="00021F98" w:rsidP="00C52695">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487">
    <w:p w:rsidR="00021F98" w:rsidRDefault="00021F98" w:rsidP="00C52695">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9 April 2015. We consider that the form is quite straightforward, and therefore the cost of filling it out and submitting it is unlikely to outweigh the benefit of any material amount of imputation credits.  </w:t>
      </w:r>
    </w:p>
  </w:footnote>
  <w:footnote w:id="488">
    <w:p w:rsidR="00021F98" w:rsidRDefault="00021F98" w:rsidP="00C52695">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rsidRPr="00B9466C">
        <w:t xml:space="preserve">, </w:t>
      </w:r>
      <w:r>
        <w:t xml:space="preserve">May 2016, </w:t>
      </w:r>
      <w:r w:rsidRPr="00B9466C">
        <w:t>p. </w:t>
      </w:r>
      <w:r>
        <w:t>29</w:t>
      </w:r>
      <w:r w:rsidRPr="00B9466C">
        <w:t>.</w:t>
      </w:r>
    </w:p>
  </w:footnote>
  <w:footnote w:id="489">
    <w:p w:rsidR="00021F98" w:rsidRDefault="00021F98" w:rsidP="00C56A93">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pp. 9-10; M. Lally, </w:t>
      </w:r>
      <w:r w:rsidRPr="00E750F8">
        <w:rPr>
          <w:rStyle w:val="AERtextitalic"/>
        </w:rPr>
        <w:t>Issues in the estimation of gamma</w:t>
      </w:r>
      <w:r>
        <w:t>, April 2017</w:t>
      </w:r>
      <w:r w:rsidRPr="00D7695B">
        <w:rPr>
          <w:rStyle w:val="AERtextitalic"/>
          <w:i w:val="0"/>
        </w:rPr>
        <w:t>, pp. 27</w:t>
      </w:r>
      <w:r w:rsidRPr="00C56A93">
        <w:rPr>
          <w:rStyle w:val="AERtextitalic"/>
          <w:i w:val="0"/>
        </w:rPr>
        <w:t>-2</w:t>
      </w:r>
      <w:r w:rsidRPr="0089265C">
        <w:rPr>
          <w:rStyle w:val="AERtextitalic"/>
          <w:i w:val="0"/>
        </w:rPr>
        <w:t>9</w:t>
      </w:r>
      <w:r>
        <w:rPr>
          <w:rStyle w:val="AERtextitalic"/>
        </w:rPr>
        <w:t>.</w:t>
      </w:r>
    </w:p>
  </w:footnote>
  <w:footnote w:id="490">
    <w:p w:rsidR="00021F98" w:rsidRDefault="00021F98" w:rsidP="0059076A">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F354E">
        <w:rPr>
          <w:rStyle w:val="AERtextitalic"/>
          <w:i w:val="0"/>
        </w:rPr>
        <w:t xml:space="preserve">, </w:t>
      </w:r>
      <w:r w:rsidRPr="00D7695B">
        <w:rPr>
          <w:rStyle w:val="AERtextitalic"/>
          <w:i w:val="0"/>
        </w:rPr>
        <w:t>p</w:t>
      </w:r>
      <w:r w:rsidRPr="0059076A">
        <w:rPr>
          <w:rStyle w:val="AERtextitalic"/>
          <w:i w:val="0"/>
        </w:rPr>
        <w:t>p. 25</w:t>
      </w:r>
      <w:r w:rsidRPr="00D7695B">
        <w:rPr>
          <w:rStyle w:val="AERtextitalic"/>
          <w:i w:val="0"/>
        </w:rPr>
        <w:t>, 27</w:t>
      </w:r>
      <w:r w:rsidRPr="0059076A">
        <w:rPr>
          <w:rStyle w:val="AERtextitalic"/>
          <w:i w:val="0"/>
        </w:rPr>
        <w:t>.</w:t>
      </w:r>
    </w:p>
  </w:footnote>
  <w:footnote w:id="491">
    <w:p w:rsidR="00021F98" w:rsidRDefault="00021F98" w:rsidP="00C52695">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299;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 357; AusNet Transmission, </w:t>
      </w:r>
      <w:r>
        <w:rPr>
          <w:rStyle w:val="AERtextitalic"/>
        </w:rPr>
        <w:t>Transmission Revenue Proposal Review 2017-2022, Revised Revenue Proposal</w:t>
      </w:r>
      <w:r>
        <w:t>, 21 September 2016, pp. 204, 207.</w:t>
      </w:r>
    </w:p>
  </w:footnote>
  <w:footnote w:id="492">
    <w:p w:rsidR="00021F98" w:rsidRDefault="00021F98" w:rsidP="00C52695">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493">
    <w:p w:rsidR="00021F98" w:rsidRDefault="00021F98" w:rsidP="00C52695">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299; Australian Gas Networks, </w:t>
      </w:r>
      <w:r>
        <w:rPr>
          <w:rStyle w:val="AERtextitalic"/>
        </w:rPr>
        <w:t>Attachment 11 Response to Draft Decision: Cost of Tax</w:t>
      </w:r>
      <w:r>
        <w:t xml:space="preserve">, January 2016, p. 12;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83-84;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pp. 357-358; AusNet Transmission, </w:t>
      </w:r>
      <w:r>
        <w:rPr>
          <w:rStyle w:val="AERtextitalic"/>
        </w:rPr>
        <w:t>Transmission Revenue Proposal Review 2017-2022, Revised Revenue Proposal</w:t>
      </w:r>
      <w:r>
        <w:t>, 21 September 2016, pp. 204, 207.</w:t>
      </w:r>
    </w:p>
  </w:footnote>
  <w:footnote w:id="494">
    <w:p w:rsidR="00021F98" w:rsidRDefault="00021F98"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65(e).</w:t>
      </w:r>
    </w:p>
  </w:footnote>
  <w:footnote w:id="495">
    <w:p w:rsidR="00021F98" w:rsidRDefault="00021F98">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177</w:t>
      </w:r>
      <w:r w:rsidRPr="008F5D24">
        <w:t>.</w:t>
      </w:r>
    </w:p>
  </w:footnote>
  <w:footnote w:id="496">
    <w:p w:rsidR="00021F98" w:rsidRDefault="00021F98"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14; Ausgrid, </w:t>
      </w:r>
      <w:r w:rsidRPr="00D75F7A">
        <w:rPr>
          <w:rStyle w:val="AERtextitalic"/>
        </w:rPr>
        <w:t>Ausgrid's revised proposal on gamma</w:t>
      </w:r>
      <w:r>
        <w:t xml:space="preserve">, January 2015, p. 15; Directlink, </w:t>
      </w:r>
      <w:r w:rsidRPr="0000771B">
        <w:rPr>
          <w:rStyle w:val="AERtextitalic"/>
        </w:rPr>
        <w:t>Directlink submission on gamma (updated)</w:t>
      </w:r>
      <w:r>
        <w:t xml:space="preserve">, January 2015, p. 20; Endeavour Energy, </w:t>
      </w:r>
      <w:r w:rsidRPr="00DF3162">
        <w:rPr>
          <w:rStyle w:val="AERtextitalic"/>
        </w:rPr>
        <w:t>Endeavour Energy's response to the AER draft decision re gamma</w:t>
      </w:r>
      <w:r>
        <w:t xml:space="preserve">, January 2015, p. 15; Essential Energy, </w:t>
      </w:r>
      <w:r w:rsidRPr="000E181F">
        <w:rPr>
          <w:rStyle w:val="AERtextitalic"/>
        </w:rPr>
        <w:t>Essential's response to AER draft decision re gamma</w:t>
      </w:r>
      <w:r>
        <w:t xml:space="preserve">, January 2015, p. 15; and JGN, </w:t>
      </w:r>
      <w:r w:rsidRPr="000E181F">
        <w:rPr>
          <w:rStyle w:val="AERtextitalic"/>
        </w:rPr>
        <w:t>Gamma - response to the draft decision</w:t>
      </w:r>
      <w:r>
        <w:t>, February 2015, p. 18.</w:t>
      </w:r>
    </w:p>
  </w:footnote>
  <w:footnote w:id="497">
    <w:p w:rsidR="00021F98" w:rsidRDefault="00021F9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498">
    <w:p w:rsidR="00021F98" w:rsidRDefault="00021F98" w:rsidP="00C52695">
      <w:pPr>
        <w:pStyle w:val="FootnoteText"/>
      </w:pPr>
      <w:r>
        <w:rPr>
          <w:rStyle w:val="FootnoteReference"/>
        </w:rPr>
        <w:footnoteRef/>
      </w:r>
      <w:r>
        <w:t xml:space="preserve"> </w:t>
      </w:r>
      <w:r>
        <w:tab/>
        <w:t>The refined foreign ownership share of all equity between June 2001 and December 2012 was 0.39 on average.</w:t>
      </w:r>
    </w:p>
  </w:footnote>
  <w:footnote w:id="499">
    <w:p w:rsidR="00021F98" w:rsidRDefault="00021F98" w:rsidP="00C52695">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500">
    <w:p w:rsidR="00021F98" w:rsidRDefault="00021F98" w:rsidP="00C52695">
      <w:pPr>
        <w:pStyle w:val="FootnoteText"/>
      </w:pPr>
      <w:r>
        <w:rPr>
          <w:rStyle w:val="FootnoteReference"/>
        </w:rPr>
        <w:footnoteRef/>
      </w:r>
      <w:r>
        <w:t xml:space="preserve"> </w:t>
      </w:r>
      <w:r>
        <w:tab/>
        <w:t xml:space="preserve">NERA, </w:t>
      </w:r>
      <w:r w:rsidRPr="00D104AA">
        <w:rPr>
          <w:rStyle w:val="AERtextitalic"/>
        </w:rPr>
        <w:t>Estimating distribution and redemption rates from taxation statistics</w:t>
      </w:r>
      <w:r w:rsidRPr="00D104AA">
        <w:t>, March 2015, p</w:t>
      </w:r>
      <w:r>
        <w:t>p. 25–28.</w:t>
      </w:r>
    </w:p>
  </w:footnote>
  <w:footnote w:id="501">
    <w:p w:rsidR="00021F98" w:rsidRDefault="00021F9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6–7.</w:t>
      </w:r>
    </w:p>
  </w:footnote>
  <w:footnote w:id="502">
    <w:p w:rsidR="00021F98" w:rsidRDefault="00021F98" w:rsidP="005D01B1">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576F7">
        <w:rPr>
          <w:rStyle w:val="AERtextitalic"/>
          <w:i w:val="0"/>
        </w:rPr>
        <w:t>September 2016, pp. 3-4, 12-15.</w:t>
      </w:r>
    </w:p>
  </w:footnote>
  <w:footnote w:id="503">
    <w:p w:rsidR="00021F98" w:rsidRDefault="00021F98" w:rsidP="00C52695">
      <w:pPr>
        <w:pStyle w:val="FootnoteText"/>
      </w:pPr>
      <w:r>
        <w:rPr>
          <w:rStyle w:val="FootnoteReference"/>
        </w:rPr>
        <w:footnoteRef/>
      </w:r>
      <w:r>
        <w:t xml:space="preserve"> </w:t>
      </w:r>
      <w:r>
        <w:tab/>
        <w:t>Neville Hathaway, Imputation Credit Redemption ATO data 1988–2011 Where have all the credits gone?, September 2013, p. 25.</w:t>
      </w:r>
    </w:p>
  </w:footnote>
  <w:footnote w:id="504">
    <w:p w:rsidR="00021F98" w:rsidRDefault="00021F98" w:rsidP="00C52695">
      <w:pPr>
        <w:pStyle w:val="FootnoteText"/>
      </w:pPr>
      <w:r>
        <w:rPr>
          <w:rStyle w:val="FootnoteReference"/>
        </w:rPr>
        <w:footnoteRef/>
      </w:r>
      <w:r>
        <w:t xml:space="preserve"> </w:t>
      </w:r>
      <w:r>
        <w:tab/>
        <w:t>Neville Hathaway, Franking Credit Redemption ATO data 1988–2012 Where have all the credits gone? Draft only comments welcome, October 2014.</w:t>
      </w:r>
    </w:p>
  </w:footnote>
  <w:footnote w:id="505">
    <w:p w:rsidR="00021F98" w:rsidRDefault="00021F98" w:rsidP="00C52695">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t>, May 2016, p</w:t>
      </w:r>
      <w:r w:rsidRPr="00B9466C">
        <w:t>. </w:t>
      </w:r>
      <w:r>
        <w:t>23</w:t>
      </w:r>
      <w:r w:rsidRPr="00B9466C">
        <w:t>.</w:t>
      </w:r>
    </w:p>
  </w:footnote>
  <w:footnote w:id="506">
    <w:p w:rsidR="00021F98" w:rsidRDefault="00021F98" w:rsidP="00C56A9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4576F7">
        <w:rPr>
          <w:rStyle w:val="AERtextitalic"/>
          <w:i w:val="0"/>
        </w:rPr>
        <w:t>,</w:t>
      </w:r>
      <w:r w:rsidRPr="00C56A93">
        <w:rPr>
          <w:rStyle w:val="AERtextitalic"/>
          <w:i w:val="0"/>
        </w:rPr>
        <w:t xml:space="preserve"> p</w:t>
      </w:r>
      <w:r w:rsidRPr="004423C9">
        <w:rPr>
          <w:rStyle w:val="AERtextitalic"/>
          <w:i w:val="0"/>
        </w:rPr>
        <w:t>p</w:t>
      </w:r>
      <w:r w:rsidRPr="00C56A93">
        <w:rPr>
          <w:rStyle w:val="AERtextitalic"/>
          <w:i w:val="0"/>
        </w:rPr>
        <w:t>. </w:t>
      </w:r>
      <w:r w:rsidRPr="004423C9">
        <w:rPr>
          <w:rStyle w:val="AERtextitalic"/>
          <w:i w:val="0"/>
        </w:rPr>
        <w:t>12-</w:t>
      </w:r>
      <w:r w:rsidRPr="00C56A93">
        <w:rPr>
          <w:rStyle w:val="AERtextitalic"/>
          <w:i w:val="0"/>
        </w:rPr>
        <w:t>13.</w:t>
      </w:r>
    </w:p>
  </w:footnote>
  <w:footnote w:id="507">
    <w:p w:rsidR="00021F98" w:rsidRDefault="00021F98" w:rsidP="00C52695">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 373; </w:t>
      </w:r>
      <w:r w:rsidRPr="0022220C">
        <w:t xml:space="preserve"> </w:t>
      </w:r>
      <w:r>
        <w:t>Access Arrangement Information for Australian Gas Networks' South Australian Natural Gas Distribution Network, p. 10, July 2015.</w:t>
      </w:r>
    </w:p>
  </w:footnote>
  <w:footnote w:id="508">
    <w:p w:rsidR="00021F98" w:rsidRDefault="00021F98" w:rsidP="00C52695">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 xml:space="preserve">4, p. 39; </w:t>
      </w:r>
      <w:r w:rsidRPr="004D735C">
        <w:t xml:space="preserve">J. Handley, </w:t>
      </w:r>
      <w:r>
        <w:rPr>
          <w:rStyle w:val="AERtextitalic"/>
        </w:rPr>
        <w:t xml:space="preserve">Further </w:t>
      </w:r>
      <w:r w:rsidRPr="003E6BB3">
        <w:rPr>
          <w:rStyle w:val="AERtextitalic"/>
        </w:rPr>
        <w:t>Advice on the value of imputation credits</w:t>
      </w:r>
      <w:r>
        <w:t>, 16 April 2015, p. 28.</w:t>
      </w:r>
    </w:p>
  </w:footnote>
  <w:footnote w:id="509">
    <w:p w:rsidR="00021F98" w:rsidRDefault="00021F98" w:rsidP="00C52695">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510">
    <w:p w:rsidR="00021F98" w:rsidRDefault="00021F98" w:rsidP="00C52695">
      <w:pPr>
        <w:pStyle w:val="FootnoteText"/>
      </w:pPr>
      <w:r>
        <w:rPr>
          <w:rStyle w:val="FootnoteReference"/>
        </w:rPr>
        <w:footnoteRef/>
      </w:r>
      <w:r>
        <w:t xml:space="preserve"> </w:t>
      </w:r>
      <w:r>
        <w:tab/>
        <w:t>Strictly, D is the number of domestic investors and F is the number of foreign investors. However, NERA's model assumes that each investor has starting period wealth of $1.</w:t>
      </w:r>
    </w:p>
  </w:footnote>
  <w:footnote w:id="511">
    <w:p w:rsidR="00021F98" w:rsidRDefault="00021F98" w:rsidP="00C52695">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512">
    <w:p w:rsidR="00021F98" w:rsidRDefault="00021F98"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 and 7.</w:t>
      </w:r>
      <w:r w:rsidDel="0031248F">
        <w:t xml:space="preserve"> </w:t>
      </w:r>
    </w:p>
  </w:footnote>
  <w:footnote w:id="513">
    <w:p w:rsidR="00021F98" w:rsidRDefault="00021F98"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w:t>
      </w:r>
    </w:p>
  </w:footnote>
  <w:footnote w:id="514">
    <w:p w:rsidR="00021F98" w:rsidRDefault="00021F98"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6–7.</w:t>
      </w:r>
    </w:p>
  </w:footnote>
  <w:footnote w:id="515">
    <w:p w:rsidR="00021F98" w:rsidRDefault="00021F98"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516">
    <w:p w:rsidR="00021F98" w:rsidRDefault="00021F98"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6–7.</w:t>
      </w:r>
    </w:p>
  </w:footnote>
  <w:footnote w:id="517">
    <w:p w:rsidR="00021F98" w:rsidRDefault="00021F98"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7.</w:t>
      </w:r>
    </w:p>
  </w:footnote>
  <w:footnote w:id="518">
    <w:p w:rsidR="00021F98" w:rsidRDefault="00021F98"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519">
    <w:p w:rsidR="00021F98" w:rsidRDefault="00021F98" w:rsidP="00C52695">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79.</w:t>
      </w:r>
    </w:p>
  </w:footnote>
  <w:footnote w:id="520">
    <w:p w:rsidR="00021F98" w:rsidRDefault="00021F98" w:rsidP="00C52695">
      <w:pPr>
        <w:pStyle w:val="FootnoteText"/>
      </w:pPr>
      <w:r>
        <w:rPr>
          <w:rStyle w:val="FootnoteReference"/>
        </w:rPr>
        <w:footnoteRef/>
      </w:r>
      <w:r>
        <w:t xml:space="preserve"> </w:t>
      </w:r>
      <w:r>
        <w:tab/>
        <w:t xml:space="preserve">Koedijk, K,G, and van Dijk, M, A., 2004, Global risk factors and the cost of capital, </w:t>
      </w:r>
      <w:r w:rsidRPr="00514A99">
        <w:rPr>
          <w:rStyle w:val="AERtextitalic"/>
        </w:rPr>
        <w:t>Financial analysts journal</w:t>
      </w:r>
      <w:r>
        <w:t>, March/April 2004, p. 33.</w:t>
      </w:r>
    </w:p>
  </w:footnote>
  <w:footnote w:id="521">
    <w:p w:rsidR="00021F98" w:rsidRDefault="00021F98"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8–10.</w:t>
      </w:r>
    </w:p>
  </w:footnote>
  <w:footnote w:id="522">
    <w:p w:rsidR="00021F98" w:rsidRDefault="00021F98" w:rsidP="00C52695">
      <w:pPr>
        <w:pStyle w:val="FootnoteText"/>
      </w:pPr>
      <w:r>
        <w:rPr>
          <w:rStyle w:val="FootnoteReference"/>
        </w:rPr>
        <w:footnoteRef/>
      </w:r>
      <w:r>
        <w:t xml:space="preserve"> </w:t>
      </w:r>
      <w:r>
        <w:tab/>
        <w:t xml:space="preserve">Koedijk, K,G,, and van Dijk, M, A., 2004, Global risk factors and the cost of capital, </w:t>
      </w:r>
      <w:r w:rsidRPr="00514A99">
        <w:rPr>
          <w:rStyle w:val="AERtextitalic"/>
        </w:rPr>
        <w:t>Financial analysts journal</w:t>
      </w:r>
      <w:r>
        <w:t>, March/April 2004, p. 33.</w:t>
      </w:r>
    </w:p>
  </w:footnote>
  <w:footnote w:id="523">
    <w:p w:rsidR="00021F98" w:rsidRDefault="00021F98"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3.</w:t>
      </w:r>
    </w:p>
  </w:footnote>
  <w:footnote w:id="524">
    <w:p w:rsidR="00021F98" w:rsidRDefault="00021F98" w:rsidP="00C52695">
      <w:pPr>
        <w:pStyle w:val="FootnoteText"/>
      </w:pPr>
      <w:r>
        <w:rPr>
          <w:rStyle w:val="FootnoteReference"/>
        </w:rPr>
        <w:footnoteRef/>
      </w:r>
      <w:r>
        <w:t xml:space="preserve"> </w:t>
      </w:r>
      <w:r>
        <w:tab/>
        <w:t xml:space="preserve">Lally, </w:t>
      </w:r>
      <w:r w:rsidRPr="00CD376D">
        <w:rPr>
          <w:rStyle w:val="AERtextitalic"/>
        </w:rPr>
        <w:t>The estimation of gamma</w:t>
      </w:r>
      <w:r>
        <w:t>, November 2013, pp. 39–43.</w:t>
      </w:r>
    </w:p>
  </w:footnote>
  <w:footnote w:id="525">
    <w:p w:rsidR="00021F98" w:rsidRDefault="00021F98" w:rsidP="00C52695">
      <w:pPr>
        <w:pStyle w:val="FootnoteText"/>
      </w:pPr>
      <w:r>
        <w:rPr>
          <w:rStyle w:val="FootnoteReference"/>
        </w:rPr>
        <w:footnoteRef/>
      </w:r>
      <w:r>
        <w:t xml:space="preserve"> </w:t>
      </w:r>
      <w:r>
        <w:tab/>
      </w:r>
      <w:r w:rsidRPr="006D49F4">
        <w:t xml:space="preserve">United Energy, </w:t>
      </w:r>
      <w:r w:rsidRPr="00CD376D">
        <w:rPr>
          <w:rStyle w:val="AERtextitalic"/>
        </w:rPr>
        <w:t>Submission on AER preliminary determination - Submission on gamma</w:t>
      </w:r>
      <w:r w:rsidRPr="006D49F4">
        <w:t>, 26 April 2016.</w:t>
      </w:r>
    </w:p>
  </w:footnote>
  <w:footnote w:id="526">
    <w:p w:rsidR="00021F98" w:rsidRPr="00B27BE5" w:rsidRDefault="00021F98" w:rsidP="00C52695">
      <w:pPr>
        <w:pStyle w:val="FootnoteText"/>
        <w:rPr>
          <w:rStyle w:val="AERtexthighlight"/>
        </w:rPr>
      </w:pPr>
      <w:r>
        <w:rPr>
          <w:rStyle w:val="FootnoteReference"/>
        </w:rPr>
        <w:footnoteRef/>
      </w:r>
      <w:r>
        <w:t xml:space="preserve"> </w:t>
      </w:r>
      <w:r>
        <w:tab/>
      </w:r>
      <w:r w:rsidRPr="006D49F4">
        <w:t xml:space="preserve">Australian Competition Tribunal, </w:t>
      </w:r>
      <w:r w:rsidRPr="00CD376D">
        <w:rPr>
          <w:rStyle w:val="AERtextitalic"/>
        </w:rPr>
        <w:t>Application by Public Interest Advocacy Centre Ltd and Ausgrid [2016] ACompT 1</w:t>
      </w:r>
      <w:r w:rsidRPr="006D49F4">
        <w:t>, 26 February 2016, para. 1106.</w:t>
      </w:r>
    </w:p>
  </w:footnote>
  <w:footnote w:id="527">
    <w:p w:rsidR="00021F98" w:rsidRDefault="00021F98" w:rsidP="00C52695">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528">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18; M. Lally, </w:t>
      </w:r>
      <w:r w:rsidRPr="00E750F8">
        <w:rPr>
          <w:rStyle w:val="AERtextitalic"/>
        </w:rPr>
        <w:t>Issues in the estimation of gamma</w:t>
      </w:r>
      <w:r>
        <w:t>, April 2017</w:t>
      </w:r>
      <w:r w:rsidRPr="002B7E95">
        <w:rPr>
          <w:rStyle w:val="AERtextitalic"/>
          <w:i w:val="0"/>
        </w:rPr>
        <w:t>, p. 29.</w:t>
      </w:r>
    </w:p>
  </w:footnote>
  <w:footnote w:id="529">
    <w:p w:rsidR="00021F98" w:rsidRDefault="00021F98" w:rsidP="00C52695">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530">
    <w:p w:rsidR="00021F98" w:rsidRDefault="00021F98"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412.</w:t>
      </w:r>
    </w:p>
  </w:footnote>
  <w:footnote w:id="531">
    <w:p w:rsidR="00021F98" w:rsidRDefault="00021F9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532">
    <w:p w:rsidR="00021F98" w:rsidRDefault="00021F98"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w:t>
      </w:r>
      <w:r>
        <w:rPr>
          <w:i/>
        </w:rPr>
        <w:t>–</w:t>
      </w:r>
      <w:r w:rsidRPr="00596AF9">
        <w:rPr>
          <w:i/>
        </w:rPr>
        <w:t>20,</w:t>
      </w:r>
      <w:r>
        <w:t xml:space="preserve"> April 2015, p. 6; Energex, </w:t>
      </w:r>
      <w:r w:rsidRPr="003B17FF">
        <w:t>Submission on Energex's regulatory proposal 2015-20 and the AER issues paper,</w:t>
      </w:r>
      <w:r>
        <w:t xml:space="preserve"> January 2015, p. 4.</w:t>
      </w:r>
    </w:p>
  </w:footnote>
  <w:footnote w:id="533">
    <w:p w:rsidR="00021F98" w:rsidRDefault="00021F98" w:rsidP="00C52695">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284; ActewAGL, </w:t>
      </w:r>
      <w:r w:rsidRPr="000E181F">
        <w:rPr>
          <w:rStyle w:val="AERtextitalic"/>
        </w:rPr>
        <w:t>Detailed response to the AER's draft decision in relation to gamma</w:t>
      </w:r>
      <w:r>
        <w:t xml:space="preserve">, January 2015, p. 13; Ausgrid, </w:t>
      </w:r>
      <w:r w:rsidRPr="00D75F7A">
        <w:rPr>
          <w:rStyle w:val="AERtextitalic"/>
        </w:rPr>
        <w:t>Ausgrid's revised proposal on gamma</w:t>
      </w:r>
      <w:r>
        <w:t xml:space="preserve">, January 2015, p. 14; Directlink, </w:t>
      </w:r>
      <w:r w:rsidRPr="0000771B">
        <w:rPr>
          <w:rStyle w:val="AERtextitalic"/>
        </w:rPr>
        <w:t>Directlink submission on gamma (updated)</w:t>
      </w:r>
      <w:r>
        <w:t xml:space="preserve">, January 2015, p. 19; Endeavour Energy, </w:t>
      </w:r>
      <w:r w:rsidRPr="00DF3162">
        <w:rPr>
          <w:rStyle w:val="AERtextitalic"/>
        </w:rPr>
        <w:t>Endeavour Energy's response to the AER draft decision re gamma</w:t>
      </w:r>
      <w:r>
        <w:t xml:space="preserve">, January 2015, p. 14; Essential Energy, </w:t>
      </w:r>
      <w:r w:rsidRPr="000E181F">
        <w:rPr>
          <w:rStyle w:val="AERtextitalic"/>
        </w:rPr>
        <w:t>Essential's response to AER draft decision re gamma</w:t>
      </w:r>
      <w:r>
        <w:t xml:space="preserve">, January 2015, p. 14; and JGN, </w:t>
      </w:r>
      <w:r w:rsidRPr="000E181F">
        <w:rPr>
          <w:rStyle w:val="AERtextitalic"/>
        </w:rPr>
        <w:t>Gamma - response to the draft decision</w:t>
      </w:r>
      <w:r>
        <w:t xml:space="preserve">, February 2015, p. 17; CitiPower, </w:t>
      </w:r>
      <w:r w:rsidRPr="00596AF9">
        <w:rPr>
          <w:i/>
        </w:rPr>
        <w:t>Appendix J - Gamma</w:t>
      </w:r>
      <w:r>
        <w:t xml:space="preserve">, April 2015, pp. 4-5; Powercor, </w:t>
      </w:r>
      <w:r w:rsidRPr="00596AF9">
        <w:rPr>
          <w:i/>
        </w:rPr>
        <w:t>Regulatory Proposal 2016-20</w:t>
      </w:r>
      <w:r>
        <w:t xml:space="preserve">, April 2015, pp. 4-5; Energex, </w:t>
      </w:r>
      <w:r w:rsidRPr="00596AF9">
        <w:rPr>
          <w:i/>
        </w:rPr>
        <w:t>Revised regulatory proposal 2015-20</w:t>
      </w:r>
      <w:r>
        <w:t xml:space="preserve">, July 2015, p. 13. </w:t>
      </w:r>
    </w:p>
  </w:footnote>
  <w:footnote w:id="534">
    <w:p w:rsidR="00021F98" w:rsidRDefault="00021F98">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184.</w:t>
      </w:r>
    </w:p>
  </w:footnote>
  <w:footnote w:id="535">
    <w:p w:rsidR="00021F98" w:rsidRDefault="00021F98" w:rsidP="00C52695">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24–26</w:t>
      </w:r>
      <w:r w:rsidRPr="00727BE0">
        <w:t>.</w:t>
      </w:r>
    </w:p>
  </w:footnote>
  <w:footnote w:id="536">
    <w:p w:rsidR="00021F98" w:rsidRDefault="00021F98" w:rsidP="00C52695">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5</w:t>
      </w:r>
      <w:r w:rsidRPr="00727BE0">
        <w:t xml:space="preserve">, </w:t>
      </w:r>
      <w:r>
        <w:t>29.</w:t>
      </w:r>
    </w:p>
  </w:footnote>
  <w:footnote w:id="537">
    <w:p w:rsidR="00021F98" w:rsidRDefault="00021F98"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8, 22; ActewAGL, </w:t>
      </w:r>
      <w:r w:rsidRPr="00AF5B33">
        <w:rPr>
          <w:rStyle w:val="AERtextitalic"/>
        </w:rPr>
        <w:t>Appendix 5.01 Detailed response to rate of return, gamma and inflation</w:t>
      </w:r>
      <w:r>
        <w:t xml:space="preserve">, January 2016, pp. 4, 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xml:space="preserve">, January 2016, pp. 354, 368; AusNet Transmission, </w:t>
      </w:r>
      <w:r>
        <w:rPr>
          <w:rStyle w:val="AERtextitalic"/>
        </w:rPr>
        <w:t>Transmission Revenue Proposal Review 2017-2022, Revised Revenue Proposal</w:t>
      </w:r>
      <w:r>
        <w:t>, 21 September 2016, p. 205.</w:t>
      </w:r>
    </w:p>
  </w:footnote>
  <w:footnote w:id="538">
    <w:p w:rsidR="00021F98" w:rsidRDefault="00021F98"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17; ActewAGL, </w:t>
      </w:r>
      <w:r w:rsidRPr="00AF5B33">
        <w:rPr>
          <w:rStyle w:val="AERtextitalic"/>
        </w:rPr>
        <w:t>Appendix 5.01 Detailed response to rate of return, gamma and inflation</w:t>
      </w:r>
      <w:r>
        <w:t xml:space="preserve">, January 2016, pp. 111, 121, 128; AusNet Electricity Services, </w:t>
      </w:r>
      <w:r w:rsidRPr="00AF5B33">
        <w:rPr>
          <w:rStyle w:val="AERtextitalic"/>
        </w:rPr>
        <w:t>Revised Regulatory Proposal</w:t>
      </w:r>
      <w:r>
        <w:t xml:space="preserve">, January 2016, pp. 7-81, 7-90, 7-95; United Energy, </w:t>
      </w:r>
      <w:r w:rsidRPr="00AF5B33">
        <w:rPr>
          <w:rStyle w:val="AERtextitalic"/>
        </w:rPr>
        <w:t>Response to AER Preliminary Determination Re: Rate of return and gamma</w:t>
      </w:r>
      <w:r>
        <w:t xml:space="preserve">, January 2016, pp. 82, 91, 96; CitiPower, </w:t>
      </w:r>
      <w:r w:rsidRPr="00AF5B33">
        <w:rPr>
          <w:rStyle w:val="AERtextitalic"/>
        </w:rPr>
        <w:t>Revised Regulatory Proposal 2016-2020</w:t>
      </w:r>
      <w:r>
        <w:t xml:space="preserve">; January 2016, pp. 360, 369, 374; Jemena Electricity Networks, </w:t>
      </w:r>
      <w:r w:rsidRPr="00AF5B33">
        <w:rPr>
          <w:rStyle w:val="AERtextitalic"/>
        </w:rPr>
        <w:t>Attachment 6-1 Rate of return, gamma, forecast inflation, and debt and equity raising costs</w:t>
      </w:r>
      <w:r>
        <w:t xml:space="preserve">, January 2016, pp. 88, 98, 163; Powercor, </w:t>
      </w:r>
      <w:r w:rsidRPr="00AF5B33">
        <w:rPr>
          <w:rStyle w:val="AERtextitalic"/>
        </w:rPr>
        <w:t>Revised Regulatory Proposal 2016-2020</w:t>
      </w:r>
      <w:r>
        <w:t>, January 2016, pp. 354, 363, 368.</w:t>
      </w:r>
    </w:p>
  </w:footnote>
  <w:footnote w:id="539">
    <w:p w:rsidR="00021F98" w:rsidRPr="00CB3A71" w:rsidRDefault="00021F98" w:rsidP="00CB3A71">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292; AusNet Transmission, </w:t>
      </w:r>
      <w:r>
        <w:rPr>
          <w:rStyle w:val="AERtextitalic"/>
        </w:rPr>
        <w:t>Transmission Revenue Proposal Review 2017-2022, Revised Revenue Proposal</w:t>
      </w:r>
      <w:r>
        <w:t>, 21 September 2016, p. 205;</w:t>
      </w:r>
      <w:r w:rsidRPr="00CB3A71">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3.</w:t>
      </w:r>
    </w:p>
  </w:footnote>
  <w:footnote w:id="540">
    <w:p w:rsidR="00021F98" w:rsidRDefault="00021F98"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8; ActewAGL, </w:t>
      </w:r>
      <w:r w:rsidRPr="00AF5B33">
        <w:rPr>
          <w:rStyle w:val="AERtextitalic"/>
        </w:rPr>
        <w:t>Appendix 5.01 Detailed response to rate of return, gamma and inflation</w:t>
      </w:r>
      <w:r>
        <w:t xml:space="preserve">, January 2016, pp.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82-83,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 88-89, 103-104; Powercor, </w:t>
      </w:r>
      <w:r w:rsidRPr="00AF5B33">
        <w:rPr>
          <w:rStyle w:val="AERtextitalic"/>
        </w:rPr>
        <w:t>Revised Regulatory Proposal 2016-2020</w:t>
      </w:r>
      <w:r>
        <w:t>, January 2016, pp. 354, 367-368.</w:t>
      </w:r>
    </w:p>
  </w:footnote>
  <w:footnote w:id="541">
    <w:p w:rsidR="00021F98" w:rsidRDefault="00021F9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26–27; NERA, </w:t>
      </w:r>
      <w:r w:rsidRPr="00D54762">
        <w:rPr>
          <w:rStyle w:val="AERtextitalic"/>
        </w:rPr>
        <w:t>Estimating distribution and redemption rates: Response to the AER's final decisions for the NSW and ACT electricity distributors, and for Jemena Gas Networks</w:t>
      </w:r>
      <w:r>
        <w:t>, June 2015, p. iii.</w:t>
      </w:r>
    </w:p>
  </w:footnote>
  <w:footnote w:id="542">
    <w:p w:rsidR="00021F98" w:rsidRDefault="00021F9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17–18.</w:t>
      </w:r>
    </w:p>
  </w:footnote>
  <w:footnote w:id="543">
    <w:p w:rsidR="00021F98" w:rsidRDefault="00021F9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17–19.</w:t>
      </w:r>
    </w:p>
  </w:footnote>
  <w:footnote w:id="544">
    <w:p w:rsidR="00021F98" w:rsidRDefault="00021F98" w:rsidP="00C52695">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t>, January 2016, pp. 12-13.</w:t>
      </w:r>
    </w:p>
  </w:footnote>
  <w:footnote w:id="545">
    <w:p w:rsidR="00021F98" w:rsidRDefault="00021F9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546">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27.</w:t>
      </w:r>
    </w:p>
  </w:footnote>
  <w:footnote w:id="547">
    <w:p w:rsidR="00021F98" w:rsidRDefault="00021F98" w:rsidP="00C52695">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548">
    <w:p w:rsidR="00021F98" w:rsidRPr="00EA3C68" w:rsidRDefault="00021F98" w:rsidP="00023359">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403D5">
        <w:rPr>
          <w:rStyle w:val="AERtextitalic"/>
        </w:rPr>
        <w:t xml:space="preserve">, </w:t>
      </w:r>
      <w:r w:rsidRPr="004423C9">
        <w:rPr>
          <w:rStyle w:val="AERtextitalic"/>
          <w:i w:val="0"/>
        </w:rPr>
        <w:t>p. 13.</w:t>
      </w:r>
    </w:p>
  </w:footnote>
  <w:footnote w:id="549">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550">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551">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552">
    <w:p w:rsidR="00021F98" w:rsidRDefault="00021F98" w:rsidP="00C52695">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553">
    <w:p w:rsidR="00021F98" w:rsidRDefault="00021F98"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554">
    <w:p w:rsidR="00021F98" w:rsidRDefault="00021F98" w:rsidP="00C52695">
      <w:pPr>
        <w:pStyle w:val="FootnoteText"/>
      </w:pPr>
      <w:r>
        <w:rPr>
          <w:rStyle w:val="FootnoteReference"/>
        </w:rPr>
        <w:footnoteRef/>
      </w:r>
      <w:r>
        <w:t xml:space="preserve"> </w:t>
      </w:r>
      <w:r>
        <w:tab/>
        <w:t xml:space="preserve">Frontier, </w:t>
      </w:r>
      <w:r w:rsidRPr="00E750F8">
        <w:rPr>
          <w:rStyle w:val="AERtextitalic"/>
        </w:rPr>
        <w:t>The appropriate use of tax statistics when estimating gamma</w:t>
      </w:r>
      <w:r>
        <w:t>, January 2016, p. 15.</w:t>
      </w:r>
    </w:p>
  </w:footnote>
  <w:footnote w:id="555">
    <w:p w:rsidR="00021F98" w:rsidRDefault="00021F98"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556">
    <w:p w:rsidR="00021F98" w:rsidRDefault="00021F98" w:rsidP="00C52695">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701BF2">
        <w:t xml:space="preserve"> </w:t>
      </w:r>
    </w:p>
  </w:footnote>
  <w:footnote w:id="557">
    <w:p w:rsidR="00021F98" w:rsidRDefault="00021F98"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xml:space="preserve">, 20 May 2015. </w:t>
      </w:r>
    </w:p>
  </w:footnote>
  <w:footnote w:id="558">
    <w:p w:rsidR="00021F98" w:rsidRDefault="00021F98" w:rsidP="00C52695">
      <w:pPr>
        <w:pStyle w:val="FootnoteText"/>
      </w:pPr>
      <w:r>
        <w:rPr>
          <w:rStyle w:val="FootnoteReference"/>
        </w:rPr>
        <w:footnoteRef/>
      </w:r>
      <w:r>
        <w:t xml:space="preserve"> </w:t>
      </w:r>
      <w:r>
        <w:tab/>
        <w:t xml:space="preserve">As discussed in section </w:t>
      </w:r>
      <w:r>
        <w:fldChar w:fldCharType="begin"/>
      </w:r>
      <w:r>
        <w:instrText xml:space="preserve"> REF _Ref402179420 \r \h </w:instrText>
      </w:r>
      <w:r>
        <w:fldChar w:fldCharType="separate"/>
      </w:r>
      <w:r>
        <w:t>A.13</w:t>
      </w:r>
      <w:r>
        <w:fldChar w:fldCharType="end"/>
      </w:r>
      <w:r>
        <w:t xml:space="preserve">, we have regard to </w:t>
      </w:r>
      <w:r w:rsidRPr="007938F1">
        <w:t>Hathaway's finding that the ATO statistics are subject to a number of issues prior to 2004</w:t>
      </w:r>
      <w:r>
        <w:t>.</w:t>
      </w:r>
    </w:p>
  </w:footnote>
  <w:footnote w:id="559">
    <w:p w:rsidR="00021F98" w:rsidRDefault="00021F98" w:rsidP="00C52695">
      <w:pPr>
        <w:pStyle w:val="FootnoteText"/>
      </w:pPr>
      <w:r>
        <w:rPr>
          <w:rStyle w:val="FootnoteReference"/>
        </w:rPr>
        <w:footnoteRef/>
      </w:r>
      <w:r>
        <w:t xml:space="preserve"> </w:t>
      </w:r>
      <w:r>
        <w:tab/>
        <w:t xml:space="preserve">Frontier, </w:t>
      </w:r>
      <w:r w:rsidRPr="00E750F8">
        <w:rPr>
          <w:rStyle w:val="AERtextitalic"/>
        </w:rPr>
        <w:t>The appropriate use of tax statistics when estimating gamma</w:t>
      </w:r>
      <w:r>
        <w:t>, January 2016, p. 20.</w:t>
      </w:r>
    </w:p>
  </w:footnote>
  <w:footnote w:id="560">
    <w:p w:rsidR="00021F98" w:rsidRDefault="00021F98" w:rsidP="00C52695">
      <w:pPr>
        <w:pStyle w:val="FootnoteText"/>
      </w:pPr>
      <w:r>
        <w:rPr>
          <w:rStyle w:val="FootnoteReference"/>
        </w:rPr>
        <w:footnoteRef/>
      </w:r>
      <w:r>
        <w:t xml:space="preserve"> </w:t>
      </w:r>
      <w:r>
        <w:tab/>
        <w:t xml:space="preserve">Frontier, </w:t>
      </w:r>
      <w:r w:rsidRPr="00E750F8">
        <w:rPr>
          <w:rStyle w:val="AERtextitalic"/>
        </w:rPr>
        <w:t>The appropriate use of tax statistics when estimating gamma</w:t>
      </w:r>
      <w:r>
        <w:t>, January 2016, p. 20.</w:t>
      </w:r>
    </w:p>
  </w:footnote>
  <w:footnote w:id="561">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25.</w:t>
      </w:r>
    </w:p>
  </w:footnote>
  <w:footnote w:id="562">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31.</w:t>
      </w:r>
    </w:p>
  </w:footnote>
  <w:footnote w:id="563">
    <w:p w:rsidR="00021F98" w:rsidRDefault="00021F98" w:rsidP="00CB3A71">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292; 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xml:space="preserve">, January 2016, p. 92; AusNet Transmission, </w:t>
      </w:r>
      <w:r>
        <w:rPr>
          <w:rStyle w:val="AERtextitalic"/>
        </w:rPr>
        <w:t>Transmission Revenue Proposal Review 2017-2022, Revised Revenue Proposal</w:t>
      </w:r>
      <w:r>
        <w:t xml:space="preserve">, 21 September 2016, pp. 204-206; Frontier Economics, </w:t>
      </w:r>
      <w:r>
        <w:rPr>
          <w:rStyle w:val="AERtextitalic"/>
        </w:rPr>
        <w:t xml:space="preserve">Issues in the estimation of gamma, Report prepared for AGN, Multinet Gas, AusNet Transmission and AusNet Gas, September 2016, </w:t>
      </w:r>
      <w:r w:rsidRPr="004423C9">
        <w:rPr>
          <w:rStyle w:val="AERtextitalic"/>
          <w:i w:val="0"/>
        </w:rPr>
        <w:t>p. 3.</w:t>
      </w:r>
    </w:p>
  </w:footnote>
  <w:footnote w:id="564">
    <w:p w:rsidR="00021F98" w:rsidRDefault="00021F98"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2016-20</w:t>
      </w:r>
      <w:r>
        <w:t xml:space="preserve">, April 2015, p. 6; Energex, </w:t>
      </w:r>
      <w:r w:rsidRPr="00596AF9">
        <w:rPr>
          <w:i/>
        </w:rPr>
        <w:t>Submission on Energex's regulatory proposal 2015-20 and the AER issues paper</w:t>
      </w:r>
      <w:r>
        <w:t>, January 2015, p. 4.</w:t>
      </w:r>
    </w:p>
  </w:footnote>
  <w:footnote w:id="565">
    <w:p w:rsidR="00021F98" w:rsidRDefault="00021F9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211.</w:t>
      </w:r>
    </w:p>
  </w:footnote>
  <w:footnote w:id="566">
    <w:p w:rsidR="00021F98" w:rsidRDefault="00021F9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567">
    <w:p w:rsidR="00021F98" w:rsidRDefault="00021F98" w:rsidP="00C52695">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paras. 215, 217–218; </w:t>
      </w:r>
      <w:r w:rsidRPr="003168FF">
        <w:t xml:space="preserve">Frontier, </w:t>
      </w:r>
      <w:r w:rsidRPr="00E750F8">
        <w:rPr>
          <w:rStyle w:val="AERtextitalic"/>
        </w:rPr>
        <w:t>The appropriate use of tax statistics when estimating gamm</w:t>
      </w:r>
      <w:r w:rsidRPr="003168FF">
        <w:t>a, January 2016, p. </w:t>
      </w:r>
      <w:r>
        <w:t>6.</w:t>
      </w:r>
    </w:p>
  </w:footnote>
  <w:footnote w:id="568">
    <w:p w:rsidR="00021F98" w:rsidRDefault="00021F98" w:rsidP="00C52695">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223; </w:t>
      </w:r>
      <w:r w:rsidRPr="003168FF">
        <w:t>Frontier, The appropriate use of tax statistics when estimating gamma, January 2016, p. </w:t>
      </w:r>
      <w:r>
        <w:t>6.</w:t>
      </w:r>
    </w:p>
  </w:footnote>
  <w:footnote w:id="569">
    <w:p w:rsidR="00021F98" w:rsidRDefault="00021F9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570">
    <w:p w:rsidR="00021F98" w:rsidRDefault="00021F98" w:rsidP="00C52695">
      <w:pPr>
        <w:pStyle w:val="FootnoteText"/>
      </w:pPr>
      <w:r>
        <w:rPr>
          <w:rStyle w:val="FootnoteReference"/>
        </w:rPr>
        <w:footnoteRef/>
      </w:r>
      <w:r>
        <w:t xml:space="preserve"> </w:t>
      </w:r>
      <w:r>
        <w:tab/>
      </w:r>
      <w:r w:rsidRPr="003168FF">
        <w:t xml:space="preserve">Frontier, </w:t>
      </w:r>
      <w:r w:rsidRPr="009A3D22">
        <w:rPr>
          <w:rStyle w:val="AERtextitalic"/>
        </w:rPr>
        <w:t>The appropriate use of tax statistics when estimating gamma</w:t>
      </w:r>
      <w:r w:rsidRPr="003168FF">
        <w:t>, January 2016, p. </w:t>
      </w:r>
      <w:r>
        <w:t>12.</w:t>
      </w:r>
    </w:p>
  </w:footnote>
  <w:footnote w:id="571">
    <w:p w:rsidR="00021F98" w:rsidRDefault="00021F98"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34.</w:t>
      </w:r>
    </w:p>
  </w:footnote>
  <w:footnote w:id="572">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573">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27.</w:t>
      </w:r>
    </w:p>
  </w:footnote>
  <w:footnote w:id="574">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24-26, 28-29.</w:t>
      </w:r>
    </w:p>
  </w:footnote>
  <w:footnote w:id="575">
    <w:p w:rsidR="00021F98" w:rsidRDefault="00021F98" w:rsidP="005957B5">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pp. 205-206; Frontier Economics, </w:t>
      </w:r>
      <w:r>
        <w:rPr>
          <w:rStyle w:val="AERtextitalic"/>
        </w:rPr>
        <w:t xml:space="preserve">Issues in the estimation of gamma, Report prepared for AGN, Multinet Gas, AusNet Transmission and AusNet Gas, </w:t>
      </w:r>
      <w:r w:rsidRPr="004423C9">
        <w:rPr>
          <w:rStyle w:val="AERtextitalic"/>
          <w:i w:val="0"/>
        </w:rPr>
        <w:t>September 2016, pp. 6-11.</w:t>
      </w:r>
    </w:p>
  </w:footnote>
  <w:footnote w:id="576">
    <w:p w:rsidR="00021F98" w:rsidRDefault="00021F98" w:rsidP="005957B5">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21 September 2016, pp. 205-206;</w:t>
      </w:r>
      <w:r w:rsidRPr="005957B5">
        <w:t xml:space="preserve"> </w:t>
      </w:r>
      <w:r>
        <w:t xml:space="preserve">Frontier Economics, </w:t>
      </w:r>
      <w:r>
        <w:rPr>
          <w:rStyle w:val="AERtextitalic"/>
        </w:rPr>
        <w:t xml:space="preserve">Issues in the estimation of gamma, Report prepared for AGN, Multinet Gas, AusNet Transmission and AusNet Gas, </w:t>
      </w:r>
      <w:r w:rsidRPr="005957B5">
        <w:rPr>
          <w:rStyle w:val="AERtextitalic"/>
        </w:rPr>
        <w:t xml:space="preserve">September 2016, </w:t>
      </w:r>
      <w:r w:rsidRPr="004423C9">
        <w:rPr>
          <w:rStyle w:val="AERtextitalic"/>
          <w:i w:val="0"/>
        </w:rPr>
        <w:t>pp. 6-11.</w:t>
      </w:r>
    </w:p>
  </w:footnote>
  <w:footnote w:id="577">
    <w:p w:rsidR="00021F98" w:rsidRDefault="00021F98" w:rsidP="005957B5">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September 2016, </w:t>
      </w:r>
      <w:r w:rsidRPr="004423C9">
        <w:rPr>
          <w:rStyle w:val="AERtextitalic"/>
          <w:i w:val="0"/>
        </w:rPr>
        <w:t>pp. 10-11.</w:t>
      </w:r>
    </w:p>
  </w:footnote>
  <w:footnote w:id="578">
    <w:p w:rsidR="00021F98" w:rsidRPr="001224E1" w:rsidRDefault="00021F98" w:rsidP="005957B5">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September 2016, </w:t>
      </w:r>
      <w:r w:rsidRPr="004423C9">
        <w:rPr>
          <w:rStyle w:val="AERtextitalic"/>
          <w:i w:val="0"/>
        </w:rPr>
        <w:t>p. 9.</w:t>
      </w:r>
    </w:p>
  </w:footnote>
  <w:footnote w:id="579">
    <w:p w:rsidR="00021F98" w:rsidRPr="001224E1" w:rsidRDefault="00021F98" w:rsidP="000028D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9.</w:t>
      </w:r>
    </w:p>
  </w:footnote>
  <w:footnote w:id="580">
    <w:p w:rsidR="00021F98" w:rsidRPr="001224E1" w:rsidRDefault="00021F98" w:rsidP="000028D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Pr>
          <w:rStyle w:val="AERtextitalic"/>
          <w:i w:val="0"/>
        </w:rPr>
        <w:t>, p. </w:t>
      </w:r>
      <w:r w:rsidRPr="00F24DB2">
        <w:rPr>
          <w:rStyle w:val="AERtextitalic"/>
          <w:i w:val="0"/>
        </w:rPr>
        <w:t>10</w:t>
      </w:r>
      <w:r w:rsidRPr="001224E1">
        <w:rPr>
          <w:rStyle w:val="AERtextitalic"/>
          <w:i w:val="0"/>
        </w:rPr>
        <w:t>.</w:t>
      </w:r>
    </w:p>
  </w:footnote>
  <w:footnote w:id="581">
    <w:p w:rsidR="00021F98" w:rsidRPr="001224E1" w:rsidRDefault="00021F98" w:rsidP="005957B5">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Pr>
          <w:rStyle w:val="AERtextitalic"/>
          <w:i w:val="0"/>
        </w:rPr>
        <w:t>, p.</w:t>
      </w:r>
      <w:r w:rsidRPr="005957B5">
        <w:rPr>
          <w:rStyle w:val="AERtextitalic"/>
          <w:i w:val="0"/>
        </w:rPr>
        <w:t> </w:t>
      </w:r>
      <w:r w:rsidRPr="004423C9">
        <w:rPr>
          <w:rStyle w:val="AERtextitalic"/>
          <w:i w:val="0"/>
        </w:rPr>
        <w:t>10</w:t>
      </w:r>
      <w:r w:rsidRPr="005957B5">
        <w:rPr>
          <w:rStyle w:val="AERtextitalic"/>
          <w:i w:val="0"/>
        </w:rPr>
        <w:t>.</w:t>
      </w:r>
    </w:p>
  </w:footnote>
  <w:footnote w:id="582">
    <w:p w:rsidR="00021F98" w:rsidRPr="001224E1" w:rsidRDefault="00021F98" w:rsidP="005957B5">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w:t>
      </w:r>
      <w:r w:rsidRPr="005957B5">
        <w:rPr>
          <w:rStyle w:val="AERtextitalic"/>
          <w:i w:val="0"/>
        </w:rPr>
        <w:t> </w:t>
      </w:r>
      <w:r w:rsidRPr="004423C9">
        <w:rPr>
          <w:rStyle w:val="AERtextitalic"/>
          <w:i w:val="0"/>
        </w:rPr>
        <w:t>10</w:t>
      </w:r>
      <w:r w:rsidRPr="005957B5">
        <w:rPr>
          <w:rStyle w:val="AERtextitalic"/>
          <w:i w:val="0"/>
        </w:rPr>
        <w:t>.</w:t>
      </w:r>
    </w:p>
  </w:footnote>
  <w:footnote w:id="583">
    <w:p w:rsidR="00021F98" w:rsidRPr="001224E1" w:rsidRDefault="00021F98" w:rsidP="005957B5">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9</w:t>
      </w:r>
      <w:r w:rsidRPr="005957B5">
        <w:rPr>
          <w:rStyle w:val="AERtextitalic"/>
          <w:i w:val="0"/>
        </w:rPr>
        <w:t>.</w:t>
      </w:r>
    </w:p>
  </w:footnote>
  <w:footnote w:id="584">
    <w:p w:rsidR="00021F98" w:rsidRDefault="00021F98" w:rsidP="005D01B1">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4576F7">
        <w:rPr>
          <w:rStyle w:val="AERtextitalic"/>
          <w:i w:val="0"/>
        </w:rPr>
        <w:t>, p. 10.</w:t>
      </w:r>
    </w:p>
  </w:footnote>
  <w:footnote w:id="585">
    <w:p w:rsidR="00021F98" w:rsidRPr="001224E1" w:rsidRDefault="00021F98" w:rsidP="00E4335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E43353">
        <w:rPr>
          <w:rStyle w:val="AERtextitalic"/>
          <w:i w:val="0"/>
        </w:rPr>
        <w:t>, p. </w:t>
      </w:r>
      <w:r w:rsidRPr="004423C9">
        <w:rPr>
          <w:rStyle w:val="AERtextitalic"/>
          <w:i w:val="0"/>
        </w:rPr>
        <w:t>10</w:t>
      </w:r>
      <w:r w:rsidRPr="00E43353">
        <w:rPr>
          <w:rStyle w:val="AERtextitalic"/>
          <w:i w:val="0"/>
        </w:rPr>
        <w:t>.</w:t>
      </w:r>
    </w:p>
  </w:footnote>
  <w:footnote w:id="586">
    <w:p w:rsidR="00021F98" w:rsidRPr="001224E1" w:rsidRDefault="00021F98" w:rsidP="00E43353">
      <w:pPr>
        <w:pStyle w:val="FootnoteText"/>
      </w:pPr>
      <w:r>
        <w:rPr>
          <w:rStyle w:val="FootnoteReference"/>
        </w:rPr>
        <w:footnoteRef/>
      </w:r>
      <w:r>
        <w:t xml:space="preserve"> </w:t>
      </w:r>
      <w:r>
        <w:tab/>
        <w:t xml:space="preserve">M. Lally, </w:t>
      </w:r>
      <w:r w:rsidRPr="00E750F8">
        <w:rPr>
          <w:rStyle w:val="AERtextitalic"/>
        </w:rPr>
        <w:t>Issues in the estimation of gamma</w:t>
      </w:r>
      <w:r>
        <w:t xml:space="preserve">, April </w:t>
      </w:r>
      <w:r w:rsidRPr="00E43353">
        <w:t>2017</w:t>
      </w:r>
      <w:r w:rsidRPr="00E43353">
        <w:rPr>
          <w:rStyle w:val="AERtextitalic"/>
          <w:i w:val="0"/>
        </w:rPr>
        <w:t>, p. </w:t>
      </w:r>
      <w:r w:rsidRPr="004423C9">
        <w:rPr>
          <w:rStyle w:val="AERtextitalic"/>
          <w:i w:val="0"/>
        </w:rPr>
        <w:t>10</w:t>
      </w:r>
      <w:r w:rsidRPr="001224E1">
        <w:rPr>
          <w:rStyle w:val="AERtextitalic"/>
          <w:i w:val="0"/>
        </w:rPr>
        <w:t>.</w:t>
      </w:r>
    </w:p>
  </w:footnote>
  <w:footnote w:id="587">
    <w:p w:rsidR="00021F98" w:rsidRDefault="00021F98">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182</w:t>
      </w:r>
      <w:r w:rsidRPr="008F5D24">
        <w:t>.</w:t>
      </w:r>
    </w:p>
  </w:footnote>
  <w:footnote w:id="588">
    <w:p w:rsidR="00021F98" w:rsidRPr="001224E1" w:rsidRDefault="00021F98" w:rsidP="00E43353">
      <w:pPr>
        <w:pStyle w:val="FootnoteText"/>
      </w:pPr>
      <w:r>
        <w:rPr>
          <w:rStyle w:val="FootnoteReference"/>
        </w:rPr>
        <w:footnoteRef/>
      </w:r>
      <w:r>
        <w:t xml:space="preserve"> </w:t>
      </w:r>
      <w:r>
        <w:tab/>
        <w:t>M. Lally, Issues in the estimation of gamma, April 2017</w:t>
      </w:r>
      <w:r w:rsidRPr="001224E1">
        <w:rPr>
          <w:rStyle w:val="AERtextitalic"/>
          <w:i w:val="0"/>
        </w:rPr>
        <w:t>, p.</w:t>
      </w:r>
      <w:r w:rsidRPr="00E43353">
        <w:rPr>
          <w:rStyle w:val="AERtextitalic"/>
          <w:i w:val="0"/>
        </w:rPr>
        <w:t> </w:t>
      </w:r>
      <w:r w:rsidRPr="004423C9">
        <w:rPr>
          <w:rStyle w:val="AERtextitalic"/>
          <w:i w:val="0"/>
        </w:rPr>
        <w:t>10;</w:t>
      </w:r>
      <w:r>
        <w:rPr>
          <w:rStyle w:val="AERtextitalic"/>
        </w:rPr>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pp. 9-10</w:t>
      </w:r>
      <w:r>
        <w:rPr>
          <w:rStyle w:val="AERtextitalic"/>
        </w:rPr>
        <w:t>.</w:t>
      </w:r>
    </w:p>
  </w:footnote>
  <w:footnote w:id="589">
    <w:p w:rsidR="00021F98" w:rsidRPr="001224E1" w:rsidRDefault="00021F98" w:rsidP="00E4335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Pr>
          <w:rStyle w:val="AERtextitalic"/>
          <w:i w:val="0"/>
        </w:rPr>
        <w:t>, p</w:t>
      </w:r>
      <w:r w:rsidRPr="00E43353">
        <w:rPr>
          <w:rStyle w:val="AERtextitalic"/>
          <w:i w:val="0"/>
        </w:rPr>
        <w:t>. </w:t>
      </w:r>
      <w:r w:rsidRPr="004423C9">
        <w:rPr>
          <w:rStyle w:val="AERtextitalic"/>
          <w:i w:val="0"/>
        </w:rPr>
        <w:t>10</w:t>
      </w:r>
      <w:r w:rsidRPr="00E43353">
        <w:rPr>
          <w:rStyle w:val="AERtextitalic"/>
          <w:i w:val="0"/>
        </w:rPr>
        <w:t>.</w:t>
      </w:r>
    </w:p>
  </w:footnote>
  <w:footnote w:id="590">
    <w:p w:rsidR="00021F98" w:rsidRPr="001224E1" w:rsidRDefault="00021F98" w:rsidP="00BF1C4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w:t>
      </w:r>
      <w:r w:rsidRPr="00BF1C4B">
        <w:rPr>
          <w:rStyle w:val="AERtextitalic"/>
          <w:i w:val="0"/>
        </w:rPr>
        <w:t> </w:t>
      </w:r>
      <w:r w:rsidRPr="004576F7">
        <w:rPr>
          <w:rStyle w:val="AERtextitalic"/>
          <w:i w:val="0"/>
        </w:rPr>
        <w:t>10</w:t>
      </w:r>
      <w:r w:rsidRPr="00BF1C4B">
        <w:rPr>
          <w:rStyle w:val="AERtextitalic"/>
          <w:i w:val="0"/>
        </w:rPr>
        <w:t>.</w:t>
      </w:r>
    </w:p>
  </w:footnote>
  <w:footnote w:id="591">
    <w:p w:rsidR="00021F98" w:rsidRPr="001224E1" w:rsidRDefault="00021F98" w:rsidP="00677BC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Pr>
          <w:rStyle w:val="AERtextitalic"/>
          <w:i w:val="0"/>
        </w:rPr>
        <w:t>, p.</w:t>
      </w:r>
      <w:r w:rsidRPr="00677BC6">
        <w:rPr>
          <w:rStyle w:val="AERtextitalic"/>
          <w:i w:val="0"/>
        </w:rPr>
        <w:t> </w:t>
      </w:r>
      <w:r w:rsidRPr="004423C9">
        <w:rPr>
          <w:rStyle w:val="AERtextitalic"/>
          <w:i w:val="0"/>
        </w:rPr>
        <w:t>10</w:t>
      </w:r>
      <w:r w:rsidRPr="00677BC6">
        <w:rPr>
          <w:rStyle w:val="AERtextitalic"/>
          <w:i w:val="0"/>
        </w:rPr>
        <w:t>.</w:t>
      </w:r>
    </w:p>
  </w:footnote>
  <w:footnote w:id="592">
    <w:p w:rsidR="00021F98" w:rsidRPr="001224E1" w:rsidRDefault="00021F98" w:rsidP="00677BC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677BC6">
        <w:rPr>
          <w:rStyle w:val="AERtextitalic"/>
          <w:i w:val="0"/>
        </w:rPr>
        <w:t>p</w:t>
      </w:r>
      <w:r w:rsidRPr="004423C9">
        <w:rPr>
          <w:rStyle w:val="AERtextitalic"/>
          <w:i w:val="0"/>
        </w:rPr>
        <w:t>p</w:t>
      </w:r>
      <w:r w:rsidRPr="00677BC6">
        <w:rPr>
          <w:rStyle w:val="AERtextitalic"/>
          <w:i w:val="0"/>
        </w:rPr>
        <w:t>. </w:t>
      </w:r>
      <w:r w:rsidRPr="004423C9">
        <w:rPr>
          <w:rStyle w:val="AERtextitalic"/>
          <w:i w:val="0"/>
        </w:rPr>
        <w:t>10-11, 27, 29</w:t>
      </w:r>
      <w:r w:rsidRPr="00677BC6">
        <w:rPr>
          <w:rStyle w:val="AERtextitalic"/>
          <w:i w:val="0"/>
        </w:rPr>
        <w:t>.</w:t>
      </w:r>
    </w:p>
  </w:footnote>
  <w:footnote w:id="593">
    <w:p w:rsidR="00021F98" w:rsidRPr="001224E1" w:rsidRDefault="00021F98" w:rsidP="00E4335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68340D">
        <w:rPr>
          <w:rStyle w:val="AERtextitalic"/>
          <w:i w:val="0"/>
        </w:rPr>
        <w:t>11</w:t>
      </w:r>
      <w:r>
        <w:rPr>
          <w:rStyle w:val="AERtextitalic"/>
        </w:rPr>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10.</w:t>
      </w:r>
    </w:p>
  </w:footnote>
  <w:footnote w:id="594">
    <w:p w:rsidR="00021F98" w:rsidRPr="00396EBB" w:rsidRDefault="00021F98" w:rsidP="00396EB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396EBB">
        <w:rPr>
          <w:rStyle w:val="AERtextitalic"/>
          <w:i w:val="0"/>
        </w:rPr>
        <w:t>p</w:t>
      </w:r>
      <w:r w:rsidRPr="00D7695B">
        <w:rPr>
          <w:rStyle w:val="AERtextitalic"/>
          <w:i w:val="0"/>
        </w:rPr>
        <w:t>p</w:t>
      </w:r>
      <w:r w:rsidRPr="00396EBB">
        <w:rPr>
          <w:rStyle w:val="AERtextitalic"/>
          <w:i w:val="0"/>
        </w:rPr>
        <w:t>. 11</w:t>
      </w:r>
      <w:r w:rsidRPr="00D7695B">
        <w:rPr>
          <w:rStyle w:val="AERtextitalic"/>
          <w:i w:val="0"/>
        </w:rPr>
        <w:t>, 23</w:t>
      </w:r>
      <w:r w:rsidRPr="00396EBB">
        <w:rPr>
          <w:rStyle w:val="AERtextitalic"/>
          <w:i w:val="0"/>
        </w:rPr>
        <w:t>.</w:t>
      </w:r>
    </w:p>
  </w:footnote>
  <w:footnote w:id="595">
    <w:p w:rsidR="00021F98" w:rsidRPr="001224E1" w:rsidRDefault="00021F98" w:rsidP="00396EB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D7695B">
        <w:rPr>
          <w:rStyle w:val="AERtextitalic"/>
          <w:i w:val="0"/>
        </w:rPr>
        <w:t>p</w:t>
      </w:r>
      <w:r w:rsidRPr="00396EBB">
        <w:rPr>
          <w:rStyle w:val="AERtextitalic"/>
          <w:i w:val="0"/>
        </w:rPr>
        <w:t>p. 11</w:t>
      </w:r>
      <w:r w:rsidRPr="00D7695B">
        <w:rPr>
          <w:rStyle w:val="AERtextitalic"/>
          <w:i w:val="0"/>
        </w:rPr>
        <w:t>, 23</w:t>
      </w:r>
      <w:r w:rsidRPr="00396EBB">
        <w:rPr>
          <w:rStyle w:val="AERtextitalic"/>
          <w:i w:val="0"/>
        </w:rPr>
        <w:t>.</w:t>
      </w:r>
    </w:p>
  </w:footnote>
  <w:footnote w:id="596">
    <w:p w:rsidR="00021F98" w:rsidRPr="001224E1" w:rsidRDefault="00021F98" w:rsidP="00396EB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FF354E">
        <w:rPr>
          <w:rStyle w:val="AERtextitalic"/>
          <w:i w:val="0"/>
        </w:rPr>
        <w:t>p</w:t>
      </w:r>
      <w:r w:rsidRPr="00396EBB">
        <w:rPr>
          <w:rStyle w:val="AERtextitalic"/>
          <w:i w:val="0"/>
        </w:rPr>
        <w:t>. </w:t>
      </w:r>
      <w:r w:rsidRPr="00FF354E">
        <w:rPr>
          <w:rStyle w:val="AERtextitalic"/>
          <w:i w:val="0"/>
        </w:rPr>
        <w:t>23</w:t>
      </w:r>
      <w:r w:rsidRPr="00396EBB">
        <w:rPr>
          <w:rStyle w:val="AERtextitalic"/>
          <w:i w:val="0"/>
        </w:rPr>
        <w:t>.</w:t>
      </w:r>
    </w:p>
  </w:footnote>
  <w:footnote w:id="597">
    <w:p w:rsidR="00021F98" w:rsidRPr="001224E1" w:rsidRDefault="00021F98" w:rsidP="00E4335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2D6646">
        <w:rPr>
          <w:rStyle w:val="AERtextitalic"/>
          <w:i w:val="0"/>
        </w:rPr>
        <w:t>1</w:t>
      </w:r>
      <w:r w:rsidRPr="002D7AA8">
        <w:rPr>
          <w:rStyle w:val="AERtextitalic"/>
          <w:i w:val="0"/>
        </w:rPr>
        <w:t>2</w:t>
      </w:r>
      <w:r>
        <w:rPr>
          <w:rStyle w:val="AERtextitalic"/>
        </w:rPr>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10.</w:t>
      </w:r>
      <w:r>
        <w:rPr>
          <w:rStyle w:val="AERtextitalic"/>
        </w:rPr>
        <w:t xml:space="preserve"> </w:t>
      </w:r>
    </w:p>
  </w:footnote>
  <w:footnote w:id="598">
    <w:p w:rsidR="00021F98" w:rsidRPr="001224E1" w:rsidRDefault="00021F98" w:rsidP="002D664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2D6646">
        <w:rPr>
          <w:rStyle w:val="AERtextitalic"/>
          <w:i w:val="0"/>
        </w:rPr>
        <w:t>1</w:t>
      </w:r>
      <w:r w:rsidRPr="00DC0074">
        <w:rPr>
          <w:rStyle w:val="AERtextitalic"/>
          <w:i w:val="0"/>
        </w:rPr>
        <w:t>2</w:t>
      </w:r>
      <w:r w:rsidRPr="002D6646">
        <w:rPr>
          <w:rStyle w:val="AERtextitalic"/>
          <w:i w:val="0"/>
        </w:rPr>
        <w:t>.</w:t>
      </w:r>
    </w:p>
  </w:footnote>
  <w:footnote w:id="599">
    <w:p w:rsidR="00021F98" w:rsidRPr="001224E1" w:rsidRDefault="00021F98" w:rsidP="002D664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2D6646">
        <w:rPr>
          <w:rStyle w:val="AERtextitalic"/>
          <w:i w:val="0"/>
        </w:rPr>
        <w:t>1</w:t>
      </w:r>
      <w:r w:rsidRPr="00DC0074">
        <w:rPr>
          <w:rStyle w:val="AERtextitalic"/>
          <w:i w:val="0"/>
        </w:rPr>
        <w:t>2</w:t>
      </w:r>
      <w:r w:rsidRPr="002D6646">
        <w:rPr>
          <w:rStyle w:val="AERtextitalic"/>
          <w:i w:val="0"/>
        </w:rPr>
        <w:t>.</w:t>
      </w:r>
    </w:p>
  </w:footnote>
  <w:footnote w:id="600">
    <w:p w:rsidR="00021F98" w:rsidRDefault="00021F98" w:rsidP="00C52695">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 71.</w:t>
      </w:r>
    </w:p>
  </w:footnote>
  <w:footnote w:id="601">
    <w:p w:rsidR="00021F98" w:rsidRDefault="00021F9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209.</w:t>
      </w:r>
    </w:p>
  </w:footnote>
  <w:footnote w:id="602">
    <w:p w:rsidR="00021F98" w:rsidRDefault="00021F98" w:rsidP="00C52695">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March 2015, p. ii.</w:t>
      </w:r>
    </w:p>
  </w:footnote>
  <w:footnote w:id="603">
    <w:p w:rsidR="00021F98" w:rsidRDefault="00021F9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28.</w:t>
      </w:r>
    </w:p>
  </w:footnote>
  <w:footnote w:id="604">
    <w:p w:rsidR="00021F98" w:rsidRDefault="00021F98" w:rsidP="00C52695">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292; Australian Gas Networks, </w:t>
      </w:r>
      <w:r>
        <w:rPr>
          <w:rStyle w:val="AERtextitalic"/>
        </w:rPr>
        <w:t>Attachment 11 Response to Draft Decision: Cost of Tax</w:t>
      </w:r>
      <w:r>
        <w:t xml:space="preserve">, January 2016, pp. 7-8;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xml:space="preserve">, January 2016, p. 91; AusNet Transmission, </w:t>
      </w:r>
      <w:r>
        <w:rPr>
          <w:rStyle w:val="AERtextitalic"/>
        </w:rPr>
        <w:t>Transmission Revenue Proposal Review 2017-2022, Revised Revenue Proposal</w:t>
      </w:r>
      <w:r>
        <w:t>, 21 September 2016, pp. 205-206.</w:t>
      </w:r>
    </w:p>
  </w:footnote>
  <w:footnote w:id="605">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606">
    <w:p w:rsidR="00021F98" w:rsidRDefault="00021F98"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18.</w:t>
      </w:r>
    </w:p>
  </w:footnote>
  <w:footnote w:id="607">
    <w:p w:rsidR="00021F98" w:rsidRDefault="00021F98" w:rsidP="00C52695">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w:t>
      </w:r>
      <w:r>
        <w:t>p</w:t>
      </w:r>
      <w:r w:rsidRPr="00DD218F">
        <w:t>. </w:t>
      </w:r>
      <w:r>
        <w:t xml:space="preserve">288, 292; AusNet Services, </w:t>
      </w:r>
      <w:r w:rsidRPr="00D414CC">
        <w:rPr>
          <w:rStyle w:val="Emphasis"/>
        </w:rPr>
        <w:t>2016-20 Regulatory Proposal</w:t>
      </w:r>
      <w:r>
        <w:t xml:space="preserve">, April 2015, pp. 353-354; United Energy, </w:t>
      </w:r>
      <w:r w:rsidRPr="00D414CC">
        <w:rPr>
          <w:rStyle w:val="Emphasis"/>
        </w:rPr>
        <w:t>Assessment of the Value of Imputation Credits - Gamma, Proposal for 2016 to 2020</w:t>
      </w:r>
      <w:r>
        <w:t xml:space="preserve">, April 2015, pp. 1–4; CitiPower, </w:t>
      </w:r>
      <w:r w:rsidRPr="00596AF9">
        <w:rPr>
          <w:i/>
        </w:rPr>
        <w:t>Appendix J - Gamma</w:t>
      </w:r>
      <w:r>
        <w:t xml:space="preserve">, April 2015, pp. 4–7; Powercor, </w:t>
      </w:r>
      <w:r w:rsidRPr="00D414CC">
        <w:rPr>
          <w:rStyle w:val="Emphasis"/>
        </w:rPr>
        <w:t>Appendix J - Gamma</w:t>
      </w:r>
      <w:r>
        <w:t xml:space="preserve">, April 2015, pp. 4–7; Jemena Electricity, </w:t>
      </w:r>
      <w:r w:rsidRPr="00D414CC">
        <w:rPr>
          <w:rStyle w:val="Emphasis"/>
        </w:rPr>
        <w:t>Attachment 06-06 Gamma proposal</w:t>
      </w:r>
      <w:r>
        <w:t>, April 2015, pp. 6–8;</w:t>
      </w:r>
      <w:r w:rsidRPr="00A427FF">
        <w:t xml:space="preserve"> </w:t>
      </w:r>
      <w:r>
        <w:t xml:space="preserve">SA Power Networks, </w:t>
      </w:r>
      <w:r>
        <w:rPr>
          <w:rStyle w:val="AERtextitalic"/>
        </w:rPr>
        <w:t>Revised regulatory proposal 2015-20</w:t>
      </w:r>
      <w:r>
        <w:t xml:space="preserve">, July 2015, p. 378; Energex, </w:t>
      </w:r>
      <w:r w:rsidRPr="00D414CC">
        <w:rPr>
          <w:rStyle w:val="Emphasis"/>
        </w:rPr>
        <w:t>Revised Regulatory Proposal</w:t>
      </w:r>
      <w:r>
        <w:t xml:space="preserve">, July 2015, pp. 124–125; Ergon, </w:t>
      </w:r>
      <w:r w:rsidRPr="00596AF9">
        <w:rPr>
          <w:i/>
        </w:rPr>
        <w:t>Revised Regulatory Proposal</w:t>
      </w:r>
      <w:r>
        <w:t xml:space="preserve">, July 2015, p. 153; ActewAGL Distribution, </w:t>
      </w:r>
      <w:r w:rsidRPr="00D414CC">
        <w:rPr>
          <w:rStyle w:val="Emphasis"/>
        </w:rPr>
        <w:t>Attachment 8 Detailed gamma proposal</w:t>
      </w:r>
      <w:r>
        <w:t xml:space="preserve">, June 2015, pp. 4-6; Australian Gas Networks, </w:t>
      </w:r>
      <w:r w:rsidRPr="00596AF9">
        <w:rPr>
          <w:i/>
        </w:rPr>
        <w:t>Access Arrangement Information - Attachment 11.2 Value of Imputation Credits</w:t>
      </w:r>
      <w:r>
        <w:t xml:space="preserve">, July 2015; pp. 3–6. Amadeus Gas Pipeline </w:t>
      </w:r>
      <w:r w:rsidRPr="00596AF9">
        <w:rPr>
          <w:i/>
        </w:rPr>
        <w:t>Access Arrangement Revision Proposal Submission</w:t>
      </w:r>
      <w:r>
        <w:t xml:space="preserve">, August 2015, p. 153; ActewAGL, </w:t>
      </w:r>
      <w:r w:rsidRPr="00AF5B33">
        <w:rPr>
          <w:rStyle w:val="AERtextitalic"/>
        </w:rPr>
        <w:t>Appendix 5.01 Detailed response to rate of return, gamma and inflation</w:t>
      </w:r>
      <w:r>
        <w:t xml:space="preserve">, January 2016, p. 111; AusNet Electricity Services, </w:t>
      </w:r>
      <w:r w:rsidRPr="00AF5B33">
        <w:rPr>
          <w:rStyle w:val="AERtextitalic"/>
        </w:rPr>
        <w:t>Revised Regulatory Proposal</w:t>
      </w:r>
      <w:r>
        <w:t xml:space="preserve">, January 2016, p. 7-82; United Energy, </w:t>
      </w:r>
      <w:r w:rsidRPr="00AF5B33">
        <w:rPr>
          <w:rStyle w:val="AERtextitalic"/>
        </w:rPr>
        <w:t>Response to AER Preliminary Determination Re: Rate of return and gamma</w:t>
      </w:r>
      <w:r>
        <w:t xml:space="preserve">, January 2016, p. 83; CitiPower, </w:t>
      </w:r>
      <w:r w:rsidRPr="00AF5B33">
        <w:rPr>
          <w:rStyle w:val="AERtextitalic"/>
        </w:rPr>
        <w:t>Revised Regulatory Proposal 2016-2020</w:t>
      </w:r>
      <w:r>
        <w:t xml:space="preserve">; January 2016, pp. 360-361; Jemena Electricity Networks, </w:t>
      </w:r>
      <w:r w:rsidRPr="00AF5B33">
        <w:rPr>
          <w:rStyle w:val="AERtextitalic"/>
        </w:rPr>
        <w:t>Attachment 6-1 Rate of return, gamma, forecast inflation, and debt and equity raising costs</w:t>
      </w:r>
      <w:r>
        <w:t xml:space="preserve">, January 2016, p. 89; Powercor, </w:t>
      </w:r>
      <w:r w:rsidRPr="00AF5B33">
        <w:rPr>
          <w:rStyle w:val="AERtextitalic"/>
        </w:rPr>
        <w:t>Revised Regulatory Proposal 2016-2020</w:t>
      </w:r>
      <w:r>
        <w:t xml:space="preserve">, January 2016, p. 355; AusNet Transmission, </w:t>
      </w:r>
      <w:r>
        <w:rPr>
          <w:rStyle w:val="AERtextitalic"/>
        </w:rPr>
        <w:t>Transmission Revenue Proposal Review 2017-2022, Revised Revenue Proposal</w:t>
      </w:r>
      <w:r>
        <w:t>, 21 September 2016, pp. 205-206.</w:t>
      </w:r>
    </w:p>
  </w:footnote>
  <w:footnote w:id="608">
    <w:p w:rsidR="00021F98" w:rsidRDefault="00021F98" w:rsidP="00C52695">
      <w:pPr>
        <w:pStyle w:val="FootnoteText"/>
      </w:pPr>
      <w:r>
        <w:rPr>
          <w:rStyle w:val="FootnoteReference"/>
        </w:rPr>
        <w:footnoteRef/>
      </w:r>
      <w:r>
        <w:t xml:space="preserve"> </w:t>
      </w:r>
      <w:r>
        <w:tab/>
        <w:t xml:space="preserve">ActewAGL, </w:t>
      </w:r>
      <w:r w:rsidRPr="00AF5B33">
        <w:rPr>
          <w:rStyle w:val="AERtextitalic"/>
        </w:rPr>
        <w:t>Appendix 5.01 Detailed response to rate of return, gamma and inflation</w:t>
      </w:r>
      <w:r>
        <w:t xml:space="preserve">, January 2016, p. 122; AusNet Electricity Services, </w:t>
      </w:r>
      <w:r w:rsidRPr="00AF5B33">
        <w:rPr>
          <w:rStyle w:val="AERtextitalic"/>
        </w:rPr>
        <w:t>Revised Regulatory Proposal</w:t>
      </w:r>
      <w:r>
        <w:t xml:space="preserve">, January 2016, p. 7-90; United Energy, </w:t>
      </w:r>
      <w:r w:rsidRPr="00AF5B33">
        <w:rPr>
          <w:rStyle w:val="AERtextitalic"/>
        </w:rPr>
        <w:t>Response to AER Preliminary Determination Re: Rate of return and gamma</w:t>
      </w:r>
      <w:r>
        <w:t xml:space="preserve">, January 2016, p. 91; CitiPower, </w:t>
      </w:r>
      <w:r w:rsidRPr="00AF5B33">
        <w:rPr>
          <w:rStyle w:val="AERtextitalic"/>
        </w:rPr>
        <w:t>Revised Regulatory Proposal 2016-2020</w:t>
      </w:r>
      <w:r>
        <w:t xml:space="preserve">; January 2016, p. 369; Jemena Electricity Networks, </w:t>
      </w:r>
      <w:r w:rsidRPr="00AF5B33">
        <w:rPr>
          <w:rStyle w:val="AERtextitalic"/>
        </w:rPr>
        <w:t>Attachment 6-1 Rate of return, gamma, forecast inflation, and debt and equity raising costs</w:t>
      </w:r>
      <w:r>
        <w:t xml:space="preserve">, January 2016, p. 98; Powercor, </w:t>
      </w:r>
      <w:r w:rsidRPr="00AF5B33">
        <w:rPr>
          <w:rStyle w:val="AERtextitalic"/>
        </w:rPr>
        <w:t>Revised Regulatory Proposal 2016-2020</w:t>
      </w:r>
      <w:r>
        <w:t>, January 2016, p. 363.</w:t>
      </w:r>
    </w:p>
  </w:footnote>
  <w:footnote w:id="609">
    <w:p w:rsidR="00021F98" w:rsidRDefault="00021F9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610">
    <w:p w:rsidR="00021F98" w:rsidRDefault="00021F98"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7–8.</w:t>
      </w:r>
    </w:p>
  </w:footnote>
  <w:footnote w:id="611">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25; AusNet Transmission, </w:t>
      </w:r>
      <w:r>
        <w:rPr>
          <w:rStyle w:val="AERtextitalic"/>
        </w:rPr>
        <w:t>Transmission Revenue Proposal Review 2017-2022, Revised Revenue Proposal</w:t>
      </w:r>
      <w:r>
        <w:t>, 21 September 2016, p. 205.</w:t>
      </w:r>
    </w:p>
  </w:footnote>
  <w:footnote w:id="612">
    <w:p w:rsidR="00021F98" w:rsidRPr="004D25AD" w:rsidRDefault="00021F98" w:rsidP="00CD38B5">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6A200A">
        <w:rPr>
          <w:rStyle w:val="AERtextitalic"/>
          <w:i w:val="0"/>
        </w:rPr>
        <w:t xml:space="preserve">, </w:t>
      </w:r>
      <w:r w:rsidRPr="00CD38B5">
        <w:rPr>
          <w:rStyle w:val="AERtextitalic"/>
          <w:i w:val="0"/>
        </w:rPr>
        <w:t>p</w:t>
      </w:r>
      <w:r w:rsidRPr="004423C9">
        <w:rPr>
          <w:rStyle w:val="AERtextitalic"/>
          <w:i w:val="0"/>
        </w:rPr>
        <w:t>p</w:t>
      </w:r>
      <w:r w:rsidRPr="00CD38B5">
        <w:rPr>
          <w:rStyle w:val="AERtextitalic"/>
          <w:i w:val="0"/>
        </w:rPr>
        <w:t>. </w:t>
      </w:r>
      <w:r w:rsidRPr="004423C9">
        <w:rPr>
          <w:rStyle w:val="AERtextitalic"/>
          <w:i w:val="0"/>
        </w:rPr>
        <w:t xml:space="preserve">13, </w:t>
      </w:r>
      <w:r w:rsidRPr="00CD38B5">
        <w:rPr>
          <w:rStyle w:val="AERtextitalic"/>
          <w:i w:val="0"/>
        </w:rPr>
        <w:t>24.</w:t>
      </w:r>
    </w:p>
  </w:footnote>
  <w:footnote w:id="613">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614">
    <w:p w:rsidR="00021F98" w:rsidRDefault="00021F98" w:rsidP="00EB58A2">
      <w:pPr>
        <w:pStyle w:val="FootnoteText"/>
      </w:pPr>
      <w:r>
        <w:rPr>
          <w:rStyle w:val="FootnoteReference"/>
        </w:rPr>
        <w:footnoteRef/>
      </w:r>
      <w:r>
        <w:t xml:space="preserve"> </w:t>
      </w:r>
      <w:r>
        <w:tab/>
        <w:t xml:space="preserve">M. Lally, </w:t>
      </w:r>
      <w:r w:rsidRPr="00EF4AD5">
        <w:rPr>
          <w:rStyle w:val="AERtextitalic"/>
        </w:rPr>
        <w:t>Issues in the estimation of gamma</w:t>
      </w:r>
      <w:r>
        <w:t>, April 2017</w:t>
      </w:r>
      <w:r w:rsidRPr="004423C9">
        <w:rPr>
          <w:rStyle w:val="AERtextitalic"/>
          <w:i w:val="0"/>
        </w:rPr>
        <w:t>, p. 29.</w:t>
      </w:r>
    </w:p>
  </w:footnote>
  <w:footnote w:id="615">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29.</w:t>
      </w:r>
    </w:p>
  </w:footnote>
  <w:footnote w:id="616">
    <w:p w:rsidR="00021F98" w:rsidRDefault="00021F98" w:rsidP="00514A99">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xml:space="preserve">, </w:t>
      </w:r>
      <w:r w:rsidRPr="00514A99">
        <w:t>pp. 163–164.</w:t>
      </w:r>
    </w:p>
  </w:footnote>
  <w:footnote w:id="617">
    <w:p w:rsidR="00021F98" w:rsidRDefault="00021F98" w:rsidP="00C52695">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618">
    <w:p w:rsidR="00021F98" w:rsidRDefault="00021F98" w:rsidP="00C52695">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9 April 2015.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619">
    <w:p w:rsidR="00021F98" w:rsidRDefault="00021F98"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620">
    <w:p w:rsidR="00021F98" w:rsidRDefault="00021F98" w:rsidP="00C52695">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621">
    <w:p w:rsidR="00021F98" w:rsidRDefault="00021F98"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622">
    <w:p w:rsidR="00021F98" w:rsidRDefault="00021F98" w:rsidP="00C52695">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30;</w:t>
      </w:r>
      <w:r w:rsidRPr="000921FF">
        <w:t xml:space="preserve"> </w:t>
      </w:r>
      <w:r w:rsidRPr="00712BC2">
        <w:t xml:space="preserve">M. Lally, </w:t>
      </w:r>
      <w:r>
        <w:rPr>
          <w:rStyle w:val="AERtextitalic"/>
        </w:rPr>
        <w:t>Gamma and the ACT Decision</w:t>
      </w:r>
      <w:r>
        <w:t>, May 2016, p. 26.</w:t>
      </w:r>
    </w:p>
  </w:footnote>
  <w:footnote w:id="623">
    <w:p w:rsidR="00021F98" w:rsidRDefault="00021F98" w:rsidP="00C52695">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624">
    <w:p w:rsidR="00021F98" w:rsidRDefault="00021F98" w:rsidP="00C52695">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625">
    <w:p w:rsidR="00021F98" w:rsidRDefault="00021F98" w:rsidP="00C52695">
      <w:pPr>
        <w:pStyle w:val="FootnoteText"/>
      </w:pPr>
      <w:r>
        <w:rPr>
          <w:rStyle w:val="FootnoteReference"/>
        </w:rPr>
        <w:footnoteRef/>
      </w:r>
      <w:r>
        <w:t xml:space="preserve"> </w:t>
      </w:r>
      <w:r>
        <w:tab/>
        <w:t xml:space="preserve">Specifically, we use data from </w:t>
      </w:r>
      <w:r w:rsidRPr="00B01373">
        <w:t>Australian National Accounts: Finance and Wealth</w:t>
      </w:r>
      <w:r w:rsidRPr="0061054A">
        <w:t xml:space="preserve"> (ABS cat. 5232.0)</w:t>
      </w:r>
      <w:r>
        <w:t>.</w:t>
      </w:r>
    </w:p>
  </w:footnote>
  <w:footnote w:id="626">
    <w:p w:rsidR="00021F98" w:rsidRDefault="00021F98"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627">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628">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629">
    <w:p w:rsidR="00021F98" w:rsidRDefault="00021F98" w:rsidP="00C52695">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9 April 2015.</w:t>
      </w:r>
    </w:p>
  </w:footnote>
  <w:footnote w:id="630">
    <w:p w:rsidR="00021F98" w:rsidRDefault="00021F98"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631">
    <w:p w:rsidR="00021F98" w:rsidRDefault="00021F98" w:rsidP="00C52695">
      <w:pPr>
        <w:pStyle w:val="FootnoteText"/>
      </w:pPr>
      <w:r>
        <w:rPr>
          <w:rStyle w:val="FootnoteReference"/>
        </w:rPr>
        <w:footnoteRef/>
      </w:r>
      <w:r>
        <w:t xml:space="preserve"> </w:t>
      </w:r>
      <w:r>
        <w:tab/>
        <w:t>If governments are assumed to waste the credits they receive, the equity ownership approach supports an estimate of the utilisation rate of between 0.54 and 0.65 if all equity is considered, and between 0.38 and 0.54 if only listed equity is considered.</w:t>
      </w:r>
    </w:p>
  </w:footnote>
  <w:footnote w:id="632">
    <w:p w:rsidR="00021F98" w:rsidRDefault="00021F98" w:rsidP="00C52695">
      <w:pPr>
        <w:pStyle w:val="FootnoteText"/>
      </w:pPr>
      <w:r>
        <w:rPr>
          <w:rStyle w:val="FootnoteReference"/>
        </w:rPr>
        <w:footnoteRef/>
      </w:r>
      <w:r>
        <w:t xml:space="preserve"> </w:t>
      </w:r>
      <w:r>
        <w:tab/>
      </w:r>
      <w:r w:rsidRPr="005F06A5">
        <w:t xml:space="preserve">Frontier, </w:t>
      </w:r>
      <w:r w:rsidRPr="001453E4">
        <w:rPr>
          <w:rStyle w:val="AERtextitalic"/>
        </w:rPr>
        <w:t>The appropriate use of tax statistics when estimating gamma</w:t>
      </w:r>
      <w:r w:rsidRPr="005F06A5">
        <w:t>, January 2016, p. </w:t>
      </w:r>
      <w:r>
        <w:t>7.</w:t>
      </w:r>
    </w:p>
  </w:footnote>
  <w:footnote w:id="633">
    <w:p w:rsidR="00021F98" w:rsidRDefault="00021F98"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16.</w:t>
      </w:r>
    </w:p>
  </w:footnote>
  <w:footnote w:id="634">
    <w:p w:rsidR="00021F98" w:rsidRDefault="00021F98"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16.</w:t>
      </w:r>
    </w:p>
  </w:footnote>
  <w:footnote w:id="635">
    <w:p w:rsidR="00021F98" w:rsidRDefault="00021F98" w:rsidP="00C52695">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xml:space="preserve">, January 2015, p. 1;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xml:space="preserve">, February 2015, p. 1; Jemena Electricity, </w:t>
      </w:r>
      <w:r w:rsidRPr="00596AF9">
        <w:rPr>
          <w:i/>
        </w:rPr>
        <w:t>Attachment 06-06 Gamma proposal</w:t>
      </w:r>
      <w:r>
        <w:t xml:space="preserve">, April 2015, p. 1:  Energex, </w:t>
      </w:r>
      <w:r w:rsidRPr="00596AF9">
        <w:rPr>
          <w:i/>
        </w:rPr>
        <w:t>Revised Regulatory Proposal</w:t>
      </w:r>
      <w:r>
        <w:t xml:space="preserve">, July 2015, p. 13;   Powercor, </w:t>
      </w:r>
      <w:r w:rsidRPr="00596AF9">
        <w:rPr>
          <w:i/>
        </w:rPr>
        <w:t>Regulatory Proposal 2016</w:t>
      </w:r>
      <w:r>
        <w:rPr>
          <w:i/>
        </w:rPr>
        <w:t>–</w:t>
      </w:r>
      <w:r w:rsidRPr="00596AF9">
        <w:rPr>
          <w:i/>
        </w:rPr>
        <w:t>20</w:t>
      </w:r>
      <w:r>
        <w:t xml:space="preserve">, April 2015, p. 249; CitiPower, </w:t>
      </w:r>
      <w:r w:rsidRPr="00596AF9">
        <w:rPr>
          <w:i/>
        </w:rPr>
        <w:t>Regulatory Proposal</w:t>
      </w:r>
      <w:r>
        <w:t xml:space="preserve">, April 2015, p. 241; AusNet Services, </w:t>
      </w:r>
      <w:r w:rsidRPr="00596AF9">
        <w:rPr>
          <w:i/>
        </w:rPr>
        <w:t>2016-20 Regulatory Proposal</w:t>
      </w:r>
      <w:r>
        <w:t xml:space="preserve">, April 2015, pp. 367–368; United Energy, </w:t>
      </w:r>
      <w:r w:rsidRPr="00596AF9">
        <w:rPr>
          <w:i/>
        </w:rPr>
        <w:t>Assessment of the Value of Imputation Credits - Gamma, Proposal for 2016 to 2020</w:t>
      </w:r>
      <w:r>
        <w:t>, April 2015, pp. 19–20.</w:t>
      </w:r>
    </w:p>
  </w:footnote>
  <w:footnote w:id="636">
    <w:p w:rsidR="00021F98" w:rsidRDefault="00021F9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12.</w:t>
      </w:r>
    </w:p>
  </w:footnote>
  <w:footnote w:id="637">
    <w:p w:rsidR="00021F98" w:rsidRDefault="00021F98" w:rsidP="00C52695">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w:t>
      </w:r>
      <w:r>
        <w:t>p</w:t>
      </w:r>
      <w:r w:rsidRPr="00DD218F">
        <w:t>. </w:t>
      </w:r>
      <w:r>
        <w:t xml:space="preserve">304-305; 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pp. 121, 123; AusNet Electricity Services, </w:t>
      </w:r>
      <w:r w:rsidRPr="00AF5B33">
        <w:rPr>
          <w:rStyle w:val="AERtextitalic"/>
        </w:rPr>
        <w:t>Revised Regulatory Proposal</w:t>
      </w:r>
      <w:r>
        <w:t xml:space="preserve">, January 2016, pp. 7-90, 7-91; United Energy, </w:t>
      </w:r>
      <w:r w:rsidRPr="00AF5B33">
        <w:rPr>
          <w:rStyle w:val="AERtextitalic"/>
        </w:rPr>
        <w:t>Response to AER Preliminary Determination Re: Rate of return and gamma</w:t>
      </w:r>
      <w:r>
        <w:t xml:space="preserve">, January 2016, pp. 91, 92; CitiPower, </w:t>
      </w:r>
      <w:r w:rsidRPr="00AF5B33">
        <w:rPr>
          <w:rStyle w:val="AERtextitalic"/>
        </w:rPr>
        <w:t>Revised Regulatory Proposal 2016-2020</w:t>
      </w:r>
      <w:r>
        <w:t xml:space="preserve">; January 2016, pp. 368, 370; Jemena Electricity Networks, </w:t>
      </w:r>
      <w:r w:rsidRPr="00AF5B33">
        <w:rPr>
          <w:rStyle w:val="AERtextitalic"/>
        </w:rPr>
        <w:t>Attachment 6-1 Rate of return, gamma, forecast inflation, and debt and equity raising costs</w:t>
      </w:r>
      <w:r>
        <w:t xml:space="preserve">, January 2016, pp. 98, 99; Powercor, </w:t>
      </w:r>
      <w:r w:rsidRPr="00AF5B33">
        <w:rPr>
          <w:rStyle w:val="AERtextitalic"/>
        </w:rPr>
        <w:t>Revised Regulatory Proposal 2016-2020</w:t>
      </w:r>
      <w:r>
        <w:t xml:space="preserve">, January 2016, pp. 362, 364; AusNet Transmission, </w:t>
      </w:r>
      <w:r>
        <w:rPr>
          <w:rStyle w:val="AERtextitalic"/>
        </w:rPr>
        <w:t>Transmission Revenue Proposal Review 2017-2022, Revised Revenue Proposal</w:t>
      </w:r>
      <w:r>
        <w:t>, 21 September 2016, p. 210.</w:t>
      </w:r>
    </w:p>
  </w:footnote>
  <w:footnote w:id="638">
    <w:p w:rsidR="00021F98" w:rsidRDefault="00021F98"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pp. 13-15.</w:t>
      </w:r>
    </w:p>
  </w:footnote>
  <w:footnote w:id="639">
    <w:p w:rsidR="00021F98" w:rsidRDefault="00021F9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13.</w:t>
      </w:r>
    </w:p>
  </w:footnote>
  <w:footnote w:id="640">
    <w:p w:rsidR="00021F98" w:rsidRDefault="00021F98"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pp. 13-15.</w:t>
      </w:r>
    </w:p>
  </w:footnote>
  <w:footnote w:id="641">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642">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643">
    <w:p w:rsidR="00021F98" w:rsidRDefault="00021F9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147(a).</w:t>
      </w:r>
    </w:p>
  </w:footnote>
  <w:footnote w:id="644">
    <w:p w:rsidR="00021F98" w:rsidRDefault="00021F9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16.</w:t>
      </w:r>
    </w:p>
  </w:footnote>
  <w:footnote w:id="645">
    <w:p w:rsidR="00021F98" w:rsidRDefault="00021F98"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 123; AusNet Electricity Services, </w:t>
      </w:r>
      <w:r w:rsidRPr="00AF5B33">
        <w:rPr>
          <w:rStyle w:val="AERtextitalic"/>
        </w:rPr>
        <w:t>Revised Regulatory Proposal</w:t>
      </w:r>
      <w:r>
        <w:t xml:space="preserve">, January 2016, p. 7-91; United Energy, </w:t>
      </w:r>
      <w:r w:rsidRPr="00AF5B33">
        <w:rPr>
          <w:rStyle w:val="AERtextitalic"/>
        </w:rPr>
        <w:t>Response to AER Preliminary Determination Re: Rate of return and gamma</w:t>
      </w:r>
      <w:r>
        <w:t xml:space="preserve">, January 2016, p. 92; CitiPower, </w:t>
      </w:r>
      <w:r w:rsidRPr="00AF5B33">
        <w:rPr>
          <w:rStyle w:val="AERtextitalic"/>
        </w:rPr>
        <w:t>Revised Regulatory Proposal 2016-2020</w:t>
      </w:r>
      <w:r>
        <w:t xml:space="preserve">; January 2016, p. 370; Jemena Electricity Networks, </w:t>
      </w:r>
      <w:r w:rsidRPr="00AF5B33">
        <w:rPr>
          <w:rStyle w:val="AERtextitalic"/>
        </w:rPr>
        <w:t>Attachment 6-1 Rate of return, gamma, forecast inflation, and debt and equity raising costs</w:t>
      </w:r>
      <w:r>
        <w:t xml:space="preserve">, January 2016, p. 99; Powercor, </w:t>
      </w:r>
      <w:r w:rsidRPr="00AF5B33">
        <w:rPr>
          <w:rStyle w:val="AERtextitalic"/>
        </w:rPr>
        <w:t>Revised Regulatory Proposal 2016-2020</w:t>
      </w:r>
      <w:r>
        <w:t>, January 2016, p. 364.</w:t>
      </w:r>
    </w:p>
  </w:footnote>
  <w:footnote w:id="646">
    <w:p w:rsidR="00021F98" w:rsidRDefault="00021F9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Frontier, The appropriate use of tax statistics when estimating gamma, January 2016, p. </w:t>
      </w:r>
      <w:r>
        <w:t>7.</w:t>
      </w:r>
    </w:p>
  </w:footnote>
  <w:footnote w:id="647">
    <w:p w:rsidR="00021F98" w:rsidRDefault="00021F98" w:rsidP="00C52695">
      <w:pPr>
        <w:pStyle w:val="FootnoteText"/>
      </w:pPr>
      <w:r>
        <w:rPr>
          <w:rStyle w:val="FootnoteReference"/>
        </w:rPr>
        <w:footnoteRef/>
      </w:r>
      <w:r>
        <w:t xml:space="preserve"> </w:t>
      </w:r>
      <w:r>
        <w:tab/>
      </w:r>
      <w:r w:rsidRPr="00AC2168">
        <w:t xml:space="preserve">United Energy, </w:t>
      </w:r>
      <w:r w:rsidRPr="00C3341F">
        <w:rPr>
          <w:rStyle w:val="AERtextitalic"/>
        </w:rPr>
        <w:t>Submission on AER preliminary determination - Submission on gamma</w:t>
      </w:r>
      <w:r w:rsidRPr="00AC2168">
        <w:t xml:space="preserve">, 26 April 2016; Australian Competition Tribunal, </w:t>
      </w:r>
      <w:r w:rsidRPr="00C3341F">
        <w:rPr>
          <w:rStyle w:val="AERtextitalic"/>
        </w:rPr>
        <w:t>Application by Public Interest Advocacy Centre Ltd and Ausgrid [2016] ACompT 1</w:t>
      </w:r>
      <w:r w:rsidRPr="00AC2168">
        <w:t>, 26 February 2016, para. 1093.</w:t>
      </w:r>
    </w:p>
  </w:footnote>
  <w:footnote w:id="648">
    <w:p w:rsidR="00021F98"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CE7082">
        <w:t xml:space="preserve">. </w:t>
      </w:r>
      <w:r w:rsidRPr="00AC2168">
        <w:t>1090.</w:t>
      </w:r>
    </w:p>
  </w:footnote>
  <w:footnote w:id="649">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650">
    <w:p w:rsidR="00021F98" w:rsidRDefault="00021F98" w:rsidP="00C52695">
      <w:pPr>
        <w:pStyle w:val="FootnoteText"/>
      </w:pPr>
      <w:r>
        <w:rPr>
          <w:rStyle w:val="FootnoteReference"/>
        </w:rPr>
        <w:footnoteRef/>
      </w:r>
      <w:r>
        <w:t xml:space="preserve"> </w:t>
      </w:r>
      <w:r>
        <w:tab/>
      </w:r>
      <w:r w:rsidRPr="00AC2168">
        <w:t xml:space="preserve">United Energy, </w:t>
      </w:r>
      <w:r w:rsidRPr="00C3341F">
        <w:rPr>
          <w:rStyle w:val="AERtextitalic"/>
        </w:rPr>
        <w:t>Submission on AER preliminary determination - Submission on gamma</w:t>
      </w:r>
      <w:r w:rsidRPr="00AC2168">
        <w:t xml:space="preserve">, 26 April 2016; Australian Competition Tribunal, </w:t>
      </w:r>
      <w:r w:rsidRPr="00C3341F">
        <w:rPr>
          <w:rStyle w:val="AERtextitalic"/>
        </w:rPr>
        <w:t>Application by Public Interest Advocacy Centre Ltd and Ausgrid [2016] ACompT 1</w:t>
      </w:r>
      <w:r w:rsidRPr="00AC2168">
        <w:t>, 26 February 2016, para. 1100.</w:t>
      </w:r>
    </w:p>
  </w:footnote>
  <w:footnote w:id="651">
    <w:p w:rsidR="00021F98" w:rsidRDefault="00021F98" w:rsidP="00C52695">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652">
    <w:p w:rsidR="00021F98" w:rsidRDefault="00021F98" w:rsidP="00C52695">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w:t>
      </w:r>
    </w:p>
  </w:footnote>
  <w:footnote w:id="653">
    <w:p w:rsidR="00021F98" w:rsidRDefault="00021F98" w:rsidP="00C52695">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654">
    <w:p w:rsidR="00021F98" w:rsidRDefault="00021F98" w:rsidP="00C52695">
      <w:pPr>
        <w:pStyle w:val="FootnoteText"/>
      </w:pPr>
      <w:r>
        <w:rPr>
          <w:rStyle w:val="FootnoteReference"/>
        </w:rPr>
        <w:footnoteRef/>
      </w:r>
      <w:r>
        <w:t xml:space="preserve"> </w:t>
      </w:r>
      <w:r>
        <w:tab/>
      </w:r>
      <w:r w:rsidRPr="00506F9B">
        <w:t xml:space="preserve">M. Lally, </w:t>
      </w:r>
      <w:r w:rsidRPr="00506F9B">
        <w:rPr>
          <w:rStyle w:val="AERtextitalic"/>
        </w:rPr>
        <w:t>Gamma and the ACT Decision</w:t>
      </w:r>
      <w:r w:rsidRPr="00506F9B">
        <w:t>, May 2016, p. </w:t>
      </w:r>
      <w:r>
        <w:t>20</w:t>
      </w:r>
      <w:r w:rsidRPr="00506F9B">
        <w:t>.</w:t>
      </w:r>
    </w:p>
  </w:footnote>
  <w:footnote w:id="655">
    <w:p w:rsidR="00021F98" w:rsidRDefault="00021F98" w:rsidP="00C52695">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2370AA">
        <w:t xml:space="preserve"> </w:t>
      </w:r>
    </w:p>
  </w:footnote>
  <w:footnote w:id="656">
    <w:p w:rsidR="00021F98" w:rsidRDefault="00021F9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 xml:space="preserve">Frontier, </w:t>
      </w:r>
      <w:r w:rsidRPr="00FE3642">
        <w:rPr>
          <w:rStyle w:val="AERtextitalic"/>
        </w:rPr>
        <w:t>The appropriate use of tax statistics when estimating gamma</w:t>
      </w:r>
      <w:r w:rsidRPr="00312B47">
        <w:t>, January 2016, p. </w:t>
      </w:r>
      <w:r>
        <w:t>31.</w:t>
      </w:r>
    </w:p>
  </w:footnote>
  <w:footnote w:id="657">
    <w:p w:rsidR="00021F98" w:rsidRDefault="00021F98" w:rsidP="00C52695">
      <w:pPr>
        <w:pStyle w:val="FootnoteText"/>
      </w:pPr>
      <w:r>
        <w:rPr>
          <w:rStyle w:val="FootnoteReference"/>
        </w:rPr>
        <w:footnoteRef/>
      </w:r>
      <w:r>
        <w:t xml:space="preserve"> </w:t>
      </w:r>
      <w:r>
        <w:tab/>
      </w:r>
      <w:r w:rsidRPr="00AC2168">
        <w:t xml:space="preserve">Australian Competition Tribunal, </w:t>
      </w:r>
      <w:r w:rsidRPr="00C3341F">
        <w:rPr>
          <w:rStyle w:val="AERtextitalic"/>
        </w:rPr>
        <w:t>Application by Public Interest Advocacy Centre Ltd and Ausgrid [2016] ACompT 1</w:t>
      </w:r>
      <w:r w:rsidRPr="00AC2168">
        <w:t>, 26 February 2016, paras. 1048, 1090 and 1095.</w:t>
      </w:r>
    </w:p>
  </w:footnote>
  <w:footnote w:id="658">
    <w:p w:rsidR="00021F98" w:rsidRDefault="00021F98" w:rsidP="00BC1E8B">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 xml:space="preserve">January 2016, p. 10; Frontier Economics, </w:t>
      </w:r>
      <w:r>
        <w:rPr>
          <w:rStyle w:val="AERtextitalic"/>
        </w:rPr>
        <w:t xml:space="preserve">Issues in the estimation of gamma, Report prepared for AGN, Multinet Gas, AusNet Transmission and AusNet Gas, </w:t>
      </w:r>
      <w:r w:rsidRPr="004423C9">
        <w:rPr>
          <w:rStyle w:val="AERtextitalic"/>
          <w:i w:val="0"/>
        </w:rPr>
        <w:t>September 2016, p. 3.</w:t>
      </w:r>
    </w:p>
  </w:footnote>
  <w:footnote w:id="659">
    <w:p w:rsidR="00021F98" w:rsidRDefault="00021F98" w:rsidP="00C03DF6">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193</w:t>
      </w:r>
      <w:r w:rsidRPr="008F5D24">
        <w:t>.</w:t>
      </w:r>
    </w:p>
  </w:footnote>
  <w:footnote w:id="660">
    <w:p w:rsidR="00021F98" w:rsidRDefault="00021F98" w:rsidP="00177813">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20; M. Lally, </w:t>
      </w:r>
      <w:r w:rsidRPr="00FE3642">
        <w:rPr>
          <w:rStyle w:val="AERtextitalic"/>
        </w:rPr>
        <w:t>Issues in the estimation of gamma</w:t>
      </w:r>
      <w:r>
        <w:t>, April 2017</w:t>
      </w:r>
      <w:r w:rsidRPr="00D7695B">
        <w:rPr>
          <w:rStyle w:val="AERtextitalic"/>
          <w:i w:val="0"/>
        </w:rPr>
        <w:t>, p. 24.</w:t>
      </w:r>
    </w:p>
  </w:footnote>
  <w:footnote w:id="661">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662">
    <w:p w:rsidR="00021F98" w:rsidRPr="001224E1" w:rsidRDefault="00021F98" w:rsidP="00E8528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3A0C07">
        <w:rPr>
          <w:rStyle w:val="AERtextitalic"/>
          <w:i w:val="0"/>
        </w:rPr>
        <w:t>1</w:t>
      </w:r>
      <w:r w:rsidRPr="00DC0074">
        <w:rPr>
          <w:rStyle w:val="AERtextitalic"/>
          <w:i w:val="0"/>
        </w:rPr>
        <w:t>3</w:t>
      </w:r>
      <w:r w:rsidRPr="00D7695B">
        <w:rPr>
          <w:rStyle w:val="AERtextitalic"/>
          <w:i w:val="0"/>
        </w:rPr>
        <w:t>, 24</w:t>
      </w:r>
      <w:r>
        <w:rPr>
          <w:rStyle w:val="AERtextitalic"/>
        </w:rPr>
        <w:t xml:space="preserve">; </w:t>
      </w:r>
      <w:r>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0248B">
        <w:t>para</w:t>
      </w:r>
      <w:r>
        <w:t>s. </w:t>
      </w:r>
      <w:r w:rsidRPr="00E0248B">
        <w:t>10</w:t>
      </w:r>
      <w:r>
        <w:t>66, 10</w:t>
      </w:r>
      <w:r w:rsidRPr="00E0248B">
        <w:t>93,</w:t>
      </w:r>
      <w:r>
        <w:t xml:space="preserve"> </w:t>
      </w:r>
      <w:r w:rsidRPr="00E0248B">
        <w:t>1095</w:t>
      </w:r>
      <w:r>
        <w:t>.</w:t>
      </w:r>
    </w:p>
  </w:footnote>
  <w:footnote w:id="663">
    <w:p w:rsidR="00021F98" w:rsidRPr="001224E1" w:rsidRDefault="00021F98" w:rsidP="00BF2DCE">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3A0C07">
        <w:rPr>
          <w:rStyle w:val="AERtextitalic"/>
          <w:i w:val="0"/>
        </w:rPr>
        <w:t>1</w:t>
      </w:r>
      <w:r w:rsidRPr="00DC0074">
        <w:rPr>
          <w:rStyle w:val="AERtextitalic"/>
          <w:i w:val="0"/>
        </w:rPr>
        <w:t>3</w:t>
      </w:r>
      <w:r w:rsidRPr="002D6646">
        <w:rPr>
          <w:rStyle w:val="AERtextitalic"/>
          <w:i w:val="0"/>
        </w:rPr>
        <w:t>.</w:t>
      </w:r>
    </w:p>
  </w:footnote>
  <w:footnote w:id="664">
    <w:p w:rsidR="00021F98" w:rsidRPr="00E24154" w:rsidRDefault="00021F98" w:rsidP="00BC1E8B">
      <w:pPr>
        <w:pStyle w:val="FootnoteText"/>
      </w:pPr>
      <w:r>
        <w:rPr>
          <w:rStyle w:val="FootnoteReference"/>
        </w:rPr>
        <w:footnoteRef/>
      </w:r>
      <w:r>
        <w:t xml:space="preserve"> </w:t>
      </w:r>
      <w:r>
        <w:tab/>
        <w:t xml:space="preserve">M. Lally, </w:t>
      </w:r>
      <w:r w:rsidRPr="00FE3642">
        <w:rPr>
          <w:rStyle w:val="AERtextitalic"/>
        </w:rPr>
        <w:t>Issues in the estimation of gamma</w:t>
      </w:r>
      <w:r>
        <w:t>, April 2017</w:t>
      </w:r>
      <w:r w:rsidRPr="00D7695B">
        <w:rPr>
          <w:rStyle w:val="AERtextitalic"/>
          <w:i w:val="0"/>
        </w:rPr>
        <w:t xml:space="preserve">, </w:t>
      </w:r>
      <w:r w:rsidRPr="00BC1E8B">
        <w:rPr>
          <w:rStyle w:val="AERtextitalic"/>
          <w:i w:val="0"/>
        </w:rPr>
        <w:t>p</w:t>
      </w:r>
      <w:r w:rsidRPr="004423C9">
        <w:rPr>
          <w:rStyle w:val="AERtextitalic"/>
          <w:i w:val="0"/>
        </w:rPr>
        <w:t>p</w:t>
      </w:r>
      <w:r w:rsidRPr="00BC1E8B">
        <w:rPr>
          <w:rStyle w:val="AERtextitalic"/>
          <w:i w:val="0"/>
        </w:rPr>
        <w:t>. </w:t>
      </w:r>
      <w:r w:rsidRPr="004423C9">
        <w:rPr>
          <w:rStyle w:val="AERtextitalic"/>
          <w:i w:val="0"/>
        </w:rPr>
        <w:t>13, 24</w:t>
      </w:r>
      <w:r w:rsidRPr="00BC1E8B">
        <w:rPr>
          <w:rStyle w:val="AERtextitalic"/>
          <w:i w:val="0"/>
        </w:rPr>
        <w:t>.</w:t>
      </w:r>
    </w:p>
  </w:footnote>
  <w:footnote w:id="665">
    <w:p w:rsidR="00021F98" w:rsidRDefault="00021F98" w:rsidP="004741BD">
      <w:pPr>
        <w:pStyle w:val="FootnoteText"/>
      </w:pPr>
      <w:r>
        <w:rPr>
          <w:rStyle w:val="FootnoteReference"/>
        </w:rPr>
        <w:footnoteRef/>
      </w:r>
      <w:r>
        <w:t xml:space="preserve"> </w:t>
      </w:r>
      <w:r>
        <w:tab/>
        <w:t xml:space="preserve">M. Lally, </w:t>
      </w:r>
      <w:r w:rsidRPr="00EF4AD5">
        <w:rPr>
          <w:rStyle w:val="AERtextitalic"/>
        </w:rPr>
        <w:t>Issues in the estimation of gamma</w:t>
      </w:r>
      <w:r>
        <w:t>, April 2017</w:t>
      </w:r>
      <w:r w:rsidRPr="004423C9">
        <w:rPr>
          <w:rStyle w:val="AERtextitalic"/>
          <w:i w:val="0"/>
        </w:rPr>
        <w:t>, pp. 13, 24.</w:t>
      </w:r>
    </w:p>
  </w:footnote>
  <w:footnote w:id="666">
    <w:p w:rsidR="00021F98" w:rsidRDefault="00021F98" w:rsidP="00C52695">
      <w:pPr>
        <w:pStyle w:val="FootnoteText"/>
      </w:pPr>
      <w:r>
        <w:rPr>
          <w:rStyle w:val="FootnoteReference"/>
        </w:rPr>
        <w:footnoteRef/>
      </w:r>
      <w:r>
        <w:t xml:space="preserve"> </w:t>
      </w:r>
      <w:r>
        <w:tab/>
      </w:r>
      <w:r w:rsidRPr="004635C5">
        <w:t xml:space="preserve">Lally, </w:t>
      </w:r>
      <w:r w:rsidRPr="005764F6">
        <w:rPr>
          <w:rStyle w:val="AERtextitalic"/>
        </w:rPr>
        <w:t>Gamma and the ACT Decision</w:t>
      </w:r>
      <w:r w:rsidRPr="004635C5">
        <w:t>, May 2016, p. 5.</w:t>
      </w:r>
    </w:p>
  </w:footnote>
  <w:footnote w:id="667">
    <w:p w:rsidR="00021F98" w:rsidRPr="00E750F8" w:rsidRDefault="00021F98" w:rsidP="004741BD">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85A29">
        <w:rPr>
          <w:rStyle w:val="AERtextitalic"/>
          <w:i w:val="0"/>
        </w:rPr>
        <w:t xml:space="preserve">September 2016, </w:t>
      </w:r>
      <w:r w:rsidRPr="004741BD">
        <w:rPr>
          <w:rStyle w:val="AERtextitalic"/>
          <w:i w:val="0"/>
        </w:rPr>
        <w:t>p</w:t>
      </w:r>
      <w:r w:rsidRPr="004423C9">
        <w:rPr>
          <w:rStyle w:val="AERtextitalic"/>
          <w:i w:val="0"/>
        </w:rPr>
        <w:t>p</w:t>
      </w:r>
      <w:r w:rsidRPr="004741BD">
        <w:rPr>
          <w:rStyle w:val="AERtextitalic"/>
          <w:i w:val="0"/>
        </w:rPr>
        <w:t>. 3-4</w:t>
      </w:r>
      <w:r w:rsidRPr="004423C9">
        <w:rPr>
          <w:rStyle w:val="AERtextitalic"/>
          <w:i w:val="0"/>
        </w:rPr>
        <w:t>, 12-15</w:t>
      </w:r>
      <w:r>
        <w:rPr>
          <w:rStyle w:val="AERtextitalic"/>
        </w:rPr>
        <w:t xml:space="preserve">; </w:t>
      </w:r>
      <w:r>
        <w:t xml:space="preserve">AusNet Transmission, </w:t>
      </w:r>
      <w:r>
        <w:rPr>
          <w:rStyle w:val="AERtextitalic"/>
        </w:rPr>
        <w:t>Transmission Revenue Proposal Review 2017-2022, Revised Revenue Proposal</w:t>
      </w:r>
      <w:r>
        <w:t>, 21 September 2016, p. 210.</w:t>
      </w:r>
    </w:p>
  </w:footnote>
  <w:footnote w:id="668">
    <w:p w:rsidR="00021F98" w:rsidRPr="00025FF7" w:rsidRDefault="00021F98" w:rsidP="004741BD">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741BD">
        <w:rPr>
          <w:rStyle w:val="AERtextitalic"/>
          <w:i w:val="0"/>
        </w:rPr>
        <w:t>September 2016, p</w:t>
      </w:r>
      <w:r w:rsidRPr="004423C9">
        <w:rPr>
          <w:rStyle w:val="AERtextitalic"/>
          <w:i w:val="0"/>
        </w:rPr>
        <w:t>p</w:t>
      </w:r>
      <w:r w:rsidRPr="004741BD">
        <w:rPr>
          <w:rStyle w:val="AERtextitalic"/>
          <w:i w:val="0"/>
        </w:rPr>
        <w:t>. 3-4</w:t>
      </w:r>
      <w:r w:rsidRPr="004423C9">
        <w:rPr>
          <w:rStyle w:val="AERtextitalic"/>
          <w:i w:val="0"/>
        </w:rPr>
        <w:t>, 14-15.</w:t>
      </w:r>
    </w:p>
  </w:footnote>
  <w:footnote w:id="669">
    <w:p w:rsidR="00021F98" w:rsidRPr="00574CB8" w:rsidRDefault="00021F98" w:rsidP="00574CB8">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025FF7">
        <w:rPr>
          <w:rStyle w:val="AERtextitalic"/>
          <w:i w:val="0"/>
        </w:rPr>
        <w:t xml:space="preserve">September 2016, </w:t>
      </w:r>
      <w:r w:rsidRPr="00574CB8">
        <w:rPr>
          <w:rStyle w:val="AERtextitalic"/>
          <w:i w:val="0"/>
        </w:rPr>
        <w:t>p</w:t>
      </w:r>
      <w:r w:rsidRPr="007A4EAF">
        <w:rPr>
          <w:rStyle w:val="AERtextitalic"/>
          <w:i w:val="0"/>
        </w:rPr>
        <w:t>p</w:t>
      </w:r>
      <w:r w:rsidRPr="00574CB8">
        <w:rPr>
          <w:rStyle w:val="AERtextitalic"/>
          <w:i w:val="0"/>
        </w:rPr>
        <w:t>. 3-4</w:t>
      </w:r>
      <w:r w:rsidRPr="007A4EAF">
        <w:rPr>
          <w:rStyle w:val="AERtextitalic"/>
          <w:i w:val="0"/>
        </w:rPr>
        <w:t>.</w:t>
      </w:r>
    </w:p>
  </w:footnote>
  <w:footnote w:id="670">
    <w:p w:rsidR="00021F98" w:rsidRPr="00E750F8" w:rsidRDefault="00021F98" w:rsidP="00D32E5E">
      <w:pPr>
        <w:pStyle w:val="FootnoteText"/>
        <w:rPr>
          <w:rStyle w:val="AERtextitalic"/>
          <w:i w:val="0"/>
        </w:rPr>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E73A9E">
        <w:rPr>
          <w:rStyle w:val="AERtextitalic"/>
          <w:i w:val="0"/>
        </w:rPr>
        <w:t>September 2013, p. 5.</w:t>
      </w:r>
    </w:p>
  </w:footnote>
  <w:footnote w:id="671">
    <w:p w:rsidR="00021F98" w:rsidRPr="00970F7A" w:rsidRDefault="00021F98" w:rsidP="00187ED0">
      <w:pPr>
        <w:pStyle w:val="FootnoteText"/>
        <w:rPr>
          <w:rStyle w:val="AERtextitalic"/>
          <w:i w:val="0"/>
        </w:rPr>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970F7A">
        <w:rPr>
          <w:rStyle w:val="AERtextitalic"/>
          <w:i w:val="0"/>
        </w:rPr>
        <w:t>September 2013, p. </w:t>
      </w:r>
      <w:r w:rsidRPr="00E73A9E">
        <w:rPr>
          <w:rStyle w:val="AERtextitalic"/>
          <w:i w:val="0"/>
        </w:rPr>
        <w:t>39</w:t>
      </w:r>
      <w:r w:rsidRPr="00970F7A">
        <w:rPr>
          <w:rStyle w:val="AERtextitalic"/>
          <w:i w:val="0"/>
        </w:rPr>
        <w:t>.</w:t>
      </w:r>
    </w:p>
  </w:footnote>
  <w:footnote w:id="672">
    <w:p w:rsidR="00021F98" w:rsidRDefault="00021F98" w:rsidP="0023036D">
      <w:pPr>
        <w:pStyle w:val="FootnoteText"/>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D20596">
        <w:rPr>
          <w:rStyle w:val="AERtextitalic"/>
          <w:i w:val="0"/>
        </w:rPr>
        <w:t>September 2013, p. 39</w:t>
      </w:r>
      <w:r w:rsidRPr="0023036D">
        <w:rPr>
          <w:rStyle w:val="AERtextitalic"/>
        </w:rPr>
        <w:t>.</w:t>
      </w:r>
    </w:p>
  </w:footnote>
  <w:footnote w:id="673">
    <w:p w:rsidR="00021F98" w:rsidRDefault="00021F98" w:rsidP="005A1971">
      <w:pPr>
        <w:pStyle w:val="FootnoteText"/>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D20596">
        <w:rPr>
          <w:rStyle w:val="AERtextitalic"/>
          <w:i w:val="0"/>
        </w:rPr>
        <w:t>September 2013, p. 39.</w:t>
      </w:r>
    </w:p>
  </w:footnote>
  <w:footnote w:id="674">
    <w:p w:rsidR="00021F98" w:rsidRPr="001224E1" w:rsidRDefault="00021F98" w:rsidP="00E24154">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E24154">
        <w:rPr>
          <w:rStyle w:val="AERtextitalic"/>
          <w:i w:val="0"/>
        </w:rPr>
        <w:t>p</w:t>
      </w:r>
      <w:r w:rsidRPr="00D7695B">
        <w:rPr>
          <w:rStyle w:val="AERtextitalic"/>
          <w:i w:val="0"/>
        </w:rPr>
        <w:t>p</w:t>
      </w:r>
      <w:r w:rsidRPr="00E24154">
        <w:rPr>
          <w:rStyle w:val="AERtextitalic"/>
          <w:i w:val="0"/>
        </w:rPr>
        <w:t>. 13</w:t>
      </w:r>
      <w:r w:rsidRPr="00D7695B">
        <w:rPr>
          <w:rStyle w:val="AERtextitalic"/>
          <w:i w:val="0"/>
        </w:rPr>
        <w:t>, 24</w:t>
      </w:r>
      <w:r w:rsidRPr="00E24154">
        <w:rPr>
          <w:rStyle w:val="AERtextitalic"/>
          <w:i w:val="0"/>
        </w:rPr>
        <w:t>.</w:t>
      </w:r>
    </w:p>
  </w:footnote>
  <w:footnote w:id="675">
    <w:p w:rsidR="00021F98" w:rsidRPr="00E24154" w:rsidRDefault="00021F98" w:rsidP="00E24154">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E24154">
        <w:rPr>
          <w:rStyle w:val="AERtextitalic"/>
          <w:i w:val="0"/>
        </w:rPr>
        <w:t>, p</w:t>
      </w:r>
      <w:r w:rsidRPr="00D7695B">
        <w:rPr>
          <w:rStyle w:val="AERtextitalic"/>
          <w:i w:val="0"/>
        </w:rPr>
        <w:t>p</w:t>
      </w:r>
      <w:r w:rsidRPr="00E24154">
        <w:rPr>
          <w:rStyle w:val="AERtextitalic"/>
          <w:i w:val="0"/>
        </w:rPr>
        <w:t>. 13</w:t>
      </w:r>
      <w:r w:rsidRPr="00D7695B">
        <w:rPr>
          <w:rStyle w:val="AERtextitalic"/>
          <w:i w:val="0"/>
        </w:rPr>
        <w:t>, 24</w:t>
      </w:r>
      <w:r w:rsidRPr="00E24154">
        <w:rPr>
          <w:rStyle w:val="AERtextitalic"/>
          <w:i w:val="0"/>
        </w:rPr>
        <w:t>.</w:t>
      </w:r>
    </w:p>
  </w:footnote>
  <w:footnote w:id="676">
    <w:p w:rsidR="00021F98" w:rsidRPr="007C48E7" w:rsidRDefault="00021F98" w:rsidP="00E24154">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w:t>
      </w:r>
      <w:r w:rsidRPr="007C48E7">
        <w:rPr>
          <w:rStyle w:val="AERtextitalic"/>
          <w:i w:val="0"/>
        </w:rPr>
        <w:t xml:space="preserve"> p</w:t>
      </w:r>
      <w:r w:rsidRPr="00D7695B">
        <w:rPr>
          <w:rStyle w:val="AERtextitalic"/>
          <w:i w:val="0"/>
        </w:rPr>
        <w:t>p</w:t>
      </w:r>
      <w:r w:rsidRPr="007C48E7">
        <w:rPr>
          <w:rStyle w:val="AERtextitalic"/>
          <w:i w:val="0"/>
        </w:rPr>
        <w:t>. 1</w:t>
      </w:r>
      <w:r w:rsidRPr="000F2FCF">
        <w:rPr>
          <w:rStyle w:val="AERtextitalic"/>
          <w:i w:val="0"/>
        </w:rPr>
        <w:t>3</w:t>
      </w:r>
      <w:r w:rsidRPr="00D7695B">
        <w:rPr>
          <w:rStyle w:val="AERtextitalic"/>
          <w:i w:val="0"/>
        </w:rPr>
        <w:t>, 24</w:t>
      </w:r>
      <w:r w:rsidRPr="00E24154">
        <w:rPr>
          <w:rStyle w:val="AERtextitalic"/>
          <w:i w:val="0"/>
        </w:rPr>
        <w:t>.</w:t>
      </w:r>
    </w:p>
  </w:footnote>
  <w:footnote w:id="677">
    <w:p w:rsidR="00021F98"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1090.</w:t>
      </w:r>
    </w:p>
  </w:footnote>
  <w:footnote w:id="678">
    <w:p w:rsidR="00021F98"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679">
    <w:p w:rsidR="00021F98" w:rsidRPr="00EB7A6C"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680">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681">
    <w:p w:rsidR="00021F98" w:rsidRDefault="00021F98" w:rsidP="00E10FAC">
      <w:pPr>
        <w:pStyle w:val="FootnoteText"/>
      </w:pPr>
      <w:r>
        <w:rPr>
          <w:rStyle w:val="FootnoteReference"/>
        </w:rPr>
        <w:footnoteRef/>
      </w:r>
      <w:r>
        <w:t xml:space="preserve"> </w:t>
      </w:r>
      <w:r>
        <w:tab/>
      </w:r>
      <w:r w:rsidRPr="00645287">
        <w:t xml:space="preserve">Lally, </w:t>
      </w:r>
      <w:r w:rsidRPr="00E64E9B">
        <w:rPr>
          <w:rStyle w:val="AERtextitalic"/>
        </w:rPr>
        <w:t>Gamma and the ACT Decision</w:t>
      </w:r>
      <w:r w:rsidRPr="00645287">
        <w:t>, May 2016, p. 5</w:t>
      </w:r>
      <w:r>
        <w:t xml:space="preserve">; M. Lally, </w:t>
      </w:r>
      <w:r w:rsidRPr="00E750F8">
        <w:rPr>
          <w:rStyle w:val="AERtextitalic"/>
        </w:rPr>
        <w:t>Issues in the estimation of gamma</w:t>
      </w:r>
      <w:r>
        <w:t>, April 2017</w:t>
      </w:r>
      <w:r w:rsidRPr="006A200A">
        <w:rPr>
          <w:rStyle w:val="AERtextitalic"/>
          <w:i w:val="0"/>
        </w:rPr>
        <w:t>, pp. 27, 2</w:t>
      </w:r>
      <w:r w:rsidRPr="002915B0">
        <w:rPr>
          <w:rStyle w:val="AERtextitalic"/>
          <w:i w:val="0"/>
        </w:rPr>
        <w:t>9.</w:t>
      </w:r>
    </w:p>
  </w:footnote>
  <w:footnote w:id="682">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683">
    <w:p w:rsidR="00021F98" w:rsidRPr="00EB7A6C"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684">
    <w:p w:rsidR="00021F98" w:rsidRDefault="00021F98">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6</w:t>
      </w:r>
      <w:r w:rsidRPr="00B86472">
        <w:t>.</w:t>
      </w:r>
    </w:p>
  </w:footnote>
  <w:footnote w:id="685">
    <w:p w:rsidR="00021F98" w:rsidRDefault="00021F98" w:rsidP="00C52695">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686">
    <w:p w:rsidR="00021F98" w:rsidRDefault="00021F98" w:rsidP="00C52695">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687">
    <w:p w:rsidR="00021F98" w:rsidRDefault="00021F98" w:rsidP="00C52695">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688">
    <w:p w:rsidR="00021F98" w:rsidRDefault="00021F98" w:rsidP="00C52695">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689">
    <w:p w:rsidR="00021F98" w:rsidRDefault="00021F98" w:rsidP="00C52695">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690">
    <w:p w:rsidR="00021F98" w:rsidRDefault="00021F98" w:rsidP="00C52695">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691">
    <w:p w:rsidR="00021F98" w:rsidRDefault="00021F98" w:rsidP="00C52695">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rsidRPr="003A3A99">
        <w:t>, March 2004.</w:t>
      </w:r>
    </w:p>
  </w:footnote>
  <w:footnote w:id="692">
    <w:p w:rsidR="00021F98" w:rsidRDefault="00021F98" w:rsidP="00C52695">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w:t>
      </w:r>
    </w:p>
  </w:footnote>
  <w:footnote w:id="693">
    <w:p w:rsidR="00021F98" w:rsidRDefault="00021F98" w:rsidP="00C52695">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694">
    <w:p w:rsidR="00021F98" w:rsidRDefault="00021F98" w:rsidP="00C52695">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695">
    <w:p w:rsidR="00021F98" w:rsidRDefault="00021F98" w:rsidP="00C52695">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696">
    <w:p w:rsidR="00021F98" w:rsidRDefault="00021F98" w:rsidP="00C52695">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697">
    <w:p w:rsidR="00021F98" w:rsidRDefault="00021F98" w:rsidP="00C52695">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698">
    <w:p w:rsidR="00021F98" w:rsidRDefault="00021F98" w:rsidP="00C52695">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699">
    <w:p w:rsidR="00021F98" w:rsidRDefault="00021F98" w:rsidP="00C52695">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700">
    <w:p w:rsidR="00021F98" w:rsidRDefault="00021F98" w:rsidP="00C52695">
      <w:pPr>
        <w:pStyle w:val="FootnoteText"/>
      </w:pPr>
      <w:r>
        <w:rPr>
          <w:rStyle w:val="FootnoteReference"/>
        </w:rPr>
        <w:footnoteRef/>
      </w:r>
      <w:r>
        <w:t xml:space="preserve"> </w:t>
      </w:r>
      <w:r>
        <w:tab/>
        <w:t xml:space="preserve">K. Siau, S. Sault and G. Warren, 'Are imputation credits capitalised into stock prices', </w:t>
      </w:r>
      <w:r>
        <w:rPr>
          <w:rStyle w:val="AERtextitalic"/>
        </w:rPr>
        <w:t xml:space="preserve">ANU </w:t>
      </w:r>
      <w:r w:rsidRPr="00647825">
        <w:rPr>
          <w:rStyle w:val="AERtextitalic"/>
        </w:rPr>
        <w:t>working paper</w:t>
      </w:r>
      <w:r w:rsidRPr="00647825">
        <w:t>,</w:t>
      </w:r>
      <w:r>
        <w:t xml:space="preserve"> 18 June 2013.</w:t>
      </w:r>
    </w:p>
  </w:footnote>
  <w:footnote w:id="701">
    <w:p w:rsidR="00021F98" w:rsidRDefault="00021F98" w:rsidP="00C52695">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702">
    <w:p w:rsidR="00021F98" w:rsidRDefault="00021F98" w:rsidP="00C52695">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w:t>
      </w:r>
    </w:p>
  </w:footnote>
  <w:footnote w:id="703">
    <w:p w:rsidR="00021F98" w:rsidRDefault="00021F98" w:rsidP="00C52695">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704">
    <w:p w:rsidR="00021F98" w:rsidRDefault="00021F98" w:rsidP="00C52695">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rPr>
        <w:t xml:space="preserve">Paper presented at the Accounting Association of Australia and New Zealand Annual Conference, Wellington, </w:t>
      </w:r>
      <w:r w:rsidRPr="009C64A5">
        <w:t>2001.</w:t>
      </w:r>
    </w:p>
  </w:footnote>
  <w:footnote w:id="705">
    <w:p w:rsidR="00021F98" w:rsidRDefault="00021F98" w:rsidP="00C52695">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706">
    <w:p w:rsidR="00021F98" w:rsidRDefault="00021F98" w:rsidP="00C52695">
      <w:pPr>
        <w:pStyle w:val="FootnoteText"/>
      </w:pPr>
      <w:r>
        <w:rPr>
          <w:rStyle w:val="FootnoteReference"/>
        </w:rPr>
        <w:footnoteRef/>
      </w:r>
      <w:r>
        <w:t xml:space="preserve"> </w:t>
      </w:r>
      <w:r>
        <w:tab/>
      </w:r>
      <w:r w:rsidRPr="00D064B9">
        <w:t xml:space="preserve">AusNet Transmission, </w:t>
      </w:r>
      <w:r w:rsidRPr="00D064B9">
        <w:rPr>
          <w:rStyle w:val="AERtextitalic"/>
        </w:rPr>
        <w:t>Transmission Revenue Review 2017-2022</w:t>
      </w:r>
      <w:r w:rsidRPr="00D064B9">
        <w:t>, October 2015, p. </w:t>
      </w:r>
      <w:r>
        <w:t xml:space="preserve">306; Australian Gas Networks, </w:t>
      </w:r>
      <w:r>
        <w:rPr>
          <w:rStyle w:val="AERtextitalic"/>
        </w:rPr>
        <w:t>Attachment 11 Response to Draft Decision: Cost of Tax</w:t>
      </w:r>
      <w:r>
        <w:t xml:space="preserve">, January 2016, p. 20; ActewAGL, </w:t>
      </w:r>
      <w:r w:rsidRPr="00AF5B33">
        <w:rPr>
          <w:rStyle w:val="AERtextitalic"/>
        </w:rPr>
        <w:t>Appendix 5.01 Detailed response to rate of return, gamma and inflation</w:t>
      </w:r>
      <w:r>
        <w:t xml:space="preserve">, January 2016, p. 126;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373; Jemena Electricity Networks, </w:t>
      </w:r>
      <w:r w:rsidRPr="00AF5B33">
        <w:rPr>
          <w:rStyle w:val="AERtextitalic"/>
        </w:rPr>
        <w:t>Attachment 6-1 Rate of return, gamma, forecast inflation, and debt and equity raising costs</w:t>
      </w:r>
      <w:r>
        <w:t xml:space="preserve">, January 2016, p. 102; Powercor, </w:t>
      </w:r>
      <w:r w:rsidRPr="00AF5B33">
        <w:rPr>
          <w:rStyle w:val="AERtextitalic"/>
        </w:rPr>
        <w:t>Revised Regulatory Proposal 2016-2020</w:t>
      </w:r>
      <w:r>
        <w:t>, January 2016, p. 367.</w:t>
      </w:r>
    </w:p>
  </w:footnote>
  <w:footnote w:id="707">
    <w:p w:rsidR="00021F98" w:rsidRDefault="00021F9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1092.</w:t>
      </w:r>
    </w:p>
  </w:footnote>
  <w:footnote w:id="708">
    <w:p w:rsidR="00021F98" w:rsidRDefault="00021F98" w:rsidP="00DA4BFB">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6</w:t>
      </w:r>
      <w:r w:rsidRPr="00B86472">
        <w:t>.</w:t>
      </w:r>
    </w:p>
  </w:footnote>
  <w:footnote w:id="709">
    <w:p w:rsidR="00021F98" w:rsidRDefault="00021F98" w:rsidP="00C52695">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710">
    <w:p w:rsidR="00021F98" w:rsidRDefault="00021F98" w:rsidP="00C52695">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711">
    <w:p w:rsidR="00021F98" w:rsidRDefault="00021F98" w:rsidP="00C52695">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712">
    <w:p w:rsidR="00021F98" w:rsidRDefault="00021F98" w:rsidP="00C52695">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713">
    <w:p w:rsidR="00021F98" w:rsidRDefault="00021F98" w:rsidP="00C52695">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714">
    <w:p w:rsidR="00021F98" w:rsidRDefault="00021F98" w:rsidP="00C52695">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715">
    <w:p w:rsidR="00021F98" w:rsidRDefault="00021F98" w:rsidP="00C52695">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t>, March 2004, pp. 5 and 21.</w:t>
      </w:r>
    </w:p>
  </w:footnote>
  <w:footnote w:id="716">
    <w:p w:rsidR="00021F98" w:rsidRDefault="00021F98" w:rsidP="00C52695">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 p. 27.</w:t>
      </w:r>
    </w:p>
  </w:footnote>
  <w:footnote w:id="717">
    <w:p w:rsidR="00021F98" w:rsidRDefault="00021F98" w:rsidP="00C52695">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718">
    <w:p w:rsidR="00021F98" w:rsidRDefault="00021F98"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719">
    <w:p w:rsidR="00021F98" w:rsidRDefault="00021F98">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 xml:space="preserve">6, p. 6; AusNet Transmission, </w:t>
      </w:r>
      <w:r>
        <w:rPr>
          <w:rStyle w:val="AERtextitalic"/>
        </w:rPr>
        <w:t>Transmission Revenue Proposal Review 2017-2022, Revised Revenue Proposal</w:t>
      </w:r>
      <w:r>
        <w:t>, 21 September 2016, pp. 209, 212.</w:t>
      </w:r>
    </w:p>
  </w:footnote>
  <w:footnote w:id="720">
    <w:p w:rsidR="00021F98" w:rsidRDefault="00021F98">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 209; Frontier, </w:t>
      </w:r>
      <w:r>
        <w:rPr>
          <w:rStyle w:val="AERtextitalic"/>
        </w:rPr>
        <w:t>An updated dividend drop-off estimate of theta: Report prepared for AGN, MultiNet Gas, AusNet Transmission, AusNet Gas Distribution and TransGrid</w:t>
      </w:r>
      <w:r>
        <w:t>, September</w:t>
      </w:r>
      <w:r w:rsidRPr="00B86472">
        <w:t xml:space="preserve"> 201</w:t>
      </w:r>
      <w:r>
        <w:t>6</w:t>
      </w:r>
      <w:r w:rsidRPr="00B86472">
        <w:t>.</w:t>
      </w:r>
    </w:p>
  </w:footnote>
  <w:footnote w:id="721">
    <w:p w:rsidR="00021F98" w:rsidRPr="00037690" w:rsidRDefault="00021F98" w:rsidP="00037690">
      <w:pPr>
        <w:pStyle w:val="FootnoteText"/>
        <w:rPr>
          <w:rStyle w:val="AERtextitalic"/>
          <w:i w:val="0"/>
        </w:rPr>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4.</w:t>
      </w:r>
    </w:p>
  </w:footnote>
  <w:footnote w:id="722">
    <w:p w:rsidR="00021F98" w:rsidRDefault="00021F98" w:rsidP="0003769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4.</w:t>
      </w:r>
    </w:p>
  </w:footnote>
  <w:footnote w:id="723">
    <w:p w:rsidR="00021F98" w:rsidRDefault="00021F98" w:rsidP="004A20C0">
      <w:pPr>
        <w:pStyle w:val="FootnoteText"/>
      </w:pPr>
      <w:r>
        <w:rPr>
          <w:rStyle w:val="FootnoteReference"/>
        </w:rPr>
        <w:footnoteRef/>
      </w:r>
      <w:r>
        <w:t xml:space="preserve"> </w:t>
      </w:r>
      <w:r>
        <w:tab/>
        <w:t xml:space="preserve">Due to bid-ask bounce and to unrelated price movement over the cum to ex-day interval, aggravated by the high correlation between the imputation credits and the cash dividend which makes it difficult to identify the impact of only the credits on market prices even if the aggregate effect from the cash dividend and the credit were clear. See: M. Lally, </w:t>
      </w:r>
      <w:r w:rsidRPr="00E750F8">
        <w:rPr>
          <w:rStyle w:val="AERtextitalic"/>
        </w:rPr>
        <w:t>Issues in the estimation of gamma</w:t>
      </w:r>
      <w:r>
        <w:t>, April 2017</w:t>
      </w:r>
      <w:r w:rsidRPr="00037690">
        <w:rPr>
          <w:rStyle w:val="AERtextitalic"/>
          <w:i w:val="0"/>
        </w:rPr>
        <w:t>, p. 4.</w:t>
      </w:r>
    </w:p>
  </w:footnote>
  <w:footnote w:id="724">
    <w:p w:rsidR="00021F98" w:rsidRDefault="00021F98" w:rsidP="0028321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w:t>
      </w:r>
      <w:r w:rsidRPr="00D75E7C">
        <w:rPr>
          <w:rStyle w:val="AERtextitalic"/>
          <w:i w:val="0"/>
        </w:rPr>
        <w:t>5</w:t>
      </w:r>
      <w:r w:rsidRPr="00037690">
        <w:rPr>
          <w:rStyle w:val="AERtextitalic"/>
          <w:i w:val="0"/>
        </w:rPr>
        <w:t>.</w:t>
      </w:r>
    </w:p>
  </w:footnote>
  <w:footnote w:id="725">
    <w:p w:rsidR="00021F98" w:rsidRDefault="00021F98">
      <w:pPr>
        <w:pStyle w:val="FootnoteText"/>
      </w:pPr>
      <w:r>
        <w:rPr>
          <w:rStyle w:val="FootnoteReference"/>
        </w:rPr>
        <w:footnoteRef/>
      </w:r>
      <w:r>
        <w:t xml:space="preserve"> </w:t>
      </w:r>
      <w:r>
        <w:tab/>
        <w:t>Pr</w:t>
      </w:r>
      <w:r w:rsidRPr="00875062">
        <w:rPr>
          <w:lang w:val="en-US"/>
        </w:rPr>
        <w:t>ogressively removing the 20 most extreme pairs of observations comprising the one that exerts the most upward effect on the estimated franking credit coefficient and the one exerting the most downward effect, and rerunning the model after each pair is deleted</w:t>
      </w:r>
      <w:r>
        <w:t>.</w:t>
      </w:r>
    </w:p>
  </w:footnote>
  <w:footnote w:id="726">
    <w:p w:rsidR="00021F98" w:rsidRDefault="00021F98">
      <w:pPr>
        <w:pStyle w:val="FootnoteText"/>
      </w:pPr>
      <w:r>
        <w:rPr>
          <w:rStyle w:val="FootnoteReference"/>
        </w:rPr>
        <w:footnoteRef/>
      </w:r>
      <w:r>
        <w:t xml:space="preserve"> </w:t>
      </w:r>
      <w:r>
        <w:tab/>
        <w:t>P</w:t>
      </w:r>
      <w:r w:rsidRPr="00875062">
        <w:rPr>
          <w:lang w:val="en-US"/>
        </w:rPr>
        <w:t>rogressively removing the 30 most extreme observations in absolute terms, and rerunning the model after each deletion</w:t>
      </w:r>
      <w:r>
        <w:t>.</w:t>
      </w:r>
    </w:p>
  </w:footnote>
  <w:footnote w:id="727">
    <w:p w:rsidR="00021F98" w:rsidRDefault="00021F98" w:rsidP="00875062">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w:t>
      </w:r>
      <w:r w:rsidRPr="00797AF3">
        <w:rPr>
          <w:rStyle w:val="AERtextitalic"/>
          <w:i w:val="0"/>
        </w:rPr>
        <w:t>5</w:t>
      </w:r>
      <w:r w:rsidRPr="00037690">
        <w:rPr>
          <w:rStyle w:val="AERtextitalic"/>
          <w:i w:val="0"/>
        </w:rPr>
        <w:t>.</w:t>
      </w:r>
    </w:p>
  </w:footnote>
  <w:footnote w:id="728">
    <w:p w:rsidR="00021F98" w:rsidRPr="005A48E0" w:rsidRDefault="00021F98" w:rsidP="005A48E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5A48E0">
        <w:rPr>
          <w:rStyle w:val="AERtextitalic"/>
          <w:i w:val="0"/>
        </w:rPr>
        <w:t>, p</w:t>
      </w:r>
      <w:r w:rsidRPr="00D75E7C">
        <w:rPr>
          <w:rStyle w:val="AERtextitalic"/>
          <w:i w:val="0"/>
        </w:rPr>
        <w:t>p</w:t>
      </w:r>
      <w:r w:rsidRPr="005A48E0">
        <w:rPr>
          <w:rStyle w:val="AERtextitalic"/>
          <w:i w:val="0"/>
        </w:rPr>
        <w:t>. 5</w:t>
      </w:r>
      <w:r w:rsidRPr="00D75E7C">
        <w:rPr>
          <w:rStyle w:val="AERtextitalic"/>
          <w:i w:val="0"/>
        </w:rPr>
        <w:t>, 8-9</w:t>
      </w:r>
      <w:r w:rsidRPr="00B449E0">
        <w:rPr>
          <w:rStyle w:val="AERtextitalic"/>
          <w:i w:val="0"/>
        </w:rPr>
        <w:t>.</w:t>
      </w:r>
    </w:p>
  </w:footnote>
  <w:footnote w:id="729">
    <w:p w:rsidR="00021F98" w:rsidRDefault="00021F98" w:rsidP="00FF38EE">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w:t>
      </w:r>
      <w:r w:rsidRPr="00797AF3">
        <w:rPr>
          <w:rStyle w:val="AERtextitalic"/>
          <w:i w:val="0"/>
        </w:rPr>
        <w:t>5</w:t>
      </w:r>
      <w:r w:rsidRPr="00037690">
        <w:rPr>
          <w:rStyle w:val="AERtextitalic"/>
          <w:i w:val="0"/>
        </w:rPr>
        <w:t>.</w:t>
      </w:r>
    </w:p>
  </w:footnote>
  <w:footnote w:id="730">
    <w:p w:rsidR="00021F98" w:rsidRDefault="00021F98" w:rsidP="00B505F7">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B449E0">
        <w:rPr>
          <w:rStyle w:val="AERtextitalic"/>
          <w:i w:val="0"/>
        </w:rPr>
        <w:t>, p</w:t>
      </w:r>
      <w:r w:rsidRPr="00D75E7C">
        <w:rPr>
          <w:rStyle w:val="AERtextitalic"/>
          <w:i w:val="0"/>
        </w:rPr>
        <w:t>p</w:t>
      </w:r>
      <w:r w:rsidRPr="00B505F7">
        <w:rPr>
          <w:rStyle w:val="AERtextitalic"/>
          <w:i w:val="0"/>
        </w:rPr>
        <w:t>. </w:t>
      </w:r>
      <w:r w:rsidRPr="00B449E0">
        <w:rPr>
          <w:rStyle w:val="AERtextitalic"/>
          <w:i w:val="0"/>
        </w:rPr>
        <w:t>5</w:t>
      </w:r>
      <w:r w:rsidRPr="00D75E7C">
        <w:rPr>
          <w:rStyle w:val="AERtextitalic"/>
          <w:i w:val="0"/>
        </w:rPr>
        <w:t>, 7</w:t>
      </w:r>
      <w:r w:rsidRPr="00B505F7">
        <w:rPr>
          <w:rStyle w:val="AERtextitalic"/>
          <w:i w:val="0"/>
        </w:rPr>
        <w:t>.</w:t>
      </w:r>
    </w:p>
  </w:footnote>
  <w:footnote w:id="731">
    <w:p w:rsidR="00021F98" w:rsidRPr="00032060" w:rsidRDefault="00021F98" w:rsidP="00E750F8">
      <w:pPr>
        <w:pStyle w:val="FootnoteText"/>
        <w:rPr>
          <w:rFonts w:ascii="Times New Roman" w:hAnsi="Times New Roman" w:cs="Times New Roman"/>
        </w:rPr>
      </w:pPr>
      <w:r w:rsidRPr="00032060">
        <w:rPr>
          <w:rStyle w:val="FootnoteReference"/>
          <w:rFonts w:ascii="Times New Roman" w:hAnsi="Times New Roman" w:cs="Times New Roman"/>
        </w:rPr>
        <w:footnoteRef/>
      </w:r>
      <w:r w:rsidRPr="00032060">
        <w:t xml:space="preserve"> </w:t>
      </w:r>
      <w:r>
        <w:tab/>
      </w:r>
      <w:r w:rsidRPr="00E750F8">
        <w:t xml:space="preserve">Mero et al (2017) conduct a number of </w:t>
      </w:r>
      <w:r w:rsidRPr="00FF38EE">
        <w:t>formal tests of these models.</w:t>
      </w:r>
      <w:r w:rsidRPr="00E750F8">
        <w:t xml:space="preserve"> Remarkably, they find that only Model 4 fails the heteroscedasticity test despite the fact that SFG (2011) develops it in order to address this problem and Frontier (2016a) favours it.</w:t>
      </w:r>
      <w:r>
        <w:t xml:space="preserve"> See: M. Lally, Issues in the estimation of gamma, April 2017</w:t>
      </w:r>
      <w:r w:rsidRPr="00E750F8">
        <w:rPr>
          <w:rStyle w:val="AERtextitalic"/>
          <w:i w:val="0"/>
        </w:rPr>
        <w:t>, pp. 5-6.</w:t>
      </w:r>
    </w:p>
  </w:footnote>
  <w:footnote w:id="732">
    <w:p w:rsidR="00021F98" w:rsidRDefault="00021F98" w:rsidP="00A962CC">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w:t>
      </w:r>
      <w:r w:rsidRPr="00D75E7C">
        <w:rPr>
          <w:rStyle w:val="AERtextitalic"/>
          <w:i w:val="0"/>
        </w:rPr>
        <w:t>6</w:t>
      </w:r>
      <w:r w:rsidRPr="00037690">
        <w:rPr>
          <w:rStyle w:val="AERtextitalic"/>
          <w:i w:val="0"/>
        </w:rPr>
        <w:t>.</w:t>
      </w:r>
    </w:p>
  </w:footnote>
  <w:footnote w:id="733">
    <w:p w:rsidR="00021F98" w:rsidRDefault="00021F98" w:rsidP="00A962CC">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w:t>
      </w:r>
      <w:r w:rsidRPr="00797AF3">
        <w:rPr>
          <w:rStyle w:val="AERtextitalic"/>
          <w:i w:val="0"/>
        </w:rPr>
        <w:t>6</w:t>
      </w:r>
      <w:r w:rsidRPr="00037690">
        <w:rPr>
          <w:rStyle w:val="AERtextitalic"/>
          <w:i w:val="0"/>
        </w:rPr>
        <w:t>.</w:t>
      </w:r>
    </w:p>
  </w:footnote>
  <w:footnote w:id="734">
    <w:p w:rsidR="00021F98" w:rsidRDefault="00021F98" w:rsidP="00FE3642">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xml:space="preserve">, </w:t>
      </w:r>
      <w:r w:rsidRPr="00FE3642">
        <w:rPr>
          <w:rStyle w:val="AERtextitalic"/>
          <w:i w:val="0"/>
        </w:rPr>
        <w:t>p. 7.</w:t>
      </w:r>
    </w:p>
  </w:footnote>
  <w:footnote w:id="735">
    <w:p w:rsidR="00021F98" w:rsidRPr="00FE3642" w:rsidRDefault="00021F98" w:rsidP="00FE3642">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xml:space="preserve">, </w:t>
      </w:r>
      <w:r w:rsidRPr="00FE3642">
        <w:rPr>
          <w:rStyle w:val="AERtextitalic"/>
          <w:i w:val="0"/>
        </w:rPr>
        <w:t>p. 7.</w:t>
      </w:r>
    </w:p>
  </w:footnote>
  <w:footnote w:id="736">
    <w:p w:rsidR="00021F98" w:rsidRDefault="00021F98" w:rsidP="00177813">
      <w:pPr>
        <w:pStyle w:val="FootnoteText"/>
      </w:pPr>
      <w:r>
        <w:rPr>
          <w:rStyle w:val="FootnoteReference"/>
        </w:rPr>
        <w:footnoteRef/>
      </w:r>
      <w:r>
        <w:t xml:space="preserve"> </w:t>
      </w:r>
      <w:r>
        <w:tab/>
        <w:t xml:space="preserve">M. Lally, </w:t>
      </w:r>
      <w:r w:rsidRPr="00FE3642">
        <w:rPr>
          <w:rStyle w:val="AERtextitalic"/>
        </w:rPr>
        <w:t>Issues in the estimation of gamma</w:t>
      </w:r>
      <w:r>
        <w:t>, April 2017</w:t>
      </w:r>
      <w:r w:rsidRPr="00D7695B">
        <w:rPr>
          <w:rStyle w:val="AERtextitalic"/>
          <w:i w:val="0"/>
        </w:rPr>
        <w:t>, p. 25.</w:t>
      </w:r>
    </w:p>
  </w:footnote>
  <w:footnote w:id="737">
    <w:p w:rsidR="00021F98" w:rsidRDefault="00021F98" w:rsidP="002C7983">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6, p. 31.</w:t>
      </w:r>
    </w:p>
  </w:footnote>
  <w:footnote w:id="738">
    <w:p w:rsidR="00021F98" w:rsidRDefault="00021F98" w:rsidP="00C32CF1">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pp. 32-33.</w:t>
      </w:r>
    </w:p>
  </w:footnote>
  <w:footnote w:id="739">
    <w:p w:rsidR="00021F98" w:rsidRPr="00CB04CA" w:rsidRDefault="00021F98" w:rsidP="00CB04CA">
      <w:pPr>
        <w:pStyle w:val="FootnoteText"/>
      </w:pPr>
      <w:r>
        <w:rPr>
          <w:rStyle w:val="FootnoteReference"/>
        </w:rPr>
        <w:footnoteRef/>
      </w:r>
      <w:r>
        <w:t xml:space="preserve"> </w:t>
      </w:r>
      <w:r>
        <w:tab/>
      </w:r>
      <w:r w:rsidRPr="00933EC6">
        <w:rPr>
          <w:rStyle w:val="AERbody"/>
          <w:sz w:val="16"/>
        </w:rPr>
        <w:t>Consistent with the 2011 methodology, we note that average of the robust regression estimate of theta is 0.34 which is consistent with the 2011 study. However, the average of the</w:t>
      </w:r>
      <w:r w:rsidRPr="00E268FF">
        <w:rPr>
          <w:rStyle w:val="AERbody"/>
          <w:sz w:val="16"/>
        </w:rPr>
        <w:t xml:space="preserve"> estimate of theta from Model Specification 4 across Table 5 to 6 is 0.38 using the most recent data which is higher than the 0.34 presented in the 2011 study. In the latest Frontier report we have not bee</w:t>
      </w:r>
      <w:r w:rsidRPr="00D647C5">
        <w:rPr>
          <w:rStyle w:val="AERbody"/>
          <w:sz w:val="16"/>
        </w:rPr>
        <w:t>n provided for data for table 7 and 8. As a result we have only average table 5 and 6. It should be noted that a theta estimate of 0.38 is also consistent with the confidence intervals presented in the latest Frontier report (0.26 to 0.34).</w:t>
      </w:r>
    </w:p>
  </w:footnote>
  <w:footnote w:id="740">
    <w:p w:rsidR="00021F98" w:rsidRDefault="00021F98" w:rsidP="00B505F7">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B505F7">
        <w:rPr>
          <w:rStyle w:val="AERtextitalic"/>
          <w:i w:val="0"/>
        </w:rPr>
        <w:t>, p. </w:t>
      </w:r>
      <w:r w:rsidRPr="00D75E7C">
        <w:rPr>
          <w:rStyle w:val="AERtextitalic"/>
          <w:i w:val="0"/>
        </w:rPr>
        <w:t>8</w:t>
      </w:r>
      <w:r w:rsidRPr="00B505F7">
        <w:rPr>
          <w:rStyle w:val="AERtextitalic"/>
          <w:i w:val="0"/>
        </w:rPr>
        <w:t>.</w:t>
      </w:r>
    </w:p>
  </w:footnote>
  <w:footnote w:id="741">
    <w:p w:rsidR="00021F98" w:rsidRDefault="00021F98" w:rsidP="00B505F7">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B505F7">
        <w:rPr>
          <w:rStyle w:val="AERtextitalic"/>
          <w:i w:val="0"/>
        </w:rPr>
        <w:t>, p. </w:t>
      </w:r>
      <w:r w:rsidRPr="00D75E7C">
        <w:rPr>
          <w:rStyle w:val="AERtextitalic"/>
          <w:i w:val="0"/>
        </w:rPr>
        <w:t>8</w:t>
      </w:r>
      <w:r w:rsidRPr="00B505F7">
        <w:rPr>
          <w:rStyle w:val="AERtextitalic"/>
          <w:i w:val="0"/>
        </w:rPr>
        <w:t>.</w:t>
      </w:r>
    </w:p>
  </w:footnote>
  <w:footnote w:id="742">
    <w:p w:rsidR="00021F98" w:rsidRDefault="00021F98" w:rsidP="00C52695">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743">
    <w:p w:rsidR="00021F98" w:rsidRDefault="00021F98" w:rsidP="00C52695">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744">
    <w:p w:rsidR="00021F98" w:rsidRDefault="00021F98" w:rsidP="00C52695">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745">
    <w:p w:rsidR="00021F98" w:rsidRDefault="00021F98" w:rsidP="00C52695">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746">
    <w:p w:rsidR="00021F98" w:rsidRDefault="00021F98" w:rsidP="00C52695">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747">
    <w:p w:rsidR="00021F98" w:rsidRDefault="00021F98" w:rsidP="00C52695">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748">
    <w:p w:rsidR="00021F98" w:rsidRDefault="00021F98" w:rsidP="00C52695">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rPr>
        <w:t>ANU working paper</w:t>
      </w:r>
      <w:r w:rsidRPr="00647825">
        <w:t>, 18 June</w:t>
      </w:r>
      <w:r>
        <w:t xml:space="preserve"> 2013, pp. 24 and 27.</w:t>
      </w:r>
    </w:p>
  </w:footnote>
  <w:footnote w:id="749">
    <w:p w:rsidR="00021F98" w:rsidRDefault="00021F98" w:rsidP="00C52695">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750">
    <w:p w:rsidR="00021F98" w:rsidRDefault="00021F98" w:rsidP="00C52695">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pp. 21, 23.</w:t>
      </w:r>
    </w:p>
  </w:footnote>
  <w:footnote w:id="751">
    <w:p w:rsidR="00021F98" w:rsidRDefault="00021F98" w:rsidP="00C52695">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752">
    <w:p w:rsidR="00021F98" w:rsidRDefault="00021F98" w:rsidP="00C52695">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753">
    <w:p w:rsidR="00021F98" w:rsidRDefault="00021F98" w:rsidP="00C52695">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754">
    <w:p w:rsidR="00021F98" w:rsidRDefault="00021F98" w:rsidP="00C52695">
      <w:pPr>
        <w:pStyle w:val="FootnoteText"/>
      </w:pPr>
      <w:r>
        <w:rPr>
          <w:rStyle w:val="FootnoteReference"/>
        </w:rPr>
        <w:footnoteRef/>
      </w:r>
      <w:r>
        <w:t xml:space="preserve"> </w:t>
      </w:r>
      <w:r>
        <w:tab/>
        <w:t xml:space="preserve">The earlier working paper, although substantively the same as the 2015 paper, remains referenced in this decision because this was the paper considered by us in making our decisions released in April and June 2015. </w:t>
      </w:r>
    </w:p>
  </w:footnote>
  <w:footnote w:id="755">
    <w:p w:rsidR="00021F98" w:rsidRDefault="00021F98" w:rsidP="00C52695">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xml:space="preserve">, April 2015, p vii; </w:t>
      </w:r>
      <w:r w:rsidRPr="00582678">
        <w:t xml:space="preserve">M. Lally, </w:t>
      </w:r>
      <w:r w:rsidRPr="00582678">
        <w:rPr>
          <w:rStyle w:val="AERtextitalic"/>
        </w:rPr>
        <w:t>The estimation of gamma</w:t>
      </w:r>
      <w:r w:rsidRPr="00582678">
        <w:t>, 23 November 2013</w:t>
      </w:r>
      <w:r>
        <w:t>, p. 25.</w:t>
      </w:r>
    </w:p>
  </w:footnote>
  <w:footnote w:id="756">
    <w:p w:rsidR="00021F98" w:rsidRDefault="00021F98" w:rsidP="00C52695">
      <w:pPr>
        <w:pStyle w:val="FootnoteText"/>
        <w:ind w:left="364" w:hanging="364"/>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vii.</w:t>
      </w:r>
    </w:p>
  </w:footnote>
  <w:footnote w:id="757">
    <w:p w:rsidR="00021F98" w:rsidRDefault="00021F98" w:rsidP="00C52695">
      <w:pPr>
        <w:pStyle w:val="FootnoteText"/>
      </w:pPr>
      <w:r>
        <w:rPr>
          <w:rStyle w:val="FootnoteReference"/>
        </w:rPr>
        <w:footnoteRef/>
      </w:r>
      <w:r>
        <w:t xml:space="preserve"> </w:t>
      </w:r>
      <w:r>
        <w:tab/>
        <w:t>Concerns around the reliability of the estimates of the return on equity from the Black CAPM are discussed in the rate of return attachment to this final decision.</w:t>
      </w:r>
    </w:p>
  </w:footnote>
  <w:footnote w:id="758">
    <w:p w:rsidR="00021F98" w:rsidRDefault="00021F98"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759">
    <w:p w:rsidR="00021F98" w:rsidRDefault="00021F98" w:rsidP="00C52695">
      <w:pPr>
        <w:pStyle w:val="FootnoteText"/>
      </w:pPr>
      <w:r>
        <w:rPr>
          <w:rStyle w:val="FootnoteReference"/>
        </w:rPr>
        <w:footnoteRef/>
      </w:r>
      <w:r>
        <w:t xml:space="preserve"> </w:t>
      </w:r>
      <w:r>
        <w:tab/>
      </w:r>
      <w:r w:rsidRPr="00D064B9">
        <w:t xml:space="preserve">AusNet Transmission, </w:t>
      </w:r>
      <w:r w:rsidRPr="00D064B9">
        <w:rPr>
          <w:rStyle w:val="AERtextitalic"/>
        </w:rPr>
        <w:t>Transmission Revenue Review 2017-2022</w:t>
      </w:r>
      <w:r w:rsidRPr="00D064B9">
        <w:t>, October 2015, p</w:t>
      </w:r>
      <w:r>
        <w:t>p</w:t>
      </w:r>
      <w:r w:rsidRPr="00D064B9">
        <w:t>. </w:t>
      </w:r>
      <w:r>
        <w:t xml:space="preserve">288, 300; 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 117;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 365;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xml:space="preserve">, January 2016, p. 359; APNT, </w:t>
      </w:r>
      <w:r w:rsidRPr="00903ED1">
        <w:rPr>
          <w:rStyle w:val="AERtextitalic"/>
        </w:rPr>
        <w:t>Access Arrangement Revised Proposal to Draft Decision</w:t>
      </w:r>
      <w:r>
        <w:t xml:space="preserve">, January 2016, p. 93; AusNet Transmission, </w:t>
      </w:r>
      <w:r>
        <w:rPr>
          <w:rStyle w:val="AERtextitalic"/>
        </w:rPr>
        <w:t>Transmission Revenue Proposal Review 2017-2022, Revised Revenue Proposal</w:t>
      </w:r>
      <w:r>
        <w:t>, 21 September 2016, p. 204.</w:t>
      </w:r>
    </w:p>
  </w:footnote>
  <w:footnote w:id="760">
    <w:p w:rsidR="00021F98" w:rsidRDefault="00021F9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79.</w:t>
      </w:r>
    </w:p>
  </w:footnote>
  <w:footnote w:id="761">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15.</w:t>
      </w:r>
    </w:p>
  </w:footnote>
  <w:footnote w:id="762">
    <w:p w:rsidR="00021F98" w:rsidRDefault="00021F98" w:rsidP="00C52695">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78; Frontier Economics, </w:t>
      </w:r>
      <w:r w:rsidRPr="00D14DE4">
        <w:rPr>
          <w:rStyle w:val="AERtextitalic"/>
        </w:rPr>
        <w:t>An appropriate regulatory estimate of gamma</w:t>
      </w:r>
      <w:r>
        <w:t>, June 2015, p. 36.</w:t>
      </w:r>
    </w:p>
  </w:footnote>
  <w:footnote w:id="763">
    <w:p w:rsidR="00021F98" w:rsidRDefault="00021F98" w:rsidP="00C52695">
      <w:pPr>
        <w:pStyle w:val="FootnoteText"/>
      </w:pPr>
      <w:r>
        <w:rPr>
          <w:rStyle w:val="FootnoteReference"/>
        </w:rPr>
        <w:footnoteRef/>
      </w:r>
      <w:r>
        <w:t xml:space="preserve"> </w:t>
      </w:r>
      <w:r>
        <w:tab/>
        <w:t>SFG</w:t>
      </w:r>
      <w:r w:rsidRPr="007C38AD">
        <w:rPr>
          <w:rStyle w:val="AERtextitalic"/>
        </w:rPr>
        <w:t>, Equity beta</w:t>
      </w:r>
      <w:r>
        <w:t>, 12 May 2014, para. 15.</w:t>
      </w:r>
    </w:p>
  </w:footnote>
  <w:footnote w:id="764">
    <w:p w:rsidR="00021F98" w:rsidRDefault="00021F9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52.</w:t>
      </w:r>
    </w:p>
  </w:footnote>
  <w:footnote w:id="765">
    <w:p w:rsidR="00021F98" w:rsidRDefault="00021F98" w:rsidP="00C52695">
      <w:pPr>
        <w:pStyle w:val="FootnoteText"/>
      </w:pPr>
      <w:r>
        <w:rPr>
          <w:rStyle w:val="FootnoteReference"/>
        </w:rPr>
        <w:footnoteRef/>
      </w:r>
      <w:r>
        <w:t xml:space="preserve"> </w:t>
      </w:r>
      <w:r>
        <w:tab/>
      </w:r>
      <w:r w:rsidRPr="00D064B9">
        <w:t xml:space="preserve">AusNet Transmission, </w:t>
      </w:r>
      <w:r w:rsidRPr="00D064B9">
        <w:rPr>
          <w:rStyle w:val="AERtextitalic"/>
        </w:rPr>
        <w:t>Transmission Revenue Review 2017-2022</w:t>
      </w:r>
      <w:r w:rsidRPr="00D064B9">
        <w:t>, October 2015, p</w:t>
      </w:r>
      <w:r>
        <w:t>p</w:t>
      </w:r>
      <w:r w:rsidRPr="00D064B9">
        <w:t>. </w:t>
      </w:r>
      <w:r>
        <w:t xml:space="preserve">294, 300; 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116;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January 2016, p. 358.</w:t>
      </w:r>
    </w:p>
  </w:footnote>
  <w:footnote w:id="766">
    <w:p w:rsidR="00021F98" w:rsidRDefault="00021F9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767">
    <w:p w:rsidR="00021F98" w:rsidRDefault="00021F98" w:rsidP="00C52695">
      <w:pPr>
        <w:pStyle w:val="FootnoteText"/>
      </w:pPr>
      <w:r>
        <w:rPr>
          <w:rStyle w:val="FootnoteReference"/>
        </w:rPr>
        <w:footnoteRef/>
      </w:r>
      <w:r>
        <w:t xml:space="preserve"> </w:t>
      </w:r>
      <w:r>
        <w:tab/>
        <w:t>In equation (2) in Elton and Gruber (1970) if tax on ordinary income and capital gains tax are the same (t</w:t>
      </w:r>
      <w:r w:rsidRPr="005764F6">
        <w:rPr>
          <w:rStyle w:val="AERsubscript"/>
        </w:rPr>
        <w:t>o</w:t>
      </w:r>
      <w:r>
        <w:t xml:space="preserve"> = t</w:t>
      </w:r>
      <w:r w:rsidRPr="005764F6">
        <w:rPr>
          <w:rStyle w:val="AERsubscript"/>
        </w:rPr>
        <w:t>c</w:t>
      </w:r>
      <w:r>
        <w:t>) then P</w:t>
      </w:r>
      <w:r w:rsidRPr="005764F6">
        <w:rPr>
          <w:rStyle w:val="AERsubscript"/>
        </w:rPr>
        <w:t>A</w:t>
      </w:r>
      <w:r>
        <w:t xml:space="preserve"> = P</w:t>
      </w:r>
      <w:r w:rsidRPr="005764F6">
        <w:rPr>
          <w:rStyle w:val="AERsubscript"/>
        </w:rPr>
        <w:t>B</w:t>
      </w:r>
      <w:r>
        <w:t xml:space="preserve"> + D. See: </w:t>
      </w:r>
      <w:r w:rsidRPr="00A47F4F">
        <w:t>Edwin J. Elton and Martin J. Gruber, 'Marginal Stockholder Tax Rates and the Clientele effect' The Review of Economics and Statistics, Vol. 52, No.1 (Feb 1970)</w:t>
      </w:r>
      <w:r>
        <w:t>, p</w:t>
      </w:r>
      <w:r w:rsidRPr="00A47F4F">
        <w:t>. 6</w:t>
      </w:r>
      <w:r>
        <w:t>9.</w:t>
      </w:r>
    </w:p>
  </w:footnote>
  <w:footnote w:id="768">
    <w:p w:rsidR="00021F98" w:rsidRDefault="00021F98" w:rsidP="00C52695">
      <w:pPr>
        <w:pStyle w:val="FootnoteText"/>
      </w:pPr>
      <w:r>
        <w:rPr>
          <w:rStyle w:val="FootnoteReference"/>
        </w:rPr>
        <w:footnoteRef/>
      </w:r>
      <w:r>
        <w:t xml:space="preserve"> </w:t>
      </w:r>
      <w:r>
        <w:tab/>
        <w:t>Defined as 20 minus 0.6928.</w:t>
      </w:r>
    </w:p>
  </w:footnote>
  <w:footnote w:id="769">
    <w:p w:rsidR="00021F98" w:rsidRDefault="00021F98" w:rsidP="00AD7E2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F354E">
        <w:rPr>
          <w:rStyle w:val="AERtextitalic"/>
          <w:i w:val="0"/>
        </w:rPr>
        <w:t xml:space="preserve">, </w:t>
      </w:r>
      <w:r w:rsidRPr="00AD7E20">
        <w:rPr>
          <w:rStyle w:val="AERtextitalic"/>
          <w:i w:val="0"/>
        </w:rPr>
        <w:t>p</w:t>
      </w:r>
      <w:r w:rsidRPr="00D7695B">
        <w:rPr>
          <w:rStyle w:val="AERtextitalic"/>
          <w:i w:val="0"/>
        </w:rPr>
        <w:t>p</w:t>
      </w:r>
      <w:r w:rsidRPr="00AD7E20">
        <w:rPr>
          <w:rStyle w:val="AERtextitalic"/>
          <w:i w:val="0"/>
        </w:rPr>
        <w:t>. </w:t>
      </w:r>
      <w:r w:rsidRPr="00D7695B">
        <w:rPr>
          <w:rStyle w:val="AERtextitalic"/>
          <w:i w:val="0"/>
        </w:rPr>
        <w:t>6-7</w:t>
      </w:r>
      <w:r w:rsidRPr="00AD7E20">
        <w:rPr>
          <w:rStyle w:val="AERtextitalic"/>
          <w:i w:val="0"/>
        </w:rPr>
        <w:t>.</w:t>
      </w:r>
    </w:p>
  </w:footnote>
  <w:footnote w:id="770">
    <w:p w:rsidR="00021F98" w:rsidRDefault="00021F98" w:rsidP="00C52695">
      <w:pPr>
        <w:pStyle w:val="FootnoteText"/>
      </w:pPr>
      <w:r>
        <w:rPr>
          <w:rStyle w:val="FootnoteReference"/>
        </w:rPr>
        <w:footnoteRef/>
      </w:r>
      <w:r>
        <w:t xml:space="preserve"> </w:t>
      </w:r>
      <w:r>
        <w:tab/>
        <w:t>We also note distributed dividends are directly observable.</w:t>
      </w:r>
    </w:p>
  </w:footnote>
  <w:footnote w:id="771">
    <w:p w:rsidR="00021F98" w:rsidRDefault="00021F98" w:rsidP="00C52695">
      <w:pPr>
        <w:pStyle w:val="FootnoteText"/>
      </w:pPr>
      <w:r>
        <w:rPr>
          <w:rStyle w:val="FootnoteReference"/>
        </w:rPr>
        <w:footnoteRef/>
      </w:r>
      <w:r>
        <w:t xml:space="preserve"> </w:t>
      </w:r>
      <w:r>
        <w:tab/>
        <w:t xml:space="preserve">Edwin J. Elton and Martin J. Gruber, 'Marginal Stockholder Tax Rates and the Clientele effect' </w:t>
      </w:r>
      <w:r w:rsidRPr="00FE3642">
        <w:rPr>
          <w:rStyle w:val="AERtextitalic"/>
        </w:rPr>
        <w:t>The Review of Economics and Statistics</w:t>
      </w:r>
      <w:r>
        <w:t>, Vol. 52, No.1 (Feb 1970), pp. 68-74, pin point ref: 69.</w:t>
      </w:r>
    </w:p>
  </w:footnote>
  <w:footnote w:id="772">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773">
    <w:p w:rsidR="00021F98" w:rsidRDefault="00021F9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774">
    <w:p w:rsidR="00021F98" w:rsidRDefault="00021F98" w:rsidP="00C52695">
      <w:pPr>
        <w:pStyle w:val="FootnoteText"/>
      </w:pPr>
      <w:r>
        <w:rPr>
          <w:rStyle w:val="FootnoteReference"/>
        </w:rPr>
        <w:footnoteRef/>
      </w:r>
      <w:r>
        <w:t xml:space="preserve"> </w:t>
      </w:r>
      <w:r>
        <w:tab/>
        <w:t>In practice super funds have a CGT discount of 0.33 and not 0.5. However, in order to not complicate the analysis we do not introduce an additional CGT discount rate.</w:t>
      </w:r>
    </w:p>
  </w:footnote>
  <w:footnote w:id="775">
    <w:p w:rsidR="00021F98" w:rsidRDefault="00021F98" w:rsidP="00C52695">
      <w:pPr>
        <w:pStyle w:val="FootnoteText"/>
      </w:pPr>
      <w:r>
        <w:rPr>
          <w:rStyle w:val="FootnoteReference"/>
        </w:rPr>
        <w:footnoteRef/>
      </w:r>
      <w:r>
        <w:t xml:space="preserve"> </w:t>
      </w:r>
      <w:r>
        <w:tab/>
        <w:t>Edwin J. Elton and Martin J. Gruber, 'Marginal Stockholder Tax Rates and the Clientele effect</w:t>
      </w:r>
      <w:r>
        <w:rPr>
          <w:rStyle w:val="Emphasis"/>
        </w:rPr>
        <w:t>,</w:t>
      </w:r>
      <w:r w:rsidRPr="00D414CC">
        <w:rPr>
          <w:rStyle w:val="Emphasis"/>
        </w:rPr>
        <w:t xml:space="preserve"> The Review of Economics and Statistics</w:t>
      </w:r>
      <w:r>
        <w:t>, Vol. 52, No.1 (Feb 1970), p. 6.</w:t>
      </w:r>
    </w:p>
  </w:footnote>
  <w:footnote w:id="776">
    <w:p w:rsidR="00021F98" w:rsidRPr="00F267EC" w:rsidRDefault="00021F98" w:rsidP="00C52695">
      <w:pPr>
        <w:pStyle w:val="FootnoteText"/>
      </w:pPr>
      <w:r>
        <w:rPr>
          <w:rStyle w:val="FootnoteReference"/>
        </w:rPr>
        <w:footnoteRef/>
      </w:r>
      <w:r>
        <w:t xml:space="preserve"> </w:t>
      </w:r>
      <w:r>
        <w:tab/>
      </w:r>
      <w:r w:rsidRPr="005764F6">
        <w:rPr>
          <w:rStyle w:val="FootnoteReference"/>
          <w:vertAlign w:val="baseline"/>
        </w:rPr>
        <w:t xml:space="preserve">Ainsworth A, K Fong, D Gallagher, and G Partington (2015),’Institutional Trading around the ex-dividend day’, </w:t>
      </w:r>
      <w:r w:rsidRPr="00D414CC">
        <w:rPr>
          <w:rStyle w:val="Emphasis"/>
        </w:rPr>
        <w:t>Australian Journal of Management</w:t>
      </w:r>
      <w:r w:rsidRPr="005764F6">
        <w:rPr>
          <w:rStyle w:val="FootnoteReference"/>
          <w:vertAlign w:val="baseline"/>
        </w:rPr>
        <w:t>, January, pp. 1-25.</w:t>
      </w:r>
      <w:r w:rsidRPr="00F267EC">
        <w:t xml:space="preserve"> </w:t>
      </w:r>
    </w:p>
    <w:p w:rsidR="00021F98" w:rsidRDefault="00021F98" w:rsidP="00C52695">
      <w:pPr>
        <w:pStyle w:val="FootnoteText"/>
      </w:pPr>
    </w:p>
  </w:footnote>
  <w:footnote w:id="777">
    <w:p w:rsidR="00021F98" w:rsidRDefault="00021F98"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359, 367-368</w:t>
      </w:r>
      <w:r w:rsidRPr="00511278">
        <w:t>.</w:t>
      </w:r>
    </w:p>
  </w:footnote>
  <w:footnote w:id="778">
    <w:p w:rsidR="00021F98" w:rsidRDefault="00021F98" w:rsidP="0095204D">
      <w:pPr>
        <w:pStyle w:val="FootnoteText"/>
      </w:pPr>
      <w:r>
        <w:rPr>
          <w:rStyle w:val="FootnoteReference"/>
        </w:rPr>
        <w:footnoteRef/>
      </w:r>
      <w:r>
        <w:t xml:space="preserve"> </w:t>
      </w:r>
      <w:r>
        <w:tab/>
      </w:r>
      <w:r w:rsidRPr="0015337C">
        <w:t xml:space="preserve">AusNet Transmission, </w:t>
      </w:r>
      <w:r w:rsidRPr="0015337C">
        <w:rPr>
          <w:rStyle w:val="AERtextitalic"/>
        </w:rPr>
        <w:t>Transmission Revenue Review 2017-2022</w:t>
      </w:r>
      <w:r w:rsidRPr="0015337C">
        <w:t>, October 2015, p. </w:t>
      </w:r>
      <w:r>
        <w:t xml:space="preserve">307; 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 xml:space="preserve">359, 367-368; APNT, </w:t>
      </w:r>
      <w:r w:rsidRPr="00903ED1">
        <w:rPr>
          <w:rStyle w:val="AERtextitalic"/>
        </w:rPr>
        <w:t>Access Arrangement Revised Proposal to Draft Decision</w:t>
      </w:r>
      <w:r>
        <w:t xml:space="preserve">, January 2016, p. 94; Frontier Economics, </w:t>
      </w:r>
      <w:r>
        <w:rPr>
          <w:rStyle w:val="AERtextitalic"/>
        </w:rPr>
        <w:t>Issues in the estimation of gamma</w:t>
      </w:r>
      <w:r>
        <w:t>, September 2016, paras. 91-93.</w:t>
      </w:r>
    </w:p>
  </w:footnote>
  <w:footnote w:id="779">
    <w:p w:rsidR="00021F98" w:rsidRDefault="00021F9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w:t>
      </w:r>
      <w:r w:rsidRPr="00D01050">
        <w:t>ara</w:t>
      </w:r>
      <w:r>
        <w:t>.</w:t>
      </w:r>
      <w:r w:rsidRPr="00D01050">
        <w:t xml:space="preserve"> 50</w:t>
      </w:r>
      <w:r>
        <w:t>.</w:t>
      </w:r>
    </w:p>
  </w:footnote>
  <w:footnote w:id="780">
    <w:p w:rsidR="00021F98" w:rsidRDefault="00021F98"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w:t>
      </w:r>
    </w:p>
  </w:footnote>
  <w:footnote w:id="781">
    <w:p w:rsidR="00021F98" w:rsidRDefault="00021F98" w:rsidP="00C430A8">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24; M. Lally, </w:t>
      </w:r>
      <w:r w:rsidRPr="00E750F8">
        <w:rPr>
          <w:rStyle w:val="AERtextitalic"/>
        </w:rPr>
        <w:t>Issues in the estimation of gamma</w:t>
      </w:r>
      <w:r>
        <w:t>, April 2017</w:t>
      </w:r>
      <w:r w:rsidRPr="00447949">
        <w:rPr>
          <w:rStyle w:val="AERtextitalic"/>
          <w:i w:val="0"/>
        </w:rPr>
        <w:t>, pp. 21-22.</w:t>
      </w:r>
    </w:p>
  </w:footnote>
  <w:footnote w:id="782">
    <w:p w:rsidR="00021F98" w:rsidRDefault="00021F98" w:rsidP="000E0D4D">
      <w:pPr>
        <w:pStyle w:val="FootnoteText"/>
      </w:pPr>
      <w:r>
        <w:rPr>
          <w:rStyle w:val="FootnoteReference"/>
        </w:rPr>
        <w:footnoteRef/>
      </w:r>
      <w:r>
        <w:t xml:space="preserve"> </w:t>
      </w:r>
      <w:r>
        <w:tab/>
      </w:r>
      <w:r w:rsidRPr="00E750F8">
        <w:rPr>
          <w:rStyle w:val="Hyperlink"/>
          <w:color w:val="auto"/>
          <w:sz w:val="16"/>
          <w:u w:val="none"/>
        </w:rPr>
        <w:t xml:space="preserve">Frontier Economics, </w:t>
      </w:r>
      <w:r w:rsidRPr="00E750F8">
        <w:rPr>
          <w:rStyle w:val="AERtextitalic"/>
        </w:rPr>
        <w:t>Issues in the estimation of gamma</w:t>
      </w:r>
      <w:r w:rsidRPr="00E750F8">
        <w:rPr>
          <w:rStyle w:val="Hyperlink"/>
          <w:color w:val="auto"/>
          <w:sz w:val="16"/>
          <w:u w:val="none"/>
        </w:rPr>
        <w:t>, September 2016, p</w:t>
      </w:r>
      <w:r w:rsidRPr="004423C9">
        <w:rPr>
          <w:rStyle w:val="Hyperlink"/>
          <w:color w:val="auto"/>
          <w:sz w:val="16"/>
          <w:u w:val="none"/>
        </w:rPr>
        <w:t>. 23.</w:t>
      </w:r>
    </w:p>
  </w:footnote>
  <w:footnote w:id="783">
    <w:p w:rsidR="00021F98" w:rsidRPr="001224E1" w:rsidRDefault="00021F98" w:rsidP="00D0581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w:t>
      </w:r>
      <w:r w:rsidRPr="00D0581B">
        <w:rPr>
          <w:rStyle w:val="AERtextitalic"/>
          <w:i w:val="0"/>
        </w:rPr>
        <w:t>. </w:t>
      </w:r>
      <w:r w:rsidRPr="00D7695B">
        <w:rPr>
          <w:rStyle w:val="AERtextitalic"/>
          <w:i w:val="0"/>
        </w:rPr>
        <w:t>2</w:t>
      </w:r>
      <w:r w:rsidRPr="00D0581B">
        <w:rPr>
          <w:rStyle w:val="AERtextitalic"/>
          <w:i w:val="0"/>
        </w:rPr>
        <w:t>1.</w:t>
      </w:r>
    </w:p>
  </w:footnote>
  <w:footnote w:id="784">
    <w:p w:rsidR="00021F98" w:rsidRPr="001224E1" w:rsidRDefault="00021F98" w:rsidP="00AD7E2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57145F">
        <w:rPr>
          <w:rStyle w:val="AERtextitalic"/>
          <w:i w:val="0"/>
        </w:rPr>
        <w:t>p</w:t>
      </w:r>
      <w:r w:rsidRPr="00D7695B">
        <w:rPr>
          <w:rStyle w:val="AERtextitalic"/>
          <w:i w:val="0"/>
        </w:rPr>
        <w:t>p</w:t>
      </w:r>
      <w:r w:rsidRPr="0057145F">
        <w:rPr>
          <w:rStyle w:val="AERtextitalic"/>
          <w:i w:val="0"/>
        </w:rPr>
        <w:t>. </w:t>
      </w:r>
      <w:r w:rsidRPr="00D7695B">
        <w:rPr>
          <w:rStyle w:val="AERtextitalic"/>
          <w:i w:val="0"/>
        </w:rPr>
        <w:t>21-22</w:t>
      </w:r>
      <w:r>
        <w:rPr>
          <w:rStyle w:val="AERtextitalic"/>
        </w:rPr>
        <w:t>,</w:t>
      </w:r>
      <w:r w:rsidRPr="00D7695B">
        <w:rPr>
          <w:rStyle w:val="AERtextitalic"/>
          <w:i w:val="0"/>
        </w:rPr>
        <w:t xml:space="preserve"> 26</w:t>
      </w:r>
      <w:r w:rsidRPr="00AD7E20">
        <w:rPr>
          <w:rStyle w:val="AERtextitalic"/>
          <w:i w:val="0"/>
        </w:rPr>
        <w:t>.</w:t>
      </w:r>
    </w:p>
  </w:footnote>
  <w:footnote w:id="785">
    <w:p w:rsidR="00021F98" w:rsidRDefault="00021F98" w:rsidP="00C52695">
      <w:pPr>
        <w:pStyle w:val="FootnoteText"/>
      </w:pPr>
      <w:r>
        <w:rPr>
          <w:rStyle w:val="FootnoteReference"/>
        </w:rPr>
        <w:footnoteRef/>
      </w:r>
      <w:r>
        <w:t xml:space="preserve"> </w:t>
      </w:r>
      <w:r>
        <w:tab/>
      </w:r>
      <w:r w:rsidRPr="003A52B7">
        <w:t xml:space="preserve">AusNet Transmission, </w:t>
      </w:r>
      <w:r w:rsidRPr="003A52B7">
        <w:rPr>
          <w:rStyle w:val="AERtextitalic"/>
        </w:rPr>
        <w:t>Transmission Revenue Review 2017-2022</w:t>
      </w:r>
      <w:r w:rsidRPr="003A52B7">
        <w:t>, October 2015, p</w:t>
      </w:r>
      <w:r>
        <w:t>p</w:t>
      </w:r>
      <w:r w:rsidRPr="003A52B7">
        <w:t>. </w:t>
      </w:r>
      <w:r>
        <w:t xml:space="preserve">301, 303, 306; 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117-118, 125-126</w:t>
      </w:r>
      <w:r w:rsidRPr="00511278">
        <w:t xml:space="preserve">; AusNet Electricity Services, </w:t>
      </w:r>
      <w:r w:rsidRPr="00511278">
        <w:rPr>
          <w:rStyle w:val="AERtextitalic"/>
        </w:rPr>
        <w:t>Revised Regulatory Proposal</w:t>
      </w:r>
      <w:r w:rsidRPr="00511278">
        <w:t>, January 2016, p</w:t>
      </w:r>
      <w:r>
        <w:t>p</w:t>
      </w:r>
      <w:r w:rsidRPr="00511278">
        <w:t>. </w:t>
      </w:r>
      <w:r>
        <w:t>7-86, 7-87, 7-93</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87-88, 94</w:t>
      </w:r>
      <w:r w:rsidRPr="00511278">
        <w:t xml:space="preserve">; CitiPower, </w:t>
      </w:r>
      <w:r w:rsidRPr="00511278">
        <w:rPr>
          <w:rStyle w:val="AERtextitalic"/>
        </w:rPr>
        <w:t>Revised Regulatory Proposal 2016-2020</w:t>
      </w:r>
      <w:r w:rsidRPr="00511278">
        <w:t>; January 2016, p</w:t>
      </w:r>
      <w:r>
        <w:t>p</w:t>
      </w:r>
      <w:r w:rsidRPr="00511278">
        <w:t>. </w:t>
      </w:r>
      <w:r>
        <w:t>365-366, 372</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w:t>
      </w:r>
      <w:r w:rsidRPr="00511278">
        <w:t>p. </w:t>
      </w:r>
      <w:r>
        <w:t>94-95, 102</w:t>
      </w:r>
      <w:r w:rsidRPr="00511278">
        <w:t xml:space="preserve">; Powercor, </w:t>
      </w:r>
      <w:r w:rsidRPr="00511278">
        <w:rPr>
          <w:rStyle w:val="AERtextitalic"/>
        </w:rPr>
        <w:t>Revised Regulatory Proposal 2016-2020</w:t>
      </w:r>
      <w:r w:rsidRPr="00511278">
        <w:t xml:space="preserve">, January 2016, </w:t>
      </w:r>
      <w:r>
        <w:t>p</w:t>
      </w:r>
      <w:r w:rsidRPr="00511278">
        <w:t>p. </w:t>
      </w:r>
      <w:r>
        <w:t>359-360, 366.</w:t>
      </w:r>
    </w:p>
  </w:footnote>
  <w:footnote w:id="786">
    <w:p w:rsidR="00021F98" w:rsidRDefault="00021F98"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t xml:space="preserve">, January 2016, </w:t>
      </w:r>
      <w:r w:rsidRPr="00511278">
        <w:t>p. </w:t>
      </w:r>
      <w:r>
        <w:t>117</w:t>
      </w:r>
      <w:r w:rsidRPr="00511278">
        <w:t xml:space="preserve">; AusNet Electricity Services, </w:t>
      </w:r>
      <w:r w:rsidRPr="00511278">
        <w:rPr>
          <w:rStyle w:val="AERtextitalic"/>
        </w:rPr>
        <w:t>Revised Regulatory Proposal</w:t>
      </w:r>
      <w:r w:rsidRPr="00511278">
        <w:t>, January 2016, p. </w:t>
      </w:r>
      <w:r>
        <w:t>7-86</w:t>
      </w:r>
      <w:r w:rsidRPr="00511278">
        <w:t xml:space="preserve">; United Energy, </w:t>
      </w:r>
      <w:r w:rsidRPr="00511278">
        <w:rPr>
          <w:rStyle w:val="AERtextitalic"/>
        </w:rPr>
        <w:t>Response to AER Preliminary Determination Re: Rate of return and gamma</w:t>
      </w:r>
      <w:r w:rsidRPr="00511278">
        <w:t>, January 2016, p. </w:t>
      </w:r>
      <w:r>
        <w:t>87</w:t>
      </w:r>
      <w:r w:rsidRPr="00511278">
        <w:t xml:space="preserve">; CitiPower, </w:t>
      </w:r>
      <w:r w:rsidRPr="00511278">
        <w:rPr>
          <w:rStyle w:val="AERtextitalic"/>
        </w:rPr>
        <w:t>Revised Regulatory Proposal 2016-2020</w:t>
      </w:r>
      <w:r w:rsidRPr="00511278">
        <w:t>; January 2016, p</w:t>
      </w:r>
      <w:r>
        <w:t>p</w:t>
      </w:r>
      <w:r w:rsidRPr="00511278">
        <w:t>. </w:t>
      </w:r>
      <w:r>
        <w:t>365-366</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94</w:t>
      </w:r>
      <w:r w:rsidRPr="00511278">
        <w:t xml:space="preserve">; Powercor, </w:t>
      </w:r>
      <w:r w:rsidRPr="00511278">
        <w:rPr>
          <w:rStyle w:val="AERtextitalic"/>
        </w:rPr>
        <w:t>Revised Regulatory Proposal 2016-2020</w:t>
      </w:r>
      <w:r w:rsidRPr="00511278">
        <w:t xml:space="preserve">, January 2016, </w:t>
      </w:r>
      <w:r>
        <w:t>p</w:t>
      </w:r>
      <w:r w:rsidRPr="00511278">
        <w:t>p. </w:t>
      </w:r>
      <w:r>
        <w:t>359-360</w:t>
      </w:r>
      <w:r w:rsidRPr="00511278">
        <w:t>.</w:t>
      </w:r>
    </w:p>
  </w:footnote>
  <w:footnote w:id="787">
    <w:p w:rsidR="00021F98" w:rsidRDefault="00021F98" w:rsidP="00C52695">
      <w:pPr>
        <w:pStyle w:val="FootnoteText"/>
      </w:pPr>
      <w:r>
        <w:rPr>
          <w:rStyle w:val="FootnoteReference"/>
        </w:rPr>
        <w:footnoteRef/>
      </w:r>
      <w:r>
        <w:t xml:space="preserve"> </w:t>
      </w:r>
      <w:r>
        <w:tab/>
      </w:r>
      <w:r w:rsidRPr="003A52B7">
        <w:t xml:space="preserve">AusNet Transmission, </w:t>
      </w:r>
      <w:r w:rsidRPr="003A52B7">
        <w:rPr>
          <w:rStyle w:val="AERtextitalic"/>
        </w:rPr>
        <w:t>Transmission Revenue Review 2017-2022</w:t>
      </w:r>
      <w:r w:rsidRPr="003A52B7">
        <w:t>, October 2015, p. </w:t>
      </w:r>
      <w:r>
        <w:t xml:space="preserve">286, 303; Australian Gas Networks, </w:t>
      </w:r>
      <w:r>
        <w:rPr>
          <w:rStyle w:val="AERtextitalic"/>
        </w:rPr>
        <w:t>Attachment 11 Response to Draft Decision: Cost of Tax</w:t>
      </w:r>
      <w:r>
        <w:t>, January 2016, p. 20</w:t>
      </w:r>
      <w:r w:rsidRPr="00511278">
        <w:t xml:space="preserve">; ActewAGL, </w:t>
      </w:r>
      <w:r w:rsidRPr="00511278">
        <w:rPr>
          <w:rStyle w:val="AERtextitalic"/>
        </w:rPr>
        <w:t>Appendix 5.01 Detailed response to rate of return, gamma and inflation</w:t>
      </w:r>
      <w:r>
        <w:t xml:space="preserve">, January 2016, </w:t>
      </w:r>
      <w:r w:rsidRPr="00511278">
        <w:t>p. </w:t>
      </w:r>
      <w:r>
        <w:t>125</w:t>
      </w:r>
      <w:r w:rsidRPr="00511278">
        <w:t xml:space="preserve">; AusNet Electricity Services, </w:t>
      </w:r>
      <w:r w:rsidRPr="00511278">
        <w:rPr>
          <w:rStyle w:val="AERtextitalic"/>
        </w:rPr>
        <w:t>Revised Regulatory Proposal</w:t>
      </w:r>
      <w:r w:rsidRPr="00511278">
        <w:t>, January 2016, p. </w:t>
      </w:r>
      <w:r>
        <w:t>7-93</w:t>
      </w:r>
      <w:r w:rsidRPr="00511278">
        <w:t xml:space="preserve">; United Energy, </w:t>
      </w:r>
      <w:r w:rsidRPr="00511278">
        <w:rPr>
          <w:rStyle w:val="AERtextitalic"/>
        </w:rPr>
        <w:t>Response to AER Preliminary Determination Re: Rate of return and gamma</w:t>
      </w:r>
      <w:r w:rsidRPr="00511278">
        <w:t>, January 2016, p. </w:t>
      </w:r>
      <w:r>
        <w:t>94</w:t>
      </w:r>
      <w:r w:rsidRPr="00511278">
        <w:t xml:space="preserve">; CitiPower, </w:t>
      </w:r>
      <w:r w:rsidRPr="00511278">
        <w:rPr>
          <w:rStyle w:val="AERtextitalic"/>
        </w:rPr>
        <w:t>Revised Regulatory Proposal 2016-2020</w:t>
      </w:r>
      <w:r w:rsidRPr="00511278">
        <w:t>; January 2016, p. </w:t>
      </w:r>
      <w:r>
        <w:t>372</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101</w:t>
      </w:r>
      <w:r w:rsidRPr="00511278">
        <w:t xml:space="preserve">; Powercor, </w:t>
      </w:r>
      <w:r w:rsidRPr="00511278">
        <w:rPr>
          <w:rStyle w:val="AERtextitalic"/>
        </w:rPr>
        <w:t>Revised Regulatory Proposal 2016-2020</w:t>
      </w:r>
      <w:r w:rsidRPr="00511278">
        <w:t>, January 2016, p. </w:t>
      </w:r>
      <w:r>
        <w:t>366.</w:t>
      </w:r>
    </w:p>
  </w:footnote>
  <w:footnote w:id="788">
    <w:p w:rsidR="00021F98" w:rsidRDefault="00021F98" w:rsidP="00C52695">
      <w:pPr>
        <w:pStyle w:val="FootnoteText"/>
      </w:pPr>
      <w:r>
        <w:rPr>
          <w:rStyle w:val="FootnoteReference"/>
        </w:rPr>
        <w:footnoteRef/>
      </w:r>
      <w:r>
        <w:t xml:space="preserve"> </w:t>
      </w:r>
      <w:r>
        <w:tab/>
      </w:r>
      <w:r w:rsidRPr="00F267EC">
        <w:t xml:space="preserve">Frontier Economics, </w:t>
      </w:r>
      <w:r w:rsidRPr="00F267EC">
        <w:rPr>
          <w:rStyle w:val="AERtextitalic"/>
        </w:rPr>
        <w:t>The appropriate use of tax statistics when estimating gamma</w:t>
      </w:r>
      <w:r w:rsidRPr="00F267EC">
        <w:t>, January 2016.</w:t>
      </w:r>
    </w:p>
  </w:footnote>
  <w:footnote w:id="789">
    <w:p w:rsidR="00021F98" w:rsidRDefault="00021F98"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p. 21.</w:t>
      </w:r>
    </w:p>
  </w:footnote>
  <w:footnote w:id="790">
    <w:p w:rsidR="00021F98" w:rsidRDefault="00021F98"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791">
    <w:p w:rsidR="00021F98" w:rsidRDefault="00021F98" w:rsidP="00C52695">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185(c); Australian Gas Networks, </w:t>
      </w:r>
      <w:r>
        <w:rPr>
          <w:rStyle w:val="AERtextitalic"/>
        </w:rPr>
        <w:t>Attachment 11 Response to Draft Decision: Cost of Tax</w:t>
      </w:r>
      <w:r>
        <w:t>, January 2016, p. 16.</w:t>
      </w:r>
    </w:p>
  </w:footnote>
  <w:footnote w:id="792">
    <w:p w:rsidR="00021F98" w:rsidRDefault="00021F98"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20.</w:t>
      </w:r>
    </w:p>
  </w:footnote>
  <w:footnote w:id="793">
    <w:p w:rsidR="00021F98" w:rsidRDefault="00021F98"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26.</w:t>
      </w:r>
    </w:p>
  </w:footnote>
  <w:footnote w:id="794">
    <w:p w:rsidR="00021F98" w:rsidRDefault="00021F98"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29.</w:t>
      </w:r>
    </w:p>
  </w:footnote>
  <w:footnote w:id="795">
    <w:p w:rsidR="00021F98" w:rsidRDefault="00021F98"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44.</w:t>
      </w:r>
    </w:p>
  </w:footnote>
  <w:footnote w:id="796">
    <w:p w:rsidR="00021F98" w:rsidRDefault="00021F9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18.</w:t>
      </w:r>
    </w:p>
  </w:footnote>
  <w:footnote w:id="797">
    <w:p w:rsidR="00021F98" w:rsidRDefault="00021F98" w:rsidP="00C52695">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798">
    <w:p w:rsidR="00021F98" w:rsidRDefault="00021F98" w:rsidP="0095204D">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4, 17-18.</w:t>
      </w:r>
    </w:p>
  </w:footnote>
  <w:footnote w:id="799">
    <w:p w:rsidR="00021F98" w:rsidRPr="001224E1" w:rsidRDefault="00021F98" w:rsidP="00CF3D5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3A0C07">
        <w:rPr>
          <w:rStyle w:val="AERtextitalic"/>
          <w:i w:val="0"/>
        </w:rPr>
        <w:t>1</w:t>
      </w:r>
      <w:r w:rsidRPr="00DC0074">
        <w:rPr>
          <w:rStyle w:val="AERtextitalic"/>
          <w:i w:val="0"/>
        </w:rPr>
        <w:t>3</w:t>
      </w:r>
      <w:r w:rsidRPr="002D7AA8">
        <w:rPr>
          <w:rStyle w:val="AERtextitalic"/>
          <w:i w:val="0"/>
        </w:rPr>
        <w:t>-14</w:t>
      </w:r>
      <w:r w:rsidRPr="002D6646">
        <w:rPr>
          <w:rStyle w:val="AERtextitalic"/>
          <w:i w:val="0"/>
        </w:rPr>
        <w:t>.</w:t>
      </w:r>
    </w:p>
  </w:footnote>
  <w:footnote w:id="800">
    <w:p w:rsidR="00021F98" w:rsidRPr="001224E1" w:rsidRDefault="00021F98" w:rsidP="00AD7E2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AD7E20">
        <w:rPr>
          <w:rStyle w:val="AERtextitalic"/>
          <w:i w:val="0"/>
        </w:rPr>
        <w:t>, p</w:t>
      </w:r>
      <w:r w:rsidRPr="005B77D3">
        <w:rPr>
          <w:rStyle w:val="AERtextitalic"/>
          <w:i w:val="0"/>
        </w:rPr>
        <w:t>p. 14</w:t>
      </w:r>
      <w:r w:rsidRPr="0059076A">
        <w:rPr>
          <w:rStyle w:val="AERtextitalic"/>
          <w:i w:val="0"/>
        </w:rPr>
        <w:t>-16</w:t>
      </w:r>
      <w:r w:rsidRPr="00D7695B">
        <w:rPr>
          <w:rStyle w:val="AERtextitalic"/>
          <w:i w:val="0"/>
        </w:rPr>
        <w:t>, 25-26</w:t>
      </w:r>
      <w:r w:rsidRPr="00AD7E20">
        <w:rPr>
          <w:rStyle w:val="AERtextitalic"/>
          <w:i w:val="0"/>
        </w:rPr>
        <w:t>.</w:t>
      </w:r>
    </w:p>
  </w:footnote>
  <w:footnote w:id="801">
    <w:p w:rsidR="00021F98" w:rsidRDefault="00021F98" w:rsidP="001B0EF1">
      <w:pPr>
        <w:pStyle w:val="FootnoteText"/>
      </w:pPr>
      <w:r>
        <w:rPr>
          <w:rStyle w:val="FootnoteReference"/>
        </w:rPr>
        <w:footnoteRef/>
      </w:r>
      <w:r>
        <w:t xml:space="preserve"> </w:t>
      </w:r>
      <w:r>
        <w:tab/>
        <w:t xml:space="preserve">In his example Lally shows that for a dividend of 4 dollars and an imputation credit of $2, the net effect of all these transaction costs could produce an expected price drop of anywhere in the range of $4 to $6. See: M. Lally, </w:t>
      </w:r>
      <w:r w:rsidRPr="00E750F8">
        <w:rPr>
          <w:rStyle w:val="AERtextitalic"/>
        </w:rPr>
        <w:t>Issues in the estimation of gamma</w:t>
      </w:r>
      <w:r>
        <w:t>, April 2017</w:t>
      </w:r>
      <w:r w:rsidRPr="004423C9">
        <w:rPr>
          <w:rStyle w:val="AERtextitalic"/>
          <w:i w:val="0"/>
        </w:rPr>
        <w:t>, pp. 14-16</w:t>
      </w:r>
      <w:r w:rsidRPr="0021673C">
        <w:rPr>
          <w:rStyle w:val="AERtextitalic"/>
        </w:rPr>
        <w:t>.</w:t>
      </w:r>
    </w:p>
  </w:footnote>
  <w:footnote w:id="802">
    <w:p w:rsidR="00021F98" w:rsidRDefault="00021F98" w:rsidP="00C52695">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SFG, </w:t>
      </w:r>
      <w:r w:rsidRPr="00B04480">
        <w:rPr>
          <w:rStyle w:val="AERtextitalic"/>
        </w:rPr>
        <w:t>Updated dividend drop-off estimate of theta: Report for the Energy Networks Association</w:t>
      </w:r>
      <w:r w:rsidRPr="00B04480">
        <w:t>, 7 June 2013.</w:t>
      </w:r>
      <w:r>
        <w:t xml:space="preserve"> </w:t>
      </w:r>
    </w:p>
  </w:footnote>
  <w:footnote w:id="803">
    <w:p w:rsidR="00021F98" w:rsidRDefault="00021F98" w:rsidP="00C52695">
      <w:pPr>
        <w:pStyle w:val="FootnoteText"/>
      </w:pPr>
      <w:r>
        <w:rPr>
          <w:rStyle w:val="FootnoteReference"/>
        </w:rPr>
        <w:footnoteRef/>
      </w:r>
      <w:r>
        <w:t xml:space="preserve"> </w:t>
      </w:r>
      <w:r>
        <w:tab/>
      </w:r>
      <w:r w:rsidRPr="003A52B7">
        <w:t xml:space="preserve">AusNet Transmission, </w:t>
      </w:r>
      <w:r w:rsidRPr="003A52B7">
        <w:rPr>
          <w:rStyle w:val="AERtextitalic"/>
        </w:rPr>
        <w:t>Transmission Revenue Review 2017-2022</w:t>
      </w:r>
      <w:r w:rsidRPr="003A52B7">
        <w:t>, October 2015, p. </w:t>
      </w:r>
      <w:r>
        <w:t xml:space="preserve">303; Australian Gas Networks, </w:t>
      </w:r>
      <w:r>
        <w:rPr>
          <w:rStyle w:val="AERtextitalic"/>
        </w:rPr>
        <w:t>Attachment 11 Response to Draft Decision: Cost of Tax</w:t>
      </w:r>
      <w:r>
        <w:t>, January 2016, p. 16</w:t>
      </w:r>
      <w:r w:rsidRPr="00511278">
        <w:t xml:space="preserve">; ActewAGL, </w:t>
      </w:r>
      <w:r w:rsidRPr="00511278">
        <w:rPr>
          <w:rStyle w:val="AERtextitalic"/>
        </w:rPr>
        <w:t>Appendix 5.01 Detailed response to rate of return, gamma and inflation</w:t>
      </w:r>
      <w:r>
        <w:t xml:space="preserve">, January 2016, </w:t>
      </w:r>
      <w:r w:rsidRPr="00511278">
        <w:t>p. </w:t>
      </w:r>
      <w:r>
        <w:t>120</w:t>
      </w:r>
      <w:r w:rsidRPr="00511278">
        <w:t xml:space="preserve">; AusNet Electricity Services, </w:t>
      </w:r>
      <w:r w:rsidRPr="00511278">
        <w:rPr>
          <w:rStyle w:val="AERtextitalic"/>
        </w:rPr>
        <w:t>Revised Regulatory Proposal</w:t>
      </w:r>
      <w:r w:rsidRPr="00511278">
        <w:t>, January 2016, p. </w:t>
      </w:r>
      <w:r>
        <w:t>7-89</w:t>
      </w:r>
      <w:r w:rsidRPr="00511278">
        <w:t xml:space="preserve">; United Energy, </w:t>
      </w:r>
      <w:r w:rsidRPr="00511278">
        <w:rPr>
          <w:rStyle w:val="AERtextitalic"/>
        </w:rPr>
        <w:t>Response to AER Preliminary Determination Re: Rate of return and gamma</w:t>
      </w:r>
      <w:r w:rsidRPr="00511278">
        <w:t>, January 2016, p. </w:t>
      </w:r>
      <w:r>
        <w:t>90</w:t>
      </w:r>
      <w:r w:rsidRPr="00511278">
        <w:t xml:space="preserve">; CitiPower, </w:t>
      </w:r>
      <w:r w:rsidRPr="00511278">
        <w:rPr>
          <w:rStyle w:val="AERtextitalic"/>
        </w:rPr>
        <w:t>Revised Regulatory Proposal 2016-2020</w:t>
      </w:r>
      <w:r w:rsidRPr="00511278">
        <w:t>; January 2016, p. </w:t>
      </w:r>
      <w:r>
        <w:t>368</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97</w:t>
      </w:r>
      <w:r w:rsidRPr="00511278">
        <w:t xml:space="preserve">; Powercor, </w:t>
      </w:r>
      <w:r w:rsidRPr="00511278">
        <w:rPr>
          <w:rStyle w:val="AERtextitalic"/>
        </w:rPr>
        <w:t>Revised Regulatory Proposal 2016-2020</w:t>
      </w:r>
      <w:r w:rsidRPr="00511278">
        <w:t>, January 2016, p. </w:t>
      </w:r>
      <w:r>
        <w:t>362.</w:t>
      </w:r>
    </w:p>
  </w:footnote>
  <w:footnote w:id="804">
    <w:p w:rsidR="00021F98" w:rsidRDefault="00021F98" w:rsidP="00C52695">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805">
    <w:p w:rsidR="00021F98" w:rsidRDefault="00021F98" w:rsidP="00C52695">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806">
    <w:p w:rsidR="00021F98" w:rsidRDefault="00021F98" w:rsidP="00C52695">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rPr>
        <w:t>ANU working paper</w:t>
      </w:r>
      <w:r w:rsidRPr="006C192F">
        <w:t>, 18 June 2013, p. 2 and pp. 8–9</w:t>
      </w:r>
      <w:r>
        <w:t>.</w:t>
      </w:r>
    </w:p>
  </w:footnote>
  <w:footnote w:id="807">
    <w:p w:rsidR="00021F98" w:rsidRDefault="00021F98" w:rsidP="00C52695">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808">
    <w:p w:rsidR="00021F98" w:rsidRDefault="00021F98" w:rsidP="00C52695">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809">
    <w:p w:rsidR="00021F98" w:rsidRDefault="00021F98" w:rsidP="00C52695">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810">
    <w:p w:rsidR="00021F98" w:rsidRDefault="00021F98" w:rsidP="00C52695">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pp. 16–17.</w:t>
      </w:r>
    </w:p>
  </w:footnote>
  <w:footnote w:id="811">
    <w:p w:rsidR="00021F98" w:rsidRDefault="00021F98" w:rsidP="00C52695">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812">
    <w:p w:rsidR="00021F98" w:rsidRDefault="00021F98" w:rsidP="00C52695">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xml:space="preserve">, para. 920. As noted, the ERA has published a revised draft Guideline, which no longer prefers the use of dividend drop off studies: 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813">
    <w:p w:rsidR="00021F98" w:rsidRDefault="00021F98" w:rsidP="00C52695">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814">
    <w:p w:rsidR="00021F98" w:rsidRDefault="00021F98" w:rsidP="00C52695">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815">
    <w:p w:rsidR="00021F98" w:rsidRDefault="00021F98" w:rsidP="00C52695">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816">
    <w:p w:rsidR="00021F98" w:rsidRDefault="00021F98" w:rsidP="00C52695">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 3.</w:t>
      </w:r>
    </w:p>
  </w:footnote>
  <w:footnote w:id="817">
    <w:p w:rsidR="00021F98" w:rsidRDefault="00021F98" w:rsidP="00C52695">
      <w:pPr>
        <w:pStyle w:val="FootnoteText"/>
      </w:pPr>
      <w:r>
        <w:rPr>
          <w:rStyle w:val="FootnoteReference"/>
        </w:rPr>
        <w:footnoteRef/>
      </w:r>
      <w:r>
        <w:t xml:space="preserve"> </w:t>
      </w:r>
      <w:r>
        <w:tab/>
        <w:t xml:space="preserve">M. </w:t>
      </w:r>
      <w:r w:rsidRPr="002B01D6">
        <w:t xml:space="preserve">Lally, </w:t>
      </w:r>
      <w:r w:rsidRPr="00A70E2C">
        <w:rPr>
          <w:rStyle w:val="AERtextitalic"/>
        </w:rPr>
        <w:t>The estimation of gamma</w:t>
      </w:r>
      <w:r>
        <w:t>, 23 November 2013, pp. 3 and 4.</w:t>
      </w:r>
    </w:p>
  </w:footnote>
  <w:footnote w:id="818">
    <w:p w:rsidR="00021F98" w:rsidRDefault="00021F98" w:rsidP="00C52695">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 14.</w:t>
      </w:r>
    </w:p>
  </w:footnote>
  <w:footnote w:id="819">
    <w:p w:rsidR="00021F98" w:rsidRDefault="00021F98" w:rsidP="00C52695">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 38.</w:t>
      </w:r>
    </w:p>
  </w:footnote>
  <w:footnote w:id="820">
    <w:p w:rsidR="00021F98" w:rsidRDefault="00021F98" w:rsidP="00C52695">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pp. 38–47.</w:t>
      </w:r>
    </w:p>
  </w:footnote>
  <w:footnote w:id="821">
    <w:p w:rsidR="00021F98" w:rsidRDefault="00021F98" w:rsidP="00C52695">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pp. 46–47.</w:t>
      </w:r>
    </w:p>
  </w:footnote>
  <w:footnote w:id="822">
    <w:p w:rsidR="00021F98" w:rsidRDefault="00021F98" w:rsidP="00C52695">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823">
    <w:p w:rsidR="00021F98" w:rsidRDefault="00021F98" w:rsidP="00C52695">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824">
    <w:p w:rsidR="00021F98" w:rsidRDefault="00021F98" w:rsidP="00C52695">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825">
    <w:p w:rsidR="00021F98" w:rsidRDefault="00021F98" w:rsidP="00C52695">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21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EEA7C50"/>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C00B7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1">
    <w:nsid w:val="47F53878"/>
    <w:multiLevelType w:val="hybridMultilevel"/>
    <w:tmpl w:val="45E6ECA4"/>
    <w:lvl w:ilvl="0" w:tplc="C406CFC0">
      <w:start w:val="1"/>
      <w:numFmt w:val="upperLetter"/>
      <w:pStyle w:val="Heading7"/>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9B95977"/>
    <w:multiLevelType w:val="hybridMultilevel"/>
    <w:tmpl w:val="12B2A13C"/>
    <w:lvl w:ilvl="0" w:tplc="CC161006">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ECE4384"/>
    <w:multiLevelType w:val="multilevel"/>
    <w:tmpl w:val="82F42BCA"/>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9"/>
  </w:num>
  <w:num w:numId="14">
    <w:abstractNumId w:val="11"/>
  </w:num>
  <w:num w:numId="15">
    <w:abstractNumId w:val="13"/>
  </w:num>
  <w:num w:numId="16">
    <w:abstractNumId w:val="22"/>
  </w:num>
  <w:num w:numId="17">
    <w:abstractNumId w:val="10"/>
  </w:num>
  <w:num w:numId="18">
    <w:abstractNumId w:val="15"/>
  </w:num>
  <w:num w:numId="19">
    <w:abstractNumId w:val="23"/>
  </w:num>
  <w:num w:numId="20">
    <w:abstractNumId w:val="30"/>
  </w:num>
  <w:num w:numId="21">
    <w:abstractNumId w:val="26"/>
  </w:num>
  <w:num w:numId="22">
    <w:abstractNumId w:val="24"/>
  </w:num>
  <w:num w:numId="23">
    <w:abstractNumId w:val="16"/>
  </w:num>
  <w:num w:numId="24">
    <w:abstractNumId w:val="25"/>
  </w:num>
  <w:num w:numId="25">
    <w:abstractNumId w:val="28"/>
  </w:num>
  <w:num w:numId="26">
    <w:abstractNumId w:val="17"/>
  </w:num>
  <w:num w:numId="27">
    <w:abstractNumId w:val="14"/>
  </w:num>
  <w:num w:numId="28">
    <w:abstractNumId w:val="9"/>
  </w:num>
  <w:num w:numId="29">
    <w:abstractNumId w:val="18"/>
  </w:num>
  <w:num w:numId="30">
    <w:abstractNumId w:val="20"/>
  </w:num>
  <w:num w:numId="31">
    <w:abstractNumId w:val="27"/>
  </w:num>
  <w:num w:numId="3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ZqFw4duURFx1b8cK1Elt/wSLjzL6Pi2pOh9NbROGWE0=" w:saltValue="aR1PKfmVCReG5R8p9O+uGA==" w:algorithmName="SHA-256"/>
  <w:defaultTabStop w:val="34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92\AER16 63  AER - Final decision AusNet Services 2017-22 transmission determination - Attachment 4 - Value of imputation credits - April 2017.DOCX"/>
  </w:docVars>
  <w:rsids>
    <w:rsidRoot w:val="00961A4A"/>
    <w:rsid w:val="00001B62"/>
    <w:rsid w:val="000028DB"/>
    <w:rsid w:val="000035FC"/>
    <w:rsid w:val="00005540"/>
    <w:rsid w:val="00011740"/>
    <w:rsid w:val="00013824"/>
    <w:rsid w:val="000169CB"/>
    <w:rsid w:val="00021202"/>
    <w:rsid w:val="00021C2B"/>
    <w:rsid w:val="00021F98"/>
    <w:rsid w:val="00022C1D"/>
    <w:rsid w:val="00023359"/>
    <w:rsid w:val="0002517F"/>
    <w:rsid w:val="00027D9E"/>
    <w:rsid w:val="000335EC"/>
    <w:rsid w:val="0003578C"/>
    <w:rsid w:val="00037690"/>
    <w:rsid w:val="00037D9B"/>
    <w:rsid w:val="000414F1"/>
    <w:rsid w:val="000421CC"/>
    <w:rsid w:val="000531CA"/>
    <w:rsid w:val="000614C5"/>
    <w:rsid w:val="00063247"/>
    <w:rsid w:val="00063F95"/>
    <w:rsid w:val="0006482A"/>
    <w:rsid w:val="0006681A"/>
    <w:rsid w:val="00070F9F"/>
    <w:rsid w:val="0007137B"/>
    <w:rsid w:val="00074101"/>
    <w:rsid w:val="00074FE0"/>
    <w:rsid w:val="00075D94"/>
    <w:rsid w:val="00077389"/>
    <w:rsid w:val="00081628"/>
    <w:rsid w:val="000818BE"/>
    <w:rsid w:val="00083274"/>
    <w:rsid w:val="00085663"/>
    <w:rsid w:val="00085EBF"/>
    <w:rsid w:val="00086871"/>
    <w:rsid w:val="000873B3"/>
    <w:rsid w:val="00094970"/>
    <w:rsid w:val="00095A67"/>
    <w:rsid w:val="00096A14"/>
    <w:rsid w:val="000A057F"/>
    <w:rsid w:val="000A1F39"/>
    <w:rsid w:val="000A20C4"/>
    <w:rsid w:val="000A2DAD"/>
    <w:rsid w:val="000A3020"/>
    <w:rsid w:val="000A3573"/>
    <w:rsid w:val="000A6C7B"/>
    <w:rsid w:val="000B321F"/>
    <w:rsid w:val="000B4231"/>
    <w:rsid w:val="000C17A3"/>
    <w:rsid w:val="000C2B40"/>
    <w:rsid w:val="000C5949"/>
    <w:rsid w:val="000C74C5"/>
    <w:rsid w:val="000C7E9B"/>
    <w:rsid w:val="000D122C"/>
    <w:rsid w:val="000D1DAD"/>
    <w:rsid w:val="000D5934"/>
    <w:rsid w:val="000D7F98"/>
    <w:rsid w:val="000E0D4D"/>
    <w:rsid w:val="000E1819"/>
    <w:rsid w:val="000E4821"/>
    <w:rsid w:val="000E6C72"/>
    <w:rsid w:val="000E71C3"/>
    <w:rsid w:val="000E792B"/>
    <w:rsid w:val="000F2FCF"/>
    <w:rsid w:val="000F4D0A"/>
    <w:rsid w:val="000F6C8F"/>
    <w:rsid w:val="0010101C"/>
    <w:rsid w:val="0010358A"/>
    <w:rsid w:val="001039FF"/>
    <w:rsid w:val="0010651C"/>
    <w:rsid w:val="001125F3"/>
    <w:rsid w:val="00112F3A"/>
    <w:rsid w:val="00113F3B"/>
    <w:rsid w:val="00114985"/>
    <w:rsid w:val="00114B5E"/>
    <w:rsid w:val="00116542"/>
    <w:rsid w:val="00116EB2"/>
    <w:rsid w:val="00116FD8"/>
    <w:rsid w:val="001176FB"/>
    <w:rsid w:val="001203C4"/>
    <w:rsid w:val="00120638"/>
    <w:rsid w:val="001224E1"/>
    <w:rsid w:val="00122E82"/>
    <w:rsid w:val="0012365B"/>
    <w:rsid w:val="00124609"/>
    <w:rsid w:val="0012604C"/>
    <w:rsid w:val="00126272"/>
    <w:rsid w:val="00126A4C"/>
    <w:rsid w:val="00126EC0"/>
    <w:rsid w:val="00130940"/>
    <w:rsid w:val="00131627"/>
    <w:rsid w:val="00132804"/>
    <w:rsid w:val="001362F0"/>
    <w:rsid w:val="001453E4"/>
    <w:rsid w:val="0014573B"/>
    <w:rsid w:val="00146239"/>
    <w:rsid w:val="0014698D"/>
    <w:rsid w:val="001573E4"/>
    <w:rsid w:val="001603C6"/>
    <w:rsid w:val="00160756"/>
    <w:rsid w:val="0017232E"/>
    <w:rsid w:val="00172F87"/>
    <w:rsid w:val="001737FA"/>
    <w:rsid w:val="00173B8F"/>
    <w:rsid w:val="00174102"/>
    <w:rsid w:val="001745BF"/>
    <w:rsid w:val="001754EE"/>
    <w:rsid w:val="00177813"/>
    <w:rsid w:val="00177AB1"/>
    <w:rsid w:val="00180157"/>
    <w:rsid w:val="00180C78"/>
    <w:rsid w:val="00181379"/>
    <w:rsid w:val="00185C55"/>
    <w:rsid w:val="00185CB9"/>
    <w:rsid w:val="00186F77"/>
    <w:rsid w:val="00187D9E"/>
    <w:rsid w:val="00187ED0"/>
    <w:rsid w:val="001908FC"/>
    <w:rsid w:val="001921F2"/>
    <w:rsid w:val="001926A4"/>
    <w:rsid w:val="00192AD5"/>
    <w:rsid w:val="00192B61"/>
    <w:rsid w:val="00193B7C"/>
    <w:rsid w:val="001958F9"/>
    <w:rsid w:val="00197663"/>
    <w:rsid w:val="001A0EE0"/>
    <w:rsid w:val="001A13F8"/>
    <w:rsid w:val="001A1E83"/>
    <w:rsid w:val="001A3115"/>
    <w:rsid w:val="001A5B30"/>
    <w:rsid w:val="001B0EF1"/>
    <w:rsid w:val="001B2BD0"/>
    <w:rsid w:val="001B45A0"/>
    <w:rsid w:val="001B5B96"/>
    <w:rsid w:val="001C6A1D"/>
    <w:rsid w:val="001D055E"/>
    <w:rsid w:val="001D08B7"/>
    <w:rsid w:val="001D288D"/>
    <w:rsid w:val="001D5F36"/>
    <w:rsid w:val="001D5F3E"/>
    <w:rsid w:val="001E0C22"/>
    <w:rsid w:val="001E1DD3"/>
    <w:rsid w:val="001E51E2"/>
    <w:rsid w:val="001E6A60"/>
    <w:rsid w:val="001F0046"/>
    <w:rsid w:val="001F03BD"/>
    <w:rsid w:val="001F41CA"/>
    <w:rsid w:val="001F492E"/>
    <w:rsid w:val="001F50E5"/>
    <w:rsid w:val="001F5A73"/>
    <w:rsid w:val="001F6DA3"/>
    <w:rsid w:val="002010BC"/>
    <w:rsid w:val="002016E7"/>
    <w:rsid w:val="00202E03"/>
    <w:rsid w:val="0020492C"/>
    <w:rsid w:val="002110F5"/>
    <w:rsid w:val="0021402E"/>
    <w:rsid w:val="002145B0"/>
    <w:rsid w:val="002160C8"/>
    <w:rsid w:val="0021673C"/>
    <w:rsid w:val="00220D0D"/>
    <w:rsid w:val="00221105"/>
    <w:rsid w:val="0022448B"/>
    <w:rsid w:val="00224DB9"/>
    <w:rsid w:val="002265F4"/>
    <w:rsid w:val="00226744"/>
    <w:rsid w:val="00226CBF"/>
    <w:rsid w:val="0023036D"/>
    <w:rsid w:val="00231EA7"/>
    <w:rsid w:val="00233264"/>
    <w:rsid w:val="00233775"/>
    <w:rsid w:val="002364FB"/>
    <w:rsid w:val="0024015A"/>
    <w:rsid w:val="00245EB8"/>
    <w:rsid w:val="00246DAF"/>
    <w:rsid w:val="00251745"/>
    <w:rsid w:val="00254FC7"/>
    <w:rsid w:val="0025680D"/>
    <w:rsid w:val="002621B0"/>
    <w:rsid w:val="00263AC0"/>
    <w:rsid w:val="00264264"/>
    <w:rsid w:val="00266B4F"/>
    <w:rsid w:val="0026772D"/>
    <w:rsid w:val="0027092E"/>
    <w:rsid w:val="00273C4F"/>
    <w:rsid w:val="0027533B"/>
    <w:rsid w:val="002808EF"/>
    <w:rsid w:val="00283213"/>
    <w:rsid w:val="00283230"/>
    <w:rsid w:val="00285E87"/>
    <w:rsid w:val="00286874"/>
    <w:rsid w:val="00286D94"/>
    <w:rsid w:val="002876B3"/>
    <w:rsid w:val="00290C63"/>
    <w:rsid w:val="002915B0"/>
    <w:rsid w:val="002928B6"/>
    <w:rsid w:val="00296B65"/>
    <w:rsid w:val="00297C2E"/>
    <w:rsid w:val="002A0C23"/>
    <w:rsid w:val="002A52C5"/>
    <w:rsid w:val="002A5A14"/>
    <w:rsid w:val="002A7318"/>
    <w:rsid w:val="002A7DEF"/>
    <w:rsid w:val="002B1CEA"/>
    <w:rsid w:val="002B41BB"/>
    <w:rsid w:val="002B7973"/>
    <w:rsid w:val="002B7E95"/>
    <w:rsid w:val="002C233C"/>
    <w:rsid w:val="002C3B6E"/>
    <w:rsid w:val="002C7983"/>
    <w:rsid w:val="002D0E02"/>
    <w:rsid w:val="002D0F57"/>
    <w:rsid w:val="002D1212"/>
    <w:rsid w:val="002D52D3"/>
    <w:rsid w:val="002D6646"/>
    <w:rsid w:val="002D72E8"/>
    <w:rsid w:val="002D7AA8"/>
    <w:rsid w:val="002E7B22"/>
    <w:rsid w:val="002F37AE"/>
    <w:rsid w:val="002F4C1F"/>
    <w:rsid w:val="002F7986"/>
    <w:rsid w:val="00300124"/>
    <w:rsid w:val="00301B40"/>
    <w:rsid w:val="003029EE"/>
    <w:rsid w:val="00305764"/>
    <w:rsid w:val="00305CC8"/>
    <w:rsid w:val="00307F6D"/>
    <w:rsid w:val="00313CB3"/>
    <w:rsid w:val="00314175"/>
    <w:rsid w:val="003177A2"/>
    <w:rsid w:val="00320EAB"/>
    <w:rsid w:val="00322148"/>
    <w:rsid w:val="0032245F"/>
    <w:rsid w:val="003249E9"/>
    <w:rsid w:val="003250CB"/>
    <w:rsid w:val="003271B5"/>
    <w:rsid w:val="00327A1E"/>
    <w:rsid w:val="00330980"/>
    <w:rsid w:val="00330D4E"/>
    <w:rsid w:val="00331264"/>
    <w:rsid w:val="00332686"/>
    <w:rsid w:val="00332BB9"/>
    <w:rsid w:val="00334C8D"/>
    <w:rsid w:val="00343A18"/>
    <w:rsid w:val="00345A28"/>
    <w:rsid w:val="003518B3"/>
    <w:rsid w:val="00352F01"/>
    <w:rsid w:val="003547F6"/>
    <w:rsid w:val="00356933"/>
    <w:rsid w:val="003575D8"/>
    <w:rsid w:val="00357F78"/>
    <w:rsid w:val="0036034D"/>
    <w:rsid w:val="003634DD"/>
    <w:rsid w:val="00366113"/>
    <w:rsid w:val="00370FAF"/>
    <w:rsid w:val="00375A31"/>
    <w:rsid w:val="003819D6"/>
    <w:rsid w:val="003846F1"/>
    <w:rsid w:val="003870A9"/>
    <w:rsid w:val="003903F6"/>
    <w:rsid w:val="00396EBB"/>
    <w:rsid w:val="003979E9"/>
    <w:rsid w:val="003A0A04"/>
    <w:rsid w:val="003A0C07"/>
    <w:rsid w:val="003A6595"/>
    <w:rsid w:val="003B39BF"/>
    <w:rsid w:val="003B43D1"/>
    <w:rsid w:val="003B47A6"/>
    <w:rsid w:val="003B484F"/>
    <w:rsid w:val="003B6D7B"/>
    <w:rsid w:val="003B7FBA"/>
    <w:rsid w:val="003C0038"/>
    <w:rsid w:val="003C06B0"/>
    <w:rsid w:val="003C3017"/>
    <w:rsid w:val="003C303F"/>
    <w:rsid w:val="003C3A9C"/>
    <w:rsid w:val="003C5E38"/>
    <w:rsid w:val="003C692F"/>
    <w:rsid w:val="003D222B"/>
    <w:rsid w:val="003D4F01"/>
    <w:rsid w:val="003D598E"/>
    <w:rsid w:val="003D5B8B"/>
    <w:rsid w:val="003F14DA"/>
    <w:rsid w:val="003F15A6"/>
    <w:rsid w:val="003F174D"/>
    <w:rsid w:val="003F3CEB"/>
    <w:rsid w:val="00400514"/>
    <w:rsid w:val="004037F5"/>
    <w:rsid w:val="00403CF0"/>
    <w:rsid w:val="00404C06"/>
    <w:rsid w:val="00407BED"/>
    <w:rsid w:val="004134F9"/>
    <w:rsid w:val="004135F1"/>
    <w:rsid w:val="00413BA1"/>
    <w:rsid w:val="00415F31"/>
    <w:rsid w:val="00420370"/>
    <w:rsid w:val="00423A77"/>
    <w:rsid w:val="00424391"/>
    <w:rsid w:val="00424C45"/>
    <w:rsid w:val="0043011A"/>
    <w:rsid w:val="00434A21"/>
    <w:rsid w:val="0043564A"/>
    <w:rsid w:val="00437CA2"/>
    <w:rsid w:val="00441002"/>
    <w:rsid w:val="004423C9"/>
    <w:rsid w:val="00442493"/>
    <w:rsid w:val="00443010"/>
    <w:rsid w:val="00447094"/>
    <w:rsid w:val="00447949"/>
    <w:rsid w:val="00450764"/>
    <w:rsid w:val="00452BA3"/>
    <w:rsid w:val="0045326E"/>
    <w:rsid w:val="004576F7"/>
    <w:rsid w:val="0045777E"/>
    <w:rsid w:val="00461024"/>
    <w:rsid w:val="0047297F"/>
    <w:rsid w:val="004733FE"/>
    <w:rsid w:val="004741BD"/>
    <w:rsid w:val="00476EB6"/>
    <w:rsid w:val="0048052E"/>
    <w:rsid w:val="00480B4B"/>
    <w:rsid w:val="00483A35"/>
    <w:rsid w:val="00485A29"/>
    <w:rsid w:val="00485DC4"/>
    <w:rsid w:val="0048667E"/>
    <w:rsid w:val="00487822"/>
    <w:rsid w:val="00490FB7"/>
    <w:rsid w:val="00491349"/>
    <w:rsid w:val="00492389"/>
    <w:rsid w:val="004927A4"/>
    <w:rsid w:val="00493F01"/>
    <w:rsid w:val="0049684D"/>
    <w:rsid w:val="004A20C0"/>
    <w:rsid w:val="004A43D1"/>
    <w:rsid w:val="004A640B"/>
    <w:rsid w:val="004A6F75"/>
    <w:rsid w:val="004A7047"/>
    <w:rsid w:val="004A7A28"/>
    <w:rsid w:val="004B0B95"/>
    <w:rsid w:val="004B1B5E"/>
    <w:rsid w:val="004B237A"/>
    <w:rsid w:val="004B4412"/>
    <w:rsid w:val="004C348C"/>
    <w:rsid w:val="004C4498"/>
    <w:rsid w:val="004C667C"/>
    <w:rsid w:val="004D00D8"/>
    <w:rsid w:val="004D178B"/>
    <w:rsid w:val="004D25AD"/>
    <w:rsid w:val="004D4040"/>
    <w:rsid w:val="004D45D1"/>
    <w:rsid w:val="004D4888"/>
    <w:rsid w:val="004D558A"/>
    <w:rsid w:val="004D55BA"/>
    <w:rsid w:val="004D6623"/>
    <w:rsid w:val="004E22EC"/>
    <w:rsid w:val="004E4D73"/>
    <w:rsid w:val="004E55C5"/>
    <w:rsid w:val="004E5CF9"/>
    <w:rsid w:val="004E74F9"/>
    <w:rsid w:val="004F6A0E"/>
    <w:rsid w:val="00500ED3"/>
    <w:rsid w:val="00502F39"/>
    <w:rsid w:val="00503A35"/>
    <w:rsid w:val="00511C89"/>
    <w:rsid w:val="005134DC"/>
    <w:rsid w:val="00514A99"/>
    <w:rsid w:val="005154E4"/>
    <w:rsid w:val="005173FB"/>
    <w:rsid w:val="00524BC1"/>
    <w:rsid w:val="005271EF"/>
    <w:rsid w:val="0052722C"/>
    <w:rsid w:val="00530128"/>
    <w:rsid w:val="005319CD"/>
    <w:rsid w:val="00532467"/>
    <w:rsid w:val="00532F24"/>
    <w:rsid w:val="00540418"/>
    <w:rsid w:val="005410EE"/>
    <w:rsid w:val="00541886"/>
    <w:rsid w:val="00541EFC"/>
    <w:rsid w:val="00544C12"/>
    <w:rsid w:val="00547DB6"/>
    <w:rsid w:val="005516CF"/>
    <w:rsid w:val="0055269A"/>
    <w:rsid w:val="00553342"/>
    <w:rsid w:val="00561339"/>
    <w:rsid w:val="005621D1"/>
    <w:rsid w:val="00564A4D"/>
    <w:rsid w:val="0056734B"/>
    <w:rsid w:val="00567BA5"/>
    <w:rsid w:val="0057145F"/>
    <w:rsid w:val="00571B35"/>
    <w:rsid w:val="00571D57"/>
    <w:rsid w:val="00574CB8"/>
    <w:rsid w:val="00577A09"/>
    <w:rsid w:val="00581D1C"/>
    <w:rsid w:val="00582254"/>
    <w:rsid w:val="005829C2"/>
    <w:rsid w:val="005832AD"/>
    <w:rsid w:val="00584D8F"/>
    <w:rsid w:val="00586F6B"/>
    <w:rsid w:val="0059076A"/>
    <w:rsid w:val="00590C66"/>
    <w:rsid w:val="00591AB8"/>
    <w:rsid w:val="005957B5"/>
    <w:rsid w:val="005A1971"/>
    <w:rsid w:val="005A404D"/>
    <w:rsid w:val="005A48E0"/>
    <w:rsid w:val="005A5848"/>
    <w:rsid w:val="005A64FC"/>
    <w:rsid w:val="005A67B5"/>
    <w:rsid w:val="005A7817"/>
    <w:rsid w:val="005B1E3C"/>
    <w:rsid w:val="005B2BA9"/>
    <w:rsid w:val="005B30A0"/>
    <w:rsid w:val="005B423C"/>
    <w:rsid w:val="005B704A"/>
    <w:rsid w:val="005B77D3"/>
    <w:rsid w:val="005B7E4F"/>
    <w:rsid w:val="005C26CC"/>
    <w:rsid w:val="005C46D8"/>
    <w:rsid w:val="005C5551"/>
    <w:rsid w:val="005D01B1"/>
    <w:rsid w:val="005D2499"/>
    <w:rsid w:val="005D7BA2"/>
    <w:rsid w:val="005E1C36"/>
    <w:rsid w:val="005E2393"/>
    <w:rsid w:val="005E25EB"/>
    <w:rsid w:val="005E2725"/>
    <w:rsid w:val="005E2A05"/>
    <w:rsid w:val="005E2E6D"/>
    <w:rsid w:val="005E36C2"/>
    <w:rsid w:val="005E4605"/>
    <w:rsid w:val="005E594B"/>
    <w:rsid w:val="005F224E"/>
    <w:rsid w:val="005F3CA6"/>
    <w:rsid w:val="005F4F09"/>
    <w:rsid w:val="005F5503"/>
    <w:rsid w:val="005F59F7"/>
    <w:rsid w:val="005F6361"/>
    <w:rsid w:val="005F797E"/>
    <w:rsid w:val="00602BA7"/>
    <w:rsid w:val="0060460E"/>
    <w:rsid w:val="00605C23"/>
    <w:rsid w:val="006067E5"/>
    <w:rsid w:val="00607633"/>
    <w:rsid w:val="00607A28"/>
    <w:rsid w:val="00611EC0"/>
    <w:rsid w:val="00612F4F"/>
    <w:rsid w:val="006141C4"/>
    <w:rsid w:val="00615C6B"/>
    <w:rsid w:val="00621DCE"/>
    <w:rsid w:val="0062564A"/>
    <w:rsid w:val="00630745"/>
    <w:rsid w:val="00630BA8"/>
    <w:rsid w:val="00632C53"/>
    <w:rsid w:val="00632D6D"/>
    <w:rsid w:val="006418BE"/>
    <w:rsid w:val="006425B8"/>
    <w:rsid w:val="00642B2F"/>
    <w:rsid w:val="00642C3E"/>
    <w:rsid w:val="006455B8"/>
    <w:rsid w:val="00647F58"/>
    <w:rsid w:val="00651429"/>
    <w:rsid w:val="00651C88"/>
    <w:rsid w:val="006537AA"/>
    <w:rsid w:val="0066104A"/>
    <w:rsid w:val="00663DAD"/>
    <w:rsid w:val="00664394"/>
    <w:rsid w:val="00666067"/>
    <w:rsid w:val="0066636C"/>
    <w:rsid w:val="00666B2A"/>
    <w:rsid w:val="00675E20"/>
    <w:rsid w:val="00676679"/>
    <w:rsid w:val="00677BC6"/>
    <w:rsid w:val="00682278"/>
    <w:rsid w:val="0068340D"/>
    <w:rsid w:val="00683C89"/>
    <w:rsid w:val="0068558A"/>
    <w:rsid w:val="0069134C"/>
    <w:rsid w:val="006919E7"/>
    <w:rsid w:val="00697C88"/>
    <w:rsid w:val="00697C8E"/>
    <w:rsid w:val="006A08A8"/>
    <w:rsid w:val="006A200A"/>
    <w:rsid w:val="006A3D1E"/>
    <w:rsid w:val="006B14BA"/>
    <w:rsid w:val="006B2395"/>
    <w:rsid w:val="006B4CF9"/>
    <w:rsid w:val="006B5456"/>
    <w:rsid w:val="006B623C"/>
    <w:rsid w:val="006B645D"/>
    <w:rsid w:val="006B7AC8"/>
    <w:rsid w:val="006C032A"/>
    <w:rsid w:val="006C1736"/>
    <w:rsid w:val="006C23B4"/>
    <w:rsid w:val="006C6181"/>
    <w:rsid w:val="006C6D7F"/>
    <w:rsid w:val="006D36C8"/>
    <w:rsid w:val="006D5008"/>
    <w:rsid w:val="006D550F"/>
    <w:rsid w:val="006E09A5"/>
    <w:rsid w:val="006E2795"/>
    <w:rsid w:val="00701CAB"/>
    <w:rsid w:val="00705600"/>
    <w:rsid w:val="00707563"/>
    <w:rsid w:val="00713956"/>
    <w:rsid w:val="00716BBE"/>
    <w:rsid w:val="00720E79"/>
    <w:rsid w:val="007221E9"/>
    <w:rsid w:val="0072348C"/>
    <w:rsid w:val="0072420D"/>
    <w:rsid w:val="00724A37"/>
    <w:rsid w:val="0072638E"/>
    <w:rsid w:val="007303C3"/>
    <w:rsid w:val="00731756"/>
    <w:rsid w:val="007429BE"/>
    <w:rsid w:val="007431C1"/>
    <w:rsid w:val="00743223"/>
    <w:rsid w:val="0074358D"/>
    <w:rsid w:val="00746513"/>
    <w:rsid w:val="00746E01"/>
    <w:rsid w:val="007471FF"/>
    <w:rsid w:val="00747414"/>
    <w:rsid w:val="00747591"/>
    <w:rsid w:val="007521A6"/>
    <w:rsid w:val="00756336"/>
    <w:rsid w:val="00757364"/>
    <w:rsid w:val="00757B4D"/>
    <w:rsid w:val="00757BDF"/>
    <w:rsid w:val="007609D0"/>
    <w:rsid w:val="00760B7C"/>
    <w:rsid w:val="0076179A"/>
    <w:rsid w:val="00763CE4"/>
    <w:rsid w:val="00763E5D"/>
    <w:rsid w:val="007651CE"/>
    <w:rsid w:val="00767740"/>
    <w:rsid w:val="00775206"/>
    <w:rsid w:val="00777EE6"/>
    <w:rsid w:val="00780052"/>
    <w:rsid w:val="00780D9D"/>
    <w:rsid w:val="00782EEA"/>
    <w:rsid w:val="0078557D"/>
    <w:rsid w:val="007856D1"/>
    <w:rsid w:val="007856FF"/>
    <w:rsid w:val="0078679C"/>
    <w:rsid w:val="007904D6"/>
    <w:rsid w:val="00796270"/>
    <w:rsid w:val="00797A7F"/>
    <w:rsid w:val="007A3BE8"/>
    <w:rsid w:val="007A4EAF"/>
    <w:rsid w:val="007A77C1"/>
    <w:rsid w:val="007B04C4"/>
    <w:rsid w:val="007B186E"/>
    <w:rsid w:val="007B2660"/>
    <w:rsid w:val="007B2C72"/>
    <w:rsid w:val="007B3CAB"/>
    <w:rsid w:val="007B43C4"/>
    <w:rsid w:val="007B55A1"/>
    <w:rsid w:val="007C1C53"/>
    <w:rsid w:val="007C48E7"/>
    <w:rsid w:val="007C5B1C"/>
    <w:rsid w:val="007C74BB"/>
    <w:rsid w:val="007D0028"/>
    <w:rsid w:val="007D456E"/>
    <w:rsid w:val="007D69CB"/>
    <w:rsid w:val="007D76DD"/>
    <w:rsid w:val="007E04C5"/>
    <w:rsid w:val="007E2DB7"/>
    <w:rsid w:val="007E3916"/>
    <w:rsid w:val="007E4904"/>
    <w:rsid w:val="007E4CB5"/>
    <w:rsid w:val="007E5EE6"/>
    <w:rsid w:val="007F066B"/>
    <w:rsid w:val="007F1489"/>
    <w:rsid w:val="007F5902"/>
    <w:rsid w:val="007F6EED"/>
    <w:rsid w:val="007F71B2"/>
    <w:rsid w:val="00800904"/>
    <w:rsid w:val="00800A30"/>
    <w:rsid w:val="00800B10"/>
    <w:rsid w:val="008033C4"/>
    <w:rsid w:val="00805CE3"/>
    <w:rsid w:val="00806C88"/>
    <w:rsid w:val="00807D00"/>
    <w:rsid w:val="0081034E"/>
    <w:rsid w:val="00812A72"/>
    <w:rsid w:val="008146B5"/>
    <w:rsid w:val="00814F86"/>
    <w:rsid w:val="00815596"/>
    <w:rsid w:val="00823068"/>
    <w:rsid w:val="00823931"/>
    <w:rsid w:val="00830DAE"/>
    <w:rsid w:val="008344F6"/>
    <w:rsid w:val="0083510F"/>
    <w:rsid w:val="00841096"/>
    <w:rsid w:val="00842AFA"/>
    <w:rsid w:val="0084364B"/>
    <w:rsid w:val="008500FA"/>
    <w:rsid w:val="00850361"/>
    <w:rsid w:val="00850EA5"/>
    <w:rsid w:val="00851209"/>
    <w:rsid w:val="0085365D"/>
    <w:rsid w:val="0085480B"/>
    <w:rsid w:val="00857430"/>
    <w:rsid w:val="00857606"/>
    <w:rsid w:val="00865144"/>
    <w:rsid w:val="00874D14"/>
    <w:rsid w:val="00875062"/>
    <w:rsid w:val="008802AB"/>
    <w:rsid w:val="008819C8"/>
    <w:rsid w:val="00882758"/>
    <w:rsid w:val="008837AC"/>
    <w:rsid w:val="0088616E"/>
    <w:rsid w:val="00886429"/>
    <w:rsid w:val="0088743A"/>
    <w:rsid w:val="00887BE2"/>
    <w:rsid w:val="008919F2"/>
    <w:rsid w:val="0089265C"/>
    <w:rsid w:val="00893A37"/>
    <w:rsid w:val="008A31CC"/>
    <w:rsid w:val="008A587D"/>
    <w:rsid w:val="008B34DF"/>
    <w:rsid w:val="008B35CD"/>
    <w:rsid w:val="008B5FCC"/>
    <w:rsid w:val="008C5486"/>
    <w:rsid w:val="008C7C56"/>
    <w:rsid w:val="008D09C3"/>
    <w:rsid w:val="008D0C4A"/>
    <w:rsid w:val="008D1661"/>
    <w:rsid w:val="008D60DA"/>
    <w:rsid w:val="008D6237"/>
    <w:rsid w:val="008D7509"/>
    <w:rsid w:val="008E1126"/>
    <w:rsid w:val="008E2D57"/>
    <w:rsid w:val="008E3F2C"/>
    <w:rsid w:val="008E7031"/>
    <w:rsid w:val="008E77DE"/>
    <w:rsid w:val="008F07A3"/>
    <w:rsid w:val="008F407D"/>
    <w:rsid w:val="008F4235"/>
    <w:rsid w:val="008F4739"/>
    <w:rsid w:val="009001B6"/>
    <w:rsid w:val="00900997"/>
    <w:rsid w:val="00900E1B"/>
    <w:rsid w:val="0090431C"/>
    <w:rsid w:val="00910E36"/>
    <w:rsid w:val="009119B6"/>
    <w:rsid w:val="00912E57"/>
    <w:rsid w:val="00913303"/>
    <w:rsid w:val="00917D55"/>
    <w:rsid w:val="00917EFE"/>
    <w:rsid w:val="00922C6D"/>
    <w:rsid w:val="009233EE"/>
    <w:rsid w:val="00927008"/>
    <w:rsid w:val="00927B0B"/>
    <w:rsid w:val="00932CE6"/>
    <w:rsid w:val="00933EC6"/>
    <w:rsid w:val="0093432E"/>
    <w:rsid w:val="00936ADD"/>
    <w:rsid w:val="00942BBE"/>
    <w:rsid w:val="00944227"/>
    <w:rsid w:val="00944318"/>
    <w:rsid w:val="00944EFE"/>
    <w:rsid w:val="009460AA"/>
    <w:rsid w:val="00946DE4"/>
    <w:rsid w:val="0094731F"/>
    <w:rsid w:val="00951978"/>
    <w:rsid w:val="0095204D"/>
    <w:rsid w:val="009528C0"/>
    <w:rsid w:val="00957389"/>
    <w:rsid w:val="009608B3"/>
    <w:rsid w:val="00961A4A"/>
    <w:rsid w:val="00962A4A"/>
    <w:rsid w:val="00962DCD"/>
    <w:rsid w:val="009661DE"/>
    <w:rsid w:val="009701ED"/>
    <w:rsid w:val="009704EE"/>
    <w:rsid w:val="00972820"/>
    <w:rsid w:val="00983C25"/>
    <w:rsid w:val="009856B7"/>
    <w:rsid w:val="00985C86"/>
    <w:rsid w:val="00986246"/>
    <w:rsid w:val="009900E7"/>
    <w:rsid w:val="00996349"/>
    <w:rsid w:val="00996A8E"/>
    <w:rsid w:val="00997BDC"/>
    <w:rsid w:val="009A213E"/>
    <w:rsid w:val="009A39D8"/>
    <w:rsid w:val="009A3D22"/>
    <w:rsid w:val="009A5F3E"/>
    <w:rsid w:val="009A5FC3"/>
    <w:rsid w:val="009A643F"/>
    <w:rsid w:val="009A78E0"/>
    <w:rsid w:val="009A7D9D"/>
    <w:rsid w:val="009B090B"/>
    <w:rsid w:val="009B20EA"/>
    <w:rsid w:val="009B225F"/>
    <w:rsid w:val="009B3B0D"/>
    <w:rsid w:val="009B4DFC"/>
    <w:rsid w:val="009B74B0"/>
    <w:rsid w:val="009C009A"/>
    <w:rsid w:val="009C0D47"/>
    <w:rsid w:val="009C153C"/>
    <w:rsid w:val="009C171C"/>
    <w:rsid w:val="009C5004"/>
    <w:rsid w:val="009C78E8"/>
    <w:rsid w:val="009C7B80"/>
    <w:rsid w:val="009D3906"/>
    <w:rsid w:val="009D6B46"/>
    <w:rsid w:val="009E16C6"/>
    <w:rsid w:val="009E5DB0"/>
    <w:rsid w:val="009F08EB"/>
    <w:rsid w:val="009F3543"/>
    <w:rsid w:val="009F4940"/>
    <w:rsid w:val="009F4F9D"/>
    <w:rsid w:val="009F5BA1"/>
    <w:rsid w:val="00A02A88"/>
    <w:rsid w:val="00A041D8"/>
    <w:rsid w:val="00A0562E"/>
    <w:rsid w:val="00A0726D"/>
    <w:rsid w:val="00A11A7C"/>
    <w:rsid w:val="00A126CC"/>
    <w:rsid w:val="00A12D71"/>
    <w:rsid w:val="00A20F7E"/>
    <w:rsid w:val="00A23281"/>
    <w:rsid w:val="00A3116F"/>
    <w:rsid w:val="00A316DD"/>
    <w:rsid w:val="00A32FBB"/>
    <w:rsid w:val="00A344D3"/>
    <w:rsid w:val="00A41A5B"/>
    <w:rsid w:val="00A42583"/>
    <w:rsid w:val="00A428EE"/>
    <w:rsid w:val="00A436D9"/>
    <w:rsid w:val="00A4478A"/>
    <w:rsid w:val="00A44852"/>
    <w:rsid w:val="00A502D4"/>
    <w:rsid w:val="00A534B7"/>
    <w:rsid w:val="00A5534F"/>
    <w:rsid w:val="00A56DF6"/>
    <w:rsid w:val="00A57D04"/>
    <w:rsid w:val="00A60A26"/>
    <w:rsid w:val="00A61598"/>
    <w:rsid w:val="00A61B2F"/>
    <w:rsid w:val="00A63EDD"/>
    <w:rsid w:val="00A704B2"/>
    <w:rsid w:val="00A81177"/>
    <w:rsid w:val="00A828D8"/>
    <w:rsid w:val="00A84A99"/>
    <w:rsid w:val="00A84F46"/>
    <w:rsid w:val="00A871DE"/>
    <w:rsid w:val="00A871F4"/>
    <w:rsid w:val="00A914ED"/>
    <w:rsid w:val="00A91911"/>
    <w:rsid w:val="00A962CC"/>
    <w:rsid w:val="00AA3B8E"/>
    <w:rsid w:val="00AA3CB2"/>
    <w:rsid w:val="00AA4603"/>
    <w:rsid w:val="00AA582F"/>
    <w:rsid w:val="00AA6387"/>
    <w:rsid w:val="00AA7999"/>
    <w:rsid w:val="00AA7F24"/>
    <w:rsid w:val="00AB2275"/>
    <w:rsid w:val="00AB2A83"/>
    <w:rsid w:val="00AB4D90"/>
    <w:rsid w:val="00AC0C43"/>
    <w:rsid w:val="00AC1B2C"/>
    <w:rsid w:val="00AC1DFF"/>
    <w:rsid w:val="00AC26C8"/>
    <w:rsid w:val="00AC3264"/>
    <w:rsid w:val="00AC43D6"/>
    <w:rsid w:val="00AC44F5"/>
    <w:rsid w:val="00AC4546"/>
    <w:rsid w:val="00AC67DA"/>
    <w:rsid w:val="00AD35FD"/>
    <w:rsid w:val="00AD585A"/>
    <w:rsid w:val="00AD7E20"/>
    <w:rsid w:val="00AE0569"/>
    <w:rsid w:val="00AE1BF1"/>
    <w:rsid w:val="00AE6459"/>
    <w:rsid w:val="00AF0DD2"/>
    <w:rsid w:val="00AF1BD9"/>
    <w:rsid w:val="00AF36A7"/>
    <w:rsid w:val="00B01367"/>
    <w:rsid w:val="00B01A20"/>
    <w:rsid w:val="00B03101"/>
    <w:rsid w:val="00B06C2F"/>
    <w:rsid w:val="00B12938"/>
    <w:rsid w:val="00B13048"/>
    <w:rsid w:val="00B1716D"/>
    <w:rsid w:val="00B17A1D"/>
    <w:rsid w:val="00B207A0"/>
    <w:rsid w:val="00B20921"/>
    <w:rsid w:val="00B217BD"/>
    <w:rsid w:val="00B21DBF"/>
    <w:rsid w:val="00B2303F"/>
    <w:rsid w:val="00B2397A"/>
    <w:rsid w:val="00B26935"/>
    <w:rsid w:val="00B330D7"/>
    <w:rsid w:val="00B424C0"/>
    <w:rsid w:val="00B428E3"/>
    <w:rsid w:val="00B449E0"/>
    <w:rsid w:val="00B505F7"/>
    <w:rsid w:val="00B51329"/>
    <w:rsid w:val="00B514DD"/>
    <w:rsid w:val="00B519E2"/>
    <w:rsid w:val="00B52287"/>
    <w:rsid w:val="00B52AF0"/>
    <w:rsid w:val="00B561BD"/>
    <w:rsid w:val="00B56E03"/>
    <w:rsid w:val="00B57E75"/>
    <w:rsid w:val="00B62735"/>
    <w:rsid w:val="00B630B5"/>
    <w:rsid w:val="00B64DFC"/>
    <w:rsid w:val="00B7446E"/>
    <w:rsid w:val="00B8080B"/>
    <w:rsid w:val="00B80970"/>
    <w:rsid w:val="00B80A25"/>
    <w:rsid w:val="00B82223"/>
    <w:rsid w:val="00B84FF5"/>
    <w:rsid w:val="00B850CF"/>
    <w:rsid w:val="00B87BA5"/>
    <w:rsid w:val="00B87C39"/>
    <w:rsid w:val="00B9562D"/>
    <w:rsid w:val="00B961C0"/>
    <w:rsid w:val="00B9733D"/>
    <w:rsid w:val="00B97844"/>
    <w:rsid w:val="00BA0BE9"/>
    <w:rsid w:val="00BA4665"/>
    <w:rsid w:val="00BA6BF6"/>
    <w:rsid w:val="00BA6E01"/>
    <w:rsid w:val="00BB2B15"/>
    <w:rsid w:val="00BB2FB2"/>
    <w:rsid w:val="00BB3304"/>
    <w:rsid w:val="00BB4E44"/>
    <w:rsid w:val="00BB71EE"/>
    <w:rsid w:val="00BC08F9"/>
    <w:rsid w:val="00BC11CF"/>
    <w:rsid w:val="00BC1E8B"/>
    <w:rsid w:val="00BD2C2C"/>
    <w:rsid w:val="00BD3446"/>
    <w:rsid w:val="00BD5D87"/>
    <w:rsid w:val="00BD6891"/>
    <w:rsid w:val="00BE1F1B"/>
    <w:rsid w:val="00BE47B5"/>
    <w:rsid w:val="00BE4FFA"/>
    <w:rsid w:val="00BF1C4B"/>
    <w:rsid w:val="00BF2DCE"/>
    <w:rsid w:val="00BF378B"/>
    <w:rsid w:val="00BF534C"/>
    <w:rsid w:val="00BF76FE"/>
    <w:rsid w:val="00C0053F"/>
    <w:rsid w:val="00C03DF6"/>
    <w:rsid w:val="00C0453E"/>
    <w:rsid w:val="00C05325"/>
    <w:rsid w:val="00C062AF"/>
    <w:rsid w:val="00C13381"/>
    <w:rsid w:val="00C13700"/>
    <w:rsid w:val="00C21B8A"/>
    <w:rsid w:val="00C22762"/>
    <w:rsid w:val="00C25A56"/>
    <w:rsid w:val="00C25FA6"/>
    <w:rsid w:val="00C2638E"/>
    <w:rsid w:val="00C26737"/>
    <w:rsid w:val="00C27763"/>
    <w:rsid w:val="00C32CF1"/>
    <w:rsid w:val="00C41752"/>
    <w:rsid w:val="00C420BC"/>
    <w:rsid w:val="00C430A8"/>
    <w:rsid w:val="00C43D62"/>
    <w:rsid w:val="00C4561A"/>
    <w:rsid w:val="00C4634F"/>
    <w:rsid w:val="00C4792B"/>
    <w:rsid w:val="00C52695"/>
    <w:rsid w:val="00C52A14"/>
    <w:rsid w:val="00C538A9"/>
    <w:rsid w:val="00C53B5A"/>
    <w:rsid w:val="00C54418"/>
    <w:rsid w:val="00C54F5A"/>
    <w:rsid w:val="00C569B4"/>
    <w:rsid w:val="00C56A93"/>
    <w:rsid w:val="00C6204B"/>
    <w:rsid w:val="00C6205E"/>
    <w:rsid w:val="00C628EE"/>
    <w:rsid w:val="00C639B9"/>
    <w:rsid w:val="00C641FD"/>
    <w:rsid w:val="00C67A92"/>
    <w:rsid w:val="00C70961"/>
    <w:rsid w:val="00C72D05"/>
    <w:rsid w:val="00C81758"/>
    <w:rsid w:val="00C84560"/>
    <w:rsid w:val="00C845C2"/>
    <w:rsid w:val="00C84AEE"/>
    <w:rsid w:val="00C86679"/>
    <w:rsid w:val="00C8739E"/>
    <w:rsid w:val="00C923B2"/>
    <w:rsid w:val="00C94140"/>
    <w:rsid w:val="00CA0803"/>
    <w:rsid w:val="00CA2D09"/>
    <w:rsid w:val="00CA489E"/>
    <w:rsid w:val="00CA58E1"/>
    <w:rsid w:val="00CA67ED"/>
    <w:rsid w:val="00CA6B82"/>
    <w:rsid w:val="00CA7D6A"/>
    <w:rsid w:val="00CB0279"/>
    <w:rsid w:val="00CB04CA"/>
    <w:rsid w:val="00CB3A71"/>
    <w:rsid w:val="00CB5775"/>
    <w:rsid w:val="00CB60DB"/>
    <w:rsid w:val="00CB666B"/>
    <w:rsid w:val="00CC0912"/>
    <w:rsid w:val="00CC480F"/>
    <w:rsid w:val="00CC7F1D"/>
    <w:rsid w:val="00CD04C8"/>
    <w:rsid w:val="00CD38B5"/>
    <w:rsid w:val="00CD51D7"/>
    <w:rsid w:val="00CD67EE"/>
    <w:rsid w:val="00CE484B"/>
    <w:rsid w:val="00CE54A1"/>
    <w:rsid w:val="00CE6AF5"/>
    <w:rsid w:val="00CE7B95"/>
    <w:rsid w:val="00CF236B"/>
    <w:rsid w:val="00CF3D56"/>
    <w:rsid w:val="00CF3F33"/>
    <w:rsid w:val="00CF4EC3"/>
    <w:rsid w:val="00CF6177"/>
    <w:rsid w:val="00CF66C7"/>
    <w:rsid w:val="00D006AE"/>
    <w:rsid w:val="00D01CF0"/>
    <w:rsid w:val="00D0442A"/>
    <w:rsid w:val="00D04AA1"/>
    <w:rsid w:val="00D054B0"/>
    <w:rsid w:val="00D0581B"/>
    <w:rsid w:val="00D07909"/>
    <w:rsid w:val="00D13E52"/>
    <w:rsid w:val="00D1563D"/>
    <w:rsid w:val="00D157E2"/>
    <w:rsid w:val="00D17061"/>
    <w:rsid w:val="00D20596"/>
    <w:rsid w:val="00D205DF"/>
    <w:rsid w:val="00D2154B"/>
    <w:rsid w:val="00D22131"/>
    <w:rsid w:val="00D226F0"/>
    <w:rsid w:val="00D232C2"/>
    <w:rsid w:val="00D27530"/>
    <w:rsid w:val="00D27E51"/>
    <w:rsid w:val="00D30ACF"/>
    <w:rsid w:val="00D31492"/>
    <w:rsid w:val="00D325B8"/>
    <w:rsid w:val="00D32E5E"/>
    <w:rsid w:val="00D414CC"/>
    <w:rsid w:val="00D45F43"/>
    <w:rsid w:val="00D5616B"/>
    <w:rsid w:val="00D61388"/>
    <w:rsid w:val="00D61A54"/>
    <w:rsid w:val="00D626D1"/>
    <w:rsid w:val="00D62D25"/>
    <w:rsid w:val="00D63D0F"/>
    <w:rsid w:val="00D647C5"/>
    <w:rsid w:val="00D64DEA"/>
    <w:rsid w:val="00D64E74"/>
    <w:rsid w:val="00D65957"/>
    <w:rsid w:val="00D7168E"/>
    <w:rsid w:val="00D719B9"/>
    <w:rsid w:val="00D71E57"/>
    <w:rsid w:val="00D7360C"/>
    <w:rsid w:val="00D7512E"/>
    <w:rsid w:val="00D75204"/>
    <w:rsid w:val="00D75E7C"/>
    <w:rsid w:val="00D7695B"/>
    <w:rsid w:val="00D76D53"/>
    <w:rsid w:val="00D80893"/>
    <w:rsid w:val="00D81354"/>
    <w:rsid w:val="00D819BF"/>
    <w:rsid w:val="00D83160"/>
    <w:rsid w:val="00D84854"/>
    <w:rsid w:val="00D85A4C"/>
    <w:rsid w:val="00D85C45"/>
    <w:rsid w:val="00D92681"/>
    <w:rsid w:val="00D92CF1"/>
    <w:rsid w:val="00D92D38"/>
    <w:rsid w:val="00D950F5"/>
    <w:rsid w:val="00D978D9"/>
    <w:rsid w:val="00D979B2"/>
    <w:rsid w:val="00DA154B"/>
    <w:rsid w:val="00DA4752"/>
    <w:rsid w:val="00DA4BFB"/>
    <w:rsid w:val="00DA5171"/>
    <w:rsid w:val="00DA61F3"/>
    <w:rsid w:val="00DA6A65"/>
    <w:rsid w:val="00DB09A8"/>
    <w:rsid w:val="00DB0F93"/>
    <w:rsid w:val="00DB1A67"/>
    <w:rsid w:val="00DB1A82"/>
    <w:rsid w:val="00DB48C6"/>
    <w:rsid w:val="00DB5074"/>
    <w:rsid w:val="00DB68C3"/>
    <w:rsid w:val="00DB720E"/>
    <w:rsid w:val="00DB750D"/>
    <w:rsid w:val="00DC1EEF"/>
    <w:rsid w:val="00DC246F"/>
    <w:rsid w:val="00DC5D3C"/>
    <w:rsid w:val="00DC7981"/>
    <w:rsid w:val="00DD026D"/>
    <w:rsid w:val="00DD0283"/>
    <w:rsid w:val="00DD280B"/>
    <w:rsid w:val="00DD379C"/>
    <w:rsid w:val="00DD4301"/>
    <w:rsid w:val="00DD4941"/>
    <w:rsid w:val="00DD57D7"/>
    <w:rsid w:val="00DD71F3"/>
    <w:rsid w:val="00DE1093"/>
    <w:rsid w:val="00DE3646"/>
    <w:rsid w:val="00DE3695"/>
    <w:rsid w:val="00DE4EFA"/>
    <w:rsid w:val="00DE5520"/>
    <w:rsid w:val="00DE563D"/>
    <w:rsid w:val="00DE717B"/>
    <w:rsid w:val="00DF1C36"/>
    <w:rsid w:val="00DF30C3"/>
    <w:rsid w:val="00DF462C"/>
    <w:rsid w:val="00DF5547"/>
    <w:rsid w:val="00DF7A54"/>
    <w:rsid w:val="00E0248B"/>
    <w:rsid w:val="00E04818"/>
    <w:rsid w:val="00E05498"/>
    <w:rsid w:val="00E06442"/>
    <w:rsid w:val="00E10FAC"/>
    <w:rsid w:val="00E11684"/>
    <w:rsid w:val="00E119AC"/>
    <w:rsid w:val="00E12C10"/>
    <w:rsid w:val="00E14A44"/>
    <w:rsid w:val="00E21D08"/>
    <w:rsid w:val="00E21D48"/>
    <w:rsid w:val="00E21E18"/>
    <w:rsid w:val="00E2259C"/>
    <w:rsid w:val="00E23993"/>
    <w:rsid w:val="00E24154"/>
    <w:rsid w:val="00E25B8C"/>
    <w:rsid w:val="00E268FF"/>
    <w:rsid w:val="00E26B5E"/>
    <w:rsid w:val="00E30CB4"/>
    <w:rsid w:val="00E30F6E"/>
    <w:rsid w:val="00E365A7"/>
    <w:rsid w:val="00E37CE4"/>
    <w:rsid w:val="00E4076C"/>
    <w:rsid w:val="00E43353"/>
    <w:rsid w:val="00E43C30"/>
    <w:rsid w:val="00E44905"/>
    <w:rsid w:val="00E4542B"/>
    <w:rsid w:val="00E46526"/>
    <w:rsid w:val="00E47334"/>
    <w:rsid w:val="00E5634C"/>
    <w:rsid w:val="00E575F9"/>
    <w:rsid w:val="00E57D43"/>
    <w:rsid w:val="00E60B6C"/>
    <w:rsid w:val="00E6185B"/>
    <w:rsid w:val="00E622F2"/>
    <w:rsid w:val="00E63766"/>
    <w:rsid w:val="00E65C85"/>
    <w:rsid w:val="00E66199"/>
    <w:rsid w:val="00E66D21"/>
    <w:rsid w:val="00E678B4"/>
    <w:rsid w:val="00E707D5"/>
    <w:rsid w:val="00E72A4A"/>
    <w:rsid w:val="00E72AEB"/>
    <w:rsid w:val="00E73A9E"/>
    <w:rsid w:val="00E750F8"/>
    <w:rsid w:val="00E755EC"/>
    <w:rsid w:val="00E7624D"/>
    <w:rsid w:val="00E8071F"/>
    <w:rsid w:val="00E84AD8"/>
    <w:rsid w:val="00E85280"/>
    <w:rsid w:val="00E91AA4"/>
    <w:rsid w:val="00E97452"/>
    <w:rsid w:val="00EA0691"/>
    <w:rsid w:val="00EA1B54"/>
    <w:rsid w:val="00EA1D26"/>
    <w:rsid w:val="00EA2249"/>
    <w:rsid w:val="00EA2FC2"/>
    <w:rsid w:val="00EA3C68"/>
    <w:rsid w:val="00EA3D42"/>
    <w:rsid w:val="00EA54D5"/>
    <w:rsid w:val="00EA6B1B"/>
    <w:rsid w:val="00EB0238"/>
    <w:rsid w:val="00EB0D94"/>
    <w:rsid w:val="00EB58A2"/>
    <w:rsid w:val="00EB5E79"/>
    <w:rsid w:val="00EC04F1"/>
    <w:rsid w:val="00EC4C53"/>
    <w:rsid w:val="00EC7124"/>
    <w:rsid w:val="00ED2A57"/>
    <w:rsid w:val="00ED4259"/>
    <w:rsid w:val="00ED5BD3"/>
    <w:rsid w:val="00ED7323"/>
    <w:rsid w:val="00EE209C"/>
    <w:rsid w:val="00EE2785"/>
    <w:rsid w:val="00EE28F3"/>
    <w:rsid w:val="00EE34C4"/>
    <w:rsid w:val="00EE4781"/>
    <w:rsid w:val="00EE50D1"/>
    <w:rsid w:val="00EE68FB"/>
    <w:rsid w:val="00EF2DC5"/>
    <w:rsid w:val="00EF5110"/>
    <w:rsid w:val="00EF590B"/>
    <w:rsid w:val="00EF6D51"/>
    <w:rsid w:val="00F00740"/>
    <w:rsid w:val="00F0657E"/>
    <w:rsid w:val="00F0689C"/>
    <w:rsid w:val="00F07197"/>
    <w:rsid w:val="00F10411"/>
    <w:rsid w:val="00F11F36"/>
    <w:rsid w:val="00F143A3"/>
    <w:rsid w:val="00F15882"/>
    <w:rsid w:val="00F171E0"/>
    <w:rsid w:val="00F20BD3"/>
    <w:rsid w:val="00F24840"/>
    <w:rsid w:val="00F24DB2"/>
    <w:rsid w:val="00F27F31"/>
    <w:rsid w:val="00F32DCE"/>
    <w:rsid w:val="00F33D1C"/>
    <w:rsid w:val="00F34CD4"/>
    <w:rsid w:val="00F354FC"/>
    <w:rsid w:val="00F373A5"/>
    <w:rsid w:val="00F439A9"/>
    <w:rsid w:val="00F45579"/>
    <w:rsid w:val="00F46E3F"/>
    <w:rsid w:val="00F47559"/>
    <w:rsid w:val="00F5204A"/>
    <w:rsid w:val="00F547E5"/>
    <w:rsid w:val="00F56E3D"/>
    <w:rsid w:val="00F64C7B"/>
    <w:rsid w:val="00F676DD"/>
    <w:rsid w:val="00F7048E"/>
    <w:rsid w:val="00F7230D"/>
    <w:rsid w:val="00F72F52"/>
    <w:rsid w:val="00F730F4"/>
    <w:rsid w:val="00F73143"/>
    <w:rsid w:val="00F75877"/>
    <w:rsid w:val="00F75A26"/>
    <w:rsid w:val="00F7654C"/>
    <w:rsid w:val="00F76631"/>
    <w:rsid w:val="00F76706"/>
    <w:rsid w:val="00F809D6"/>
    <w:rsid w:val="00F81503"/>
    <w:rsid w:val="00F81E28"/>
    <w:rsid w:val="00F83AA7"/>
    <w:rsid w:val="00F83FAD"/>
    <w:rsid w:val="00F87965"/>
    <w:rsid w:val="00F952A0"/>
    <w:rsid w:val="00F96E4A"/>
    <w:rsid w:val="00FA0D11"/>
    <w:rsid w:val="00FA19F3"/>
    <w:rsid w:val="00FA2A41"/>
    <w:rsid w:val="00FA3C7F"/>
    <w:rsid w:val="00FB5334"/>
    <w:rsid w:val="00FB60FE"/>
    <w:rsid w:val="00FB6CA0"/>
    <w:rsid w:val="00FB74E2"/>
    <w:rsid w:val="00FC3D7B"/>
    <w:rsid w:val="00FD3860"/>
    <w:rsid w:val="00FD5614"/>
    <w:rsid w:val="00FD5E78"/>
    <w:rsid w:val="00FD6B9E"/>
    <w:rsid w:val="00FE0BE1"/>
    <w:rsid w:val="00FE1A21"/>
    <w:rsid w:val="00FE1DE9"/>
    <w:rsid w:val="00FE3642"/>
    <w:rsid w:val="00FE36AF"/>
    <w:rsid w:val="00FE39C2"/>
    <w:rsid w:val="00FE3C32"/>
    <w:rsid w:val="00FE4FB2"/>
    <w:rsid w:val="00FE50AF"/>
    <w:rsid w:val="00FE55BF"/>
    <w:rsid w:val="00FE64AE"/>
    <w:rsid w:val="00FF3134"/>
    <w:rsid w:val="00FF38EE"/>
    <w:rsid w:val="00FF43DC"/>
    <w:rsid w:val="00FF7A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AD585A"/>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021F98"/>
    <w:pPr>
      <w:numPr>
        <w:numId w:val="32"/>
      </w:numPr>
      <w:tabs>
        <w:tab w:val="clear" w:pos="680"/>
        <w:tab w:val="left" w:pos="1021"/>
      </w:tabs>
      <w:ind w:left="357" w:hanging="357"/>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021F98"/>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66636C"/>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C52695"/>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C52695"/>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C52695"/>
    <w:rPr>
      <w:rFonts w:ascii="Verdana" w:eastAsia="Times New Roman" w:hAnsi="Verdana" w:cs="Times New Roman"/>
      <w:sz w:val="24"/>
      <w:szCs w:val="24"/>
      <w:lang w:eastAsia="en-AU"/>
    </w:rPr>
  </w:style>
  <w:style w:type="paragraph" w:styleId="BodyText">
    <w:name w:val="Body Text"/>
    <w:basedOn w:val="Normal"/>
    <w:link w:val="BodyTextChar"/>
    <w:unhideWhenUsed/>
    <w:rsid w:val="00C52695"/>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rsid w:val="00C52695"/>
    <w:rPr>
      <w:rFonts w:ascii="Gautami" w:eastAsia="Calibri" w:hAnsi="Gautami" w:cs="Times New Roman"/>
      <w:sz w:val="20"/>
      <w:szCs w:val="20"/>
    </w:rPr>
  </w:style>
  <w:style w:type="paragraph" w:styleId="BodyTextIndent3">
    <w:name w:val="Body Text Indent 3"/>
    <w:basedOn w:val="Normal"/>
    <w:link w:val="BodyTextIndent3Char"/>
    <w:rsid w:val="00C52695"/>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C52695"/>
    <w:rPr>
      <w:rFonts w:ascii="Arial Narrow" w:eastAsia="Times New Roman" w:hAnsi="Arial Narrow" w:cs="Times New Roman"/>
      <w:sz w:val="24"/>
      <w:szCs w:val="20"/>
      <w:lang w:val="en-US" w:eastAsia="en-AU"/>
    </w:rPr>
  </w:style>
  <w:style w:type="numbering" w:styleId="ArticleSection">
    <w:name w:val="Outline List 3"/>
    <w:basedOn w:val="NoList"/>
    <w:semiHidden/>
    <w:rsid w:val="00C52695"/>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AD585A"/>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021F98"/>
    <w:pPr>
      <w:numPr>
        <w:numId w:val="32"/>
      </w:numPr>
      <w:tabs>
        <w:tab w:val="clear" w:pos="680"/>
        <w:tab w:val="left" w:pos="1021"/>
      </w:tabs>
      <w:ind w:left="357" w:hanging="357"/>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021F98"/>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66636C"/>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C52695"/>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C52695"/>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C52695"/>
    <w:rPr>
      <w:rFonts w:ascii="Verdana" w:eastAsia="Times New Roman" w:hAnsi="Verdana" w:cs="Times New Roman"/>
      <w:sz w:val="24"/>
      <w:szCs w:val="24"/>
      <w:lang w:eastAsia="en-AU"/>
    </w:rPr>
  </w:style>
  <w:style w:type="paragraph" w:styleId="BodyText">
    <w:name w:val="Body Text"/>
    <w:basedOn w:val="Normal"/>
    <w:link w:val="BodyTextChar"/>
    <w:unhideWhenUsed/>
    <w:rsid w:val="00C52695"/>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rsid w:val="00C52695"/>
    <w:rPr>
      <w:rFonts w:ascii="Gautami" w:eastAsia="Calibri" w:hAnsi="Gautami" w:cs="Times New Roman"/>
      <w:sz w:val="20"/>
      <w:szCs w:val="20"/>
    </w:rPr>
  </w:style>
  <w:style w:type="paragraph" w:styleId="BodyTextIndent3">
    <w:name w:val="Body Text Indent 3"/>
    <w:basedOn w:val="Normal"/>
    <w:link w:val="BodyTextIndent3Char"/>
    <w:rsid w:val="00C52695"/>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C52695"/>
    <w:rPr>
      <w:rFonts w:ascii="Arial Narrow" w:eastAsia="Times New Roman" w:hAnsi="Arial Narrow" w:cs="Times New Roman"/>
      <w:sz w:val="24"/>
      <w:szCs w:val="20"/>
      <w:lang w:val="en-US" w:eastAsia="en-AU"/>
    </w:rPr>
  </w:style>
  <w:style w:type="numbering" w:styleId="ArticleSection">
    <w:name w:val="Outline List 3"/>
    <w:basedOn w:val="NoList"/>
    <w:semiHidden/>
    <w:rsid w:val="00C5269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chart" Target="charts/chart1.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image" Target="media/image6.emf"/><Relationship Id="rId10" Type="http://schemas.openxmlformats.org/officeDocument/2006/relationships/image" Target="media/image1.jpeg"/><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5.e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smyc\AppData\Local\Microsoft\Windows\Temporary%20Internet%20Files\Content.Outlook\0B6F3HHR\Equity_ownership_approach_calculations_-_data_to_December_2016_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Listed equity</c:v>
          </c:tx>
          <c:marker>
            <c:symbol val="none"/>
          </c:marker>
          <c:cat>
            <c:numRef>
              <c:f>Listed_byownership!$AY$1:$DL$1</c:f>
              <c:numCache>
                <c:formatCode>mmm\-yyyy</c:formatCode>
                <c:ptCount val="66"/>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pt idx="62">
                  <c:v>42430</c:v>
                </c:pt>
                <c:pt idx="63">
                  <c:v>42522</c:v>
                </c:pt>
                <c:pt idx="64">
                  <c:v>42614</c:v>
                </c:pt>
                <c:pt idx="65">
                  <c:v>42705</c:v>
                </c:pt>
              </c:numCache>
            </c:numRef>
          </c:cat>
          <c:val>
            <c:numRef>
              <c:f>Listed_byownership!$AY$26:$DL$26</c:f>
              <c:numCache>
                <c:formatCode>0.000</c:formatCode>
                <c:ptCount val="66"/>
                <c:pt idx="0">
                  <c:v>0.51331445057490632</c:v>
                </c:pt>
                <c:pt idx="1">
                  <c:v>0.54740179008912082</c:v>
                </c:pt>
                <c:pt idx="2">
                  <c:v>0.54310171127191231</c:v>
                </c:pt>
                <c:pt idx="3">
                  <c:v>0.53875567644088151</c:v>
                </c:pt>
                <c:pt idx="4">
                  <c:v>0.51811696504201321</c:v>
                </c:pt>
                <c:pt idx="5">
                  <c:v>0.52607619800155792</c:v>
                </c:pt>
                <c:pt idx="6">
                  <c:v>0.53580042518168736</c:v>
                </c:pt>
                <c:pt idx="7">
                  <c:v>0.5267941424621374</c:v>
                </c:pt>
                <c:pt idx="8">
                  <c:v>0.50738287658747039</c:v>
                </c:pt>
                <c:pt idx="9">
                  <c:v>0.4949847392152148</c:v>
                </c:pt>
                <c:pt idx="10">
                  <c:v>0.48632985120039407</c:v>
                </c:pt>
                <c:pt idx="11">
                  <c:v>0.48046657766441003</c:v>
                </c:pt>
                <c:pt idx="12">
                  <c:v>0.48121142657072408</c:v>
                </c:pt>
                <c:pt idx="13">
                  <c:v>0.48297981379279192</c:v>
                </c:pt>
                <c:pt idx="14">
                  <c:v>0.49225038368125401</c:v>
                </c:pt>
                <c:pt idx="15">
                  <c:v>0.49178262124711314</c:v>
                </c:pt>
                <c:pt idx="16">
                  <c:v>0.50714313460001781</c:v>
                </c:pt>
                <c:pt idx="17">
                  <c:v>0.54665246613076113</c:v>
                </c:pt>
                <c:pt idx="18">
                  <c:v>0.54442826845200165</c:v>
                </c:pt>
                <c:pt idx="19">
                  <c:v>0.54528860416761127</c:v>
                </c:pt>
                <c:pt idx="20">
                  <c:v>0.55002511606485549</c:v>
                </c:pt>
                <c:pt idx="21">
                  <c:v>0.54618689642612106</c:v>
                </c:pt>
                <c:pt idx="22">
                  <c:v>0.54941445210130901</c:v>
                </c:pt>
                <c:pt idx="23">
                  <c:v>0.54639100487001557</c:v>
                </c:pt>
                <c:pt idx="24">
                  <c:v>0.54088739492994631</c:v>
                </c:pt>
                <c:pt idx="25">
                  <c:v>0.54784288148077342</c:v>
                </c:pt>
                <c:pt idx="26">
                  <c:v>0.54698404663904909</c:v>
                </c:pt>
                <c:pt idx="27">
                  <c:v>0.54839503960161373</c:v>
                </c:pt>
                <c:pt idx="28">
                  <c:v>0.54862432239755754</c:v>
                </c:pt>
                <c:pt idx="29">
                  <c:v>0.54581431321268947</c:v>
                </c:pt>
                <c:pt idx="30">
                  <c:v>0.50080266551432184</c:v>
                </c:pt>
                <c:pt idx="31">
                  <c:v>0.49310591510999369</c:v>
                </c:pt>
                <c:pt idx="32">
                  <c:v>0.47518261512886678</c:v>
                </c:pt>
                <c:pt idx="33">
                  <c:v>0.4400887438346871</c:v>
                </c:pt>
                <c:pt idx="34">
                  <c:v>0.42028507683039051</c:v>
                </c:pt>
                <c:pt idx="35">
                  <c:v>0.43888922149010823</c:v>
                </c:pt>
                <c:pt idx="36">
                  <c:v>0.4688934244047932</c:v>
                </c:pt>
                <c:pt idx="37">
                  <c:v>0.46857039216103596</c:v>
                </c:pt>
                <c:pt idx="38">
                  <c:v>0.46569326706426883</c:v>
                </c:pt>
                <c:pt idx="39">
                  <c:v>0.4517250628939764</c:v>
                </c:pt>
                <c:pt idx="40">
                  <c:v>0.45701627138621825</c:v>
                </c:pt>
                <c:pt idx="41">
                  <c:v>0.46077574179146125</c:v>
                </c:pt>
                <c:pt idx="42">
                  <c:v>0.46704651190893381</c:v>
                </c:pt>
                <c:pt idx="43">
                  <c:v>0.43321316580584668</c:v>
                </c:pt>
                <c:pt idx="44">
                  <c:v>0.40000364987402565</c:v>
                </c:pt>
                <c:pt idx="45">
                  <c:v>0.38832911992922337</c:v>
                </c:pt>
                <c:pt idx="46">
                  <c:v>0.39525208293579506</c:v>
                </c:pt>
                <c:pt idx="47">
                  <c:v>0.3846074377987253</c:v>
                </c:pt>
                <c:pt idx="48">
                  <c:v>0.40715572143867662</c:v>
                </c:pt>
                <c:pt idx="49">
                  <c:v>0.41691417652603729</c:v>
                </c:pt>
                <c:pt idx="50">
                  <c:v>0.4315510678455885</c:v>
                </c:pt>
                <c:pt idx="51">
                  <c:v>0.41907671497619026</c:v>
                </c:pt>
                <c:pt idx="52">
                  <c:v>0.44419056906512755</c:v>
                </c:pt>
                <c:pt idx="53">
                  <c:v>0.45238654734388395</c:v>
                </c:pt>
                <c:pt idx="54">
                  <c:v>0.45229934813213296</c:v>
                </c:pt>
                <c:pt idx="55">
                  <c:v>0.45705642378418171</c:v>
                </c:pt>
                <c:pt idx="56">
                  <c:v>0.44573655151095753</c:v>
                </c:pt>
                <c:pt idx="57">
                  <c:v>0.45877624375864767</c:v>
                </c:pt>
                <c:pt idx="58">
                  <c:v>0.47019508958563133</c:v>
                </c:pt>
                <c:pt idx="59">
                  <c:v>0.45316227846725993</c:v>
                </c:pt>
                <c:pt idx="60">
                  <c:v>0.44637842288194929</c:v>
                </c:pt>
                <c:pt idx="61">
                  <c:v>0.46631156582769701</c:v>
                </c:pt>
                <c:pt idx="62">
                  <c:v>0.45718367582544445</c:v>
                </c:pt>
                <c:pt idx="63">
                  <c:v>0.4584669576312006</c:v>
                </c:pt>
                <c:pt idx="64">
                  <c:v>0.47010738258739848</c:v>
                </c:pt>
                <c:pt idx="65">
                  <c:v>0.47392897247897725</c:v>
                </c:pt>
              </c:numCache>
            </c:numRef>
          </c:val>
          <c:smooth val="0"/>
        </c:ser>
        <c:ser>
          <c:idx val="1"/>
          <c:order val="1"/>
          <c:tx>
            <c:v>Total equity</c:v>
          </c:tx>
          <c:marker>
            <c:symbol val="none"/>
          </c:marker>
          <c:cat>
            <c:numRef>
              <c:f>Listed_byownership!$AY$1:$DL$1</c:f>
              <c:numCache>
                <c:formatCode>mmm\-yyyy</c:formatCode>
                <c:ptCount val="66"/>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pt idx="62">
                  <c:v>42430</c:v>
                </c:pt>
                <c:pt idx="63">
                  <c:v>42522</c:v>
                </c:pt>
                <c:pt idx="64">
                  <c:v>42614</c:v>
                </c:pt>
                <c:pt idx="65">
                  <c:v>42705</c:v>
                </c:pt>
              </c:numCache>
            </c:numRef>
          </c:cat>
          <c:val>
            <c:numRef>
              <c:f>Total_byownership!$AY$26:$DL$26</c:f>
              <c:numCache>
                <c:formatCode>0.000</c:formatCode>
                <c:ptCount val="66"/>
                <c:pt idx="0">
                  <c:v>0.58425201354567091</c:v>
                </c:pt>
                <c:pt idx="1">
                  <c:v>0.60569815065071397</c:v>
                </c:pt>
                <c:pt idx="2">
                  <c:v>0.60585932636479833</c:v>
                </c:pt>
                <c:pt idx="3">
                  <c:v>0.60411136464342363</c:v>
                </c:pt>
                <c:pt idx="4">
                  <c:v>0.59600586521449883</c:v>
                </c:pt>
                <c:pt idx="5">
                  <c:v>0.59914602920931159</c:v>
                </c:pt>
                <c:pt idx="6">
                  <c:v>0.61036165613900506</c:v>
                </c:pt>
                <c:pt idx="7">
                  <c:v>0.60607191119291004</c:v>
                </c:pt>
                <c:pt idx="8">
                  <c:v>0.60124506132103772</c:v>
                </c:pt>
                <c:pt idx="9">
                  <c:v>0.58628237752466172</c:v>
                </c:pt>
                <c:pt idx="10">
                  <c:v>0.58746355213379808</c:v>
                </c:pt>
                <c:pt idx="11">
                  <c:v>0.58404309773350904</c:v>
                </c:pt>
                <c:pt idx="12">
                  <c:v>0.58115942028985512</c:v>
                </c:pt>
                <c:pt idx="13">
                  <c:v>0.58447012205323123</c:v>
                </c:pt>
                <c:pt idx="14">
                  <c:v>0.59983973280644987</c:v>
                </c:pt>
                <c:pt idx="15">
                  <c:v>0.6093910163636469</c:v>
                </c:pt>
                <c:pt idx="16">
                  <c:v>0.61943081095565988</c:v>
                </c:pt>
                <c:pt idx="17">
                  <c:v>0.6231669790248916</c:v>
                </c:pt>
                <c:pt idx="18">
                  <c:v>0.63606341769160424</c:v>
                </c:pt>
                <c:pt idx="19">
                  <c:v>0.67538619366119979</c:v>
                </c:pt>
                <c:pt idx="20">
                  <c:v>0.67567348433165919</c:v>
                </c:pt>
                <c:pt idx="21">
                  <c:v>0.67147220720107614</c:v>
                </c:pt>
                <c:pt idx="22">
                  <c:v>0.66250234450862655</c:v>
                </c:pt>
                <c:pt idx="23">
                  <c:v>0.66774648596032493</c:v>
                </c:pt>
                <c:pt idx="24">
                  <c:v>0.66579368560086194</c:v>
                </c:pt>
                <c:pt idx="25">
                  <c:v>0.66250703930813359</c:v>
                </c:pt>
                <c:pt idx="26">
                  <c:v>0.65222264149974718</c:v>
                </c:pt>
                <c:pt idx="27">
                  <c:v>0.64801594602580037</c:v>
                </c:pt>
                <c:pt idx="28">
                  <c:v>0.64219582047024315</c:v>
                </c:pt>
                <c:pt idx="29">
                  <c:v>0.64199405052179848</c:v>
                </c:pt>
                <c:pt idx="30">
                  <c:v>0.62525118389789125</c:v>
                </c:pt>
                <c:pt idx="31">
                  <c:v>0.61844866856343517</c:v>
                </c:pt>
                <c:pt idx="32">
                  <c:v>0.61941034964637787</c:v>
                </c:pt>
                <c:pt idx="33">
                  <c:v>0.59912025856652684</c:v>
                </c:pt>
                <c:pt idx="34">
                  <c:v>0.58989934731681193</c:v>
                </c:pt>
                <c:pt idx="35">
                  <c:v>0.59010157700773058</c:v>
                </c:pt>
                <c:pt idx="36">
                  <c:v>0.59097963446241641</c:v>
                </c:pt>
                <c:pt idx="37">
                  <c:v>0.59132725785343854</c:v>
                </c:pt>
                <c:pt idx="38">
                  <c:v>0.58815798155776733</c:v>
                </c:pt>
                <c:pt idx="39">
                  <c:v>0.58690759525051373</c:v>
                </c:pt>
                <c:pt idx="40">
                  <c:v>0.58698907949536139</c:v>
                </c:pt>
                <c:pt idx="41">
                  <c:v>0.58006919492542774</c:v>
                </c:pt>
                <c:pt idx="42">
                  <c:v>0.57699228785063705</c:v>
                </c:pt>
                <c:pt idx="43">
                  <c:v>0.5784555901055225</c:v>
                </c:pt>
                <c:pt idx="44">
                  <c:v>0.57241174823519236</c:v>
                </c:pt>
                <c:pt idx="45">
                  <c:v>0.57102041665191194</c:v>
                </c:pt>
                <c:pt idx="46">
                  <c:v>0.57066374198177838</c:v>
                </c:pt>
                <c:pt idx="47">
                  <c:v>0.573975586818951</c:v>
                </c:pt>
                <c:pt idx="48">
                  <c:v>0.58596023950606413</c:v>
                </c:pt>
                <c:pt idx="49">
                  <c:v>0.59424071617227037</c:v>
                </c:pt>
                <c:pt idx="50">
                  <c:v>0.60098107520022082</c:v>
                </c:pt>
                <c:pt idx="51">
                  <c:v>0.60254041395552238</c:v>
                </c:pt>
                <c:pt idx="52">
                  <c:v>0.6110817604515788</c:v>
                </c:pt>
                <c:pt idx="53">
                  <c:v>0.61290855810556089</c:v>
                </c:pt>
                <c:pt idx="54">
                  <c:v>0.61078779355156088</c:v>
                </c:pt>
                <c:pt idx="55">
                  <c:v>0.61305569631528833</c:v>
                </c:pt>
                <c:pt idx="56">
                  <c:v>0.60911118017280574</c:v>
                </c:pt>
                <c:pt idx="57">
                  <c:v>0.61559982431057736</c:v>
                </c:pt>
                <c:pt idx="58">
                  <c:v>0.61886899514260851</c:v>
                </c:pt>
                <c:pt idx="59">
                  <c:v>0.61649880383613764</c:v>
                </c:pt>
                <c:pt idx="60">
                  <c:v>0.61529557278293145</c:v>
                </c:pt>
                <c:pt idx="61">
                  <c:v>0.62168668078110756</c:v>
                </c:pt>
                <c:pt idx="62">
                  <c:v>0.61534355926976803</c:v>
                </c:pt>
                <c:pt idx="63">
                  <c:v>0.61269329697232633</c:v>
                </c:pt>
                <c:pt idx="64">
                  <c:v>0.60612201705758517</c:v>
                </c:pt>
                <c:pt idx="65">
                  <c:v>0.60322398382318576</c:v>
                </c:pt>
              </c:numCache>
            </c:numRef>
          </c:val>
          <c:smooth val="0"/>
        </c:ser>
        <c:dLbls>
          <c:showLegendKey val="0"/>
          <c:showVal val="0"/>
          <c:showCatName val="0"/>
          <c:showSerName val="0"/>
          <c:showPercent val="0"/>
          <c:showBubbleSize val="0"/>
        </c:dLbls>
        <c:marker val="1"/>
        <c:smooth val="0"/>
        <c:axId val="349948544"/>
        <c:axId val="353075968"/>
      </c:lineChart>
      <c:dateAx>
        <c:axId val="349948544"/>
        <c:scaling>
          <c:orientation val="minMax"/>
        </c:scaling>
        <c:delete val="0"/>
        <c:axPos val="b"/>
        <c:numFmt formatCode="mmm\-yyyy" sourceLinked="1"/>
        <c:majorTickMark val="out"/>
        <c:minorTickMark val="none"/>
        <c:tickLblPos val="nextTo"/>
        <c:crossAx val="353075968"/>
        <c:crosses val="autoZero"/>
        <c:auto val="0"/>
        <c:lblOffset val="100"/>
        <c:baseTimeUnit val="months"/>
        <c:majorUnit val="12"/>
        <c:majorTimeUnit val="months"/>
      </c:dateAx>
      <c:valAx>
        <c:axId val="353075968"/>
        <c:scaling>
          <c:orientation val="minMax"/>
          <c:max val="0.70000000000000007"/>
          <c:min val="0.30000000000000004"/>
        </c:scaling>
        <c:delete val="0"/>
        <c:axPos val="l"/>
        <c:majorGridlines/>
        <c:title>
          <c:tx>
            <c:rich>
              <a:bodyPr rot="0" vert="horz"/>
              <a:lstStyle/>
              <a:p>
                <a:pPr>
                  <a:defRPr/>
                </a:pPr>
                <a:r>
                  <a:rPr lang="en-AU"/>
                  <a:t>Refined domestic ownership</a:t>
                </a:r>
                <a:r>
                  <a:rPr lang="en-AU" baseline="0"/>
                  <a:t> share of Australian equity </a:t>
                </a:r>
              </a:p>
            </c:rich>
          </c:tx>
          <c:overlay val="0"/>
        </c:title>
        <c:numFmt formatCode="0.000" sourceLinked="1"/>
        <c:majorTickMark val="out"/>
        <c:minorTickMark val="none"/>
        <c:tickLblPos val="nextTo"/>
        <c:crossAx val="349948544"/>
        <c:crossesAt val="36770"/>
        <c:crossBetween val="midCat"/>
        <c:majorUnit val="5.000000000000001E-2"/>
        <c:minorUnit val="4.000000000000001E-3"/>
      </c:val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983968801068669E-2"/>
          <c:y val="3.7957332256544858E-2"/>
          <c:w val="0.89400963894134788"/>
          <c:h val="0.63245225582774256"/>
        </c:manualLayout>
      </c:layout>
      <c:lineChart>
        <c:grouping val="standard"/>
        <c:varyColors val="0"/>
        <c:ser>
          <c:idx val="0"/>
          <c:order val="0"/>
          <c:tx>
            <c:strRef>
              <c:f>'[Taxation statistics approach calculations -with Handely calc -_REUupdated_final.xlsx]Sheet1'!$D$3</c:f>
              <c:strCache>
                <c:ptCount val="1"/>
                <c:pt idx="0">
                  <c:v>Equity ownership all equity</c:v>
                </c:pt>
              </c:strCache>
            </c:strRef>
          </c:tx>
          <c:marker>
            <c:symbol val="none"/>
          </c:marker>
          <c:cat>
            <c:numRef>
              <c:f>'[Taxation statistics approach calculations -with Handely calc -_REUupdated_final.xlsx]Sheet1'!$C$4:$C$69</c:f>
              <c:numCache>
                <c:formatCode>mmm\-yyyy</c:formatCode>
                <c:ptCount val="66"/>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pt idx="62">
                  <c:v>42430</c:v>
                </c:pt>
                <c:pt idx="63">
                  <c:v>42522</c:v>
                </c:pt>
                <c:pt idx="64">
                  <c:v>42614</c:v>
                </c:pt>
                <c:pt idx="65">
                  <c:v>42705</c:v>
                </c:pt>
              </c:numCache>
            </c:numRef>
          </c:cat>
          <c:val>
            <c:numRef>
              <c:f>'[Taxation statistics approach calculations -with Handely calc -_REUupdated_final.xlsx]Sheet1'!$D$4:$D$69</c:f>
              <c:numCache>
                <c:formatCode>0.000</c:formatCode>
                <c:ptCount val="66"/>
                <c:pt idx="0">
                  <c:v>0.58425201354567091</c:v>
                </c:pt>
                <c:pt idx="1">
                  <c:v>0.60569815065071397</c:v>
                </c:pt>
                <c:pt idx="2">
                  <c:v>0.60585932636479833</c:v>
                </c:pt>
                <c:pt idx="3">
                  <c:v>0.60411136464342363</c:v>
                </c:pt>
                <c:pt idx="4">
                  <c:v>0.59600586521449883</c:v>
                </c:pt>
                <c:pt idx="5">
                  <c:v>0.59914602920931159</c:v>
                </c:pt>
                <c:pt idx="6">
                  <c:v>0.61036165613900506</c:v>
                </c:pt>
                <c:pt idx="7">
                  <c:v>0.60607191119291004</c:v>
                </c:pt>
                <c:pt idx="8">
                  <c:v>0.60124506132103772</c:v>
                </c:pt>
                <c:pt idx="9">
                  <c:v>0.58628237752466172</c:v>
                </c:pt>
                <c:pt idx="10">
                  <c:v>0.58746355213379808</c:v>
                </c:pt>
                <c:pt idx="11">
                  <c:v>0.58404309773350904</c:v>
                </c:pt>
                <c:pt idx="12">
                  <c:v>0.58115942028985512</c:v>
                </c:pt>
                <c:pt idx="13">
                  <c:v>0.58447012205323123</c:v>
                </c:pt>
                <c:pt idx="14">
                  <c:v>0.59983973280644987</c:v>
                </c:pt>
                <c:pt idx="15">
                  <c:v>0.6093910163636469</c:v>
                </c:pt>
                <c:pt idx="16">
                  <c:v>0.61943081095565988</c:v>
                </c:pt>
                <c:pt idx="17">
                  <c:v>0.6231669790248916</c:v>
                </c:pt>
                <c:pt idx="18">
                  <c:v>0.63606341769160424</c:v>
                </c:pt>
                <c:pt idx="19">
                  <c:v>0.67538619366119979</c:v>
                </c:pt>
                <c:pt idx="20">
                  <c:v>0.67567348433165919</c:v>
                </c:pt>
                <c:pt idx="21">
                  <c:v>0.67147220720107614</c:v>
                </c:pt>
                <c:pt idx="22">
                  <c:v>0.66250234450862655</c:v>
                </c:pt>
                <c:pt idx="23">
                  <c:v>0.66774648596032493</c:v>
                </c:pt>
                <c:pt idx="24">
                  <c:v>0.66579368560086194</c:v>
                </c:pt>
                <c:pt idx="25">
                  <c:v>0.66250703930813359</c:v>
                </c:pt>
                <c:pt idx="26">
                  <c:v>0.65222264149974718</c:v>
                </c:pt>
                <c:pt idx="27">
                  <c:v>0.64801594602580037</c:v>
                </c:pt>
                <c:pt idx="28">
                  <c:v>0.64219582047024315</c:v>
                </c:pt>
                <c:pt idx="29">
                  <c:v>0.64199405052179848</c:v>
                </c:pt>
                <c:pt idx="30">
                  <c:v>0.62525118389789125</c:v>
                </c:pt>
                <c:pt idx="31">
                  <c:v>0.61844866856343517</c:v>
                </c:pt>
                <c:pt idx="32">
                  <c:v>0.61941034964637787</c:v>
                </c:pt>
                <c:pt idx="33">
                  <c:v>0.59912025856652684</c:v>
                </c:pt>
                <c:pt idx="34">
                  <c:v>0.58989934731681193</c:v>
                </c:pt>
                <c:pt idx="35">
                  <c:v>0.59010157700773058</c:v>
                </c:pt>
                <c:pt idx="36">
                  <c:v>0.59097963446241641</c:v>
                </c:pt>
                <c:pt idx="37">
                  <c:v>0.59132725785343854</c:v>
                </c:pt>
                <c:pt idx="38">
                  <c:v>0.58815798155776733</c:v>
                </c:pt>
                <c:pt idx="39">
                  <c:v>0.58690759525051373</c:v>
                </c:pt>
                <c:pt idx="40">
                  <c:v>0.58698907949536139</c:v>
                </c:pt>
                <c:pt idx="41">
                  <c:v>0.58006919492542774</c:v>
                </c:pt>
                <c:pt idx="42">
                  <c:v>0.57699228785063705</c:v>
                </c:pt>
                <c:pt idx="43">
                  <c:v>0.5784555901055225</c:v>
                </c:pt>
                <c:pt idx="44">
                  <c:v>0.57241174823519236</c:v>
                </c:pt>
                <c:pt idx="45">
                  <c:v>0.57102041665191194</c:v>
                </c:pt>
                <c:pt idx="46">
                  <c:v>0.57066374198177838</c:v>
                </c:pt>
                <c:pt idx="47">
                  <c:v>0.573975586818951</c:v>
                </c:pt>
                <c:pt idx="48">
                  <c:v>0.58596023950606413</c:v>
                </c:pt>
                <c:pt idx="49">
                  <c:v>0.59424071617227037</c:v>
                </c:pt>
                <c:pt idx="50">
                  <c:v>0.60098107520022082</c:v>
                </c:pt>
                <c:pt idx="51">
                  <c:v>0.60254041395552238</c:v>
                </c:pt>
                <c:pt idx="52">
                  <c:v>0.6110817604515788</c:v>
                </c:pt>
                <c:pt idx="53">
                  <c:v>0.61290855810556089</c:v>
                </c:pt>
                <c:pt idx="54">
                  <c:v>0.61078779355156088</c:v>
                </c:pt>
                <c:pt idx="55">
                  <c:v>0.61305569631528833</c:v>
                </c:pt>
                <c:pt idx="56">
                  <c:v>0.60911118017280574</c:v>
                </c:pt>
                <c:pt idx="57">
                  <c:v>0.61559982431057736</c:v>
                </c:pt>
                <c:pt idx="58">
                  <c:v>0.61886899514260851</c:v>
                </c:pt>
                <c:pt idx="59">
                  <c:v>0.61649880383613764</c:v>
                </c:pt>
                <c:pt idx="60">
                  <c:v>0.61529557278293145</c:v>
                </c:pt>
                <c:pt idx="61">
                  <c:v>0.62168668078110756</c:v>
                </c:pt>
                <c:pt idx="62">
                  <c:v>0.61534355926976803</c:v>
                </c:pt>
                <c:pt idx="63">
                  <c:v>0.61269329697232633</c:v>
                </c:pt>
                <c:pt idx="64">
                  <c:v>0.60612201705758517</c:v>
                </c:pt>
                <c:pt idx="65">
                  <c:v>0.60322398382318576</c:v>
                </c:pt>
              </c:numCache>
            </c:numRef>
          </c:val>
          <c:smooth val="0"/>
        </c:ser>
        <c:ser>
          <c:idx val="1"/>
          <c:order val="1"/>
          <c:tx>
            <c:strRef>
              <c:f>'[Taxation statistics approach calculations -with Handely calc -_REUupdated_final.xlsx]Sheet1'!$E$3</c:f>
              <c:strCache>
                <c:ptCount val="1"/>
                <c:pt idx="0">
                  <c:v>Tax statistics all equity</c:v>
                </c:pt>
              </c:strCache>
            </c:strRef>
          </c:tx>
          <c:marker>
            <c:symbol val="none"/>
          </c:marker>
          <c:cat>
            <c:numRef>
              <c:f>'[Taxation statistics approach calculations -with Handely calc -_REUupdated_final.xlsx]Sheet1'!$C$4:$C$69</c:f>
              <c:numCache>
                <c:formatCode>mmm\-yyyy</c:formatCode>
                <c:ptCount val="66"/>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pt idx="62">
                  <c:v>42430</c:v>
                </c:pt>
                <c:pt idx="63">
                  <c:v>42522</c:v>
                </c:pt>
                <c:pt idx="64">
                  <c:v>42614</c:v>
                </c:pt>
                <c:pt idx="65">
                  <c:v>42705</c:v>
                </c:pt>
              </c:numCache>
            </c:numRef>
          </c:cat>
          <c:val>
            <c:numRef>
              <c:f>'[Taxation statistics approach calculations -with Handely calc -_REUupdated_final.xlsx]Sheet1'!$E$4:$E$69</c:f>
              <c:numCache>
                <c:formatCode>General</c:formatCode>
                <c:ptCount val="66"/>
                <c:pt idx="12" formatCode="0.0%">
                  <c:v>0.32999175516380386</c:v>
                </c:pt>
                <c:pt idx="13" formatCode="0.0%">
                  <c:v>0.32999175516380386</c:v>
                </c:pt>
                <c:pt idx="14" formatCode="0.0%">
                  <c:v>0.32999175516380386</c:v>
                </c:pt>
                <c:pt idx="15" formatCode="0.0%">
                  <c:v>0.32999175516380386</c:v>
                </c:pt>
                <c:pt idx="16" formatCode="0.0%">
                  <c:v>0.42143139117576217</c:v>
                </c:pt>
                <c:pt idx="17" formatCode="0.0%">
                  <c:v>0.42143139117576217</c:v>
                </c:pt>
                <c:pt idx="18" formatCode="0.0%">
                  <c:v>0.42143139117576217</c:v>
                </c:pt>
                <c:pt idx="19" formatCode="0.0%">
                  <c:v>0.42143139117576217</c:v>
                </c:pt>
                <c:pt idx="20" formatCode="0.0%">
                  <c:v>0.39051194260866623</c:v>
                </c:pt>
                <c:pt idx="21" formatCode="0.0%">
                  <c:v>0.39051194260866623</c:v>
                </c:pt>
                <c:pt idx="22" formatCode="0.0%">
                  <c:v>0.39051194260866623</c:v>
                </c:pt>
                <c:pt idx="23" formatCode="0.0%">
                  <c:v>0.39051194260866623</c:v>
                </c:pt>
                <c:pt idx="24" formatCode="0.0%">
                  <c:v>0.42538826718773515</c:v>
                </c:pt>
                <c:pt idx="25" formatCode="0.0%">
                  <c:v>0.42538826718773515</c:v>
                </c:pt>
                <c:pt idx="26" formatCode="0.0%">
                  <c:v>0.42538826718773515</c:v>
                </c:pt>
                <c:pt idx="27" formatCode="0.0%">
                  <c:v>0.42538826718773515</c:v>
                </c:pt>
                <c:pt idx="28" formatCode="0.0%">
                  <c:v>0.5384648306378621</c:v>
                </c:pt>
                <c:pt idx="29" formatCode="0.0%">
                  <c:v>0.5384648306378621</c:v>
                </c:pt>
                <c:pt idx="30" formatCode="0.0%">
                  <c:v>0.5384648306378621</c:v>
                </c:pt>
                <c:pt idx="31" formatCode="0.0%">
                  <c:v>0.5384648306378621</c:v>
                </c:pt>
                <c:pt idx="32" formatCode="0.0%">
                  <c:v>0.50513137718558443</c:v>
                </c:pt>
                <c:pt idx="33" formatCode="0.0%">
                  <c:v>0.50513137718558443</c:v>
                </c:pt>
                <c:pt idx="34" formatCode="0.0%">
                  <c:v>0.50513137718558443</c:v>
                </c:pt>
                <c:pt idx="35" formatCode="0.0%">
                  <c:v>0.50513137718558443</c:v>
                </c:pt>
                <c:pt idx="36" formatCode="0.0%">
                  <c:v>0.46965073621225473</c:v>
                </c:pt>
                <c:pt idx="37" formatCode="0.0%">
                  <c:v>0.46965073621225473</c:v>
                </c:pt>
                <c:pt idx="38" formatCode="0.0%">
                  <c:v>0.46965073621225473</c:v>
                </c:pt>
                <c:pt idx="39" formatCode="0.0%">
                  <c:v>0.46965073621225473</c:v>
                </c:pt>
                <c:pt idx="40" formatCode="0.0%">
                  <c:v>0.42649153101025561</c:v>
                </c:pt>
                <c:pt idx="41" formatCode="0.0%">
                  <c:v>0.42649153101025561</c:v>
                </c:pt>
                <c:pt idx="42" formatCode="0.0%">
                  <c:v>0.42649153101025561</c:v>
                </c:pt>
                <c:pt idx="43" formatCode="0.0%">
                  <c:v>0.42649153101025561</c:v>
                </c:pt>
                <c:pt idx="44" formatCode="0.0%">
                  <c:v>0.52456412826052867</c:v>
                </c:pt>
                <c:pt idx="45" formatCode="0.0%">
                  <c:v>0.52456412826052867</c:v>
                </c:pt>
                <c:pt idx="46" formatCode="0.0%">
                  <c:v>0.52456412826052867</c:v>
                </c:pt>
                <c:pt idx="47" formatCode="0.0%">
                  <c:v>0.52456412826052867</c:v>
                </c:pt>
                <c:pt idx="48" formatCode="0.0%">
                  <c:v>0.66386751127955024</c:v>
                </c:pt>
                <c:pt idx="49" formatCode="0.0%">
                  <c:v>0.66386751127955024</c:v>
                </c:pt>
                <c:pt idx="50" formatCode="0.0%">
                  <c:v>0.66386751127955024</c:v>
                </c:pt>
                <c:pt idx="51" formatCode="0.0%">
                  <c:v>0.66386751127955024</c:v>
                </c:pt>
                <c:pt idx="52" formatCode="0.0%">
                  <c:v>0.60064168318486477</c:v>
                </c:pt>
                <c:pt idx="53" formatCode="0.0%">
                  <c:v>0.60064168318486477</c:v>
                </c:pt>
                <c:pt idx="54" formatCode="0.0%">
                  <c:v>0.60064168318486477</c:v>
                </c:pt>
                <c:pt idx="55" formatCode="0.0%">
                  <c:v>0.60064168318486477</c:v>
                </c:pt>
              </c:numCache>
            </c:numRef>
          </c:val>
          <c:smooth val="0"/>
        </c:ser>
        <c:dLbls>
          <c:showLegendKey val="0"/>
          <c:showVal val="0"/>
          <c:showCatName val="0"/>
          <c:showSerName val="0"/>
          <c:showPercent val="0"/>
          <c:showBubbleSize val="0"/>
        </c:dLbls>
        <c:marker val="1"/>
        <c:smooth val="0"/>
        <c:axId val="389858048"/>
        <c:axId val="389859584"/>
      </c:lineChart>
      <c:dateAx>
        <c:axId val="389858048"/>
        <c:scaling>
          <c:orientation val="minMax"/>
        </c:scaling>
        <c:delete val="0"/>
        <c:axPos val="b"/>
        <c:numFmt formatCode="mmm\-yyyy" sourceLinked="1"/>
        <c:majorTickMark val="out"/>
        <c:minorTickMark val="none"/>
        <c:tickLblPos val="nextTo"/>
        <c:crossAx val="389859584"/>
        <c:crosses val="autoZero"/>
        <c:auto val="1"/>
        <c:lblOffset val="100"/>
        <c:baseTimeUnit val="months"/>
      </c:dateAx>
      <c:valAx>
        <c:axId val="389859584"/>
        <c:scaling>
          <c:orientation val="minMax"/>
        </c:scaling>
        <c:delete val="0"/>
        <c:axPos val="l"/>
        <c:majorGridlines/>
        <c:numFmt formatCode="0.000" sourceLinked="1"/>
        <c:majorTickMark val="out"/>
        <c:minorTickMark val="none"/>
        <c:tickLblPos val="nextTo"/>
        <c:crossAx val="389858048"/>
        <c:crosses val="autoZero"/>
        <c:crossBetween val="between"/>
      </c:valAx>
    </c:plotArea>
    <c:legend>
      <c:legendPos val="r"/>
      <c:layout>
        <c:manualLayout>
          <c:xMode val="edge"/>
          <c:yMode val="edge"/>
          <c:x val="6.3088914050896408E-2"/>
          <c:y val="0.84843448415101963"/>
          <c:w val="0.88454188318062432"/>
          <c:h val="0.12364385221078135"/>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1102EA-A020-4EFA-9CB8-C975BDAC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B83A5328</Template>
  <TotalTime>43</TotalTime>
  <Pages>213</Pages>
  <Words>72020</Words>
  <Characters>378829</Characters>
  <Application>Microsoft Office Word</Application>
  <DocSecurity>0</DocSecurity>
  <Lines>6887</Lines>
  <Paragraphs>2477</Paragraphs>
  <ScaleCrop>false</ScaleCrop>
  <HeadingPairs>
    <vt:vector size="2" baseType="variant">
      <vt:variant>
        <vt:lpstr>Title</vt:lpstr>
      </vt:variant>
      <vt:variant>
        <vt:i4>1</vt:i4>
      </vt:variant>
    </vt:vector>
  </HeadingPairs>
  <TitlesOfParts>
    <vt:vector size="1" baseType="lpstr">
      <vt:lpstr>AER final decision - AusNet - Gamma</vt:lpstr>
    </vt:vector>
  </TitlesOfParts>
  <Company>ACCC</Company>
  <LinksUpToDate>false</LinksUpToDate>
  <CharactersWithSpaces>448372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AusNet - Gamma</dc:title>
  <dc:subject>[subtitle]</dc:subject>
  <dc:creator>AER</dc:creator>
  <cp:lastModifiedBy>Pickering, Robyn</cp:lastModifiedBy>
  <cp:revision>10</cp:revision>
  <cp:lastPrinted>2017-04-12T08:45:00Z</cp:lastPrinted>
  <dcterms:created xsi:type="dcterms:W3CDTF">2017-04-27T01:02:00Z</dcterms:created>
  <dcterms:modified xsi:type="dcterms:W3CDTF">2017-04-27T03:06:00Z</dcterms:modified>
</cp:coreProperties>
</file>