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4B42C2" w:rsidP="00290C63">
          <w:r w:rsidRPr="004B42C2">
            <w:rPr>
              <w:noProof/>
              <w:lang w:eastAsia="en-AU"/>
            </w:rPr>
            <w:drawing>
              <wp:anchor distT="0" distB="0" distL="114300" distR="114300" simplePos="0" relativeHeight="251663360" behindDoc="1" locked="0" layoutInCell="1" allowOverlap="1" wp14:anchorId="337D782B" wp14:editId="6F77E82E">
                <wp:simplePos x="0" y="0"/>
                <wp:positionH relativeFrom="column">
                  <wp:posOffset>-1111250</wp:posOffset>
                </wp:positionH>
                <wp:positionV relativeFrom="paragraph">
                  <wp:posOffset>-918210</wp:posOffset>
                </wp:positionV>
                <wp:extent cx="7591425" cy="10728960"/>
                <wp:effectExtent l="0" t="0" r="9525"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F45798C" wp14:editId="2754E62C">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AC4742">
            <w:t>FINAL</w:t>
          </w:r>
          <w:r w:rsidR="00DA4752">
            <w:t xml:space="preserve"> DECISION</w:t>
          </w:r>
        </w:p>
        <w:p w:rsidR="00415F31" w:rsidRDefault="004B42C2" w:rsidP="008F07A3">
          <w:pPr>
            <w:pStyle w:val="ReportSubtitle"/>
          </w:pPr>
          <w:r>
            <w:t>AusNet Services</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4B42C2">
            <w:t>7</w:t>
          </w:r>
          <w:r w:rsidR="00E85BCD">
            <w:t xml:space="preserve"> to 202</w:t>
          </w:r>
          <w:r w:rsidR="004B42C2">
            <w:t>2</w:t>
          </w:r>
        </w:p>
        <w:p w:rsidR="008F07A3" w:rsidRPr="000A6C7B" w:rsidRDefault="008F07A3" w:rsidP="008F07A3">
          <w:pPr>
            <w:pStyle w:val="ReportSubtitle"/>
          </w:pPr>
        </w:p>
        <w:p w:rsidR="000A6C7B" w:rsidRDefault="000474DF" w:rsidP="008F07A3">
          <w:pPr>
            <w:pStyle w:val="ReportSubtitle"/>
          </w:pPr>
          <w:r>
            <w:t xml:space="preserve">Attachment 14 </w:t>
          </w:r>
          <w:r w:rsidRPr="000474DF">
            <w:t>−</w:t>
          </w:r>
          <w:r>
            <w:t xml:space="preserve"> Negotiated services</w:t>
          </w:r>
        </w:p>
        <w:p w:rsidR="000A6C7B" w:rsidRPr="00327A1E" w:rsidRDefault="004B42C2"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4B42C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864338">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0811181"/>
      <w:r>
        <w:lastRenderedPageBreak/>
        <w:t>Note</w:t>
      </w:r>
      <w:bookmarkEnd w:id="1"/>
      <w:bookmarkEnd w:id="2"/>
      <w:bookmarkEnd w:id="3"/>
    </w:p>
    <w:p w:rsidR="00761454" w:rsidRDefault="00761454" w:rsidP="00761454">
      <w:pPr>
        <w:numPr>
          <w:ilvl w:val="0"/>
          <w:numId w:val="24"/>
        </w:numPr>
      </w:pPr>
      <w:r>
        <w:t xml:space="preserve">This </w:t>
      </w:r>
      <w:r w:rsidR="00864338">
        <w:t xml:space="preserve">attachment </w:t>
      </w:r>
      <w:r>
        <w:t xml:space="preserve">forms part of the AER's </w:t>
      </w:r>
      <w:r w:rsidR="00AC4742">
        <w:t>final</w:t>
      </w:r>
      <w:r w:rsidR="000474DF">
        <w:t xml:space="preserve"> </w:t>
      </w:r>
      <w:r>
        <w:t xml:space="preserve">decision on </w:t>
      </w:r>
      <w:r w:rsidR="004B42C2">
        <w:t xml:space="preserve">AusNet Services' </w:t>
      </w:r>
      <w:r>
        <w:t>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7316C8">
        <w:t>final</w:t>
      </w:r>
      <w:r>
        <w:t xml:space="preserve"> decision.</w:t>
      </w:r>
    </w:p>
    <w:p w:rsidR="00761454" w:rsidRDefault="00761454" w:rsidP="00761454">
      <w:pPr>
        <w:numPr>
          <w:ilvl w:val="0"/>
          <w:numId w:val="24"/>
        </w:numPr>
      </w:pPr>
      <w:r>
        <w:t xml:space="preserve">The </w:t>
      </w:r>
      <w:r w:rsidR="00AC4742">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D71C5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0811182"/>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AD6A5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0811181" w:history="1">
            <w:r w:rsidR="00AD6A57" w:rsidRPr="004A7D04">
              <w:rPr>
                <w:rStyle w:val="Hyperlink"/>
              </w:rPr>
              <w:t>Note</w:t>
            </w:r>
            <w:r w:rsidR="00AD6A57">
              <w:rPr>
                <w:webHidden/>
              </w:rPr>
              <w:tab/>
            </w:r>
            <w:r w:rsidR="00AD6A57">
              <w:rPr>
                <w:webHidden/>
              </w:rPr>
              <w:fldChar w:fldCharType="begin"/>
            </w:r>
            <w:r w:rsidR="00AD6A57">
              <w:rPr>
                <w:webHidden/>
              </w:rPr>
              <w:instrText xml:space="preserve"> PAGEREF _Toc480811181 \h </w:instrText>
            </w:r>
            <w:r w:rsidR="00AD6A57">
              <w:rPr>
                <w:webHidden/>
              </w:rPr>
            </w:r>
            <w:r w:rsidR="00AD6A57">
              <w:rPr>
                <w:webHidden/>
              </w:rPr>
              <w:fldChar w:fldCharType="separate"/>
            </w:r>
            <w:r w:rsidR="00AD6A57">
              <w:rPr>
                <w:webHidden/>
              </w:rPr>
              <w:t>14-2</w:t>
            </w:r>
            <w:r w:rsidR="00AD6A57">
              <w:rPr>
                <w:webHidden/>
              </w:rPr>
              <w:fldChar w:fldCharType="end"/>
            </w:r>
          </w:hyperlink>
        </w:p>
        <w:p w:rsidR="00AD6A57" w:rsidRDefault="004070F1">
          <w:pPr>
            <w:pStyle w:val="TOC1"/>
            <w:rPr>
              <w:rFonts w:asciiTheme="minorHAnsi" w:eastAsiaTheme="minorEastAsia" w:hAnsiTheme="minorHAnsi"/>
              <w:b w:val="0"/>
              <w:color w:val="auto"/>
              <w:sz w:val="22"/>
              <w:lang w:val="en-AU" w:eastAsia="en-AU"/>
            </w:rPr>
          </w:pPr>
          <w:hyperlink w:anchor="_Toc480811182" w:history="1">
            <w:r w:rsidR="00AD6A57" w:rsidRPr="004A7D04">
              <w:rPr>
                <w:rStyle w:val="Hyperlink"/>
              </w:rPr>
              <w:t>Contents</w:t>
            </w:r>
            <w:r w:rsidR="00AD6A57">
              <w:rPr>
                <w:webHidden/>
              </w:rPr>
              <w:tab/>
            </w:r>
            <w:r w:rsidR="00AD6A57">
              <w:rPr>
                <w:webHidden/>
              </w:rPr>
              <w:fldChar w:fldCharType="begin"/>
            </w:r>
            <w:r w:rsidR="00AD6A57">
              <w:rPr>
                <w:webHidden/>
              </w:rPr>
              <w:instrText xml:space="preserve"> PAGEREF _Toc480811182 \h </w:instrText>
            </w:r>
            <w:r w:rsidR="00AD6A57">
              <w:rPr>
                <w:webHidden/>
              </w:rPr>
            </w:r>
            <w:r w:rsidR="00AD6A57">
              <w:rPr>
                <w:webHidden/>
              </w:rPr>
              <w:fldChar w:fldCharType="separate"/>
            </w:r>
            <w:r w:rsidR="00AD6A57">
              <w:rPr>
                <w:webHidden/>
              </w:rPr>
              <w:t>14-3</w:t>
            </w:r>
            <w:r w:rsidR="00AD6A57">
              <w:rPr>
                <w:webHidden/>
              </w:rPr>
              <w:fldChar w:fldCharType="end"/>
            </w:r>
          </w:hyperlink>
        </w:p>
        <w:p w:rsidR="00AD6A57" w:rsidRDefault="004070F1">
          <w:pPr>
            <w:pStyle w:val="TOC1"/>
            <w:rPr>
              <w:rFonts w:asciiTheme="minorHAnsi" w:eastAsiaTheme="minorEastAsia" w:hAnsiTheme="minorHAnsi"/>
              <w:b w:val="0"/>
              <w:color w:val="auto"/>
              <w:sz w:val="22"/>
              <w:lang w:val="en-AU" w:eastAsia="en-AU"/>
            </w:rPr>
          </w:pPr>
          <w:hyperlink w:anchor="_Toc480811183" w:history="1">
            <w:r w:rsidR="00AD6A57" w:rsidRPr="004A7D04">
              <w:rPr>
                <w:rStyle w:val="Hyperlink"/>
              </w:rPr>
              <w:t>Shortened forms</w:t>
            </w:r>
            <w:r w:rsidR="00AD6A57">
              <w:rPr>
                <w:webHidden/>
              </w:rPr>
              <w:tab/>
            </w:r>
            <w:r w:rsidR="00AD6A57">
              <w:rPr>
                <w:webHidden/>
              </w:rPr>
              <w:fldChar w:fldCharType="begin"/>
            </w:r>
            <w:r w:rsidR="00AD6A57">
              <w:rPr>
                <w:webHidden/>
              </w:rPr>
              <w:instrText xml:space="preserve"> PAGEREF _Toc480811183 \h </w:instrText>
            </w:r>
            <w:r w:rsidR="00AD6A57">
              <w:rPr>
                <w:webHidden/>
              </w:rPr>
            </w:r>
            <w:r w:rsidR="00AD6A57">
              <w:rPr>
                <w:webHidden/>
              </w:rPr>
              <w:fldChar w:fldCharType="separate"/>
            </w:r>
            <w:r w:rsidR="00AD6A57">
              <w:rPr>
                <w:webHidden/>
              </w:rPr>
              <w:t>14-4</w:t>
            </w:r>
            <w:r w:rsidR="00AD6A57">
              <w:rPr>
                <w:webHidden/>
              </w:rPr>
              <w:fldChar w:fldCharType="end"/>
            </w:r>
          </w:hyperlink>
        </w:p>
        <w:p w:rsidR="00AD6A57" w:rsidRDefault="004070F1">
          <w:pPr>
            <w:pStyle w:val="TOC1"/>
            <w:rPr>
              <w:rFonts w:asciiTheme="minorHAnsi" w:eastAsiaTheme="minorEastAsia" w:hAnsiTheme="minorHAnsi"/>
              <w:b w:val="0"/>
              <w:color w:val="auto"/>
              <w:sz w:val="22"/>
              <w:lang w:val="en-AU" w:eastAsia="en-AU"/>
            </w:rPr>
          </w:pPr>
          <w:hyperlink w:anchor="_Toc480811184" w:history="1">
            <w:r w:rsidR="00AD6A57" w:rsidRPr="004A7D04">
              <w:rPr>
                <w:rStyle w:val="Hyperlink"/>
              </w:rPr>
              <w:t>14</w:t>
            </w:r>
            <w:r w:rsidR="00AD6A57">
              <w:rPr>
                <w:rFonts w:asciiTheme="minorHAnsi" w:eastAsiaTheme="minorEastAsia" w:hAnsiTheme="minorHAnsi"/>
                <w:b w:val="0"/>
                <w:color w:val="auto"/>
                <w:sz w:val="22"/>
                <w:lang w:val="en-AU" w:eastAsia="en-AU"/>
              </w:rPr>
              <w:tab/>
            </w:r>
            <w:r w:rsidR="00AD6A57" w:rsidRPr="004A7D04">
              <w:rPr>
                <w:rStyle w:val="Hyperlink"/>
              </w:rPr>
              <w:t>Negotiated services</w:t>
            </w:r>
            <w:r w:rsidR="00AD6A57">
              <w:rPr>
                <w:webHidden/>
              </w:rPr>
              <w:tab/>
            </w:r>
            <w:r w:rsidR="00AD6A57">
              <w:rPr>
                <w:webHidden/>
              </w:rPr>
              <w:fldChar w:fldCharType="begin"/>
            </w:r>
            <w:r w:rsidR="00AD6A57">
              <w:rPr>
                <w:webHidden/>
              </w:rPr>
              <w:instrText xml:space="preserve"> PAGEREF _Toc480811184 \h </w:instrText>
            </w:r>
            <w:r w:rsidR="00AD6A57">
              <w:rPr>
                <w:webHidden/>
              </w:rPr>
            </w:r>
            <w:r w:rsidR="00AD6A57">
              <w:rPr>
                <w:webHidden/>
              </w:rPr>
              <w:fldChar w:fldCharType="separate"/>
            </w:r>
            <w:r w:rsidR="00AD6A57">
              <w:rPr>
                <w:webHidden/>
              </w:rPr>
              <w:t>14-6</w:t>
            </w:r>
            <w:r w:rsidR="00AD6A57">
              <w:rPr>
                <w:webHidden/>
              </w:rPr>
              <w:fldChar w:fldCharType="end"/>
            </w:r>
          </w:hyperlink>
        </w:p>
        <w:p w:rsidR="00AD6A57" w:rsidRDefault="004070F1">
          <w:pPr>
            <w:pStyle w:val="TOC2"/>
            <w:tabs>
              <w:tab w:val="left" w:pos="1276"/>
            </w:tabs>
            <w:rPr>
              <w:rFonts w:asciiTheme="minorHAnsi" w:eastAsiaTheme="minorEastAsia" w:hAnsiTheme="minorHAnsi"/>
              <w:b w:val="0"/>
              <w:color w:val="auto"/>
              <w:sz w:val="22"/>
              <w:lang w:eastAsia="en-AU"/>
            </w:rPr>
          </w:pPr>
          <w:hyperlink w:anchor="_Toc480811185" w:history="1">
            <w:r w:rsidR="00AD6A57" w:rsidRPr="004A7D04">
              <w:rPr>
                <w:rStyle w:val="Hyperlink"/>
              </w:rPr>
              <w:t>14.1</w:t>
            </w:r>
            <w:r w:rsidR="00AD6A57">
              <w:rPr>
                <w:rFonts w:asciiTheme="minorHAnsi" w:eastAsiaTheme="minorEastAsia" w:hAnsiTheme="minorHAnsi"/>
                <w:b w:val="0"/>
                <w:color w:val="auto"/>
                <w:sz w:val="22"/>
                <w:lang w:eastAsia="en-AU"/>
              </w:rPr>
              <w:tab/>
            </w:r>
            <w:r w:rsidR="00AD6A57" w:rsidRPr="004A7D04">
              <w:rPr>
                <w:rStyle w:val="Hyperlink"/>
              </w:rPr>
              <w:t>Final decision</w:t>
            </w:r>
            <w:r w:rsidR="00AD6A57">
              <w:rPr>
                <w:webHidden/>
              </w:rPr>
              <w:tab/>
            </w:r>
            <w:r w:rsidR="00AD6A57">
              <w:rPr>
                <w:webHidden/>
              </w:rPr>
              <w:fldChar w:fldCharType="begin"/>
            </w:r>
            <w:r w:rsidR="00AD6A57">
              <w:rPr>
                <w:webHidden/>
              </w:rPr>
              <w:instrText xml:space="preserve"> PAGEREF _Toc480811185 \h </w:instrText>
            </w:r>
            <w:r w:rsidR="00AD6A57">
              <w:rPr>
                <w:webHidden/>
              </w:rPr>
            </w:r>
            <w:r w:rsidR="00AD6A57">
              <w:rPr>
                <w:webHidden/>
              </w:rPr>
              <w:fldChar w:fldCharType="separate"/>
            </w:r>
            <w:r w:rsidR="00AD6A57">
              <w:rPr>
                <w:webHidden/>
              </w:rPr>
              <w:t>14-6</w:t>
            </w:r>
            <w:r w:rsidR="00AD6A57">
              <w:rPr>
                <w:webHidden/>
              </w:rPr>
              <w:fldChar w:fldCharType="end"/>
            </w:r>
          </w:hyperlink>
        </w:p>
        <w:p w:rsidR="00AD6A57" w:rsidRDefault="004070F1">
          <w:pPr>
            <w:pStyle w:val="TOC2"/>
            <w:tabs>
              <w:tab w:val="left" w:pos="1276"/>
            </w:tabs>
            <w:rPr>
              <w:rFonts w:asciiTheme="minorHAnsi" w:eastAsiaTheme="minorEastAsia" w:hAnsiTheme="minorHAnsi"/>
              <w:b w:val="0"/>
              <w:color w:val="auto"/>
              <w:sz w:val="22"/>
              <w:lang w:eastAsia="en-AU"/>
            </w:rPr>
          </w:pPr>
          <w:hyperlink w:anchor="_Toc480811186" w:history="1">
            <w:r w:rsidR="00AD6A57" w:rsidRPr="004A7D04">
              <w:rPr>
                <w:rStyle w:val="Hyperlink"/>
              </w:rPr>
              <w:t>14.2</w:t>
            </w:r>
            <w:r w:rsidR="00AD6A57">
              <w:rPr>
                <w:rFonts w:asciiTheme="minorHAnsi" w:eastAsiaTheme="minorEastAsia" w:hAnsiTheme="minorHAnsi"/>
                <w:b w:val="0"/>
                <w:color w:val="auto"/>
                <w:sz w:val="22"/>
                <w:lang w:eastAsia="en-AU"/>
              </w:rPr>
              <w:tab/>
            </w:r>
            <w:r w:rsidR="00AD6A57" w:rsidRPr="004A7D04">
              <w:rPr>
                <w:rStyle w:val="Hyperlink"/>
              </w:rPr>
              <w:t>AusNet Services' revised proposal</w:t>
            </w:r>
            <w:r w:rsidR="00AD6A57">
              <w:rPr>
                <w:webHidden/>
              </w:rPr>
              <w:tab/>
            </w:r>
            <w:r w:rsidR="00AD6A57">
              <w:rPr>
                <w:webHidden/>
              </w:rPr>
              <w:fldChar w:fldCharType="begin"/>
            </w:r>
            <w:r w:rsidR="00AD6A57">
              <w:rPr>
                <w:webHidden/>
              </w:rPr>
              <w:instrText xml:space="preserve"> PAGEREF _Toc480811186 \h </w:instrText>
            </w:r>
            <w:r w:rsidR="00AD6A57">
              <w:rPr>
                <w:webHidden/>
              </w:rPr>
            </w:r>
            <w:r w:rsidR="00AD6A57">
              <w:rPr>
                <w:webHidden/>
              </w:rPr>
              <w:fldChar w:fldCharType="separate"/>
            </w:r>
            <w:r w:rsidR="00AD6A57">
              <w:rPr>
                <w:webHidden/>
              </w:rPr>
              <w:t>14-7</w:t>
            </w:r>
            <w:r w:rsidR="00AD6A57">
              <w:rPr>
                <w:webHidden/>
              </w:rPr>
              <w:fldChar w:fldCharType="end"/>
            </w:r>
          </w:hyperlink>
        </w:p>
        <w:p w:rsidR="00AD6A57" w:rsidRDefault="004070F1">
          <w:pPr>
            <w:pStyle w:val="TOC2"/>
            <w:tabs>
              <w:tab w:val="left" w:pos="1276"/>
            </w:tabs>
            <w:rPr>
              <w:rFonts w:asciiTheme="minorHAnsi" w:eastAsiaTheme="minorEastAsia" w:hAnsiTheme="minorHAnsi"/>
              <w:b w:val="0"/>
              <w:color w:val="auto"/>
              <w:sz w:val="22"/>
              <w:lang w:eastAsia="en-AU"/>
            </w:rPr>
          </w:pPr>
          <w:hyperlink w:anchor="_Toc480811187" w:history="1">
            <w:r w:rsidR="00AD6A57" w:rsidRPr="004A7D04">
              <w:rPr>
                <w:rStyle w:val="Hyperlink"/>
              </w:rPr>
              <w:t>14.3</w:t>
            </w:r>
            <w:r w:rsidR="00AD6A57">
              <w:rPr>
                <w:rFonts w:asciiTheme="minorHAnsi" w:eastAsiaTheme="minorEastAsia" w:hAnsiTheme="minorHAnsi"/>
                <w:b w:val="0"/>
                <w:color w:val="auto"/>
                <w:sz w:val="22"/>
                <w:lang w:eastAsia="en-AU"/>
              </w:rPr>
              <w:tab/>
            </w:r>
            <w:r w:rsidR="00AD6A57" w:rsidRPr="004A7D04">
              <w:rPr>
                <w:rStyle w:val="Hyperlink"/>
              </w:rPr>
              <w:t>Assessment approach</w:t>
            </w:r>
            <w:r w:rsidR="00AD6A57">
              <w:rPr>
                <w:webHidden/>
              </w:rPr>
              <w:tab/>
            </w:r>
            <w:r w:rsidR="00AD6A57">
              <w:rPr>
                <w:webHidden/>
              </w:rPr>
              <w:fldChar w:fldCharType="begin"/>
            </w:r>
            <w:r w:rsidR="00AD6A57">
              <w:rPr>
                <w:webHidden/>
              </w:rPr>
              <w:instrText xml:space="preserve"> PAGEREF _Toc480811187 \h </w:instrText>
            </w:r>
            <w:r w:rsidR="00AD6A57">
              <w:rPr>
                <w:webHidden/>
              </w:rPr>
            </w:r>
            <w:r w:rsidR="00AD6A57">
              <w:rPr>
                <w:webHidden/>
              </w:rPr>
              <w:fldChar w:fldCharType="separate"/>
            </w:r>
            <w:r w:rsidR="00AD6A57">
              <w:rPr>
                <w:webHidden/>
              </w:rPr>
              <w:t>14-8</w:t>
            </w:r>
            <w:r w:rsidR="00AD6A57">
              <w:rPr>
                <w:webHidden/>
              </w:rPr>
              <w:fldChar w:fldCharType="end"/>
            </w:r>
          </w:hyperlink>
        </w:p>
        <w:p w:rsidR="00AD6A57" w:rsidRDefault="004070F1">
          <w:pPr>
            <w:pStyle w:val="TOC2"/>
            <w:tabs>
              <w:tab w:val="left" w:pos="1276"/>
            </w:tabs>
            <w:rPr>
              <w:rFonts w:asciiTheme="minorHAnsi" w:eastAsiaTheme="minorEastAsia" w:hAnsiTheme="minorHAnsi"/>
              <w:b w:val="0"/>
              <w:color w:val="auto"/>
              <w:sz w:val="22"/>
              <w:lang w:eastAsia="en-AU"/>
            </w:rPr>
          </w:pPr>
          <w:hyperlink w:anchor="_Toc480811188" w:history="1">
            <w:r w:rsidR="00AD6A57" w:rsidRPr="004A7D04">
              <w:rPr>
                <w:rStyle w:val="Hyperlink"/>
              </w:rPr>
              <w:t>14.4</w:t>
            </w:r>
            <w:r w:rsidR="00AD6A57">
              <w:rPr>
                <w:rFonts w:asciiTheme="minorHAnsi" w:eastAsiaTheme="minorEastAsia" w:hAnsiTheme="minorHAnsi"/>
                <w:b w:val="0"/>
                <w:color w:val="auto"/>
                <w:sz w:val="22"/>
                <w:lang w:eastAsia="en-AU"/>
              </w:rPr>
              <w:tab/>
            </w:r>
            <w:r w:rsidR="00AD6A57" w:rsidRPr="004A7D04">
              <w:rPr>
                <w:rStyle w:val="Hyperlink"/>
              </w:rPr>
              <w:t>Reasons for final decision</w:t>
            </w:r>
            <w:r w:rsidR="00AD6A57">
              <w:rPr>
                <w:webHidden/>
              </w:rPr>
              <w:tab/>
            </w:r>
            <w:r w:rsidR="00AD6A57">
              <w:rPr>
                <w:webHidden/>
              </w:rPr>
              <w:fldChar w:fldCharType="begin"/>
            </w:r>
            <w:r w:rsidR="00AD6A57">
              <w:rPr>
                <w:webHidden/>
              </w:rPr>
              <w:instrText xml:space="preserve"> PAGEREF _Toc480811188 \h </w:instrText>
            </w:r>
            <w:r w:rsidR="00AD6A57">
              <w:rPr>
                <w:webHidden/>
              </w:rPr>
            </w:r>
            <w:r w:rsidR="00AD6A57">
              <w:rPr>
                <w:webHidden/>
              </w:rPr>
              <w:fldChar w:fldCharType="separate"/>
            </w:r>
            <w:r w:rsidR="00AD6A57">
              <w:rPr>
                <w:webHidden/>
              </w:rPr>
              <w:t>14-8</w:t>
            </w:r>
            <w:r w:rsidR="00AD6A57">
              <w:rPr>
                <w:webHidden/>
              </w:rPr>
              <w:fldChar w:fldCharType="end"/>
            </w:r>
          </w:hyperlink>
        </w:p>
        <w:p w:rsidR="00AD6A57" w:rsidRDefault="004070F1">
          <w:pPr>
            <w:pStyle w:val="TOC3"/>
            <w:rPr>
              <w:rFonts w:asciiTheme="minorHAnsi" w:eastAsiaTheme="minorEastAsia" w:hAnsiTheme="minorHAnsi"/>
              <w:lang w:eastAsia="en-AU"/>
            </w:rPr>
          </w:pPr>
          <w:hyperlink w:anchor="_Toc480811189" w:history="1">
            <w:r w:rsidR="00AD6A57" w:rsidRPr="004A7D04">
              <w:rPr>
                <w:rStyle w:val="Hyperlink"/>
              </w:rPr>
              <w:t>14.4.1</w:t>
            </w:r>
            <w:r w:rsidR="00AD6A57">
              <w:rPr>
                <w:rFonts w:asciiTheme="minorHAnsi" w:eastAsiaTheme="minorEastAsia" w:hAnsiTheme="minorHAnsi"/>
                <w:lang w:eastAsia="en-AU"/>
              </w:rPr>
              <w:tab/>
            </w:r>
            <w:r w:rsidR="00AD6A57" w:rsidRPr="004A7D04">
              <w:rPr>
                <w:rStyle w:val="Hyperlink"/>
              </w:rPr>
              <w:t>Negotiating framework</w:t>
            </w:r>
            <w:r w:rsidR="00AD6A57">
              <w:rPr>
                <w:webHidden/>
              </w:rPr>
              <w:tab/>
            </w:r>
            <w:r w:rsidR="00AD6A57">
              <w:rPr>
                <w:webHidden/>
              </w:rPr>
              <w:fldChar w:fldCharType="begin"/>
            </w:r>
            <w:r w:rsidR="00AD6A57">
              <w:rPr>
                <w:webHidden/>
              </w:rPr>
              <w:instrText xml:space="preserve"> PAGEREF _Toc480811189 \h </w:instrText>
            </w:r>
            <w:r w:rsidR="00AD6A57">
              <w:rPr>
                <w:webHidden/>
              </w:rPr>
            </w:r>
            <w:r w:rsidR="00AD6A57">
              <w:rPr>
                <w:webHidden/>
              </w:rPr>
              <w:fldChar w:fldCharType="separate"/>
            </w:r>
            <w:r w:rsidR="00AD6A57">
              <w:rPr>
                <w:webHidden/>
              </w:rPr>
              <w:t>14-8</w:t>
            </w:r>
            <w:r w:rsidR="00AD6A57">
              <w:rPr>
                <w:webHidden/>
              </w:rPr>
              <w:fldChar w:fldCharType="end"/>
            </w:r>
          </w:hyperlink>
        </w:p>
        <w:p w:rsidR="00AD6A57" w:rsidRDefault="004070F1">
          <w:pPr>
            <w:pStyle w:val="TOC3"/>
            <w:rPr>
              <w:rFonts w:asciiTheme="minorHAnsi" w:eastAsiaTheme="minorEastAsia" w:hAnsiTheme="minorHAnsi"/>
              <w:lang w:eastAsia="en-AU"/>
            </w:rPr>
          </w:pPr>
          <w:hyperlink w:anchor="_Toc480811190" w:history="1">
            <w:r w:rsidR="00AD6A57" w:rsidRPr="004A7D04">
              <w:rPr>
                <w:rStyle w:val="Hyperlink"/>
              </w:rPr>
              <w:t>14.4.2</w:t>
            </w:r>
            <w:r w:rsidR="00AD6A57">
              <w:rPr>
                <w:rFonts w:asciiTheme="minorHAnsi" w:eastAsiaTheme="minorEastAsia" w:hAnsiTheme="minorHAnsi"/>
                <w:lang w:eastAsia="en-AU"/>
              </w:rPr>
              <w:tab/>
            </w:r>
            <w:r w:rsidR="00AD6A57" w:rsidRPr="004A7D04">
              <w:rPr>
                <w:rStyle w:val="Hyperlink"/>
              </w:rPr>
              <w:t>Negotiated transmission service criteria</w:t>
            </w:r>
            <w:r w:rsidR="00AD6A57">
              <w:rPr>
                <w:webHidden/>
              </w:rPr>
              <w:tab/>
            </w:r>
            <w:r w:rsidR="00AD6A57">
              <w:rPr>
                <w:webHidden/>
              </w:rPr>
              <w:fldChar w:fldCharType="begin"/>
            </w:r>
            <w:r w:rsidR="00AD6A57">
              <w:rPr>
                <w:webHidden/>
              </w:rPr>
              <w:instrText xml:space="preserve"> PAGEREF _Toc480811190 \h </w:instrText>
            </w:r>
            <w:r w:rsidR="00AD6A57">
              <w:rPr>
                <w:webHidden/>
              </w:rPr>
            </w:r>
            <w:r w:rsidR="00AD6A57">
              <w:rPr>
                <w:webHidden/>
              </w:rPr>
              <w:fldChar w:fldCharType="separate"/>
            </w:r>
            <w:r w:rsidR="00AD6A57">
              <w:rPr>
                <w:webHidden/>
              </w:rPr>
              <w:t>14-8</w:t>
            </w:r>
            <w:r w:rsidR="00AD6A57">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081118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proofErr w:type="spellStart"/>
            <w:r>
              <w:t>TUoS</w:t>
            </w:r>
            <w:proofErr w:type="spellEnd"/>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2D7998" w:rsidP="00132D43">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 xml:space="preserve"> </w:t>
      </w:r>
      <w:bookmarkStart w:id="71" w:name="_Toc480811184"/>
      <w:r w:rsidR="00132D43">
        <w:t>Negotiated services</w:t>
      </w:r>
      <w:bookmarkEnd w:id="71"/>
    </w:p>
    <w:p w:rsidR="003254BD" w:rsidRDefault="003254BD" w:rsidP="003254BD">
      <w:r w:rsidRPr="003254BD">
        <w:t xml:space="preserve">Our transmission determination imposes control over revenues that a </w:t>
      </w:r>
      <w:r w:rsidR="00D96AA4" w:rsidRPr="00D96AA4">
        <w:t>transmission network service provider (TNSP)</w:t>
      </w:r>
      <w:r w:rsidRPr="003254BD">
        <w:t xml:space="preserve"> can recover from its provision of prescribed transmission services. But we do not determine the terms and conditions of negotiated transmission services. Under the National Electricity Rules (NER), negotiated services are provided under an agreement or as a result of a determination of a commercial arbitrator. Thes</w:t>
      </w:r>
      <w:r w:rsidR="00BF188E">
        <w:t>e processes are facilitated by:</w:t>
      </w:r>
    </w:p>
    <w:p w:rsidR="003254BD" w:rsidRDefault="003254BD" w:rsidP="003254BD">
      <w:pPr>
        <w:pStyle w:val="AERbulletlistfirststyle"/>
      </w:pPr>
      <w:r>
        <w:t>a negotiating framework</w:t>
      </w:r>
    </w:p>
    <w:p w:rsidR="003254BD" w:rsidRPr="003254BD" w:rsidRDefault="003254BD" w:rsidP="003254BD">
      <w:pPr>
        <w:pStyle w:val="AERbulletlistfirststyle"/>
      </w:pPr>
      <w:proofErr w:type="gramStart"/>
      <w:r>
        <w:t>negotiated</w:t>
      </w:r>
      <w:proofErr w:type="gramEnd"/>
      <w:r>
        <w:t xml:space="preserve"> transmission service criteria (NTSC).</w:t>
      </w:r>
    </w:p>
    <w:p w:rsidR="005825B0" w:rsidRDefault="003254BD" w:rsidP="00132D43">
      <w:r w:rsidRPr="003254BD">
        <w:t xml:space="preserve">A </w:t>
      </w:r>
      <w:r w:rsidR="00D96AA4">
        <w:t>TNSP</w:t>
      </w:r>
      <w:r w:rsidRPr="003254BD">
        <w:t xml:space="preserve"> must prepare a negotiating framework that sets out procedures for negotiating the terms and conditions of access to a negotiated transmission service. The NTSC, which we develop in consultation with stakeholders, set out criteria that a </w:t>
      </w:r>
      <w:r w:rsidR="00D96AA4">
        <w:t>TNSP</w:t>
      </w:r>
      <w:r w:rsidRPr="003254BD">
        <w:t xml:space="preserve"> must apply in negotiating those terms and conditions, including the prices and access charges for negotiated transmission services. They also contain the criteria that a commercial arbitrator must apply to resolve disputes about such terms and conditions and/or access charges. </w:t>
      </w:r>
    </w:p>
    <w:p w:rsidR="00132D43" w:rsidRPr="00132D43" w:rsidRDefault="003254BD" w:rsidP="00782EC3">
      <w:r w:rsidRPr="003254BD">
        <w:t xml:space="preserve">This attachment sets out our </w:t>
      </w:r>
      <w:r w:rsidR="005825B0">
        <w:t>final decision</w:t>
      </w:r>
      <w:r w:rsidRPr="003254BD">
        <w:t xml:space="preserve"> on AusNet </w:t>
      </w:r>
      <w:r w:rsidR="00782EC3" w:rsidRPr="003254BD">
        <w:t>Services' negotiating</w:t>
      </w:r>
      <w:r>
        <w:t xml:space="preserve"> framework</w:t>
      </w:r>
      <w:r w:rsidR="00782EC3">
        <w:t xml:space="preserve"> for the 2017</w:t>
      </w:r>
      <w:r w:rsidR="00782EC3" w:rsidRPr="00782EC3">
        <w:t xml:space="preserve">–22 regulatory control </w:t>
      </w:r>
      <w:proofErr w:type="gramStart"/>
      <w:r w:rsidR="00782EC3" w:rsidRPr="00782EC3">
        <w:t>period</w:t>
      </w:r>
      <w:proofErr w:type="gramEnd"/>
      <w:r w:rsidR="00782EC3" w:rsidRPr="00782EC3">
        <w:t>.</w:t>
      </w:r>
      <w:r w:rsidR="00782EC3">
        <w:rPr>
          <w:rStyle w:val="FootnoteReference"/>
        </w:rPr>
        <w:footnoteReference w:id="1"/>
      </w:r>
      <w:r w:rsidR="00782EC3">
        <w:t xml:space="preserve"> </w:t>
      </w:r>
      <w:r w:rsidR="00782EC3" w:rsidRPr="0092071A">
        <w:t xml:space="preserve">We also specify the NTSC that are to apply to </w:t>
      </w:r>
      <w:r w:rsidR="00782EC3">
        <w:t>AusNet Services</w:t>
      </w:r>
      <w:r w:rsidR="00782EC3" w:rsidRPr="0092071A">
        <w:t>.</w:t>
      </w:r>
      <w:r w:rsidR="00782EC3">
        <w:rPr>
          <w:rStyle w:val="FootnoteReference"/>
        </w:rPr>
        <w:footnoteReference w:id="2"/>
      </w:r>
    </w:p>
    <w:p w:rsidR="00132D43" w:rsidRDefault="00AC4742" w:rsidP="00132D43">
      <w:pPr>
        <w:pStyle w:val="Heading2"/>
      </w:pPr>
      <w:bookmarkStart w:id="72" w:name="_Toc480811185"/>
      <w:r>
        <w:t>Final</w:t>
      </w:r>
      <w:r w:rsidR="00132D43">
        <w:t xml:space="preserve"> decision</w:t>
      </w:r>
      <w:bookmarkEnd w:id="72"/>
    </w:p>
    <w:p w:rsidR="00BF188E" w:rsidRDefault="00BF188E" w:rsidP="00BF188E">
      <w:pPr>
        <w:pStyle w:val="HeadingBoldBlue"/>
      </w:pPr>
      <w:r>
        <w:t>Negotiating framework</w:t>
      </w:r>
    </w:p>
    <w:p w:rsidR="00BF188E" w:rsidRDefault="00BF188E" w:rsidP="00132D43">
      <w:r>
        <w:t xml:space="preserve">Our final decision is to </w:t>
      </w:r>
      <w:r w:rsidR="00D104F9">
        <w:t xml:space="preserve">approve </w:t>
      </w:r>
      <w:r w:rsidR="003254BD">
        <w:t xml:space="preserve">AusNet Services' proposed negotiating </w:t>
      </w:r>
      <w:r>
        <w:t xml:space="preserve">framework for the 2017–22 regulatory control period </w:t>
      </w:r>
      <w:r w:rsidR="003254BD">
        <w:t>because it meets the requirements in the NER.</w:t>
      </w:r>
      <w:r w:rsidR="003254BD">
        <w:rPr>
          <w:rStyle w:val="FootnoteReference"/>
        </w:rPr>
        <w:footnoteReference w:id="3"/>
      </w:r>
      <w:r w:rsidR="003254BD" w:rsidRPr="003254BD">
        <w:t xml:space="preserve"> </w:t>
      </w:r>
      <w:r>
        <w:t>We a</w:t>
      </w:r>
      <w:r w:rsidR="00D104F9">
        <w:t>pprov</w:t>
      </w:r>
      <w:r>
        <w:t>ed the same negotiating framework in our draft decision.</w:t>
      </w:r>
      <w:r>
        <w:rPr>
          <w:rStyle w:val="FootnoteReference"/>
        </w:rPr>
        <w:footnoteReference w:id="4"/>
      </w:r>
      <w:r w:rsidR="00C405B3">
        <w:t xml:space="preserve"> The approved negotiating framework is set out in attachment A </w:t>
      </w:r>
      <w:r w:rsidR="00864338">
        <w:t xml:space="preserve">to </w:t>
      </w:r>
      <w:r w:rsidR="00C405B3">
        <w:t xml:space="preserve">our final </w:t>
      </w:r>
      <w:r w:rsidR="00864338">
        <w:t>transmission determination</w:t>
      </w:r>
      <w:r w:rsidR="00C405B3">
        <w:t>.</w:t>
      </w:r>
    </w:p>
    <w:p w:rsidR="00BF188E" w:rsidRDefault="00BF188E" w:rsidP="00AD6A57">
      <w:pPr>
        <w:pStyle w:val="HeadingBoldBlue"/>
        <w:keepNext/>
      </w:pPr>
      <w:r>
        <w:lastRenderedPageBreak/>
        <w:t>Negotiated transmission service criteria</w:t>
      </w:r>
    </w:p>
    <w:p w:rsidR="00132D43" w:rsidRDefault="00BF188E" w:rsidP="00AD6A57">
      <w:pPr>
        <w:keepNext/>
      </w:pPr>
      <w:r>
        <w:t>O</w:t>
      </w:r>
      <w:r w:rsidR="007316C8">
        <w:t xml:space="preserve">ur final </w:t>
      </w:r>
      <w:r w:rsidR="003254BD">
        <w:t>decision is t</w:t>
      </w:r>
      <w:r>
        <w:t xml:space="preserve">o retain the </w:t>
      </w:r>
      <w:r w:rsidR="003254BD">
        <w:t>NTSC</w:t>
      </w:r>
      <w:r>
        <w:t xml:space="preserve"> that we previously developed and</w:t>
      </w:r>
      <w:r w:rsidR="003254BD">
        <w:t xml:space="preserve"> published</w:t>
      </w:r>
      <w:r>
        <w:t xml:space="preserve"> for AusNet Services </w:t>
      </w:r>
      <w:r w:rsidR="003254BD">
        <w:t xml:space="preserve">in November 2015 </w:t>
      </w:r>
      <w:r>
        <w:t>for</w:t>
      </w:r>
      <w:r w:rsidR="003254BD">
        <w:t xml:space="preserve"> the 2017–22 regulatory control </w:t>
      </w:r>
      <w:proofErr w:type="gramStart"/>
      <w:r w:rsidR="003254BD">
        <w:t>period</w:t>
      </w:r>
      <w:proofErr w:type="gramEnd"/>
      <w:r w:rsidR="00E93A0F">
        <w:t>.</w:t>
      </w:r>
      <w:r w:rsidR="00E93A0F">
        <w:rPr>
          <w:rStyle w:val="FootnoteReference"/>
        </w:rPr>
        <w:footnoteReference w:id="5"/>
      </w:r>
      <w:r w:rsidR="00E93A0F">
        <w:t xml:space="preserve"> The NTSC </w:t>
      </w:r>
      <w:r w:rsidR="003254BD">
        <w:t>give effect to the negotiated transmission service principles.</w:t>
      </w:r>
      <w:r>
        <w:rPr>
          <w:rStyle w:val="FootnoteReference"/>
        </w:rPr>
        <w:footnoteReference w:id="6"/>
      </w:r>
    </w:p>
    <w:p w:rsidR="00132D43" w:rsidRDefault="004B42C2" w:rsidP="00132D43">
      <w:pPr>
        <w:pStyle w:val="Heading2"/>
      </w:pPr>
      <w:bookmarkStart w:id="73" w:name="_Toc480811186"/>
      <w:r>
        <w:t>AusNet Services'</w:t>
      </w:r>
      <w:r w:rsidR="00132D43">
        <w:t xml:space="preserve"> </w:t>
      </w:r>
      <w:r w:rsidR="00AC4742">
        <w:t xml:space="preserve">revised </w:t>
      </w:r>
      <w:r w:rsidR="00132D43">
        <w:t>proposal</w:t>
      </w:r>
      <w:bookmarkEnd w:id="73"/>
    </w:p>
    <w:p w:rsidR="009B3FC5" w:rsidRPr="009B3FC5" w:rsidRDefault="003254BD" w:rsidP="009B3FC5">
      <w:r w:rsidRPr="003254BD">
        <w:t>On 30 October 2015, AusNet Services submitted its proposed negotiating framework</w:t>
      </w:r>
      <w:r w:rsidR="007316C8">
        <w:t>,</w:t>
      </w:r>
      <w:r w:rsidR="009B3FC5">
        <w:rPr>
          <w:rStyle w:val="FootnoteReference"/>
        </w:rPr>
        <w:footnoteReference w:id="7"/>
      </w:r>
      <w:r w:rsidR="007316C8">
        <w:t xml:space="preserve"> which we accepted in our draft decision.</w:t>
      </w:r>
      <w:r w:rsidR="002F11D6">
        <w:rPr>
          <w:rStyle w:val="FootnoteReference"/>
        </w:rPr>
        <w:footnoteReference w:id="8"/>
      </w:r>
      <w:r w:rsidR="007316C8">
        <w:t xml:space="preserve"> AusNet</w:t>
      </w:r>
      <w:r w:rsidR="002F11D6">
        <w:t xml:space="preserve"> Services</w:t>
      </w:r>
      <w:r w:rsidR="007316C8">
        <w:t xml:space="preserve"> did not make any changes to its proposed negotiated framework in its revised proposal.</w:t>
      </w:r>
      <w:r w:rsidR="002F11D6">
        <w:rPr>
          <w:rStyle w:val="FootnoteReference"/>
        </w:rPr>
        <w:footnoteReference w:id="9"/>
      </w:r>
    </w:p>
    <w:p w:rsidR="00F25A75" w:rsidRDefault="009B3FC5" w:rsidP="009B3FC5">
      <w:r w:rsidRPr="009B3FC5">
        <w:t>AusNet Services' provides transmission services in conjunction with the Australian Energy Market Operator (AEMO). AusNet Services provides and offers connection services whereas AEMO provides shared transmission services. Because of this AusNet Services</w:t>
      </w:r>
      <w:r w:rsidR="00CE6476">
        <w:t>'</w:t>
      </w:r>
      <w:r w:rsidRPr="009B3FC5">
        <w:t xml:space="preserve"> proposal states that it worked with AEMO to devise a common negotiating framework for them both.</w:t>
      </w:r>
      <w:r>
        <w:rPr>
          <w:rStyle w:val="FootnoteReference"/>
        </w:rPr>
        <w:footnoteReference w:id="10"/>
      </w:r>
      <w:r w:rsidRPr="009B3FC5">
        <w:t xml:space="preserve"> We approved a common negotiating framework for AusNet Services and AEMO in 2014.</w:t>
      </w:r>
      <w:r>
        <w:rPr>
          <w:rStyle w:val="FootnoteReference"/>
        </w:rPr>
        <w:footnoteReference w:id="11"/>
      </w:r>
    </w:p>
    <w:p w:rsidR="00CE6476" w:rsidRDefault="009B3FC5" w:rsidP="009B3FC5">
      <w:r w:rsidRPr="009B3FC5">
        <w:t>Given AEMO's transmission responsibilities, Au</w:t>
      </w:r>
      <w:r w:rsidR="00CE6476">
        <w:t>sNet Services outlined the operation of the</w:t>
      </w:r>
      <w:r w:rsidRPr="009B3FC5">
        <w:t xml:space="preserve"> common negotiating framework.</w:t>
      </w:r>
    </w:p>
    <w:p w:rsidR="009B3FC5" w:rsidRPr="009B3FC5" w:rsidRDefault="009B3FC5" w:rsidP="009B3FC5">
      <w:r w:rsidRPr="009B3FC5">
        <w:t>Negotiated transmission services include connection services that are provided to a specific user, or group of users, at a single transmission connection point.</w:t>
      </w:r>
      <w:r>
        <w:rPr>
          <w:rStyle w:val="FootnoteReference"/>
        </w:rPr>
        <w:footnoteReference w:id="12"/>
      </w:r>
      <w:r w:rsidRPr="009B3FC5">
        <w:t xml:space="preserve"> They also include negotiated transmission services which exceed the network performance requirements under jurisdictional electricity legislation.</w:t>
      </w:r>
      <w:r>
        <w:rPr>
          <w:rStyle w:val="FootnoteReference"/>
        </w:rPr>
        <w:footnoteReference w:id="13"/>
      </w:r>
      <w:r w:rsidRPr="009B3FC5">
        <w:t xml:space="preserve"> Of these types of negotiated services</w:t>
      </w:r>
      <w:r w:rsidR="00CE6476">
        <w:t>,</w:t>
      </w:r>
      <w:r w:rsidRPr="009B3FC5">
        <w:t xml:space="preserve"> AusNet Services stated it is responsible for connection services whereas AEMO is responsible for shared transmission services. This is such that AusNet Services proposed that its common negotiating framework applies to: </w:t>
      </w:r>
    </w:p>
    <w:p w:rsidR="009B3FC5" w:rsidRPr="009B3FC5" w:rsidRDefault="009B3FC5" w:rsidP="00F25A75">
      <w:pPr>
        <w:pStyle w:val="AERbulletlistfirststyle"/>
      </w:pPr>
      <w:r w:rsidRPr="009B3FC5">
        <w:t xml:space="preserve">AusNet Services and each Service Applicant who applies in writing to AusNet Services for the provision of connection services which are negotiated services </w:t>
      </w:r>
    </w:p>
    <w:p w:rsidR="009B3FC5" w:rsidRPr="009B3FC5" w:rsidRDefault="009B3FC5" w:rsidP="00F25A75">
      <w:pPr>
        <w:pStyle w:val="AERbulletlistfirststyle"/>
      </w:pPr>
      <w:r w:rsidRPr="009B3FC5">
        <w:t xml:space="preserve">AEMO and each Service Applicant who applies in writing to AEMO for the provision of shared transmission services which are negotiated services. </w:t>
      </w:r>
    </w:p>
    <w:p w:rsidR="00F25A75" w:rsidRDefault="009B3FC5" w:rsidP="00132D43">
      <w:r w:rsidRPr="009B3FC5">
        <w:lastRenderedPageBreak/>
        <w:t xml:space="preserve">In respect of </w:t>
      </w:r>
      <w:r w:rsidR="00CE6476">
        <w:t>connection to the</w:t>
      </w:r>
      <w:r w:rsidRPr="009B3FC5">
        <w:t xml:space="preserve"> transmission network, AusNet Services or the relevant transmission business (as applicable) has primary responsibility for assessing and advising a Service Applicant on the connection assets at the physical interface with its transmission network (network exit servic</w:t>
      </w:r>
      <w:r>
        <w:t>es and network entry services).</w:t>
      </w:r>
      <w:r>
        <w:rPr>
          <w:rStyle w:val="FootnoteReference"/>
        </w:rPr>
        <w:footnoteReference w:id="14"/>
      </w:r>
    </w:p>
    <w:p w:rsidR="00132D43" w:rsidRDefault="00132D43" w:rsidP="00132D43">
      <w:pPr>
        <w:pStyle w:val="Heading2"/>
      </w:pPr>
      <w:bookmarkStart w:id="74" w:name="_Toc480811187"/>
      <w:r>
        <w:t>Assessment approach</w:t>
      </w:r>
      <w:bookmarkEnd w:id="74"/>
    </w:p>
    <w:p w:rsidR="00CE6476" w:rsidRDefault="00CE6476" w:rsidP="00CE6476">
      <w:pPr>
        <w:pStyle w:val="HeadingBoldBlue"/>
      </w:pPr>
      <w:r>
        <w:t>Negotiating framework</w:t>
      </w:r>
    </w:p>
    <w:p w:rsidR="00F25A75" w:rsidRDefault="00F25A75" w:rsidP="00F25A75">
      <w:r w:rsidRPr="00F25A75">
        <w:t>To be approved, a proposed negotiating framework must specify each requirement set out in clause 6A.9.5(c) of the NER</w:t>
      </w:r>
      <w:r w:rsidR="000E7053">
        <w:t>,</w:t>
      </w:r>
      <w:r w:rsidR="000E7053" w:rsidRPr="000E7053">
        <w:t xml:space="preserve"> and not inconsistent with any of the requirements set out in clause </w:t>
      </w:r>
      <w:proofErr w:type="gramStart"/>
      <w:r w:rsidR="000E7053" w:rsidRPr="000E7053">
        <w:t>6</w:t>
      </w:r>
      <w:r w:rsidR="000E7053">
        <w:t>A.9</w:t>
      </w:r>
      <w:r w:rsidR="000E7053" w:rsidRPr="000E7053">
        <w:t>.5(</w:t>
      </w:r>
      <w:proofErr w:type="gramEnd"/>
      <w:r w:rsidR="000E7053" w:rsidRPr="000E7053">
        <w:t>d) of the NER</w:t>
      </w:r>
      <w:r w:rsidRPr="00F25A75">
        <w:t>. We examined whether AusNet Services' proposed negotiating fr</w:t>
      </w:r>
      <w:r w:rsidR="00CE6476">
        <w:t>amework met these requirements.</w:t>
      </w:r>
    </w:p>
    <w:p w:rsidR="00CE6476" w:rsidRPr="00F25A75" w:rsidRDefault="00CE6476" w:rsidP="00CE6476">
      <w:pPr>
        <w:pStyle w:val="HeadingBoldBlue"/>
      </w:pPr>
      <w:r>
        <w:t>Negotiated transmission service criteria</w:t>
      </w:r>
    </w:p>
    <w:p w:rsidR="00132D43" w:rsidRDefault="00F25A75" w:rsidP="00132D43">
      <w:r w:rsidRPr="00F25A75">
        <w:t xml:space="preserve">We consider </w:t>
      </w:r>
      <w:r w:rsidR="000046E0">
        <w:t xml:space="preserve">an </w:t>
      </w:r>
      <w:r w:rsidRPr="00F25A75">
        <w:t xml:space="preserve">NTSC that </w:t>
      </w:r>
      <w:r w:rsidR="00CE6476">
        <w:t>reflect</w:t>
      </w:r>
      <w:r w:rsidR="0024570D">
        <w:t>s</w:t>
      </w:r>
      <w:r w:rsidR="00CE6476">
        <w:t xml:space="preserve"> </w:t>
      </w:r>
      <w:r w:rsidRPr="00F25A75">
        <w:t xml:space="preserve">the negotiated transmission service principles would satisfy the NER requirements. </w:t>
      </w:r>
      <w:r w:rsidR="00CE6476">
        <w:t>Therefore, w</w:t>
      </w:r>
      <w:r w:rsidRPr="00F25A75">
        <w:t>e assessed whether our proposed NTSC reflect the negotiating transmission service principle</w:t>
      </w:r>
      <w:r>
        <w:t xml:space="preserve">s in clause 6A.9.1 of the NER. </w:t>
      </w:r>
    </w:p>
    <w:p w:rsidR="00132D43" w:rsidRDefault="00132D43" w:rsidP="00132D43">
      <w:pPr>
        <w:pStyle w:val="Heading2"/>
      </w:pPr>
      <w:bookmarkStart w:id="75" w:name="_Toc480811188"/>
      <w:r>
        <w:t xml:space="preserve">Reasons for </w:t>
      </w:r>
      <w:r w:rsidR="00AC4742">
        <w:t>final</w:t>
      </w:r>
      <w:r>
        <w:t xml:space="preserve"> decision</w:t>
      </w:r>
      <w:bookmarkEnd w:id="75"/>
    </w:p>
    <w:p w:rsidR="00F2656D" w:rsidRDefault="00F2656D" w:rsidP="00AD6A57">
      <w:pPr>
        <w:pStyle w:val="Heading3"/>
        <w:ind w:left="720"/>
      </w:pPr>
      <w:bookmarkStart w:id="76" w:name="_Toc480811189"/>
      <w:r>
        <w:t>Negotiating framework</w:t>
      </w:r>
      <w:bookmarkEnd w:id="76"/>
    </w:p>
    <w:p w:rsidR="00F2656D" w:rsidRDefault="00F2656D" w:rsidP="00C817EC">
      <w:r>
        <w:t xml:space="preserve">Our final decision maintains </w:t>
      </w:r>
      <w:r w:rsidR="00F25A75">
        <w:t>our draft decision</w:t>
      </w:r>
      <w:r>
        <w:t xml:space="preserve"> consideration to</w:t>
      </w:r>
      <w:r w:rsidR="00F25A75">
        <w:t xml:space="preserve"> a</w:t>
      </w:r>
      <w:r w:rsidR="005142EF">
        <w:t>pprove</w:t>
      </w:r>
      <w:r w:rsidR="00F25A75">
        <w:t xml:space="preserve"> </w:t>
      </w:r>
      <w:r w:rsidR="00C817EC">
        <w:t>AusNet</w:t>
      </w:r>
      <w:r>
        <w:t xml:space="preserve"> Services</w:t>
      </w:r>
      <w:r w:rsidR="00C817EC">
        <w:t xml:space="preserve">' </w:t>
      </w:r>
      <w:r>
        <w:t>proposed negotiating framework because it specifies the</w:t>
      </w:r>
      <w:r w:rsidR="000C265D">
        <w:t xml:space="preserve"> matters that are set out as</w:t>
      </w:r>
      <w:r>
        <w:t xml:space="preserve"> minimum requirements </w:t>
      </w:r>
      <w:r w:rsidR="000C265D">
        <w:t>in</w:t>
      </w:r>
      <w:r>
        <w:t xml:space="preserve"> the NER.</w:t>
      </w:r>
      <w:r>
        <w:rPr>
          <w:rStyle w:val="FootnoteReference"/>
        </w:rPr>
        <w:footnoteReference w:id="15"/>
      </w:r>
      <w:r>
        <w:t xml:space="preserve"> </w:t>
      </w:r>
      <w:r w:rsidR="001858B8">
        <w:t>Our assessment of AusNet Services' negotiating framework is set out in table 14.1 in attachment 14 of our draft decision.</w:t>
      </w:r>
      <w:r w:rsidR="001858B8">
        <w:rPr>
          <w:rStyle w:val="FootnoteReference"/>
        </w:rPr>
        <w:footnoteReference w:id="16"/>
      </w:r>
    </w:p>
    <w:p w:rsidR="00F2656D" w:rsidRDefault="00F2656D" w:rsidP="00AD6A57">
      <w:pPr>
        <w:pStyle w:val="Heading3"/>
        <w:ind w:left="720"/>
      </w:pPr>
      <w:bookmarkStart w:id="77" w:name="_Toc480811190"/>
      <w:r>
        <w:t>Negotiated transmission service criteria</w:t>
      </w:r>
      <w:bookmarkEnd w:id="77"/>
    </w:p>
    <w:p w:rsidR="004C5712" w:rsidRDefault="00C817EC" w:rsidP="00C817EC">
      <w:r>
        <w:t xml:space="preserve">On 23 September 2016, we published an invitation for submissions on our </w:t>
      </w:r>
      <w:r w:rsidR="000D03E4">
        <w:t xml:space="preserve">proposed NTSC for AusNet Services. </w:t>
      </w:r>
      <w:r w:rsidR="000046E0">
        <w:t xml:space="preserve">No submissions were </w:t>
      </w:r>
      <w:r w:rsidR="000D03E4">
        <w:t>receive</w:t>
      </w:r>
      <w:r w:rsidR="000046E0">
        <w:t>d</w:t>
      </w:r>
      <w:r w:rsidR="004C5712">
        <w:t xml:space="preserve">. </w:t>
      </w:r>
    </w:p>
    <w:p w:rsidR="000D03E4" w:rsidRDefault="004C5712" w:rsidP="00C817EC">
      <w:r>
        <w:t xml:space="preserve">We published our draft decision on the NTSC in July 2016. We did not receive any submissions in response to </w:t>
      </w:r>
      <w:r w:rsidR="001858B8">
        <w:t>our draft decision</w:t>
      </w:r>
      <w:r w:rsidR="000D03E4">
        <w:t>.</w:t>
      </w:r>
      <w:r w:rsidR="001858B8">
        <w:t xml:space="preserve"> </w:t>
      </w:r>
      <w:r w:rsidR="001D34E4">
        <w:t xml:space="preserve">Therefore, the NTSC we have decided to apply to AusNet Services for the 2017–22 regulatory control </w:t>
      </w:r>
      <w:proofErr w:type="gramStart"/>
      <w:r w:rsidR="001D34E4">
        <w:t>period</w:t>
      </w:r>
      <w:proofErr w:type="gramEnd"/>
      <w:r w:rsidR="001D34E4">
        <w:t xml:space="preserve"> has the following components:</w:t>
      </w:r>
    </w:p>
    <w:p w:rsidR="001D34E4" w:rsidRPr="0098429F" w:rsidRDefault="001D34E4" w:rsidP="00AD6A57">
      <w:pPr>
        <w:pStyle w:val="HeadingBoldItalic"/>
        <w:keepNext/>
      </w:pPr>
      <w:bookmarkStart w:id="78" w:name="_Toc456603707"/>
      <w:r w:rsidRPr="0098429F">
        <w:lastRenderedPageBreak/>
        <w:t>National Electricity Objective</w:t>
      </w:r>
      <w:bookmarkEnd w:id="78"/>
    </w:p>
    <w:p w:rsidR="001D34E4" w:rsidRPr="000E7053" w:rsidRDefault="001D34E4" w:rsidP="00AD6A57">
      <w:pPr>
        <w:pStyle w:val="ListNumber"/>
        <w:keepNext/>
      </w:pPr>
      <w:r w:rsidRPr="000E7053">
        <w:t>The terms and conditions of access for a negotiated transmission service, including the price that is to be charged for the provision of that service and any access charges, should promote the achievement of the national electricity objective.</w:t>
      </w:r>
    </w:p>
    <w:p w:rsidR="001D34E4" w:rsidRPr="0098429F" w:rsidRDefault="001D34E4" w:rsidP="001D34E4">
      <w:pPr>
        <w:pStyle w:val="HeadingBoldItalic"/>
      </w:pPr>
      <w:bookmarkStart w:id="79" w:name="_Toc456603708"/>
      <w:r w:rsidRPr="0098429F">
        <w:t>Criteria for terms and conditions of access</w:t>
      </w:r>
      <w:bookmarkEnd w:id="79"/>
    </w:p>
    <w:p w:rsidR="001D34E4" w:rsidRPr="0098429F" w:rsidRDefault="001D34E4" w:rsidP="001D34E4">
      <w:pPr>
        <w:pStyle w:val="HeadingItalic"/>
      </w:pPr>
      <w:bookmarkStart w:id="80" w:name="_Toc456603709"/>
      <w:r w:rsidRPr="0098429F">
        <w:t>Terms and conditions of access</w:t>
      </w:r>
      <w:bookmarkEnd w:id="80"/>
    </w:p>
    <w:p w:rsidR="001D34E4" w:rsidRDefault="001D34E4" w:rsidP="001D34E4">
      <w:pPr>
        <w:pStyle w:val="ListNumber"/>
      </w:pPr>
      <w:r w:rsidRPr="0098429F">
        <w:t>The terms and conditions of access for a negotiated transmission service must be fair, reasonable, and consistent with the safe and reliable operation of the power system in accordance with the NER.</w:t>
      </w:r>
    </w:p>
    <w:p w:rsidR="001D34E4" w:rsidRDefault="001D34E4" w:rsidP="001D34E4">
      <w:pPr>
        <w:pStyle w:val="ListNumber"/>
      </w:pPr>
      <w:r w:rsidRPr="0098429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1D34E4" w:rsidRDefault="001D34E4" w:rsidP="001D34E4">
      <w:pPr>
        <w:pStyle w:val="ListNumber"/>
      </w:pPr>
      <w:r w:rsidRPr="0098429F">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1D34E4" w:rsidRDefault="001D34E4" w:rsidP="001D34E4">
      <w:pPr>
        <w:pStyle w:val="HeadingItalic"/>
      </w:pPr>
      <w:bookmarkStart w:id="81" w:name="_Toc456603710"/>
      <w:r w:rsidRPr="0098429F">
        <w:t>Price of services</w:t>
      </w:r>
      <w:bookmarkEnd w:id="81"/>
    </w:p>
    <w:p w:rsidR="001D34E4" w:rsidRDefault="001D34E4" w:rsidP="001D34E4">
      <w:pPr>
        <w:pStyle w:val="ListNumber"/>
      </w:pPr>
      <w:r w:rsidRPr="0098429F">
        <w:t>The price of a negotiated transmission service must reflect the cost that the TNSP has incurred or incurs in providing that service, and must be determined in accordance with the principles and policies set out in the Cost Allocation Methodology.</w:t>
      </w:r>
    </w:p>
    <w:p w:rsidR="001D34E4" w:rsidRDefault="001D34E4" w:rsidP="001D34E4">
      <w:pPr>
        <w:pStyle w:val="ListNumber"/>
      </w:pPr>
      <w:r w:rsidRPr="0098429F">
        <w:t>Subject to criteria 7 and 8, the price for a negotiated transmission service must be at least equal to the avoided cost of providing that service but no more than the cost of providing it on a stand-alone basis.</w:t>
      </w:r>
    </w:p>
    <w:p w:rsidR="001D34E4" w:rsidRPr="0098429F" w:rsidRDefault="001D34E4" w:rsidP="001D34E4">
      <w:pPr>
        <w:pStyle w:val="ListNumber"/>
      </w:pPr>
      <w:r w:rsidRPr="0098429F">
        <w:t>If the negotiated transmission service is a shared transmission service that:</w:t>
      </w:r>
    </w:p>
    <w:p w:rsidR="001D34E4" w:rsidRDefault="001D34E4" w:rsidP="001D34E4">
      <w:pPr>
        <w:pStyle w:val="AERnumberedlistsecondstyle"/>
      </w:pPr>
      <w:r w:rsidRPr="0098429F">
        <w:t>exceeds any network performance requirements which it is required to meet under any relevant electricity legislation; or</w:t>
      </w:r>
    </w:p>
    <w:p w:rsidR="001D34E4" w:rsidRPr="0098429F" w:rsidRDefault="001D34E4" w:rsidP="001D34E4">
      <w:pPr>
        <w:pStyle w:val="AERnumberedlistsecondstyle"/>
      </w:pPr>
      <w:r w:rsidRPr="0098429F">
        <w:t>exceeds the network performance requirements set out in schedule</w:t>
      </w:r>
      <w:r>
        <w:t>s</w:t>
      </w:r>
      <w:r w:rsidRPr="0098429F">
        <w:t xml:space="preserve"> 5.1a and 5.1 of the NER</w:t>
      </w:r>
    </w:p>
    <w:p w:rsidR="001D34E4" w:rsidRPr="0098429F" w:rsidRDefault="001D34E4" w:rsidP="001D34E4">
      <w:pPr>
        <w:pStyle w:val="ListContinue"/>
      </w:pPr>
      <w:r w:rsidRPr="0098429F">
        <w:t>then the difference between the price for that service and the price for the shared transmission service which meets network performance requirements must reflect the TNSP’s incremental cost of providing that service (as appropriate).</w:t>
      </w:r>
    </w:p>
    <w:p w:rsidR="001D34E4" w:rsidRDefault="001D34E4" w:rsidP="001D34E4">
      <w:pPr>
        <w:pStyle w:val="ListNumber"/>
      </w:pPr>
      <w:r w:rsidRPr="0098429F">
        <w:t>For shared transmission services, the difference in price between a negotiated transmission service that does not meet or exceed network performance requirements and a service that meets those requirements should reflect the TNSP’s avoided costs. Schedule</w:t>
      </w:r>
      <w:r>
        <w:t>s</w:t>
      </w:r>
      <w:r w:rsidRPr="0098429F">
        <w:t xml:space="preserve"> 5.1a and 5.1 of the NER or any relevant electricity legislation must be considered in determining whether any network service performance requirements have not been met or exceeded.</w:t>
      </w:r>
    </w:p>
    <w:p w:rsidR="001D34E4" w:rsidRDefault="001D34E4" w:rsidP="001D34E4">
      <w:pPr>
        <w:pStyle w:val="ListNumber"/>
      </w:pPr>
      <w:r w:rsidRPr="0098429F">
        <w:lastRenderedPageBreak/>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1D34E4" w:rsidRDefault="001D34E4" w:rsidP="001D34E4">
      <w:pPr>
        <w:pStyle w:val="ListNumber"/>
      </w:pPr>
      <w:r w:rsidRPr="0098429F">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1D34E4" w:rsidRPr="0098429F" w:rsidRDefault="001D34E4" w:rsidP="001D34E4">
      <w:pPr>
        <w:pStyle w:val="ListNumber"/>
      </w:pPr>
      <w:r w:rsidRPr="0098429F">
        <w:t>The price for a negotiated transmission service must be such as to enable the TNSP to recover the efficient costs of complying with all regulatory obligations associated with the provision of the negotiated transmission service.</w:t>
      </w:r>
    </w:p>
    <w:p w:rsidR="001D34E4" w:rsidRPr="0098429F" w:rsidRDefault="001D34E4" w:rsidP="001D34E4">
      <w:pPr>
        <w:pStyle w:val="HeadingBoldItalic"/>
      </w:pPr>
      <w:bookmarkStart w:id="82" w:name="_Toc456603711"/>
      <w:r w:rsidRPr="0098429F">
        <w:t>Criteria for access charges</w:t>
      </w:r>
      <w:bookmarkEnd w:id="82"/>
    </w:p>
    <w:p w:rsidR="001D34E4" w:rsidRPr="0098429F" w:rsidRDefault="001D34E4" w:rsidP="001D34E4">
      <w:pPr>
        <w:pStyle w:val="HeadingItalic"/>
      </w:pPr>
      <w:bookmarkStart w:id="83" w:name="_Toc456603712"/>
      <w:r w:rsidRPr="0098429F">
        <w:t>Access charges</w:t>
      </w:r>
      <w:bookmarkEnd w:id="83"/>
    </w:p>
    <w:p w:rsidR="00132D43" w:rsidRPr="00132D43" w:rsidRDefault="001D34E4" w:rsidP="00132D43">
      <w:pPr>
        <w:pStyle w:val="ListNumber"/>
      </w:pPr>
      <w:r w:rsidRPr="0098429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sectPr w:rsidR="00132D43" w:rsidRPr="00132D43" w:rsidSect="00D71C5E">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4070F1">
          <w:rPr>
            <w:noProof/>
          </w:rPr>
          <w:t>14-0</w:t>
        </w:r>
        <w:r>
          <w:rPr>
            <w:noProof/>
          </w:rPr>
          <w:fldChar w:fldCharType="end"/>
        </w:r>
        <w:r>
          <w:rPr>
            <w:noProof/>
          </w:rPr>
          <w:t xml:space="preserve">          </w:t>
        </w:r>
        <w:r>
          <w:t xml:space="preserve">Attachment 14 </w:t>
        </w:r>
        <w:r w:rsidRPr="000474DF">
          <w:t>−</w:t>
        </w:r>
        <w:r>
          <w:t xml:space="preserve"> Negotiated services</w:t>
        </w:r>
        <w:r w:rsidRPr="009B6F84">
          <w:rPr>
            <w:rFonts w:cs="Gautami"/>
            <w:noProof/>
            <w:szCs w:val="16"/>
          </w:rPr>
          <w:t xml:space="preserve"> | </w:t>
        </w:r>
        <w:r w:rsidR="006934D3">
          <w:t>Final</w:t>
        </w:r>
        <w:r w:rsidR="006934D3" w:rsidRPr="006934D3">
          <w:t xml:space="preserve"> decision: AusNet Ser</w:t>
        </w:r>
        <w:r w:rsidR="006934D3">
          <w:t>v</w:t>
        </w:r>
        <w:r w:rsidR="006934D3" w:rsidRPr="006934D3">
          <w:t>ices</w:t>
        </w:r>
        <w:r w:rsidR="006934D3" w:rsidRPr="00FD5E78">
          <w:t xml:space="preserve"> transmission</w:t>
        </w:r>
        <w:r w:rsidR="006934D3" w:rsidRPr="006934D3">
          <w:t xml:space="preserve"> determination 2017–22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4070F1">
          <w:rPr>
            <w:noProof/>
          </w:rPr>
          <w:t>14-10</w:t>
        </w:r>
        <w:r>
          <w:rPr>
            <w:noProof/>
          </w:rPr>
          <w:fldChar w:fldCharType="end"/>
        </w:r>
        <w:r>
          <w:rPr>
            <w:noProof/>
          </w:rPr>
          <w:t xml:space="preserve">          </w:t>
        </w:r>
        <w:r w:rsidR="00132D43">
          <w:t xml:space="preserve">Attachment 14 </w:t>
        </w:r>
        <w:r w:rsidR="00132D43" w:rsidRPr="000474DF">
          <w:t>−</w:t>
        </w:r>
        <w:r w:rsidR="00132D43">
          <w:t xml:space="preserve"> Negotiated services</w:t>
        </w:r>
        <w:r w:rsidR="00132D43" w:rsidRPr="00132D43">
          <w:t xml:space="preserve"> | </w:t>
        </w:r>
        <w:r w:rsidR="006934D3">
          <w:t>Final</w:t>
        </w:r>
        <w:r w:rsidR="006934D3" w:rsidRPr="006934D3">
          <w:t xml:space="preserve"> decision: AusNet Ser</w:t>
        </w:r>
        <w:r w:rsidR="006934D3">
          <w:t>v</w:t>
        </w:r>
        <w:r w:rsidR="006934D3" w:rsidRPr="006934D3">
          <w:t>ices</w:t>
        </w:r>
        <w:r w:rsidR="006934D3" w:rsidRPr="00FD5E78">
          <w:t xml:space="preserve"> transmission</w:t>
        </w:r>
        <w:r w:rsidR="006934D3" w:rsidRPr="006934D3">
          <w:t xml:space="preserve"> determination 2017–22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782EC3" w:rsidRDefault="00782EC3">
      <w:pPr>
        <w:pStyle w:val="FootnoteText"/>
      </w:pPr>
      <w:r>
        <w:rPr>
          <w:rStyle w:val="FootnoteReference"/>
        </w:rPr>
        <w:footnoteRef/>
      </w:r>
      <w:r>
        <w:t xml:space="preserve"> </w:t>
      </w:r>
      <w:r>
        <w:tab/>
      </w:r>
      <w:proofErr w:type="gramStart"/>
      <w:r w:rsidRPr="00782EC3">
        <w:t xml:space="preserve">NER, </w:t>
      </w:r>
      <w:proofErr w:type="spellStart"/>
      <w:r w:rsidRPr="00782EC3">
        <w:t>cll</w:t>
      </w:r>
      <w:proofErr w:type="spellEnd"/>
      <w:r w:rsidRPr="00782EC3">
        <w:t>.</w:t>
      </w:r>
      <w:proofErr w:type="gramEnd"/>
      <w:r w:rsidRPr="00782EC3">
        <w:t xml:space="preserve"> </w:t>
      </w:r>
      <w:proofErr w:type="gramStart"/>
      <w:r w:rsidRPr="00782EC3">
        <w:t>6A.2.2(</w:t>
      </w:r>
      <w:proofErr w:type="gramEnd"/>
      <w:r w:rsidRPr="00782EC3">
        <w:t>2); 6A.14.1(6).</w:t>
      </w:r>
    </w:p>
  </w:footnote>
  <w:footnote w:id="2">
    <w:p w:rsidR="00782EC3" w:rsidRDefault="00782EC3" w:rsidP="00782EC3">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6A.2.2(</w:t>
      </w:r>
      <w:proofErr w:type="gramEnd"/>
      <w:r>
        <w:t>3); 6A.14.1(7).</w:t>
      </w:r>
    </w:p>
  </w:footnote>
  <w:footnote w:id="3">
    <w:p w:rsidR="003254BD" w:rsidRDefault="003254BD">
      <w:pPr>
        <w:pStyle w:val="FootnoteText"/>
      </w:pPr>
      <w:r>
        <w:rPr>
          <w:rStyle w:val="FootnoteReference"/>
        </w:rPr>
        <w:footnoteRef/>
      </w:r>
      <w:r>
        <w:t xml:space="preserve"> </w:t>
      </w:r>
      <w:r w:rsidR="00BF188E">
        <w:tab/>
      </w:r>
      <w:proofErr w:type="gramStart"/>
      <w:r w:rsidR="00BF188E">
        <w:t>NER, cl.</w:t>
      </w:r>
      <w:r>
        <w:t xml:space="preserve"> 6A.9.5(c).</w:t>
      </w:r>
      <w:proofErr w:type="gramEnd"/>
    </w:p>
  </w:footnote>
  <w:footnote w:id="4">
    <w:p w:rsidR="00BF188E" w:rsidRDefault="00BF188E">
      <w:pPr>
        <w:pStyle w:val="FootnoteText"/>
      </w:pPr>
      <w:r>
        <w:rPr>
          <w:rStyle w:val="FootnoteReference"/>
        </w:rPr>
        <w:footnoteRef/>
      </w:r>
      <w:r>
        <w:t xml:space="preserve"> </w:t>
      </w:r>
      <w:r>
        <w:tab/>
        <w:t xml:space="preserve">AER, </w:t>
      </w:r>
      <w:r w:rsidRPr="00BF188E">
        <w:rPr>
          <w:rStyle w:val="AERtextitalic"/>
        </w:rPr>
        <w:t>Draft decision, AusNet Services transmission determination 2017–18 to 2021–22: Attachment 14—</w:t>
      </w:r>
      <w:proofErr w:type="gramStart"/>
      <w:r w:rsidRPr="00BF188E">
        <w:rPr>
          <w:rStyle w:val="AERtextitalic"/>
        </w:rPr>
        <w:t>Negotiating</w:t>
      </w:r>
      <w:proofErr w:type="gramEnd"/>
      <w:r w:rsidRPr="00BF188E">
        <w:rPr>
          <w:rStyle w:val="AERtextitalic"/>
        </w:rPr>
        <w:t xml:space="preserve"> framework</w:t>
      </w:r>
      <w:r>
        <w:t>, July 2016.</w:t>
      </w:r>
    </w:p>
  </w:footnote>
  <w:footnote w:id="5">
    <w:p w:rsidR="00E93A0F" w:rsidRDefault="00E93A0F">
      <w:pPr>
        <w:pStyle w:val="FootnoteText"/>
      </w:pPr>
      <w:r>
        <w:rPr>
          <w:rStyle w:val="FootnoteReference"/>
        </w:rPr>
        <w:footnoteRef/>
      </w:r>
      <w:r>
        <w:t xml:space="preserve"> </w:t>
      </w:r>
      <w:r>
        <w:tab/>
        <w:t xml:space="preserve">AER, </w:t>
      </w:r>
      <w:r w:rsidRPr="00E93A0F">
        <w:rPr>
          <w:rStyle w:val="AERtextitalic"/>
        </w:rPr>
        <w:t>Negotiated transmission service criteria for AusNet Transmission: Regulatory control period 2017–2022—Call for submissions</w:t>
      </w:r>
      <w:r>
        <w:t>, November 2015.</w:t>
      </w:r>
    </w:p>
  </w:footnote>
  <w:footnote w:id="6">
    <w:p w:rsidR="00BF188E" w:rsidRDefault="00BF188E">
      <w:pPr>
        <w:pStyle w:val="FootnoteText"/>
      </w:pPr>
      <w:r>
        <w:rPr>
          <w:rStyle w:val="FootnoteReference"/>
        </w:rPr>
        <w:footnoteRef/>
      </w:r>
      <w:r>
        <w:t xml:space="preserve"> </w:t>
      </w:r>
      <w:r>
        <w:tab/>
      </w:r>
      <w:proofErr w:type="gramStart"/>
      <w:r>
        <w:t>NER, cl. 6A.9.1.</w:t>
      </w:r>
      <w:proofErr w:type="gramEnd"/>
    </w:p>
  </w:footnote>
  <w:footnote w:id="7">
    <w:p w:rsidR="009B3FC5" w:rsidRPr="009B3FC5" w:rsidRDefault="009B3FC5" w:rsidP="002F11D6">
      <w:pPr>
        <w:pStyle w:val="FootnoteText"/>
        <w:rPr>
          <w:rStyle w:val="Emphasis"/>
          <w:i w:val="0"/>
          <w:iCs w:val="0"/>
        </w:rPr>
      </w:pPr>
      <w:r>
        <w:rPr>
          <w:rStyle w:val="FootnoteReference"/>
        </w:rPr>
        <w:footnoteRef/>
      </w:r>
      <w:r>
        <w:t xml:space="preserve"> </w:t>
      </w:r>
      <w:r w:rsidR="002F11D6">
        <w:tab/>
      </w:r>
      <w:r>
        <w:t>AusNet</w:t>
      </w:r>
      <w:r w:rsidR="002F11D6">
        <w:t xml:space="preserve"> Services</w:t>
      </w:r>
      <w:r>
        <w:t xml:space="preserve">, </w:t>
      </w:r>
      <w:r w:rsidR="002F11D6">
        <w:rPr>
          <w:rStyle w:val="Emphasis"/>
        </w:rPr>
        <w:t>Transmission revenue review 2017–22, Appendix 15A: Victorian negotiating framework (1</w:t>
      </w:r>
      <w:r w:rsidR="002F11D6">
        <w:rPr>
          <w:rStyle w:val="Emphasis"/>
        </w:rPr>
        <w:br/>
        <w:t xml:space="preserve">April 2017–31 March 2022, </w:t>
      </w:r>
      <w:r w:rsidRPr="009B3FC5">
        <w:rPr>
          <w:rStyle w:val="Emphasis"/>
          <w:i w:val="0"/>
          <w:iCs w:val="0"/>
        </w:rPr>
        <w:t>30 October 201</w:t>
      </w:r>
      <w:r w:rsidR="002F11D6" w:rsidRPr="002F11D6">
        <w:t>5</w:t>
      </w:r>
      <w:r>
        <w:rPr>
          <w:rStyle w:val="Emphasis"/>
        </w:rPr>
        <w:t>.</w:t>
      </w:r>
    </w:p>
  </w:footnote>
  <w:footnote w:id="8">
    <w:p w:rsidR="002F11D6" w:rsidRDefault="002F11D6">
      <w:pPr>
        <w:pStyle w:val="FootnoteText"/>
      </w:pPr>
      <w:r>
        <w:rPr>
          <w:rStyle w:val="FootnoteReference"/>
        </w:rPr>
        <w:footnoteRef/>
      </w:r>
      <w:r>
        <w:t xml:space="preserve"> </w:t>
      </w:r>
      <w:r>
        <w:tab/>
        <w:t xml:space="preserve">AER, </w:t>
      </w:r>
      <w:r w:rsidRPr="00BF188E">
        <w:rPr>
          <w:rStyle w:val="AERtextitalic"/>
        </w:rPr>
        <w:t>Draft decision, AusNet Services transmission determination 2017–18 to 2021–22: Attachment 14—</w:t>
      </w:r>
      <w:proofErr w:type="gramStart"/>
      <w:r w:rsidRPr="00BF188E">
        <w:rPr>
          <w:rStyle w:val="AERtextitalic"/>
        </w:rPr>
        <w:t>Negotiating</w:t>
      </w:r>
      <w:proofErr w:type="gramEnd"/>
      <w:r w:rsidRPr="00BF188E">
        <w:rPr>
          <w:rStyle w:val="AERtextitalic"/>
        </w:rPr>
        <w:t xml:space="preserve"> framework</w:t>
      </w:r>
      <w:r>
        <w:t>, July 2016.</w:t>
      </w:r>
    </w:p>
  </w:footnote>
  <w:footnote w:id="9">
    <w:p w:rsidR="002F11D6" w:rsidRDefault="002F11D6">
      <w:pPr>
        <w:pStyle w:val="FootnoteText"/>
      </w:pPr>
      <w:r>
        <w:rPr>
          <w:rStyle w:val="FootnoteReference"/>
        </w:rPr>
        <w:footnoteRef/>
      </w:r>
      <w:r>
        <w:t xml:space="preserve"> </w:t>
      </w:r>
      <w:r>
        <w:tab/>
        <w:t xml:space="preserve">AusNet </w:t>
      </w:r>
      <w:proofErr w:type="gramStart"/>
      <w:r>
        <w:t>Services,</w:t>
      </w:r>
      <w:proofErr w:type="gramEnd"/>
      <w:r>
        <w:t xml:space="preserve"> </w:t>
      </w:r>
      <w:r w:rsidRPr="002F11D6">
        <w:rPr>
          <w:rStyle w:val="AERtextitalic"/>
        </w:rPr>
        <w:t>Revised regulatory proposal 2017–22</w:t>
      </w:r>
      <w:r>
        <w:t>, 21 September 2016, p. 244.</w:t>
      </w:r>
    </w:p>
  </w:footnote>
  <w:footnote w:id="10">
    <w:p w:rsidR="009B3FC5" w:rsidRDefault="009B3FC5">
      <w:pPr>
        <w:pStyle w:val="FootnoteText"/>
      </w:pPr>
      <w:r>
        <w:rPr>
          <w:rStyle w:val="FootnoteReference"/>
        </w:rPr>
        <w:footnoteRef/>
      </w:r>
      <w:r>
        <w:t xml:space="preserve"> </w:t>
      </w:r>
      <w:r w:rsidR="002F11D6">
        <w:tab/>
      </w:r>
      <w:r>
        <w:t xml:space="preserve">AusNet </w:t>
      </w:r>
      <w:r w:rsidRPr="009B3FC5">
        <w:t xml:space="preserve">Services, </w:t>
      </w:r>
      <w:r w:rsidRPr="009B3FC5">
        <w:rPr>
          <w:rStyle w:val="Emphasis"/>
        </w:rPr>
        <w:t>Proposed negotiating framework for 1 April 2017 to 31 March 2022</w:t>
      </w:r>
      <w:r w:rsidRPr="009B3FC5">
        <w:t xml:space="preserve">, October 2015, p. 3. </w:t>
      </w:r>
      <w:r>
        <w:t xml:space="preserve"> </w:t>
      </w:r>
    </w:p>
  </w:footnote>
  <w:footnote w:id="11">
    <w:p w:rsidR="009B3FC5" w:rsidRDefault="009B3FC5">
      <w:pPr>
        <w:pStyle w:val="FootnoteText"/>
      </w:pPr>
      <w:r>
        <w:rPr>
          <w:rStyle w:val="FootnoteReference"/>
        </w:rPr>
        <w:footnoteRef/>
      </w:r>
      <w:r>
        <w:t xml:space="preserve"> </w:t>
      </w:r>
      <w:r w:rsidR="002F11D6">
        <w:tab/>
      </w:r>
      <w:r w:rsidRPr="009B3FC5">
        <w:t xml:space="preserve">AER, </w:t>
      </w:r>
      <w:r w:rsidRPr="009B3FC5">
        <w:rPr>
          <w:rStyle w:val="Emphasis"/>
        </w:rPr>
        <w:t xml:space="preserve">Final decision for AusNet Services' (then SP AusNet) 2014–17 regulatory control </w:t>
      </w:r>
      <w:proofErr w:type="gramStart"/>
      <w:r w:rsidRPr="009B3FC5">
        <w:rPr>
          <w:rStyle w:val="Emphasis"/>
        </w:rPr>
        <w:t>period</w:t>
      </w:r>
      <w:proofErr w:type="gramEnd"/>
      <w:r w:rsidRPr="009B3FC5">
        <w:t xml:space="preserve">, 31 January 2014; </w:t>
      </w:r>
      <w:r>
        <w:t xml:space="preserve">  </w:t>
      </w:r>
      <w:r w:rsidRPr="009B3FC5">
        <w:t xml:space="preserve">AER, </w:t>
      </w:r>
      <w:r w:rsidRPr="009B3FC5">
        <w:rPr>
          <w:rStyle w:val="Emphasis"/>
        </w:rPr>
        <w:t>Final decision for AEMO's 2014–19 regulatory control period</w:t>
      </w:r>
      <w:r w:rsidRPr="009B3FC5">
        <w:t xml:space="preserve">, 1 April 2014. </w:t>
      </w:r>
      <w:r>
        <w:t xml:space="preserve"> </w:t>
      </w:r>
    </w:p>
  </w:footnote>
  <w:footnote w:id="12">
    <w:p w:rsidR="009B3FC5" w:rsidRDefault="009B3FC5">
      <w:pPr>
        <w:pStyle w:val="FootnoteText"/>
      </w:pPr>
      <w:r>
        <w:rPr>
          <w:rStyle w:val="FootnoteReference"/>
        </w:rPr>
        <w:footnoteRef/>
      </w:r>
      <w:r>
        <w:t xml:space="preserve"> </w:t>
      </w:r>
      <w:r w:rsidR="002F11D6">
        <w:tab/>
      </w:r>
      <w:r>
        <w:t>NER, Chapter 10.</w:t>
      </w:r>
    </w:p>
  </w:footnote>
  <w:footnote w:id="13">
    <w:p w:rsidR="009B3FC5" w:rsidRDefault="009B3FC5">
      <w:pPr>
        <w:pStyle w:val="FootnoteText"/>
      </w:pPr>
      <w:r>
        <w:rPr>
          <w:rStyle w:val="FootnoteReference"/>
        </w:rPr>
        <w:footnoteRef/>
      </w:r>
      <w:r>
        <w:t xml:space="preserve"> </w:t>
      </w:r>
      <w:r w:rsidR="002F11D6">
        <w:tab/>
      </w:r>
      <w:r>
        <w:t>NER, Chapter 10.</w:t>
      </w:r>
    </w:p>
  </w:footnote>
  <w:footnote w:id="14">
    <w:p w:rsidR="009B3FC5" w:rsidRDefault="009B3FC5">
      <w:pPr>
        <w:pStyle w:val="FootnoteText"/>
      </w:pPr>
      <w:r>
        <w:rPr>
          <w:rStyle w:val="FootnoteReference"/>
        </w:rPr>
        <w:footnoteRef/>
      </w:r>
      <w:r>
        <w:t xml:space="preserve"> </w:t>
      </w:r>
      <w:r w:rsidR="002F11D6">
        <w:tab/>
      </w:r>
      <w:r>
        <w:t xml:space="preserve">AusNet Service, </w:t>
      </w:r>
      <w:r w:rsidRPr="00F25A75">
        <w:rPr>
          <w:rStyle w:val="Emphasis"/>
        </w:rPr>
        <w:t>Proposed negotiating framework for 1 April 2017 to 31 March 2022</w:t>
      </w:r>
      <w:r>
        <w:t>, October 2015, p.4.</w:t>
      </w:r>
    </w:p>
  </w:footnote>
  <w:footnote w:id="15">
    <w:p w:rsidR="00F2656D" w:rsidRDefault="00F2656D">
      <w:pPr>
        <w:pStyle w:val="FootnoteText"/>
      </w:pPr>
      <w:r>
        <w:rPr>
          <w:rStyle w:val="FootnoteReference"/>
        </w:rPr>
        <w:footnoteRef/>
      </w:r>
      <w:r>
        <w:t xml:space="preserve"> </w:t>
      </w:r>
      <w:r>
        <w:tab/>
      </w:r>
      <w:proofErr w:type="gramStart"/>
      <w:r>
        <w:t>NER, cl. 6A.9.5(c).</w:t>
      </w:r>
      <w:proofErr w:type="gramEnd"/>
    </w:p>
  </w:footnote>
  <w:footnote w:id="16">
    <w:p w:rsidR="001858B8" w:rsidRDefault="001858B8">
      <w:pPr>
        <w:pStyle w:val="FootnoteText"/>
      </w:pPr>
      <w:r>
        <w:rPr>
          <w:rStyle w:val="FootnoteReference"/>
        </w:rPr>
        <w:footnoteRef/>
      </w:r>
      <w:r>
        <w:t xml:space="preserve"> </w:t>
      </w:r>
      <w:r>
        <w:tab/>
        <w:t xml:space="preserve">AER, </w:t>
      </w:r>
      <w:r w:rsidRPr="00BF188E">
        <w:rPr>
          <w:rStyle w:val="AERtextitalic"/>
        </w:rPr>
        <w:t>Draft decision, AusNet Services transmission determination 2017–18 to 2021–22: Attachment 14—</w:t>
      </w:r>
      <w:proofErr w:type="gramStart"/>
      <w:r w:rsidRPr="00BF188E">
        <w:rPr>
          <w:rStyle w:val="AERtextitalic"/>
        </w:rPr>
        <w:t>Negotiating</w:t>
      </w:r>
      <w:proofErr w:type="gramEnd"/>
      <w:r w:rsidRPr="00BF188E">
        <w:rPr>
          <w:rStyle w:val="AERtextitalic"/>
        </w:rPr>
        <w:t xml:space="preserve"> framework</w:t>
      </w:r>
      <w:r>
        <w:t>, July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D3" w:rsidRDefault="00693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D3" w:rsidRDefault="00693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D3" w:rsidRDefault="006934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416CA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pE4i4ItirKX2g+2ouGWswWMrsx+Gpo0QRpWmpWdau8=" w:saltValue="q2YJIjVlYvofv+LLsDmvww==" w:algorithmName="SHA-256"/>
  <w:defaultTabStop w:val="34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14 - negotiated services - april 20 (D2017-00022392).docx"/>
  </w:docVars>
  <w:rsids>
    <w:rsidRoot w:val="00961A4A"/>
    <w:rsid w:val="000046E0"/>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31EE"/>
    <w:rsid w:val="000A4840"/>
    <w:rsid w:val="000A62C1"/>
    <w:rsid w:val="000A6A79"/>
    <w:rsid w:val="000A6C7B"/>
    <w:rsid w:val="000B0A7B"/>
    <w:rsid w:val="000B1173"/>
    <w:rsid w:val="000B5827"/>
    <w:rsid w:val="000B7037"/>
    <w:rsid w:val="000C02D1"/>
    <w:rsid w:val="000C265D"/>
    <w:rsid w:val="000C2B40"/>
    <w:rsid w:val="000C5255"/>
    <w:rsid w:val="000D03E4"/>
    <w:rsid w:val="000D07A7"/>
    <w:rsid w:val="000D09ED"/>
    <w:rsid w:val="000D122C"/>
    <w:rsid w:val="000D75B0"/>
    <w:rsid w:val="000E1819"/>
    <w:rsid w:val="000E4821"/>
    <w:rsid w:val="000E4AA9"/>
    <w:rsid w:val="000E6C72"/>
    <w:rsid w:val="000E7053"/>
    <w:rsid w:val="000E7F39"/>
    <w:rsid w:val="00100EA2"/>
    <w:rsid w:val="00101AA1"/>
    <w:rsid w:val="00102338"/>
    <w:rsid w:val="00104566"/>
    <w:rsid w:val="00104FF6"/>
    <w:rsid w:val="001114AA"/>
    <w:rsid w:val="00116EB2"/>
    <w:rsid w:val="0012132C"/>
    <w:rsid w:val="00124609"/>
    <w:rsid w:val="00126A4C"/>
    <w:rsid w:val="001270E3"/>
    <w:rsid w:val="00132D43"/>
    <w:rsid w:val="00133366"/>
    <w:rsid w:val="00133F47"/>
    <w:rsid w:val="00134029"/>
    <w:rsid w:val="00140CC5"/>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8B8"/>
    <w:rsid w:val="00185CB9"/>
    <w:rsid w:val="00185DBE"/>
    <w:rsid w:val="00186ADC"/>
    <w:rsid w:val="00186F77"/>
    <w:rsid w:val="001877A4"/>
    <w:rsid w:val="001926A4"/>
    <w:rsid w:val="00192AD5"/>
    <w:rsid w:val="00194597"/>
    <w:rsid w:val="00194E00"/>
    <w:rsid w:val="00197368"/>
    <w:rsid w:val="0019745E"/>
    <w:rsid w:val="001A530D"/>
    <w:rsid w:val="001A5FB3"/>
    <w:rsid w:val="001A7155"/>
    <w:rsid w:val="001B45A0"/>
    <w:rsid w:val="001B680E"/>
    <w:rsid w:val="001D055E"/>
    <w:rsid w:val="001D34E4"/>
    <w:rsid w:val="001D7A7C"/>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04F2"/>
    <w:rsid w:val="00223051"/>
    <w:rsid w:val="00224DB9"/>
    <w:rsid w:val="0022569A"/>
    <w:rsid w:val="00231012"/>
    <w:rsid w:val="00233775"/>
    <w:rsid w:val="0023414B"/>
    <w:rsid w:val="00243635"/>
    <w:rsid w:val="0024570D"/>
    <w:rsid w:val="00247079"/>
    <w:rsid w:val="00251745"/>
    <w:rsid w:val="002552BA"/>
    <w:rsid w:val="00260016"/>
    <w:rsid w:val="00263AC0"/>
    <w:rsid w:val="00264264"/>
    <w:rsid w:val="0026689B"/>
    <w:rsid w:val="0026772D"/>
    <w:rsid w:val="002730B2"/>
    <w:rsid w:val="00274C7E"/>
    <w:rsid w:val="002777CF"/>
    <w:rsid w:val="002810F2"/>
    <w:rsid w:val="00286874"/>
    <w:rsid w:val="002900A3"/>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98"/>
    <w:rsid w:val="002D79AD"/>
    <w:rsid w:val="002E268F"/>
    <w:rsid w:val="002E55F8"/>
    <w:rsid w:val="002E78DD"/>
    <w:rsid w:val="002E7B22"/>
    <w:rsid w:val="002F11D6"/>
    <w:rsid w:val="002F12EC"/>
    <w:rsid w:val="002F7986"/>
    <w:rsid w:val="00301B40"/>
    <w:rsid w:val="00301C82"/>
    <w:rsid w:val="003029EE"/>
    <w:rsid w:val="00304D38"/>
    <w:rsid w:val="00305CC8"/>
    <w:rsid w:val="00307F6D"/>
    <w:rsid w:val="00314D83"/>
    <w:rsid w:val="0031571F"/>
    <w:rsid w:val="003177A2"/>
    <w:rsid w:val="003254BD"/>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5A80"/>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575"/>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070F1"/>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6221"/>
    <w:rsid w:val="004766F5"/>
    <w:rsid w:val="00480B4B"/>
    <w:rsid w:val="004838D8"/>
    <w:rsid w:val="00485DC4"/>
    <w:rsid w:val="00494D04"/>
    <w:rsid w:val="004A40BA"/>
    <w:rsid w:val="004A43D1"/>
    <w:rsid w:val="004B42C2"/>
    <w:rsid w:val="004B4412"/>
    <w:rsid w:val="004C348C"/>
    <w:rsid w:val="004C462E"/>
    <w:rsid w:val="004C5712"/>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4B4"/>
    <w:rsid w:val="00513FA7"/>
    <w:rsid w:val="005142EF"/>
    <w:rsid w:val="0051768F"/>
    <w:rsid w:val="00522DC2"/>
    <w:rsid w:val="00530128"/>
    <w:rsid w:val="00532467"/>
    <w:rsid w:val="005332A9"/>
    <w:rsid w:val="0053603C"/>
    <w:rsid w:val="00537871"/>
    <w:rsid w:val="00542FE9"/>
    <w:rsid w:val="00544598"/>
    <w:rsid w:val="00544C8D"/>
    <w:rsid w:val="00544DFD"/>
    <w:rsid w:val="005469B5"/>
    <w:rsid w:val="00556B1E"/>
    <w:rsid w:val="00564A4D"/>
    <w:rsid w:val="0056598C"/>
    <w:rsid w:val="00566E0B"/>
    <w:rsid w:val="00567BA5"/>
    <w:rsid w:val="00571B35"/>
    <w:rsid w:val="00571B43"/>
    <w:rsid w:val="00571D57"/>
    <w:rsid w:val="00573A3B"/>
    <w:rsid w:val="00577716"/>
    <w:rsid w:val="00577A09"/>
    <w:rsid w:val="005825B0"/>
    <w:rsid w:val="005829C2"/>
    <w:rsid w:val="00584D8F"/>
    <w:rsid w:val="00587A18"/>
    <w:rsid w:val="00590773"/>
    <w:rsid w:val="005A0BEC"/>
    <w:rsid w:val="005A404D"/>
    <w:rsid w:val="005A6010"/>
    <w:rsid w:val="005B1E3C"/>
    <w:rsid w:val="005B6518"/>
    <w:rsid w:val="005B704A"/>
    <w:rsid w:val="005B72D7"/>
    <w:rsid w:val="005C045F"/>
    <w:rsid w:val="005C16FE"/>
    <w:rsid w:val="005C1FAB"/>
    <w:rsid w:val="005C21A4"/>
    <w:rsid w:val="005C26CC"/>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34D3"/>
    <w:rsid w:val="00697D0B"/>
    <w:rsid w:val="006A12BA"/>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0FAD"/>
    <w:rsid w:val="00715F61"/>
    <w:rsid w:val="00722132"/>
    <w:rsid w:val="007228F7"/>
    <w:rsid w:val="0072348C"/>
    <w:rsid w:val="00724A37"/>
    <w:rsid w:val="007303C3"/>
    <w:rsid w:val="00731188"/>
    <w:rsid w:val="007316C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C3"/>
    <w:rsid w:val="00782EEA"/>
    <w:rsid w:val="007909B4"/>
    <w:rsid w:val="00790E86"/>
    <w:rsid w:val="007949D7"/>
    <w:rsid w:val="007A0143"/>
    <w:rsid w:val="007A34C2"/>
    <w:rsid w:val="007A396C"/>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4338"/>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61A4A"/>
    <w:rsid w:val="009661DE"/>
    <w:rsid w:val="00972C7C"/>
    <w:rsid w:val="009776F4"/>
    <w:rsid w:val="00982DA2"/>
    <w:rsid w:val="00983C25"/>
    <w:rsid w:val="0098466D"/>
    <w:rsid w:val="009856B7"/>
    <w:rsid w:val="00985C86"/>
    <w:rsid w:val="009A5FC3"/>
    <w:rsid w:val="009B3FC5"/>
    <w:rsid w:val="009B6F84"/>
    <w:rsid w:val="009B74B0"/>
    <w:rsid w:val="009C0152"/>
    <w:rsid w:val="009C1A74"/>
    <w:rsid w:val="009C1D4B"/>
    <w:rsid w:val="009C3D42"/>
    <w:rsid w:val="009C491E"/>
    <w:rsid w:val="009D0DF1"/>
    <w:rsid w:val="009D22D6"/>
    <w:rsid w:val="009D2C84"/>
    <w:rsid w:val="009D3906"/>
    <w:rsid w:val="009D6B46"/>
    <w:rsid w:val="009E35B6"/>
    <w:rsid w:val="009E5ABC"/>
    <w:rsid w:val="009F43B4"/>
    <w:rsid w:val="009F4940"/>
    <w:rsid w:val="009F5BA1"/>
    <w:rsid w:val="00A00E35"/>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742"/>
    <w:rsid w:val="00AC4D2D"/>
    <w:rsid w:val="00AC58EC"/>
    <w:rsid w:val="00AC7282"/>
    <w:rsid w:val="00AC7961"/>
    <w:rsid w:val="00AD314E"/>
    <w:rsid w:val="00AD5FCD"/>
    <w:rsid w:val="00AD6A57"/>
    <w:rsid w:val="00AD6B48"/>
    <w:rsid w:val="00AD7A3A"/>
    <w:rsid w:val="00AE0E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345"/>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03A"/>
    <w:rsid w:val="00BA3C93"/>
    <w:rsid w:val="00BA4665"/>
    <w:rsid w:val="00BA7FD7"/>
    <w:rsid w:val="00BB1681"/>
    <w:rsid w:val="00BB2FB2"/>
    <w:rsid w:val="00BB3304"/>
    <w:rsid w:val="00BB6551"/>
    <w:rsid w:val="00BC3BC6"/>
    <w:rsid w:val="00BC4A10"/>
    <w:rsid w:val="00BD30F4"/>
    <w:rsid w:val="00BD3446"/>
    <w:rsid w:val="00BD59CF"/>
    <w:rsid w:val="00BE1312"/>
    <w:rsid w:val="00BE1F1B"/>
    <w:rsid w:val="00BE3F89"/>
    <w:rsid w:val="00BE47B5"/>
    <w:rsid w:val="00BE5FCE"/>
    <w:rsid w:val="00BF188E"/>
    <w:rsid w:val="00C0079E"/>
    <w:rsid w:val="00C0572A"/>
    <w:rsid w:val="00C13EBD"/>
    <w:rsid w:val="00C1631B"/>
    <w:rsid w:val="00C170F0"/>
    <w:rsid w:val="00C25962"/>
    <w:rsid w:val="00C25FA6"/>
    <w:rsid w:val="00C3099D"/>
    <w:rsid w:val="00C362C1"/>
    <w:rsid w:val="00C405B3"/>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17EC"/>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6476"/>
    <w:rsid w:val="00CE7CBA"/>
    <w:rsid w:val="00CF0DEE"/>
    <w:rsid w:val="00CF5EAA"/>
    <w:rsid w:val="00CF6AE3"/>
    <w:rsid w:val="00CF77BB"/>
    <w:rsid w:val="00D006AE"/>
    <w:rsid w:val="00D00905"/>
    <w:rsid w:val="00D010C1"/>
    <w:rsid w:val="00D01CF0"/>
    <w:rsid w:val="00D0442A"/>
    <w:rsid w:val="00D104F9"/>
    <w:rsid w:val="00D12A7B"/>
    <w:rsid w:val="00D12ADB"/>
    <w:rsid w:val="00D15E63"/>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C5E"/>
    <w:rsid w:val="00D71E57"/>
    <w:rsid w:val="00D72D27"/>
    <w:rsid w:val="00D7786B"/>
    <w:rsid w:val="00D80893"/>
    <w:rsid w:val="00D82519"/>
    <w:rsid w:val="00D84854"/>
    <w:rsid w:val="00D924AE"/>
    <w:rsid w:val="00D92CF1"/>
    <w:rsid w:val="00D92D38"/>
    <w:rsid w:val="00D950F5"/>
    <w:rsid w:val="00D96AA4"/>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F0152"/>
    <w:rsid w:val="00DF1958"/>
    <w:rsid w:val="00E04818"/>
    <w:rsid w:val="00E06442"/>
    <w:rsid w:val="00E06952"/>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4F70"/>
    <w:rsid w:val="00E57A08"/>
    <w:rsid w:val="00E63631"/>
    <w:rsid w:val="00E64C2A"/>
    <w:rsid w:val="00E65C85"/>
    <w:rsid w:val="00E66199"/>
    <w:rsid w:val="00E70526"/>
    <w:rsid w:val="00E754B4"/>
    <w:rsid w:val="00E755EC"/>
    <w:rsid w:val="00E7624D"/>
    <w:rsid w:val="00E81724"/>
    <w:rsid w:val="00E819A4"/>
    <w:rsid w:val="00E833FA"/>
    <w:rsid w:val="00E84B74"/>
    <w:rsid w:val="00E85BCD"/>
    <w:rsid w:val="00E87066"/>
    <w:rsid w:val="00E93A0F"/>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716"/>
    <w:rsid w:val="00F11B2D"/>
    <w:rsid w:val="00F121C2"/>
    <w:rsid w:val="00F1485B"/>
    <w:rsid w:val="00F15882"/>
    <w:rsid w:val="00F170C7"/>
    <w:rsid w:val="00F171E0"/>
    <w:rsid w:val="00F20BD3"/>
    <w:rsid w:val="00F25A75"/>
    <w:rsid w:val="00F2656D"/>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BE91-6530-4184-823D-C3090028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7F5A3C71.dotm</Template>
  <TotalTime>0</TotalTime>
  <Pages>11</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AER final decision - AusNet Services - Negotiated services</vt:lpstr>
    </vt:vector>
  </TitlesOfParts>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Negotiated services</dc:title>
  <dc:creator/>
  <cp:lastModifiedBy/>
  <cp:revision>1</cp:revision>
  <dcterms:created xsi:type="dcterms:W3CDTF">2017-04-24T05:32:00Z</dcterms:created>
  <dcterms:modified xsi:type="dcterms:W3CDTF">2017-04-24T05:32:00Z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14 - negotiated services - april 20 (D2017-00022392).docx</vt:lpwstr>
  </property>
</Properties>
</file>