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BF23" w14:textId="433EE2E9" w:rsidR="00904A11" w:rsidRPr="00904A11" w:rsidRDefault="00E946D4">
      <w:pPr>
        <w:rPr>
          <w:b/>
          <w:bCs/>
        </w:rPr>
      </w:pPr>
      <w:r>
        <w:rPr>
          <w:b/>
          <w:bCs/>
        </w:rPr>
        <w:t>Annual pricing proposal statement of compliance</w:t>
      </w:r>
    </w:p>
    <w:p w14:paraId="0ABA4333" w14:textId="1C6A2FD0" w:rsidR="00904A11" w:rsidRPr="00025D26" w:rsidRDefault="00E91767">
      <w:r>
        <w:t xml:space="preserve">Note: </w:t>
      </w:r>
      <w:r w:rsidR="00A161DE">
        <w:t xml:space="preserve">Distributors are required to complete this </w:t>
      </w:r>
      <w:r w:rsidR="00904A11">
        <w:t xml:space="preserve">checklist for the AER to focus its assessment of annual pricing proposals. To the extent there </w:t>
      </w:r>
      <w:r w:rsidR="004F3E0D">
        <w:t>are</w:t>
      </w:r>
      <w:r w:rsidR="00904A11">
        <w:t xml:space="preserve"> </w:t>
      </w:r>
      <w:r w:rsidR="004F3E0D">
        <w:t>in</w:t>
      </w:r>
      <w:r w:rsidR="00904A11">
        <w:t>consistency in numbers, the compliance model prevails over the explanatory statement.</w:t>
      </w:r>
      <w:r w:rsidR="00025D26">
        <w:t xml:space="preserve"> For </w:t>
      </w:r>
      <w:r w:rsidR="00572B6B">
        <w:t>claus</w:t>
      </w:r>
      <w:r w:rsidR="00025D26">
        <w:t>e</w:t>
      </w:r>
      <w:r w:rsidR="00572B6B">
        <w:t>s</w:t>
      </w:r>
      <w:r w:rsidR="00025D26">
        <w:t xml:space="preserve"> </w:t>
      </w:r>
      <w:r w:rsidR="00025D26" w:rsidRPr="00D37240">
        <w:rPr>
          <w:b/>
          <w:bCs/>
        </w:rPr>
        <w:t>6.18.2</w:t>
      </w:r>
      <w:r w:rsidR="00025D26" w:rsidRPr="00025D26">
        <w:rPr>
          <w:b/>
          <w:bCs/>
        </w:rPr>
        <w:t>(d)</w:t>
      </w:r>
      <w:r w:rsidR="00025D26">
        <w:t xml:space="preserve"> and </w:t>
      </w:r>
      <w:r w:rsidR="00025D26" w:rsidRPr="00D37240">
        <w:rPr>
          <w:b/>
          <w:bCs/>
        </w:rPr>
        <w:t>6.18.2</w:t>
      </w:r>
      <w:r w:rsidR="00025D26" w:rsidRPr="00025D26">
        <w:rPr>
          <w:b/>
          <w:bCs/>
        </w:rPr>
        <w:t>(e)</w:t>
      </w:r>
      <w:r w:rsidR="00025D26">
        <w:t>, distributors</w:t>
      </w:r>
      <w:r w:rsidR="00A161DE">
        <w:t xml:space="preserve"> are required to input</w:t>
      </w:r>
      <w:r w:rsidR="00025D26">
        <w:t xml:space="preserve"> indicative prices </w:t>
      </w:r>
      <w:r w:rsidR="00C40715">
        <w:t xml:space="preserve">for the relevant years </w:t>
      </w:r>
      <w:r w:rsidR="00025D26">
        <w:t>into the compliance model and not</w:t>
      </w:r>
      <w:r w:rsidR="00E03193">
        <w:t xml:space="preserve"> replicate them in the explanatory statement.</w:t>
      </w:r>
    </w:p>
    <w:p w14:paraId="200DD006" w14:textId="775254ED" w:rsidR="00A602A4" w:rsidRDefault="004E69AA">
      <w:r>
        <w:t>E</w:t>
      </w:r>
      <w:r w:rsidR="00A602A4">
        <w:t xml:space="preserve">ach rule requirement below is followed by a statement </w:t>
      </w:r>
      <w:r w:rsidR="001A475F">
        <w:t>which</w:t>
      </w:r>
      <w:r w:rsidR="00A602A4">
        <w:t xml:space="preserve"> guide</w:t>
      </w:r>
      <w:r w:rsidR="001A475F">
        <w:t>s</w:t>
      </w:r>
      <w:r w:rsidR="00A602A4">
        <w:t xml:space="preserve"> </w:t>
      </w:r>
      <w:r>
        <w:t>our</w:t>
      </w:r>
      <w:r w:rsidR="00A602A4">
        <w:t xml:space="preserve"> assessment. </w:t>
      </w:r>
      <w:r w:rsidR="001A475F">
        <w:t>D</w:t>
      </w:r>
      <w:r w:rsidR="00A602A4">
        <w:t>istributor</w:t>
      </w:r>
      <w:r w:rsidR="001A475F">
        <w:t>s</w:t>
      </w:r>
      <w:r w:rsidR="00A602A4">
        <w:t xml:space="preserve"> should </w:t>
      </w:r>
      <w:r w:rsidR="00230EB5">
        <w:t xml:space="preserve">respond with </w:t>
      </w:r>
      <w:r w:rsidR="00A602A4">
        <w:t xml:space="preserve">true, </w:t>
      </w:r>
      <w:r w:rsidR="00872961">
        <w:t>false,</w:t>
      </w:r>
      <w:r w:rsidR="00A602A4">
        <w:t xml:space="preserve"> or not applicable in the fourth column.</w:t>
      </w:r>
      <w:r w:rsidR="006347BC">
        <w:t xml:space="preserve"> </w:t>
      </w:r>
      <w:r w:rsidR="00230EB5">
        <w:t>F</w:t>
      </w:r>
      <w:r w:rsidR="00A87182">
        <w:t>or the page/section column, distributors may refer to the relevant section in the approved tariff structure statement.</w:t>
      </w:r>
    </w:p>
    <w:p w14:paraId="52945DD9" w14:textId="7AA14BC8" w:rsidR="00E946D4" w:rsidRDefault="00E946D4">
      <w:r>
        <w:t>This statement of compliance should be accompanied by assurance provided by an executive or similar.</w:t>
      </w:r>
    </w:p>
    <w:p w14:paraId="18E534F0" w14:textId="57607545" w:rsidR="00E946D4" w:rsidRDefault="00E946D4"/>
    <w:p w14:paraId="2A7FB3B5" w14:textId="001DDFDA" w:rsidR="00431E1E" w:rsidRDefault="00431E1E"/>
    <w:p w14:paraId="15217169" w14:textId="77777777" w:rsidR="00431E1E" w:rsidRDefault="00431E1E"/>
    <w:p w14:paraId="4874B2DF" w14:textId="07062548" w:rsidR="00E946D4" w:rsidRDefault="00E946D4">
      <w:r>
        <w:t xml:space="preserve">I, </w:t>
      </w:r>
      <w:r>
        <w:rPr>
          <w:i/>
          <w:iCs/>
        </w:rPr>
        <w:t>[insert name and position here]</w:t>
      </w:r>
      <w:r>
        <w:t>, confirm that the below statements are true and correct</w:t>
      </w:r>
      <w:r w:rsidR="00431E1E">
        <w:t>.</w:t>
      </w:r>
    </w:p>
    <w:p w14:paraId="11D0EFAF" w14:textId="1787CCB7" w:rsidR="00431E1E" w:rsidRDefault="00431E1E"/>
    <w:p w14:paraId="4FC54E8A" w14:textId="5D10644E" w:rsidR="00431E1E" w:rsidRDefault="00431E1E"/>
    <w:p w14:paraId="58E4FCD2" w14:textId="63C3E120" w:rsidR="00431E1E" w:rsidRDefault="00431E1E"/>
    <w:p w14:paraId="6CA0647C" w14:textId="603BDD69" w:rsidR="00431E1E" w:rsidRDefault="00431E1E"/>
    <w:p w14:paraId="73A9E26D" w14:textId="77777777" w:rsidR="00431E1E" w:rsidRDefault="00431E1E"/>
    <w:p w14:paraId="6DF6161E" w14:textId="49213189" w:rsidR="00431E1E" w:rsidRPr="00431E1E" w:rsidRDefault="00431E1E">
      <w:pPr>
        <w:rPr>
          <w:i/>
          <w:iCs/>
        </w:rPr>
      </w:pPr>
      <w:r>
        <w:rPr>
          <w:u w:val="single"/>
        </w:rPr>
        <w:t>                                                                      </w:t>
      </w:r>
      <w:r>
        <w:t xml:space="preserve">                      </w:t>
      </w:r>
      <w:r>
        <w:tab/>
      </w:r>
      <w:r>
        <w:tab/>
      </w:r>
      <w:r>
        <w:rPr>
          <w:u w:val="single"/>
        </w:rPr>
        <w:t>                           </w:t>
      </w:r>
      <w:r>
        <w:br/>
      </w:r>
      <w:r>
        <w:rPr>
          <w:i/>
          <w:iCs/>
        </w:rPr>
        <w:t>[signature]</w:t>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r>
      <w:r>
        <w:rPr>
          <w:i/>
          <w:iCs/>
        </w:rPr>
        <w:tab/>
        <w:t>[date]</w:t>
      </w:r>
    </w:p>
    <w:p w14:paraId="7CA41626" w14:textId="3461E37B" w:rsidR="00431E1E" w:rsidRDefault="00431E1E">
      <w:r>
        <w:br w:type="page"/>
      </w:r>
    </w:p>
    <w:tbl>
      <w:tblPr>
        <w:tblStyle w:val="GridTable1Light"/>
        <w:tblW w:w="15451" w:type="dxa"/>
        <w:tblInd w:w="-714" w:type="dxa"/>
        <w:tblLook w:val="04A0" w:firstRow="1" w:lastRow="0" w:firstColumn="1" w:lastColumn="0" w:noHBand="0" w:noVBand="1"/>
      </w:tblPr>
      <w:tblGrid>
        <w:gridCol w:w="1687"/>
        <w:gridCol w:w="7952"/>
        <w:gridCol w:w="828"/>
        <w:gridCol w:w="1299"/>
        <w:gridCol w:w="3685"/>
      </w:tblGrid>
      <w:tr w:rsidR="00C40715" w14:paraId="2012D7F2" w14:textId="03A90BE6" w:rsidTr="00C40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dxa"/>
          </w:tcPr>
          <w:p w14:paraId="26FD3AFC" w14:textId="4CEC9CC5" w:rsidR="00C40715" w:rsidRPr="00C26CBF" w:rsidRDefault="00C40715" w:rsidP="00C40715">
            <w:pPr>
              <w:rPr>
                <w:b w:val="0"/>
                <w:bCs w:val="0"/>
              </w:rPr>
            </w:pPr>
            <w:r w:rsidRPr="00C26CBF">
              <w:rPr>
                <w:b w:val="0"/>
                <w:bCs w:val="0"/>
              </w:rPr>
              <w:lastRenderedPageBreak/>
              <w:t>Rule reference</w:t>
            </w:r>
          </w:p>
        </w:tc>
        <w:tc>
          <w:tcPr>
            <w:tcW w:w="7952" w:type="dxa"/>
          </w:tcPr>
          <w:p w14:paraId="5BCC948F" w14:textId="513202DE" w:rsidR="00C40715" w:rsidRPr="00C26CBF" w:rsidRDefault="00C40715" w:rsidP="00C4071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Rule requirement and assessment statement</w:t>
            </w:r>
          </w:p>
        </w:tc>
        <w:tc>
          <w:tcPr>
            <w:tcW w:w="828" w:type="dxa"/>
          </w:tcPr>
          <w:p w14:paraId="1A6B43C0" w14:textId="4B6E910E" w:rsidR="00C40715" w:rsidRPr="00C26CBF" w:rsidRDefault="00C40715" w:rsidP="00C4071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T/F or n/a</w:t>
            </w:r>
          </w:p>
        </w:tc>
        <w:tc>
          <w:tcPr>
            <w:tcW w:w="1299" w:type="dxa"/>
          </w:tcPr>
          <w:p w14:paraId="6CDBE1B3" w14:textId="57723411" w:rsidR="00C40715" w:rsidRDefault="00C40715" w:rsidP="00C40715">
            <w:pPr>
              <w:cnfStyle w:val="100000000000" w:firstRow="1" w:lastRow="0" w:firstColumn="0" w:lastColumn="0" w:oddVBand="0" w:evenVBand="0" w:oddHBand="0" w:evenHBand="0" w:firstRowFirstColumn="0" w:firstRowLastColumn="0" w:lastRowFirstColumn="0" w:lastRowLastColumn="0"/>
            </w:pPr>
            <w:r>
              <w:rPr>
                <w:b w:val="0"/>
                <w:bCs w:val="0"/>
              </w:rPr>
              <w:t>Page / section</w:t>
            </w:r>
          </w:p>
        </w:tc>
        <w:tc>
          <w:tcPr>
            <w:tcW w:w="3685" w:type="dxa"/>
          </w:tcPr>
          <w:p w14:paraId="073A2D68" w14:textId="50191232" w:rsidR="00C40715" w:rsidRPr="00C26CBF" w:rsidRDefault="00C40715" w:rsidP="00C40715">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Additional comments</w:t>
            </w:r>
          </w:p>
        </w:tc>
      </w:tr>
      <w:tr w:rsidR="00C40715" w14:paraId="3575827E"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0F0E41B4" w14:textId="0210C689" w:rsidR="00C40715" w:rsidRPr="002A5DD6" w:rsidRDefault="00C40715" w:rsidP="00C40715">
            <w:r w:rsidRPr="00D37240">
              <w:t>6.18.</w:t>
            </w:r>
            <w:r>
              <w:t>1C</w:t>
            </w:r>
            <w:r>
              <w:rPr>
                <w:b w:val="0"/>
                <w:bCs w:val="0"/>
              </w:rPr>
              <w:t xml:space="preserve"> and </w:t>
            </w:r>
            <w:r>
              <w:t>11.141.8</w:t>
            </w:r>
          </w:p>
        </w:tc>
        <w:tc>
          <w:tcPr>
            <w:tcW w:w="7952" w:type="dxa"/>
          </w:tcPr>
          <w:p w14:paraId="350AFF95" w14:textId="77777777" w:rsidR="00C40715" w:rsidRDefault="00C40715" w:rsidP="00C40715">
            <w:pPr>
              <w:cnfStyle w:val="000000000000" w:firstRow="0" w:lastRow="0" w:firstColumn="0" w:lastColumn="0" w:oddVBand="0" w:evenVBand="0" w:oddHBand="0" w:evenHBand="0" w:firstRowFirstColumn="0" w:firstRowLastColumn="0" w:lastRowFirstColumn="0" w:lastRowLastColumn="0"/>
              <w:rPr>
                <w:b/>
                <w:bCs/>
              </w:rPr>
            </w:pPr>
            <w:r w:rsidRPr="00B94AAE">
              <w:rPr>
                <w:b/>
                <w:bCs/>
              </w:rPr>
              <w:t>Sub-threshold tariffs</w:t>
            </w:r>
          </w:p>
          <w:p w14:paraId="16AE2F5C" w14:textId="77777777" w:rsidR="00C40715" w:rsidRDefault="00C40715" w:rsidP="00C40715">
            <w:pPr>
              <w:cnfStyle w:val="000000000000" w:firstRow="0" w:lastRow="0" w:firstColumn="0" w:lastColumn="0" w:oddVBand="0" w:evenVBand="0" w:oddHBand="0" w:evenHBand="0" w:firstRowFirstColumn="0" w:firstRowLastColumn="0" w:lastRowFirstColumn="0" w:lastRowLastColumn="0"/>
            </w:pPr>
            <w:r w:rsidRPr="002A5DD6">
              <w:t>No later than four months before the start of a regulatory year (other than the first regulatory year of a regulatory control period), a Distribution Network Service Provider may notify the AER, affected retailers and Market Small Generation Aggregators and affected retail customers of a new proposed tariff (a relevant tariff) that is determined otherwise than in accordance with the Distribution Network Service Provider's current tariff structure statement, if both of the following are satisfied:</w:t>
            </w:r>
          </w:p>
          <w:p w14:paraId="1D371C4A" w14:textId="780817D5" w:rsidR="00C40715" w:rsidRDefault="00C40715" w:rsidP="00C4071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 xml:space="preserve">the Distribution Network Service Provider's forecast revenue from the relevant tariff during each regulatory year in which the tariff is to apply is no greater than </w:t>
            </w:r>
            <w:r w:rsidR="009D1CFB">
              <w:t>1</w:t>
            </w:r>
            <w:r>
              <w:t xml:space="preserve"> per cent of the Distribution Network Service Provider's annual revenue requirement for that regulatory year (the individual threshold); and</w:t>
            </w:r>
          </w:p>
          <w:p w14:paraId="3030352A" w14:textId="01A3A23C" w:rsidR="00C40715" w:rsidRDefault="00C40715" w:rsidP="00C40715">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 xml:space="preserve">the Distribution Network Service Provider's forecast revenue from the relevant tariff, as well as from all other relevant tariffs, during each regulatory year in which those tariffs are to apply is no greater than </w:t>
            </w:r>
            <w:r w:rsidR="009D1CFB">
              <w:t>5</w:t>
            </w:r>
            <w:r>
              <w:t xml:space="preserve"> per cent of the Distribution Network Service Provider's annual revenue requirement for that regulatory year (the cumulative threshold).</w:t>
            </w:r>
          </w:p>
        </w:tc>
        <w:tc>
          <w:tcPr>
            <w:tcW w:w="828" w:type="dxa"/>
            <w:shd w:val="clear" w:color="auto" w:fill="D5D6D2" w:themeFill="background2"/>
          </w:tcPr>
          <w:p w14:paraId="133BC924" w14:textId="25DD0A54" w:rsidR="00C40715"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0EF91540" w14:textId="77777777" w:rsidR="00C40715" w:rsidRPr="00B94AAE"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tcPr>
          <w:p w14:paraId="30FB5841" w14:textId="4A6E928D" w:rsidR="00C40715" w:rsidRPr="00B94AAE"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7E0DF7FA"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018FD995" w14:textId="77777777" w:rsidR="00C40715" w:rsidRPr="00D37240" w:rsidRDefault="00C40715" w:rsidP="00C40715">
            <w:pPr>
              <w:rPr>
                <w:b w:val="0"/>
                <w:bCs w:val="0"/>
              </w:rPr>
            </w:pPr>
          </w:p>
        </w:tc>
        <w:tc>
          <w:tcPr>
            <w:tcW w:w="7952" w:type="dxa"/>
          </w:tcPr>
          <w:p w14:paraId="2F14FE1C" w14:textId="2F24DD38" w:rsidR="00C40715" w:rsidRPr="003E3A8A"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3E3A8A">
              <w:rPr>
                <w:i/>
                <w:iCs/>
              </w:rPr>
              <w:t>Each sub-threshold tariff has a forecast revenue that is less than 1 per cent of the TAR, and all sub-threshold tariffs have a combined forecast revenue less than 5 per cent of TAR.</w:t>
            </w:r>
          </w:p>
        </w:tc>
        <w:tc>
          <w:tcPr>
            <w:tcW w:w="828" w:type="dxa"/>
          </w:tcPr>
          <w:p w14:paraId="7044978E" w14:textId="77777777" w:rsidR="00C40715" w:rsidRPr="00B94AAE" w:rsidRDefault="00C40715" w:rsidP="00C40715">
            <w:pPr>
              <w:cnfStyle w:val="000000000000" w:firstRow="0" w:lastRow="0" w:firstColumn="0" w:lastColumn="0" w:oddVBand="0" w:evenVBand="0" w:oddHBand="0" w:evenHBand="0" w:firstRowFirstColumn="0" w:firstRowLastColumn="0" w:lastRowFirstColumn="0" w:lastRowLastColumn="0"/>
              <w:rPr>
                <w:b/>
                <w:bCs/>
              </w:rPr>
            </w:pPr>
          </w:p>
        </w:tc>
        <w:tc>
          <w:tcPr>
            <w:tcW w:w="1299" w:type="dxa"/>
            <w:vMerge/>
          </w:tcPr>
          <w:p w14:paraId="126FAED3" w14:textId="77777777" w:rsidR="00C40715" w:rsidRPr="00B94AAE" w:rsidRDefault="00C40715" w:rsidP="00C40715">
            <w:pPr>
              <w:cnfStyle w:val="000000000000" w:firstRow="0" w:lastRow="0" w:firstColumn="0" w:lastColumn="0" w:oddVBand="0" w:evenVBand="0" w:oddHBand="0" w:evenHBand="0" w:firstRowFirstColumn="0" w:firstRowLastColumn="0" w:lastRowFirstColumn="0" w:lastRowLastColumn="0"/>
              <w:rPr>
                <w:b/>
                <w:bCs/>
              </w:rPr>
            </w:pPr>
          </w:p>
        </w:tc>
        <w:tc>
          <w:tcPr>
            <w:tcW w:w="3685" w:type="dxa"/>
          </w:tcPr>
          <w:p w14:paraId="069ADC9C" w14:textId="04B0EC8E" w:rsidR="00C40715" w:rsidRPr="00B94AAE" w:rsidRDefault="00C40715" w:rsidP="00C40715">
            <w:pPr>
              <w:cnfStyle w:val="000000000000" w:firstRow="0" w:lastRow="0" w:firstColumn="0" w:lastColumn="0" w:oddVBand="0" w:evenVBand="0" w:oddHBand="0" w:evenHBand="0" w:firstRowFirstColumn="0" w:firstRowLastColumn="0" w:lastRowFirstColumn="0" w:lastRowLastColumn="0"/>
              <w:rPr>
                <w:b/>
                <w:bCs/>
              </w:rPr>
            </w:pPr>
          </w:p>
        </w:tc>
      </w:tr>
      <w:tr w:rsidR="004A7B80" w14:paraId="477EF8C9" w14:textId="619280B5" w:rsidTr="00377E0E">
        <w:tc>
          <w:tcPr>
            <w:cnfStyle w:val="001000000000" w:firstRow="0" w:lastRow="0" w:firstColumn="1" w:lastColumn="0" w:oddVBand="0" w:evenVBand="0" w:oddHBand="0" w:evenHBand="0" w:firstRowFirstColumn="0" w:firstRowLastColumn="0" w:lastRowFirstColumn="0" w:lastRowLastColumn="0"/>
            <w:tcW w:w="1687" w:type="dxa"/>
          </w:tcPr>
          <w:p w14:paraId="23C7C6B2" w14:textId="3AF75D50" w:rsidR="004A7B80" w:rsidRPr="00D37240" w:rsidRDefault="004A7B80" w:rsidP="00C40715">
            <w:r w:rsidRPr="00D37240">
              <w:t>6.18.2</w:t>
            </w:r>
            <w:r>
              <w:t>(b)</w:t>
            </w:r>
          </w:p>
        </w:tc>
        <w:tc>
          <w:tcPr>
            <w:tcW w:w="13764" w:type="dxa"/>
            <w:gridSpan w:val="4"/>
          </w:tcPr>
          <w:p w14:paraId="53444A3D" w14:textId="77777777" w:rsidR="004A7B80" w:rsidRDefault="004A7B80" w:rsidP="00C40715">
            <w:pPr>
              <w:cnfStyle w:val="000000000000" w:firstRow="0" w:lastRow="0" w:firstColumn="0" w:lastColumn="0" w:oddVBand="0" w:evenVBand="0" w:oddHBand="0" w:evenHBand="0" w:firstRowFirstColumn="0" w:firstRowLastColumn="0" w:lastRowFirstColumn="0" w:lastRowLastColumn="0"/>
              <w:rPr>
                <w:b/>
                <w:bCs/>
              </w:rPr>
            </w:pPr>
            <w:r w:rsidRPr="00D37240">
              <w:rPr>
                <w:b/>
                <w:bCs/>
              </w:rPr>
              <w:t>Pricing proposals</w:t>
            </w:r>
          </w:p>
          <w:p w14:paraId="3113A82C" w14:textId="7DE0ECBC" w:rsidR="004A7B80" w:rsidRPr="00D37240" w:rsidRDefault="004A7B80" w:rsidP="00C40715">
            <w:pPr>
              <w:cnfStyle w:val="000000000000" w:firstRow="0" w:lastRow="0" w:firstColumn="0" w:lastColumn="0" w:oddVBand="0" w:evenVBand="0" w:oddHBand="0" w:evenHBand="0" w:firstRowFirstColumn="0" w:firstRowLastColumn="0" w:lastRowFirstColumn="0" w:lastRowLastColumn="0"/>
            </w:pPr>
            <w:r>
              <w:t>A Pricing Proposal must:</w:t>
            </w:r>
          </w:p>
        </w:tc>
      </w:tr>
      <w:tr w:rsidR="00C40715" w14:paraId="42423E10" w14:textId="5DECA0C2"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0DF3256D" w14:textId="21008812" w:rsidR="00C40715" w:rsidRPr="00C26CBF" w:rsidRDefault="00C40715" w:rsidP="00C40715">
            <w:pPr>
              <w:rPr>
                <w:b w:val="0"/>
                <w:bCs w:val="0"/>
              </w:rPr>
            </w:pPr>
            <w:r>
              <w:rPr>
                <w:b w:val="0"/>
                <w:bCs w:val="0"/>
              </w:rPr>
              <w:t>6.18.2(b)(2)</w:t>
            </w:r>
          </w:p>
        </w:tc>
        <w:tc>
          <w:tcPr>
            <w:tcW w:w="7952" w:type="dxa"/>
          </w:tcPr>
          <w:p w14:paraId="43EF7727" w14:textId="72EFA8D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t>Set out the proposed tariffs for each tariff class that is specified in the Distribution Network Service Provider's tariff structure statement for the relevant regulatory control period;</w:t>
            </w:r>
          </w:p>
        </w:tc>
        <w:tc>
          <w:tcPr>
            <w:tcW w:w="828" w:type="dxa"/>
            <w:shd w:val="clear" w:color="auto" w:fill="D5D6D2" w:themeFill="background2"/>
          </w:tcPr>
          <w:p w14:paraId="206E4B0F"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35DE57D2"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59E0123C" w14:textId="5A276F1B"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3AE47662"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7321FC34" w14:textId="77777777" w:rsidR="00C40715" w:rsidRDefault="00C40715" w:rsidP="00C40715">
            <w:pPr>
              <w:rPr>
                <w:b w:val="0"/>
                <w:bCs w:val="0"/>
              </w:rPr>
            </w:pPr>
          </w:p>
        </w:tc>
        <w:tc>
          <w:tcPr>
            <w:tcW w:w="7952" w:type="dxa"/>
          </w:tcPr>
          <w:p w14:paraId="79D55D62" w14:textId="658B9073"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All tariffs remain in the same tariff class as the approved tariff structure statement (TSS).</w:t>
            </w:r>
          </w:p>
        </w:tc>
        <w:tc>
          <w:tcPr>
            <w:tcW w:w="828" w:type="dxa"/>
          </w:tcPr>
          <w:p w14:paraId="21A8457B"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6567A7B9"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4F7E49DD" w14:textId="2DDBD42E"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418D088E" w14:textId="042866E3"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0253CDD3" w14:textId="67692648" w:rsidR="00C40715" w:rsidRPr="00C26CBF" w:rsidRDefault="00C40715" w:rsidP="00C40715">
            <w:pPr>
              <w:rPr>
                <w:b w:val="0"/>
                <w:bCs w:val="0"/>
              </w:rPr>
            </w:pPr>
            <w:r>
              <w:rPr>
                <w:b w:val="0"/>
                <w:bCs w:val="0"/>
              </w:rPr>
              <w:t>6.18.2(b)(3)</w:t>
            </w:r>
          </w:p>
        </w:tc>
        <w:tc>
          <w:tcPr>
            <w:tcW w:w="7952" w:type="dxa"/>
          </w:tcPr>
          <w:p w14:paraId="640BBB3E" w14:textId="75F7EE56"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t xml:space="preserve">Set out, for each proposed tariff, the charging </w:t>
            </w:r>
            <w:proofErr w:type="gramStart"/>
            <w:r>
              <w:t>parameters</w:t>
            </w:r>
            <w:proofErr w:type="gramEnd"/>
            <w:r>
              <w:t xml:space="preserve"> and the elements of service to which each charging parameter relates;</w:t>
            </w:r>
          </w:p>
        </w:tc>
        <w:tc>
          <w:tcPr>
            <w:tcW w:w="828" w:type="dxa"/>
            <w:shd w:val="clear" w:color="auto" w:fill="D5D6D2" w:themeFill="background2"/>
          </w:tcPr>
          <w:p w14:paraId="785DCCF7"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40A951B9"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1CFFB2D6" w14:textId="549A5B31"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59F79DB1"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744D6A10" w14:textId="77777777" w:rsidR="00C40715" w:rsidRDefault="00C40715" w:rsidP="00C40715">
            <w:pPr>
              <w:rPr>
                <w:b w:val="0"/>
                <w:bCs w:val="0"/>
              </w:rPr>
            </w:pPr>
          </w:p>
        </w:tc>
        <w:tc>
          <w:tcPr>
            <w:tcW w:w="7952" w:type="dxa"/>
          </w:tcPr>
          <w:p w14:paraId="58EAE16C" w14:textId="4E0933DC"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All tariffs retain the same charging parameters as the approved TSS.</w:t>
            </w:r>
          </w:p>
        </w:tc>
        <w:tc>
          <w:tcPr>
            <w:tcW w:w="828" w:type="dxa"/>
          </w:tcPr>
          <w:p w14:paraId="5A5A2581"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3483B0B6"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4F5DBBBA" w14:textId="3AB107C4"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67C346BF"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6C3AA798" w14:textId="567EBF14" w:rsidR="00C40715" w:rsidRDefault="00C40715" w:rsidP="00C40715">
            <w:pPr>
              <w:rPr>
                <w:b w:val="0"/>
                <w:bCs w:val="0"/>
              </w:rPr>
            </w:pPr>
            <w:r>
              <w:rPr>
                <w:b w:val="0"/>
                <w:bCs w:val="0"/>
              </w:rPr>
              <w:t>6.18.2(b)(4)</w:t>
            </w:r>
          </w:p>
        </w:tc>
        <w:tc>
          <w:tcPr>
            <w:tcW w:w="7952" w:type="dxa"/>
          </w:tcPr>
          <w:p w14:paraId="213C68C2" w14:textId="51765CAA" w:rsidR="00C40715" w:rsidRPr="003F3C1E" w:rsidRDefault="00C40715" w:rsidP="00C40715">
            <w:pPr>
              <w:cnfStyle w:val="000000000000" w:firstRow="0" w:lastRow="0" w:firstColumn="0" w:lastColumn="0" w:oddVBand="0" w:evenVBand="0" w:oddHBand="0" w:evenHBand="0" w:firstRowFirstColumn="0" w:firstRowLastColumn="0" w:lastRowFirstColumn="0" w:lastRowLastColumn="0"/>
            </w:pPr>
            <w:r>
              <w:t>S</w:t>
            </w:r>
            <w:r w:rsidRPr="00045299">
              <w:t xml:space="preserve">et out, for each tariff class related to standard control services, the expected weighted average revenue for the relevant regulatory year </w:t>
            </w:r>
            <w:proofErr w:type="gramStart"/>
            <w:r w:rsidRPr="00045299">
              <w:t>and also</w:t>
            </w:r>
            <w:proofErr w:type="gramEnd"/>
            <w:r w:rsidRPr="00045299">
              <w:t xml:space="preserve"> for the current regulatory year;</w:t>
            </w:r>
          </w:p>
        </w:tc>
        <w:tc>
          <w:tcPr>
            <w:tcW w:w="828" w:type="dxa"/>
            <w:shd w:val="clear" w:color="auto" w:fill="D5D6D2" w:themeFill="background2"/>
          </w:tcPr>
          <w:p w14:paraId="77E28383"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3143E0B8"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47DC4155" w14:textId="3B1F0D09"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38B37AE6"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05173C73" w14:textId="77777777" w:rsidR="00C40715" w:rsidRDefault="00C40715" w:rsidP="00C40715">
            <w:pPr>
              <w:rPr>
                <w:b w:val="0"/>
                <w:bCs w:val="0"/>
              </w:rPr>
            </w:pPr>
          </w:p>
        </w:tc>
        <w:tc>
          <w:tcPr>
            <w:tcW w:w="7952" w:type="dxa"/>
          </w:tcPr>
          <w:p w14:paraId="6776C60A" w14:textId="7BF12FD5"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The expected weighted average revenue for each tariff class is provided for the current and forecast years.</w:t>
            </w:r>
          </w:p>
        </w:tc>
        <w:tc>
          <w:tcPr>
            <w:tcW w:w="828" w:type="dxa"/>
          </w:tcPr>
          <w:p w14:paraId="3C67202A"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648EBB7A"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5B49C911" w14:textId="1410D381"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2311D34A"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7298F6CE" w14:textId="7AF8A58B" w:rsidR="00C40715" w:rsidRDefault="00C40715" w:rsidP="00C40715">
            <w:pPr>
              <w:rPr>
                <w:b w:val="0"/>
                <w:bCs w:val="0"/>
              </w:rPr>
            </w:pPr>
            <w:r>
              <w:rPr>
                <w:b w:val="0"/>
                <w:bCs w:val="0"/>
              </w:rPr>
              <w:t>6.18.2(b)(5)</w:t>
            </w:r>
          </w:p>
        </w:tc>
        <w:tc>
          <w:tcPr>
            <w:tcW w:w="7952" w:type="dxa"/>
          </w:tcPr>
          <w:p w14:paraId="71412DE6" w14:textId="2F574FC5" w:rsidR="00C40715" w:rsidRPr="00045299" w:rsidRDefault="00C40715" w:rsidP="00C40715">
            <w:pPr>
              <w:cnfStyle w:val="000000000000" w:firstRow="0" w:lastRow="0" w:firstColumn="0" w:lastColumn="0" w:oddVBand="0" w:evenVBand="0" w:oddHBand="0" w:evenHBand="0" w:firstRowFirstColumn="0" w:firstRowLastColumn="0" w:lastRowFirstColumn="0" w:lastRowLastColumn="0"/>
            </w:pPr>
            <w:r>
              <w:t>S</w:t>
            </w:r>
            <w:r w:rsidRPr="00045299">
              <w:t xml:space="preserve">et out the nature of any variation or adjustment to the tariff that could occur </w:t>
            </w:r>
            <w:proofErr w:type="gramStart"/>
            <w:r w:rsidRPr="00045299">
              <w:t>during the course of</w:t>
            </w:r>
            <w:proofErr w:type="gramEnd"/>
            <w:r w:rsidRPr="00045299">
              <w:t xml:space="preserve"> the regulatory year and the basis on which it could occur;</w:t>
            </w:r>
          </w:p>
        </w:tc>
        <w:tc>
          <w:tcPr>
            <w:tcW w:w="828" w:type="dxa"/>
            <w:shd w:val="clear" w:color="auto" w:fill="D5D6D2" w:themeFill="background2"/>
          </w:tcPr>
          <w:p w14:paraId="25072DC2"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6EC77578"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1F733DAD" w14:textId="52BB1953"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0284F35C"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40A8561E" w14:textId="77777777" w:rsidR="00C40715" w:rsidRDefault="00C40715" w:rsidP="00C40715">
            <w:pPr>
              <w:rPr>
                <w:b w:val="0"/>
                <w:bCs w:val="0"/>
              </w:rPr>
            </w:pPr>
          </w:p>
        </w:tc>
        <w:tc>
          <w:tcPr>
            <w:tcW w:w="7952" w:type="dxa"/>
          </w:tcPr>
          <w:p w14:paraId="14FC8761" w14:textId="3AAF6071"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The information provided for this rule requirement has not materially changed from the approved TSS (for the first pricing proposal of the regulatory period), or the previous pricing proposal (for subsequent pricing proposals).</w:t>
            </w:r>
          </w:p>
        </w:tc>
        <w:tc>
          <w:tcPr>
            <w:tcW w:w="828" w:type="dxa"/>
          </w:tcPr>
          <w:p w14:paraId="2510A4AF"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1185BFA8"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0A8A9BBA" w14:textId="74F26125"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183ABFD1"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160DD0FF" w14:textId="16C6F654" w:rsidR="00C40715" w:rsidRDefault="00C40715" w:rsidP="00C40715">
            <w:pPr>
              <w:rPr>
                <w:b w:val="0"/>
                <w:bCs w:val="0"/>
              </w:rPr>
            </w:pPr>
            <w:r>
              <w:rPr>
                <w:b w:val="0"/>
                <w:bCs w:val="0"/>
              </w:rPr>
              <w:t>6.18.2(b)(6)</w:t>
            </w:r>
          </w:p>
        </w:tc>
        <w:tc>
          <w:tcPr>
            <w:tcW w:w="7952" w:type="dxa"/>
          </w:tcPr>
          <w:p w14:paraId="2B177C70" w14:textId="018F6BAF" w:rsidR="00C40715" w:rsidRDefault="00C40715" w:rsidP="00C40715">
            <w:pPr>
              <w:cnfStyle w:val="000000000000" w:firstRow="0" w:lastRow="0" w:firstColumn="0" w:lastColumn="0" w:oddVBand="0" w:evenVBand="0" w:oddHBand="0" w:evenHBand="0" w:firstRowFirstColumn="0" w:firstRowLastColumn="0" w:lastRowFirstColumn="0" w:lastRowLastColumn="0"/>
            </w:pPr>
            <w:r>
              <w:t>S</w:t>
            </w:r>
            <w:r w:rsidRPr="00667E35">
              <w:t>et out how designated pricing proposal charges are to be passed on to customers and any adjustments to tariffs resulting from over or under recovery of those charges in the previous regulatory year;</w:t>
            </w:r>
          </w:p>
        </w:tc>
        <w:tc>
          <w:tcPr>
            <w:tcW w:w="828" w:type="dxa"/>
            <w:shd w:val="clear" w:color="auto" w:fill="D5D6D2" w:themeFill="background2"/>
          </w:tcPr>
          <w:p w14:paraId="0794A942"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181D246B"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6D2DFC73" w14:textId="53164335"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02E77E10"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5E6A34BC" w14:textId="77777777" w:rsidR="00C40715" w:rsidRDefault="00C40715" w:rsidP="00C40715">
            <w:pPr>
              <w:rPr>
                <w:b w:val="0"/>
                <w:bCs w:val="0"/>
              </w:rPr>
            </w:pPr>
          </w:p>
        </w:tc>
        <w:tc>
          <w:tcPr>
            <w:tcW w:w="7952" w:type="dxa"/>
          </w:tcPr>
          <w:p w14:paraId="2B75E9B0" w14:textId="657F3239"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The information provided for this rule requirement has not materially changed from the approved TSS and/or the previous pricing proposal.</w:t>
            </w:r>
          </w:p>
        </w:tc>
        <w:tc>
          <w:tcPr>
            <w:tcW w:w="828" w:type="dxa"/>
          </w:tcPr>
          <w:p w14:paraId="4CBBBE03"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094EDC55"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59754511" w14:textId="310AE062"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3BAD851D"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3693B2AC" w14:textId="14FE153E" w:rsidR="00C40715" w:rsidRDefault="00C40715" w:rsidP="00C40715">
            <w:pPr>
              <w:rPr>
                <w:b w:val="0"/>
                <w:bCs w:val="0"/>
              </w:rPr>
            </w:pPr>
            <w:r>
              <w:rPr>
                <w:b w:val="0"/>
                <w:bCs w:val="0"/>
              </w:rPr>
              <w:t>6.18.2(b)(6A)</w:t>
            </w:r>
          </w:p>
        </w:tc>
        <w:tc>
          <w:tcPr>
            <w:tcW w:w="7952" w:type="dxa"/>
          </w:tcPr>
          <w:p w14:paraId="5B3A38CA" w14:textId="043BFE58" w:rsidR="00C40715" w:rsidRDefault="00C40715" w:rsidP="00C40715">
            <w:pPr>
              <w:cnfStyle w:val="000000000000" w:firstRow="0" w:lastRow="0" w:firstColumn="0" w:lastColumn="0" w:oddVBand="0" w:evenVBand="0" w:oddHBand="0" w:evenHBand="0" w:firstRowFirstColumn="0" w:firstRowLastColumn="0" w:lastRowFirstColumn="0" w:lastRowLastColumn="0"/>
            </w:pPr>
            <w:r>
              <w:t>S</w:t>
            </w:r>
            <w:r w:rsidRPr="00667E35">
              <w:t>et out how jurisdictional scheme amounts for each approved jurisdictional scheme are to be passed on to customers and any adjustments to tariffs resulting from over or under recovery of those amounts;</w:t>
            </w:r>
          </w:p>
        </w:tc>
        <w:tc>
          <w:tcPr>
            <w:tcW w:w="828" w:type="dxa"/>
            <w:shd w:val="clear" w:color="auto" w:fill="D5D6D2" w:themeFill="background2"/>
          </w:tcPr>
          <w:p w14:paraId="460864A0"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654EE0BA"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4B0937C6" w14:textId="31675C5B"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3FE16277"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3D713471" w14:textId="77777777" w:rsidR="00C40715" w:rsidRDefault="00C40715" w:rsidP="00C40715">
            <w:pPr>
              <w:rPr>
                <w:b w:val="0"/>
                <w:bCs w:val="0"/>
              </w:rPr>
            </w:pPr>
          </w:p>
        </w:tc>
        <w:tc>
          <w:tcPr>
            <w:tcW w:w="7952" w:type="dxa"/>
          </w:tcPr>
          <w:p w14:paraId="3AF5B62E" w14:textId="624F97F6"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The information provided against this rule requirement has not materially changed from the approved TSS and/or the previous pricing proposal.</w:t>
            </w:r>
          </w:p>
        </w:tc>
        <w:tc>
          <w:tcPr>
            <w:tcW w:w="828" w:type="dxa"/>
          </w:tcPr>
          <w:p w14:paraId="5D94EA55"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705A2160"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34EE9546" w14:textId="1E103F53"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5DE755D3" w14:textId="187C8134"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5A8E0DEB" w14:textId="00BC1973" w:rsidR="00C40715" w:rsidRPr="00A602A4" w:rsidRDefault="00C40715" w:rsidP="00C40715">
            <w:pPr>
              <w:rPr>
                <w:b w:val="0"/>
                <w:bCs w:val="0"/>
              </w:rPr>
            </w:pPr>
            <w:r w:rsidRPr="00A602A4">
              <w:rPr>
                <w:b w:val="0"/>
                <w:bCs w:val="0"/>
              </w:rPr>
              <w:lastRenderedPageBreak/>
              <w:t>6.18.2(b)(6B)</w:t>
            </w:r>
          </w:p>
        </w:tc>
        <w:tc>
          <w:tcPr>
            <w:tcW w:w="7952" w:type="dxa"/>
          </w:tcPr>
          <w:p w14:paraId="16B8E483" w14:textId="70B9CC7D"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t>Describe how each approved jurisdictional scheme that has been amended since the last jurisdictional scheme approval date meets the jurisdictional scheme eligibility criteria;</w:t>
            </w:r>
          </w:p>
        </w:tc>
        <w:tc>
          <w:tcPr>
            <w:tcW w:w="828" w:type="dxa"/>
            <w:shd w:val="clear" w:color="auto" w:fill="D5D6D2" w:themeFill="background2"/>
          </w:tcPr>
          <w:p w14:paraId="390A5EE5"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62B94953"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7B7569F9" w14:textId="4CBF51FE"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7976DDDA"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79B8AFD7" w14:textId="77777777" w:rsidR="00C40715" w:rsidRPr="00A602A4" w:rsidRDefault="00C40715" w:rsidP="00C40715">
            <w:pPr>
              <w:rPr>
                <w:b w:val="0"/>
                <w:bCs w:val="0"/>
              </w:rPr>
            </w:pPr>
          </w:p>
        </w:tc>
        <w:tc>
          <w:tcPr>
            <w:tcW w:w="7952" w:type="dxa"/>
          </w:tcPr>
          <w:p w14:paraId="3D3EC17E" w14:textId="7513A66A"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Jurisdictional schemes are unchanged since the previous pricing proposal.</w:t>
            </w:r>
          </w:p>
        </w:tc>
        <w:tc>
          <w:tcPr>
            <w:tcW w:w="828" w:type="dxa"/>
          </w:tcPr>
          <w:p w14:paraId="1524513A"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7BB13FC2"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2D4CE195" w14:textId="793EDD00"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68CE41DE"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3E891A9B" w14:textId="4005F056" w:rsidR="00C40715" w:rsidRPr="00A602A4" w:rsidRDefault="00C40715" w:rsidP="00C40715">
            <w:pPr>
              <w:rPr>
                <w:b w:val="0"/>
                <w:bCs w:val="0"/>
              </w:rPr>
            </w:pPr>
            <w:r w:rsidRPr="00A602A4">
              <w:rPr>
                <w:b w:val="0"/>
                <w:bCs w:val="0"/>
              </w:rPr>
              <w:t>6.18.2(b)(6</w:t>
            </w:r>
            <w:r>
              <w:rPr>
                <w:b w:val="0"/>
                <w:bCs w:val="0"/>
              </w:rPr>
              <w:t>C</w:t>
            </w:r>
            <w:r w:rsidRPr="00A602A4">
              <w:rPr>
                <w:b w:val="0"/>
                <w:bCs w:val="0"/>
              </w:rPr>
              <w:t>)</w:t>
            </w:r>
          </w:p>
        </w:tc>
        <w:tc>
          <w:tcPr>
            <w:tcW w:w="7952" w:type="dxa"/>
          </w:tcPr>
          <w:p w14:paraId="2CCE7E0F" w14:textId="7841246A" w:rsidR="00C40715" w:rsidRDefault="00C40715" w:rsidP="00C40715">
            <w:pPr>
              <w:cnfStyle w:val="000000000000" w:firstRow="0" w:lastRow="0" w:firstColumn="0" w:lastColumn="0" w:oddVBand="0" w:evenVBand="0" w:oddHBand="0" w:evenHBand="0" w:firstRowFirstColumn="0" w:firstRowLastColumn="0" w:lastRowFirstColumn="0" w:lastRowLastColumn="0"/>
            </w:pPr>
            <w:r>
              <w:t>Set out how system strength charges for system strength connection points on its network are to be passed through as described in clause 6.20.3A;</w:t>
            </w:r>
          </w:p>
        </w:tc>
        <w:tc>
          <w:tcPr>
            <w:tcW w:w="828" w:type="dxa"/>
            <w:shd w:val="clear" w:color="auto" w:fill="D5D6D2" w:themeFill="background2"/>
          </w:tcPr>
          <w:p w14:paraId="4BAB4285"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32392C6D"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0423B473" w14:textId="59E7F1EE"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519CFA37"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01D47242" w14:textId="77777777" w:rsidR="00C40715" w:rsidRPr="00A602A4" w:rsidRDefault="00C40715" w:rsidP="00C40715">
            <w:pPr>
              <w:rPr>
                <w:b w:val="0"/>
                <w:bCs w:val="0"/>
              </w:rPr>
            </w:pPr>
          </w:p>
        </w:tc>
        <w:tc>
          <w:tcPr>
            <w:tcW w:w="7952" w:type="dxa"/>
          </w:tcPr>
          <w:p w14:paraId="4E3002F3" w14:textId="618CE518" w:rsidR="00C40715" w:rsidRDefault="00C40715" w:rsidP="00C40715">
            <w:pPr>
              <w:cnfStyle w:val="000000000000" w:firstRow="0" w:lastRow="0" w:firstColumn="0" w:lastColumn="0" w:oddVBand="0" w:evenVBand="0" w:oddHBand="0" w:evenHBand="0" w:firstRowFirstColumn="0" w:firstRowLastColumn="0" w:lastRowFirstColumn="0" w:lastRowLastColumn="0"/>
            </w:pPr>
            <w:r w:rsidRPr="0044582B">
              <w:rPr>
                <w:i/>
                <w:iCs/>
              </w:rPr>
              <w:t>The information provided for this rule requirement has not materially changed from the approved TSS and/or the previous pricing proposal.</w:t>
            </w:r>
          </w:p>
        </w:tc>
        <w:tc>
          <w:tcPr>
            <w:tcW w:w="828" w:type="dxa"/>
          </w:tcPr>
          <w:p w14:paraId="21A4B1C5"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3F6DB7C0"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46449F38" w14:textId="566A19D4"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6104936C" w14:textId="626F7D9A"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0ED4694E" w14:textId="720BF9CD" w:rsidR="00C40715" w:rsidRPr="00C26CBF" w:rsidRDefault="00C40715" w:rsidP="00C40715">
            <w:pPr>
              <w:rPr>
                <w:b w:val="0"/>
                <w:bCs w:val="0"/>
              </w:rPr>
            </w:pPr>
            <w:r w:rsidRPr="00A602A4">
              <w:rPr>
                <w:b w:val="0"/>
                <w:bCs w:val="0"/>
              </w:rPr>
              <w:t>6.18.2(b)(</w:t>
            </w:r>
            <w:r>
              <w:rPr>
                <w:b w:val="0"/>
                <w:bCs w:val="0"/>
              </w:rPr>
              <w:t>7</w:t>
            </w:r>
            <w:r w:rsidRPr="00A602A4">
              <w:rPr>
                <w:b w:val="0"/>
                <w:bCs w:val="0"/>
              </w:rPr>
              <w:t>)</w:t>
            </w:r>
          </w:p>
        </w:tc>
        <w:tc>
          <w:tcPr>
            <w:tcW w:w="7952" w:type="dxa"/>
          </w:tcPr>
          <w:p w14:paraId="05D88D29" w14:textId="12DDEB8B"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t>Demonstrate compliance with the Rules and any applicable distribution determination, including the Distribution Network Service Provider's tariff structure statement for the relevant regulatory control period;</w:t>
            </w:r>
          </w:p>
        </w:tc>
        <w:tc>
          <w:tcPr>
            <w:tcW w:w="828" w:type="dxa"/>
            <w:shd w:val="clear" w:color="auto" w:fill="D5D6D2" w:themeFill="background2"/>
          </w:tcPr>
          <w:p w14:paraId="68FD85D8"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7E71F522"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6A32586E" w14:textId="6F2F2381"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14073F62" w14:textId="28776BD9" w:rsidTr="00C40715">
        <w:tc>
          <w:tcPr>
            <w:cnfStyle w:val="001000000000" w:firstRow="0" w:lastRow="0" w:firstColumn="1" w:lastColumn="0" w:oddVBand="0" w:evenVBand="0" w:oddHBand="0" w:evenHBand="0" w:firstRowFirstColumn="0" w:firstRowLastColumn="0" w:lastRowFirstColumn="0" w:lastRowLastColumn="0"/>
            <w:tcW w:w="1687" w:type="dxa"/>
            <w:vMerge/>
          </w:tcPr>
          <w:p w14:paraId="07987BEA" w14:textId="77777777" w:rsidR="00C40715" w:rsidRPr="00C26CBF" w:rsidRDefault="00C40715" w:rsidP="00C40715">
            <w:pPr>
              <w:rPr>
                <w:b w:val="0"/>
                <w:bCs w:val="0"/>
              </w:rPr>
            </w:pPr>
          </w:p>
        </w:tc>
        <w:tc>
          <w:tcPr>
            <w:tcW w:w="7952" w:type="dxa"/>
          </w:tcPr>
          <w:p w14:paraId="7FD68623" w14:textId="00C2055A"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The information provided for this rule requirement has not materially changed from the approved TSS and/or the previous pricing proposal.</w:t>
            </w:r>
          </w:p>
        </w:tc>
        <w:tc>
          <w:tcPr>
            <w:tcW w:w="828" w:type="dxa"/>
          </w:tcPr>
          <w:p w14:paraId="6078C415"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55CFE0A0"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08712F4A" w14:textId="74D6217E"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1CE64960" w14:textId="792FD9FC"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75175FB3" w14:textId="6324E8F1" w:rsidR="00C40715" w:rsidRPr="00C26CBF" w:rsidRDefault="00C40715" w:rsidP="00C40715">
            <w:pPr>
              <w:rPr>
                <w:b w:val="0"/>
                <w:bCs w:val="0"/>
              </w:rPr>
            </w:pPr>
            <w:r w:rsidRPr="00A602A4">
              <w:rPr>
                <w:b w:val="0"/>
                <w:bCs w:val="0"/>
              </w:rPr>
              <w:t>6.18.2(b)(</w:t>
            </w:r>
            <w:r>
              <w:rPr>
                <w:b w:val="0"/>
                <w:bCs w:val="0"/>
              </w:rPr>
              <w:t>7A</w:t>
            </w:r>
            <w:r w:rsidRPr="00A602A4">
              <w:rPr>
                <w:b w:val="0"/>
                <w:bCs w:val="0"/>
              </w:rPr>
              <w:t>)</w:t>
            </w:r>
          </w:p>
        </w:tc>
        <w:tc>
          <w:tcPr>
            <w:tcW w:w="7952" w:type="dxa"/>
          </w:tcPr>
          <w:p w14:paraId="1CBF52B6" w14:textId="617BA8AB"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t>Demonstrate how each proposed tariff is consistent with the corresponding indicative pricing levels for the relevant regulatory year as set out in the relevant indicative pricing schedule, or explain any material differences between them;</w:t>
            </w:r>
          </w:p>
        </w:tc>
        <w:tc>
          <w:tcPr>
            <w:tcW w:w="828" w:type="dxa"/>
            <w:shd w:val="clear" w:color="auto" w:fill="D5D6D2" w:themeFill="background2"/>
          </w:tcPr>
          <w:p w14:paraId="68D05F56"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663F2AA0"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3BCA89EA" w14:textId="22E92BB9"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2A631CD9" w14:textId="6419A91A" w:rsidTr="00C40715">
        <w:tc>
          <w:tcPr>
            <w:cnfStyle w:val="001000000000" w:firstRow="0" w:lastRow="0" w:firstColumn="1" w:lastColumn="0" w:oddVBand="0" w:evenVBand="0" w:oddHBand="0" w:evenHBand="0" w:firstRowFirstColumn="0" w:firstRowLastColumn="0" w:lastRowFirstColumn="0" w:lastRowLastColumn="0"/>
            <w:tcW w:w="1687" w:type="dxa"/>
            <w:vMerge/>
          </w:tcPr>
          <w:p w14:paraId="4999A744" w14:textId="77777777" w:rsidR="00C40715" w:rsidRPr="00C26CBF" w:rsidRDefault="00C40715" w:rsidP="00C40715">
            <w:pPr>
              <w:rPr>
                <w:b w:val="0"/>
                <w:bCs w:val="0"/>
              </w:rPr>
            </w:pPr>
          </w:p>
        </w:tc>
        <w:tc>
          <w:tcPr>
            <w:tcW w:w="7952" w:type="dxa"/>
          </w:tcPr>
          <w:p w14:paraId="26B2A8CE" w14:textId="7C054D76" w:rsidR="00C40715" w:rsidRPr="009D1CF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9D1CFB">
              <w:rPr>
                <w:i/>
                <w:iCs/>
              </w:rPr>
              <w:t>Tariff prices are not materially different to the corresponding indicative prices.</w:t>
            </w:r>
          </w:p>
        </w:tc>
        <w:tc>
          <w:tcPr>
            <w:tcW w:w="828" w:type="dxa"/>
          </w:tcPr>
          <w:p w14:paraId="171F649A"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331EC11F"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47793525" w14:textId="205334D6"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3C950D0C"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1CEDD55A" w14:textId="77777777" w:rsidR="00C40715" w:rsidRPr="00C26CBF" w:rsidRDefault="00C40715" w:rsidP="00C40715">
            <w:pPr>
              <w:rPr>
                <w:b w:val="0"/>
                <w:bCs w:val="0"/>
              </w:rPr>
            </w:pPr>
          </w:p>
        </w:tc>
        <w:tc>
          <w:tcPr>
            <w:tcW w:w="7952" w:type="dxa"/>
          </w:tcPr>
          <w:p w14:paraId="6B1EAFE4" w14:textId="00D22CA5" w:rsidR="00C40715" w:rsidRPr="00E1512B" w:rsidDel="00820D3D"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 xml:space="preserve">If response to the previous question is </w:t>
            </w:r>
            <w:r>
              <w:rPr>
                <w:i/>
                <w:iCs/>
              </w:rPr>
              <w:t>false</w:t>
            </w:r>
            <w:r w:rsidRPr="00E1512B">
              <w:rPr>
                <w:i/>
                <w:iCs/>
              </w:rPr>
              <w:t xml:space="preserve">, the </w:t>
            </w:r>
            <w:r w:rsidR="00EB1C05">
              <w:rPr>
                <w:i/>
                <w:iCs/>
              </w:rPr>
              <w:t>standardised compliance</w:t>
            </w:r>
            <w:r w:rsidR="004A7B80">
              <w:rPr>
                <w:i/>
                <w:iCs/>
              </w:rPr>
              <w:t xml:space="preserve"> model/</w:t>
            </w:r>
            <w:r w:rsidRPr="00E1512B">
              <w:rPr>
                <w:i/>
                <w:iCs/>
              </w:rPr>
              <w:t>annual pricing proposal explains the source(s) for material changes in prices.</w:t>
            </w:r>
          </w:p>
        </w:tc>
        <w:tc>
          <w:tcPr>
            <w:tcW w:w="828" w:type="dxa"/>
          </w:tcPr>
          <w:p w14:paraId="4E0E13F7"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5E5BB4F6"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0D20C0E7" w14:textId="3DE391C3"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523E9F36" w14:textId="0FF89919"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37566D73" w14:textId="26D8EAAD" w:rsidR="00C40715" w:rsidRPr="00C26CBF" w:rsidRDefault="00C40715" w:rsidP="00C40715">
            <w:pPr>
              <w:rPr>
                <w:b w:val="0"/>
                <w:bCs w:val="0"/>
              </w:rPr>
            </w:pPr>
            <w:r w:rsidRPr="00A602A4">
              <w:rPr>
                <w:b w:val="0"/>
                <w:bCs w:val="0"/>
              </w:rPr>
              <w:t>6.18.2(b)(</w:t>
            </w:r>
            <w:r>
              <w:rPr>
                <w:b w:val="0"/>
                <w:bCs w:val="0"/>
              </w:rPr>
              <w:t>8</w:t>
            </w:r>
            <w:r w:rsidRPr="00A602A4">
              <w:rPr>
                <w:b w:val="0"/>
                <w:bCs w:val="0"/>
              </w:rPr>
              <w:t>)</w:t>
            </w:r>
          </w:p>
        </w:tc>
        <w:tc>
          <w:tcPr>
            <w:tcW w:w="7952" w:type="dxa"/>
          </w:tcPr>
          <w:p w14:paraId="09B1AC99" w14:textId="6CE4DB9E"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t>D</w:t>
            </w:r>
            <w:r w:rsidRPr="00D37240">
              <w:t>escribe the nature and extent of change from the previous regulatory year and demonstrate that the changes comply with the Rules and any applicable distribution determination.</w:t>
            </w:r>
          </w:p>
        </w:tc>
        <w:tc>
          <w:tcPr>
            <w:tcW w:w="828" w:type="dxa"/>
            <w:shd w:val="clear" w:color="auto" w:fill="D5D6D2" w:themeFill="background2"/>
          </w:tcPr>
          <w:p w14:paraId="5CB621E1"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77DE5C20"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4F160097" w14:textId="7F3A3A5F"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2FE7EFD7" w14:textId="1A2176A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476EC71D" w14:textId="77777777" w:rsidR="00C40715" w:rsidRPr="00C26CBF" w:rsidRDefault="00C40715" w:rsidP="00C40715">
            <w:pPr>
              <w:rPr>
                <w:b w:val="0"/>
                <w:bCs w:val="0"/>
              </w:rPr>
            </w:pPr>
          </w:p>
        </w:tc>
        <w:tc>
          <w:tcPr>
            <w:tcW w:w="7952" w:type="dxa"/>
          </w:tcPr>
          <w:p w14:paraId="7FD97DF8" w14:textId="730E596E"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 xml:space="preserve">There are no other material changes from the approved TSS (for the first pricing proposal of the regulatory period), or the previous pricing proposal (for </w:t>
            </w:r>
            <w:r w:rsidRPr="00E1512B">
              <w:rPr>
                <w:i/>
                <w:iCs/>
              </w:rPr>
              <w:lastRenderedPageBreak/>
              <w:t>subsequent pricing proposals) that should be brought to the attention of the AER.</w:t>
            </w:r>
          </w:p>
        </w:tc>
        <w:tc>
          <w:tcPr>
            <w:tcW w:w="828" w:type="dxa"/>
          </w:tcPr>
          <w:p w14:paraId="25FB2C87"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7C483FCD"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10D19753" w14:textId="28811D28"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470C4C7E" w14:textId="53A6F689"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6FE8D8CE" w14:textId="24A99CCA" w:rsidR="00C40715" w:rsidRPr="00025D26" w:rsidRDefault="00C40715" w:rsidP="00C40715">
            <w:pPr>
              <w:rPr>
                <w:b w:val="0"/>
                <w:bCs w:val="0"/>
              </w:rPr>
            </w:pPr>
            <w:r w:rsidRPr="00025D26">
              <w:rPr>
                <w:b w:val="0"/>
                <w:bCs w:val="0"/>
              </w:rPr>
              <w:t>6.18.2(d)</w:t>
            </w:r>
          </w:p>
        </w:tc>
        <w:tc>
          <w:tcPr>
            <w:tcW w:w="7952" w:type="dxa"/>
          </w:tcPr>
          <w:p w14:paraId="22F897A0" w14:textId="349590CC" w:rsidR="00C40715" w:rsidRDefault="00C40715" w:rsidP="00C40715">
            <w:pPr>
              <w:cnfStyle w:val="000000000000" w:firstRow="0" w:lastRow="0" w:firstColumn="0" w:lastColumn="0" w:oddVBand="0" w:evenVBand="0" w:oddHBand="0" w:evenHBand="0" w:firstRowFirstColumn="0" w:firstRowLastColumn="0" w:lastRowFirstColumn="0" w:lastRowLastColumn="0"/>
              <w:rPr>
                <w:b/>
                <w:bCs/>
              </w:rPr>
            </w:pPr>
            <w:r>
              <w:rPr>
                <w:b/>
                <w:bCs/>
              </w:rPr>
              <w:t>Indicative prices</w:t>
            </w:r>
          </w:p>
          <w:p w14:paraId="52D23E89" w14:textId="4751423D"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rsidRPr="00025D26">
              <w:t>At the same time as a Distribution Network Service Provider submits a pricing proposal under paragraph (a), the Distribution Network Service Provider must submit to the AER a revised indicative pricing schedule which sets out, for each tariff and for each of the remaining regulatory years of the regulatory control period, the indicative price levels determined in accordance with the Distribution Network Service Provider's tariff structure statement for that regulatory control period and updated so as to take into account that pricing proposal.</w:t>
            </w:r>
          </w:p>
        </w:tc>
        <w:tc>
          <w:tcPr>
            <w:tcW w:w="828" w:type="dxa"/>
            <w:shd w:val="clear" w:color="auto" w:fill="D5D6D2" w:themeFill="background2"/>
          </w:tcPr>
          <w:p w14:paraId="6DC2037A"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6033D498"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474CC621" w14:textId="7AC4851E"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5E354131" w14:textId="6759AA1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3DDF4A47" w14:textId="77777777" w:rsidR="00C40715" w:rsidRPr="00C26CBF" w:rsidRDefault="00C40715" w:rsidP="00C40715">
            <w:pPr>
              <w:rPr>
                <w:b w:val="0"/>
                <w:bCs w:val="0"/>
              </w:rPr>
            </w:pPr>
          </w:p>
        </w:tc>
        <w:tc>
          <w:tcPr>
            <w:tcW w:w="7952" w:type="dxa"/>
          </w:tcPr>
          <w:p w14:paraId="3A314ABA" w14:textId="308950E8"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Revised indicative prices for tariffs are included in the standardised compliance model.</w:t>
            </w:r>
          </w:p>
        </w:tc>
        <w:tc>
          <w:tcPr>
            <w:tcW w:w="828" w:type="dxa"/>
            <w:shd w:val="clear" w:color="auto" w:fill="FFFFFF" w:themeFill="background1"/>
          </w:tcPr>
          <w:p w14:paraId="4F53D593"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3D0FD499"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75DF26D8" w14:textId="3F6FBF6F"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7FDC27B6" w14:textId="0CE21B4B"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3C12D802" w14:textId="5206F23F" w:rsidR="00C40715" w:rsidRPr="00C26CBF" w:rsidRDefault="00C40715" w:rsidP="00C40715">
            <w:pPr>
              <w:rPr>
                <w:b w:val="0"/>
                <w:bCs w:val="0"/>
              </w:rPr>
            </w:pPr>
            <w:r w:rsidRPr="00025D26">
              <w:rPr>
                <w:b w:val="0"/>
                <w:bCs w:val="0"/>
              </w:rPr>
              <w:t>6.18.2(</w:t>
            </w:r>
            <w:r>
              <w:rPr>
                <w:b w:val="0"/>
                <w:bCs w:val="0"/>
              </w:rPr>
              <w:t>e</w:t>
            </w:r>
            <w:r w:rsidRPr="00025D26">
              <w:rPr>
                <w:b w:val="0"/>
                <w:bCs w:val="0"/>
              </w:rPr>
              <w:t>)</w:t>
            </w:r>
          </w:p>
        </w:tc>
        <w:tc>
          <w:tcPr>
            <w:tcW w:w="7952" w:type="dxa"/>
          </w:tcPr>
          <w:p w14:paraId="6492A07C" w14:textId="5FF9363B" w:rsidR="00C40715" w:rsidRDefault="00C40715" w:rsidP="00C40715">
            <w:pPr>
              <w:cnfStyle w:val="000000000000" w:firstRow="0" w:lastRow="0" w:firstColumn="0" w:lastColumn="0" w:oddVBand="0" w:evenVBand="0" w:oddHBand="0" w:evenHBand="0" w:firstRowFirstColumn="0" w:firstRowLastColumn="0" w:lastRowFirstColumn="0" w:lastRowLastColumn="0"/>
              <w:rPr>
                <w:b/>
                <w:bCs/>
              </w:rPr>
            </w:pPr>
            <w:r>
              <w:rPr>
                <w:b/>
                <w:bCs/>
              </w:rPr>
              <w:t>Indicative prices for sub-threshold tariffs</w:t>
            </w:r>
          </w:p>
          <w:p w14:paraId="39F58B16" w14:textId="190E95A3"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rsidRPr="007B3E97">
              <w:t xml:space="preserve">Where the Distribution Network Service Provider submits an annual pricing proposal, the revised indicative pricing schedule referred to in paragraph (d) must also set out, for each relevant tariff under clause 6.18.1C, the indicative price levels for that relevant tariff for each of the remaining regulatory years of the regulatory control period, updated </w:t>
            </w:r>
            <w:proofErr w:type="gramStart"/>
            <w:r w:rsidRPr="007B3E97">
              <w:t>so as to</w:t>
            </w:r>
            <w:proofErr w:type="gramEnd"/>
            <w:r w:rsidRPr="007B3E97">
              <w:t xml:space="preserve"> take into account that pricing proposal.</w:t>
            </w:r>
          </w:p>
        </w:tc>
        <w:tc>
          <w:tcPr>
            <w:tcW w:w="828" w:type="dxa"/>
            <w:shd w:val="clear" w:color="auto" w:fill="D5D6D2" w:themeFill="background2"/>
          </w:tcPr>
          <w:p w14:paraId="516A8E26"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149A7445"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593DB23C" w14:textId="235BD22B"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13AF8221" w14:textId="2EEB8529" w:rsidTr="00C40715">
        <w:tc>
          <w:tcPr>
            <w:cnfStyle w:val="001000000000" w:firstRow="0" w:lastRow="0" w:firstColumn="1" w:lastColumn="0" w:oddVBand="0" w:evenVBand="0" w:oddHBand="0" w:evenHBand="0" w:firstRowFirstColumn="0" w:firstRowLastColumn="0" w:lastRowFirstColumn="0" w:lastRowLastColumn="0"/>
            <w:tcW w:w="1687" w:type="dxa"/>
            <w:vMerge/>
          </w:tcPr>
          <w:p w14:paraId="3BEC5E23" w14:textId="77777777" w:rsidR="00C40715" w:rsidRPr="00C26CBF" w:rsidRDefault="00C40715" w:rsidP="00C40715">
            <w:pPr>
              <w:rPr>
                <w:b w:val="0"/>
                <w:bCs w:val="0"/>
              </w:rPr>
            </w:pPr>
          </w:p>
        </w:tc>
        <w:tc>
          <w:tcPr>
            <w:tcW w:w="7952" w:type="dxa"/>
          </w:tcPr>
          <w:p w14:paraId="75E449A4" w14:textId="095408B0"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Revised indicative prices for sub-threshold tariffs are included in the standardised compliance model</w:t>
            </w:r>
            <w:r w:rsidR="00654A62">
              <w:rPr>
                <w:i/>
                <w:iCs/>
              </w:rPr>
              <w:t xml:space="preserve"> where applicable</w:t>
            </w:r>
            <w:r w:rsidRPr="00E1512B">
              <w:rPr>
                <w:i/>
                <w:iCs/>
              </w:rPr>
              <w:t>.</w:t>
            </w:r>
          </w:p>
        </w:tc>
        <w:tc>
          <w:tcPr>
            <w:tcW w:w="828" w:type="dxa"/>
          </w:tcPr>
          <w:p w14:paraId="1ADFB856"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20BCC6F6"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1C6035D0" w14:textId="046B3AD6"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EB1C05" w14:paraId="249A4645" w14:textId="05298D15" w:rsidTr="008651BD">
        <w:tc>
          <w:tcPr>
            <w:cnfStyle w:val="001000000000" w:firstRow="0" w:lastRow="0" w:firstColumn="1" w:lastColumn="0" w:oddVBand="0" w:evenVBand="0" w:oddHBand="0" w:evenHBand="0" w:firstRowFirstColumn="0" w:firstRowLastColumn="0" w:lastRowFirstColumn="0" w:lastRowLastColumn="0"/>
            <w:tcW w:w="1687" w:type="dxa"/>
          </w:tcPr>
          <w:p w14:paraId="4F1FD905" w14:textId="52CD4CE5" w:rsidR="00EB1C05" w:rsidRPr="00C26CBF" w:rsidRDefault="00EB1C05" w:rsidP="00C40715">
            <w:pPr>
              <w:rPr>
                <w:b w:val="0"/>
                <w:bCs w:val="0"/>
              </w:rPr>
            </w:pPr>
            <w:r w:rsidRPr="00025D26">
              <w:rPr>
                <w:b w:val="0"/>
                <w:bCs w:val="0"/>
              </w:rPr>
              <w:t>6.18.</w:t>
            </w:r>
            <w:r>
              <w:rPr>
                <w:b w:val="0"/>
                <w:bCs w:val="0"/>
              </w:rPr>
              <w:t>5</w:t>
            </w:r>
          </w:p>
        </w:tc>
        <w:tc>
          <w:tcPr>
            <w:tcW w:w="13764" w:type="dxa"/>
            <w:gridSpan w:val="4"/>
          </w:tcPr>
          <w:p w14:paraId="79C0FC57" w14:textId="38E6DBB0" w:rsidR="00EB1C05" w:rsidRPr="00025D26" w:rsidRDefault="00EB1C05" w:rsidP="00C40715">
            <w:pPr>
              <w:cnfStyle w:val="000000000000" w:firstRow="0" w:lastRow="0" w:firstColumn="0" w:lastColumn="0" w:oddVBand="0" w:evenVBand="0" w:oddHBand="0" w:evenHBand="0" w:firstRowFirstColumn="0" w:firstRowLastColumn="0" w:lastRowFirstColumn="0" w:lastRowLastColumn="0"/>
            </w:pPr>
            <w:r>
              <w:rPr>
                <w:b/>
                <w:bCs/>
              </w:rPr>
              <w:t>Pricing principles</w:t>
            </w:r>
          </w:p>
        </w:tc>
      </w:tr>
      <w:tr w:rsidR="00C40715" w14:paraId="7B50C613" w14:textId="3529441E"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4D868009" w14:textId="0E5C3272" w:rsidR="00C40715" w:rsidRPr="00C26CBF" w:rsidRDefault="00C40715" w:rsidP="00C40715">
            <w:pPr>
              <w:rPr>
                <w:b w:val="0"/>
                <w:bCs w:val="0"/>
              </w:rPr>
            </w:pPr>
            <w:r>
              <w:rPr>
                <w:b w:val="0"/>
                <w:bCs w:val="0"/>
              </w:rPr>
              <w:t>6.18.5(e)</w:t>
            </w:r>
          </w:p>
        </w:tc>
        <w:tc>
          <w:tcPr>
            <w:tcW w:w="7952" w:type="dxa"/>
          </w:tcPr>
          <w:p w14:paraId="5F948316" w14:textId="58069A19" w:rsidR="00C40715" w:rsidRDefault="00C40715" w:rsidP="00C40715">
            <w:pPr>
              <w:cnfStyle w:val="000000000000" w:firstRow="0" w:lastRow="0" w:firstColumn="0" w:lastColumn="0" w:oddVBand="0" w:evenVBand="0" w:oddHBand="0" w:evenHBand="0" w:firstRowFirstColumn="0" w:firstRowLastColumn="0" w:lastRowFirstColumn="0" w:lastRowLastColumn="0"/>
            </w:pPr>
            <w:r>
              <w:t>For each tariff class, the revenue expected to be recovered must lie on or between:</w:t>
            </w:r>
          </w:p>
          <w:p w14:paraId="5F75CFF0" w14:textId="105288AD" w:rsidR="00C40715" w:rsidRDefault="00C40715" w:rsidP="00C40715">
            <w:pPr>
              <w:cnfStyle w:val="000000000000" w:firstRow="0" w:lastRow="0" w:firstColumn="0" w:lastColumn="0" w:oddVBand="0" w:evenVBand="0" w:oddHBand="0" w:evenHBand="0" w:firstRowFirstColumn="0" w:firstRowLastColumn="0" w:lastRowFirstColumn="0" w:lastRowLastColumn="0"/>
            </w:pPr>
            <w:r>
              <w:t>(1) an upper bound representing the stand alone cost of serving the retail customers who belong to that class; and</w:t>
            </w:r>
          </w:p>
          <w:p w14:paraId="3BEAB13C" w14:textId="49521549"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lastRenderedPageBreak/>
              <w:t>(2) a lower bound representing the avoidable cost of not serving those retail customers.</w:t>
            </w:r>
          </w:p>
        </w:tc>
        <w:tc>
          <w:tcPr>
            <w:tcW w:w="828" w:type="dxa"/>
            <w:shd w:val="clear" w:color="auto" w:fill="D5D6D2" w:themeFill="background2"/>
          </w:tcPr>
          <w:p w14:paraId="105A8298"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68A2AB45"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0B26F583" w14:textId="7B9D9D26"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60FC79AE"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64A27B58" w14:textId="77777777" w:rsidR="00C40715" w:rsidRPr="00C26CBF" w:rsidRDefault="00C40715" w:rsidP="00C40715"/>
        </w:tc>
        <w:tc>
          <w:tcPr>
            <w:tcW w:w="7952" w:type="dxa"/>
          </w:tcPr>
          <w:p w14:paraId="4862CBB1" w14:textId="2F905D21"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The information provided for this rule requirement has not materially changed from the approved TSS and is demonstrated in the standardised compliance model.</w:t>
            </w:r>
          </w:p>
        </w:tc>
        <w:tc>
          <w:tcPr>
            <w:tcW w:w="828" w:type="dxa"/>
          </w:tcPr>
          <w:p w14:paraId="0889B6DA"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3C67DE47"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263882BE" w14:textId="439168A2"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2A68FA3F"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val="restart"/>
          </w:tcPr>
          <w:p w14:paraId="3DC0519C" w14:textId="7F8E84EE" w:rsidR="00C40715" w:rsidRPr="00365EC0" w:rsidRDefault="00C40715" w:rsidP="00C40715">
            <w:pPr>
              <w:rPr>
                <w:b w:val="0"/>
                <w:bCs w:val="0"/>
              </w:rPr>
            </w:pPr>
            <w:r>
              <w:rPr>
                <w:b w:val="0"/>
                <w:bCs w:val="0"/>
              </w:rPr>
              <w:t>6.18.5(g)(2)</w:t>
            </w:r>
          </w:p>
        </w:tc>
        <w:tc>
          <w:tcPr>
            <w:tcW w:w="7952" w:type="dxa"/>
          </w:tcPr>
          <w:p w14:paraId="13CC6832" w14:textId="0E3579B1" w:rsidR="00C40715" w:rsidRDefault="00C40715" w:rsidP="00C40715">
            <w:pPr>
              <w:cnfStyle w:val="000000000000" w:firstRow="0" w:lastRow="0" w:firstColumn="0" w:lastColumn="0" w:oddVBand="0" w:evenVBand="0" w:oddHBand="0" w:evenHBand="0" w:firstRowFirstColumn="0" w:firstRowLastColumn="0" w:lastRowFirstColumn="0" w:lastRowLastColumn="0"/>
            </w:pPr>
            <w:r>
              <w:t>The revenue expected to be recovered from each tariff must:</w:t>
            </w:r>
          </w:p>
          <w:p w14:paraId="1607A32B" w14:textId="40FD2DF2"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r>
              <w:t>when summed with the revenue expected to be received from all other tariffs, permit the Distribution Network Service Provider to recover the expected revenue for the relevant services in accordance with the applicable distribution determination for the Distribution Network Service Provider</w:t>
            </w:r>
          </w:p>
        </w:tc>
        <w:tc>
          <w:tcPr>
            <w:tcW w:w="828" w:type="dxa"/>
            <w:shd w:val="clear" w:color="auto" w:fill="D5D6D2" w:themeFill="background2"/>
          </w:tcPr>
          <w:p w14:paraId="564BCC12"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val="restart"/>
          </w:tcPr>
          <w:p w14:paraId="2B086E0C"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val="restart"/>
          </w:tcPr>
          <w:p w14:paraId="34E0AD66" w14:textId="77C711F2"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r w:rsidR="00C40715" w14:paraId="43CA6D78" w14:textId="77777777" w:rsidTr="00C40715">
        <w:tc>
          <w:tcPr>
            <w:cnfStyle w:val="001000000000" w:firstRow="0" w:lastRow="0" w:firstColumn="1" w:lastColumn="0" w:oddVBand="0" w:evenVBand="0" w:oddHBand="0" w:evenHBand="0" w:firstRowFirstColumn="0" w:firstRowLastColumn="0" w:lastRowFirstColumn="0" w:lastRowLastColumn="0"/>
            <w:tcW w:w="1687" w:type="dxa"/>
            <w:vMerge/>
          </w:tcPr>
          <w:p w14:paraId="62EE2E35" w14:textId="77777777" w:rsidR="00C40715" w:rsidRPr="00C26CBF" w:rsidRDefault="00C40715" w:rsidP="00C40715"/>
        </w:tc>
        <w:tc>
          <w:tcPr>
            <w:tcW w:w="7952" w:type="dxa"/>
          </w:tcPr>
          <w:p w14:paraId="666FA5E1" w14:textId="5B887648" w:rsidR="00C40715" w:rsidRPr="00E1512B" w:rsidRDefault="00C40715" w:rsidP="00C40715">
            <w:pPr>
              <w:cnfStyle w:val="000000000000" w:firstRow="0" w:lastRow="0" w:firstColumn="0" w:lastColumn="0" w:oddVBand="0" w:evenVBand="0" w:oddHBand="0" w:evenHBand="0" w:firstRowFirstColumn="0" w:firstRowLastColumn="0" w:lastRowFirstColumn="0" w:lastRowLastColumn="0"/>
              <w:rPr>
                <w:i/>
                <w:iCs/>
              </w:rPr>
            </w:pPr>
            <w:r w:rsidRPr="00E1512B">
              <w:rPr>
                <w:i/>
                <w:iCs/>
              </w:rPr>
              <w:t>The information provided for this rule requirement has not materially changed from the approved TSS and is demonstrated in the standardised compliance model.</w:t>
            </w:r>
          </w:p>
        </w:tc>
        <w:tc>
          <w:tcPr>
            <w:tcW w:w="828" w:type="dxa"/>
          </w:tcPr>
          <w:p w14:paraId="5FA4B908"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1299" w:type="dxa"/>
            <w:vMerge/>
          </w:tcPr>
          <w:p w14:paraId="2D194DA7" w14:textId="77777777"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c>
          <w:tcPr>
            <w:tcW w:w="3685" w:type="dxa"/>
            <w:vMerge/>
          </w:tcPr>
          <w:p w14:paraId="4D5B54A0" w14:textId="7D728305" w:rsidR="00C40715" w:rsidRPr="00C26CBF" w:rsidRDefault="00C40715" w:rsidP="00C40715">
            <w:pPr>
              <w:cnfStyle w:val="000000000000" w:firstRow="0" w:lastRow="0" w:firstColumn="0" w:lastColumn="0" w:oddVBand="0" w:evenVBand="0" w:oddHBand="0" w:evenHBand="0" w:firstRowFirstColumn="0" w:firstRowLastColumn="0" w:lastRowFirstColumn="0" w:lastRowLastColumn="0"/>
            </w:pPr>
          </w:p>
        </w:tc>
      </w:tr>
    </w:tbl>
    <w:p w14:paraId="7FF7673A" w14:textId="77777777" w:rsidR="00904A11" w:rsidRDefault="00904A11"/>
    <w:sectPr w:rsidR="00904A11" w:rsidSect="00904A11">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27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749EA" w14:textId="77777777" w:rsidR="00E77BC4" w:rsidRDefault="00E77BC4" w:rsidP="004B4412">
      <w:pPr>
        <w:spacing w:before="0"/>
      </w:pPr>
      <w:r>
        <w:separator/>
      </w:r>
    </w:p>
  </w:endnote>
  <w:endnote w:type="continuationSeparator" w:id="0">
    <w:p w14:paraId="06E690AD" w14:textId="77777777" w:rsidR="00E77BC4" w:rsidRDefault="00E77BC4"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58792" w14:textId="77777777" w:rsidR="00AF1FC7" w:rsidRDefault="00AF1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C96E" w14:textId="77777777" w:rsidR="00AF1FC7" w:rsidRDefault="00AF1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D983" w14:textId="77777777" w:rsidR="00691616" w:rsidRDefault="00691616">
    <w:pPr>
      <w:pStyle w:val="Footer"/>
    </w:pPr>
  </w:p>
  <w:p w14:paraId="5729487C" w14:textId="77777777" w:rsidR="00691616" w:rsidRDefault="0069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6DD0" w14:textId="77777777" w:rsidR="00E77BC4" w:rsidRDefault="00E77BC4" w:rsidP="004B4412">
      <w:pPr>
        <w:spacing w:before="0"/>
      </w:pPr>
      <w:r>
        <w:separator/>
      </w:r>
    </w:p>
  </w:footnote>
  <w:footnote w:type="continuationSeparator" w:id="0">
    <w:p w14:paraId="660550FD" w14:textId="77777777" w:rsidR="00E77BC4" w:rsidRDefault="00E77BC4" w:rsidP="004B441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AF21" w14:textId="77777777" w:rsidR="00AF1FC7" w:rsidRDefault="00AF1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9B86" w14:textId="77777777" w:rsidR="00AF1FC7" w:rsidRDefault="00AF1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54F9" w14:textId="77777777" w:rsidR="00AF1FC7" w:rsidRDefault="00AF1F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15:restartNumberingAfterBreak="0">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15:restartNumberingAfterBreak="0">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15:restartNumberingAfterBreak="0">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15:restartNumberingAfterBreak="0">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15:restartNumberingAfterBreak="0">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15:restartNumberingAfterBreak="0">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15:restartNumberingAfterBreak="0">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7" w15:restartNumberingAfterBreak="0">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19" w15:restartNumberingAfterBreak="0">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15:restartNumberingAfterBreak="0">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3" w15:restartNumberingAfterBreak="0">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4" w15:restartNumberingAfterBreak="0">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5" w15:restartNumberingAfterBreak="0">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15:restartNumberingAfterBreak="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7F305F"/>
    <w:multiLevelType w:val="hybridMultilevel"/>
    <w:tmpl w:val="2DEAB93A"/>
    <w:lvl w:ilvl="0" w:tplc="3A6C9DC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26"/>
  </w:num>
  <w:num w:numId="3">
    <w:abstractNumId w:val="7"/>
  </w:num>
  <w:num w:numId="4">
    <w:abstractNumId w:val="6"/>
  </w:num>
  <w:num w:numId="5">
    <w:abstractNumId w:val="5"/>
  </w:num>
  <w:num w:numId="6">
    <w:abstractNumId w:val="4"/>
  </w:num>
  <w:num w:numId="7">
    <w:abstractNumId w:val="1"/>
  </w:num>
  <w:num w:numId="8">
    <w:abstractNumId w:val="0"/>
  </w:num>
  <w:num w:numId="9">
    <w:abstractNumId w:val="21"/>
  </w:num>
  <w:num w:numId="10">
    <w:abstractNumId w:val="15"/>
  </w:num>
  <w:num w:numId="11">
    <w:abstractNumId w:val="9"/>
  </w:num>
  <w:num w:numId="12">
    <w:abstractNumId w:val="12"/>
  </w:num>
  <w:num w:numId="13">
    <w:abstractNumId w:val="14"/>
  </w:num>
  <w:num w:numId="14">
    <w:abstractNumId w:val="2"/>
  </w:num>
  <w:num w:numId="15">
    <w:abstractNumId w:val="22"/>
  </w:num>
  <w:num w:numId="16">
    <w:abstractNumId w:val="25"/>
  </w:num>
  <w:num w:numId="17">
    <w:abstractNumId w:val="24"/>
  </w:num>
  <w:num w:numId="18">
    <w:abstractNumId w:val="18"/>
  </w:num>
  <w:num w:numId="19">
    <w:abstractNumId w:val="13"/>
  </w:num>
  <w:num w:numId="20">
    <w:abstractNumId w:val="16"/>
  </w:num>
  <w:num w:numId="21">
    <w:abstractNumId w:val="23"/>
  </w:num>
  <w:num w:numId="22">
    <w:abstractNumId w:val="19"/>
  </w:num>
  <w:num w:numId="23">
    <w:abstractNumId w:val="8"/>
  </w:num>
  <w:num w:numId="24">
    <w:abstractNumId w:val="3"/>
  </w:num>
  <w:num w:numId="25">
    <w:abstractNumId w:val="17"/>
  </w:num>
  <w:num w:numId="26">
    <w:abstractNumId w:val="11"/>
  </w:num>
  <w:num w:numId="27">
    <w:abstractNumId w:val="20"/>
  </w:num>
  <w:num w:numId="28">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name" w:val="\\homesharecl\HomeDrives\dsmit\Desktop\Normal.dotm"/>
  </w:docVars>
  <w:rsids>
    <w:rsidRoot w:val="00E77BC4"/>
    <w:rsid w:val="00003FFD"/>
    <w:rsid w:val="0002115F"/>
    <w:rsid w:val="00021202"/>
    <w:rsid w:val="000225C4"/>
    <w:rsid w:val="00024977"/>
    <w:rsid w:val="0002508C"/>
    <w:rsid w:val="00025D26"/>
    <w:rsid w:val="000302BE"/>
    <w:rsid w:val="0003578C"/>
    <w:rsid w:val="00045299"/>
    <w:rsid w:val="00063247"/>
    <w:rsid w:val="00070F9F"/>
    <w:rsid w:val="0007137B"/>
    <w:rsid w:val="00085663"/>
    <w:rsid w:val="00085EBF"/>
    <w:rsid w:val="000C5CFF"/>
    <w:rsid w:val="000D122C"/>
    <w:rsid w:val="000E1819"/>
    <w:rsid w:val="000E6C72"/>
    <w:rsid w:val="000F2368"/>
    <w:rsid w:val="000F389F"/>
    <w:rsid w:val="00114230"/>
    <w:rsid w:val="00116EB2"/>
    <w:rsid w:val="00124609"/>
    <w:rsid w:val="00125BF2"/>
    <w:rsid w:val="001573E4"/>
    <w:rsid w:val="00160756"/>
    <w:rsid w:val="0017232E"/>
    <w:rsid w:val="00174102"/>
    <w:rsid w:val="00180157"/>
    <w:rsid w:val="00181223"/>
    <w:rsid w:val="00186F77"/>
    <w:rsid w:val="001926A4"/>
    <w:rsid w:val="001A3A19"/>
    <w:rsid w:val="001A475F"/>
    <w:rsid w:val="001B246B"/>
    <w:rsid w:val="001B45A0"/>
    <w:rsid w:val="001C18EE"/>
    <w:rsid w:val="001D055E"/>
    <w:rsid w:val="001F492E"/>
    <w:rsid w:val="001F6DA3"/>
    <w:rsid w:val="00212737"/>
    <w:rsid w:val="00224DB9"/>
    <w:rsid w:val="00230EB5"/>
    <w:rsid w:val="00251745"/>
    <w:rsid w:val="00263AC0"/>
    <w:rsid w:val="0026772D"/>
    <w:rsid w:val="00286874"/>
    <w:rsid w:val="00296B65"/>
    <w:rsid w:val="002A5DD6"/>
    <w:rsid w:val="002A7DEF"/>
    <w:rsid w:val="002E755A"/>
    <w:rsid w:val="002F2F17"/>
    <w:rsid w:val="002F7986"/>
    <w:rsid w:val="00303C4A"/>
    <w:rsid w:val="00307F6D"/>
    <w:rsid w:val="0031355C"/>
    <w:rsid w:val="003177A2"/>
    <w:rsid w:val="003271B5"/>
    <w:rsid w:val="003301BA"/>
    <w:rsid w:val="00330CA0"/>
    <w:rsid w:val="00331264"/>
    <w:rsid w:val="00334C8D"/>
    <w:rsid w:val="00340655"/>
    <w:rsid w:val="003459E6"/>
    <w:rsid w:val="003518B3"/>
    <w:rsid w:val="003549F9"/>
    <w:rsid w:val="00355B67"/>
    <w:rsid w:val="00365EC0"/>
    <w:rsid w:val="00371641"/>
    <w:rsid w:val="00377E0E"/>
    <w:rsid w:val="003846F1"/>
    <w:rsid w:val="00391C4A"/>
    <w:rsid w:val="003A673F"/>
    <w:rsid w:val="003B5A70"/>
    <w:rsid w:val="003E3A8A"/>
    <w:rsid w:val="003F3C1E"/>
    <w:rsid w:val="003F772B"/>
    <w:rsid w:val="0041638D"/>
    <w:rsid w:val="00431E1E"/>
    <w:rsid w:val="0045702E"/>
    <w:rsid w:val="00462624"/>
    <w:rsid w:val="00475DDE"/>
    <w:rsid w:val="00477376"/>
    <w:rsid w:val="00480B4B"/>
    <w:rsid w:val="00480C21"/>
    <w:rsid w:val="00485DC4"/>
    <w:rsid w:val="004A7B80"/>
    <w:rsid w:val="004B4412"/>
    <w:rsid w:val="004C348C"/>
    <w:rsid w:val="004D1733"/>
    <w:rsid w:val="004D55BA"/>
    <w:rsid w:val="004E16C0"/>
    <w:rsid w:val="004E69AA"/>
    <w:rsid w:val="004F3E0D"/>
    <w:rsid w:val="005038DB"/>
    <w:rsid w:val="0052379B"/>
    <w:rsid w:val="00530128"/>
    <w:rsid w:val="00532467"/>
    <w:rsid w:val="00542A2F"/>
    <w:rsid w:val="00547BA2"/>
    <w:rsid w:val="00547CCF"/>
    <w:rsid w:val="00556CB0"/>
    <w:rsid w:val="00564A4D"/>
    <w:rsid w:val="00571B35"/>
    <w:rsid w:val="00571C9F"/>
    <w:rsid w:val="00572B6B"/>
    <w:rsid w:val="00577A09"/>
    <w:rsid w:val="00580B78"/>
    <w:rsid w:val="00581CAB"/>
    <w:rsid w:val="00584D8F"/>
    <w:rsid w:val="00596D42"/>
    <w:rsid w:val="005A404D"/>
    <w:rsid w:val="005B1E3C"/>
    <w:rsid w:val="005C24AC"/>
    <w:rsid w:val="005C26CC"/>
    <w:rsid w:val="005E6C0E"/>
    <w:rsid w:val="005F7B98"/>
    <w:rsid w:val="006009D9"/>
    <w:rsid w:val="00606FDB"/>
    <w:rsid w:val="006114AD"/>
    <w:rsid w:val="00615C6B"/>
    <w:rsid w:val="00632D6D"/>
    <w:rsid w:val="006347BC"/>
    <w:rsid w:val="00642C3E"/>
    <w:rsid w:val="00646025"/>
    <w:rsid w:val="00654A62"/>
    <w:rsid w:val="00661F1D"/>
    <w:rsid w:val="00663DAD"/>
    <w:rsid w:val="00667E35"/>
    <w:rsid w:val="00676679"/>
    <w:rsid w:val="00691616"/>
    <w:rsid w:val="006B4CF9"/>
    <w:rsid w:val="006B7AC8"/>
    <w:rsid w:val="006C7F91"/>
    <w:rsid w:val="006D2C31"/>
    <w:rsid w:val="006D550F"/>
    <w:rsid w:val="006D77F3"/>
    <w:rsid w:val="006E359F"/>
    <w:rsid w:val="006F2109"/>
    <w:rsid w:val="006F7374"/>
    <w:rsid w:val="00701CAB"/>
    <w:rsid w:val="00705EC5"/>
    <w:rsid w:val="00707563"/>
    <w:rsid w:val="0072348C"/>
    <w:rsid w:val="00724A37"/>
    <w:rsid w:val="007303C3"/>
    <w:rsid w:val="00743223"/>
    <w:rsid w:val="00746E01"/>
    <w:rsid w:val="0075682B"/>
    <w:rsid w:val="00763E5D"/>
    <w:rsid w:val="00767740"/>
    <w:rsid w:val="00775671"/>
    <w:rsid w:val="00777EE6"/>
    <w:rsid w:val="00782EEA"/>
    <w:rsid w:val="007A6F79"/>
    <w:rsid w:val="007B12D0"/>
    <w:rsid w:val="007B2C72"/>
    <w:rsid w:val="007B3E97"/>
    <w:rsid w:val="007C0E07"/>
    <w:rsid w:val="007C1C53"/>
    <w:rsid w:val="007C269E"/>
    <w:rsid w:val="007E26A9"/>
    <w:rsid w:val="007E4904"/>
    <w:rsid w:val="007E4CB5"/>
    <w:rsid w:val="007F066B"/>
    <w:rsid w:val="008033C4"/>
    <w:rsid w:val="00806C88"/>
    <w:rsid w:val="0081034E"/>
    <w:rsid w:val="00820D3D"/>
    <w:rsid w:val="008344F6"/>
    <w:rsid w:val="0083510F"/>
    <w:rsid w:val="00851209"/>
    <w:rsid w:val="0085499B"/>
    <w:rsid w:val="00872961"/>
    <w:rsid w:val="0088007E"/>
    <w:rsid w:val="008837AC"/>
    <w:rsid w:val="008945B4"/>
    <w:rsid w:val="008A587D"/>
    <w:rsid w:val="008C4692"/>
    <w:rsid w:val="008C5486"/>
    <w:rsid w:val="008E7031"/>
    <w:rsid w:val="0090148A"/>
    <w:rsid w:val="00904A11"/>
    <w:rsid w:val="00906B11"/>
    <w:rsid w:val="00922941"/>
    <w:rsid w:val="00922C95"/>
    <w:rsid w:val="009233EE"/>
    <w:rsid w:val="0093685A"/>
    <w:rsid w:val="00946FA0"/>
    <w:rsid w:val="009538EE"/>
    <w:rsid w:val="00955F13"/>
    <w:rsid w:val="009661DE"/>
    <w:rsid w:val="009856B7"/>
    <w:rsid w:val="0098602B"/>
    <w:rsid w:val="00991B3B"/>
    <w:rsid w:val="009962BA"/>
    <w:rsid w:val="00996D5E"/>
    <w:rsid w:val="009B74B0"/>
    <w:rsid w:val="009C77A9"/>
    <w:rsid w:val="009D1CFB"/>
    <w:rsid w:val="009D4414"/>
    <w:rsid w:val="009D6B46"/>
    <w:rsid w:val="009F1179"/>
    <w:rsid w:val="009F4940"/>
    <w:rsid w:val="00A0248C"/>
    <w:rsid w:val="00A161DE"/>
    <w:rsid w:val="00A1665B"/>
    <w:rsid w:val="00A25670"/>
    <w:rsid w:val="00A323D9"/>
    <w:rsid w:val="00A3351A"/>
    <w:rsid w:val="00A346FE"/>
    <w:rsid w:val="00A4478A"/>
    <w:rsid w:val="00A44852"/>
    <w:rsid w:val="00A474CB"/>
    <w:rsid w:val="00A57D04"/>
    <w:rsid w:val="00A602A4"/>
    <w:rsid w:val="00A60A26"/>
    <w:rsid w:val="00A61598"/>
    <w:rsid w:val="00A636C4"/>
    <w:rsid w:val="00A84F46"/>
    <w:rsid w:val="00A87182"/>
    <w:rsid w:val="00A871F4"/>
    <w:rsid w:val="00A90908"/>
    <w:rsid w:val="00A94923"/>
    <w:rsid w:val="00A95A80"/>
    <w:rsid w:val="00AC1B2C"/>
    <w:rsid w:val="00AC3264"/>
    <w:rsid w:val="00AC3E35"/>
    <w:rsid w:val="00AC6F01"/>
    <w:rsid w:val="00AE0FE2"/>
    <w:rsid w:val="00AE1BF1"/>
    <w:rsid w:val="00AF0DD2"/>
    <w:rsid w:val="00AF1D8F"/>
    <w:rsid w:val="00AF1FC7"/>
    <w:rsid w:val="00B10314"/>
    <w:rsid w:val="00B13048"/>
    <w:rsid w:val="00B15998"/>
    <w:rsid w:val="00B1716D"/>
    <w:rsid w:val="00B17A1D"/>
    <w:rsid w:val="00B207A0"/>
    <w:rsid w:val="00B3754C"/>
    <w:rsid w:val="00B56E03"/>
    <w:rsid w:val="00B60F5D"/>
    <w:rsid w:val="00B62438"/>
    <w:rsid w:val="00B64FB0"/>
    <w:rsid w:val="00B67E91"/>
    <w:rsid w:val="00B8080B"/>
    <w:rsid w:val="00B87C39"/>
    <w:rsid w:val="00B9379C"/>
    <w:rsid w:val="00B94AAE"/>
    <w:rsid w:val="00B9715B"/>
    <w:rsid w:val="00BA4665"/>
    <w:rsid w:val="00BB2FB2"/>
    <w:rsid w:val="00BB3304"/>
    <w:rsid w:val="00BD3446"/>
    <w:rsid w:val="00BD4F8C"/>
    <w:rsid w:val="00BD6087"/>
    <w:rsid w:val="00BE0328"/>
    <w:rsid w:val="00BE1F1B"/>
    <w:rsid w:val="00BE47B5"/>
    <w:rsid w:val="00BE4C99"/>
    <w:rsid w:val="00BF1DE2"/>
    <w:rsid w:val="00C058AB"/>
    <w:rsid w:val="00C06739"/>
    <w:rsid w:val="00C11CF1"/>
    <w:rsid w:val="00C26CBF"/>
    <w:rsid w:val="00C40715"/>
    <w:rsid w:val="00C4603F"/>
    <w:rsid w:val="00C538A9"/>
    <w:rsid w:val="00C53B5A"/>
    <w:rsid w:val="00C54F5A"/>
    <w:rsid w:val="00C755AD"/>
    <w:rsid w:val="00C80930"/>
    <w:rsid w:val="00C86587"/>
    <w:rsid w:val="00C86679"/>
    <w:rsid w:val="00C91FAA"/>
    <w:rsid w:val="00C96FE4"/>
    <w:rsid w:val="00CB666B"/>
    <w:rsid w:val="00CC6777"/>
    <w:rsid w:val="00CF0B00"/>
    <w:rsid w:val="00CF799E"/>
    <w:rsid w:val="00D01CF0"/>
    <w:rsid w:val="00D0442A"/>
    <w:rsid w:val="00D165D1"/>
    <w:rsid w:val="00D203E1"/>
    <w:rsid w:val="00D23723"/>
    <w:rsid w:val="00D37240"/>
    <w:rsid w:val="00D40330"/>
    <w:rsid w:val="00D521D5"/>
    <w:rsid w:val="00D544B8"/>
    <w:rsid w:val="00D55ED6"/>
    <w:rsid w:val="00D61388"/>
    <w:rsid w:val="00D61A54"/>
    <w:rsid w:val="00D64DEA"/>
    <w:rsid w:val="00D80893"/>
    <w:rsid w:val="00D92CF1"/>
    <w:rsid w:val="00D92D38"/>
    <w:rsid w:val="00D950F5"/>
    <w:rsid w:val="00DB0F93"/>
    <w:rsid w:val="00DB5070"/>
    <w:rsid w:val="00DC542F"/>
    <w:rsid w:val="00DC7981"/>
    <w:rsid w:val="00DD6FAB"/>
    <w:rsid w:val="00DE4EFA"/>
    <w:rsid w:val="00DE5520"/>
    <w:rsid w:val="00DF7962"/>
    <w:rsid w:val="00E03193"/>
    <w:rsid w:val="00E04818"/>
    <w:rsid w:val="00E06442"/>
    <w:rsid w:val="00E1512B"/>
    <w:rsid w:val="00E23993"/>
    <w:rsid w:val="00E25B8C"/>
    <w:rsid w:val="00E27642"/>
    <w:rsid w:val="00E4674F"/>
    <w:rsid w:val="00E51078"/>
    <w:rsid w:val="00E610DB"/>
    <w:rsid w:val="00E65C85"/>
    <w:rsid w:val="00E66199"/>
    <w:rsid w:val="00E755EC"/>
    <w:rsid w:val="00E7624D"/>
    <w:rsid w:val="00E77BC4"/>
    <w:rsid w:val="00E91767"/>
    <w:rsid w:val="00E946D4"/>
    <w:rsid w:val="00EA3D42"/>
    <w:rsid w:val="00EA513E"/>
    <w:rsid w:val="00EA6B1B"/>
    <w:rsid w:val="00EB1C05"/>
    <w:rsid w:val="00EB4C69"/>
    <w:rsid w:val="00EE28F3"/>
    <w:rsid w:val="00EE78EF"/>
    <w:rsid w:val="00EE7C0D"/>
    <w:rsid w:val="00EF5110"/>
    <w:rsid w:val="00F15882"/>
    <w:rsid w:val="00F20BD3"/>
    <w:rsid w:val="00F373A5"/>
    <w:rsid w:val="00F442C2"/>
    <w:rsid w:val="00F47559"/>
    <w:rsid w:val="00F60BE4"/>
    <w:rsid w:val="00F61B84"/>
    <w:rsid w:val="00F64C7B"/>
    <w:rsid w:val="00F676DD"/>
    <w:rsid w:val="00F70252"/>
    <w:rsid w:val="00F75A26"/>
    <w:rsid w:val="00F83FAD"/>
    <w:rsid w:val="00F91DC6"/>
    <w:rsid w:val="00F952A0"/>
    <w:rsid w:val="00FA3C7F"/>
    <w:rsid w:val="00FA4E09"/>
    <w:rsid w:val="00FB52D7"/>
    <w:rsid w:val="00FB74E2"/>
    <w:rsid w:val="00FD3CFA"/>
    <w:rsid w:val="00FD5614"/>
    <w:rsid w:val="00FE0BE1"/>
    <w:rsid w:val="00FE1DE9"/>
    <w:rsid w:val="00FE39C2"/>
    <w:rsid w:val="00FE64AE"/>
    <w:rsid w:val="00FF66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0D64"/>
  <w15:chartTrackingRefBased/>
  <w15:docId w15:val="{41D2AAA9-83CD-45CB-9B77-CD6C12141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semiHidden="1" w:uiPriority="2"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E27642"/>
    <w:pPr>
      <w:spacing w:before="240"/>
      <w:outlineLvl w:val="0"/>
    </w:pPr>
    <w:rPr>
      <w:rFonts w:ascii="Palatino Linotype" w:eastAsiaTheme="majorEastAsia" w:hAnsi="Palatino Linotype" w:cstheme="majorBidi"/>
      <w:bCs/>
      <w:color w:val="410099" w:themeColor="accent1"/>
      <w:sz w:val="36"/>
      <w:szCs w:val="28"/>
    </w:rPr>
  </w:style>
  <w:style w:type="paragraph" w:styleId="Heading2">
    <w:name w:val="heading 2"/>
    <w:next w:val="Normal"/>
    <w:link w:val="Heading2Char"/>
    <w:qFormat/>
    <w:rsid w:val="00E27642"/>
    <w:pPr>
      <w:spacing w:line="240" w:lineRule="atLeast"/>
      <w:outlineLvl w:val="1"/>
    </w:pPr>
    <w:rPr>
      <w:rFonts w:ascii="Arial" w:eastAsiaTheme="majorEastAsia" w:hAnsi="Arial" w:cstheme="majorBidi"/>
      <w:bCs/>
      <w:color w:val="410099" w:themeColor="accent1"/>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E27642"/>
    <w:pPr>
      <w:spacing w:before="240"/>
      <w:outlineLvl w:val="3"/>
    </w:pPr>
    <w:rPr>
      <w:rFonts w:eastAsiaTheme="majorEastAsia" w:cstheme="majorBidi"/>
      <w:b/>
      <w:bCs/>
      <w:i/>
      <w:iCs/>
      <w:color w:val="410099" w:themeColor="accent1"/>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0004C"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410099"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7642"/>
    <w:rPr>
      <w:rFonts w:ascii="Palatino Linotype" w:eastAsiaTheme="majorEastAsia" w:hAnsi="Palatino Linotype" w:cstheme="majorBidi"/>
      <w:bCs/>
      <w:color w:val="410099" w:themeColor="accent1"/>
      <w:sz w:val="36"/>
      <w:szCs w:val="28"/>
    </w:rPr>
  </w:style>
  <w:style w:type="character" w:customStyle="1" w:styleId="Heading2Char">
    <w:name w:val="Heading 2 Char"/>
    <w:basedOn w:val="DefaultParagraphFont"/>
    <w:link w:val="Heading2"/>
    <w:rsid w:val="00E27642"/>
    <w:rPr>
      <w:rFonts w:ascii="Arial" w:eastAsiaTheme="majorEastAsia" w:hAnsi="Arial" w:cstheme="majorBidi"/>
      <w:bCs/>
      <w:color w:val="410099" w:themeColor="accent1"/>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E27642"/>
    <w:rPr>
      <w:rFonts w:ascii="Arial" w:eastAsiaTheme="majorEastAsia" w:hAnsi="Arial" w:cstheme="majorBidi"/>
      <w:b/>
      <w:bCs/>
      <w:i/>
      <w:iCs/>
      <w:color w:val="410099" w:themeColor="accent1"/>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0004C"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E27642"/>
    <w:pPr>
      <w:spacing w:before="520" w:after="120"/>
    </w:pPr>
    <w:rPr>
      <w:rFonts w:ascii="Palatino Linotype" w:hAnsi="Palatino Linotype"/>
      <w:color w:val="410099" w:themeColor="accent1"/>
      <w:sz w:val="52"/>
      <w:szCs w:val="52"/>
    </w:rPr>
  </w:style>
  <w:style w:type="character" w:customStyle="1" w:styleId="ChaptertitleChar">
    <w:name w:val="Chapter title Char"/>
    <w:basedOn w:val="DefaultParagraphFont"/>
    <w:link w:val="Chaptertitle"/>
    <w:rsid w:val="00E27642"/>
    <w:rPr>
      <w:rFonts w:ascii="Palatino Linotype" w:hAnsi="Palatino Linotype"/>
      <w:color w:val="410099" w:themeColor="accen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E27642"/>
    <w:pPr>
      <w:spacing w:line="360" w:lineRule="auto"/>
      <w:contextualSpacing/>
    </w:pPr>
    <w:rPr>
      <w:sz w:val="16"/>
      <w:szCs w:val="16"/>
    </w:rPr>
  </w:style>
  <w:style w:type="character" w:customStyle="1" w:styleId="CopyrighttextChar">
    <w:name w:val="Copyright text Char"/>
    <w:basedOn w:val="DefaultParagraphFont"/>
    <w:link w:val="Copyrighttext"/>
    <w:uiPriority w:val="2"/>
    <w:rsid w:val="00E27642"/>
    <w:rPr>
      <w:rFonts w:ascii="Arial" w:hAnsi="Arial"/>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A323D9"/>
    <w:pPr>
      <w:numPr>
        <w:ilvl w:val="1"/>
        <w:numId w:val="12"/>
      </w:numPr>
      <w:tabs>
        <w:tab w:val="left" w:pos="1021"/>
      </w:tabs>
      <w:ind w:left="1021" w:hanging="1021"/>
    </w:pPr>
    <w:rPr>
      <w:rFonts w:cs="Arial"/>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E27642"/>
    <w:pPr>
      <w:tabs>
        <w:tab w:val="center" w:pos="4513"/>
        <w:tab w:val="right" w:pos="9026"/>
      </w:tabs>
      <w:spacing w:after="120"/>
    </w:pPr>
    <w:rPr>
      <w:sz w:val="18"/>
    </w:rPr>
  </w:style>
  <w:style w:type="character" w:customStyle="1" w:styleId="HeaderChar">
    <w:name w:val="Header Char"/>
    <w:basedOn w:val="DefaultParagraphFont"/>
    <w:link w:val="Header"/>
    <w:uiPriority w:val="99"/>
    <w:rsid w:val="00E27642"/>
    <w:rPr>
      <w:rFonts w:ascii="Arial" w:hAnsi="Arial"/>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27642"/>
    <w:pPr>
      <w:spacing w:after="120"/>
      <w:contextualSpacing/>
    </w:pPr>
    <w:rPr>
      <w:rFonts w:ascii="Palatino Linotype" w:hAnsi="Palatino Linotype"/>
      <w:b/>
      <w:color w:val="362F52" w:themeColor="accent3"/>
      <w:sz w:val="24"/>
      <w:szCs w:val="24"/>
    </w:rPr>
  </w:style>
  <w:style w:type="character" w:customStyle="1" w:styleId="PullquoteheadingChar">
    <w:name w:val="Pull quote heading Char"/>
    <w:basedOn w:val="DefaultParagraphFont"/>
    <w:link w:val="Pullquoteheading"/>
    <w:uiPriority w:val="1"/>
    <w:rsid w:val="00E27642"/>
    <w:rPr>
      <w:rFonts w:ascii="Palatino Linotype" w:hAnsi="Palatino Linotype"/>
      <w:b/>
      <w:color w:val="362F52" w:themeColor="accent3"/>
      <w:sz w:val="24"/>
      <w:szCs w:val="24"/>
    </w:rPr>
  </w:style>
  <w:style w:type="paragraph" w:customStyle="1" w:styleId="Pullquotetext">
    <w:name w:val="Pull quote text"/>
    <w:link w:val="PullquotetextChar"/>
    <w:uiPriority w:val="1"/>
    <w:rsid w:val="00E27642"/>
    <w:pPr>
      <w:spacing w:before="120"/>
    </w:pPr>
    <w:rPr>
      <w:rFonts w:ascii="Palatino Linotype" w:hAnsi="Palatino Linotype"/>
      <w:color w:val="362F52" w:themeColor="accent3"/>
      <w:szCs w:val="24"/>
    </w:rPr>
  </w:style>
  <w:style w:type="character" w:customStyle="1" w:styleId="PullquotetextChar">
    <w:name w:val="Pull quote text Char"/>
    <w:basedOn w:val="PullquoteheadingChar"/>
    <w:link w:val="Pullquotetext"/>
    <w:uiPriority w:val="1"/>
    <w:rsid w:val="00E27642"/>
    <w:rPr>
      <w:rFonts w:ascii="Palatino Linotype" w:hAnsi="Palatino Linotype"/>
      <w:b w:val="0"/>
      <w:color w:val="362F52" w:themeColor="accent3"/>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93685A"/>
    <w:pPr>
      <w:spacing w:before="480" w:after="120" w:line="276" w:lineRule="auto"/>
    </w:pPr>
    <w:rPr>
      <w:rFonts w:ascii="Palatino Linotype" w:eastAsiaTheme="majorEastAsia" w:hAnsi="Palatino Linotype" w:cstheme="majorBidi"/>
      <w:bCs/>
      <w:color w:val="410099" w:themeColor="accent1"/>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E27642"/>
    <w:pPr>
      <w:tabs>
        <w:tab w:val="center" w:pos="4513"/>
        <w:tab w:val="right" w:pos="9026"/>
      </w:tabs>
      <w:spacing w:after="120"/>
    </w:pPr>
    <w:rPr>
      <w:sz w:val="18"/>
    </w:rPr>
  </w:style>
  <w:style w:type="character" w:customStyle="1" w:styleId="FooterChar">
    <w:name w:val="Footer Char"/>
    <w:basedOn w:val="DefaultParagraphFont"/>
    <w:link w:val="Footer"/>
    <w:uiPriority w:val="99"/>
    <w:rsid w:val="00E27642"/>
    <w:rPr>
      <w:rFonts w:ascii="Arial" w:hAnsi="Arial"/>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410099"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00072" w:themeColor="accent1" w:themeShade="BF"/>
    </w:rPr>
    <w:tblPr>
      <w:tblStyleRowBandSize w:val="1"/>
      <w:tblStyleColBandSize w:val="1"/>
      <w:tblBorders>
        <w:top w:val="single" w:sz="8" w:space="0" w:color="410099" w:themeColor="accent1"/>
        <w:bottom w:val="single" w:sz="8" w:space="0" w:color="410099" w:themeColor="accent1"/>
      </w:tblBorders>
    </w:tblPr>
    <w:tblStylePr w:type="fir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lastRow">
      <w:pPr>
        <w:spacing w:before="0" w:after="0" w:line="240" w:lineRule="auto"/>
      </w:pPr>
      <w:rPr>
        <w:b/>
        <w:bCs/>
      </w:rPr>
      <w:tblPr/>
      <w:tcPr>
        <w:tcBorders>
          <w:top w:val="single" w:sz="8" w:space="0" w:color="410099" w:themeColor="accent1"/>
          <w:left w:val="nil"/>
          <w:bottom w:val="single" w:sz="8" w:space="0" w:color="4100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A6FF" w:themeFill="accent1" w:themeFillTint="3F"/>
      </w:tcPr>
    </w:tblStylePr>
    <w:tblStylePr w:type="band1Horz">
      <w:tblPr/>
      <w:tcPr>
        <w:tcBorders>
          <w:left w:val="nil"/>
          <w:right w:val="nil"/>
          <w:insideH w:val="nil"/>
          <w:insideV w:val="nil"/>
        </w:tcBorders>
        <w:shd w:val="clear" w:color="auto" w:fill="CCA6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blBorders>
    </w:tblPr>
    <w:tcPr>
      <w:vAlign w:val="center"/>
    </w:tcPr>
    <w:tblStylePr w:type="fir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l2br w:val="nil"/>
          <w:tr2bl w:val="nil"/>
        </w:tcBorders>
      </w:tcPr>
    </w:tblStylePr>
    <w:tblStylePr w:type="lastRow">
      <w:pPr>
        <w:spacing w:before="0" w:after="0" w:line="240" w:lineRule="auto"/>
      </w:pPr>
      <w:rPr>
        <w:b w:val="0"/>
        <w:bCs/>
      </w:rPr>
      <w:tblPr/>
      <w:tcPr>
        <w:tcBorders>
          <w:top w:val="single" w:sz="4" w:space="0" w:color="FFC502" w:themeColor="accent5"/>
          <w:left w:val="single" w:sz="4" w:space="0" w:color="FFC502" w:themeColor="accent5"/>
          <w:bottom w:val="single" w:sz="4" w:space="0" w:color="FFC502" w:themeColor="accent5"/>
          <w:right w:val="single" w:sz="4" w:space="0" w:color="FFC502" w:themeColor="accent5"/>
          <w:insideH w:val="single" w:sz="4" w:space="0" w:color="FFC502" w:themeColor="accent5"/>
          <w:insideV w:val="single" w:sz="4" w:space="0" w:color="FFC5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28233D" w:themeColor="accent3" w:themeShade="BF"/>
    </w:rPr>
    <w:tblPr>
      <w:tblStyleRowBandSize w:val="1"/>
      <w:tblStyleColBandSize w:val="1"/>
      <w:tblBorders>
        <w:top w:val="single" w:sz="8" w:space="0" w:color="362F52" w:themeColor="accent3"/>
        <w:bottom w:val="single" w:sz="8" w:space="0" w:color="362F52" w:themeColor="accent3"/>
      </w:tblBorders>
    </w:tblPr>
    <w:tblStylePr w:type="fir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lastRow">
      <w:pPr>
        <w:spacing w:before="0" w:after="0" w:line="240" w:lineRule="auto"/>
      </w:pPr>
      <w:rPr>
        <w:b/>
        <w:bCs/>
      </w:rPr>
      <w:tblPr/>
      <w:tcPr>
        <w:tcBorders>
          <w:top w:val="single" w:sz="8" w:space="0" w:color="362F52" w:themeColor="accent3"/>
          <w:left w:val="nil"/>
          <w:bottom w:val="single" w:sz="8" w:space="0" w:color="362F5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3DC" w:themeFill="accent3" w:themeFillTint="3F"/>
      </w:tcPr>
    </w:tblStylePr>
    <w:tblStylePr w:type="band1Horz">
      <w:tblPr/>
      <w:tcPr>
        <w:tcBorders>
          <w:left w:val="nil"/>
          <w:right w:val="nil"/>
          <w:insideH w:val="nil"/>
          <w:insideV w:val="nil"/>
        </w:tcBorders>
        <w:shd w:val="clear" w:color="auto" w:fill="C8C3DC"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insideH w:val="single" w:sz="8" w:space="0" w:color="FF7600" w:themeColor="accent6"/>
        <w:insideV w:val="single" w:sz="8" w:space="0" w:color="FF76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18" w:space="0" w:color="FF7600" w:themeColor="accent6"/>
          <w:right w:val="single" w:sz="8" w:space="0" w:color="FF7600" w:themeColor="accent6"/>
          <w:insideH w:val="nil"/>
          <w:insideV w:val="single" w:sz="8" w:space="0" w:color="FF76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insideH w:val="nil"/>
          <w:insideV w:val="single" w:sz="8" w:space="0" w:color="FF76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shd w:val="clear" w:color="auto" w:fill="FFDDC0" w:themeFill="accent6" w:themeFillTint="3F"/>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shd w:val="clear" w:color="auto" w:fill="FFDDC0" w:themeFill="accent6" w:themeFillTint="3F"/>
      </w:tcPr>
    </w:tblStylePr>
    <w:tblStylePr w:type="band2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insideV w:val="single" w:sz="8" w:space="0" w:color="FF7600"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single" w:sz="8" w:space="0" w:color="6600F2" w:themeColor="accent1" w:themeTint="BF"/>
      </w:tblBorders>
    </w:tblPr>
    <w:tblStylePr w:type="firstRow">
      <w:pPr>
        <w:spacing w:before="0" w:after="0" w:line="240" w:lineRule="auto"/>
      </w:pPr>
      <w:rPr>
        <w:b/>
        <w:bCs/>
        <w:color w:val="FFFFFF" w:themeColor="background1"/>
      </w:rPr>
      <w:tblPr/>
      <w:tcPr>
        <w:tcBorders>
          <w:top w:val="single" w:sz="8"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shd w:val="clear" w:color="auto" w:fill="410099" w:themeFill="accent1"/>
      </w:tcPr>
    </w:tblStylePr>
    <w:tblStylePr w:type="lastRow">
      <w:pPr>
        <w:spacing w:before="0" w:after="0" w:line="240" w:lineRule="auto"/>
      </w:pPr>
      <w:rPr>
        <w:b/>
        <w:bCs/>
      </w:rPr>
      <w:tblPr/>
      <w:tcPr>
        <w:tcBorders>
          <w:top w:val="double" w:sz="6" w:space="0" w:color="6600F2" w:themeColor="accent1" w:themeTint="BF"/>
          <w:left w:val="single" w:sz="8" w:space="0" w:color="6600F2" w:themeColor="accent1" w:themeTint="BF"/>
          <w:bottom w:val="single" w:sz="8" w:space="0" w:color="6600F2" w:themeColor="accent1" w:themeTint="BF"/>
          <w:right w:val="single" w:sz="8" w:space="0" w:color="6600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A6FF" w:themeFill="accent1" w:themeFillTint="3F"/>
      </w:tcPr>
    </w:tblStylePr>
    <w:tblStylePr w:type="band1Horz">
      <w:tblPr/>
      <w:tcPr>
        <w:tcBorders>
          <w:insideH w:val="nil"/>
          <w:insideV w:val="nil"/>
        </w:tcBorders>
        <w:shd w:val="clear" w:color="auto" w:fill="CCA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single" w:sz="8" w:space="0" w:color="49E6E0" w:themeColor="accent2" w:themeTint="BF"/>
      </w:tblBorders>
    </w:tblPr>
    <w:tblStylePr w:type="firstRow">
      <w:pPr>
        <w:spacing w:before="0" w:after="0" w:line="240" w:lineRule="auto"/>
      </w:pPr>
      <w:rPr>
        <w:b/>
        <w:bCs/>
        <w:color w:val="FFFFFF" w:themeColor="background1"/>
      </w:rPr>
      <w:tblPr/>
      <w:tcPr>
        <w:tcBorders>
          <w:top w:val="single" w:sz="8"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shd w:val="clear" w:color="auto" w:fill="1CCFC9" w:themeFill="accent2"/>
      </w:tcPr>
    </w:tblStylePr>
    <w:tblStylePr w:type="lastRow">
      <w:pPr>
        <w:spacing w:before="0" w:after="0" w:line="240" w:lineRule="auto"/>
      </w:pPr>
      <w:rPr>
        <w:b/>
        <w:bCs/>
      </w:rPr>
      <w:tblPr/>
      <w:tcPr>
        <w:tcBorders>
          <w:top w:val="double" w:sz="6" w:space="0" w:color="49E6E0" w:themeColor="accent2" w:themeTint="BF"/>
          <w:left w:val="single" w:sz="8" w:space="0" w:color="49E6E0" w:themeColor="accent2" w:themeTint="BF"/>
          <w:bottom w:val="single" w:sz="8" w:space="0" w:color="49E6E0" w:themeColor="accent2" w:themeTint="BF"/>
          <w:right w:val="single" w:sz="8" w:space="0" w:color="49E6E0"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7F5" w:themeFill="accent2" w:themeFillTint="3F"/>
      </w:tcPr>
    </w:tblStylePr>
    <w:tblStylePr w:type="band1Horz">
      <w:tblPr/>
      <w:tcPr>
        <w:tcBorders>
          <w:insideH w:val="nil"/>
          <w:insideV w:val="nil"/>
        </w:tcBorders>
        <w:shd w:val="clear" w:color="auto" w:fill="C3F7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single" w:sz="8" w:space="0" w:color="5D518E" w:themeColor="accent3" w:themeTint="BF"/>
      </w:tblBorders>
    </w:tblPr>
    <w:tblStylePr w:type="firstRow">
      <w:pPr>
        <w:spacing w:before="0" w:after="0" w:line="240" w:lineRule="auto"/>
      </w:pPr>
      <w:rPr>
        <w:b/>
        <w:bCs/>
        <w:color w:val="FFFFFF" w:themeColor="background1"/>
      </w:rPr>
      <w:tblPr/>
      <w:tcPr>
        <w:tcBorders>
          <w:top w:val="single" w:sz="8"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shd w:val="clear" w:color="auto" w:fill="362F52" w:themeFill="accent3"/>
      </w:tcPr>
    </w:tblStylePr>
    <w:tblStylePr w:type="lastRow">
      <w:pPr>
        <w:spacing w:before="0" w:after="0" w:line="240" w:lineRule="auto"/>
      </w:pPr>
      <w:rPr>
        <w:b/>
        <w:bCs/>
      </w:rPr>
      <w:tblPr/>
      <w:tcPr>
        <w:tcBorders>
          <w:top w:val="double" w:sz="6" w:space="0" w:color="5D518E" w:themeColor="accent3" w:themeTint="BF"/>
          <w:left w:val="single" w:sz="8" w:space="0" w:color="5D518E" w:themeColor="accent3" w:themeTint="BF"/>
          <w:bottom w:val="single" w:sz="8" w:space="0" w:color="5D518E" w:themeColor="accent3" w:themeTint="BF"/>
          <w:right w:val="single" w:sz="8" w:space="0" w:color="5D518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8C3DC" w:themeFill="accent3" w:themeFillTint="3F"/>
      </w:tcPr>
    </w:tblStylePr>
    <w:tblStylePr w:type="band1Horz">
      <w:tblPr/>
      <w:tcPr>
        <w:tcBorders>
          <w:insideH w:val="nil"/>
          <w:insideV w:val="nil"/>
        </w:tcBorders>
        <w:shd w:val="clear" w:color="auto" w:fill="C8C3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single" w:sz="8" w:space="0" w:color="A8B5FF" w:themeColor="accent4" w:themeTint="BF"/>
      </w:tblBorders>
    </w:tblPr>
    <w:tblStylePr w:type="firstRow">
      <w:pPr>
        <w:spacing w:before="0" w:after="0" w:line="240" w:lineRule="auto"/>
      </w:pPr>
      <w:rPr>
        <w:b/>
        <w:bCs/>
        <w:color w:val="FFFFFF" w:themeColor="background1"/>
      </w:rPr>
      <w:tblPr/>
      <w:tcPr>
        <w:tcBorders>
          <w:top w:val="single" w:sz="8"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shd w:val="clear" w:color="auto" w:fill="8B9EFF" w:themeFill="accent4"/>
      </w:tcPr>
    </w:tblStylePr>
    <w:tblStylePr w:type="lastRow">
      <w:pPr>
        <w:spacing w:before="0" w:after="0" w:line="240" w:lineRule="auto"/>
      </w:pPr>
      <w:rPr>
        <w:b/>
        <w:bCs/>
      </w:rPr>
      <w:tblPr/>
      <w:tcPr>
        <w:tcBorders>
          <w:top w:val="double" w:sz="6" w:space="0" w:color="A8B5FF" w:themeColor="accent4" w:themeTint="BF"/>
          <w:left w:val="single" w:sz="8" w:space="0" w:color="A8B5FF" w:themeColor="accent4" w:themeTint="BF"/>
          <w:bottom w:val="single" w:sz="8" w:space="0" w:color="A8B5FF" w:themeColor="accent4" w:themeTint="BF"/>
          <w:right w:val="single" w:sz="8" w:space="0" w:color="A8B5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E6FF" w:themeFill="accent4" w:themeFillTint="3F"/>
      </w:tcPr>
    </w:tblStylePr>
    <w:tblStylePr w:type="band1Horz">
      <w:tblPr/>
      <w:tcPr>
        <w:tcBorders>
          <w:insideH w:val="nil"/>
          <w:insideV w:val="nil"/>
        </w:tcBorders>
        <w:shd w:val="clear" w:color="auto" w:fill="E2E6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single" w:sz="8" w:space="0" w:color="FFD341" w:themeColor="accent5" w:themeTint="BF"/>
      </w:tblBorders>
    </w:tblPr>
    <w:tblStylePr w:type="firstRow">
      <w:pPr>
        <w:spacing w:before="0" w:after="0" w:line="240" w:lineRule="auto"/>
      </w:pPr>
      <w:rPr>
        <w:b/>
        <w:bCs/>
        <w:color w:val="FFFFFF" w:themeColor="background1"/>
      </w:rPr>
      <w:tblPr/>
      <w:tcPr>
        <w:tcBorders>
          <w:top w:val="single" w:sz="8"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shd w:val="clear" w:color="auto" w:fill="FFC502" w:themeFill="accent5"/>
      </w:tcPr>
    </w:tblStylePr>
    <w:tblStylePr w:type="lastRow">
      <w:pPr>
        <w:spacing w:before="0" w:after="0" w:line="240" w:lineRule="auto"/>
      </w:pPr>
      <w:rPr>
        <w:b/>
        <w:bCs/>
      </w:rPr>
      <w:tblPr/>
      <w:tcPr>
        <w:tcBorders>
          <w:top w:val="double" w:sz="6" w:space="0" w:color="FFD341" w:themeColor="accent5" w:themeTint="BF"/>
          <w:left w:val="single" w:sz="8" w:space="0" w:color="FFD341" w:themeColor="accent5" w:themeTint="BF"/>
          <w:bottom w:val="single" w:sz="8" w:space="0" w:color="FFD341" w:themeColor="accent5" w:themeTint="BF"/>
          <w:right w:val="single" w:sz="8" w:space="0" w:color="FFD34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0C0" w:themeFill="accent5" w:themeFillTint="3F"/>
      </w:tcPr>
    </w:tblStylePr>
    <w:tblStylePr w:type="band1Horz">
      <w:tblPr/>
      <w:tcPr>
        <w:tcBorders>
          <w:insideH w:val="nil"/>
          <w:insideV w:val="nil"/>
        </w:tcBorders>
        <w:shd w:val="clear" w:color="auto" w:fill="FFF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C09300" w:themeColor="accent5" w:themeShade="BF"/>
    </w:rPr>
    <w:tblPr>
      <w:tblStyleRowBandSize w:val="1"/>
      <w:tblStyleColBandSize w:val="1"/>
      <w:tblBorders>
        <w:top w:val="single" w:sz="8" w:space="0" w:color="FFC502" w:themeColor="accent5"/>
        <w:bottom w:val="single" w:sz="8" w:space="0" w:color="FFC502" w:themeColor="accent5"/>
      </w:tblBorders>
    </w:tblPr>
    <w:tblStylePr w:type="fir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lastRow">
      <w:pPr>
        <w:spacing w:before="0" w:after="0" w:line="240" w:lineRule="auto"/>
      </w:pPr>
      <w:rPr>
        <w:b/>
        <w:bCs/>
      </w:rPr>
      <w:tblPr/>
      <w:tcPr>
        <w:tcBorders>
          <w:top w:val="single" w:sz="8" w:space="0" w:color="FFC502" w:themeColor="accent5"/>
          <w:left w:val="nil"/>
          <w:bottom w:val="single" w:sz="8" w:space="0" w:color="FFC5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0" w:themeFill="accent5" w:themeFillTint="3F"/>
      </w:tcPr>
    </w:tblStylePr>
    <w:tblStylePr w:type="band1Horz">
      <w:tblPr/>
      <w:tcPr>
        <w:tcBorders>
          <w:left w:val="nil"/>
          <w:right w:val="nil"/>
          <w:insideH w:val="nil"/>
          <w:insideV w:val="nil"/>
        </w:tcBorders>
        <w:shd w:val="clear" w:color="auto" w:fill="FFF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insideH w:val="single" w:sz="8" w:space="0" w:color="362F52" w:themeColor="accent3"/>
        <w:insideV w:val="single" w:sz="8" w:space="0" w:color="362F5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18" w:space="0" w:color="362F52" w:themeColor="accent3"/>
          <w:right w:val="single" w:sz="8" w:space="0" w:color="362F52" w:themeColor="accent3"/>
          <w:insideH w:val="nil"/>
          <w:insideV w:val="single" w:sz="8" w:space="0" w:color="362F5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insideH w:val="nil"/>
          <w:insideV w:val="single" w:sz="8" w:space="0" w:color="362F5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shd w:val="clear" w:color="auto" w:fill="C8C3DC" w:themeFill="accent3" w:themeFillTint="3F"/>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shd w:val="clear" w:color="auto" w:fill="C8C3DC" w:themeFill="accent3" w:themeFillTint="3F"/>
      </w:tcPr>
    </w:tblStylePr>
    <w:tblStylePr w:type="band2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insideV w:val="single" w:sz="8" w:space="0" w:color="362F52"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A323D9"/>
    <w:pPr>
      <w:spacing w:before="720" w:after="120"/>
      <w:contextualSpacing/>
    </w:pPr>
    <w:rPr>
      <w:rFonts w:ascii="Palatino Linotype" w:eastAsiaTheme="majorEastAsia" w:hAnsi="Palatino Linotype" w:cstheme="majorBidi"/>
      <w:color w:val="410099" w:themeColor="accent1"/>
      <w:spacing w:val="5"/>
      <w:kern w:val="28"/>
      <w:sz w:val="72"/>
      <w:szCs w:val="52"/>
    </w:rPr>
  </w:style>
  <w:style w:type="character" w:customStyle="1" w:styleId="TitleChar">
    <w:name w:val="Title Char"/>
    <w:basedOn w:val="DefaultParagraphFont"/>
    <w:link w:val="Title"/>
    <w:uiPriority w:val="10"/>
    <w:rsid w:val="00A323D9"/>
    <w:rPr>
      <w:rFonts w:ascii="Palatino Linotype" w:eastAsiaTheme="majorEastAsia" w:hAnsi="Palatino Linotype" w:cstheme="majorBidi"/>
      <w:color w:val="410099" w:themeColor="accent1"/>
      <w:spacing w:val="5"/>
      <w:kern w:val="28"/>
      <w:sz w:val="72"/>
      <w:szCs w:val="52"/>
    </w:rPr>
  </w:style>
  <w:style w:type="paragraph" w:customStyle="1" w:styleId="CoverDate">
    <w:name w:val="Cover Date"/>
    <w:rsid w:val="00E27642"/>
    <w:rPr>
      <w:rFonts w:ascii="Palatino Linotype" w:hAnsi="Palatino Linotype"/>
      <w:color w:val="362F52" w:themeColor="accent3"/>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tblBorders>
    </w:tblPr>
    <w:tblStylePr w:type="firstRow">
      <w:pPr>
        <w:spacing w:before="0" w:after="0" w:line="240" w:lineRule="auto"/>
      </w:pPr>
      <w:rPr>
        <w:b/>
        <w:bCs/>
        <w:color w:val="FFFFFF" w:themeColor="background1"/>
      </w:rPr>
      <w:tblPr/>
      <w:tcPr>
        <w:shd w:val="clear" w:color="auto" w:fill="410099" w:themeFill="accent1"/>
      </w:tcPr>
    </w:tblStylePr>
    <w:tblStylePr w:type="lastRow">
      <w:pPr>
        <w:spacing w:before="0" w:after="0" w:line="240" w:lineRule="auto"/>
      </w:pPr>
      <w:rPr>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tcBorders>
      </w:tcPr>
    </w:tblStylePr>
    <w:tblStylePr w:type="firstCol">
      <w:rPr>
        <w:b/>
        <w:bCs/>
      </w:rPr>
    </w:tblStylePr>
    <w:tblStylePr w:type="lastCol">
      <w:rPr>
        <w:b/>
        <w:bCs/>
      </w:r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362F52" w:themeColor="accent3"/>
        <w:left w:val="single" w:sz="8" w:space="0" w:color="362F52" w:themeColor="accent3"/>
        <w:bottom w:val="single" w:sz="8" w:space="0" w:color="362F52" w:themeColor="accent3"/>
        <w:right w:val="single" w:sz="8" w:space="0" w:color="362F52" w:themeColor="accent3"/>
      </w:tblBorders>
    </w:tblPr>
    <w:tblStylePr w:type="firstRow">
      <w:pPr>
        <w:spacing w:before="0" w:after="0" w:line="240" w:lineRule="auto"/>
      </w:pPr>
      <w:rPr>
        <w:b/>
        <w:bCs/>
        <w:color w:val="FFFFFF" w:themeColor="background1"/>
      </w:rPr>
      <w:tblPr/>
      <w:tcPr>
        <w:shd w:val="clear" w:color="auto" w:fill="362F52" w:themeFill="accent3"/>
      </w:tcPr>
    </w:tblStylePr>
    <w:tblStylePr w:type="lastRow">
      <w:pPr>
        <w:spacing w:before="0" w:after="0" w:line="240" w:lineRule="auto"/>
      </w:pPr>
      <w:rPr>
        <w:b/>
        <w:bCs/>
      </w:rPr>
      <w:tblPr/>
      <w:tcPr>
        <w:tcBorders>
          <w:top w:val="double" w:sz="6" w:space="0" w:color="362F52" w:themeColor="accent3"/>
          <w:left w:val="single" w:sz="8" w:space="0" w:color="362F52" w:themeColor="accent3"/>
          <w:bottom w:val="single" w:sz="8" w:space="0" w:color="362F52" w:themeColor="accent3"/>
          <w:right w:val="single" w:sz="8" w:space="0" w:color="362F52" w:themeColor="accent3"/>
        </w:tcBorders>
      </w:tcPr>
    </w:tblStylePr>
    <w:tblStylePr w:type="firstCol">
      <w:rPr>
        <w:b/>
        <w:bCs/>
      </w:rPr>
    </w:tblStylePr>
    <w:tblStylePr w:type="lastCol">
      <w:rPr>
        <w:b/>
        <w:bCs/>
      </w:rPr>
    </w:tblStylePr>
    <w:tblStylePr w:type="band1Vert">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tblStylePr w:type="band1Horz">
      <w:tblPr/>
      <w:tcPr>
        <w:tcBorders>
          <w:top w:val="single" w:sz="8" w:space="0" w:color="362F52" w:themeColor="accent3"/>
          <w:left w:val="single" w:sz="8" w:space="0" w:color="362F52" w:themeColor="accent3"/>
          <w:bottom w:val="single" w:sz="8" w:space="0" w:color="362F52" w:themeColor="accent3"/>
          <w:right w:val="single" w:sz="8" w:space="0" w:color="362F52"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tblBorders>
    </w:tblPr>
    <w:tblStylePr w:type="firstRow">
      <w:pPr>
        <w:spacing w:before="0" w:after="0" w:line="240" w:lineRule="auto"/>
      </w:pPr>
      <w:rPr>
        <w:b/>
        <w:bCs/>
        <w:color w:val="auto"/>
      </w:rPr>
      <w:tblPr/>
      <w:tcPr>
        <w:shd w:val="clear" w:color="auto" w:fill="FFC502" w:themeFill="accent5"/>
      </w:tcPr>
    </w:tblStylePr>
    <w:tblStylePr w:type="lastRow">
      <w:pPr>
        <w:spacing w:before="0" w:after="0" w:line="240" w:lineRule="auto"/>
      </w:pPr>
      <w:rPr>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tcBorders>
      </w:tcPr>
    </w:tblStylePr>
    <w:tblStylePr w:type="firstCol">
      <w:rPr>
        <w:b/>
        <w:bCs/>
      </w:rPr>
    </w:tblStylePr>
    <w:tblStylePr w:type="lastCol">
      <w:rPr>
        <w:b/>
        <w:bCs/>
      </w:r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E27642"/>
    <w:pPr>
      <w:spacing w:before="360" w:after="120"/>
    </w:pPr>
    <w:rPr>
      <w:rFonts w:ascii="Palatino Linotype" w:hAnsi="Palatino Linotype"/>
      <w:color w:val="410099" w:themeColor="accent1"/>
      <w:sz w:val="52"/>
      <w:szCs w:val="52"/>
    </w:rPr>
  </w:style>
  <w:style w:type="character" w:customStyle="1" w:styleId="SubtitleChar">
    <w:name w:val="Subtitle Char"/>
    <w:basedOn w:val="DefaultParagraphFont"/>
    <w:link w:val="Subtitle"/>
    <w:uiPriority w:val="11"/>
    <w:rsid w:val="00E27642"/>
    <w:rPr>
      <w:rFonts w:ascii="Palatino Linotype" w:hAnsi="Palatino Linotype"/>
      <w:color w:val="410099" w:themeColor="accent1"/>
      <w:sz w:val="52"/>
      <w:szCs w:val="52"/>
    </w:rPr>
  </w:style>
  <w:style w:type="table" w:styleId="LightShading-Accent4">
    <w:name w:val="Light Shading Accent 4"/>
    <w:basedOn w:val="TableNormal"/>
    <w:uiPriority w:val="60"/>
    <w:rsid w:val="00746E01"/>
    <w:pPr>
      <w:spacing w:before="0"/>
    </w:pPr>
    <w:rPr>
      <w:color w:val="284AFF" w:themeColor="accent4" w:themeShade="BF"/>
    </w:rPr>
    <w:tblPr>
      <w:tblStyleRowBandSize w:val="1"/>
      <w:tblStyleColBandSize w:val="1"/>
      <w:tblBorders>
        <w:top w:val="single" w:sz="8" w:space="0" w:color="8B9EFF" w:themeColor="accent4"/>
        <w:bottom w:val="single" w:sz="8" w:space="0" w:color="8B9EFF" w:themeColor="accent4"/>
      </w:tblBorders>
    </w:tblPr>
    <w:tblStylePr w:type="fir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lastRow">
      <w:pPr>
        <w:spacing w:before="0" w:after="0" w:line="240" w:lineRule="auto"/>
      </w:pPr>
      <w:rPr>
        <w:b/>
        <w:bCs/>
      </w:rPr>
      <w:tblPr/>
      <w:tcPr>
        <w:tcBorders>
          <w:top w:val="single" w:sz="8" w:space="0" w:color="8B9EFF" w:themeColor="accent4"/>
          <w:left w:val="nil"/>
          <w:bottom w:val="single" w:sz="8" w:space="0" w:color="8B9E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6FF" w:themeFill="accent4" w:themeFillTint="3F"/>
      </w:tcPr>
    </w:tblStylePr>
    <w:tblStylePr w:type="band1Horz">
      <w:tblPr/>
      <w:tcPr>
        <w:tcBorders>
          <w:left w:val="nil"/>
          <w:right w:val="nil"/>
          <w:insideH w:val="nil"/>
          <w:insideV w:val="nil"/>
        </w:tcBorders>
        <w:shd w:val="clear" w:color="auto" w:fill="E2E6FF" w:themeFill="accent4" w:themeFillTint="3F"/>
      </w:tcPr>
    </w:tblStylePr>
  </w:style>
  <w:style w:type="table" w:styleId="LightShading-Accent6">
    <w:name w:val="Light Shading Accent 6"/>
    <w:basedOn w:val="TableNormal"/>
    <w:uiPriority w:val="60"/>
    <w:rsid w:val="00746E01"/>
    <w:pPr>
      <w:spacing w:before="0"/>
    </w:pPr>
    <w:rPr>
      <w:color w:val="BF5800" w:themeColor="accent6" w:themeShade="BF"/>
    </w:rPr>
    <w:tblPr>
      <w:tblStyleRowBandSize w:val="1"/>
      <w:tblStyleColBandSize w:val="1"/>
      <w:tblBorders>
        <w:top w:val="single" w:sz="8" w:space="0" w:color="FF7600" w:themeColor="accent6"/>
        <w:bottom w:val="single" w:sz="8" w:space="0" w:color="FF7600" w:themeColor="accent6"/>
      </w:tblBorders>
    </w:tblPr>
    <w:tblStylePr w:type="fir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lastRow">
      <w:pPr>
        <w:spacing w:before="0" w:after="0" w:line="240" w:lineRule="auto"/>
      </w:pPr>
      <w:rPr>
        <w:b/>
        <w:bCs/>
      </w:rPr>
      <w:tblPr/>
      <w:tcPr>
        <w:tcBorders>
          <w:top w:val="single" w:sz="8" w:space="0" w:color="FF7600" w:themeColor="accent6"/>
          <w:left w:val="nil"/>
          <w:bottom w:val="single" w:sz="8" w:space="0" w:color="FF76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tblBorders>
    </w:tblPr>
    <w:tblStylePr w:type="firstRow">
      <w:pPr>
        <w:spacing w:before="0" w:after="0" w:line="240" w:lineRule="auto"/>
      </w:pPr>
      <w:rPr>
        <w:b/>
        <w:bCs/>
        <w:color w:val="FFFFFF" w:themeColor="background1"/>
      </w:rPr>
      <w:tblPr/>
      <w:tcPr>
        <w:shd w:val="clear" w:color="auto" w:fill="1CCFC9" w:themeFill="accent2"/>
      </w:tcPr>
    </w:tblStylePr>
    <w:tblStylePr w:type="lastRow">
      <w:pPr>
        <w:spacing w:before="0" w:after="0" w:line="240" w:lineRule="auto"/>
      </w:pPr>
      <w:rPr>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tcBorders>
      </w:tcPr>
    </w:tblStylePr>
    <w:tblStylePr w:type="firstCol">
      <w:rPr>
        <w:b/>
        <w:bCs/>
      </w:rPr>
    </w:tblStylePr>
    <w:tblStylePr w:type="lastCol">
      <w:rPr>
        <w:b/>
        <w:bCs/>
      </w:r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tblBorders>
    </w:tblPr>
    <w:tblStylePr w:type="firstRow">
      <w:pPr>
        <w:spacing w:before="0" w:after="0" w:line="240" w:lineRule="auto"/>
      </w:pPr>
      <w:rPr>
        <w:b/>
        <w:bCs/>
        <w:color w:val="FFFFFF" w:themeColor="background1"/>
      </w:rPr>
      <w:tblPr/>
      <w:tcPr>
        <w:shd w:val="clear" w:color="auto" w:fill="8B9EFF" w:themeFill="accent4"/>
      </w:tcPr>
    </w:tblStylePr>
    <w:tblStylePr w:type="lastRow">
      <w:pPr>
        <w:spacing w:before="0" w:after="0" w:line="240" w:lineRule="auto"/>
      </w:pPr>
      <w:rPr>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tcBorders>
      </w:tcPr>
    </w:tblStylePr>
    <w:tblStylePr w:type="firstCol">
      <w:rPr>
        <w:b/>
        <w:bCs/>
      </w:rPr>
    </w:tblStylePr>
    <w:tblStylePr w:type="lastCol">
      <w:rPr>
        <w:b/>
        <w:bCs/>
      </w:r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FF7600" w:themeColor="accent6"/>
        <w:left w:val="single" w:sz="8" w:space="0" w:color="FF7600" w:themeColor="accent6"/>
        <w:bottom w:val="single" w:sz="8" w:space="0" w:color="FF7600" w:themeColor="accent6"/>
        <w:right w:val="single" w:sz="8" w:space="0" w:color="FF7600" w:themeColor="accent6"/>
      </w:tblBorders>
    </w:tblPr>
    <w:tblStylePr w:type="firstRow">
      <w:pPr>
        <w:spacing w:before="0" w:after="0" w:line="240" w:lineRule="auto"/>
      </w:pPr>
      <w:rPr>
        <w:b/>
        <w:bCs/>
        <w:color w:val="FFFFFF" w:themeColor="background1"/>
      </w:rPr>
      <w:tblPr/>
      <w:tcPr>
        <w:shd w:val="clear" w:color="auto" w:fill="FF7600" w:themeFill="accent6"/>
      </w:tcPr>
    </w:tblStylePr>
    <w:tblStylePr w:type="lastRow">
      <w:pPr>
        <w:spacing w:before="0" w:after="0" w:line="240" w:lineRule="auto"/>
      </w:pPr>
      <w:rPr>
        <w:b/>
        <w:bCs/>
      </w:rPr>
      <w:tblPr/>
      <w:tcPr>
        <w:tcBorders>
          <w:top w:val="double" w:sz="6" w:space="0" w:color="FF7600" w:themeColor="accent6"/>
          <w:left w:val="single" w:sz="8" w:space="0" w:color="FF7600" w:themeColor="accent6"/>
          <w:bottom w:val="single" w:sz="8" w:space="0" w:color="FF7600" w:themeColor="accent6"/>
          <w:right w:val="single" w:sz="8" w:space="0" w:color="FF7600" w:themeColor="accent6"/>
        </w:tcBorders>
      </w:tcPr>
    </w:tblStylePr>
    <w:tblStylePr w:type="firstCol">
      <w:rPr>
        <w:b/>
        <w:bCs/>
      </w:rPr>
    </w:tblStylePr>
    <w:tblStylePr w:type="lastCol">
      <w:rPr>
        <w:b/>
        <w:bCs/>
      </w:rPr>
    </w:tblStylePr>
    <w:tblStylePr w:type="band1Vert">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tblStylePr w:type="band1Horz">
      <w:tblPr/>
      <w:tcPr>
        <w:tcBorders>
          <w:top w:val="single" w:sz="8" w:space="0" w:color="FF7600" w:themeColor="accent6"/>
          <w:left w:val="single" w:sz="8" w:space="0" w:color="FF7600" w:themeColor="accent6"/>
          <w:bottom w:val="single" w:sz="8" w:space="0" w:color="FF7600" w:themeColor="accent6"/>
          <w:right w:val="single" w:sz="8" w:space="0" w:color="FF7600"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410099" w:themeColor="accent1"/>
        <w:left w:val="single" w:sz="8" w:space="0" w:color="410099" w:themeColor="accent1"/>
        <w:bottom w:val="single" w:sz="8" w:space="0" w:color="410099" w:themeColor="accent1"/>
        <w:right w:val="single" w:sz="8" w:space="0" w:color="410099" w:themeColor="accent1"/>
        <w:insideH w:val="single" w:sz="8" w:space="0" w:color="410099" w:themeColor="accent1"/>
        <w:insideV w:val="single" w:sz="8" w:space="0" w:color="4100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18" w:space="0" w:color="410099" w:themeColor="accent1"/>
          <w:right w:val="single" w:sz="8" w:space="0" w:color="410099" w:themeColor="accent1"/>
          <w:insideH w:val="nil"/>
          <w:insideV w:val="single" w:sz="8" w:space="0" w:color="4100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0099" w:themeColor="accent1"/>
          <w:left w:val="single" w:sz="8" w:space="0" w:color="410099" w:themeColor="accent1"/>
          <w:bottom w:val="single" w:sz="8" w:space="0" w:color="410099" w:themeColor="accent1"/>
          <w:right w:val="single" w:sz="8" w:space="0" w:color="410099" w:themeColor="accent1"/>
          <w:insideH w:val="nil"/>
          <w:insideV w:val="single" w:sz="8" w:space="0" w:color="4100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tcPr>
    </w:tblStylePr>
    <w:tblStylePr w:type="band1Vert">
      <w:tblPr/>
      <w:tcPr>
        <w:tcBorders>
          <w:top w:val="single" w:sz="8" w:space="0" w:color="410099" w:themeColor="accent1"/>
          <w:left w:val="single" w:sz="8" w:space="0" w:color="410099" w:themeColor="accent1"/>
          <w:bottom w:val="single" w:sz="8" w:space="0" w:color="410099" w:themeColor="accent1"/>
          <w:right w:val="single" w:sz="8" w:space="0" w:color="410099" w:themeColor="accent1"/>
        </w:tcBorders>
        <w:shd w:val="clear" w:color="auto" w:fill="CCA6FF" w:themeFill="accent1" w:themeFillTint="3F"/>
      </w:tcPr>
    </w:tblStylePr>
    <w:tblStylePr w:type="band1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shd w:val="clear" w:color="auto" w:fill="CCA6FF" w:themeFill="accent1" w:themeFillTint="3F"/>
      </w:tcPr>
    </w:tblStylePr>
    <w:tblStylePr w:type="band2Horz">
      <w:tblPr/>
      <w:tcPr>
        <w:tcBorders>
          <w:top w:val="single" w:sz="8" w:space="0" w:color="410099" w:themeColor="accent1"/>
          <w:left w:val="single" w:sz="8" w:space="0" w:color="410099" w:themeColor="accent1"/>
          <w:bottom w:val="single" w:sz="8" w:space="0" w:color="410099" w:themeColor="accent1"/>
          <w:right w:val="single" w:sz="8" w:space="0" w:color="410099" w:themeColor="accent1"/>
          <w:insideV w:val="single" w:sz="8" w:space="0" w:color="410099"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1CCFC9" w:themeColor="accent2"/>
        <w:left w:val="single" w:sz="8" w:space="0" w:color="1CCFC9" w:themeColor="accent2"/>
        <w:bottom w:val="single" w:sz="8" w:space="0" w:color="1CCFC9" w:themeColor="accent2"/>
        <w:right w:val="single" w:sz="8" w:space="0" w:color="1CCFC9" w:themeColor="accent2"/>
        <w:insideH w:val="single" w:sz="8" w:space="0" w:color="1CCFC9" w:themeColor="accent2"/>
        <w:insideV w:val="single" w:sz="8" w:space="0" w:color="1CCFC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18" w:space="0" w:color="1CCFC9" w:themeColor="accent2"/>
          <w:right w:val="single" w:sz="8" w:space="0" w:color="1CCFC9" w:themeColor="accent2"/>
          <w:insideH w:val="nil"/>
          <w:insideV w:val="single" w:sz="8" w:space="0" w:color="1CCFC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CFC9" w:themeColor="accent2"/>
          <w:left w:val="single" w:sz="8" w:space="0" w:color="1CCFC9" w:themeColor="accent2"/>
          <w:bottom w:val="single" w:sz="8" w:space="0" w:color="1CCFC9" w:themeColor="accent2"/>
          <w:right w:val="single" w:sz="8" w:space="0" w:color="1CCFC9" w:themeColor="accent2"/>
          <w:insideH w:val="nil"/>
          <w:insideV w:val="single" w:sz="8" w:space="0" w:color="1CCFC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tcPr>
    </w:tblStylePr>
    <w:tblStylePr w:type="band1Vert">
      <w:tblPr/>
      <w:tcPr>
        <w:tcBorders>
          <w:top w:val="single" w:sz="8" w:space="0" w:color="1CCFC9" w:themeColor="accent2"/>
          <w:left w:val="single" w:sz="8" w:space="0" w:color="1CCFC9" w:themeColor="accent2"/>
          <w:bottom w:val="single" w:sz="8" w:space="0" w:color="1CCFC9" w:themeColor="accent2"/>
          <w:right w:val="single" w:sz="8" w:space="0" w:color="1CCFC9" w:themeColor="accent2"/>
        </w:tcBorders>
        <w:shd w:val="clear" w:color="auto" w:fill="C3F7F5" w:themeFill="accent2" w:themeFillTint="3F"/>
      </w:tcPr>
    </w:tblStylePr>
    <w:tblStylePr w:type="band1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shd w:val="clear" w:color="auto" w:fill="C3F7F5" w:themeFill="accent2" w:themeFillTint="3F"/>
      </w:tcPr>
    </w:tblStylePr>
    <w:tblStylePr w:type="band2Horz">
      <w:tblPr/>
      <w:tcPr>
        <w:tcBorders>
          <w:top w:val="single" w:sz="8" w:space="0" w:color="1CCFC9" w:themeColor="accent2"/>
          <w:left w:val="single" w:sz="8" w:space="0" w:color="1CCFC9" w:themeColor="accent2"/>
          <w:bottom w:val="single" w:sz="8" w:space="0" w:color="1CCFC9" w:themeColor="accent2"/>
          <w:right w:val="single" w:sz="8" w:space="0" w:color="1CCFC9" w:themeColor="accent2"/>
          <w:insideV w:val="single" w:sz="8" w:space="0" w:color="1CCFC9"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8B9EFF" w:themeColor="accent4"/>
        <w:left w:val="single" w:sz="8" w:space="0" w:color="8B9EFF" w:themeColor="accent4"/>
        <w:bottom w:val="single" w:sz="8" w:space="0" w:color="8B9EFF" w:themeColor="accent4"/>
        <w:right w:val="single" w:sz="8" w:space="0" w:color="8B9EFF" w:themeColor="accent4"/>
        <w:insideH w:val="single" w:sz="8" w:space="0" w:color="8B9EFF" w:themeColor="accent4"/>
        <w:insideV w:val="single" w:sz="8" w:space="0" w:color="8B9E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18" w:space="0" w:color="8B9EFF" w:themeColor="accent4"/>
          <w:right w:val="single" w:sz="8" w:space="0" w:color="8B9EFF" w:themeColor="accent4"/>
          <w:insideH w:val="nil"/>
          <w:insideV w:val="single" w:sz="8" w:space="0" w:color="8B9E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9EFF" w:themeColor="accent4"/>
          <w:left w:val="single" w:sz="8" w:space="0" w:color="8B9EFF" w:themeColor="accent4"/>
          <w:bottom w:val="single" w:sz="8" w:space="0" w:color="8B9EFF" w:themeColor="accent4"/>
          <w:right w:val="single" w:sz="8" w:space="0" w:color="8B9EFF" w:themeColor="accent4"/>
          <w:insideH w:val="nil"/>
          <w:insideV w:val="single" w:sz="8" w:space="0" w:color="8B9E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tcPr>
    </w:tblStylePr>
    <w:tblStylePr w:type="band1Vert">
      <w:tblPr/>
      <w:tcPr>
        <w:tcBorders>
          <w:top w:val="single" w:sz="8" w:space="0" w:color="8B9EFF" w:themeColor="accent4"/>
          <w:left w:val="single" w:sz="8" w:space="0" w:color="8B9EFF" w:themeColor="accent4"/>
          <w:bottom w:val="single" w:sz="8" w:space="0" w:color="8B9EFF" w:themeColor="accent4"/>
          <w:right w:val="single" w:sz="8" w:space="0" w:color="8B9EFF" w:themeColor="accent4"/>
        </w:tcBorders>
        <w:shd w:val="clear" w:color="auto" w:fill="E2E6FF" w:themeFill="accent4" w:themeFillTint="3F"/>
      </w:tcPr>
    </w:tblStylePr>
    <w:tblStylePr w:type="band1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shd w:val="clear" w:color="auto" w:fill="E2E6FF" w:themeFill="accent4" w:themeFillTint="3F"/>
      </w:tcPr>
    </w:tblStylePr>
    <w:tblStylePr w:type="band2Horz">
      <w:tblPr/>
      <w:tcPr>
        <w:tcBorders>
          <w:top w:val="single" w:sz="8" w:space="0" w:color="8B9EFF" w:themeColor="accent4"/>
          <w:left w:val="single" w:sz="8" w:space="0" w:color="8B9EFF" w:themeColor="accent4"/>
          <w:bottom w:val="single" w:sz="8" w:space="0" w:color="8B9EFF" w:themeColor="accent4"/>
          <w:right w:val="single" w:sz="8" w:space="0" w:color="8B9EFF" w:themeColor="accent4"/>
          <w:insideV w:val="single" w:sz="8" w:space="0" w:color="8B9EFF"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FFC502" w:themeColor="accent5"/>
        <w:left w:val="single" w:sz="8" w:space="0" w:color="FFC502" w:themeColor="accent5"/>
        <w:bottom w:val="single" w:sz="8" w:space="0" w:color="FFC502" w:themeColor="accent5"/>
        <w:right w:val="single" w:sz="8" w:space="0" w:color="FFC502" w:themeColor="accent5"/>
        <w:insideH w:val="single" w:sz="8" w:space="0" w:color="FFC502" w:themeColor="accent5"/>
        <w:insideV w:val="single" w:sz="8" w:space="0" w:color="FFC5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18" w:space="0" w:color="FFC502" w:themeColor="accent5"/>
          <w:right w:val="single" w:sz="8" w:space="0" w:color="FFC502" w:themeColor="accent5"/>
          <w:insideH w:val="nil"/>
          <w:insideV w:val="single" w:sz="8" w:space="0" w:color="FFC5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502" w:themeColor="accent5"/>
          <w:left w:val="single" w:sz="8" w:space="0" w:color="FFC502" w:themeColor="accent5"/>
          <w:bottom w:val="single" w:sz="8" w:space="0" w:color="FFC502" w:themeColor="accent5"/>
          <w:right w:val="single" w:sz="8" w:space="0" w:color="FFC502" w:themeColor="accent5"/>
          <w:insideH w:val="nil"/>
          <w:insideV w:val="single" w:sz="8" w:space="0" w:color="FFC5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tcPr>
    </w:tblStylePr>
    <w:tblStylePr w:type="band1Vert">
      <w:tblPr/>
      <w:tcPr>
        <w:tcBorders>
          <w:top w:val="single" w:sz="8" w:space="0" w:color="FFC502" w:themeColor="accent5"/>
          <w:left w:val="single" w:sz="8" w:space="0" w:color="FFC502" w:themeColor="accent5"/>
          <w:bottom w:val="single" w:sz="8" w:space="0" w:color="FFC502" w:themeColor="accent5"/>
          <w:right w:val="single" w:sz="8" w:space="0" w:color="FFC502" w:themeColor="accent5"/>
        </w:tcBorders>
        <w:shd w:val="clear" w:color="auto" w:fill="FFF0C0" w:themeFill="accent5" w:themeFillTint="3F"/>
      </w:tcPr>
    </w:tblStylePr>
    <w:tblStylePr w:type="band1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shd w:val="clear" w:color="auto" w:fill="FFF0C0" w:themeFill="accent5" w:themeFillTint="3F"/>
      </w:tcPr>
    </w:tblStylePr>
    <w:tblStylePr w:type="band2Horz">
      <w:tblPr/>
      <w:tcPr>
        <w:tcBorders>
          <w:top w:val="single" w:sz="8" w:space="0" w:color="FFC502" w:themeColor="accent5"/>
          <w:left w:val="single" w:sz="8" w:space="0" w:color="FFC502" w:themeColor="accent5"/>
          <w:bottom w:val="single" w:sz="8" w:space="0" w:color="FFC502" w:themeColor="accent5"/>
          <w:right w:val="single" w:sz="8" w:space="0" w:color="FFC502" w:themeColor="accent5"/>
          <w:insideV w:val="single" w:sz="8" w:space="0" w:color="FFC5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E27642"/>
    <w:rPr>
      <w:smallCaps/>
      <w:color w:val="410099" w:themeColor="accent1"/>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styleId="GridTable1Light">
    <w:name w:val="Grid Table 1 Light"/>
    <w:basedOn w:val="TableNormal"/>
    <w:uiPriority w:val="46"/>
    <w:rsid w:val="00C26CB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A161DE"/>
    <w:pPr>
      <w:spacing w:before="0"/>
    </w:pPr>
    <w:rPr>
      <w:rFonts w:ascii="Arial" w:hAnsi="Arial"/>
    </w:rPr>
  </w:style>
  <w:style w:type="character" w:styleId="CommentReference">
    <w:name w:val="annotation reference"/>
    <w:basedOn w:val="DefaultParagraphFont"/>
    <w:uiPriority w:val="99"/>
    <w:semiHidden/>
    <w:unhideWhenUsed/>
    <w:rsid w:val="002F2F17"/>
    <w:rPr>
      <w:sz w:val="16"/>
      <w:szCs w:val="16"/>
    </w:rPr>
  </w:style>
  <w:style w:type="paragraph" w:styleId="CommentText">
    <w:name w:val="annotation text"/>
    <w:basedOn w:val="Normal"/>
    <w:link w:val="CommentTextChar"/>
    <w:uiPriority w:val="99"/>
    <w:unhideWhenUsed/>
    <w:rsid w:val="002F2F17"/>
    <w:rPr>
      <w:sz w:val="20"/>
      <w:szCs w:val="20"/>
    </w:rPr>
  </w:style>
  <w:style w:type="character" w:customStyle="1" w:styleId="CommentTextChar">
    <w:name w:val="Comment Text Char"/>
    <w:basedOn w:val="DefaultParagraphFont"/>
    <w:link w:val="CommentText"/>
    <w:uiPriority w:val="99"/>
    <w:rsid w:val="002F2F1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2F17"/>
    <w:rPr>
      <w:b/>
      <w:bCs/>
    </w:rPr>
  </w:style>
  <w:style w:type="character" w:customStyle="1" w:styleId="CommentSubjectChar">
    <w:name w:val="Comment Subject Char"/>
    <w:basedOn w:val="CommentTextChar"/>
    <w:link w:val="CommentSubject"/>
    <w:uiPriority w:val="99"/>
    <w:semiHidden/>
    <w:rsid w:val="002F2F17"/>
    <w:rPr>
      <w:rFonts w:ascii="Arial" w:hAnsi="Arial"/>
      <w:b/>
      <w:bCs/>
      <w:sz w:val="20"/>
      <w:szCs w:val="20"/>
    </w:rPr>
  </w:style>
  <w:style w:type="character" w:styleId="UnresolvedMention">
    <w:name w:val="Unresolved Mention"/>
    <w:basedOn w:val="DefaultParagraphFont"/>
    <w:uiPriority w:val="99"/>
    <w:semiHidden/>
    <w:unhideWhenUsed/>
    <w:rsid w:val="00854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732761">
      <w:bodyDiv w:val="1"/>
      <w:marLeft w:val="0"/>
      <w:marRight w:val="0"/>
      <w:marTop w:val="0"/>
      <w:marBottom w:val="0"/>
      <w:divBdr>
        <w:top w:val="none" w:sz="0" w:space="0" w:color="auto"/>
        <w:left w:val="none" w:sz="0" w:space="0" w:color="auto"/>
        <w:bottom w:val="none" w:sz="0" w:space="0" w:color="auto"/>
        <w:right w:val="none" w:sz="0" w:space="0" w:color="auto"/>
      </w:divBdr>
    </w:div>
    <w:div w:id="537741261">
      <w:bodyDiv w:val="1"/>
      <w:marLeft w:val="0"/>
      <w:marRight w:val="0"/>
      <w:marTop w:val="0"/>
      <w:marBottom w:val="0"/>
      <w:divBdr>
        <w:top w:val="none" w:sz="0" w:space="0" w:color="auto"/>
        <w:left w:val="none" w:sz="0" w:space="0" w:color="auto"/>
        <w:bottom w:val="none" w:sz="0" w:space="0" w:color="auto"/>
        <w:right w:val="none" w:sz="0" w:space="0" w:color="auto"/>
      </w:divBdr>
      <w:divsChild>
        <w:div w:id="1039935667">
          <w:marLeft w:val="0"/>
          <w:marRight w:val="0"/>
          <w:marTop w:val="0"/>
          <w:marBottom w:val="0"/>
          <w:divBdr>
            <w:top w:val="none" w:sz="0" w:space="0" w:color="auto"/>
            <w:left w:val="none" w:sz="0" w:space="0" w:color="auto"/>
            <w:bottom w:val="none" w:sz="0" w:space="0" w:color="auto"/>
            <w:right w:val="none" w:sz="0" w:space="0" w:color="auto"/>
          </w:divBdr>
          <w:divsChild>
            <w:div w:id="1168769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1493242">
      <w:bodyDiv w:val="1"/>
      <w:marLeft w:val="0"/>
      <w:marRight w:val="0"/>
      <w:marTop w:val="0"/>
      <w:marBottom w:val="0"/>
      <w:divBdr>
        <w:top w:val="none" w:sz="0" w:space="0" w:color="auto"/>
        <w:left w:val="none" w:sz="0" w:space="0" w:color="auto"/>
        <w:bottom w:val="none" w:sz="0" w:space="0" w:color="auto"/>
        <w:right w:val="none" w:sz="0" w:space="0" w:color="auto"/>
      </w:divBdr>
      <w:divsChild>
        <w:div w:id="140075010">
          <w:marLeft w:val="0"/>
          <w:marRight w:val="0"/>
          <w:marTop w:val="0"/>
          <w:marBottom w:val="0"/>
          <w:divBdr>
            <w:top w:val="none" w:sz="0" w:space="0" w:color="auto"/>
            <w:left w:val="none" w:sz="0" w:space="0" w:color="auto"/>
            <w:bottom w:val="none" w:sz="0" w:space="0" w:color="auto"/>
            <w:right w:val="none" w:sz="0" w:space="0" w:color="auto"/>
          </w:divBdr>
          <w:divsChild>
            <w:div w:id="14215669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15522775">
      <w:bodyDiv w:val="1"/>
      <w:marLeft w:val="0"/>
      <w:marRight w:val="0"/>
      <w:marTop w:val="0"/>
      <w:marBottom w:val="0"/>
      <w:divBdr>
        <w:top w:val="none" w:sz="0" w:space="0" w:color="auto"/>
        <w:left w:val="none" w:sz="0" w:space="0" w:color="auto"/>
        <w:bottom w:val="none" w:sz="0" w:space="0" w:color="auto"/>
        <w:right w:val="none" w:sz="0" w:space="0" w:color="auto"/>
      </w:divBdr>
      <w:divsChild>
        <w:div w:id="1649819441">
          <w:marLeft w:val="0"/>
          <w:marRight w:val="0"/>
          <w:marTop w:val="240"/>
          <w:marBottom w:val="240"/>
          <w:divBdr>
            <w:top w:val="none" w:sz="0" w:space="0" w:color="auto"/>
            <w:left w:val="none" w:sz="0" w:space="0" w:color="auto"/>
            <w:bottom w:val="none" w:sz="0" w:space="0" w:color="auto"/>
            <w:right w:val="none" w:sz="0" w:space="0" w:color="auto"/>
          </w:divBdr>
        </w:div>
      </w:divsChild>
    </w:div>
    <w:div w:id="705183131">
      <w:bodyDiv w:val="1"/>
      <w:marLeft w:val="0"/>
      <w:marRight w:val="0"/>
      <w:marTop w:val="0"/>
      <w:marBottom w:val="0"/>
      <w:divBdr>
        <w:top w:val="none" w:sz="0" w:space="0" w:color="auto"/>
        <w:left w:val="none" w:sz="0" w:space="0" w:color="auto"/>
        <w:bottom w:val="none" w:sz="0" w:space="0" w:color="auto"/>
        <w:right w:val="none" w:sz="0" w:space="0" w:color="auto"/>
      </w:divBdr>
      <w:divsChild>
        <w:div w:id="1653871714">
          <w:marLeft w:val="0"/>
          <w:marRight w:val="0"/>
          <w:marTop w:val="240"/>
          <w:marBottom w:val="240"/>
          <w:divBdr>
            <w:top w:val="none" w:sz="0" w:space="0" w:color="auto"/>
            <w:left w:val="none" w:sz="0" w:space="0" w:color="auto"/>
            <w:bottom w:val="none" w:sz="0" w:space="0" w:color="auto"/>
            <w:right w:val="none" w:sz="0" w:space="0" w:color="auto"/>
          </w:divBdr>
        </w:div>
        <w:div w:id="1960138083">
          <w:marLeft w:val="0"/>
          <w:marRight w:val="0"/>
          <w:marTop w:val="240"/>
          <w:marBottom w:val="240"/>
          <w:divBdr>
            <w:top w:val="none" w:sz="0" w:space="0" w:color="auto"/>
            <w:left w:val="none" w:sz="0" w:space="0" w:color="auto"/>
            <w:bottom w:val="none" w:sz="0" w:space="0" w:color="auto"/>
            <w:right w:val="none" w:sz="0" w:space="0" w:color="auto"/>
          </w:divBdr>
        </w:div>
        <w:div w:id="1784106227">
          <w:marLeft w:val="0"/>
          <w:marRight w:val="0"/>
          <w:marTop w:val="240"/>
          <w:marBottom w:val="240"/>
          <w:divBdr>
            <w:top w:val="none" w:sz="0" w:space="0" w:color="auto"/>
            <w:left w:val="none" w:sz="0" w:space="0" w:color="auto"/>
            <w:bottom w:val="none" w:sz="0" w:space="0" w:color="auto"/>
            <w:right w:val="none" w:sz="0" w:space="0" w:color="auto"/>
          </w:divBdr>
        </w:div>
        <w:div w:id="473714631">
          <w:marLeft w:val="0"/>
          <w:marRight w:val="0"/>
          <w:marTop w:val="240"/>
          <w:marBottom w:val="24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69884018">
      <w:bodyDiv w:val="1"/>
      <w:marLeft w:val="0"/>
      <w:marRight w:val="0"/>
      <w:marTop w:val="0"/>
      <w:marBottom w:val="0"/>
      <w:divBdr>
        <w:top w:val="none" w:sz="0" w:space="0" w:color="auto"/>
        <w:left w:val="none" w:sz="0" w:space="0" w:color="auto"/>
        <w:bottom w:val="none" w:sz="0" w:space="0" w:color="auto"/>
        <w:right w:val="none" w:sz="0" w:space="0" w:color="auto"/>
      </w:divBdr>
    </w:div>
    <w:div w:id="1225263479">
      <w:bodyDiv w:val="1"/>
      <w:marLeft w:val="0"/>
      <w:marRight w:val="0"/>
      <w:marTop w:val="0"/>
      <w:marBottom w:val="0"/>
      <w:divBdr>
        <w:top w:val="none" w:sz="0" w:space="0" w:color="auto"/>
        <w:left w:val="none" w:sz="0" w:space="0" w:color="auto"/>
        <w:bottom w:val="none" w:sz="0" w:space="0" w:color="auto"/>
        <w:right w:val="none" w:sz="0" w:space="0" w:color="auto"/>
      </w:divBdr>
    </w:div>
    <w:div w:id="1228035925">
      <w:bodyDiv w:val="1"/>
      <w:marLeft w:val="0"/>
      <w:marRight w:val="0"/>
      <w:marTop w:val="0"/>
      <w:marBottom w:val="0"/>
      <w:divBdr>
        <w:top w:val="none" w:sz="0" w:space="0" w:color="auto"/>
        <w:left w:val="none" w:sz="0" w:space="0" w:color="auto"/>
        <w:bottom w:val="none" w:sz="0" w:space="0" w:color="auto"/>
        <w:right w:val="none" w:sz="0" w:space="0" w:color="auto"/>
      </w:divBdr>
      <w:divsChild>
        <w:div w:id="108863033">
          <w:marLeft w:val="0"/>
          <w:marRight w:val="0"/>
          <w:marTop w:val="240"/>
          <w:marBottom w:val="240"/>
          <w:divBdr>
            <w:top w:val="none" w:sz="0" w:space="0" w:color="auto"/>
            <w:left w:val="none" w:sz="0" w:space="0" w:color="auto"/>
            <w:bottom w:val="none" w:sz="0" w:space="0" w:color="auto"/>
            <w:right w:val="none" w:sz="0" w:space="0" w:color="auto"/>
          </w:divBdr>
        </w:div>
        <w:div w:id="57746161">
          <w:marLeft w:val="0"/>
          <w:marRight w:val="0"/>
          <w:marTop w:val="240"/>
          <w:marBottom w:val="240"/>
          <w:divBdr>
            <w:top w:val="none" w:sz="0" w:space="0" w:color="auto"/>
            <w:left w:val="none" w:sz="0" w:space="0" w:color="auto"/>
            <w:bottom w:val="none" w:sz="0" w:space="0" w:color="auto"/>
            <w:right w:val="none" w:sz="0" w:space="0" w:color="auto"/>
          </w:divBdr>
        </w:div>
        <w:div w:id="182791070">
          <w:marLeft w:val="0"/>
          <w:marRight w:val="0"/>
          <w:marTop w:val="240"/>
          <w:marBottom w:val="240"/>
          <w:divBdr>
            <w:top w:val="none" w:sz="0" w:space="0" w:color="auto"/>
            <w:left w:val="none" w:sz="0" w:space="0" w:color="auto"/>
            <w:bottom w:val="none" w:sz="0" w:space="0" w:color="auto"/>
            <w:right w:val="none" w:sz="0" w:space="0" w:color="auto"/>
          </w:divBdr>
        </w:div>
        <w:div w:id="1770930804">
          <w:marLeft w:val="0"/>
          <w:marRight w:val="0"/>
          <w:marTop w:val="240"/>
          <w:marBottom w:val="240"/>
          <w:divBdr>
            <w:top w:val="none" w:sz="0" w:space="0" w:color="auto"/>
            <w:left w:val="none" w:sz="0" w:space="0" w:color="auto"/>
            <w:bottom w:val="none" w:sz="0" w:space="0" w:color="auto"/>
            <w:right w:val="none" w:sz="0" w:space="0" w:color="auto"/>
          </w:divBdr>
        </w:div>
      </w:divsChild>
    </w:div>
    <w:div w:id="1326854829">
      <w:bodyDiv w:val="1"/>
      <w:marLeft w:val="0"/>
      <w:marRight w:val="0"/>
      <w:marTop w:val="0"/>
      <w:marBottom w:val="0"/>
      <w:divBdr>
        <w:top w:val="none" w:sz="0" w:space="0" w:color="auto"/>
        <w:left w:val="none" w:sz="0" w:space="0" w:color="auto"/>
        <w:bottom w:val="none" w:sz="0" w:space="0" w:color="auto"/>
        <w:right w:val="none" w:sz="0" w:space="0" w:color="auto"/>
      </w:divBdr>
      <w:divsChild>
        <w:div w:id="1575748668">
          <w:marLeft w:val="0"/>
          <w:marRight w:val="0"/>
          <w:marTop w:val="240"/>
          <w:marBottom w:val="240"/>
          <w:divBdr>
            <w:top w:val="none" w:sz="0" w:space="0" w:color="auto"/>
            <w:left w:val="none" w:sz="0" w:space="0" w:color="auto"/>
            <w:bottom w:val="none" w:sz="0" w:space="0" w:color="auto"/>
            <w:right w:val="none" w:sz="0" w:space="0" w:color="auto"/>
          </w:divBdr>
        </w:div>
      </w:divsChild>
    </w:div>
    <w:div w:id="1384138177">
      <w:bodyDiv w:val="1"/>
      <w:marLeft w:val="0"/>
      <w:marRight w:val="0"/>
      <w:marTop w:val="0"/>
      <w:marBottom w:val="0"/>
      <w:divBdr>
        <w:top w:val="none" w:sz="0" w:space="0" w:color="auto"/>
        <w:left w:val="none" w:sz="0" w:space="0" w:color="auto"/>
        <w:bottom w:val="none" w:sz="0" w:space="0" w:color="auto"/>
        <w:right w:val="none" w:sz="0" w:space="0" w:color="auto"/>
      </w:divBdr>
      <w:divsChild>
        <w:div w:id="305740133">
          <w:marLeft w:val="0"/>
          <w:marRight w:val="0"/>
          <w:marTop w:val="240"/>
          <w:marBottom w:val="240"/>
          <w:divBdr>
            <w:top w:val="none" w:sz="0" w:space="0" w:color="auto"/>
            <w:left w:val="none" w:sz="0" w:space="0" w:color="auto"/>
            <w:bottom w:val="none" w:sz="0" w:space="0" w:color="auto"/>
            <w:right w:val="none" w:sz="0" w:space="0" w:color="auto"/>
          </w:divBdr>
        </w:div>
      </w:divsChild>
    </w:div>
    <w:div w:id="1664166346">
      <w:bodyDiv w:val="1"/>
      <w:marLeft w:val="0"/>
      <w:marRight w:val="0"/>
      <w:marTop w:val="0"/>
      <w:marBottom w:val="0"/>
      <w:divBdr>
        <w:top w:val="none" w:sz="0" w:space="0" w:color="auto"/>
        <w:left w:val="none" w:sz="0" w:space="0" w:color="auto"/>
        <w:bottom w:val="none" w:sz="0" w:space="0" w:color="auto"/>
        <w:right w:val="none" w:sz="0" w:space="0" w:color="auto"/>
      </w:divBdr>
      <w:divsChild>
        <w:div w:id="1916544433">
          <w:marLeft w:val="0"/>
          <w:marRight w:val="0"/>
          <w:marTop w:val="0"/>
          <w:marBottom w:val="0"/>
          <w:divBdr>
            <w:top w:val="none" w:sz="0" w:space="0" w:color="auto"/>
            <w:left w:val="none" w:sz="0" w:space="0" w:color="auto"/>
            <w:bottom w:val="none" w:sz="0" w:space="0" w:color="auto"/>
            <w:right w:val="none" w:sz="0" w:space="0" w:color="auto"/>
          </w:divBdr>
          <w:divsChild>
            <w:div w:id="1833645409">
              <w:marLeft w:val="0"/>
              <w:marRight w:val="0"/>
              <w:marTop w:val="240"/>
              <w:marBottom w:val="240"/>
              <w:divBdr>
                <w:top w:val="none" w:sz="0" w:space="0" w:color="auto"/>
                <w:left w:val="none" w:sz="0" w:space="0" w:color="auto"/>
                <w:bottom w:val="none" w:sz="0" w:space="0" w:color="auto"/>
                <w:right w:val="none" w:sz="0" w:space="0" w:color="auto"/>
              </w:divBdr>
            </w:div>
          </w:divsChild>
        </w:div>
        <w:div w:id="317610517">
          <w:marLeft w:val="0"/>
          <w:marRight w:val="0"/>
          <w:marTop w:val="0"/>
          <w:marBottom w:val="0"/>
          <w:divBdr>
            <w:top w:val="none" w:sz="0" w:space="0" w:color="auto"/>
            <w:left w:val="none" w:sz="0" w:space="0" w:color="auto"/>
            <w:bottom w:val="none" w:sz="0" w:space="0" w:color="auto"/>
            <w:right w:val="none" w:sz="0" w:space="0" w:color="auto"/>
          </w:divBdr>
          <w:divsChild>
            <w:div w:id="2092665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36391044">
      <w:bodyDiv w:val="1"/>
      <w:marLeft w:val="0"/>
      <w:marRight w:val="0"/>
      <w:marTop w:val="0"/>
      <w:marBottom w:val="0"/>
      <w:divBdr>
        <w:top w:val="none" w:sz="0" w:space="0" w:color="auto"/>
        <w:left w:val="none" w:sz="0" w:space="0" w:color="auto"/>
        <w:bottom w:val="none" w:sz="0" w:space="0" w:color="auto"/>
        <w:right w:val="none" w:sz="0" w:space="0" w:color="auto"/>
      </w:divBdr>
      <w:divsChild>
        <w:div w:id="1767579182">
          <w:marLeft w:val="0"/>
          <w:marRight w:val="0"/>
          <w:marTop w:val="240"/>
          <w:marBottom w:val="240"/>
          <w:divBdr>
            <w:top w:val="none" w:sz="0" w:space="0" w:color="auto"/>
            <w:left w:val="none" w:sz="0" w:space="0" w:color="auto"/>
            <w:bottom w:val="none" w:sz="0" w:space="0" w:color="auto"/>
            <w:right w:val="none" w:sz="0" w:space="0" w:color="auto"/>
          </w:divBdr>
        </w:div>
        <w:div w:id="1795981287">
          <w:marLeft w:val="0"/>
          <w:marRight w:val="0"/>
          <w:marTop w:val="240"/>
          <w:marBottom w:val="240"/>
          <w:divBdr>
            <w:top w:val="none" w:sz="0" w:space="0" w:color="auto"/>
            <w:left w:val="none" w:sz="0" w:space="0" w:color="auto"/>
            <w:bottom w:val="none" w:sz="0" w:space="0" w:color="auto"/>
            <w:right w:val="none" w:sz="0" w:space="0" w:color="auto"/>
          </w:divBdr>
        </w:div>
        <w:div w:id="1867668239">
          <w:marLeft w:val="0"/>
          <w:marRight w:val="0"/>
          <w:marTop w:val="240"/>
          <w:marBottom w:val="240"/>
          <w:divBdr>
            <w:top w:val="none" w:sz="0" w:space="0" w:color="auto"/>
            <w:left w:val="none" w:sz="0" w:space="0" w:color="auto"/>
            <w:bottom w:val="none" w:sz="0" w:space="0" w:color="auto"/>
            <w:right w:val="none" w:sz="0" w:space="0" w:color="auto"/>
          </w:divBdr>
        </w:div>
      </w:divsChild>
    </w:div>
    <w:div w:id="1937715822">
      <w:bodyDiv w:val="1"/>
      <w:marLeft w:val="0"/>
      <w:marRight w:val="0"/>
      <w:marTop w:val="0"/>
      <w:marBottom w:val="0"/>
      <w:divBdr>
        <w:top w:val="none" w:sz="0" w:space="0" w:color="auto"/>
        <w:left w:val="none" w:sz="0" w:space="0" w:color="auto"/>
        <w:bottom w:val="none" w:sz="0" w:space="0" w:color="auto"/>
        <w:right w:val="none" w:sz="0" w:space="0" w:color="auto"/>
      </w:divBdr>
      <w:divsChild>
        <w:div w:id="73316111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eme1">
  <a:themeElements>
    <a:clrScheme name="ACCC">
      <a:dk1>
        <a:sysClr val="windowText" lastClr="000000"/>
      </a:dk1>
      <a:lt1>
        <a:sysClr val="window" lastClr="FFFFFF"/>
      </a:lt1>
      <a:dk2>
        <a:srgbClr val="003591"/>
      </a:dk2>
      <a:lt2>
        <a:srgbClr val="D5D6D2"/>
      </a:lt2>
      <a:accent1>
        <a:srgbClr val="410099"/>
      </a:accent1>
      <a:accent2>
        <a:srgbClr val="1CCFC9"/>
      </a:accent2>
      <a:accent3>
        <a:srgbClr val="362F52"/>
      </a:accent3>
      <a:accent4>
        <a:srgbClr val="8B9EFF"/>
      </a:accent4>
      <a:accent5>
        <a:srgbClr val="FFC502"/>
      </a:accent5>
      <a:accent6>
        <a:srgbClr val="FF7600"/>
      </a:accent6>
      <a:hlink>
        <a:srgbClr val="0000FF"/>
      </a:hlink>
      <a:folHlink>
        <a:srgbClr val="800080"/>
      </a:folHlink>
    </a:clrScheme>
    <a:fontScheme name="ACCC">
      <a:majorFont>
        <a:latin typeface="Palatino Linotyp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E87ABB-2AD0-4E44-A927-EC1535B2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Tran, Kenny</dc:creator>
  <cp:keywords/>
  <dc:description/>
  <cp:lastModifiedBy>Dale, Daniel</cp:lastModifiedBy>
  <cp:revision>7</cp:revision>
  <dcterms:created xsi:type="dcterms:W3CDTF">2022-12-01T21:56:00Z</dcterms:created>
  <dcterms:modified xsi:type="dcterms:W3CDTF">2022-12-13T05:52:00Z</dcterms:modified>
</cp:coreProperties>
</file>