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1FF" w:rsidRDefault="004421FF" w:rsidP="004421FF">
      <w:pPr>
        <w:pStyle w:val="AERtitle1"/>
      </w:pPr>
      <w:bookmarkStart w:id="0" w:name="_Toc387916795"/>
      <w:bookmarkStart w:id="1" w:name="_GoBack"/>
      <w:bookmarkEnd w:id="1"/>
      <w:r w:rsidRPr="00053543">
        <w:rPr>
          <w:noProof/>
        </w:rPr>
        <w:drawing>
          <wp:anchor distT="0" distB="0" distL="114300" distR="114300" simplePos="0" relativeHeight="251659264" behindDoc="1" locked="0" layoutInCell="1" allowOverlap="1" wp14:anchorId="5675535D" wp14:editId="6E0BFCD6">
            <wp:simplePos x="0" y="0"/>
            <wp:positionH relativeFrom="column">
              <wp:posOffset>-948055</wp:posOffset>
            </wp:positionH>
            <wp:positionV relativeFrom="paragraph">
              <wp:posOffset>-1003300</wp:posOffset>
            </wp:positionV>
            <wp:extent cx="7657657" cy="10792047"/>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657" cy="10792047"/>
                    </a:xfrm>
                    <a:prstGeom prst="rect">
                      <a:avLst/>
                    </a:prstGeom>
                    <a:noFill/>
                    <a:ln w="9525">
                      <a:noFill/>
                      <a:miter lim="800000"/>
                      <a:headEnd/>
                      <a:tailEnd/>
                    </a:ln>
                  </pic:spPr>
                </pic:pic>
              </a:graphicData>
            </a:graphic>
          </wp:anchor>
        </w:drawing>
      </w:r>
    </w:p>
    <w:p w:rsidR="004421FF" w:rsidRDefault="004421FF" w:rsidP="004421FF">
      <w:pPr>
        <w:pStyle w:val="AERtitle1"/>
      </w:pPr>
    </w:p>
    <w:p w:rsidR="004421FF" w:rsidRDefault="004421FF" w:rsidP="004421FF">
      <w:pPr>
        <w:pStyle w:val="AERtitle1"/>
      </w:pPr>
    </w:p>
    <w:p w:rsidR="004421FF" w:rsidRDefault="004421FF" w:rsidP="004421FF">
      <w:pPr>
        <w:pStyle w:val="AERtitle1"/>
      </w:pPr>
    </w:p>
    <w:p w:rsidR="004421FF" w:rsidRDefault="004421FF" w:rsidP="004421FF">
      <w:pPr>
        <w:pStyle w:val="AERtitle1"/>
      </w:pPr>
    </w:p>
    <w:p w:rsidR="004421FF" w:rsidRDefault="004421FF" w:rsidP="004421FF">
      <w:pPr>
        <w:pStyle w:val="AERtitle1"/>
      </w:pPr>
    </w:p>
    <w:p w:rsidR="004421FF" w:rsidRDefault="004421FF" w:rsidP="004421FF">
      <w:pPr>
        <w:pStyle w:val="AERtitle1"/>
      </w:pPr>
      <w:r w:rsidRPr="003E734B">
        <w:t>Draft decision</w:t>
      </w:r>
    </w:p>
    <w:p w:rsidR="004421FF" w:rsidRDefault="004421FF" w:rsidP="004421FF">
      <w:pPr>
        <w:pStyle w:val="AERtitle1"/>
      </w:pPr>
      <w:r>
        <w:t>Essential Energy distribution determination</w:t>
      </w:r>
    </w:p>
    <w:p w:rsidR="00ED7532" w:rsidRDefault="00ED7532" w:rsidP="00ED7532">
      <w:pPr>
        <w:pStyle w:val="AERtitle1"/>
      </w:pPr>
      <w:r>
        <w:t>2015</w:t>
      </w:r>
      <w:r>
        <w:rPr>
          <w:rFonts w:cs="Gautami"/>
        </w:rPr>
        <w:t>–</w:t>
      </w:r>
      <w:r>
        <w:t>16 to 2018</w:t>
      </w:r>
      <w:r>
        <w:rPr>
          <w:rFonts w:cs="Gautami"/>
        </w:rPr>
        <w:t>–</w:t>
      </w:r>
      <w:r>
        <w:t>19</w:t>
      </w:r>
    </w:p>
    <w:p w:rsidR="004421FF" w:rsidRDefault="004421FF" w:rsidP="004421FF">
      <w:pPr>
        <w:pStyle w:val="AERtitle1"/>
      </w:pPr>
      <w:r>
        <w:t>Attachment 2: Regulatory asset base</w:t>
      </w:r>
    </w:p>
    <w:p w:rsidR="004421FF" w:rsidRDefault="004421FF" w:rsidP="004421FF"/>
    <w:p w:rsidR="004421FF" w:rsidRDefault="004421FF" w:rsidP="004421FF"/>
    <w:p w:rsidR="004421FF" w:rsidRPr="00F6235D" w:rsidRDefault="004421FF" w:rsidP="004421FF"/>
    <w:p w:rsidR="004421FF" w:rsidRDefault="004421FF" w:rsidP="004421FF">
      <w:pPr>
        <w:pStyle w:val="AERtitle2"/>
      </w:pPr>
      <w:r>
        <w:t>November 2014</w:t>
      </w:r>
    </w:p>
    <w:p w:rsidR="004421FF" w:rsidRDefault="004421FF">
      <w:pPr>
        <w:rPr>
          <w:rFonts w:ascii="Gautami" w:hAnsi="Gautami"/>
          <w:sz w:val="32"/>
          <w:lang w:eastAsia="en-US"/>
        </w:rPr>
      </w:pPr>
      <w:r>
        <w:br w:type="page"/>
      </w:r>
    </w:p>
    <w:p w:rsidR="004421FF" w:rsidRPr="000A33B4" w:rsidRDefault="004421FF" w:rsidP="004421FF">
      <w:pPr>
        <w:pStyle w:val="AERbodytextnospace"/>
        <w:rPr>
          <w:rStyle w:val="AERtextbold"/>
        </w:rPr>
      </w:pPr>
      <w:r w:rsidRPr="000A33B4">
        <w:rPr>
          <w:rStyle w:val="AERtextbold"/>
        </w:rPr>
        <w:lastRenderedPageBreak/>
        <w:t>© Commonwealth of Australia 2014</w:t>
      </w:r>
    </w:p>
    <w:p w:rsidR="004421FF" w:rsidRPr="000A33B4" w:rsidRDefault="004421FF" w:rsidP="004421FF">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4421FF" w:rsidRPr="004421FF" w:rsidRDefault="004421FF" w:rsidP="004421FF">
      <w:pPr>
        <w:pStyle w:val="AERbulletlistfirststyle"/>
      </w:pPr>
      <w:r w:rsidRPr="000A33B4">
        <w:t>the Commonwealth Coat of Arms</w:t>
      </w:r>
    </w:p>
    <w:p w:rsidR="004421FF" w:rsidRPr="004421FF" w:rsidRDefault="004421FF" w:rsidP="004421FF">
      <w:pPr>
        <w:pStyle w:val="AERbulletlistfirststyle"/>
      </w:pPr>
      <w:r w:rsidRPr="000A33B4">
        <w:t>the ACCC and AER logos</w:t>
      </w:r>
    </w:p>
    <w:p w:rsidR="004421FF" w:rsidRPr="004421FF" w:rsidRDefault="004421FF" w:rsidP="004421FF">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4421FF" w:rsidRPr="000A33B4" w:rsidRDefault="004421FF" w:rsidP="004421FF">
      <w:pPr>
        <w:pStyle w:val="AERbodytext"/>
      </w:pPr>
      <w:r w:rsidRPr="000A33B4">
        <w:t>The details of the relevant licence conditions are available on the Creative Commons website, as is the full legal code for the CC BY 3.0 AU licence.</w:t>
      </w:r>
    </w:p>
    <w:p w:rsidR="004421FF" w:rsidRPr="00602CE9" w:rsidRDefault="004421FF" w:rsidP="004421FF">
      <w:pPr>
        <w:pStyle w:val="AERbodytext"/>
      </w:pPr>
      <w:r w:rsidRPr="00602CE9">
        <w:t xml:space="preserve">Requests and inquiries concerning reproduction and rights should be addressed to the Director, Corporate Communications, ACCC, GPO Box 3131, Canberra ACT 2601, or </w:t>
      </w:r>
      <w:hyperlink r:id="rId9" w:history="1">
        <w:r w:rsidRPr="00602CE9">
          <w:rPr>
            <w:rStyle w:val="Hyperlink"/>
          </w:rPr>
          <w:t>publishing.unit@accc.gov.au</w:t>
        </w:r>
      </w:hyperlink>
      <w:r w:rsidRPr="00602CE9">
        <w:t>.</w:t>
      </w:r>
    </w:p>
    <w:p w:rsidR="004421FF" w:rsidRPr="000A33B4" w:rsidRDefault="004421FF" w:rsidP="004421FF">
      <w:pPr>
        <w:pStyle w:val="AERbodytext"/>
      </w:pPr>
      <w:r w:rsidRPr="000A33B4">
        <w:t>Inquiries about this document should be addressed to:</w:t>
      </w:r>
    </w:p>
    <w:p w:rsidR="004421FF" w:rsidRPr="000A33B4" w:rsidRDefault="004421FF" w:rsidP="004421FF">
      <w:pPr>
        <w:pStyle w:val="AERbodytextnospace"/>
      </w:pPr>
      <w:r w:rsidRPr="000A33B4">
        <w:t>Australian Energy Regulator</w:t>
      </w:r>
    </w:p>
    <w:p w:rsidR="004421FF" w:rsidRPr="000A33B4" w:rsidRDefault="004421FF" w:rsidP="004421FF">
      <w:pPr>
        <w:pStyle w:val="AERbodytextnospace"/>
      </w:pPr>
      <w:r w:rsidRPr="000A33B4">
        <w:t>GPO Box 520</w:t>
      </w:r>
    </w:p>
    <w:p w:rsidR="004421FF" w:rsidRPr="000A33B4" w:rsidRDefault="004421FF" w:rsidP="004421FF">
      <w:pPr>
        <w:pStyle w:val="AERbodytextnospace"/>
      </w:pPr>
      <w:r w:rsidRPr="000A33B4">
        <w:t>Melbourne  Vic  3001</w:t>
      </w:r>
    </w:p>
    <w:p w:rsidR="004421FF" w:rsidRPr="000A33B4" w:rsidRDefault="004421FF" w:rsidP="004421FF">
      <w:pPr>
        <w:pStyle w:val="AERbodytextnospace"/>
      </w:pPr>
      <w:r w:rsidRPr="000A33B4">
        <w:t>Tel: (03) 9290 1444</w:t>
      </w:r>
    </w:p>
    <w:p w:rsidR="004421FF" w:rsidRDefault="004421FF" w:rsidP="004421FF">
      <w:pPr>
        <w:pStyle w:val="AERbodytextnospace"/>
      </w:pPr>
      <w:r w:rsidRPr="000A33B4">
        <w:t>Fax: (03) 9290 1457</w:t>
      </w:r>
    </w:p>
    <w:p w:rsidR="004421FF" w:rsidRDefault="004421FF" w:rsidP="004421FF">
      <w:pPr>
        <w:pStyle w:val="AERbodytextnospace"/>
      </w:pPr>
      <w:r w:rsidRPr="000A33B4">
        <w:t xml:space="preserve">Email: </w:t>
      </w:r>
      <w:hyperlink r:id="rId10" w:history="1">
        <w:r w:rsidRPr="000A33B4">
          <w:rPr>
            <w:rStyle w:val="Hyperlink"/>
          </w:rPr>
          <w:t>AERInquiry@aer.gov.au</w:t>
        </w:r>
      </w:hyperlink>
    </w:p>
    <w:p w:rsidR="004421FF" w:rsidRDefault="004421FF" w:rsidP="004421FF">
      <w:pPr>
        <w:pStyle w:val="AERbodytextnospace"/>
      </w:pPr>
    </w:p>
    <w:p w:rsidR="004421FF" w:rsidRDefault="004421FF" w:rsidP="004421FF">
      <w:pPr>
        <w:pStyle w:val="AERbodytextnospace"/>
      </w:pPr>
      <w:r>
        <w:t>AER reference: 54419</w:t>
      </w:r>
    </w:p>
    <w:p w:rsidR="004421FF" w:rsidRPr="004421FF" w:rsidRDefault="004421FF" w:rsidP="004421FF">
      <w:pPr>
        <w:pStyle w:val="UnnumberedHeading"/>
        <w:rPr>
          <w:rStyle w:val="Hyperlink"/>
          <w:color w:val="E36C0A"/>
          <w:u w:val="none"/>
        </w:rPr>
      </w:pPr>
      <w:bookmarkStart w:id="2" w:name="_Toc404246234"/>
      <w:bookmarkStart w:id="3" w:name="_Toc404321283"/>
      <w:bookmarkStart w:id="4" w:name="_Toc404324605"/>
      <w:r w:rsidRPr="004421FF">
        <w:rPr>
          <w:rStyle w:val="Hyperlink"/>
          <w:color w:val="E36C0A"/>
          <w:u w:val="none"/>
        </w:rPr>
        <w:lastRenderedPageBreak/>
        <w:t>Note</w:t>
      </w:r>
      <w:bookmarkEnd w:id="2"/>
      <w:bookmarkEnd w:id="3"/>
      <w:bookmarkEnd w:id="4"/>
    </w:p>
    <w:p w:rsidR="004421FF" w:rsidRPr="00720C39" w:rsidRDefault="004421FF" w:rsidP="004421FF">
      <w:pPr>
        <w:pStyle w:val="AERbodytextnospace"/>
        <w:rPr>
          <w:rStyle w:val="Hyperlink"/>
        </w:rPr>
      </w:pPr>
    </w:p>
    <w:p w:rsidR="004421FF" w:rsidRPr="00720C39" w:rsidRDefault="004421FF" w:rsidP="004421FF">
      <w:pPr>
        <w:spacing w:after="240"/>
        <w:rPr>
          <w:rStyle w:val="AERbody"/>
        </w:rPr>
      </w:pPr>
      <w:r w:rsidRPr="00720C39">
        <w:rPr>
          <w:rStyle w:val="AERbody"/>
        </w:rPr>
        <w:t xml:space="preserve">This attachment forms part of the </w:t>
      </w:r>
      <w:r>
        <w:rPr>
          <w:rStyle w:val="AERbody"/>
        </w:rPr>
        <w:t>AER's draft decision on Essential</w:t>
      </w:r>
      <w:r w:rsidRPr="00720C39">
        <w:rPr>
          <w:rStyle w:val="AERbody"/>
        </w:rPr>
        <w:t xml:space="preserve"> Energy's 2015–19 distribution determination. It should be read with other parts of the draft decision.</w:t>
      </w:r>
    </w:p>
    <w:p w:rsidR="004421FF" w:rsidRPr="00720C39" w:rsidRDefault="004421FF" w:rsidP="004421FF">
      <w:pPr>
        <w:spacing w:after="240"/>
        <w:rPr>
          <w:rStyle w:val="AERbody"/>
        </w:rPr>
      </w:pPr>
      <w:r w:rsidRPr="00720C39">
        <w:rPr>
          <w:rStyle w:val="AERbody"/>
        </w:rPr>
        <w:t>The draft decision includes the following documents:</w:t>
      </w:r>
    </w:p>
    <w:p w:rsidR="004421FF" w:rsidRPr="00720C39" w:rsidRDefault="004421FF" w:rsidP="004421FF">
      <w:pPr>
        <w:spacing w:after="240"/>
        <w:rPr>
          <w:rStyle w:val="AERbody"/>
        </w:rPr>
      </w:pPr>
      <w:r w:rsidRPr="00720C39">
        <w:rPr>
          <w:rStyle w:val="AERbody"/>
        </w:rPr>
        <w:t>Overview</w:t>
      </w:r>
    </w:p>
    <w:p w:rsidR="004421FF" w:rsidRPr="00720C39" w:rsidRDefault="004421FF" w:rsidP="004421FF">
      <w:pPr>
        <w:spacing w:after="240"/>
        <w:rPr>
          <w:rStyle w:val="AERbody"/>
        </w:rPr>
      </w:pPr>
      <w:r w:rsidRPr="00720C39">
        <w:rPr>
          <w:rStyle w:val="AERbody"/>
        </w:rPr>
        <w:t>Attachment 1 – Annual revenue requirement</w:t>
      </w:r>
    </w:p>
    <w:p w:rsidR="004421FF" w:rsidRPr="00720C39" w:rsidRDefault="004421FF" w:rsidP="004421FF">
      <w:pPr>
        <w:spacing w:after="240"/>
        <w:rPr>
          <w:rStyle w:val="AERbody"/>
        </w:rPr>
      </w:pPr>
      <w:r w:rsidRPr="00720C39">
        <w:rPr>
          <w:rStyle w:val="AERbody"/>
        </w:rPr>
        <w:t>Attachment 2 – Regulatory asset base</w:t>
      </w:r>
    </w:p>
    <w:p w:rsidR="004421FF" w:rsidRPr="00720C39" w:rsidRDefault="004421FF" w:rsidP="004421FF">
      <w:pPr>
        <w:spacing w:after="240"/>
        <w:rPr>
          <w:rStyle w:val="AERbody"/>
        </w:rPr>
      </w:pPr>
      <w:r w:rsidRPr="00720C39">
        <w:rPr>
          <w:rStyle w:val="AERbody"/>
        </w:rPr>
        <w:t>Attachment 3 – Rate of return</w:t>
      </w:r>
    </w:p>
    <w:p w:rsidR="004421FF" w:rsidRPr="00720C39" w:rsidRDefault="004421FF" w:rsidP="004421FF">
      <w:pPr>
        <w:spacing w:after="240"/>
        <w:rPr>
          <w:rStyle w:val="AERbody"/>
        </w:rPr>
      </w:pPr>
      <w:r w:rsidRPr="00720C39">
        <w:rPr>
          <w:rStyle w:val="AERbody"/>
        </w:rPr>
        <w:t>Attachment 4 – Value of imputation credits</w:t>
      </w:r>
    </w:p>
    <w:p w:rsidR="004421FF" w:rsidRPr="00720C39" w:rsidRDefault="004421FF" w:rsidP="004421FF">
      <w:pPr>
        <w:spacing w:after="240"/>
        <w:rPr>
          <w:rStyle w:val="AERbody"/>
        </w:rPr>
      </w:pPr>
      <w:r w:rsidRPr="00720C39">
        <w:rPr>
          <w:rStyle w:val="AERbody"/>
        </w:rPr>
        <w:t>Attachment 5 – Regulatory depreciation</w:t>
      </w:r>
    </w:p>
    <w:p w:rsidR="004421FF" w:rsidRPr="00720C39" w:rsidRDefault="004421FF" w:rsidP="004421FF">
      <w:pPr>
        <w:spacing w:after="240"/>
        <w:rPr>
          <w:rStyle w:val="AERbody"/>
        </w:rPr>
      </w:pPr>
      <w:r w:rsidRPr="00720C39">
        <w:rPr>
          <w:rStyle w:val="AERbody"/>
        </w:rPr>
        <w:t xml:space="preserve">Attachment 6 – Capital expenditure </w:t>
      </w:r>
    </w:p>
    <w:p w:rsidR="004421FF" w:rsidRPr="00720C39" w:rsidRDefault="004421FF" w:rsidP="004421FF">
      <w:pPr>
        <w:spacing w:after="240"/>
        <w:rPr>
          <w:rStyle w:val="AERbody"/>
        </w:rPr>
      </w:pPr>
      <w:r w:rsidRPr="00720C39">
        <w:rPr>
          <w:rStyle w:val="AERbody"/>
        </w:rPr>
        <w:t>Attachment 7 – Operating expenditure</w:t>
      </w:r>
    </w:p>
    <w:p w:rsidR="004421FF" w:rsidRPr="00720C39" w:rsidRDefault="004421FF" w:rsidP="004421FF">
      <w:pPr>
        <w:spacing w:after="240"/>
        <w:rPr>
          <w:rStyle w:val="AERbody"/>
        </w:rPr>
      </w:pPr>
      <w:r w:rsidRPr="00720C39">
        <w:rPr>
          <w:rStyle w:val="AERbody"/>
        </w:rPr>
        <w:t>Attachment 8 – Corporate income tax</w:t>
      </w:r>
    </w:p>
    <w:p w:rsidR="004421FF" w:rsidRPr="00720C39" w:rsidRDefault="004421FF" w:rsidP="004421FF">
      <w:pPr>
        <w:spacing w:after="240"/>
        <w:rPr>
          <w:rStyle w:val="AERbody"/>
        </w:rPr>
      </w:pPr>
      <w:r w:rsidRPr="00720C39">
        <w:rPr>
          <w:rStyle w:val="AERbody"/>
        </w:rPr>
        <w:t>Attachment 9 – Efficiency benefit sharing scheme</w:t>
      </w:r>
    </w:p>
    <w:p w:rsidR="004421FF" w:rsidRPr="00720C39" w:rsidRDefault="004421FF" w:rsidP="004421FF">
      <w:pPr>
        <w:spacing w:after="240"/>
        <w:rPr>
          <w:rStyle w:val="AERbody"/>
        </w:rPr>
      </w:pPr>
      <w:r w:rsidRPr="00720C39">
        <w:rPr>
          <w:rStyle w:val="AERbody"/>
        </w:rPr>
        <w:t>Attachment 10 – Capital expenditure sharing scheme</w:t>
      </w:r>
    </w:p>
    <w:p w:rsidR="004421FF" w:rsidRPr="00720C39" w:rsidRDefault="004421FF" w:rsidP="004421FF">
      <w:pPr>
        <w:spacing w:after="240"/>
        <w:rPr>
          <w:rStyle w:val="AERbody"/>
        </w:rPr>
      </w:pPr>
      <w:r w:rsidRPr="00720C39">
        <w:rPr>
          <w:rStyle w:val="AERbody"/>
        </w:rPr>
        <w:t>Attachment 11 – Service target performance incentive scheme</w:t>
      </w:r>
    </w:p>
    <w:p w:rsidR="004421FF" w:rsidRPr="00720C39" w:rsidRDefault="004421FF" w:rsidP="004421FF">
      <w:pPr>
        <w:spacing w:after="240"/>
        <w:rPr>
          <w:rStyle w:val="AERbody"/>
        </w:rPr>
      </w:pPr>
      <w:r w:rsidRPr="00720C39">
        <w:rPr>
          <w:rStyle w:val="AERbody"/>
        </w:rPr>
        <w:t>Attachment 12 – Demand management incentive scheme</w:t>
      </w:r>
    </w:p>
    <w:p w:rsidR="004421FF" w:rsidRPr="00720C39" w:rsidRDefault="004421FF" w:rsidP="004421FF">
      <w:pPr>
        <w:spacing w:after="240"/>
        <w:rPr>
          <w:rStyle w:val="AERbody"/>
        </w:rPr>
      </w:pPr>
      <w:r w:rsidRPr="00720C39">
        <w:rPr>
          <w:rStyle w:val="AERbody"/>
        </w:rPr>
        <w:t>Attachment 13 – Classification of services</w:t>
      </w:r>
    </w:p>
    <w:p w:rsidR="004421FF" w:rsidRPr="00720C39" w:rsidRDefault="004421FF" w:rsidP="004421FF">
      <w:pPr>
        <w:spacing w:after="240"/>
        <w:rPr>
          <w:rStyle w:val="AERbody"/>
        </w:rPr>
      </w:pPr>
      <w:r w:rsidRPr="00720C39">
        <w:rPr>
          <w:rStyle w:val="AERbody"/>
        </w:rPr>
        <w:t>Attachment 14 – Control mechanism</w:t>
      </w:r>
    </w:p>
    <w:p w:rsidR="004421FF" w:rsidRPr="00720C39" w:rsidRDefault="004421FF" w:rsidP="004421FF">
      <w:pPr>
        <w:spacing w:after="240"/>
        <w:rPr>
          <w:rStyle w:val="AERbody"/>
        </w:rPr>
      </w:pPr>
      <w:r w:rsidRPr="00720C39">
        <w:rPr>
          <w:rStyle w:val="AERbody"/>
        </w:rPr>
        <w:t>Attachment 15 – Pass through events</w:t>
      </w:r>
    </w:p>
    <w:p w:rsidR="004421FF" w:rsidRPr="00720C39" w:rsidRDefault="004421FF" w:rsidP="004421FF">
      <w:pPr>
        <w:spacing w:after="240"/>
        <w:rPr>
          <w:rStyle w:val="AERbody"/>
        </w:rPr>
      </w:pPr>
      <w:r w:rsidRPr="00720C39">
        <w:rPr>
          <w:rStyle w:val="AERbody"/>
        </w:rPr>
        <w:t>Attachment 16 – Alternative control services</w:t>
      </w:r>
    </w:p>
    <w:p w:rsidR="004421FF" w:rsidRPr="00720C39" w:rsidRDefault="004421FF" w:rsidP="004421FF">
      <w:pPr>
        <w:spacing w:after="240"/>
        <w:rPr>
          <w:rStyle w:val="AERbody"/>
        </w:rPr>
      </w:pPr>
      <w:r w:rsidRPr="00720C39">
        <w:rPr>
          <w:rStyle w:val="AERbody"/>
        </w:rPr>
        <w:t>Attachment 17 – Negotiated services framework and criteria</w:t>
      </w:r>
    </w:p>
    <w:p w:rsidR="004421FF" w:rsidRPr="00720C39" w:rsidRDefault="004421FF" w:rsidP="004421FF">
      <w:pPr>
        <w:spacing w:after="240"/>
        <w:rPr>
          <w:rStyle w:val="AERbody"/>
        </w:rPr>
      </w:pPr>
      <w:r w:rsidRPr="00720C39">
        <w:rPr>
          <w:rStyle w:val="AERbody"/>
        </w:rPr>
        <w:t xml:space="preserve">Attachment 18 – Connection </w:t>
      </w:r>
      <w:r>
        <w:rPr>
          <w:rStyle w:val="AERbody"/>
        </w:rPr>
        <w:t>policy</w:t>
      </w:r>
    </w:p>
    <w:p w:rsidR="004421FF" w:rsidRDefault="004421FF" w:rsidP="004421FF">
      <w:pPr>
        <w:pStyle w:val="UnnumberedHeading"/>
      </w:pPr>
      <w:bookmarkStart w:id="5" w:name="_Toc404324606"/>
      <w:r w:rsidRPr="004421FF">
        <w:lastRenderedPageBreak/>
        <w:t>Contents</w:t>
      </w:r>
      <w:bookmarkEnd w:id="5"/>
    </w:p>
    <w:sdt>
      <w:sdtPr>
        <w:rPr>
          <w:rFonts w:ascii="Arial" w:eastAsiaTheme="minorHAnsi" w:hAnsi="Arial" w:cstheme="minorBidi"/>
          <w:b w:val="0"/>
          <w:bCs w:val="0"/>
          <w:noProof/>
          <w:sz w:val="22"/>
          <w:szCs w:val="22"/>
          <w:lang w:val="en-US" w:eastAsia="ja-JP"/>
        </w:rPr>
        <w:id w:val="-1130324158"/>
        <w:docPartObj>
          <w:docPartGallery w:val="Table of Contents"/>
          <w:docPartUnique/>
        </w:docPartObj>
      </w:sdtPr>
      <w:sdtEndPr>
        <w:rPr>
          <w:rFonts w:ascii="Gautami" w:eastAsia="Times New Roman" w:hAnsi="Gautami" w:cs="Times New Roman"/>
          <w:noProof w:val="0"/>
          <w:sz w:val="20"/>
          <w:szCs w:val="24"/>
          <w:lang w:val="en-AU" w:eastAsia="en-US"/>
        </w:rPr>
      </w:sdtEndPr>
      <w:sdtContent>
        <w:p w:rsidR="0008691B" w:rsidRDefault="0008691B">
          <w:pPr>
            <w:pStyle w:val="TOC1"/>
            <w:tabs>
              <w:tab w:val="right" w:leader="dot" w:pos="9016"/>
            </w:tabs>
            <w:rPr>
              <w:rFonts w:asciiTheme="minorHAnsi" w:eastAsiaTheme="minorEastAsia" w:hAnsiTheme="minorHAnsi" w:cstheme="minorBidi"/>
              <w:b w:val="0"/>
              <w:bCs w:val="0"/>
              <w:noProof/>
              <w:sz w:val="22"/>
              <w:szCs w:val="22"/>
              <w:lang w:eastAsia="en-AU"/>
            </w:rPr>
          </w:pPr>
          <w:r>
            <w:rPr>
              <w:rFonts w:ascii="Arial" w:eastAsiaTheme="minorHAnsi" w:hAnsi="Arial" w:cstheme="minorBidi"/>
              <w:bCs w:val="0"/>
              <w:noProof/>
              <w:sz w:val="22"/>
              <w:szCs w:val="22"/>
              <w:lang w:val="en-US" w:eastAsia="ja-JP"/>
            </w:rPr>
            <w:fldChar w:fldCharType="begin"/>
          </w:r>
          <w:r>
            <w:instrText xml:space="preserve"> TOC \o \h \z \u </w:instrText>
          </w:r>
          <w:r>
            <w:rPr>
              <w:rFonts w:ascii="Arial" w:eastAsiaTheme="minorHAnsi" w:hAnsi="Arial" w:cstheme="minorBidi"/>
              <w:bCs w:val="0"/>
              <w:noProof/>
              <w:sz w:val="22"/>
              <w:szCs w:val="22"/>
              <w:lang w:val="en-US" w:eastAsia="ja-JP"/>
            </w:rPr>
            <w:fldChar w:fldCharType="separate"/>
          </w:r>
          <w:hyperlink w:anchor="_Toc404324605" w:history="1">
            <w:r w:rsidRPr="00D1621F">
              <w:rPr>
                <w:rStyle w:val="Hyperlink"/>
                <w:noProof/>
              </w:rPr>
              <w:t>Note</w:t>
            </w:r>
            <w:r>
              <w:rPr>
                <w:noProof/>
                <w:webHidden/>
              </w:rPr>
              <w:tab/>
              <w:t>2-</w:t>
            </w:r>
            <w:r>
              <w:rPr>
                <w:noProof/>
                <w:webHidden/>
              </w:rPr>
              <w:fldChar w:fldCharType="begin"/>
            </w:r>
            <w:r>
              <w:rPr>
                <w:noProof/>
                <w:webHidden/>
              </w:rPr>
              <w:instrText xml:space="preserve"> PAGEREF _Toc404324605 \h </w:instrText>
            </w:r>
            <w:r>
              <w:rPr>
                <w:noProof/>
                <w:webHidden/>
              </w:rPr>
            </w:r>
            <w:r>
              <w:rPr>
                <w:noProof/>
                <w:webHidden/>
              </w:rPr>
              <w:fldChar w:fldCharType="separate"/>
            </w:r>
            <w:r w:rsidR="00CD6D6C">
              <w:rPr>
                <w:noProof/>
                <w:webHidden/>
              </w:rPr>
              <w:t>3</w:t>
            </w:r>
            <w:r>
              <w:rPr>
                <w:noProof/>
                <w:webHidden/>
              </w:rPr>
              <w:fldChar w:fldCharType="end"/>
            </w:r>
          </w:hyperlink>
        </w:p>
        <w:p w:rsidR="0008691B" w:rsidRDefault="00D90BFE">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24606" w:history="1">
            <w:r w:rsidR="0008691B" w:rsidRPr="00D1621F">
              <w:rPr>
                <w:rStyle w:val="Hyperlink"/>
                <w:noProof/>
              </w:rPr>
              <w:t>Contents</w:t>
            </w:r>
            <w:r w:rsidR="0008691B">
              <w:rPr>
                <w:noProof/>
                <w:webHidden/>
              </w:rPr>
              <w:tab/>
              <w:t>2-</w:t>
            </w:r>
            <w:r w:rsidR="0008691B">
              <w:rPr>
                <w:noProof/>
                <w:webHidden/>
              </w:rPr>
              <w:fldChar w:fldCharType="begin"/>
            </w:r>
            <w:r w:rsidR="0008691B">
              <w:rPr>
                <w:noProof/>
                <w:webHidden/>
              </w:rPr>
              <w:instrText xml:space="preserve"> PAGEREF _Toc404324606 \h </w:instrText>
            </w:r>
            <w:r w:rsidR="0008691B">
              <w:rPr>
                <w:noProof/>
                <w:webHidden/>
              </w:rPr>
            </w:r>
            <w:r w:rsidR="0008691B">
              <w:rPr>
                <w:noProof/>
                <w:webHidden/>
              </w:rPr>
              <w:fldChar w:fldCharType="separate"/>
            </w:r>
            <w:r w:rsidR="00CD6D6C">
              <w:rPr>
                <w:noProof/>
                <w:webHidden/>
              </w:rPr>
              <w:t>4</w:t>
            </w:r>
            <w:r w:rsidR="0008691B">
              <w:rPr>
                <w:noProof/>
                <w:webHidden/>
              </w:rPr>
              <w:fldChar w:fldCharType="end"/>
            </w:r>
          </w:hyperlink>
        </w:p>
        <w:p w:rsidR="0008691B" w:rsidRDefault="00D90BFE">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24607" w:history="1">
            <w:r w:rsidR="0008691B" w:rsidRPr="00D1621F">
              <w:rPr>
                <w:rStyle w:val="Hyperlink"/>
                <w:noProof/>
              </w:rPr>
              <w:t>Shortened forms</w:t>
            </w:r>
            <w:r w:rsidR="0008691B">
              <w:rPr>
                <w:noProof/>
                <w:webHidden/>
              </w:rPr>
              <w:tab/>
              <w:t>2-</w:t>
            </w:r>
            <w:r w:rsidR="0008691B">
              <w:rPr>
                <w:noProof/>
                <w:webHidden/>
              </w:rPr>
              <w:fldChar w:fldCharType="begin"/>
            </w:r>
            <w:r w:rsidR="0008691B">
              <w:rPr>
                <w:noProof/>
                <w:webHidden/>
              </w:rPr>
              <w:instrText xml:space="preserve"> PAGEREF _Toc404324607 \h </w:instrText>
            </w:r>
            <w:r w:rsidR="0008691B">
              <w:rPr>
                <w:noProof/>
                <w:webHidden/>
              </w:rPr>
            </w:r>
            <w:r w:rsidR="0008691B">
              <w:rPr>
                <w:noProof/>
                <w:webHidden/>
              </w:rPr>
              <w:fldChar w:fldCharType="separate"/>
            </w:r>
            <w:r w:rsidR="00CD6D6C">
              <w:rPr>
                <w:noProof/>
                <w:webHidden/>
              </w:rPr>
              <w:t>5</w:t>
            </w:r>
            <w:r w:rsidR="0008691B">
              <w:rPr>
                <w:noProof/>
                <w:webHidden/>
              </w:rPr>
              <w:fldChar w:fldCharType="end"/>
            </w:r>
          </w:hyperlink>
        </w:p>
        <w:p w:rsidR="0008691B" w:rsidRDefault="00D90BFE">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324608" w:history="1">
            <w:r w:rsidR="0008691B" w:rsidRPr="00D1621F">
              <w:rPr>
                <w:rStyle w:val="Hyperlink"/>
                <w:noProof/>
              </w:rPr>
              <w:t>2</w:t>
            </w:r>
            <w:r w:rsidR="0008691B">
              <w:rPr>
                <w:rFonts w:asciiTheme="minorHAnsi" w:eastAsiaTheme="minorEastAsia" w:hAnsiTheme="minorHAnsi" w:cstheme="minorBidi"/>
                <w:b w:val="0"/>
                <w:bCs w:val="0"/>
                <w:noProof/>
                <w:sz w:val="22"/>
                <w:szCs w:val="22"/>
                <w:lang w:eastAsia="en-AU"/>
              </w:rPr>
              <w:tab/>
            </w:r>
            <w:r w:rsidR="0008691B" w:rsidRPr="00D1621F">
              <w:rPr>
                <w:rStyle w:val="Hyperlink"/>
                <w:noProof/>
              </w:rPr>
              <w:t>Regulatory asset base</w:t>
            </w:r>
            <w:r w:rsidR="0008691B">
              <w:rPr>
                <w:noProof/>
                <w:webHidden/>
              </w:rPr>
              <w:tab/>
              <w:t>2-</w:t>
            </w:r>
            <w:r w:rsidR="0008691B">
              <w:rPr>
                <w:noProof/>
                <w:webHidden/>
              </w:rPr>
              <w:fldChar w:fldCharType="begin"/>
            </w:r>
            <w:r w:rsidR="0008691B">
              <w:rPr>
                <w:noProof/>
                <w:webHidden/>
              </w:rPr>
              <w:instrText xml:space="preserve"> PAGEREF _Toc404324608 \h </w:instrText>
            </w:r>
            <w:r w:rsidR="0008691B">
              <w:rPr>
                <w:noProof/>
                <w:webHidden/>
              </w:rPr>
            </w:r>
            <w:r w:rsidR="0008691B">
              <w:rPr>
                <w:noProof/>
                <w:webHidden/>
              </w:rPr>
              <w:fldChar w:fldCharType="separate"/>
            </w:r>
            <w:r w:rsidR="00CD6D6C">
              <w:rPr>
                <w:noProof/>
                <w:webHidden/>
              </w:rPr>
              <w:t>7</w:t>
            </w:r>
            <w:r w:rsidR="0008691B">
              <w:rPr>
                <w:noProof/>
                <w:webHidden/>
              </w:rPr>
              <w:fldChar w:fldCharType="end"/>
            </w:r>
          </w:hyperlink>
        </w:p>
        <w:p w:rsidR="0008691B" w:rsidRDefault="00D90BF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24609" w:history="1">
            <w:r w:rsidR="0008691B" w:rsidRPr="00D1621F">
              <w:rPr>
                <w:rStyle w:val="Hyperlink"/>
                <w:noProof/>
              </w:rPr>
              <w:t>2.1</w:t>
            </w:r>
            <w:r w:rsidR="0008691B">
              <w:rPr>
                <w:rFonts w:asciiTheme="minorHAnsi" w:eastAsiaTheme="minorEastAsia" w:hAnsiTheme="minorHAnsi" w:cstheme="minorBidi"/>
                <w:iCs w:val="0"/>
                <w:noProof/>
                <w:sz w:val="22"/>
                <w:szCs w:val="22"/>
                <w:lang w:eastAsia="en-AU"/>
              </w:rPr>
              <w:tab/>
            </w:r>
            <w:r w:rsidR="0008691B" w:rsidRPr="00D1621F">
              <w:rPr>
                <w:rStyle w:val="Hyperlink"/>
                <w:noProof/>
              </w:rPr>
              <w:t>Draft decision</w:t>
            </w:r>
            <w:r w:rsidR="0008691B">
              <w:rPr>
                <w:noProof/>
                <w:webHidden/>
              </w:rPr>
              <w:tab/>
              <w:t>2-</w:t>
            </w:r>
            <w:r w:rsidR="0008691B">
              <w:rPr>
                <w:noProof/>
                <w:webHidden/>
              </w:rPr>
              <w:fldChar w:fldCharType="begin"/>
            </w:r>
            <w:r w:rsidR="0008691B">
              <w:rPr>
                <w:noProof/>
                <w:webHidden/>
              </w:rPr>
              <w:instrText xml:space="preserve"> PAGEREF _Toc404324609 \h </w:instrText>
            </w:r>
            <w:r w:rsidR="0008691B">
              <w:rPr>
                <w:noProof/>
                <w:webHidden/>
              </w:rPr>
            </w:r>
            <w:r w:rsidR="0008691B">
              <w:rPr>
                <w:noProof/>
                <w:webHidden/>
              </w:rPr>
              <w:fldChar w:fldCharType="separate"/>
            </w:r>
            <w:r w:rsidR="00CD6D6C">
              <w:rPr>
                <w:noProof/>
                <w:webHidden/>
              </w:rPr>
              <w:t>7</w:t>
            </w:r>
            <w:r w:rsidR="0008691B">
              <w:rPr>
                <w:noProof/>
                <w:webHidden/>
              </w:rPr>
              <w:fldChar w:fldCharType="end"/>
            </w:r>
          </w:hyperlink>
        </w:p>
        <w:p w:rsidR="0008691B" w:rsidRDefault="00D90BF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24610" w:history="1">
            <w:r w:rsidR="0008691B" w:rsidRPr="00D1621F">
              <w:rPr>
                <w:rStyle w:val="Hyperlink"/>
                <w:noProof/>
              </w:rPr>
              <w:t>2.2</w:t>
            </w:r>
            <w:r w:rsidR="0008691B">
              <w:rPr>
                <w:rFonts w:asciiTheme="minorHAnsi" w:eastAsiaTheme="minorEastAsia" w:hAnsiTheme="minorHAnsi" w:cstheme="minorBidi"/>
                <w:iCs w:val="0"/>
                <w:noProof/>
                <w:sz w:val="22"/>
                <w:szCs w:val="22"/>
                <w:lang w:eastAsia="en-AU"/>
              </w:rPr>
              <w:tab/>
            </w:r>
            <w:r w:rsidR="0008691B" w:rsidRPr="00D1621F">
              <w:rPr>
                <w:rStyle w:val="Hyperlink"/>
                <w:noProof/>
              </w:rPr>
              <w:t>Essential Energy's proposal</w:t>
            </w:r>
            <w:r w:rsidR="0008691B">
              <w:rPr>
                <w:noProof/>
                <w:webHidden/>
              </w:rPr>
              <w:tab/>
              <w:t>2-</w:t>
            </w:r>
            <w:r w:rsidR="0008691B">
              <w:rPr>
                <w:noProof/>
                <w:webHidden/>
              </w:rPr>
              <w:fldChar w:fldCharType="begin"/>
            </w:r>
            <w:r w:rsidR="0008691B">
              <w:rPr>
                <w:noProof/>
                <w:webHidden/>
              </w:rPr>
              <w:instrText xml:space="preserve"> PAGEREF _Toc404324610 \h </w:instrText>
            </w:r>
            <w:r w:rsidR="0008691B">
              <w:rPr>
                <w:noProof/>
                <w:webHidden/>
              </w:rPr>
            </w:r>
            <w:r w:rsidR="0008691B">
              <w:rPr>
                <w:noProof/>
                <w:webHidden/>
              </w:rPr>
              <w:fldChar w:fldCharType="separate"/>
            </w:r>
            <w:r w:rsidR="00CD6D6C">
              <w:rPr>
                <w:noProof/>
                <w:webHidden/>
              </w:rPr>
              <w:t>8</w:t>
            </w:r>
            <w:r w:rsidR="0008691B">
              <w:rPr>
                <w:noProof/>
                <w:webHidden/>
              </w:rPr>
              <w:fldChar w:fldCharType="end"/>
            </w:r>
          </w:hyperlink>
        </w:p>
        <w:p w:rsidR="0008691B" w:rsidRDefault="00D90BF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24611" w:history="1">
            <w:r w:rsidR="0008691B" w:rsidRPr="00D1621F">
              <w:rPr>
                <w:rStyle w:val="Hyperlink"/>
                <w:noProof/>
              </w:rPr>
              <w:t>2.3</w:t>
            </w:r>
            <w:r w:rsidR="0008691B">
              <w:rPr>
                <w:rFonts w:asciiTheme="minorHAnsi" w:eastAsiaTheme="minorEastAsia" w:hAnsiTheme="minorHAnsi" w:cstheme="minorBidi"/>
                <w:iCs w:val="0"/>
                <w:noProof/>
                <w:sz w:val="22"/>
                <w:szCs w:val="22"/>
                <w:lang w:eastAsia="en-AU"/>
              </w:rPr>
              <w:tab/>
            </w:r>
            <w:r w:rsidR="0008691B" w:rsidRPr="00D1621F">
              <w:rPr>
                <w:rStyle w:val="Hyperlink"/>
                <w:noProof/>
              </w:rPr>
              <w:t>AER's assessment approach</w:t>
            </w:r>
            <w:r w:rsidR="0008691B">
              <w:rPr>
                <w:noProof/>
                <w:webHidden/>
              </w:rPr>
              <w:tab/>
              <w:t>2-</w:t>
            </w:r>
            <w:r w:rsidR="0008691B">
              <w:rPr>
                <w:noProof/>
                <w:webHidden/>
              </w:rPr>
              <w:fldChar w:fldCharType="begin"/>
            </w:r>
            <w:r w:rsidR="0008691B">
              <w:rPr>
                <w:noProof/>
                <w:webHidden/>
              </w:rPr>
              <w:instrText xml:space="preserve"> PAGEREF _Toc404324611 \h </w:instrText>
            </w:r>
            <w:r w:rsidR="0008691B">
              <w:rPr>
                <w:noProof/>
                <w:webHidden/>
              </w:rPr>
            </w:r>
            <w:r w:rsidR="0008691B">
              <w:rPr>
                <w:noProof/>
                <w:webHidden/>
              </w:rPr>
              <w:fldChar w:fldCharType="separate"/>
            </w:r>
            <w:r w:rsidR="00CD6D6C">
              <w:rPr>
                <w:noProof/>
                <w:webHidden/>
              </w:rPr>
              <w:t>10</w:t>
            </w:r>
            <w:r w:rsidR="0008691B">
              <w:rPr>
                <w:noProof/>
                <w:webHidden/>
              </w:rPr>
              <w:fldChar w:fldCharType="end"/>
            </w:r>
          </w:hyperlink>
        </w:p>
        <w:p w:rsidR="0008691B" w:rsidRDefault="00D90BFE">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24612" w:history="1">
            <w:r w:rsidR="0008691B" w:rsidRPr="00D1621F">
              <w:rPr>
                <w:rStyle w:val="Hyperlink"/>
                <w:noProof/>
              </w:rPr>
              <w:t>2.3.1</w:t>
            </w:r>
            <w:r w:rsidR="0008691B">
              <w:rPr>
                <w:rFonts w:asciiTheme="minorHAnsi" w:eastAsiaTheme="minorEastAsia" w:hAnsiTheme="minorHAnsi" w:cstheme="minorBidi"/>
                <w:noProof/>
                <w:sz w:val="22"/>
                <w:szCs w:val="22"/>
                <w:lang w:eastAsia="en-AU"/>
              </w:rPr>
              <w:tab/>
            </w:r>
            <w:r w:rsidR="0008691B" w:rsidRPr="00D1621F">
              <w:rPr>
                <w:rStyle w:val="Hyperlink"/>
                <w:noProof/>
              </w:rPr>
              <w:t>Interrelationships</w:t>
            </w:r>
            <w:r w:rsidR="0008691B">
              <w:rPr>
                <w:noProof/>
                <w:webHidden/>
              </w:rPr>
              <w:tab/>
              <w:t>2-</w:t>
            </w:r>
            <w:r w:rsidR="0008691B">
              <w:rPr>
                <w:noProof/>
                <w:webHidden/>
              </w:rPr>
              <w:fldChar w:fldCharType="begin"/>
            </w:r>
            <w:r w:rsidR="0008691B">
              <w:rPr>
                <w:noProof/>
                <w:webHidden/>
              </w:rPr>
              <w:instrText xml:space="preserve"> PAGEREF _Toc404324612 \h </w:instrText>
            </w:r>
            <w:r w:rsidR="0008691B">
              <w:rPr>
                <w:noProof/>
                <w:webHidden/>
              </w:rPr>
            </w:r>
            <w:r w:rsidR="0008691B">
              <w:rPr>
                <w:noProof/>
                <w:webHidden/>
              </w:rPr>
              <w:fldChar w:fldCharType="separate"/>
            </w:r>
            <w:r w:rsidR="00CD6D6C">
              <w:rPr>
                <w:noProof/>
                <w:webHidden/>
              </w:rPr>
              <w:t>11</w:t>
            </w:r>
            <w:r w:rsidR="0008691B">
              <w:rPr>
                <w:noProof/>
                <w:webHidden/>
              </w:rPr>
              <w:fldChar w:fldCharType="end"/>
            </w:r>
          </w:hyperlink>
        </w:p>
        <w:p w:rsidR="0008691B" w:rsidRDefault="00D90BFE">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24613" w:history="1">
            <w:r w:rsidR="0008691B" w:rsidRPr="00D1621F">
              <w:rPr>
                <w:rStyle w:val="Hyperlink"/>
                <w:noProof/>
              </w:rPr>
              <w:t>2.4</w:t>
            </w:r>
            <w:r w:rsidR="0008691B">
              <w:rPr>
                <w:rFonts w:asciiTheme="minorHAnsi" w:eastAsiaTheme="minorEastAsia" w:hAnsiTheme="minorHAnsi" w:cstheme="minorBidi"/>
                <w:iCs w:val="0"/>
                <w:noProof/>
                <w:sz w:val="22"/>
                <w:szCs w:val="22"/>
                <w:lang w:eastAsia="en-AU"/>
              </w:rPr>
              <w:tab/>
            </w:r>
            <w:r w:rsidR="0008691B" w:rsidRPr="00D1621F">
              <w:rPr>
                <w:rStyle w:val="Hyperlink"/>
                <w:noProof/>
              </w:rPr>
              <w:t>Reasons for draft decision</w:t>
            </w:r>
            <w:r w:rsidR="0008691B">
              <w:rPr>
                <w:noProof/>
                <w:webHidden/>
              </w:rPr>
              <w:tab/>
              <w:t>2-</w:t>
            </w:r>
            <w:r w:rsidR="0008691B">
              <w:rPr>
                <w:noProof/>
                <w:webHidden/>
              </w:rPr>
              <w:fldChar w:fldCharType="begin"/>
            </w:r>
            <w:r w:rsidR="0008691B">
              <w:rPr>
                <w:noProof/>
                <w:webHidden/>
              </w:rPr>
              <w:instrText xml:space="preserve"> PAGEREF _Toc404324613 \h </w:instrText>
            </w:r>
            <w:r w:rsidR="0008691B">
              <w:rPr>
                <w:noProof/>
                <w:webHidden/>
              </w:rPr>
            </w:r>
            <w:r w:rsidR="0008691B">
              <w:rPr>
                <w:noProof/>
                <w:webHidden/>
              </w:rPr>
              <w:fldChar w:fldCharType="separate"/>
            </w:r>
            <w:r w:rsidR="00CD6D6C">
              <w:rPr>
                <w:noProof/>
                <w:webHidden/>
              </w:rPr>
              <w:t>13</w:t>
            </w:r>
            <w:r w:rsidR="0008691B">
              <w:rPr>
                <w:noProof/>
                <w:webHidden/>
              </w:rPr>
              <w:fldChar w:fldCharType="end"/>
            </w:r>
          </w:hyperlink>
        </w:p>
        <w:p w:rsidR="0008691B" w:rsidRDefault="00D90BFE">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24614" w:history="1">
            <w:r w:rsidR="0008691B" w:rsidRPr="00D1621F">
              <w:rPr>
                <w:rStyle w:val="Hyperlink"/>
                <w:noProof/>
              </w:rPr>
              <w:t>2.4.1</w:t>
            </w:r>
            <w:r w:rsidR="0008691B">
              <w:rPr>
                <w:rFonts w:asciiTheme="minorHAnsi" w:eastAsiaTheme="minorEastAsia" w:hAnsiTheme="minorHAnsi" w:cstheme="minorBidi"/>
                <w:noProof/>
                <w:sz w:val="22"/>
                <w:szCs w:val="22"/>
                <w:lang w:eastAsia="en-AU"/>
              </w:rPr>
              <w:tab/>
            </w:r>
            <w:r w:rsidR="0008691B" w:rsidRPr="00D1621F">
              <w:rPr>
                <w:rStyle w:val="Hyperlink"/>
                <w:noProof/>
              </w:rPr>
              <w:t>Opening RAB as at 1 July 2014</w:t>
            </w:r>
            <w:r w:rsidR="0008691B">
              <w:rPr>
                <w:noProof/>
                <w:webHidden/>
              </w:rPr>
              <w:tab/>
              <w:t>2-</w:t>
            </w:r>
            <w:r w:rsidR="0008691B">
              <w:rPr>
                <w:noProof/>
                <w:webHidden/>
              </w:rPr>
              <w:fldChar w:fldCharType="begin"/>
            </w:r>
            <w:r w:rsidR="0008691B">
              <w:rPr>
                <w:noProof/>
                <w:webHidden/>
              </w:rPr>
              <w:instrText xml:space="preserve"> PAGEREF _Toc404324614 \h </w:instrText>
            </w:r>
            <w:r w:rsidR="0008691B">
              <w:rPr>
                <w:noProof/>
                <w:webHidden/>
              </w:rPr>
            </w:r>
            <w:r w:rsidR="0008691B">
              <w:rPr>
                <w:noProof/>
                <w:webHidden/>
              </w:rPr>
              <w:fldChar w:fldCharType="separate"/>
            </w:r>
            <w:r w:rsidR="00CD6D6C">
              <w:rPr>
                <w:noProof/>
                <w:webHidden/>
              </w:rPr>
              <w:t>13</w:t>
            </w:r>
            <w:r w:rsidR="0008691B">
              <w:rPr>
                <w:noProof/>
                <w:webHidden/>
              </w:rPr>
              <w:fldChar w:fldCharType="end"/>
            </w:r>
          </w:hyperlink>
        </w:p>
        <w:p w:rsidR="0008691B" w:rsidRDefault="00D90BFE">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24615" w:history="1">
            <w:r w:rsidR="0008691B" w:rsidRPr="00D1621F">
              <w:rPr>
                <w:rStyle w:val="Hyperlink"/>
                <w:noProof/>
              </w:rPr>
              <w:t>2.4.2</w:t>
            </w:r>
            <w:r w:rsidR="0008691B">
              <w:rPr>
                <w:rFonts w:asciiTheme="minorHAnsi" w:eastAsiaTheme="minorEastAsia" w:hAnsiTheme="minorHAnsi" w:cstheme="minorBidi"/>
                <w:noProof/>
                <w:sz w:val="22"/>
                <w:szCs w:val="22"/>
                <w:lang w:eastAsia="en-AU"/>
              </w:rPr>
              <w:tab/>
            </w:r>
            <w:r w:rsidR="0008691B" w:rsidRPr="00D1621F">
              <w:rPr>
                <w:rStyle w:val="Hyperlink"/>
                <w:noProof/>
              </w:rPr>
              <w:t>Forecast closing RAB as at 30 June 2019</w:t>
            </w:r>
            <w:r w:rsidR="0008691B">
              <w:rPr>
                <w:noProof/>
                <w:webHidden/>
              </w:rPr>
              <w:tab/>
              <w:t>2-</w:t>
            </w:r>
            <w:r w:rsidR="0008691B">
              <w:rPr>
                <w:noProof/>
                <w:webHidden/>
              </w:rPr>
              <w:fldChar w:fldCharType="begin"/>
            </w:r>
            <w:r w:rsidR="0008691B">
              <w:rPr>
                <w:noProof/>
                <w:webHidden/>
              </w:rPr>
              <w:instrText xml:space="preserve"> PAGEREF _Toc404324615 \h </w:instrText>
            </w:r>
            <w:r w:rsidR="0008691B">
              <w:rPr>
                <w:noProof/>
                <w:webHidden/>
              </w:rPr>
            </w:r>
            <w:r w:rsidR="0008691B">
              <w:rPr>
                <w:noProof/>
                <w:webHidden/>
              </w:rPr>
              <w:fldChar w:fldCharType="separate"/>
            </w:r>
            <w:r w:rsidR="00CD6D6C">
              <w:rPr>
                <w:noProof/>
                <w:webHidden/>
              </w:rPr>
              <w:t>14</w:t>
            </w:r>
            <w:r w:rsidR="0008691B">
              <w:rPr>
                <w:noProof/>
                <w:webHidden/>
              </w:rPr>
              <w:fldChar w:fldCharType="end"/>
            </w:r>
          </w:hyperlink>
        </w:p>
        <w:p w:rsidR="0008691B" w:rsidRDefault="00D90BFE">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24616" w:history="1">
            <w:r w:rsidR="0008691B" w:rsidRPr="00D1621F">
              <w:rPr>
                <w:rStyle w:val="Hyperlink"/>
                <w:noProof/>
              </w:rPr>
              <w:t>2.4.3</w:t>
            </w:r>
            <w:r w:rsidR="0008691B">
              <w:rPr>
                <w:rFonts w:asciiTheme="minorHAnsi" w:eastAsiaTheme="minorEastAsia" w:hAnsiTheme="minorHAnsi" w:cstheme="minorBidi"/>
                <w:noProof/>
                <w:sz w:val="22"/>
                <w:szCs w:val="22"/>
                <w:lang w:eastAsia="en-AU"/>
              </w:rPr>
              <w:tab/>
            </w:r>
            <w:r w:rsidR="0008691B" w:rsidRPr="00D1621F">
              <w:rPr>
                <w:rStyle w:val="Hyperlink"/>
                <w:noProof/>
              </w:rPr>
              <w:t>Application of depreciation approach in RAB roll forward for next reset</w:t>
            </w:r>
            <w:r w:rsidR="0008691B">
              <w:rPr>
                <w:noProof/>
                <w:webHidden/>
              </w:rPr>
              <w:tab/>
              <w:t>2-</w:t>
            </w:r>
            <w:r w:rsidR="0008691B">
              <w:rPr>
                <w:noProof/>
                <w:webHidden/>
              </w:rPr>
              <w:fldChar w:fldCharType="begin"/>
            </w:r>
            <w:r w:rsidR="0008691B">
              <w:rPr>
                <w:noProof/>
                <w:webHidden/>
              </w:rPr>
              <w:instrText xml:space="preserve"> PAGEREF _Toc404324616 \h </w:instrText>
            </w:r>
            <w:r w:rsidR="0008691B">
              <w:rPr>
                <w:noProof/>
                <w:webHidden/>
              </w:rPr>
            </w:r>
            <w:r w:rsidR="0008691B">
              <w:rPr>
                <w:noProof/>
                <w:webHidden/>
              </w:rPr>
              <w:fldChar w:fldCharType="separate"/>
            </w:r>
            <w:r w:rsidR="00CD6D6C">
              <w:rPr>
                <w:noProof/>
                <w:webHidden/>
              </w:rPr>
              <w:t>14</w:t>
            </w:r>
            <w:r w:rsidR="0008691B">
              <w:rPr>
                <w:noProof/>
                <w:webHidden/>
              </w:rPr>
              <w:fldChar w:fldCharType="end"/>
            </w:r>
          </w:hyperlink>
        </w:p>
        <w:p w:rsidR="0008691B" w:rsidRPr="0008691B" w:rsidRDefault="0008691B" w:rsidP="0008691B">
          <w:pPr>
            <w:pStyle w:val="AERbodytext"/>
          </w:pPr>
          <w:r>
            <w:fldChar w:fldCharType="end"/>
          </w:r>
        </w:p>
      </w:sdtContent>
    </w:sdt>
    <w:p w:rsidR="0008691B" w:rsidRPr="0008691B" w:rsidRDefault="0008691B" w:rsidP="0008691B">
      <w:pPr>
        <w:pStyle w:val="AERbodytext"/>
      </w:pPr>
    </w:p>
    <w:p w:rsidR="004421FF" w:rsidRDefault="004421FF" w:rsidP="004421FF">
      <w:pPr>
        <w:pStyle w:val="UnnumberedHeading"/>
        <w:numPr>
          <w:ilvl w:val="0"/>
          <w:numId w:val="49"/>
        </w:numPr>
      </w:pPr>
      <w:bookmarkStart w:id="6" w:name="_Toc402537455"/>
      <w:bookmarkStart w:id="7" w:name="_Toc404246236"/>
      <w:bookmarkStart w:id="8" w:name="_Toc404321285"/>
      <w:bookmarkStart w:id="9" w:name="_Toc404324607"/>
      <w:r>
        <w:lastRenderedPageBreak/>
        <w:t>Shortened forms</w:t>
      </w:r>
      <w:bookmarkEnd w:id="6"/>
      <w:bookmarkEnd w:id="7"/>
      <w:bookmarkEnd w:id="8"/>
      <w:bookmarkEnd w:id="9"/>
    </w:p>
    <w:tbl>
      <w:tblPr>
        <w:tblStyle w:val="AERtable-numbers"/>
        <w:tblW w:w="0" w:type="auto"/>
        <w:tblLook w:val="04A0" w:firstRow="1" w:lastRow="0" w:firstColumn="1" w:lastColumn="0" w:noHBand="0" w:noVBand="1"/>
      </w:tblPr>
      <w:tblGrid>
        <w:gridCol w:w="4621"/>
        <w:gridCol w:w="4621"/>
      </w:tblGrid>
      <w:tr w:rsidR="004421FF" w:rsidTr="000869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Shortened form</w:t>
            </w:r>
          </w:p>
        </w:tc>
        <w:tc>
          <w:tcPr>
            <w:tcW w:w="4621" w:type="dxa"/>
          </w:tcPr>
          <w:p w:rsidR="004421FF" w:rsidRPr="00720C39" w:rsidRDefault="004421FF" w:rsidP="004421FF">
            <w:pPr>
              <w:pStyle w:val="AERbodytext"/>
              <w:cnfStyle w:val="100000000000" w:firstRow="1" w:lastRow="0" w:firstColumn="0" w:lastColumn="0" w:oddVBand="0" w:evenVBand="0" w:oddHBand="0" w:evenHBand="0" w:firstRowFirstColumn="0" w:firstRowLastColumn="0" w:lastRowFirstColumn="0" w:lastRowLastColumn="0"/>
            </w:pPr>
            <w:r w:rsidRPr="00720C39">
              <w:t>Extended form</w:t>
            </w:r>
          </w:p>
        </w:tc>
      </w:tr>
      <w:tr w:rsidR="004421FF" w:rsidTr="0008691B">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AARR</w:t>
            </w:r>
          </w:p>
        </w:tc>
        <w:tc>
          <w:tcPr>
            <w:tcW w:w="4621" w:type="dxa"/>
          </w:tcPr>
          <w:p w:rsidR="004421FF" w:rsidRPr="00720C39" w:rsidRDefault="004421FF" w:rsidP="004421FF">
            <w:pPr>
              <w:pStyle w:val="AERbodytext"/>
              <w:cnfStyle w:val="000000000000" w:firstRow="0" w:lastRow="0" w:firstColumn="0" w:lastColumn="0" w:oddVBand="0" w:evenVBand="0" w:oddHBand="0" w:evenHBand="0" w:firstRowFirstColumn="0" w:firstRowLastColumn="0" w:lastRowFirstColumn="0" w:lastRowLastColumn="0"/>
            </w:pPr>
            <w:r w:rsidRPr="00720C39">
              <w:t>aggregate annual revenue requirement</w:t>
            </w:r>
          </w:p>
        </w:tc>
      </w:tr>
      <w:tr w:rsidR="004421FF" w:rsidTr="00086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AEMC</w:t>
            </w:r>
          </w:p>
        </w:tc>
        <w:tc>
          <w:tcPr>
            <w:tcW w:w="4621" w:type="dxa"/>
          </w:tcPr>
          <w:p w:rsidR="004421FF" w:rsidRPr="00720C39" w:rsidRDefault="004421FF" w:rsidP="004421FF">
            <w:pPr>
              <w:pStyle w:val="AERbodytext"/>
              <w:cnfStyle w:val="000000010000" w:firstRow="0" w:lastRow="0" w:firstColumn="0" w:lastColumn="0" w:oddVBand="0" w:evenVBand="0" w:oddHBand="0" w:evenHBand="1" w:firstRowFirstColumn="0" w:firstRowLastColumn="0" w:lastRowFirstColumn="0" w:lastRowLastColumn="0"/>
            </w:pPr>
            <w:r w:rsidRPr="00720C39">
              <w:t>Australian Energy Market Commission</w:t>
            </w:r>
          </w:p>
        </w:tc>
      </w:tr>
      <w:tr w:rsidR="004421FF" w:rsidTr="0008691B">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AEMO</w:t>
            </w:r>
          </w:p>
        </w:tc>
        <w:tc>
          <w:tcPr>
            <w:tcW w:w="4621" w:type="dxa"/>
          </w:tcPr>
          <w:p w:rsidR="004421FF" w:rsidRPr="00720C39" w:rsidRDefault="004421FF" w:rsidP="004421FF">
            <w:pPr>
              <w:pStyle w:val="AERbodytext"/>
              <w:cnfStyle w:val="000000000000" w:firstRow="0" w:lastRow="0" w:firstColumn="0" w:lastColumn="0" w:oddVBand="0" w:evenVBand="0" w:oddHBand="0" w:evenHBand="0" w:firstRowFirstColumn="0" w:firstRowLastColumn="0" w:lastRowFirstColumn="0" w:lastRowLastColumn="0"/>
            </w:pPr>
            <w:r w:rsidRPr="00720C39">
              <w:t>Australian Energy Market Operator</w:t>
            </w:r>
          </w:p>
        </w:tc>
      </w:tr>
      <w:tr w:rsidR="004421FF" w:rsidTr="00086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AER</w:t>
            </w:r>
          </w:p>
        </w:tc>
        <w:tc>
          <w:tcPr>
            <w:tcW w:w="4621" w:type="dxa"/>
          </w:tcPr>
          <w:p w:rsidR="004421FF" w:rsidRPr="00720C39" w:rsidRDefault="004421FF" w:rsidP="004421FF">
            <w:pPr>
              <w:pStyle w:val="AERbodytext"/>
              <w:cnfStyle w:val="000000010000" w:firstRow="0" w:lastRow="0" w:firstColumn="0" w:lastColumn="0" w:oddVBand="0" w:evenVBand="0" w:oddHBand="0" w:evenHBand="1" w:firstRowFirstColumn="0" w:firstRowLastColumn="0" w:lastRowFirstColumn="0" w:lastRowLastColumn="0"/>
            </w:pPr>
            <w:r w:rsidRPr="00720C39">
              <w:t>Australian Energy Regulator</w:t>
            </w:r>
          </w:p>
        </w:tc>
      </w:tr>
      <w:tr w:rsidR="004421FF" w:rsidTr="0008691B">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ASRR</w:t>
            </w:r>
          </w:p>
        </w:tc>
        <w:tc>
          <w:tcPr>
            <w:tcW w:w="4621" w:type="dxa"/>
          </w:tcPr>
          <w:p w:rsidR="004421FF" w:rsidRPr="00720C39" w:rsidRDefault="004421FF" w:rsidP="004421FF">
            <w:pPr>
              <w:pStyle w:val="AERbodytext"/>
              <w:cnfStyle w:val="000000000000" w:firstRow="0" w:lastRow="0" w:firstColumn="0" w:lastColumn="0" w:oddVBand="0" w:evenVBand="0" w:oddHBand="0" w:evenHBand="0" w:firstRowFirstColumn="0" w:firstRowLastColumn="0" w:lastRowFirstColumn="0" w:lastRowLastColumn="0"/>
            </w:pPr>
            <w:r w:rsidRPr="00720C39">
              <w:t>aggregate service revenue requirement</w:t>
            </w:r>
          </w:p>
        </w:tc>
      </w:tr>
      <w:tr w:rsidR="004421FF" w:rsidTr="00086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proofErr w:type="spellStart"/>
            <w:r w:rsidRPr="00720C39">
              <w:t>augex</w:t>
            </w:r>
            <w:proofErr w:type="spellEnd"/>
          </w:p>
        </w:tc>
        <w:tc>
          <w:tcPr>
            <w:tcW w:w="4621" w:type="dxa"/>
          </w:tcPr>
          <w:p w:rsidR="004421FF" w:rsidRPr="00720C39" w:rsidRDefault="004421FF" w:rsidP="004421FF">
            <w:pPr>
              <w:pStyle w:val="AERbodytext"/>
              <w:cnfStyle w:val="000000010000" w:firstRow="0" w:lastRow="0" w:firstColumn="0" w:lastColumn="0" w:oddVBand="0" w:evenVBand="0" w:oddHBand="0" w:evenHBand="1" w:firstRowFirstColumn="0" w:firstRowLastColumn="0" w:lastRowFirstColumn="0" w:lastRowLastColumn="0"/>
            </w:pPr>
            <w:r w:rsidRPr="00720C39">
              <w:t>augmentation expenditure</w:t>
            </w:r>
          </w:p>
        </w:tc>
      </w:tr>
      <w:tr w:rsidR="004421FF" w:rsidTr="0008691B">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proofErr w:type="spellStart"/>
            <w:r w:rsidRPr="00720C39">
              <w:t>capex</w:t>
            </w:r>
            <w:proofErr w:type="spellEnd"/>
          </w:p>
        </w:tc>
        <w:tc>
          <w:tcPr>
            <w:tcW w:w="4621" w:type="dxa"/>
          </w:tcPr>
          <w:p w:rsidR="004421FF" w:rsidRPr="00720C39" w:rsidRDefault="004421FF" w:rsidP="004421FF">
            <w:pPr>
              <w:pStyle w:val="AERbodytext"/>
              <w:cnfStyle w:val="000000000000" w:firstRow="0" w:lastRow="0" w:firstColumn="0" w:lastColumn="0" w:oddVBand="0" w:evenVBand="0" w:oddHBand="0" w:evenHBand="0" w:firstRowFirstColumn="0" w:firstRowLastColumn="0" w:lastRowFirstColumn="0" w:lastRowLastColumn="0"/>
            </w:pPr>
            <w:r w:rsidRPr="00720C39">
              <w:t>capital expenditure</w:t>
            </w:r>
          </w:p>
        </w:tc>
      </w:tr>
      <w:tr w:rsidR="004421FF" w:rsidTr="00086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CCP</w:t>
            </w:r>
          </w:p>
        </w:tc>
        <w:tc>
          <w:tcPr>
            <w:tcW w:w="4621" w:type="dxa"/>
          </w:tcPr>
          <w:p w:rsidR="004421FF" w:rsidRPr="00720C39" w:rsidRDefault="004421FF" w:rsidP="004421FF">
            <w:pPr>
              <w:pStyle w:val="AERbodytext"/>
              <w:cnfStyle w:val="000000010000" w:firstRow="0" w:lastRow="0" w:firstColumn="0" w:lastColumn="0" w:oddVBand="0" w:evenVBand="0" w:oddHBand="0" w:evenHBand="1" w:firstRowFirstColumn="0" w:firstRowLastColumn="0" w:lastRowFirstColumn="0" w:lastRowLastColumn="0"/>
            </w:pPr>
            <w:r w:rsidRPr="00720C39">
              <w:t>Consumer Challenge Panel</w:t>
            </w:r>
          </w:p>
        </w:tc>
      </w:tr>
      <w:tr w:rsidR="004421FF" w:rsidTr="0008691B">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CESS</w:t>
            </w:r>
          </w:p>
        </w:tc>
        <w:tc>
          <w:tcPr>
            <w:tcW w:w="4621" w:type="dxa"/>
          </w:tcPr>
          <w:p w:rsidR="004421FF" w:rsidRPr="00720C39" w:rsidRDefault="004421FF" w:rsidP="004421FF">
            <w:pPr>
              <w:pStyle w:val="AERbodytext"/>
              <w:cnfStyle w:val="000000000000" w:firstRow="0" w:lastRow="0" w:firstColumn="0" w:lastColumn="0" w:oddVBand="0" w:evenVBand="0" w:oddHBand="0" w:evenHBand="0" w:firstRowFirstColumn="0" w:firstRowLastColumn="0" w:lastRowFirstColumn="0" w:lastRowLastColumn="0"/>
            </w:pPr>
            <w:r w:rsidRPr="00720C39">
              <w:t>capital expenditure sharing scheme</w:t>
            </w:r>
          </w:p>
        </w:tc>
      </w:tr>
      <w:tr w:rsidR="004421FF" w:rsidTr="00086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CPI</w:t>
            </w:r>
          </w:p>
        </w:tc>
        <w:tc>
          <w:tcPr>
            <w:tcW w:w="4621" w:type="dxa"/>
          </w:tcPr>
          <w:p w:rsidR="004421FF" w:rsidRPr="00720C39" w:rsidRDefault="004421FF" w:rsidP="004421FF">
            <w:pPr>
              <w:pStyle w:val="AERbodytext"/>
              <w:cnfStyle w:val="000000010000" w:firstRow="0" w:lastRow="0" w:firstColumn="0" w:lastColumn="0" w:oddVBand="0" w:evenVBand="0" w:oddHBand="0" w:evenHBand="1" w:firstRowFirstColumn="0" w:firstRowLastColumn="0" w:lastRowFirstColumn="0" w:lastRowLastColumn="0"/>
            </w:pPr>
            <w:r w:rsidRPr="00720C39">
              <w:t>consumer price index</w:t>
            </w:r>
          </w:p>
        </w:tc>
      </w:tr>
      <w:tr w:rsidR="004421FF" w:rsidTr="0008691B">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CPI-X</w:t>
            </w:r>
          </w:p>
        </w:tc>
        <w:tc>
          <w:tcPr>
            <w:tcW w:w="4621" w:type="dxa"/>
          </w:tcPr>
          <w:p w:rsidR="004421FF" w:rsidRPr="00720C39" w:rsidRDefault="004421FF" w:rsidP="004421FF">
            <w:pPr>
              <w:pStyle w:val="AERbodytext"/>
              <w:cnfStyle w:val="000000000000" w:firstRow="0" w:lastRow="0" w:firstColumn="0" w:lastColumn="0" w:oddVBand="0" w:evenVBand="0" w:oddHBand="0" w:evenHBand="0" w:firstRowFirstColumn="0" w:firstRowLastColumn="0" w:lastRowFirstColumn="0" w:lastRowLastColumn="0"/>
            </w:pPr>
            <w:r w:rsidRPr="00720C39">
              <w:t>consumer price index minus X</w:t>
            </w:r>
          </w:p>
        </w:tc>
      </w:tr>
      <w:tr w:rsidR="004421FF" w:rsidTr="00086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DRP</w:t>
            </w:r>
          </w:p>
        </w:tc>
        <w:tc>
          <w:tcPr>
            <w:tcW w:w="4621" w:type="dxa"/>
          </w:tcPr>
          <w:p w:rsidR="004421FF" w:rsidRPr="00720C39" w:rsidRDefault="004421FF" w:rsidP="004421FF">
            <w:pPr>
              <w:pStyle w:val="AERbodytext"/>
              <w:cnfStyle w:val="000000010000" w:firstRow="0" w:lastRow="0" w:firstColumn="0" w:lastColumn="0" w:oddVBand="0" w:evenVBand="0" w:oddHBand="0" w:evenHBand="1" w:firstRowFirstColumn="0" w:firstRowLastColumn="0" w:lastRowFirstColumn="0" w:lastRowLastColumn="0"/>
            </w:pPr>
            <w:r w:rsidRPr="00720C39">
              <w:t>debt risk premium</w:t>
            </w:r>
          </w:p>
        </w:tc>
      </w:tr>
      <w:tr w:rsidR="004421FF" w:rsidTr="0008691B">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DMIA</w:t>
            </w:r>
          </w:p>
        </w:tc>
        <w:tc>
          <w:tcPr>
            <w:tcW w:w="4621" w:type="dxa"/>
          </w:tcPr>
          <w:p w:rsidR="004421FF" w:rsidRPr="00720C39" w:rsidRDefault="004421FF" w:rsidP="004421FF">
            <w:pPr>
              <w:pStyle w:val="AERbodytext"/>
              <w:cnfStyle w:val="000000000000" w:firstRow="0" w:lastRow="0" w:firstColumn="0" w:lastColumn="0" w:oddVBand="0" w:evenVBand="0" w:oddHBand="0" w:evenHBand="0" w:firstRowFirstColumn="0" w:firstRowLastColumn="0" w:lastRowFirstColumn="0" w:lastRowLastColumn="0"/>
            </w:pPr>
            <w:r w:rsidRPr="00720C39">
              <w:t>demand management innovation allowance</w:t>
            </w:r>
          </w:p>
        </w:tc>
      </w:tr>
      <w:tr w:rsidR="004421FF" w:rsidTr="00086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DMIS</w:t>
            </w:r>
          </w:p>
        </w:tc>
        <w:tc>
          <w:tcPr>
            <w:tcW w:w="4621" w:type="dxa"/>
          </w:tcPr>
          <w:p w:rsidR="004421FF" w:rsidRPr="00720C39" w:rsidRDefault="004421FF" w:rsidP="004421FF">
            <w:pPr>
              <w:pStyle w:val="AERbodytext"/>
              <w:cnfStyle w:val="000000010000" w:firstRow="0" w:lastRow="0" w:firstColumn="0" w:lastColumn="0" w:oddVBand="0" w:evenVBand="0" w:oddHBand="0" w:evenHBand="1" w:firstRowFirstColumn="0" w:firstRowLastColumn="0" w:lastRowFirstColumn="0" w:lastRowLastColumn="0"/>
            </w:pPr>
            <w:r w:rsidRPr="00720C39">
              <w:t>demand management incentive scheme</w:t>
            </w:r>
          </w:p>
        </w:tc>
      </w:tr>
      <w:tr w:rsidR="004421FF" w:rsidTr="0008691B">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distributor</w:t>
            </w:r>
          </w:p>
        </w:tc>
        <w:tc>
          <w:tcPr>
            <w:tcW w:w="4621" w:type="dxa"/>
          </w:tcPr>
          <w:p w:rsidR="004421FF" w:rsidRPr="00720C39" w:rsidRDefault="004421FF" w:rsidP="004421FF">
            <w:pPr>
              <w:pStyle w:val="AERbodytext"/>
              <w:cnfStyle w:val="000000000000" w:firstRow="0" w:lastRow="0" w:firstColumn="0" w:lastColumn="0" w:oddVBand="0" w:evenVBand="0" w:oddHBand="0" w:evenHBand="0" w:firstRowFirstColumn="0" w:firstRowLastColumn="0" w:lastRowFirstColumn="0" w:lastRowLastColumn="0"/>
            </w:pPr>
            <w:r w:rsidRPr="00720C39">
              <w:t>distribution network service provider</w:t>
            </w:r>
          </w:p>
        </w:tc>
      </w:tr>
      <w:tr w:rsidR="004421FF" w:rsidTr="00086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proofErr w:type="spellStart"/>
            <w:r w:rsidRPr="00720C39">
              <w:t>DUoS</w:t>
            </w:r>
            <w:proofErr w:type="spellEnd"/>
          </w:p>
        </w:tc>
        <w:tc>
          <w:tcPr>
            <w:tcW w:w="4621" w:type="dxa"/>
          </w:tcPr>
          <w:p w:rsidR="004421FF" w:rsidRPr="00720C39" w:rsidRDefault="004421FF" w:rsidP="004421FF">
            <w:pPr>
              <w:pStyle w:val="AERbodytext"/>
              <w:cnfStyle w:val="000000010000" w:firstRow="0" w:lastRow="0" w:firstColumn="0" w:lastColumn="0" w:oddVBand="0" w:evenVBand="0" w:oddHBand="0" w:evenHBand="1" w:firstRowFirstColumn="0" w:firstRowLastColumn="0" w:lastRowFirstColumn="0" w:lastRowLastColumn="0"/>
            </w:pPr>
            <w:r w:rsidRPr="00720C39">
              <w:t>distribution use of system</w:t>
            </w:r>
          </w:p>
        </w:tc>
      </w:tr>
      <w:tr w:rsidR="004421FF" w:rsidTr="0008691B">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EBSS</w:t>
            </w:r>
          </w:p>
        </w:tc>
        <w:tc>
          <w:tcPr>
            <w:tcW w:w="4621" w:type="dxa"/>
          </w:tcPr>
          <w:p w:rsidR="004421FF" w:rsidRPr="00720C39" w:rsidRDefault="004421FF" w:rsidP="004421FF">
            <w:pPr>
              <w:pStyle w:val="AERbodytext"/>
              <w:cnfStyle w:val="000000000000" w:firstRow="0" w:lastRow="0" w:firstColumn="0" w:lastColumn="0" w:oddVBand="0" w:evenVBand="0" w:oddHBand="0" w:evenHBand="0" w:firstRowFirstColumn="0" w:firstRowLastColumn="0" w:lastRowFirstColumn="0" w:lastRowLastColumn="0"/>
            </w:pPr>
            <w:r w:rsidRPr="00720C39">
              <w:t>efficiency benefit sharing scheme</w:t>
            </w:r>
          </w:p>
        </w:tc>
      </w:tr>
      <w:tr w:rsidR="004421FF" w:rsidTr="00086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ERP</w:t>
            </w:r>
          </w:p>
        </w:tc>
        <w:tc>
          <w:tcPr>
            <w:tcW w:w="4621" w:type="dxa"/>
          </w:tcPr>
          <w:p w:rsidR="004421FF" w:rsidRPr="00720C39" w:rsidRDefault="004421FF" w:rsidP="004421FF">
            <w:pPr>
              <w:pStyle w:val="AERbodytext"/>
              <w:cnfStyle w:val="000000010000" w:firstRow="0" w:lastRow="0" w:firstColumn="0" w:lastColumn="0" w:oddVBand="0" w:evenVBand="0" w:oddHBand="0" w:evenHBand="1" w:firstRowFirstColumn="0" w:firstRowLastColumn="0" w:lastRowFirstColumn="0" w:lastRowLastColumn="0"/>
            </w:pPr>
            <w:r w:rsidRPr="00720C39">
              <w:t>equity risk premium</w:t>
            </w:r>
          </w:p>
        </w:tc>
      </w:tr>
      <w:tr w:rsidR="004421FF" w:rsidTr="0008691B">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expenditure assessment guideline</w:t>
            </w:r>
          </w:p>
        </w:tc>
        <w:tc>
          <w:tcPr>
            <w:tcW w:w="4621" w:type="dxa"/>
          </w:tcPr>
          <w:p w:rsidR="004421FF" w:rsidRPr="00720C39" w:rsidRDefault="004421FF" w:rsidP="004421FF">
            <w:pPr>
              <w:pStyle w:val="AERbodytext"/>
              <w:cnfStyle w:val="000000000000" w:firstRow="0" w:lastRow="0" w:firstColumn="0" w:lastColumn="0" w:oddVBand="0" w:evenVBand="0" w:oddHBand="0" w:evenHBand="0" w:firstRowFirstColumn="0" w:firstRowLastColumn="0" w:lastRowFirstColumn="0" w:lastRowLastColumn="0"/>
            </w:pPr>
            <w:r w:rsidRPr="00720C39">
              <w:t>expenditure forecast assessment guideline for electricity distribution</w:t>
            </w:r>
          </w:p>
        </w:tc>
      </w:tr>
      <w:tr w:rsidR="004421FF" w:rsidTr="00086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F&amp;A</w:t>
            </w:r>
          </w:p>
        </w:tc>
        <w:tc>
          <w:tcPr>
            <w:tcW w:w="4621" w:type="dxa"/>
          </w:tcPr>
          <w:p w:rsidR="004421FF" w:rsidRPr="00720C39" w:rsidRDefault="004421FF" w:rsidP="004421FF">
            <w:pPr>
              <w:pStyle w:val="AERbodytext"/>
              <w:cnfStyle w:val="000000010000" w:firstRow="0" w:lastRow="0" w:firstColumn="0" w:lastColumn="0" w:oddVBand="0" w:evenVBand="0" w:oddHBand="0" w:evenHBand="1" w:firstRowFirstColumn="0" w:firstRowLastColumn="0" w:lastRowFirstColumn="0" w:lastRowLastColumn="0"/>
            </w:pPr>
            <w:r w:rsidRPr="00720C39">
              <w:t>framework and approach</w:t>
            </w:r>
          </w:p>
        </w:tc>
      </w:tr>
      <w:tr w:rsidR="004421FF" w:rsidTr="0008691B">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MRP</w:t>
            </w:r>
          </w:p>
        </w:tc>
        <w:tc>
          <w:tcPr>
            <w:tcW w:w="4621" w:type="dxa"/>
          </w:tcPr>
          <w:p w:rsidR="004421FF" w:rsidRPr="00720C39" w:rsidRDefault="004421FF" w:rsidP="004421FF">
            <w:pPr>
              <w:pStyle w:val="AERbodytext"/>
              <w:cnfStyle w:val="000000000000" w:firstRow="0" w:lastRow="0" w:firstColumn="0" w:lastColumn="0" w:oddVBand="0" w:evenVBand="0" w:oddHBand="0" w:evenHBand="0" w:firstRowFirstColumn="0" w:firstRowLastColumn="0" w:lastRowFirstColumn="0" w:lastRowLastColumn="0"/>
            </w:pPr>
            <w:r w:rsidRPr="00720C39">
              <w:t>market risk premium</w:t>
            </w:r>
          </w:p>
        </w:tc>
      </w:tr>
      <w:tr w:rsidR="004421FF" w:rsidTr="00086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lastRenderedPageBreak/>
              <w:t>NEL</w:t>
            </w:r>
          </w:p>
        </w:tc>
        <w:tc>
          <w:tcPr>
            <w:tcW w:w="4621" w:type="dxa"/>
          </w:tcPr>
          <w:p w:rsidR="004421FF" w:rsidRPr="00720C39" w:rsidRDefault="004421FF" w:rsidP="004421FF">
            <w:pPr>
              <w:pStyle w:val="AERbodytext"/>
              <w:cnfStyle w:val="000000010000" w:firstRow="0" w:lastRow="0" w:firstColumn="0" w:lastColumn="0" w:oddVBand="0" w:evenVBand="0" w:oddHBand="0" w:evenHBand="1" w:firstRowFirstColumn="0" w:firstRowLastColumn="0" w:lastRowFirstColumn="0" w:lastRowLastColumn="0"/>
            </w:pPr>
            <w:r w:rsidRPr="00720C39">
              <w:t>national electricity law</w:t>
            </w:r>
          </w:p>
        </w:tc>
      </w:tr>
      <w:tr w:rsidR="004421FF" w:rsidTr="0008691B">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NEM</w:t>
            </w:r>
          </w:p>
        </w:tc>
        <w:tc>
          <w:tcPr>
            <w:tcW w:w="4621" w:type="dxa"/>
          </w:tcPr>
          <w:p w:rsidR="004421FF" w:rsidRPr="00720C39" w:rsidRDefault="004421FF" w:rsidP="004421FF">
            <w:pPr>
              <w:pStyle w:val="AERbodytext"/>
              <w:cnfStyle w:val="000000000000" w:firstRow="0" w:lastRow="0" w:firstColumn="0" w:lastColumn="0" w:oddVBand="0" w:evenVBand="0" w:oddHBand="0" w:evenHBand="0" w:firstRowFirstColumn="0" w:firstRowLastColumn="0" w:lastRowFirstColumn="0" w:lastRowLastColumn="0"/>
            </w:pPr>
            <w:r w:rsidRPr="00720C39">
              <w:t>national electricity market</w:t>
            </w:r>
          </w:p>
        </w:tc>
      </w:tr>
      <w:tr w:rsidR="004421FF" w:rsidTr="00086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NEO</w:t>
            </w:r>
          </w:p>
        </w:tc>
        <w:tc>
          <w:tcPr>
            <w:tcW w:w="4621" w:type="dxa"/>
          </w:tcPr>
          <w:p w:rsidR="004421FF" w:rsidRPr="00720C39" w:rsidRDefault="004421FF" w:rsidP="004421FF">
            <w:pPr>
              <w:pStyle w:val="AERbodytext"/>
              <w:cnfStyle w:val="000000010000" w:firstRow="0" w:lastRow="0" w:firstColumn="0" w:lastColumn="0" w:oddVBand="0" w:evenVBand="0" w:oddHBand="0" w:evenHBand="1" w:firstRowFirstColumn="0" w:firstRowLastColumn="0" w:lastRowFirstColumn="0" w:lastRowLastColumn="0"/>
            </w:pPr>
            <w:r w:rsidRPr="00720C39">
              <w:t>national electricity objective</w:t>
            </w:r>
          </w:p>
        </w:tc>
      </w:tr>
      <w:tr w:rsidR="004421FF" w:rsidTr="0008691B">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NER</w:t>
            </w:r>
          </w:p>
        </w:tc>
        <w:tc>
          <w:tcPr>
            <w:tcW w:w="4621" w:type="dxa"/>
          </w:tcPr>
          <w:p w:rsidR="004421FF" w:rsidRPr="00720C39" w:rsidRDefault="004421FF" w:rsidP="004421FF">
            <w:pPr>
              <w:pStyle w:val="AERbodytext"/>
              <w:cnfStyle w:val="000000000000" w:firstRow="0" w:lastRow="0" w:firstColumn="0" w:lastColumn="0" w:oddVBand="0" w:evenVBand="0" w:oddHBand="0" w:evenHBand="0" w:firstRowFirstColumn="0" w:firstRowLastColumn="0" w:lastRowFirstColumn="0" w:lastRowLastColumn="0"/>
            </w:pPr>
            <w:r w:rsidRPr="00720C39">
              <w:t>national electricity rules</w:t>
            </w:r>
          </w:p>
        </w:tc>
      </w:tr>
      <w:tr w:rsidR="004421FF" w:rsidTr="00086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NSP</w:t>
            </w:r>
          </w:p>
        </w:tc>
        <w:tc>
          <w:tcPr>
            <w:tcW w:w="4621" w:type="dxa"/>
          </w:tcPr>
          <w:p w:rsidR="004421FF" w:rsidRPr="00720C39" w:rsidRDefault="004421FF" w:rsidP="004421FF">
            <w:pPr>
              <w:pStyle w:val="AERbodytext"/>
              <w:cnfStyle w:val="000000010000" w:firstRow="0" w:lastRow="0" w:firstColumn="0" w:lastColumn="0" w:oddVBand="0" w:evenVBand="0" w:oddHBand="0" w:evenHBand="1" w:firstRowFirstColumn="0" w:firstRowLastColumn="0" w:lastRowFirstColumn="0" w:lastRowLastColumn="0"/>
            </w:pPr>
            <w:r w:rsidRPr="00720C39">
              <w:t>network service provider</w:t>
            </w:r>
          </w:p>
        </w:tc>
      </w:tr>
      <w:tr w:rsidR="004421FF" w:rsidTr="0008691B">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proofErr w:type="spellStart"/>
            <w:r w:rsidRPr="00720C39">
              <w:t>opex</w:t>
            </w:r>
            <w:proofErr w:type="spellEnd"/>
          </w:p>
        </w:tc>
        <w:tc>
          <w:tcPr>
            <w:tcW w:w="4621" w:type="dxa"/>
          </w:tcPr>
          <w:p w:rsidR="004421FF" w:rsidRPr="00720C39" w:rsidRDefault="004421FF" w:rsidP="004421FF">
            <w:pPr>
              <w:pStyle w:val="AERbodytext"/>
              <w:cnfStyle w:val="000000000000" w:firstRow="0" w:lastRow="0" w:firstColumn="0" w:lastColumn="0" w:oddVBand="0" w:evenVBand="0" w:oddHBand="0" w:evenHBand="0" w:firstRowFirstColumn="0" w:firstRowLastColumn="0" w:lastRowFirstColumn="0" w:lastRowLastColumn="0"/>
            </w:pPr>
            <w:r w:rsidRPr="00720C39">
              <w:t>operating expenditure</w:t>
            </w:r>
          </w:p>
        </w:tc>
      </w:tr>
      <w:tr w:rsidR="004421FF" w:rsidTr="00086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PPI</w:t>
            </w:r>
          </w:p>
        </w:tc>
        <w:tc>
          <w:tcPr>
            <w:tcW w:w="4621" w:type="dxa"/>
          </w:tcPr>
          <w:p w:rsidR="004421FF" w:rsidRPr="00720C39" w:rsidRDefault="004421FF" w:rsidP="004421FF">
            <w:pPr>
              <w:pStyle w:val="AERbodytext"/>
              <w:cnfStyle w:val="000000010000" w:firstRow="0" w:lastRow="0" w:firstColumn="0" w:lastColumn="0" w:oddVBand="0" w:evenVBand="0" w:oddHBand="0" w:evenHBand="1" w:firstRowFirstColumn="0" w:firstRowLastColumn="0" w:lastRowFirstColumn="0" w:lastRowLastColumn="0"/>
            </w:pPr>
            <w:r w:rsidRPr="00720C39">
              <w:t>partial performance indicators</w:t>
            </w:r>
          </w:p>
        </w:tc>
      </w:tr>
      <w:tr w:rsidR="004421FF" w:rsidTr="0008691B">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PTRM</w:t>
            </w:r>
          </w:p>
        </w:tc>
        <w:tc>
          <w:tcPr>
            <w:tcW w:w="4621" w:type="dxa"/>
          </w:tcPr>
          <w:p w:rsidR="004421FF" w:rsidRPr="00720C39" w:rsidRDefault="004421FF" w:rsidP="004421FF">
            <w:pPr>
              <w:pStyle w:val="AERbodytext"/>
              <w:cnfStyle w:val="000000000000" w:firstRow="0" w:lastRow="0" w:firstColumn="0" w:lastColumn="0" w:oddVBand="0" w:evenVBand="0" w:oddHBand="0" w:evenHBand="0" w:firstRowFirstColumn="0" w:firstRowLastColumn="0" w:lastRowFirstColumn="0" w:lastRowLastColumn="0"/>
            </w:pPr>
            <w:r w:rsidRPr="00720C39">
              <w:t>post-tax revenue model</w:t>
            </w:r>
          </w:p>
        </w:tc>
      </w:tr>
      <w:tr w:rsidR="004421FF" w:rsidTr="00086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RAB</w:t>
            </w:r>
          </w:p>
        </w:tc>
        <w:tc>
          <w:tcPr>
            <w:tcW w:w="4621" w:type="dxa"/>
          </w:tcPr>
          <w:p w:rsidR="004421FF" w:rsidRPr="00720C39" w:rsidRDefault="004421FF" w:rsidP="004421FF">
            <w:pPr>
              <w:pStyle w:val="AERbodytext"/>
              <w:cnfStyle w:val="000000010000" w:firstRow="0" w:lastRow="0" w:firstColumn="0" w:lastColumn="0" w:oddVBand="0" w:evenVBand="0" w:oddHBand="0" w:evenHBand="1" w:firstRowFirstColumn="0" w:firstRowLastColumn="0" w:lastRowFirstColumn="0" w:lastRowLastColumn="0"/>
            </w:pPr>
            <w:r w:rsidRPr="00720C39">
              <w:t>regulatory asset base</w:t>
            </w:r>
          </w:p>
        </w:tc>
      </w:tr>
      <w:tr w:rsidR="004421FF" w:rsidTr="0008691B">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RBA</w:t>
            </w:r>
          </w:p>
        </w:tc>
        <w:tc>
          <w:tcPr>
            <w:tcW w:w="4621" w:type="dxa"/>
          </w:tcPr>
          <w:p w:rsidR="004421FF" w:rsidRPr="00720C39" w:rsidRDefault="004421FF" w:rsidP="004421FF">
            <w:pPr>
              <w:pStyle w:val="AERbodytext"/>
              <w:cnfStyle w:val="000000000000" w:firstRow="0" w:lastRow="0" w:firstColumn="0" w:lastColumn="0" w:oddVBand="0" w:evenVBand="0" w:oddHBand="0" w:evenHBand="0" w:firstRowFirstColumn="0" w:firstRowLastColumn="0" w:lastRowFirstColumn="0" w:lastRowLastColumn="0"/>
            </w:pPr>
            <w:r w:rsidRPr="00720C39">
              <w:t>Reserve Bank of Australia</w:t>
            </w:r>
          </w:p>
        </w:tc>
      </w:tr>
      <w:tr w:rsidR="004421FF" w:rsidTr="00086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proofErr w:type="spellStart"/>
            <w:r w:rsidRPr="00720C39">
              <w:t>repex</w:t>
            </w:r>
            <w:proofErr w:type="spellEnd"/>
          </w:p>
        </w:tc>
        <w:tc>
          <w:tcPr>
            <w:tcW w:w="4621" w:type="dxa"/>
          </w:tcPr>
          <w:p w:rsidR="004421FF" w:rsidRPr="00720C39" w:rsidRDefault="004421FF" w:rsidP="004421FF">
            <w:pPr>
              <w:pStyle w:val="AERbodytext"/>
              <w:cnfStyle w:val="000000010000" w:firstRow="0" w:lastRow="0" w:firstColumn="0" w:lastColumn="0" w:oddVBand="0" w:evenVBand="0" w:oddHBand="0" w:evenHBand="1" w:firstRowFirstColumn="0" w:firstRowLastColumn="0" w:lastRowFirstColumn="0" w:lastRowLastColumn="0"/>
            </w:pPr>
            <w:r w:rsidRPr="00720C39">
              <w:t>replacement expenditure</w:t>
            </w:r>
          </w:p>
        </w:tc>
      </w:tr>
      <w:tr w:rsidR="004421FF" w:rsidTr="0008691B">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RFM</w:t>
            </w:r>
          </w:p>
        </w:tc>
        <w:tc>
          <w:tcPr>
            <w:tcW w:w="4621" w:type="dxa"/>
          </w:tcPr>
          <w:p w:rsidR="004421FF" w:rsidRPr="00720C39" w:rsidRDefault="004421FF" w:rsidP="004421FF">
            <w:pPr>
              <w:pStyle w:val="AERbodytext"/>
              <w:cnfStyle w:val="000000000000" w:firstRow="0" w:lastRow="0" w:firstColumn="0" w:lastColumn="0" w:oddVBand="0" w:evenVBand="0" w:oddHBand="0" w:evenHBand="0" w:firstRowFirstColumn="0" w:firstRowLastColumn="0" w:lastRowFirstColumn="0" w:lastRowLastColumn="0"/>
            </w:pPr>
            <w:r w:rsidRPr="00720C39">
              <w:t>roll forward model</w:t>
            </w:r>
          </w:p>
        </w:tc>
      </w:tr>
      <w:tr w:rsidR="004421FF" w:rsidTr="00086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RIN</w:t>
            </w:r>
          </w:p>
        </w:tc>
        <w:tc>
          <w:tcPr>
            <w:tcW w:w="4621" w:type="dxa"/>
          </w:tcPr>
          <w:p w:rsidR="004421FF" w:rsidRPr="00720C39" w:rsidRDefault="004421FF" w:rsidP="004421FF">
            <w:pPr>
              <w:pStyle w:val="AERbodytext"/>
              <w:cnfStyle w:val="000000010000" w:firstRow="0" w:lastRow="0" w:firstColumn="0" w:lastColumn="0" w:oddVBand="0" w:evenVBand="0" w:oddHBand="0" w:evenHBand="1" w:firstRowFirstColumn="0" w:firstRowLastColumn="0" w:lastRowFirstColumn="0" w:lastRowLastColumn="0"/>
            </w:pPr>
            <w:r w:rsidRPr="00720C39">
              <w:t>regulatory information notice</w:t>
            </w:r>
          </w:p>
        </w:tc>
      </w:tr>
      <w:tr w:rsidR="004421FF" w:rsidTr="0008691B">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RPP</w:t>
            </w:r>
          </w:p>
        </w:tc>
        <w:tc>
          <w:tcPr>
            <w:tcW w:w="4621" w:type="dxa"/>
          </w:tcPr>
          <w:p w:rsidR="004421FF" w:rsidRPr="00720C39" w:rsidRDefault="004421FF" w:rsidP="004421FF">
            <w:pPr>
              <w:pStyle w:val="AERbodytext"/>
              <w:cnfStyle w:val="000000000000" w:firstRow="0" w:lastRow="0" w:firstColumn="0" w:lastColumn="0" w:oddVBand="0" w:evenVBand="0" w:oddHBand="0" w:evenHBand="0" w:firstRowFirstColumn="0" w:firstRowLastColumn="0" w:lastRowFirstColumn="0" w:lastRowLastColumn="0"/>
            </w:pPr>
            <w:r w:rsidRPr="00720C39">
              <w:t>revenue pricing principles</w:t>
            </w:r>
          </w:p>
        </w:tc>
      </w:tr>
      <w:tr w:rsidR="004421FF" w:rsidTr="00086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SAIDI</w:t>
            </w:r>
          </w:p>
        </w:tc>
        <w:tc>
          <w:tcPr>
            <w:tcW w:w="4621" w:type="dxa"/>
          </w:tcPr>
          <w:p w:rsidR="004421FF" w:rsidRPr="00720C39" w:rsidRDefault="004421FF" w:rsidP="004421FF">
            <w:pPr>
              <w:pStyle w:val="AERbodytext"/>
              <w:cnfStyle w:val="000000010000" w:firstRow="0" w:lastRow="0" w:firstColumn="0" w:lastColumn="0" w:oddVBand="0" w:evenVBand="0" w:oddHBand="0" w:evenHBand="1" w:firstRowFirstColumn="0" w:firstRowLastColumn="0" w:lastRowFirstColumn="0" w:lastRowLastColumn="0"/>
            </w:pPr>
            <w:r w:rsidRPr="00720C39">
              <w:t>system average interruption duration index</w:t>
            </w:r>
          </w:p>
        </w:tc>
      </w:tr>
      <w:tr w:rsidR="004421FF" w:rsidTr="0008691B">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SAIFI</w:t>
            </w:r>
          </w:p>
        </w:tc>
        <w:tc>
          <w:tcPr>
            <w:tcW w:w="4621" w:type="dxa"/>
          </w:tcPr>
          <w:p w:rsidR="004421FF" w:rsidRPr="00720C39" w:rsidRDefault="004421FF" w:rsidP="004421FF">
            <w:pPr>
              <w:pStyle w:val="AERbodytext"/>
              <w:cnfStyle w:val="000000000000" w:firstRow="0" w:lastRow="0" w:firstColumn="0" w:lastColumn="0" w:oddVBand="0" w:evenVBand="0" w:oddHBand="0" w:evenHBand="0" w:firstRowFirstColumn="0" w:firstRowLastColumn="0" w:lastRowFirstColumn="0" w:lastRowLastColumn="0"/>
            </w:pPr>
            <w:r w:rsidRPr="00720C39">
              <w:t>system average interruption frequency index</w:t>
            </w:r>
          </w:p>
        </w:tc>
      </w:tr>
      <w:tr w:rsidR="004421FF" w:rsidTr="00086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SLCAPM</w:t>
            </w:r>
          </w:p>
        </w:tc>
        <w:tc>
          <w:tcPr>
            <w:tcW w:w="4621" w:type="dxa"/>
          </w:tcPr>
          <w:p w:rsidR="004421FF" w:rsidRPr="00720C39" w:rsidRDefault="004421FF" w:rsidP="004421FF">
            <w:pPr>
              <w:pStyle w:val="AERbodytext"/>
              <w:cnfStyle w:val="000000010000" w:firstRow="0" w:lastRow="0" w:firstColumn="0" w:lastColumn="0" w:oddVBand="0" w:evenVBand="0" w:oddHBand="0" w:evenHBand="1" w:firstRowFirstColumn="0" w:firstRowLastColumn="0" w:lastRowFirstColumn="0" w:lastRowLastColumn="0"/>
            </w:pPr>
            <w:r w:rsidRPr="00720C39">
              <w:t>Sharpe-</w:t>
            </w:r>
            <w:proofErr w:type="spellStart"/>
            <w:r w:rsidRPr="00720C39">
              <w:t>Lintner</w:t>
            </w:r>
            <w:proofErr w:type="spellEnd"/>
            <w:r w:rsidRPr="00720C39">
              <w:t xml:space="preserve"> capital asset pricing model</w:t>
            </w:r>
          </w:p>
        </w:tc>
      </w:tr>
      <w:tr w:rsidR="004421FF" w:rsidTr="0008691B">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STPIS</w:t>
            </w:r>
          </w:p>
        </w:tc>
        <w:tc>
          <w:tcPr>
            <w:tcW w:w="4621" w:type="dxa"/>
          </w:tcPr>
          <w:p w:rsidR="004421FF" w:rsidRPr="00720C39" w:rsidRDefault="004421FF" w:rsidP="004421FF">
            <w:pPr>
              <w:pStyle w:val="AERbodytext"/>
              <w:cnfStyle w:val="000000000000" w:firstRow="0" w:lastRow="0" w:firstColumn="0" w:lastColumn="0" w:oddVBand="0" w:evenVBand="0" w:oddHBand="0" w:evenHBand="0" w:firstRowFirstColumn="0" w:firstRowLastColumn="0" w:lastRowFirstColumn="0" w:lastRowLastColumn="0"/>
            </w:pPr>
            <w:r w:rsidRPr="00720C39">
              <w:t>service target performance incentive scheme</w:t>
            </w:r>
          </w:p>
        </w:tc>
      </w:tr>
      <w:tr w:rsidR="004421FF" w:rsidTr="00086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421FF" w:rsidRPr="00720C39" w:rsidRDefault="004421FF" w:rsidP="004421FF">
            <w:pPr>
              <w:pStyle w:val="AERbodytext"/>
            </w:pPr>
            <w:r w:rsidRPr="00720C39">
              <w:t>WACC</w:t>
            </w:r>
          </w:p>
        </w:tc>
        <w:tc>
          <w:tcPr>
            <w:tcW w:w="4621" w:type="dxa"/>
          </w:tcPr>
          <w:p w:rsidR="004421FF" w:rsidRPr="00720C39" w:rsidRDefault="004421FF" w:rsidP="004421FF">
            <w:pPr>
              <w:pStyle w:val="AERbodytext"/>
              <w:cnfStyle w:val="000000010000" w:firstRow="0" w:lastRow="0" w:firstColumn="0" w:lastColumn="0" w:oddVBand="0" w:evenVBand="0" w:oddHBand="0" w:evenHBand="1" w:firstRowFirstColumn="0" w:firstRowLastColumn="0" w:lastRowFirstColumn="0" w:lastRowLastColumn="0"/>
            </w:pPr>
            <w:r w:rsidRPr="00720C39">
              <w:t>weighted average cost of capital</w:t>
            </w:r>
          </w:p>
        </w:tc>
      </w:tr>
    </w:tbl>
    <w:p w:rsidR="004421FF" w:rsidRDefault="004421FF" w:rsidP="004421FF">
      <w:pPr>
        <w:pStyle w:val="AERbodytext"/>
        <w:numPr>
          <w:ilvl w:val="0"/>
          <w:numId w:val="0"/>
        </w:numPr>
      </w:pPr>
    </w:p>
    <w:p w:rsidR="004421FF" w:rsidRPr="00A20032" w:rsidRDefault="004421FF" w:rsidP="004421FF"/>
    <w:p w:rsidR="004421FF" w:rsidRDefault="004421FF" w:rsidP="004421FF"/>
    <w:p w:rsidR="004421FF" w:rsidRPr="004421FF" w:rsidRDefault="004421FF" w:rsidP="004421FF">
      <w:pPr>
        <w:pStyle w:val="AERbodytext"/>
      </w:pPr>
      <w:r>
        <w:tab/>
      </w:r>
    </w:p>
    <w:p w:rsidR="00D97003" w:rsidRDefault="00D97003" w:rsidP="0008691B">
      <w:pPr>
        <w:pStyle w:val="Heading1"/>
        <w:numPr>
          <w:ilvl w:val="1"/>
          <w:numId w:val="50"/>
        </w:numPr>
      </w:pPr>
      <w:bookmarkStart w:id="10" w:name="_Toc404324608"/>
      <w:r>
        <w:lastRenderedPageBreak/>
        <w:t>Regulatory asset base</w:t>
      </w:r>
      <w:bookmarkEnd w:id="0"/>
      <w:bookmarkEnd w:id="10"/>
    </w:p>
    <w:p w:rsidR="003E2D82" w:rsidRPr="003E2D82" w:rsidRDefault="003E2D82" w:rsidP="008528F2">
      <w:pPr>
        <w:pStyle w:val="AERbodytext"/>
      </w:pPr>
      <w:r>
        <w:rPr>
          <w:rStyle w:val="AERbody"/>
        </w:rPr>
        <w:t>We are</w:t>
      </w:r>
      <w:r w:rsidRPr="003E2D82">
        <w:rPr>
          <w:rStyle w:val="AERbody"/>
        </w:rPr>
        <w:t xml:space="preserve"> required to make a decision on </w:t>
      </w:r>
      <w:r w:rsidR="00FC0B56">
        <w:rPr>
          <w:rStyle w:val="AERbody"/>
        </w:rPr>
        <w:t>Essential Energy</w:t>
      </w:r>
      <w:r>
        <w:rPr>
          <w:rStyle w:val="AERbody"/>
        </w:rPr>
        <w:t>'s</w:t>
      </w:r>
      <w:r w:rsidRPr="003E2D82">
        <w:rPr>
          <w:rStyle w:val="AERbody"/>
        </w:rPr>
        <w:t xml:space="preserve"> opening regulatory asset base (RAB) </w:t>
      </w:r>
      <w:r w:rsidR="007211B9">
        <w:rPr>
          <w:rStyle w:val="AERbody"/>
        </w:rPr>
        <w:t xml:space="preserve">as </w:t>
      </w:r>
      <w:r w:rsidRPr="003E2D82">
        <w:rPr>
          <w:rStyle w:val="AERbody"/>
        </w:rPr>
        <w:t xml:space="preserve">at </w:t>
      </w:r>
      <w:r w:rsidR="007211B9">
        <w:rPr>
          <w:rStyle w:val="AERbody"/>
        </w:rPr>
        <w:t>1 July 2014</w:t>
      </w:r>
      <w:r w:rsidRPr="003E2D82">
        <w:rPr>
          <w:rStyle w:val="AERbody"/>
        </w:rPr>
        <w:t>.</w:t>
      </w:r>
      <w:r w:rsidRPr="00B24F2B">
        <w:rPr>
          <w:rStyle w:val="AERsuperscript"/>
        </w:rPr>
        <w:footnoteReference w:id="1"/>
      </w:r>
      <w:r w:rsidRPr="00B24F2B">
        <w:rPr>
          <w:rStyle w:val="AERbody"/>
        </w:rPr>
        <w:t xml:space="preserve"> </w:t>
      </w:r>
      <w:r w:rsidR="008528F2" w:rsidRPr="008528F2">
        <w:rPr>
          <w:rStyle w:val="AERbody"/>
        </w:rPr>
        <w:t xml:space="preserve">We use the RAB </w:t>
      </w:r>
      <w:r w:rsidR="007211B9">
        <w:rPr>
          <w:rStyle w:val="AERbody"/>
        </w:rPr>
        <w:t xml:space="preserve">at the start of </w:t>
      </w:r>
      <w:r w:rsidR="008528F2" w:rsidRPr="008528F2">
        <w:rPr>
          <w:rStyle w:val="AERbody"/>
        </w:rPr>
        <w:t>each regulatory year to determine the return of capital (regulatory depreciation) and return on capital building block allowances.</w:t>
      </w:r>
      <w:r w:rsidR="008528F2">
        <w:rPr>
          <w:rStyle w:val="AERbody"/>
        </w:rPr>
        <w:t xml:space="preserve"> </w:t>
      </w:r>
      <w:r w:rsidRPr="003E2D82">
        <w:rPr>
          <w:rStyle w:val="AERbody"/>
        </w:rPr>
        <w:t xml:space="preserve">This attachment presents </w:t>
      </w:r>
      <w:r w:rsidR="008528F2">
        <w:rPr>
          <w:rStyle w:val="AERbody"/>
        </w:rPr>
        <w:t>our draft decision</w:t>
      </w:r>
      <w:r w:rsidRPr="003E2D82">
        <w:rPr>
          <w:rStyle w:val="AERbody"/>
        </w:rPr>
        <w:t xml:space="preserve"> o</w:t>
      </w:r>
      <w:r w:rsidR="008528F2">
        <w:rPr>
          <w:rStyle w:val="AERbody"/>
        </w:rPr>
        <w:t>n</w:t>
      </w:r>
      <w:r w:rsidRPr="003E2D82">
        <w:rPr>
          <w:rStyle w:val="AERbody"/>
        </w:rPr>
        <w:t xml:space="preserve"> </w:t>
      </w:r>
      <w:r w:rsidR="0089008C">
        <w:rPr>
          <w:rStyle w:val="AERbody"/>
        </w:rPr>
        <w:t>the</w:t>
      </w:r>
      <w:r w:rsidR="00FC0B56">
        <w:rPr>
          <w:rStyle w:val="AERbody"/>
        </w:rPr>
        <w:t xml:space="preserve"> </w:t>
      </w:r>
      <w:r w:rsidRPr="003E2D82">
        <w:rPr>
          <w:rStyle w:val="AERbody"/>
        </w:rPr>
        <w:t xml:space="preserve">opening RAB </w:t>
      </w:r>
      <w:r w:rsidR="0089008C">
        <w:rPr>
          <w:rStyle w:val="AERbody"/>
        </w:rPr>
        <w:t xml:space="preserve">value </w:t>
      </w:r>
      <w:r w:rsidRPr="003E2D82">
        <w:rPr>
          <w:rStyle w:val="AERbody"/>
        </w:rPr>
        <w:t>as at 1 July 201</w:t>
      </w:r>
      <w:r>
        <w:rPr>
          <w:rStyle w:val="AERbody"/>
        </w:rPr>
        <w:t>4</w:t>
      </w:r>
      <w:r w:rsidR="0089008C">
        <w:rPr>
          <w:rStyle w:val="AERbody"/>
        </w:rPr>
        <w:t xml:space="preserve"> for Essential Energy</w:t>
      </w:r>
      <w:r w:rsidRPr="003E2D82">
        <w:rPr>
          <w:rStyle w:val="AERbody"/>
        </w:rPr>
        <w:t xml:space="preserve"> and roll forward </w:t>
      </w:r>
      <w:r w:rsidR="007211B9">
        <w:rPr>
          <w:rStyle w:val="AERbody"/>
        </w:rPr>
        <w:t xml:space="preserve">of </w:t>
      </w:r>
      <w:r w:rsidRPr="003E2D82">
        <w:rPr>
          <w:rStyle w:val="AERbody"/>
        </w:rPr>
        <w:t>the</w:t>
      </w:r>
      <w:r w:rsidR="0089008C">
        <w:rPr>
          <w:rStyle w:val="AERbody"/>
        </w:rPr>
        <w:t xml:space="preserve"> forecast</w:t>
      </w:r>
      <w:r w:rsidRPr="003E2D82">
        <w:rPr>
          <w:rStyle w:val="AERbody"/>
        </w:rPr>
        <w:t xml:space="preserve"> RAB over the </w:t>
      </w:r>
      <w:r w:rsidR="00310328">
        <w:rPr>
          <w:rStyle w:val="AERbody"/>
        </w:rPr>
        <w:t>2014</w:t>
      </w:r>
      <w:r w:rsidR="00973A8B">
        <w:rPr>
          <w:rStyle w:val="AERbody"/>
        </w:rPr>
        <w:t>–</w:t>
      </w:r>
      <w:r w:rsidR="00310328">
        <w:rPr>
          <w:rStyle w:val="AERbody"/>
        </w:rPr>
        <w:t>19 period</w:t>
      </w:r>
      <w:r w:rsidRPr="003E2D82">
        <w:rPr>
          <w:rStyle w:val="AERbody"/>
        </w:rPr>
        <w:t>.</w:t>
      </w:r>
    </w:p>
    <w:p w:rsidR="00D97003" w:rsidRDefault="00D97003" w:rsidP="00D97003">
      <w:pPr>
        <w:pStyle w:val="Heading2"/>
      </w:pPr>
      <w:bookmarkStart w:id="11" w:name="_Toc387916796"/>
      <w:bookmarkStart w:id="12" w:name="_Toc404324609"/>
      <w:r>
        <w:t>D</w:t>
      </w:r>
      <w:r w:rsidRPr="00525604">
        <w:t>raft decision</w:t>
      </w:r>
      <w:bookmarkEnd w:id="11"/>
      <w:bookmarkEnd w:id="12"/>
    </w:p>
    <w:p w:rsidR="00E05035" w:rsidRDefault="00360CE9" w:rsidP="00E05035">
      <w:pPr>
        <w:pStyle w:val="AERbodytext"/>
      </w:pPr>
      <w:r w:rsidRPr="00360CE9">
        <w:t xml:space="preserve">We </w:t>
      </w:r>
      <w:r w:rsidR="00E05035">
        <w:t xml:space="preserve">do not </w:t>
      </w:r>
      <w:r w:rsidRPr="00360CE9">
        <w:t xml:space="preserve">accept </w:t>
      </w:r>
      <w:r>
        <w:t>Essential</w:t>
      </w:r>
      <w:r w:rsidRPr="00360CE9">
        <w:t xml:space="preserve"> Energy's proposed opening RAB of $</w:t>
      </w:r>
      <w:r w:rsidR="0065338D">
        <w:t>6770</w:t>
      </w:r>
      <w:r w:rsidR="000067A2">
        <w:t>.3</w:t>
      </w:r>
      <w:r w:rsidRPr="00360CE9">
        <w:t> million ($ nominal) as at 1</w:t>
      </w:r>
      <w:r w:rsidR="00B15C15">
        <w:t> </w:t>
      </w:r>
      <w:r w:rsidRPr="00360CE9">
        <w:t>July 2014.</w:t>
      </w:r>
      <w:r w:rsidRPr="00360CE9">
        <w:rPr>
          <w:rStyle w:val="FootnoteReference"/>
        </w:rPr>
        <w:footnoteReference w:id="2"/>
      </w:r>
      <w:r w:rsidR="007D05BB">
        <w:t xml:space="preserve"> </w:t>
      </w:r>
      <w:r w:rsidR="00E05035" w:rsidRPr="00E05035">
        <w:t>We instead determine an opening RAB value of $</w:t>
      </w:r>
      <w:r w:rsidR="00813287">
        <w:t>668</w:t>
      </w:r>
      <w:r w:rsidR="00FA35B0">
        <w:t>5</w:t>
      </w:r>
      <w:r w:rsidR="000067A2">
        <w:t>.4</w:t>
      </w:r>
      <w:r w:rsidR="00E05035" w:rsidRPr="00E05035">
        <w:t xml:space="preserve"> </w:t>
      </w:r>
      <w:r w:rsidR="007E4010">
        <w:t>million</w:t>
      </w:r>
      <w:r w:rsidR="00FA310B">
        <w:t xml:space="preserve"> as at 1 July 2014</w:t>
      </w:r>
      <w:r w:rsidR="00E05035" w:rsidRPr="00E05035">
        <w:t xml:space="preserve">. This is because we amended </w:t>
      </w:r>
      <w:r w:rsidR="00D07A8F">
        <w:t>Essential Energy's</w:t>
      </w:r>
      <w:r w:rsidR="00D07A8F" w:rsidRPr="00E05035">
        <w:t xml:space="preserve"> </w:t>
      </w:r>
      <w:r w:rsidR="00E05035" w:rsidRPr="00E05035">
        <w:t xml:space="preserve">proposed actual </w:t>
      </w:r>
      <w:proofErr w:type="spellStart"/>
      <w:r w:rsidR="00E05035" w:rsidRPr="00E05035">
        <w:t>capex</w:t>
      </w:r>
      <w:proofErr w:type="spellEnd"/>
      <w:r w:rsidR="00E05035" w:rsidRPr="00E05035">
        <w:t xml:space="preserve"> values to reverse the movements in </w:t>
      </w:r>
      <w:r w:rsidR="008D70B2">
        <w:t xml:space="preserve">capitalised </w:t>
      </w:r>
      <w:r w:rsidR="00E05035" w:rsidRPr="00E05035">
        <w:t>provisions</w:t>
      </w:r>
      <w:r w:rsidR="008D70B2" w:rsidRPr="008D70B2">
        <w:t xml:space="preserve"> </w:t>
      </w:r>
      <w:r w:rsidR="008D70B2">
        <w:t>from</w:t>
      </w:r>
      <w:r w:rsidR="008D70B2" w:rsidRPr="00E05035">
        <w:t xml:space="preserve"> 200</w:t>
      </w:r>
      <w:r w:rsidR="008D70B2">
        <w:t>9</w:t>
      </w:r>
      <w:r w:rsidR="008D70B2" w:rsidRPr="00E05035">
        <w:t>–2014</w:t>
      </w:r>
      <w:r w:rsidR="00E05035" w:rsidRPr="00E05035">
        <w:t xml:space="preserve">. This amendment reduced </w:t>
      </w:r>
      <w:r w:rsidR="00023CB5">
        <w:t xml:space="preserve">the </w:t>
      </w:r>
      <w:r w:rsidR="00E05035" w:rsidRPr="00E05035">
        <w:t>proposed opening RAB as at 1 July 2014 by $</w:t>
      </w:r>
      <w:r w:rsidR="00813287">
        <w:t>8</w:t>
      </w:r>
      <w:r w:rsidR="00FA35B0">
        <w:t>4</w:t>
      </w:r>
      <w:r w:rsidR="00F64571">
        <w:t>.</w:t>
      </w:r>
      <w:r w:rsidR="00FA35B0">
        <w:t>9</w:t>
      </w:r>
      <w:r w:rsidR="00E05035" w:rsidRPr="00E05035">
        <w:t xml:space="preserve"> million (or </w:t>
      </w:r>
      <w:r w:rsidR="00813287">
        <w:t>1.</w:t>
      </w:r>
      <w:r w:rsidR="00FA35B0">
        <w:t>3</w:t>
      </w:r>
      <w:r w:rsidR="00E05035" w:rsidRPr="00E05035">
        <w:t xml:space="preserve"> per cent)</w:t>
      </w:r>
      <w:r w:rsidR="00023CB5">
        <w:t xml:space="preserve"> compared to that proposed</w:t>
      </w:r>
      <w:r w:rsidR="00E05035" w:rsidRPr="00E05035">
        <w:t>.</w:t>
      </w:r>
      <w:r w:rsidR="00E05035">
        <w:t xml:space="preserve"> </w:t>
      </w:r>
    </w:p>
    <w:p w:rsidR="005A3A41" w:rsidRDefault="00D07A8F" w:rsidP="00E05035">
      <w:pPr>
        <w:pStyle w:val="AERbodytext"/>
      </w:pPr>
      <w:r w:rsidRPr="0091153D">
        <w:t>To determine the opening RAB as at 1 July 2014</w:t>
      </w:r>
      <w:r>
        <w:t>,</w:t>
      </w:r>
      <w:r w:rsidRPr="0091153D">
        <w:t xml:space="preserve"> we have rolled forward the RAB over the 2009–14 regulatory control period to determine a closing RAB value at 30 June 2014. </w:t>
      </w:r>
      <w:r>
        <w:t xml:space="preserve">This roll forward includes an adjustment at the end of the 2009–14 regulatory control </w:t>
      </w:r>
      <w:proofErr w:type="gramStart"/>
      <w:r>
        <w:t>period</w:t>
      </w:r>
      <w:proofErr w:type="gramEnd"/>
      <w:r>
        <w:t xml:space="preserve"> to account for the difference </w:t>
      </w:r>
      <w:r w:rsidRPr="00C45EFB">
        <w:t xml:space="preserve">between </w:t>
      </w:r>
      <w:r>
        <w:t xml:space="preserve">actual </w:t>
      </w:r>
      <w:r w:rsidRPr="00C45EFB">
        <w:t>2008</w:t>
      </w:r>
      <w:r>
        <w:t>–</w:t>
      </w:r>
      <w:r w:rsidRPr="00C45EFB">
        <w:t xml:space="preserve">09 </w:t>
      </w:r>
      <w:proofErr w:type="spellStart"/>
      <w:r w:rsidRPr="00C45EFB">
        <w:t>capex</w:t>
      </w:r>
      <w:proofErr w:type="spellEnd"/>
      <w:r>
        <w:t xml:space="preserve"> and the estimate approved at the 2009 determination.</w:t>
      </w:r>
      <w:r>
        <w:rPr>
          <w:rStyle w:val="FootnoteReference"/>
        </w:rPr>
        <w:footnoteReference w:id="3"/>
      </w:r>
      <w:r>
        <w:t xml:space="preserve"> </w:t>
      </w:r>
      <w:r w:rsidR="0089116F" w:rsidRPr="007D05BB">
        <w:t xml:space="preserve">From 1 July 2014 metering will be </w:t>
      </w:r>
      <w:r>
        <w:t>classified</w:t>
      </w:r>
      <w:r w:rsidRPr="007D05BB">
        <w:t xml:space="preserve"> </w:t>
      </w:r>
      <w:r w:rsidR="0089116F" w:rsidRPr="007D05BB">
        <w:t>as an alternative control service and therefore metering assets are to be excluded from the standard control services RAB.</w:t>
      </w:r>
      <w:r w:rsidR="0089116F">
        <w:t xml:space="preserve"> This </w:t>
      </w:r>
      <w:r w:rsidR="0089116F" w:rsidRPr="00E05035">
        <w:t xml:space="preserve">opening RAB </w:t>
      </w:r>
      <w:r w:rsidR="0089116F">
        <w:t xml:space="preserve">value </w:t>
      </w:r>
      <w:r>
        <w:t xml:space="preserve">discussed in this attachment </w:t>
      </w:r>
      <w:r w:rsidR="0089116F">
        <w:t>represents the closing RAB value at 30 June 2014 adjusted for t</w:t>
      </w:r>
      <w:r w:rsidR="0089116F" w:rsidRPr="007D05BB">
        <w:t xml:space="preserve">he removal of </w:t>
      </w:r>
      <w:r w:rsidR="0089116F">
        <w:t xml:space="preserve">these </w:t>
      </w:r>
      <w:r w:rsidR="0089116F" w:rsidRPr="007D05BB">
        <w:t>metering assets</w:t>
      </w:r>
      <w:r w:rsidR="0089116F">
        <w:t xml:space="preserve">. </w:t>
      </w:r>
    </w:p>
    <w:p w:rsidR="00442DEB" w:rsidRDefault="00ED400D" w:rsidP="00E05035">
      <w:pPr>
        <w:pStyle w:val="AERbodytext"/>
      </w:pPr>
      <w:r w:rsidRPr="00ED400D">
        <w:fldChar w:fldCharType="begin"/>
      </w:r>
      <w:r w:rsidRPr="00ED400D">
        <w:instrText xml:space="preserve"> REF _Ref394649323 \h </w:instrText>
      </w:r>
      <w:r w:rsidRPr="00ED400D">
        <w:fldChar w:fldCharType="separate"/>
      </w:r>
      <w:r w:rsidR="00A10B76" w:rsidRPr="00ED400D">
        <w:t xml:space="preserve">Table </w:t>
      </w:r>
      <w:r w:rsidR="0008691B">
        <w:rPr>
          <w:noProof/>
        </w:rPr>
        <w:t>2.</w:t>
      </w:r>
      <w:r w:rsidR="00A10B76">
        <w:rPr>
          <w:noProof/>
        </w:rPr>
        <w:t>1</w:t>
      </w:r>
      <w:r w:rsidRPr="00ED400D">
        <w:fldChar w:fldCharType="end"/>
      </w:r>
      <w:r w:rsidRPr="00ED400D">
        <w:t xml:space="preserve"> set</w:t>
      </w:r>
      <w:r>
        <w:t>s</w:t>
      </w:r>
      <w:r w:rsidRPr="00ED400D">
        <w:t xml:space="preserve"> out our draft decision on the roll forward of </w:t>
      </w:r>
      <w:r w:rsidR="00023CB5">
        <w:t>the</w:t>
      </w:r>
      <w:r w:rsidR="0066182D" w:rsidRPr="00ED400D">
        <w:t xml:space="preserve"> </w:t>
      </w:r>
      <w:r w:rsidRPr="00ED400D">
        <w:t xml:space="preserve">RAB for </w:t>
      </w:r>
      <w:r w:rsidR="0066182D">
        <w:t>the</w:t>
      </w:r>
      <w:r w:rsidRPr="00ED400D">
        <w:t xml:space="preserve"> 2009–14 regulatory control period</w:t>
      </w:r>
      <w:r>
        <w:t>.</w:t>
      </w:r>
    </w:p>
    <w:p w:rsidR="00B15C15" w:rsidRPr="00360CE9" w:rsidRDefault="00B15C15" w:rsidP="00B15C15">
      <w:pPr>
        <w:pStyle w:val="AERbodytext"/>
      </w:pPr>
      <w:r w:rsidRPr="00DF000A">
        <w:t>We determine a forecast closing RAB value at 30 June 2019 of $</w:t>
      </w:r>
      <w:r>
        <w:t>8145.0</w:t>
      </w:r>
      <w:r w:rsidRPr="00DF000A">
        <w:t> million ($ nominal).</w:t>
      </w:r>
      <w:r>
        <w:t xml:space="preserve"> </w:t>
      </w:r>
      <w:r w:rsidRPr="00442DEB">
        <w:t xml:space="preserve">This </w:t>
      </w:r>
      <w:r>
        <w:t xml:space="preserve">is $868.4 million (or 9.6 per cent) lower than </w:t>
      </w:r>
      <w:r w:rsidRPr="00442DEB">
        <w:t>the</w:t>
      </w:r>
      <w:r>
        <w:t xml:space="preserve"> amount of</w:t>
      </w:r>
      <w:r w:rsidRPr="00442DEB">
        <w:t xml:space="preserve"> $</w:t>
      </w:r>
      <w:r>
        <w:t>9013.4</w:t>
      </w:r>
      <w:r w:rsidRPr="00442DEB">
        <w:t xml:space="preserve"> million ($ nominal) proposed by </w:t>
      </w:r>
      <w:r>
        <w:t>Essential</w:t>
      </w:r>
      <w:r w:rsidRPr="00442DEB">
        <w:t xml:space="preserve"> Energy</w:t>
      </w:r>
      <w:r>
        <w:t>. Our draft decision on the forecast closing RAB</w:t>
      </w:r>
      <w:r w:rsidRPr="00442DEB">
        <w:t xml:space="preserve"> reflects </w:t>
      </w:r>
      <w:r>
        <w:t xml:space="preserve">the amended opening RAB as at 1 July 2014, and </w:t>
      </w:r>
      <w:r w:rsidRPr="00442DEB">
        <w:t xml:space="preserve">our draft decision on </w:t>
      </w:r>
      <w:r>
        <w:t>forecast</w:t>
      </w:r>
      <w:r w:rsidRPr="00442DEB">
        <w:t xml:space="preserve"> </w:t>
      </w:r>
      <w:proofErr w:type="spellStart"/>
      <w:r w:rsidRPr="00442DEB">
        <w:t>capex</w:t>
      </w:r>
      <w:proofErr w:type="spellEnd"/>
      <w:r>
        <w:t xml:space="preserve"> (attachment 6)</w:t>
      </w:r>
      <w:r w:rsidRPr="00442DEB">
        <w:t xml:space="preserve"> and </w:t>
      </w:r>
      <w:r>
        <w:t xml:space="preserve">forecast </w:t>
      </w:r>
      <w:r w:rsidRPr="00442DEB">
        <w:t>regu</w:t>
      </w:r>
      <w:r>
        <w:t>latory depreciation (attachment 5).</w:t>
      </w:r>
    </w:p>
    <w:p w:rsidR="00B15C15" w:rsidRPr="00360CE9" w:rsidRDefault="00B15C15" w:rsidP="00B15C15">
      <w:pPr>
        <w:pStyle w:val="AERbodytext"/>
      </w:pPr>
      <w:r>
        <w:fldChar w:fldCharType="begin"/>
      </w:r>
      <w:r>
        <w:instrText xml:space="preserve"> REF _Ref394649328 \h </w:instrText>
      </w:r>
      <w:r>
        <w:fldChar w:fldCharType="separate"/>
      </w:r>
      <w:r w:rsidRPr="00360CE9">
        <w:t xml:space="preserve">Table </w:t>
      </w:r>
      <w:r>
        <w:rPr>
          <w:noProof/>
        </w:rPr>
        <w:t>2.2</w:t>
      </w:r>
      <w:r>
        <w:fldChar w:fldCharType="end"/>
      </w:r>
      <w:r>
        <w:t xml:space="preserve"> </w:t>
      </w:r>
      <w:r w:rsidRPr="00360CE9">
        <w:t>set</w:t>
      </w:r>
      <w:r>
        <w:t>s</w:t>
      </w:r>
      <w:r w:rsidRPr="00360CE9">
        <w:t xml:space="preserve"> out our draft decision on the forecast RAB values for </w:t>
      </w:r>
      <w:r>
        <w:t>Essential</w:t>
      </w:r>
      <w:r w:rsidRPr="00360CE9">
        <w:t xml:space="preserve"> Energy's </w:t>
      </w:r>
      <w:r>
        <w:t xml:space="preserve">2014–19 </w:t>
      </w:r>
      <w:proofErr w:type="gramStart"/>
      <w:r>
        <w:t>period</w:t>
      </w:r>
      <w:proofErr w:type="gramEnd"/>
      <w:r w:rsidRPr="00360CE9">
        <w:t>.</w:t>
      </w:r>
    </w:p>
    <w:p w:rsidR="00B15C15" w:rsidRPr="00A10B76" w:rsidRDefault="00B15C15" w:rsidP="00B15C15">
      <w:pPr>
        <w:pStyle w:val="AERbodytext"/>
      </w:pPr>
      <w:r w:rsidRPr="002B4DA4">
        <w:t xml:space="preserve">We determine that the forecast depreciation approach is to be used to establish the </w:t>
      </w:r>
      <w:r>
        <w:t xml:space="preserve">opening </w:t>
      </w:r>
      <w:r w:rsidRPr="002B4DA4">
        <w:t>RAB at the commencement of the 2019–24 regulatory control period</w:t>
      </w:r>
      <w:r>
        <w:t xml:space="preserve"> for Essential Energy</w:t>
      </w:r>
      <w:r w:rsidRPr="002B4DA4">
        <w:t>.</w:t>
      </w:r>
      <w:r>
        <w:rPr>
          <w:rStyle w:val="FootnoteReference"/>
        </w:rPr>
        <w:footnoteReference w:id="4"/>
      </w:r>
      <w:r w:rsidRPr="002B4DA4">
        <w:t xml:space="preserve"> </w:t>
      </w:r>
      <w:r w:rsidRPr="001022B0">
        <w:t xml:space="preserve">This will apply to </w:t>
      </w:r>
      <w:r>
        <w:t>the full 2014–19 period, including the 2014–15 transitional regulatory control period</w:t>
      </w:r>
      <w:r w:rsidRPr="001022B0">
        <w:t xml:space="preserve">. We consider this approach will provide sufficient incentives for </w:t>
      </w:r>
      <w:r>
        <w:t>Essential Energy</w:t>
      </w:r>
      <w:r w:rsidRPr="001022B0">
        <w:t xml:space="preserve"> to achieve </w:t>
      </w:r>
      <w:proofErr w:type="spellStart"/>
      <w:r w:rsidRPr="001022B0">
        <w:t>capex</w:t>
      </w:r>
      <w:proofErr w:type="spellEnd"/>
      <w:r w:rsidRPr="001022B0">
        <w:t xml:space="preserve"> efficiency gains over those periods. </w:t>
      </w:r>
      <w:r>
        <w:t>Essential Energy</w:t>
      </w:r>
      <w:r w:rsidRPr="001022B0">
        <w:t xml:space="preserve"> is not currently subject to a capital expenditure sharing scheme (CESS) but we will apply the CESS to </w:t>
      </w:r>
      <w:r>
        <w:t>Essential Energy</w:t>
      </w:r>
      <w:r w:rsidRPr="001022B0">
        <w:t xml:space="preserve"> </w:t>
      </w:r>
      <w:r>
        <w:t xml:space="preserve">over the subsequent (2015–19) </w:t>
      </w:r>
      <w:r w:rsidRPr="001022B0">
        <w:t>regulatory control period.</w:t>
      </w:r>
      <w:r>
        <w:t xml:space="preserve"> </w:t>
      </w:r>
    </w:p>
    <w:p w:rsidR="0008691B" w:rsidRDefault="0008691B" w:rsidP="0008691B">
      <w:pPr>
        <w:pStyle w:val="AERbodytext"/>
        <w:numPr>
          <w:ilvl w:val="0"/>
          <w:numId w:val="0"/>
        </w:numPr>
      </w:pPr>
    </w:p>
    <w:p w:rsidR="00ED400D" w:rsidRPr="00ED400D" w:rsidRDefault="00ED400D" w:rsidP="00ED400D">
      <w:pPr>
        <w:pStyle w:val="Caption"/>
      </w:pPr>
      <w:bookmarkStart w:id="13" w:name="_Ref394649323"/>
      <w:r w:rsidRPr="00ED400D">
        <w:lastRenderedPageBreak/>
        <w:t xml:space="preserve">Table </w:t>
      </w:r>
      <w:r w:rsidR="0008691B">
        <w:t>2</w:t>
      </w:r>
      <w:r w:rsidRPr="00ED400D">
        <w:noBreakHyphen/>
      </w:r>
      <w:r w:rsidR="00D90BFE">
        <w:fldChar w:fldCharType="begin"/>
      </w:r>
      <w:r w:rsidR="00D90BFE">
        <w:instrText xml:space="preserve"> SEQ Table \* ARABIC \s 1 </w:instrText>
      </w:r>
      <w:r w:rsidR="00D90BFE">
        <w:fldChar w:fldCharType="separate"/>
      </w:r>
      <w:r w:rsidR="00A10B76">
        <w:rPr>
          <w:noProof/>
        </w:rPr>
        <w:t>1</w:t>
      </w:r>
      <w:r w:rsidR="00D90BFE">
        <w:rPr>
          <w:noProof/>
        </w:rPr>
        <w:fldChar w:fldCharType="end"/>
      </w:r>
      <w:bookmarkEnd w:id="13"/>
      <w:r w:rsidRPr="00ED400D">
        <w:tab/>
        <w:t>AER's draft decision on Essential Energy's RAB for the 2009–14 regulatory control period ($ million, nominal)</w:t>
      </w:r>
    </w:p>
    <w:tbl>
      <w:tblPr>
        <w:tblStyle w:val="AERtable-numbers"/>
        <w:tblW w:w="5000" w:type="pct"/>
        <w:tblLook w:val="04A0" w:firstRow="1" w:lastRow="0" w:firstColumn="1" w:lastColumn="0" w:noHBand="0" w:noVBand="1"/>
      </w:tblPr>
      <w:tblGrid>
        <w:gridCol w:w="3665"/>
        <w:gridCol w:w="1102"/>
        <w:gridCol w:w="1102"/>
        <w:gridCol w:w="1102"/>
        <w:gridCol w:w="1103"/>
        <w:gridCol w:w="1168"/>
      </w:tblGrid>
      <w:tr w:rsidR="00ED400D" w:rsidRPr="00DC4EE3" w:rsidTr="00FA35B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pct"/>
            <w:noWrap/>
            <w:hideMark/>
          </w:tcPr>
          <w:p w:rsidR="00ED400D" w:rsidRPr="00ED400D" w:rsidRDefault="00ED400D" w:rsidP="00ED400D">
            <w:pPr>
              <w:pStyle w:val="AERtabletextleft"/>
            </w:pPr>
            <w:r w:rsidRPr="00ED400D">
              <w:t> </w:t>
            </w:r>
          </w:p>
        </w:tc>
        <w:tc>
          <w:tcPr>
            <w:tcW w:w="596" w:type="pct"/>
            <w:noWrap/>
            <w:hideMark/>
          </w:tcPr>
          <w:p w:rsidR="00ED400D" w:rsidRPr="00ED400D" w:rsidRDefault="00ED400D" w:rsidP="00ED400D">
            <w:pPr>
              <w:pStyle w:val="AERtabletextright"/>
              <w:cnfStyle w:val="100000000000" w:firstRow="1" w:lastRow="0" w:firstColumn="0" w:lastColumn="0" w:oddVBand="0" w:evenVBand="0" w:oddHBand="0" w:evenHBand="0" w:firstRowFirstColumn="0" w:firstRowLastColumn="0" w:lastRowFirstColumn="0" w:lastRowLastColumn="0"/>
            </w:pPr>
            <w:r w:rsidRPr="00ED400D">
              <w:t>2009–10</w:t>
            </w:r>
          </w:p>
        </w:tc>
        <w:tc>
          <w:tcPr>
            <w:tcW w:w="596" w:type="pct"/>
            <w:noWrap/>
            <w:hideMark/>
          </w:tcPr>
          <w:p w:rsidR="00ED400D" w:rsidRPr="00ED400D" w:rsidRDefault="00ED400D" w:rsidP="00ED400D">
            <w:pPr>
              <w:pStyle w:val="AERtabletextright"/>
              <w:cnfStyle w:val="100000000000" w:firstRow="1" w:lastRow="0" w:firstColumn="0" w:lastColumn="0" w:oddVBand="0" w:evenVBand="0" w:oddHBand="0" w:evenHBand="0" w:firstRowFirstColumn="0" w:firstRowLastColumn="0" w:lastRowFirstColumn="0" w:lastRowLastColumn="0"/>
            </w:pPr>
            <w:r w:rsidRPr="00ED400D">
              <w:t>2010–11</w:t>
            </w:r>
          </w:p>
        </w:tc>
        <w:tc>
          <w:tcPr>
            <w:tcW w:w="596" w:type="pct"/>
            <w:noWrap/>
            <w:hideMark/>
          </w:tcPr>
          <w:p w:rsidR="00ED400D" w:rsidRPr="00ED400D" w:rsidRDefault="00ED400D" w:rsidP="00ED400D">
            <w:pPr>
              <w:pStyle w:val="AERtabletextright"/>
              <w:cnfStyle w:val="100000000000" w:firstRow="1" w:lastRow="0" w:firstColumn="0" w:lastColumn="0" w:oddVBand="0" w:evenVBand="0" w:oddHBand="0" w:evenHBand="0" w:firstRowFirstColumn="0" w:firstRowLastColumn="0" w:lastRowFirstColumn="0" w:lastRowLastColumn="0"/>
            </w:pPr>
            <w:r w:rsidRPr="00ED400D">
              <w:t>2011–12</w:t>
            </w:r>
          </w:p>
        </w:tc>
        <w:tc>
          <w:tcPr>
            <w:tcW w:w="597" w:type="pct"/>
            <w:noWrap/>
            <w:hideMark/>
          </w:tcPr>
          <w:p w:rsidR="00ED400D" w:rsidRPr="00ED400D" w:rsidRDefault="00ED400D" w:rsidP="00ED400D">
            <w:pPr>
              <w:pStyle w:val="AERtabletextright"/>
              <w:cnfStyle w:val="100000000000" w:firstRow="1" w:lastRow="0" w:firstColumn="0" w:lastColumn="0" w:oddVBand="0" w:evenVBand="0" w:oddHBand="0" w:evenHBand="0" w:firstRowFirstColumn="0" w:firstRowLastColumn="0" w:lastRowFirstColumn="0" w:lastRowLastColumn="0"/>
            </w:pPr>
            <w:r w:rsidRPr="00ED400D">
              <w:t>2012–13</w:t>
            </w:r>
          </w:p>
        </w:tc>
        <w:tc>
          <w:tcPr>
            <w:tcW w:w="632" w:type="pct"/>
            <w:noWrap/>
            <w:hideMark/>
          </w:tcPr>
          <w:p w:rsidR="00ED400D" w:rsidRPr="00ED400D" w:rsidRDefault="00ED400D" w:rsidP="00ED400D">
            <w:pPr>
              <w:pStyle w:val="AERtabletextright"/>
              <w:cnfStyle w:val="100000000000" w:firstRow="1" w:lastRow="0" w:firstColumn="0" w:lastColumn="0" w:oddVBand="0" w:evenVBand="0" w:oddHBand="0" w:evenHBand="0" w:firstRowFirstColumn="0" w:firstRowLastColumn="0" w:lastRowFirstColumn="0" w:lastRowLastColumn="0"/>
            </w:pPr>
            <w:r w:rsidRPr="00ED400D">
              <w:t>2013–14</w:t>
            </w:r>
            <w:r w:rsidRPr="00ED400D">
              <w:rPr>
                <w:rStyle w:val="AERsuperscript"/>
              </w:rPr>
              <w:t>a</w:t>
            </w:r>
          </w:p>
        </w:tc>
      </w:tr>
      <w:tr w:rsidR="00FA35B0" w:rsidRPr="00B15C15" w:rsidTr="00FA35B0">
        <w:trPr>
          <w:trHeight w:val="300"/>
        </w:trPr>
        <w:tc>
          <w:tcPr>
            <w:cnfStyle w:val="001000000000" w:firstRow="0" w:lastRow="0" w:firstColumn="1" w:lastColumn="0" w:oddVBand="0" w:evenVBand="0" w:oddHBand="0" w:evenHBand="0" w:firstRowFirstColumn="0" w:firstRowLastColumn="0" w:lastRowFirstColumn="0" w:lastRowLastColumn="0"/>
            <w:tcW w:w="1983" w:type="pct"/>
            <w:noWrap/>
            <w:hideMark/>
          </w:tcPr>
          <w:p w:rsidR="00FA35B0" w:rsidRPr="00B15C15" w:rsidRDefault="00FA35B0" w:rsidP="00B15C15">
            <w:pPr>
              <w:pStyle w:val="AERtabletextleft"/>
              <w:rPr>
                <w:rStyle w:val="AERtextbold"/>
                <w:b w:val="0"/>
              </w:rPr>
            </w:pPr>
            <w:r w:rsidRPr="00B15C15">
              <w:rPr>
                <w:rStyle w:val="AERtextbold"/>
                <w:b w:val="0"/>
              </w:rPr>
              <w:t>Opening RAB</w:t>
            </w:r>
          </w:p>
        </w:tc>
        <w:tc>
          <w:tcPr>
            <w:tcW w:w="596" w:type="pct"/>
            <w:noWrap/>
            <w:vAlign w:val="bottom"/>
          </w:tcPr>
          <w:p w:rsidR="00FA35B0" w:rsidRPr="00B15C15" w:rsidRDefault="00FA35B0"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4319.4</w:t>
            </w:r>
          </w:p>
        </w:tc>
        <w:tc>
          <w:tcPr>
            <w:tcW w:w="596" w:type="pct"/>
            <w:noWrap/>
            <w:vAlign w:val="bottom"/>
          </w:tcPr>
          <w:p w:rsidR="00FA35B0" w:rsidRPr="00B15C15" w:rsidRDefault="00FA35B0"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4812.7</w:t>
            </w:r>
          </w:p>
        </w:tc>
        <w:tc>
          <w:tcPr>
            <w:tcW w:w="596" w:type="pct"/>
            <w:noWrap/>
            <w:vAlign w:val="bottom"/>
          </w:tcPr>
          <w:p w:rsidR="00FA35B0" w:rsidRPr="00B15C15" w:rsidRDefault="00FA35B0"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5361.5</w:t>
            </w:r>
          </w:p>
        </w:tc>
        <w:tc>
          <w:tcPr>
            <w:tcW w:w="597" w:type="pct"/>
            <w:noWrap/>
            <w:vAlign w:val="bottom"/>
          </w:tcPr>
          <w:p w:rsidR="00FA35B0" w:rsidRPr="00B15C15" w:rsidRDefault="00FA35B0"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6012.4</w:t>
            </w:r>
          </w:p>
        </w:tc>
        <w:tc>
          <w:tcPr>
            <w:tcW w:w="632" w:type="pct"/>
            <w:noWrap/>
            <w:vAlign w:val="bottom"/>
          </w:tcPr>
          <w:p w:rsidR="00FA35B0" w:rsidRPr="00B15C15" w:rsidRDefault="00FA35B0"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6461.0</w:t>
            </w:r>
          </w:p>
        </w:tc>
      </w:tr>
      <w:tr w:rsidR="00FA35B0" w:rsidRPr="00DC4EE3" w:rsidTr="00FA35B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pct"/>
            <w:noWrap/>
            <w:hideMark/>
          </w:tcPr>
          <w:p w:rsidR="00FA35B0" w:rsidRPr="00FA35B0" w:rsidRDefault="00FA35B0" w:rsidP="00FA35B0">
            <w:pPr>
              <w:pStyle w:val="AERtabletextleft"/>
            </w:pPr>
            <w:r w:rsidRPr="00FA35B0">
              <w:t xml:space="preserve">Capital </w:t>
            </w:r>
            <w:proofErr w:type="spellStart"/>
            <w:r w:rsidRPr="00FA35B0">
              <w:t>expenditure</w:t>
            </w:r>
            <w:r w:rsidRPr="00FA35B0">
              <w:rPr>
                <w:rStyle w:val="AERsuperscript"/>
              </w:rPr>
              <w:t>b</w:t>
            </w:r>
            <w:proofErr w:type="spellEnd"/>
          </w:p>
        </w:tc>
        <w:tc>
          <w:tcPr>
            <w:tcW w:w="596" w:type="pct"/>
            <w:noWrap/>
            <w:vAlign w:val="bottom"/>
          </w:tcPr>
          <w:p w:rsidR="00FA35B0" w:rsidRPr="00FA35B0" w:rsidRDefault="00FA35B0" w:rsidP="00FA35B0">
            <w:pPr>
              <w:pStyle w:val="AERtabletextright"/>
              <w:cnfStyle w:val="000000010000" w:firstRow="0" w:lastRow="0" w:firstColumn="0" w:lastColumn="0" w:oddVBand="0" w:evenVBand="0" w:oddHBand="0" w:evenHBand="1" w:firstRowFirstColumn="0" w:firstRowLastColumn="0" w:lastRowFirstColumn="0" w:lastRowLastColumn="0"/>
            </w:pPr>
            <w:r w:rsidRPr="00FA35B0">
              <w:t>680.4</w:t>
            </w:r>
          </w:p>
        </w:tc>
        <w:tc>
          <w:tcPr>
            <w:tcW w:w="596" w:type="pct"/>
            <w:noWrap/>
            <w:vAlign w:val="bottom"/>
          </w:tcPr>
          <w:p w:rsidR="00FA35B0" w:rsidRPr="00FA35B0" w:rsidRDefault="00FA35B0" w:rsidP="00FA35B0">
            <w:pPr>
              <w:pStyle w:val="AERtabletextright"/>
              <w:cnfStyle w:val="000000010000" w:firstRow="0" w:lastRow="0" w:firstColumn="0" w:lastColumn="0" w:oddVBand="0" w:evenVBand="0" w:oddHBand="0" w:evenHBand="1" w:firstRowFirstColumn="0" w:firstRowLastColumn="0" w:lastRowFirstColumn="0" w:lastRowLastColumn="0"/>
            </w:pPr>
            <w:r w:rsidRPr="00FA35B0">
              <w:t>709.4</w:t>
            </w:r>
          </w:p>
        </w:tc>
        <w:tc>
          <w:tcPr>
            <w:tcW w:w="596" w:type="pct"/>
            <w:noWrap/>
            <w:vAlign w:val="bottom"/>
          </w:tcPr>
          <w:p w:rsidR="00FA35B0" w:rsidRPr="00FA35B0" w:rsidRDefault="00FA35B0" w:rsidP="00FA35B0">
            <w:pPr>
              <w:pStyle w:val="AERtabletextright"/>
              <w:cnfStyle w:val="000000010000" w:firstRow="0" w:lastRow="0" w:firstColumn="0" w:lastColumn="0" w:oddVBand="0" w:evenVBand="0" w:oddHBand="0" w:evenHBand="1" w:firstRowFirstColumn="0" w:firstRowLastColumn="0" w:lastRowFirstColumn="0" w:lastRowLastColumn="0"/>
            </w:pPr>
            <w:r w:rsidRPr="00FA35B0">
              <w:t>740.6</w:t>
            </w:r>
          </w:p>
        </w:tc>
        <w:tc>
          <w:tcPr>
            <w:tcW w:w="597" w:type="pct"/>
            <w:noWrap/>
            <w:vAlign w:val="bottom"/>
          </w:tcPr>
          <w:p w:rsidR="00FA35B0" w:rsidRPr="00FA35B0" w:rsidRDefault="00FA35B0" w:rsidP="00FA35B0">
            <w:pPr>
              <w:pStyle w:val="AERtabletextright"/>
              <w:cnfStyle w:val="000000010000" w:firstRow="0" w:lastRow="0" w:firstColumn="0" w:lastColumn="0" w:oddVBand="0" w:evenVBand="0" w:oddHBand="0" w:evenHBand="1" w:firstRowFirstColumn="0" w:firstRowLastColumn="0" w:lastRowFirstColumn="0" w:lastRowLastColumn="0"/>
            </w:pPr>
            <w:r w:rsidRPr="00FA35B0">
              <w:t>650.6</w:t>
            </w:r>
          </w:p>
        </w:tc>
        <w:tc>
          <w:tcPr>
            <w:tcW w:w="632" w:type="pct"/>
            <w:noWrap/>
            <w:vAlign w:val="bottom"/>
          </w:tcPr>
          <w:p w:rsidR="00FA35B0" w:rsidRPr="00FA35B0" w:rsidRDefault="00FA35B0" w:rsidP="00FA35B0">
            <w:pPr>
              <w:pStyle w:val="AERtabletextright"/>
              <w:cnfStyle w:val="000000010000" w:firstRow="0" w:lastRow="0" w:firstColumn="0" w:lastColumn="0" w:oddVBand="0" w:evenVBand="0" w:oddHBand="0" w:evenHBand="1" w:firstRowFirstColumn="0" w:firstRowLastColumn="0" w:lastRowFirstColumn="0" w:lastRowLastColumn="0"/>
            </w:pPr>
            <w:r w:rsidRPr="00FA35B0">
              <w:t>578.7</w:t>
            </w:r>
          </w:p>
        </w:tc>
      </w:tr>
      <w:tr w:rsidR="00FA35B0" w:rsidRPr="00DC4EE3" w:rsidTr="00FA35B0">
        <w:trPr>
          <w:trHeight w:val="300"/>
        </w:trPr>
        <w:tc>
          <w:tcPr>
            <w:cnfStyle w:val="001000000000" w:firstRow="0" w:lastRow="0" w:firstColumn="1" w:lastColumn="0" w:oddVBand="0" w:evenVBand="0" w:oddHBand="0" w:evenHBand="0" w:firstRowFirstColumn="0" w:firstRowLastColumn="0" w:lastRowFirstColumn="0" w:lastRowLastColumn="0"/>
            <w:tcW w:w="1983" w:type="pct"/>
            <w:noWrap/>
            <w:hideMark/>
          </w:tcPr>
          <w:p w:rsidR="00FA35B0" w:rsidRPr="00FA35B0" w:rsidRDefault="00FA35B0" w:rsidP="00FA35B0">
            <w:pPr>
              <w:pStyle w:val="AERtabletextleft"/>
            </w:pPr>
            <w:r w:rsidRPr="00FA35B0">
              <w:t>Inflation indexation on opening RAB</w:t>
            </w:r>
          </w:p>
        </w:tc>
        <w:tc>
          <w:tcPr>
            <w:tcW w:w="596" w:type="pct"/>
            <w:noWrap/>
            <w:vAlign w:val="bottom"/>
          </w:tcPr>
          <w:p w:rsidR="00FA35B0" w:rsidRPr="00FA35B0" w:rsidRDefault="00FA35B0" w:rsidP="00FA35B0">
            <w:pPr>
              <w:pStyle w:val="AERtabletextright"/>
              <w:cnfStyle w:val="000000000000" w:firstRow="0" w:lastRow="0" w:firstColumn="0" w:lastColumn="0" w:oddVBand="0" w:evenVBand="0" w:oddHBand="0" w:evenHBand="0" w:firstRowFirstColumn="0" w:firstRowLastColumn="0" w:lastRowFirstColumn="0" w:lastRowLastColumn="0"/>
            </w:pPr>
            <w:r w:rsidRPr="00FA35B0">
              <w:t>78.6</w:t>
            </w:r>
          </w:p>
        </w:tc>
        <w:tc>
          <w:tcPr>
            <w:tcW w:w="596" w:type="pct"/>
            <w:noWrap/>
            <w:vAlign w:val="bottom"/>
          </w:tcPr>
          <w:p w:rsidR="00FA35B0" w:rsidRPr="00FA35B0" w:rsidRDefault="00FA35B0" w:rsidP="00FA35B0">
            <w:pPr>
              <w:pStyle w:val="AERtabletextright"/>
              <w:cnfStyle w:val="000000000000" w:firstRow="0" w:lastRow="0" w:firstColumn="0" w:lastColumn="0" w:oddVBand="0" w:evenVBand="0" w:oddHBand="0" w:evenHBand="0" w:firstRowFirstColumn="0" w:firstRowLastColumn="0" w:lastRowFirstColumn="0" w:lastRowLastColumn="0"/>
            </w:pPr>
            <w:r w:rsidRPr="00FA35B0">
              <w:t>136.9</w:t>
            </w:r>
          </w:p>
        </w:tc>
        <w:tc>
          <w:tcPr>
            <w:tcW w:w="596" w:type="pct"/>
            <w:noWrap/>
            <w:vAlign w:val="bottom"/>
          </w:tcPr>
          <w:p w:rsidR="00FA35B0" w:rsidRPr="00FA35B0" w:rsidRDefault="00FA35B0" w:rsidP="00FA35B0">
            <w:pPr>
              <w:pStyle w:val="AERtabletextright"/>
              <w:cnfStyle w:val="000000000000" w:firstRow="0" w:lastRow="0" w:firstColumn="0" w:lastColumn="0" w:oddVBand="0" w:evenVBand="0" w:oddHBand="0" w:evenHBand="0" w:firstRowFirstColumn="0" w:firstRowLastColumn="0" w:lastRowFirstColumn="0" w:lastRowLastColumn="0"/>
            </w:pPr>
            <w:r w:rsidRPr="00FA35B0">
              <w:t>181.7</w:t>
            </w:r>
          </w:p>
        </w:tc>
        <w:tc>
          <w:tcPr>
            <w:tcW w:w="597" w:type="pct"/>
            <w:noWrap/>
            <w:vAlign w:val="bottom"/>
          </w:tcPr>
          <w:p w:rsidR="00FA35B0" w:rsidRPr="00FA35B0" w:rsidRDefault="00FA35B0" w:rsidP="00FA35B0">
            <w:pPr>
              <w:pStyle w:val="AERtabletextright"/>
              <w:cnfStyle w:val="000000000000" w:firstRow="0" w:lastRow="0" w:firstColumn="0" w:lastColumn="0" w:oddVBand="0" w:evenVBand="0" w:oddHBand="0" w:evenHBand="0" w:firstRowFirstColumn="0" w:firstRowLastColumn="0" w:lastRowFirstColumn="0" w:lastRowLastColumn="0"/>
            </w:pPr>
            <w:r w:rsidRPr="00FA35B0">
              <w:t>106.0</w:t>
            </w:r>
          </w:p>
        </w:tc>
        <w:tc>
          <w:tcPr>
            <w:tcW w:w="632" w:type="pct"/>
            <w:noWrap/>
            <w:vAlign w:val="bottom"/>
          </w:tcPr>
          <w:p w:rsidR="00FA35B0" w:rsidRPr="00FA35B0" w:rsidRDefault="00FA35B0" w:rsidP="00FA35B0">
            <w:pPr>
              <w:pStyle w:val="AERtabletextright"/>
              <w:cnfStyle w:val="000000000000" w:firstRow="0" w:lastRow="0" w:firstColumn="0" w:lastColumn="0" w:oddVBand="0" w:evenVBand="0" w:oddHBand="0" w:evenHBand="0" w:firstRowFirstColumn="0" w:firstRowLastColumn="0" w:lastRowFirstColumn="0" w:lastRowLastColumn="0"/>
            </w:pPr>
            <w:r w:rsidRPr="00FA35B0">
              <w:t>158.3</w:t>
            </w:r>
          </w:p>
        </w:tc>
      </w:tr>
      <w:tr w:rsidR="00FA35B0" w:rsidRPr="00DC4EE3" w:rsidTr="00FA35B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pct"/>
            <w:noWrap/>
            <w:hideMark/>
          </w:tcPr>
          <w:p w:rsidR="00FA35B0" w:rsidRPr="00FA35B0" w:rsidRDefault="00FA35B0" w:rsidP="00FA35B0">
            <w:pPr>
              <w:pStyle w:val="AERtabletextleft"/>
            </w:pPr>
            <w:r w:rsidRPr="00ED39D7">
              <w:rPr>
                <w:rStyle w:val="AERtextitalic"/>
              </w:rPr>
              <w:t>Less:</w:t>
            </w:r>
            <w:r w:rsidRPr="00FA35B0">
              <w:t xml:space="preserve"> straight-line depreciation</w:t>
            </w:r>
          </w:p>
        </w:tc>
        <w:tc>
          <w:tcPr>
            <w:tcW w:w="596" w:type="pct"/>
            <w:noWrap/>
            <w:vAlign w:val="bottom"/>
          </w:tcPr>
          <w:p w:rsidR="00FA35B0" w:rsidRPr="00FA35B0" w:rsidRDefault="00FA35B0" w:rsidP="00FA35B0">
            <w:pPr>
              <w:pStyle w:val="AERtabletextright"/>
              <w:cnfStyle w:val="000000010000" w:firstRow="0" w:lastRow="0" w:firstColumn="0" w:lastColumn="0" w:oddVBand="0" w:evenVBand="0" w:oddHBand="0" w:evenHBand="1" w:firstRowFirstColumn="0" w:firstRowLastColumn="0" w:lastRowFirstColumn="0" w:lastRowLastColumn="0"/>
            </w:pPr>
            <w:r w:rsidRPr="00FA35B0">
              <w:t>265.8</w:t>
            </w:r>
          </w:p>
        </w:tc>
        <w:tc>
          <w:tcPr>
            <w:tcW w:w="596" w:type="pct"/>
            <w:noWrap/>
            <w:vAlign w:val="bottom"/>
          </w:tcPr>
          <w:p w:rsidR="00FA35B0" w:rsidRPr="00FA35B0" w:rsidRDefault="00FA35B0" w:rsidP="00FA35B0">
            <w:pPr>
              <w:pStyle w:val="AERtabletextright"/>
              <w:cnfStyle w:val="000000010000" w:firstRow="0" w:lastRow="0" w:firstColumn="0" w:lastColumn="0" w:oddVBand="0" w:evenVBand="0" w:oddHBand="0" w:evenHBand="1" w:firstRowFirstColumn="0" w:firstRowLastColumn="0" w:lastRowFirstColumn="0" w:lastRowLastColumn="0"/>
            </w:pPr>
            <w:r w:rsidRPr="00FA35B0">
              <w:t>297.5</w:t>
            </w:r>
          </w:p>
        </w:tc>
        <w:tc>
          <w:tcPr>
            <w:tcW w:w="596" w:type="pct"/>
            <w:noWrap/>
            <w:vAlign w:val="bottom"/>
          </w:tcPr>
          <w:p w:rsidR="00FA35B0" w:rsidRPr="00FA35B0" w:rsidRDefault="00FA35B0" w:rsidP="00FA35B0">
            <w:pPr>
              <w:pStyle w:val="AERtabletextright"/>
              <w:cnfStyle w:val="000000010000" w:firstRow="0" w:lastRow="0" w:firstColumn="0" w:lastColumn="0" w:oddVBand="0" w:evenVBand="0" w:oddHBand="0" w:evenHBand="1" w:firstRowFirstColumn="0" w:firstRowLastColumn="0" w:lastRowFirstColumn="0" w:lastRowLastColumn="0"/>
            </w:pPr>
            <w:r w:rsidRPr="00FA35B0">
              <w:t>271.4</w:t>
            </w:r>
          </w:p>
        </w:tc>
        <w:tc>
          <w:tcPr>
            <w:tcW w:w="597" w:type="pct"/>
            <w:noWrap/>
            <w:vAlign w:val="bottom"/>
          </w:tcPr>
          <w:p w:rsidR="00FA35B0" w:rsidRPr="00FA35B0" w:rsidRDefault="00FA35B0" w:rsidP="00FA35B0">
            <w:pPr>
              <w:pStyle w:val="AERtabletextright"/>
              <w:cnfStyle w:val="000000010000" w:firstRow="0" w:lastRow="0" w:firstColumn="0" w:lastColumn="0" w:oddVBand="0" w:evenVBand="0" w:oddHBand="0" w:evenHBand="1" w:firstRowFirstColumn="0" w:firstRowLastColumn="0" w:lastRowFirstColumn="0" w:lastRowLastColumn="0"/>
            </w:pPr>
            <w:r w:rsidRPr="00FA35B0">
              <w:t>308.0</w:t>
            </w:r>
          </w:p>
        </w:tc>
        <w:tc>
          <w:tcPr>
            <w:tcW w:w="632" w:type="pct"/>
            <w:noWrap/>
            <w:vAlign w:val="bottom"/>
          </w:tcPr>
          <w:p w:rsidR="00FA35B0" w:rsidRPr="00FA35B0" w:rsidRDefault="00FA35B0" w:rsidP="00FA35B0">
            <w:pPr>
              <w:pStyle w:val="AERtabletextright"/>
              <w:cnfStyle w:val="000000010000" w:firstRow="0" w:lastRow="0" w:firstColumn="0" w:lastColumn="0" w:oddVBand="0" w:evenVBand="0" w:oddHBand="0" w:evenHBand="1" w:firstRowFirstColumn="0" w:firstRowLastColumn="0" w:lastRowFirstColumn="0" w:lastRowLastColumn="0"/>
            </w:pPr>
            <w:r w:rsidRPr="00FA35B0">
              <w:t>332.5</w:t>
            </w:r>
          </w:p>
        </w:tc>
      </w:tr>
      <w:tr w:rsidR="00FA35B0" w:rsidRPr="00B15C15" w:rsidTr="00FA35B0">
        <w:trPr>
          <w:trHeight w:val="300"/>
        </w:trPr>
        <w:tc>
          <w:tcPr>
            <w:cnfStyle w:val="001000000000" w:firstRow="0" w:lastRow="0" w:firstColumn="1" w:lastColumn="0" w:oddVBand="0" w:evenVBand="0" w:oddHBand="0" w:evenHBand="0" w:firstRowFirstColumn="0" w:firstRowLastColumn="0" w:lastRowFirstColumn="0" w:lastRowLastColumn="0"/>
            <w:tcW w:w="1983" w:type="pct"/>
            <w:noWrap/>
            <w:hideMark/>
          </w:tcPr>
          <w:p w:rsidR="00FA35B0" w:rsidRPr="00B15C15" w:rsidRDefault="00FA35B0" w:rsidP="00B15C15">
            <w:pPr>
              <w:pStyle w:val="AERtabletextleft"/>
              <w:rPr>
                <w:rStyle w:val="AERtextbold"/>
                <w:b w:val="0"/>
              </w:rPr>
            </w:pPr>
            <w:r w:rsidRPr="00B15C15">
              <w:rPr>
                <w:rStyle w:val="AERtextbold"/>
                <w:b w:val="0"/>
              </w:rPr>
              <w:t>Closing RAB</w:t>
            </w:r>
          </w:p>
        </w:tc>
        <w:tc>
          <w:tcPr>
            <w:tcW w:w="596" w:type="pct"/>
            <w:noWrap/>
            <w:vAlign w:val="bottom"/>
          </w:tcPr>
          <w:p w:rsidR="00FA35B0" w:rsidRPr="00B15C15" w:rsidRDefault="00FA35B0"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4812.7</w:t>
            </w:r>
          </w:p>
        </w:tc>
        <w:tc>
          <w:tcPr>
            <w:tcW w:w="596" w:type="pct"/>
            <w:noWrap/>
            <w:vAlign w:val="bottom"/>
          </w:tcPr>
          <w:p w:rsidR="00FA35B0" w:rsidRPr="00B15C15" w:rsidRDefault="00FA35B0"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5361.5</w:t>
            </w:r>
          </w:p>
        </w:tc>
        <w:tc>
          <w:tcPr>
            <w:tcW w:w="596" w:type="pct"/>
            <w:noWrap/>
            <w:vAlign w:val="bottom"/>
          </w:tcPr>
          <w:p w:rsidR="00FA35B0" w:rsidRPr="00B15C15" w:rsidRDefault="00FA35B0"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6012.4</w:t>
            </w:r>
          </w:p>
        </w:tc>
        <w:tc>
          <w:tcPr>
            <w:tcW w:w="597" w:type="pct"/>
            <w:noWrap/>
            <w:vAlign w:val="bottom"/>
          </w:tcPr>
          <w:p w:rsidR="00FA35B0" w:rsidRPr="00B15C15" w:rsidRDefault="00FA35B0"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6461.0</w:t>
            </w:r>
          </w:p>
        </w:tc>
        <w:tc>
          <w:tcPr>
            <w:tcW w:w="632" w:type="pct"/>
            <w:noWrap/>
            <w:vAlign w:val="bottom"/>
          </w:tcPr>
          <w:p w:rsidR="00FA35B0" w:rsidRPr="00B15C15" w:rsidRDefault="00FA35B0"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6865</w:t>
            </w:r>
            <w:r w:rsidRPr="00B15C15">
              <w:t>.4</w:t>
            </w:r>
          </w:p>
        </w:tc>
      </w:tr>
      <w:tr w:rsidR="00FA35B0" w:rsidRPr="00DC4EE3" w:rsidTr="00FA35B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pct"/>
            <w:hideMark/>
          </w:tcPr>
          <w:p w:rsidR="00FA35B0" w:rsidRPr="00FA35B0" w:rsidRDefault="00FA35B0" w:rsidP="00FA35B0">
            <w:pPr>
              <w:pStyle w:val="AERtabletextleft"/>
            </w:pPr>
            <w:r w:rsidRPr="00FA35B0">
              <w:t xml:space="preserve">Difference between estimated and actual </w:t>
            </w:r>
            <w:proofErr w:type="spellStart"/>
            <w:r w:rsidRPr="00FA35B0">
              <w:t>capex</w:t>
            </w:r>
            <w:proofErr w:type="spellEnd"/>
            <w:r w:rsidRPr="00FA35B0">
              <w:t xml:space="preserve"> (1 July 2008 to 30 June 2009</w:t>
            </w:r>
          </w:p>
        </w:tc>
        <w:tc>
          <w:tcPr>
            <w:tcW w:w="596" w:type="pct"/>
            <w:noWrap/>
            <w:vAlign w:val="bottom"/>
          </w:tcPr>
          <w:p w:rsidR="00FA35B0" w:rsidRPr="00FA35B0" w:rsidRDefault="00FA35B0" w:rsidP="00FA35B0">
            <w:pPr>
              <w:pStyle w:val="AERtabletextright"/>
              <w:cnfStyle w:val="000000010000" w:firstRow="0" w:lastRow="0" w:firstColumn="0" w:lastColumn="0" w:oddVBand="0" w:evenVBand="0" w:oddHBand="0" w:evenHBand="1" w:firstRowFirstColumn="0" w:firstRowLastColumn="0" w:lastRowFirstColumn="0" w:lastRowLastColumn="0"/>
            </w:pPr>
            <w:r w:rsidRPr="00FA35B0">
              <w:t> </w:t>
            </w:r>
          </w:p>
        </w:tc>
        <w:tc>
          <w:tcPr>
            <w:tcW w:w="596" w:type="pct"/>
            <w:noWrap/>
            <w:vAlign w:val="bottom"/>
          </w:tcPr>
          <w:p w:rsidR="00FA35B0" w:rsidRPr="00FA35B0" w:rsidRDefault="00FA35B0" w:rsidP="00FA35B0">
            <w:pPr>
              <w:pStyle w:val="AERtabletextright"/>
              <w:cnfStyle w:val="000000010000" w:firstRow="0" w:lastRow="0" w:firstColumn="0" w:lastColumn="0" w:oddVBand="0" w:evenVBand="0" w:oddHBand="0" w:evenHBand="1" w:firstRowFirstColumn="0" w:firstRowLastColumn="0" w:lastRowFirstColumn="0" w:lastRowLastColumn="0"/>
            </w:pPr>
            <w:r w:rsidRPr="00FA35B0">
              <w:t> </w:t>
            </w:r>
          </w:p>
        </w:tc>
        <w:tc>
          <w:tcPr>
            <w:tcW w:w="596" w:type="pct"/>
            <w:noWrap/>
            <w:vAlign w:val="bottom"/>
          </w:tcPr>
          <w:p w:rsidR="00FA35B0" w:rsidRPr="00FA35B0" w:rsidRDefault="00FA35B0" w:rsidP="00FA35B0">
            <w:pPr>
              <w:pStyle w:val="AERtabletextright"/>
              <w:cnfStyle w:val="000000010000" w:firstRow="0" w:lastRow="0" w:firstColumn="0" w:lastColumn="0" w:oddVBand="0" w:evenVBand="0" w:oddHBand="0" w:evenHBand="1" w:firstRowFirstColumn="0" w:firstRowLastColumn="0" w:lastRowFirstColumn="0" w:lastRowLastColumn="0"/>
            </w:pPr>
            <w:r w:rsidRPr="00FA35B0">
              <w:t> </w:t>
            </w:r>
          </w:p>
        </w:tc>
        <w:tc>
          <w:tcPr>
            <w:tcW w:w="597" w:type="pct"/>
            <w:noWrap/>
            <w:vAlign w:val="bottom"/>
          </w:tcPr>
          <w:p w:rsidR="00FA35B0" w:rsidRPr="00FA35B0" w:rsidRDefault="00FA35B0" w:rsidP="00FA35B0">
            <w:pPr>
              <w:pStyle w:val="AERtabletextright"/>
              <w:cnfStyle w:val="000000010000" w:firstRow="0" w:lastRow="0" w:firstColumn="0" w:lastColumn="0" w:oddVBand="0" w:evenVBand="0" w:oddHBand="0" w:evenHBand="1" w:firstRowFirstColumn="0" w:firstRowLastColumn="0" w:lastRowFirstColumn="0" w:lastRowLastColumn="0"/>
            </w:pPr>
            <w:r w:rsidRPr="00FA35B0">
              <w:t> </w:t>
            </w:r>
          </w:p>
        </w:tc>
        <w:tc>
          <w:tcPr>
            <w:tcW w:w="632" w:type="pct"/>
            <w:noWrap/>
            <w:vAlign w:val="bottom"/>
          </w:tcPr>
          <w:p w:rsidR="00FA35B0" w:rsidRPr="00FA35B0" w:rsidRDefault="00B83ECA" w:rsidP="00FA35B0">
            <w:pPr>
              <w:pStyle w:val="AERtabletextright"/>
              <w:cnfStyle w:val="000000010000" w:firstRow="0" w:lastRow="0" w:firstColumn="0" w:lastColumn="0" w:oddVBand="0" w:evenVBand="0" w:oddHBand="0" w:evenHBand="1" w:firstRowFirstColumn="0" w:firstRowLastColumn="0" w:lastRowFirstColumn="0" w:lastRowLastColumn="0"/>
            </w:pPr>
            <w:r>
              <w:t>–</w:t>
            </w:r>
            <w:r w:rsidR="00FA35B0" w:rsidRPr="00FA35B0">
              <w:t>40.3</w:t>
            </w:r>
          </w:p>
        </w:tc>
      </w:tr>
      <w:tr w:rsidR="00FA35B0" w:rsidRPr="00DC4EE3" w:rsidTr="00FA35B0">
        <w:trPr>
          <w:trHeight w:val="300"/>
        </w:trPr>
        <w:tc>
          <w:tcPr>
            <w:cnfStyle w:val="001000000000" w:firstRow="0" w:lastRow="0" w:firstColumn="1" w:lastColumn="0" w:oddVBand="0" w:evenVBand="0" w:oddHBand="0" w:evenHBand="0" w:firstRowFirstColumn="0" w:firstRowLastColumn="0" w:lastRowFirstColumn="0" w:lastRowLastColumn="0"/>
            <w:tcW w:w="1983" w:type="pct"/>
            <w:hideMark/>
          </w:tcPr>
          <w:p w:rsidR="00FA35B0" w:rsidRPr="00FA35B0" w:rsidRDefault="00FA35B0" w:rsidP="00FA35B0">
            <w:pPr>
              <w:pStyle w:val="AERtabletextleft"/>
            </w:pPr>
            <w:r w:rsidRPr="00FA35B0">
              <w:t xml:space="preserve">Return on difference for 2008–09 </w:t>
            </w:r>
            <w:proofErr w:type="spellStart"/>
            <w:r w:rsidRPr="00FA35B0">
              <w:t>capex</w:t>
            </w:r>
            <w:proofErr w:type="spellEnd"/>
          </w:p>
        </w:tc>
        <w:tc>
          <w:tcPr>
            <w:tcW w:w="596" w:type="pct"/>
            <w:noWrap/>
            <w:vAlign w:val="bottom"/>
          </w:tcPr>
          <w:p w:rsidR="00FA35B0" w:rsidRPr="00FA35B0" w:rsidRDefault="00FA35B0" w:rsidP="00FA35B0">
            <w:pPr>
              <w:pStyle w:val="AERtabletextright"/>
              <w:cnfStyle w:val="000000000000" w:firstRow="0" w:lastRow="0" w:firstColumn="0" w:lastColumn="0" w:oddVBand="0" w:evenVBand="0" w:oddHBand="0" w:evenHBand="0" w:firstRowFirstColumn="0" w:firstRowLastColumn="0" w:lastRowFirstColumn="0" w:lastRowLastColumn="0"/>
            </w:pPr>
            <w:r w:rsidRPr="00FA35B0">
              <w:t> </w:t>
            </w:r>
          </w:p>
        </w:tc>
        <w:tc>
          <w:tcPr>
            <w:tcW w:w="596" w:type="pct"/>
            <w:noWrap/>
            <w:vAlign w:val="bottom"/>
          </w:tcPr>
          <w:p w:rsidR="00FA35B0" w:rsidRPr="00FA35B0" w:rsidRDefault="00FA35B0" w:rsidP="00FA35B0">
            <w:pPr>
              <w:pStyle w:val="AERtabletextright"/>
              <w:cnfStyle w:val="000000000000" w:firstRow="0" w:lastRow="0" w:firstColumn="0" w:lastColumn="0" w:oddVBand="0" w:evenVBand="0" w:oddHBand="0" w:evenHBand="0" w:firstRowFirstColumn="0" w:firstRowLastColumn="0" w:lastRowFirstColumn="0" w:lastRowLastColumn="0"/>
            </w:pPr>
            <w:r w:rsidRPr="00FA35B0">
              <w:t> </w:t>
            </w:r>
          </w:p>
        </w:tc>
        <w:tc>
          <w:tcPr>
            <w:tcW w:w="596" w:type="pct"/>
            <w:noWrap/>
            <w:vAlign w:val="bottom"/>
          </w:tcPr>
          <w:p w:rsidR="00FA35B0" w:rsidRPr="00FA35B0" w:rsidRDefault="00FA35B0" w:rsidP="00FA35B0">
            <w:pPr>
              <w:pStyle w:val="AERtabletextright"/>
              <w:cnfStyle w:val="000000000000" w:firstRow="0" w:lastRow="0" w:firstColumn="0" w:lastColumn="0" w:oddVBand="0" w:evenVBand="0" w:oddHBand="0" w:evenHBand="0" w:firstRowFirstColumn="0" w:firstRowLastColumn="0" w:lastRowFirstColumn="0" w:lastRowLastColumn="0"/>
            </w:pPr>
            <w:r w:rsidRPr="00FA35B0">
              <w:t> </w:t>
            </w:r>
          </w:p>
        </w:tc>
        <w:tc>
          <w:tcPr>
            <w:tcW w:w="597" w:type="pct"/>
            <w:noWrap/>
            <w:vAlign w:val="bottom"/>
          </w:tcPr>
          <w:p w:rsidR="00FA35B0" w:rsidRPr="00FA35B0" w:rsidRDefault="00FA35B0" w:rsidP="00FA35B0">
            <w:pPr>
              <w:pStyle w:val="AERtabletextright"/>
              <w:cnfStyle w:val="000000000000" w:firstRow="0" w:lastRow="0" w:firstColumn="0" w:lastColumn="0" w:oddVBand="0" w:evenVBand="0" w:oddHBand="0" w:evenHBand="0" w:firstRowFirstColumn="0" w:firstRowLastColumn="0" w:lastRowFirstColumn="0" w:lastRowLastColumn="0"/>
            </w:pPr>
            <w:r w:rsidRPr="00FA35B0">
              <w:t> </w:t>
            </w:r>
          </w:p>
        </w:tc>
        <w:tc>
          <w:tcPr>
            <w:tcW w:w="632" w:type="pct"/>
            <w:noWrap/>
            <w:vAlign w:val="bottom"/>
          </w:tcPr>
          <w:p w:rsidR="00FA35B0" w:rsidRPr="00FA35B0" w:rsidRDefault="00B83ECA" w:rsidP="00FA35B0">
            <w:pPr>
              <w:pStyle w:val="AERtabletextright"/>
              <w:cnfStyle w:val="000000000000" w:firstRow="0" w:lastRow="0" w:firstColumn="0" w:lastColumn="0" w:oddVBand="0" w:evenVBand="0" w:oddHBand="0" w:evenHBand="0" w:firstRowFirstColumn="0" w:firstRowLastColumn="0" w:lastRowFirstColumn="0" w:lastRowLastColumn="0"/>
            </w:pPr>
            <w:r>
              <w:t>–</w:t>
            </w:r>
            <w:r w:rsidR="00FA35B0" w:rsidRPr="00FA35B0">
              <w:t>24.6</w:t>
            </w:r>
          </w:p>
        </w:tc>
      </w:tr>
      <w:tr w:rsidR="00FA35B0" w:rsidRPr="00B15C15" w:rsidTr="00FA35B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pct"/>
            <w:noWrap/>
            <w:hideMark/>
          </w:tcPr>
          <w:p w:rsidR="00FA35B0" w:rsidRPr="00B15C15" w:rsidRDefault="00FA35B0" w:rsidP="00B15C15">
            <w:pPr>
              <w:pStyle w:val="AERtabletextleft"/>
              <w:rPr>
                <w:rStyle w:val="AERtextbold"/>
                <w:b w:val="0"/>
              </w:rPr>
            </w:pPr>
            <w:r w:rsidRPr="00B15C15">
              <w:rPr>
                <w:rStyle w:val="AERtextbold"/>
                <w:b w:val="0"/>
              </w:rPr>
              <w:t>Closing RAB as at 30 June 2014</w:t>
            </w:r>
          </w:p>
        </w:tc>
        <w:tc>
          <w:tcPr>
            <w:tcW w:w="596" w:type="pct"/>
            <w:noWrap/>
            <w:vAlign w:val="bottom"/>
          </w:tcPr>
          <w:p w:rsidR="00FA35B0" w:rsidRPr="00B15C15" w:rsidRDefault="00FA35B0" w:rsidP="00B15C15">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B15C15">
              <w:rPr>
                <w:rStyle w:val="AERtextbold"/>
                <w:b w:val="0"/>
              </w:rPr>
              <w:t> </w:t>
            </w:r>
          </w:p>
        </w:tc>
        <w:tc>
          <w:tcPr>
            <w:tcW w:w="596" w:type="pct"/>
            <w:noWrap/>
            <w:vAlign w:val="bottom"/>
          </w:tcPr>
          <w:p w:rsidR="00FA35B0" w:rsidRPr="00B15C15" w:rsidRDefault="00FA35B0" w:rsidP="00B15C15">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B15C15">
              <w:rPr>
                <w:rStyle w:val="AERtextbold"/>
                <w:b w:val="0"/>
              </w:rPr>
              <w:t> </w:t>
            </w:r>
          </w:p>
        </w:tc>
        <w:tc>
          <w:tcPr>
            <w:tcW w:w="596" w:type="pct"/>
            <w:noWrap/>
            <w:vAlign w:val="bottom"/>
          </w:tcPr>
          <w:p w:rsidR="00FA35B0" w:rsidRPr="00B15C15" w:rsidRDefault="00FA35B0" w:rsidP="00B15C15">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B15C15">
              <w:rPr>
                <w:rStyle w:val="AERtextbold"/>
                <w:b w:val="0"/>
              </w:rPr>
              <w:t> </w:t>
            </w:r>
          </w:p>
        </w:tc>
        <w:tc>
          <w:tcPr>
            <w:tcW w:w="597" w:type="pct"/>
            <w:noWrap/>
            <w:vAlign w:val="bottom"/>
          </w:tcPr>
          <w:p w:rsidR="00FA35B0" w:rsidRPr="00B15C15" w:rsidRDefault="00FA35B0" w:rsidP="00B15C15">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B15C15">
              <w:rPr>
                <w:rStyle w:val="AERtextbold"/>
                <w:b w:val="0"/>
              </w:rPr>
              <w:t> </w:t>
            </w:r>
          </w:p>
        </w:tc>
        <w:tc>
          <w:tcPr>
            <w:tcW w:w="632" w:type="pct"/>
            <w:noWrap/>
            <w:vAlign w:val="bottom"/>
          </w:tcPr>
          <w:p w:rsidR="00FA35B0" w:rsidRPr="00B15C15" w:rsidRDefault="00FA35B0" w:rsidP="00B15C15">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B15C15">
              <w:rPr>
                <w:rStyle w:val="AERtextbold"/>
                <w:b w:val="0"/>
              </w:rPr>
              <w:t>6800</w:t>
            </w:r>
            <w:r w:rsidRPr="00B15C15">
              <w:t>.5</w:t>
            </w:r>
          </w:p>
        </w:tc>
      </w:tr>
      <w:tr w:rsidR="00FA35B0" w:rsidRPr="00BA27AD" w:rsidTr="00FA35B0">
        <w:trPr>
          <w:trHeight w:val="300"/>
        </w:trPr>
        <w:tc>
          <w:tcPr>
            <w:cnfStyle w:val="001000000000" w:firstRow="0" w:lastRow="0" w:firstColumn="1" w:lastColumn="0" w:oddVBand="0" w:evenVBand="0" w:oddHBand="0" w:evenHBand="0" w:firstRowFirstColumn="0" w:firstRowLastColumn="0" w:lastRowFirstColumn="0" w:lastRowLastColumn="0"/>
            <w:tcW w:w="1983" w:type="pct"/>
            <w:noWrap/>
          </w:tcPr>
          <w:p w:rsidR="00FA35B0" w:rsidRPr="00FA35B0" w:rsidRDefault="00FA35B0" w:rsidP="00FA35B0">
            <w:pPr>
              <w:pStyle w:val="AERtabletextleft"/>
              <w:rPr>
                <w:rStyle w:val="AERtextbold"/>
                <w:b w:val="0"/>
              </w:rPr>
            </w:pPr>
            <w:r w:rsidRPr="00FA35B0">
              <w:rPr>
                <w:rStyle w:val="AERtextbold"/>
                <w:b w:val="0"/>
              </w:rPr>
              <w:t>Meters moved to alternative control services</w:t>
            </w:r>
          </w:p>
        </w:tc>
        <w:tc>
          <w:tcPr>
            <w:tcW w:w="596" w:type="pct"/>
            <w:noWrap/>
            <w:vAlign w:val="bottom"/>
          </w:tcPr>
          <w:p w:rsidR="00FA35B0" w:rsidRPr="00FA35B0" w:rsidRDefault="00FA35B0" w:rsidP="00FA35B0">
            <w:pPr>
              <w:pStyle w:val="AERtabletextright"/>
              <w:cnfStyle w:val="000000000000" w:firstRow="0" w:lastRow="0" w:firstColumn="0" w:lastColumn="0" w:oddVBand="0" w:evenVBand="0" w:oddHBand="0" w:evenHBand="0" w:firstRowFirstColumn="0" w:firstRowLastColumn="0" w:lastRowFirstColumn="0" w:lastRowLastColumn="0"/>
            </w:pPr>
            <w:r w:rsidRPr="00FA35B0">
              <w:t> </w:t>
            </w:r>
          </w:p>
        </w:tc>
        <w:tc>
          <w:tcPr>
            <w:tcW w:w="596" w:type="pct"/>
            <w:noWrap/>
            <w:vAlign w:val="bottom"/>
          </w:tcPr>
          <w:p w:rsidR="00FA35B0" w:rsidRPr="00FA35B0" w:rsidRDefault="00FA35B0" w:rsidP="00FA35B0">
            <w:pPr>
              <w:pStyle w:val="AERtabletextright"/>
              <w:cnfStyle w:val="000000000000" w:firstRow="0" w:lastRow="0" w:firstColumn="0" w:lastColumn="0" w:oddVBand="0" w:evenVBand="0" w:oddHBand="0" w:evenHBand="0" w:firstRowFirstColumn="0" w:firstRowLastColumn="0" w:lastRowFirstColumn="0" w:lastRowLastColumn="0"/>
            </w:pPr>
            <w:r w:rsidRPr="00FA35B0">
              <w:t> </w:t>
            </w:r>
          </w:p>
        </w:tc>
        <w:tc>
          <w:tcPr>
            <w:tcW w:w="596" w:type="pct"/>
            <w:noWrap/>
            <w:vAlign w:val="bottom"/>
          </w:tcPr>
          <w:p w:rsidR="00FA35B0" w:rsidRPr="00FA35B0" w:rsidRDefault="00FA35B0" w:rsidP="00FA35B0">
            <w:pPr>
              <w:pStyle w:val="AERtabletextright"/>
              <w:cnfStyle w:val="000000000000" w:firstRow="0" w:lastRow="0" w:firstColumn="0" w:lastColumn="0" w:oddVBand="0" w:evenVBand="0" w:oddHBand="0" w:evenHBand="0" w:firstRowFirstColumn="0" w:firstRowLastColumn="0" w:lastRowFirstColumn="0" w:lastRowLastColumn="0"/>
            </w:pPr>
            <w:r w:rsidRPr="00FA35B0">
              <w:t> </w:t>
            </w:r>
          </w:p>
        </w:tc>
        <w:tc>
          <w:tcPr>
            <w:tcW w:w="597" w:type="pct"/>
            <w:noWrap/>
            <w:vAlign w:val="bottom"/>
          </w:tcPr>
          <w:p w:rsidR="00FA35B0" w:rsidRPr="00FA35B0" w:rsidRDefault="00FA35B0" w:rsidP="00FA35B0">
            <w:pPr>
              <w:pStyle w:val="AERtabletextright"/>
              <w:cnfStyle w:val="000000000000" w:firstRow="0" w:lastRow="0" w:firstColumn="0" w:lastColumn="0" w:oddVBand="0" w:evenVBand="0" w:oddHBand="0" w:evenHBand="0" w:firstRowFirstColumn="0" w:firstRowLastColumn="0" w:lastRowFirstColumn="0" w:lastRowLastColumn="0"/>
            </w:pPr>
            <w:r w:rsidRPr="00FA35B0">
              <w:t> </w:t>
            </w:r>
          </w:p>
        </w:tc>
        <w:tc>
          <w:tcPr>
            <w:tcW w:w="632" w:type="pct"/>
            <w:noWrap/>
            <w:vAlign w:val="bottom"/>
          </w:tcPr>
          <w:p w:rsidR="00FA35B0" w:rsidRPr="00FA35B0" w:rsidRDefault="00B83ECA" w:rsidP="00FA35B0">
            <w:pPr>
              <w:pStyle w:val="AERtabletextright"/>
              <w:cnfStyle w:val="000000000000" w:firstRow="0" w:lastRow="0" w:firstColumn="0" w:lastColumn="0" w:oddVBand="0" w:evenVBand="0" w:oddHBand="0" w:evenHBand="0" w:firstRowFirstColumn="0" w:firstRowLastColumn="0" w:lastRowFirstColumn="0" w:lastRowLastColumn="0"/>
            </w:pPr>
            <w:r>
              <w:t>–</w:t>
            </w:r>
            <w:r w:rsidR="00FA35B0" w:rsidRPr="00FA35B0">
              <w:t>115.1</w:t>
            </w:r>
          </w:p>
        </w:tc>
      </w:tr>
      <w:tr w:rsidR="00FA35B0" w:rsidRPr="00813287" w:rsidTr="00FA35B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pct"/>
            <w:noWrap/>
          </w:tcPr>
          <w:p w:rsidR="00FA35B0" w:rsidRPr="00FA35B0" w:rsidRDefault="00FA35B0" w:rsidP="00FA35B0">
            <w:pPr>
              <w:pStyle w:val="AERtabletextleft"/>
              <w:rPr>
                <w:rStyle w:val="AERtextbold"/>
              </w:rPr>
            </w:pPr>
            <w:r w:rsidRPr="00FA35B0">
              <w:rPr>
                <w:rStyle w:val="AERtextbold"/>
              </w:rPr>
              <w:t>Opening RAB as at 1 July 2014</w:t>
            </w:r>
          </w:p>
        </w:tc>
        <w:tc>
          <w:tcPr>
            <w:tcW w:w="596" w:type="pct"/>
            <w:noWrap/>
            <w:vAlign w:val="bottom"/>
          </w:tcPr>
          <w:p w:rsidR="00FA35B0" w:rsidRPr="00FA35B0" w:rsidRDefault="00FA35B0" w:rsidP="00FA35B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FA35B0">
              <w:rPr>
                <w:rStyle w:val="AERtextbold"/>
              </w:rPr>
              <w:t> </w:t>
            </w:r>
          </w:p>
        </w:tc>
        <w:tc>
          <w:tcPr>
            <w:tcW w:w="596" w:type="pct"/>
            <w:noWrap/>
            <w:vAlign w:val="bottom"/>
          </w:tcPr>
          <w:p w:rsidR="00FA35B0" w:rsidRPr="00FA35B0" w:rsidRDefault="00FA35B0" w:rsidP="00FA35B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FA35B0">
              <w:rPr>
                <w:rStyle w:val="AERtextbold"/>
              </w:rPr>
              <w:t> </w:t>
            </w:r>
          </w:p>
        </w:tc>
        <w:tc>
          <w:tcPr>
            <w:tcW w:w="596" w:type="pct"/>
            <w:noWrap/>
            <w:vAlign w:val="bottom"/>
          </w:tcPr>
          <w:p w:rsidR="00FA35B0" w:rsidRPr="00FA35B0" w:rsidRDefault="00FA35B0" w:rsidP="00FA35B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FA35B0">
              <w:rPr>
                <w:rStyle w:val="AERtextbold"/>
              </w:rPr>
              <w:t> </w:t>
            </w:r>
          </w:p>
        </w:tc>
        <w:tc>
          <w:tcPr>
            <w:tcW w:w="597" w:type="pct"/>
            <w:noWrap/>
            <w:vAlign w:val="bottom"/>
          </w:tcPr>
          <w:p w:rsidR="00FA35B0" w:rsidRPr="00FA35B0" w:rsidRDefault="00FA35B0" w:rsidP="00FA35B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FA35B0">
              <w:rPr>
                <w:rStyle w:val="AERtextbold"/>
              </w:rPr>
              <w:t> </w:t>
            </w:r>
          </w:p>
        </w:tc>
        <w:tc>
          <w:tcPr>
            <w:tcW w:w="632" w:type="pct"/>
            <w:noWrap/>
            <w:vAlign w:val="bottom"/>
          </w:tcPr>
          <w:p w:rsidR="00FA35B0" w:rsidRPr="00FA35B0" w:rsidRDefault="00FA35B0" w:rsidP="00FA35B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FA35B0">
              <w:rPr>
                <w:rStyle w:val="AERtextbold"/>
              </w:rPr>
              <w:t>6685</w:t>
            </w:r>
            <w:r w:rsidRPr="00FA35B0">
              <w:t>.4</w:t>
            </w:r>
          </w:p>
        </w:tc>
      </w:tr>
    </w:tbl>
    <w:p w:rsidR="00ED400D" w:rsidRPr="00ED400D" w:rsidRDefault="00ED400D" w:rsidP="00ED400D">
      <w:pPr>
        <w:pStyle w:val="AERtablesource"/>
      </w:pPr>
      <w:r w:rsidRPr="00ED400D">
        <w:t>Source:</w:t>
      </w:r>
      <w:r w:rsidRPr="00ED400D">
        <w:tab/>
        <w:t>AER analysis</w:t>
      </w:r>
    </w:p>
    <w:p w:rsidR="00ED400D" w:rsidRPr="00ED400D" w:rsidRDefault="00ED400D" w:rsidP="00ED400D">
      <w:pPr>
        <w:pStyle w:val="AERtablesource"/>
      </w:pPr>
      <w:r w:rsidRPr="00ED400D">
        <w:t>(a):</w:t>
      </w:r>
      <w:r w:rsidRPr="00ED400D">
        <w:tab/>
        <w:t xml:space="preserve">Based on estimated </w:t>
      </w:r>
      <w:proofErr w:type="spellStart"/>
      <w:r w:rsidRPr="00ED400D">
        <w:t>capex</w:t>
      </w:r>
      <w:proofErr w:type="spellEnd"/>
      <w:r w:rsidRPr="00ED400D">
        <w:t xml:space="preserve">. </w:t>
      </w:r>
      <w:r w:rsidR="00D07A8F">
        <w:t xml:space="preserve">We will update the RAB </w:t>
      </w:r>
      <w:r w:rsidRPr="00ED400D">
        <w:t xml:space="preserve">roll forward </w:t>
      </w:r>
      <w:r w:rsidR="00D07A8F">
        <w:t>in the final decision</w:t>
      </w:r>
      <w:r w:rsidRPr="00ED400D">
        <w:t>.</w:t>
      </w:r>
    </w:p>
    <w:p w:rsidR="00ED400D" w:rsidRPr="00ED400D" w:rsidRDefault="00ED400D" w:rsidP="00ED400D">
      <w:pPr>
        <w:pStyle w:val="AERtablesource"/>
      </w:pPr>
      <w:r w:rsidRPr="00ED400D">
        <w:t>(b):</w:t>
      </w:r>
      <w:r w:rsidRPr="00ED400D">
        <w:tab/>
        <w:t>Net of disposals and capital contributions</w:t>
      </w:r>
      <w:r w:rsidR="00D07A8F">
        <w:t>, and adjusted for CPI</w:t>
      </w:r>
      <w:r w:rsidRPr="00ED400D">
        <w:t>.</w:t>
      </w:r>
    </w:p>
    <w:p w:rsidR="00360CE9" w:rsidRPr="00360CE9" w:rsidRDefault="00360CE9" w:rsidP="00360CE9">
      <w:pPr>
        <w:pStyle w:val="Caption"/>
      </w:pPr>
      <w:bookmarkStart w:id="14" w:name="_Ref394649328"/>
      <w:r w:rsidRPr="00360CE9">
        <w:t xml:space="preserve">Table </w:t>
      </w:r>
      <w:r w:rsidR="0008691B">
        <w:t>2</w:t>
      </w:r>
      <w:r w:rsidR="00284F1D">
        <w:noBreakHyphen/>
      </w:r>
      <w:r w:rsidR="00D90BFE">
        <w:fldChar w:fldCharType="begin"/>
      </w:r>
      <w:r w:rsidR="00D90BFE">
        <w:instrText xml:space="preserve"> SEQ Table \* ARABIC \s 1 </w:instrText>
      </w:r>
      <w:r w:rsidR="00D90BFE">
        <w:fldChar w:fldCharType="separate"/>
      </w:r>
      <w:r w:rsidR="00A10B76">
        <w:rPr>
          <w:noProof/>
        </w:rPr>
        <w:t>2</w:t>
      </w:r>
      <w:r w:rsidR="00D90BFE">
        <w:rPr>
          <w:noProof/>
        </w:rPr>
        <w:fldChar w:fldCharType="end"/>
      </w:r>
      <w:bookmarkEnd w:id="14"/>
      <w:r w:rsidRPr="00360CE9">
        <w:tab/>
        <w:t xml:space="preserve">AER's draft decision on </w:t>
      </w:r>
      <w:r>
        <w:t>Essential</w:t>
      </w:r>
      <w:r w:rsidRPr="00360CE9">
        <w:t xml:space="preserve"> Energy's RAB for the </w:t>
      </w:r>
      <w:r w:rsidR="00310328">
        <w:t>2014</w:t>
      </w:r>
      <w:r w:rsidR="00973A8B">
        <w:t>–</w:t>
      </w:r>
      <w:r w:rsidR="00310328">
        <w:t>19 period</w:t>
      </w:r>
      <w:r w:rsidRPr="00360CE9">
        <w:t xml:space="preserve"> ($</w:t>
      </w:r>
      <w:r w:rsidR="00B15C15">
        <w:t> </w:t>
      </w:r>
      <w:r w:rsidRPr="00360CE9">
        <w:t>million, nominal)</w:t>
      </w:r>
    </w:p>
    <w:tbl>
      <w:tblPr>
        <w:tblStyle w:val="AERtable-numbers"/>
        <w:tblW w:w="5000" w:type="pct"/>
        <w:tblLook w:val="04A0" w:firstRow="1" w:lastRow="0" w:firstColumn="1" w:lastColumn="0" w:noHBand="0" w:noVBand="1"/>
      </w:tblPr>
      <w:tblGrid>
        <w:gridCol w:w="3677"/>
        <w:gridCol w:w="1113"/>
        <w:gridCol w:w="1113"/>
        <w:gridCol w:w="1113"/>
        <w:gridCol w:w="1113"/>
        <w:gridCol w:w="1113"/>
      </w:tblGrid>
      <w:tr w:rsidR="00360CE9" w:rsidRPr="00DC4EE3" w:rsidTr="0056555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360CE9" w:rsidRPr="00360CE9" w:rsidRDefault="00360CE9" w:rsidP="00360CE9">
            <w:pPr>
              <w:pStyle w:val="AERtabletextleft"/>
            </w:pPr>
            <w:r w:rsidRPr="00360CE9">
              <w:t> </w:t>
            </w:r>
          </w:p>
        </w:tc>
        <w:tc>
          <w:tcPr>
            <w:tcW w:w="602" w:type="pct"/>
            <w:noWrap/>
            <w:hideMark/>
          </w:tcPr>
          <w:p w:rsidR="00360CE9" w:rsidRPr="00360CE9" w:rsidRDefault="00360CE9" w:rsidP="00360CE9">
            <w:pPr>
              <w:pStyle w:val="AERtabletextright"/>
              <w:cnfStyle w:val="100000000000" w:firstRow="1" w:lastRow="0" w:firstColumn="0" w:lastColumn="0" w:oddVBand="0" w:evenVBand="0" w:oddHBand="0" w:evenHBand="0" w:firstRowFirstColumn="0" w:firstRowLastColumn="0" w:lastRowFirstColumn="0" w:lastRowLastColumn="0"/>
            </w:pPr>
            <w:r w:rsidRPr="00360CE9">
              <w:t>2014–15</w:t>
            </w:r>
          </w:p>
        </w:tc>
        <w:tc>
          <w:tcPr>
            <w:tcW w:w="602" w:type="pct"/>
            <w:noWrap/>
            <w:hideMark/>
          </w:tcPr>
          <w:p w:rsidR="00360CE9" w:rsidRPr="00360CE9" w:rsidRDefault="00360CE9" w:rsidP="00360CE9">
            <w:pPr>
              <w:pStyle w:val="AERtabletextright"/>
              <w:cnfStyle w:val="100000000000" w:firstRow="1" w:lastRow="0" w:firstColumn="0" w:lastColumn="0" w:oddVBand="0" w:evenVBand="0" w:oddHBand="0" w:evenHBand="0" w:firstRowFirstColumn="0" w:firstRowLastColumn="0" w:lastRowFirstColumn="0" w:lastRowLastColumn="0"/>
            </w:pPr>
            <w:r w:rsidRPr="00360CE9">
              <w:t>2015–16</w:t>
            </w:r>
          </w:p>
        </w:tc>
        <w:tc>
          <w:tcPr>
            <w:tcW w:w="602" w:type="pct"/>
            <w:noWrap/>
            <w:hideMark/>
          </w:tcPr>
          <w:p w:rsidR="00360CE9" w:rsidRPr="00360CE9" w:rsidRDefault="00360CE9" w:rsidP="00360CE9">
            <w:pPr>
              <w:pStyle w:val="AERtabletextright"/>
              <w:cnfStyle w:val="100000000000" w:firstRow="1" w:lastRow="0" w:firstColumn="0" w:lastColumn="0" w:oddVBand="0" w:evenVBand="0" w:oddHBand="0" w:evenHBand="0" w:firstRowFirstColumn="0" w:firstRowLastColumn="0" w:lastRowFirstColumn="0" w:lastRowLastColumn="0"/>
            </w:pPr>
            <w:r w:rsidRPr="00360CE9">
              <w:t>2016–17</w:t>
            </w:r>
          </w:p>
        </w:tc>
        <w:tc>
          <w:tcPr>
            <w:tcW w:w="602" w:type="pct"/>
            <w:noWrap/>
            <w:hideMark/>
          </w:tcPr>
          <w:p w:rsidR="00360CE9" w:rsidRPr="00360CE9" w:rsidRDefault="00360CE9" w:rsidP="00360CE9">
            <w:pPr>
              <w:pStyle w:val="AERtabletextright"/>
              <w:cnfStyle w:val="100000000000" w:firstRow="1" w:lastRow="0" w:firstColumn="0" w:lastColumn="0" w:oddVBand="0" w:evenVBand="0" w:oddHBand="0" w:evenHBand="0" w:firstRowFirstColumn="0" w:firstRowLastColumn="0" w:lastRowFirstColumn="0" w:lastRowLastColumn="0"/>
            </w:pPr>
            <w:r w:rsidRPr="00360CE9">
              <w:t>2017–18</w:t>
            </w:r>
          </w:p>
        </w:tc>
        <w:tc>
          <w:tcPr>
            <w:tcW w:w="602" w:type="pct"/>
            <w:noWrap/>
            <w:hideMark/>
          </w:tcPr>
          <w:p w:rsidR="00360CE9" w:rsidRPr="00360CE9" w:rsidRDefault="00360CE9" w:rsidP="00360CE9">
            <w:pPr>
              <w:pStyle w:val="AERtabletextright"/>
              <w:cnfStyle w:val="100000000000" w:firstRow="1" w:lastRow="0" w:firstColumn="0" w:lastColumn="0" w:oddVBand="0" w:evenVBand="0" w:oddHBand="0" w:evenHBand="0" w:firstRowFirstColumn="0" w:firstRowLastColumn="0" w:lastRowFirstColumn="0" w:lastRowLastColumn="0"/>
            </w:pPr>
            <w:r w:rsidRPr="00360CE9">
              <w:t>2018–19</w:t>
            </w:r>
          </w:p>
        </w:tc>
      </w:tr>
      <w:tr w:rsidR="00B83ECA" w:rsidRPr="00B15C15" w:rsidTr="004421FF">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B83ECA" w:rsidRPr="00B15C15" w:rsidRDefault="00B83ECA" w:rsidP="00B15C15">
            <w:pPr>
              <w:pStyle w:val="AERtabletextleft"/>
              <w:rPr>
                <w:rStyle w:val="AERtextbold"/>
                <w:b w:val="0"/>
              </w:rPr>
            </w:pPr>
            <w:r w:rsidRPr="00B15C15">
              <w:rPr>
                <w:rStyle w:val="AERtextbold"/>
                <w:b w:val="0"/>
              </w:rPr>
              <w:t>Opening RAB</w:t>
            </w:r>
          </w:p>
        </w:tc>
        <w:tc>
          <w:tcPr>
            <w:tcW w:w="602" w:type="pct"/>
            <w:noWrap/>
            <w:vAlign w:val="bottom"/>
            <w:hideMark/>
          </w:tcPr>
          <w:p w:rsidR="00B83ECA" w:rsidRPr="00B15C15" w:rsidRDefault="00B83ECA"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6685.4</w:t>
            </w:r>
          </w:p>
        </w:tc>
        <w:tc>
          <w:tcPr>
            <w:tcW w:w="602" w:type="pct"/>
            <w:noWrap/>
            <w:vAlign w:val="bottom"/>
            <w:hideMark/>
          </w:tcPr>
          <w:p w:rsidR="00B83ECA" w:rsidRPr="00B15C15" w:rsidRDefault="00B83ECA"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7024.5</w:t>
            </w:r>
          </w:p>
        </w:tc>
        <w:tc>
          <w:tcPr>
            <w:tcW w:w="602" w:type="pct"/>
            <w:noWrap/>
            <w:vAlign w:val="bottom"/>
            <w:hideMark/>
          </w:tcPr>
          <w:p w:rsidR="00B83ECA" w:rsidRPr="00B15C15" w:rsidRDefault="00B83ECA"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7313.1</w:t>
            </w:r>
          </w:p>
        </w:tc>
        <w:tc>
          <w:tcPr>
            <w:tcW w:w="602" w:type="pct"/>
            <w:noWrap/>
            <w:vAlign w:val="bottom"/>
            <w:hideMark/>
          </w:tcPr>
          <w:p w:rsidR="00B83ECA" w:rsidRPr="00B15C15" w:rsidRDefault="00B83ECA"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7595.8</w:t>
            </w:r>
          </w:p>
        </w:tc>
        <w:tc>
          <w:tcPr>
            <w:tcW w:w="602" w:type="pct"/>
            <w:noWrap/>
            <w:vAlign w:val="bottom"/>
            <w:hideMark/>
          </w:tcPr>
          <w:p w:rsidR="00B83ECA" w:rsidRPr="00B15C15" w:rsidRDefault="00B83ECA"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7866.3</w:t>
            </w:r>
          </w:p>
        </w:tc>
      </w:tr>
      <w:tr w:rsidR="00B83ECA" w:rsidRPr="00DC4EE3" w:rsidTr="004421F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B83ECA" w:rsidRPr="00B83ECA" w:rsidRDefault="00B83ECA" w:rsidP="00B83ECA">
            <w:pPr>
              <w:pStyle w:val="AERtabletextleft"/>
            </w:pPr>
            <w:r w:rsidRPr="00B83ECA">
              <w:t xml:space="preserve">Capital </w:t>
            </w:r>
            <w:proofErr w:type="spellStart"/>
            <w:r w:rsidRPr="00B83ECA">
              <w:t>expenditure</w:t>
            </w:r>
            <w:r w:rsidRPr="00B83ECA">
              <w:rPr>
                <w:rStyle w:val="AERsuperscript"/>
              </w:rPr>
              <w:t>a</w:t>
            </w:r>
            <w:proofErr w:type="spellEnd"/>
          </w:p>
        </w:tc>
        <w:tc>
          <w:tcPr>
            <w:tcW w:w="602" w:type="pct"/>
            <w:noWrap/>
            <w:vAlign w:val="bottom"/>
            <w:hideMark/>
          </w:tcPr>
          <w:p w:rsidR="00B83ECA" w:rsidRPr="00B83ECA" w:rsidRDefault="00B83ECA" w:rsidP="00B83ECA">
            <w:pPr>
              <w:pStyle w:val="AERtabletextright"/>
              <w:cnfStyle w:val="000000010000" w:firstRow="0" w:lastRow="0" w:firstColumn="0" w:lastColumn="0" w:oddVBand="0" w:evenVBand="0" w:oddHBand="0" w:evenHBand="1" w:firstRowFirstColumn="0" w:firstRowLastColumn="0" w:lastRowFirstColumn="0" w:lastRowLastColumn="0"/>
            </w:pPr>
            <w:r w:rsidRPr="00B83ECA">
              <w:t>437.7</w:t>
            </w:r>
          </w:p>
        </w:tc>
        <w:tc>
          <w:tcPr>
            <w:tcW w:w="602" w:type="pct"/>
            <w:noWrap/>
            <w:vAlign w:val="bottom"/>
            <w:hideMark/>
          </w:tcPr>
          <w:p w:rsidR="00B83ECA" w:rsidRPr="00B83ECA" w:rsidRDefault="00B83ECA" w:rsidP="00B83ECA">
            <w:pPr>
              <w:pStyle w:val="AERtabletextright"/>
              <w:cnfStyle w:val="000000010000" w:firstRow="0" w:lastRow="0" w:firstColumn="0" w:lastColumn="0" w:oddVBand="0" w:evenVBand="0" w:oddHBand="0" w:evenHBand="1" w:firstRowFirstColumn="0" w:firstRowLastColumn="0" w:lastRowFirstColumn="0" w:lastRowLastColumn="0"/>
            </w:pPr>
            <w:r w:rsidRPr="00B83ECA">
              <w:t>405.2</w:t>
            </w:r>
          </w:p>
        </w:tc>
        <w:tc>
          <w:tcPr>
            <w:tcW w:w="602" w:type="pct"/>
            <w:noWrap/>
            <w:vAlign w:val="bottom"/>
            <w:hideMark/>
          </w:tcPr>
          <w:p w:rsidR="00B83ECA" w:rsidRPr="00B83ECA" w:rsidRDefault="00B83ECA" w:rsidP="00B83ECA">
            <w:pPr>
              <w:pStyle w:val="AERtabletextright"/>
              <w:cnfStyle w:val="000000010000" w:firstRow="0" w:lastRow="0" w:firstColumn="0" w:lastColumn="0" w:oddVBand="0" w:evenVBand="0" w:oddHBand="0" w:evenHBand="1" w:firstRowFirstColumn="0" w:firstRowLastColumn="0" w:lastRowFirstColumn="0" w:lastRowLastColumn="0"/>
            </w:pPr>
            <w:r w:rsidRPr="00B83ECA">
              <w:t>414.8</w:t>
            </w:r>
          </w:p>
        </w:tc>
        <w:tc>
          <w:tcPr>
            <w:tcW w:w="602" w:type="pct"/>
            <w:noWrap/>
            <w:vAlign w:val="bottom"/>
            <w:hideMark/>
          </w:tcPr>
          <w:p w:rsidR="00B83ECA" w:rsidRPr="00B83ECA" w:rsidRDefault="00B83ECA" w:rsidP="00B83ECA">
            <w:pPr>
              <w:pStyle w:val="AERtabletextright"/>
              <w:cnfStyle w:val="000000010000" w:firstRow="0" w:lastRow="0" w:firstColumn="0" w:lastColumn="0" w:oddVBand="0" w:evenVBand="0" w:oddHBand="0" w:evenHBand="1" w:firstRowFirstColumn="0" w:firstRowLastColumn="0" w:lastRowFirstColumn="0" w:lastRowLastColumn="0"/>
            </w:pPr>
            <w:r w:rsidRPr="00B83ECA">
              <w:t>406.5</w:t>
            </w:r>
          </w:p>
        </w:tc>
        <w:tc>
          <w:tcPr>
            <w:tcW w:w="602" w:type="pct"/>
            <w:noWrap/>
            <w:vAlign w:val="bottom"/>
            <w:hideMark/>
          </w:tcPr>
          <w:p w:rsidR="00B83ECA" w:rsidRPr="00B83ECA" w:rsidRDefault="00B83ECA" w:rsidP="00B83ECA">
            <w:pPr>
              <w:pStyle w:val="AERtabletextright"/>
              <w:cnfStyle w:val="000000010000" w:firstRow="0" w:lastRow="0" w:firstColumn="0" w:lastColumn="0" w:oddVBand="0" w:evenVBand="0" w:oddHBand="0" w:evenHBand="1" w:firstRowFirstColumn="0" w:firstRowLastColumn="0" w:lastRowFirstColumn="0" w:lastRowLastColumn="0"/>
            </w:pPr>
            <w:r w:rsidRPr="00B83ECA">
              <w:t>408.6</w:t>
            </w:r>
          </w:p>
        </w:tc>
      </w:tr>
      <w:tr w:rsidR="00B83ECA" w:rsidRPr="00DC4EE3" w:rsidTr="004421FF">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B83ECA" w:rsidRPr="00B83ECA" w:rsidRDefault="00B83ECA" w:rsidP="00B83ECA">
            <w:pPr>
              <w:pStyle w:val="AERtabletextleft"/>
            </w:pPr>
            <w:r w:rsidRPr="00B83ECA">
              <w:t>Inflation indexation on opening RAB</w:t>
            </w:r>
          </w:p>
        </w:tc>
        <w:tc>
          <w:tcPr>
            <w:tcW w:w="602" w:type="pct"/>
            <w:noWrap/>
            <w:vAlign w:val="bottom"/>
            <w:hideMark/>
          </w:tcPr>
          <w:p w:rsidR="00B83ECA" w:rsidRPr="00B83ECA" w:rsidRDefault="00B83ECA" w:rsidP="00B83ECA">
            <w:pPr>
              <w:pStyle w:val="AERtabletextright"/>
              <w:cnfStyle w:val="000000000000" w:firstRow="0" w:lastRow="0" w:firstColumn="0" w:lastColumn="0" w:oddVBand="0" w:evenVBand="0" w:oddHBand="0" w:evenHBand="0" w:firstRowFirstColumn="0" w:firstRowLastColumn="0" w:lastRowFirstColumn="0" w:lastRowLastColumn="0"/>
            </w:pPr>
            <w:r w:rsidRPr="00B83ECA">
              <w:t>167.1</w:t>
            </w:r>
          </w:p>
        </w:tc>
        <w:tc>
          <w:tcPr>
            <w:tcW w:w="602" w:type="pct"/>
            <w:noWrap/>
            <w:vAlign w:val="bottom"/>
            <w:hideMark/>
          </w:tcPr>
          <w:p w:rsidR="00B83ECA" w:rsidRPr="00B83ECA" w:rsidRDefault="00B83ECA" w:rsidP="00B83ECA">
            <w:pPr>
              <w:pStyle w:val="AERtabletextright"/>
              <w:cnfStyle w:val="000000000000" w:firstRow="0" w:lastRow="0" w:firstColumn="0" w:lastColumn="0" w:oddVBand="0" w:evenVBand="0" w:oddHBand="0" w:evenHBand="0" w:firstRowFirstColumn="0" w:firstRowLastColumn="0" w:lastRowFirstColumn="0" w:lastRowLastColumn="0"/>
            </w:pPr>
            <w:r w:rsidRPr="00B83ECA">
              <w:t>175.6</w:t>
            </w:r>
          </w:p>
        </w:tc>
        <w:tc>
          <w:tcPr>
            <w:tcW w:w="602" w:type="pct"/>
            <w:noWrap/>
            <w:vAlign w:val="bottom"/>
            <w:hideMark/>
          </w:tcPr>
          <w:p w:rsidR="00B83ECA" w:rsidRPr="00B83ECA" w:rsidRDefault="00B83ECA" w:rsidP="00B83ECA">
            <w:pPr>
              <w:pStyle w:val="AERtabletextright"/>
              <w:cnfStyle w:val="000000000000" w:firstRow="0" w:lastRow="0" w:firstColumn="0" w:lastColumn="0" w:oddVBand="0" w:evenVBand="0" w:oddHBand="0" w:evenHBand="0" w:firstRowFirstColumn="0" w:firstRowLastColumn="0" w:lastRowFirstColumn="0" w:lastRowLastColumn="0"/>
            </w:pPr>
            <w:r w:rsidRPr="00B83ECA">
              <w:t>182.8</w:t>
            </w:r>
          </w:p>
        </w:tc>
        <w:tc>
          <w:tcPr>
            <w:tcW w:w="602" w:type="pct"/>
            <w:noWrap/>
            <w:vAlign w:val="bottom"/>
            <w:hideMark/>
          </w:tcPr>
          <w:p w:rsidR="00B83ECA" w:rsidRPr="00B83ECA" w:rsidRDefault="00B83ECA" w:rsidP="00B83ECA">
            <w:pPr>
              <w:pStyle w:val="AERtabletextright"/>
              <w:cnfStyle w:val="000000000000" w:firstRow="0" w:lastRow="0" w:firstColumn="0" w:lastColumn="0" w:oddVBand="0" w:evenVBand="0" w:oddHBand="0" w:evenHBand="0" w:firstRowFirstColumn="0" w:firstRowLastColumn="0" w:lastRowFirstColumn="0" w:lastRowLastColumn="0"/>
            </w:pPr>
            <w:r w:rsidRPr="00B83ECA">
              <w:t>189.9</w:t>
            </w:r>
          </w:p>
        </w:tc>
        <w:tc>
          <w:tcPr>
            <w:tcW w:w="602" w:type="pct"/>
            <w:noWrap/>
            <w:vAlign w:val="bottom"/>
            <w:hideMark/>
          </w:tcPr>
          <w:p w:rsidR="00B83ECA" w:rsidRPr="00B83ECA" w:rsidRDefault="00B83ECA" w:rsidP="00B83ECA">
            <w:pPr>
              <w:pStyle w:val="AERtabletextright"/>
              <w:cnfStyle w:val="000000000000" w:firstRow="0" w:lastRow="0" w:firstColumn="0" w:lastColumn="0" w:oddVBand="0" w:evenVBand="0" w:oddHBand="0" w:evenHBand="0" w:firstRowFirstColumn="0" w:firstRowLastColumn="0" w:lastRowFirstColumn="0" w:lastRowLastColumn="0"/>
            </w:pPr>
            <w:r w:rsidRPr="00B83ECA">
              <w:t>196.7</w:t>
            </w:r>
          </w:p>
        </w:tc>
      </w:tr>
      <w:tr w:rsidR="00B83ECA" w:rsidRPr="00DC4EE3" w:rsidTr="004421F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B83ECA" w:rsidRPr="00B83ECA" w:rsidRDefault="00B83ECA" w:rsidP="00B83ECA">
            <w:pPr>
              <w:pStyle w:val="AERtabletextleft"/>
            </w:pPr>
            <w:r w:rsidRPr="00ED39D7">
              <w:rPr>
                <w:rStyle w:val="AERtextitalic"/>
              </w:rPr>
              <w:t>Less:</w:t>
            </w:r>
            <w:r w:rsidRPr="00B83ECA">
              <w:t xml:space="preserve"> straight-line depreciation</w:t>
            </w:r>
          </w:p>
        </w:tc>
        <w:tc>
          <w:tcPr>
            <w:tcW w:w="602" w:type="pct"/>
            <w:noWrap/>
            <w:vAlign w:val="bottom"/>
            <w:hideMark/>
          </w:tcPr>
          <w:p w:rsidR="00B83ECA" w:rsidRPr="00B83ECA" w:rsidRDefault="00B83ECA" w:rsidP="00B83ECA">
            <w:pPr>
              <w:pStyle w:val="AERtabletextright"/>
              <w:cnfStyle w:val="000000010000" w:firstRow="0" w:lastRow="0" w:firstColumn="0" w:lastColumn="0" w:oddVBand="0" w:evenVBand="0" w:oddHBand="0" w:evenHBand="1" w:firstRowFirstColumn="0" w:firstRowLastColumn="0" w:lastRowFirstColumn="0" w:lastRowLastColumn="0"/>
            </w:pPr>
            <w:r w:rsidRPr="00B83ECA">
              <w:t>265.7</w:t>
            </w:r>
          </w:p>
        </w:tc>
        <w:tc>
          <w:tcPr>
            <w:tcW w:w="602" w:type="pct"/>
            <w:noWrap/>
            <w:vAlign w:val="bottom"/>
            <w:hideMark/>
          </w:tcPr>
          <w:p w:rsidR="00B83ECA" w:rsidRPr="00B83ECA" w:rsidRDefault="00B83ECA" w:rsidP="00B83ECA">
            <w:pPr>
              <w:pStyle w:val="AERtabletextright"/>
              <w:cnfStyle w:val="000000010000" w:firstRow="0" w:lastRow="0" w:firstColumn="0" w:lastColumn="0" w:oddVBand="0" w:evenVBand="0" w:oddHBand="0" w:evenHBand="1" w:firstRowFirstColumn="0" w:firstRowLastColumn="0" w:lastRowFirstColumn="0" w:lastRowLastColumn="0"/>
            </w:pPr>
            <w:r w:rsidRPr="00B83ECA">
              <w:t>292.2</w:t>
            </w:r>
          </w:p>
        </w:tc>
        <w:tc>
          <w:tcPr>
            <w:tcW w:w="602" w:type="pct"/>
            <w:noWrap/>
            <w:vAlign w:val="bottom"/>
            <w:hideMark/>
          </w:tcPr>
          <w:p w:rsidR="00B83ECA" w:rsidRPr="00B83ECA" w:rsidRDefault="00B83ECA" w:rsidP="00B83ECA">
            <w:pPr>
              <w:pStyle w:val="AERtabletextright"/>
              <w:cnfStyle w:val="000000010000" w:firstRow="0" w:lastRow="0" w:firstColumn="0" w:lastColumn="0" w:oddVBand="0" w:evenVBand="0" w:oddHBand="0" w:evenHBand="1" w:firstRowFirstColumn="0" w:firstRowLastColumn="0" w:lastRowFirstColumn="0" w:lastRowLastColumn="0"/>
            </w:pPr>
            <w:r w:rsidRPr="00B83ECA">
              <w:t>314.9</w:t>
            </w:r>
          </w:p>
        </w:tc>
        <w:tc>
          <w:tcPr>
            <w:tcW w:w="602" w:type="pct"/>
            <w:noWrap/>
            <w:vAlign w:val="bottom"/>
            <w:hideMark/>
          </w:tcPr>
          <w:p w:rsidR="00B83ECA" w:rsidRPr="00B83ECA" w:rsidRDefault="00B83ECA" w:rsidP="00B83ECA">
            <w:pPr>
              <w:pStyle w:val="AERtabletextright"/>
              <w:cnfStyle w:val="000000010000" w:firstRow="0" w:lastRow="0" w:firstColumn="0" w:lastColumn="0" w:oddVBand="0" w:evenVBand="0" w:oddHBand="0" w:evenHBand="1" w:firstRowFirstColumn="0" w:firstRowLastColumn="0" w:lastRowFirstColumn="0" w:lastRowLastColumn="0"/>
            </w:pPr>
            <w:r w:rsidRPr="00B83ECA">
              <w:t>326.0</w:t>
            </w:r>
          </w:p>
        </w:tc>
        <w:tc>
          <w:tcPr>
            <w:tcW w:w="602" w:type="pct"/>
            <w:noWrap/>
            <w:vAlign w:val="bottom"/>
            <w:hideMark/>
          </w:tcPr>
          <w:p w:rsidR="00B83ECA" w:rsidRPr="00B83ECA" w:rsidRDefault="00B83ECA" w:rsidP="00B83ECA">
            <w:pPr>
              <w:pStyle w:val="AERtabletextright"/>
              <w:cnfStyle w:val="000000010000" w:firstRow="0" w:lastRow="0" w:firstColumn="0" w:lastColumn="0" w:oddVBand="0" w:evenVBand="0" w:oddHBand="0" w:evenHBand="1" w:firstRowFirstColumn="0" w:firstRowLastColumn="0" w:lastRowFirstColumn="0" w:lastRowLastColumn="0"/>
            </w:pPr>
            <w:r w:rsidRPr="00B83ECA">
              <w:t>326.5</w:t>
            </w:r>
          </w:p>
        </w:tc>
      </w:tr>
      <w:tr w:rsidR="00B83ECA" w:rsidRPr="00B15C15" w:rsidTr="004421FF">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B83ECA" w:rsidRPr="00B15C15" w:rsidRDefault="00B83ECA" w:rsidP="00B15C15">
            <w:pPr>
              <w:pStyle w:val="AERtabletextleft"/>
              <w:rPr>
                <w:rStyle w:val="AERtextbold"/>
                <w:b w:val="0"/>
              </w:rPr>
            </w:pPr>
            <w:r w:rsidRPr="00B15C15">
              <w:rPr>
                <w:rStyle w:val="AERtextbold"/>
                <w:b w:val="0"/>
              </w:rPr>
              <w:t xml:space="preserve">Closing RAB </w:t>
            </w:r>
          </w:p>
        </w:tc>
        <w:tc>
          <w:tcPr>
            <w:tcW w:w="602" w:type="pct"/>
            <w:noWrap/>
            <w:vAlign w:val="bottom"/>
            <w:hideMark/>
          </w:tcPr>
          <w:p w:rsidR="00B83ECA" w:rsidRPr="00B15C15" w:rsidRDefault="00B83ECA"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7024.5</w:t>
            </w:r>
          </w:p>
        </w:tc>
        <w:tc>
          <w:tcPr>
            <w:tcW w:w="602" w:type="pct"/>
            <w:noWrap/>
            <w:vAlign w:val="bottom"/>
            <w:hideMark/>
          </w:tcPr>
          <w:p w:rsidR="00B83ECA" w:rsidRPr="00B15C15" w:rsidRDefault="00B83ECA"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7313.1</w:t>
            </w:r>
          </w:p>
        </w:tc>
        <w:tc>
          <w:tcPr>
            <w:tcW w:w="602" w:type="pct"/>
            <w:noWrap/>
            <w:vAlign w:val="bottom"/>
            <w:hideMark/>
          </w:tcPr>
          <w:p w:rsidR="00B83ECA" w:rsidRPr="00B15C15" w:rsidRDefault="00B83ECA"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7595.8</w:t>
            </w:r>
          </w:p>
        </w:tc>
        <w:tc>
          <w:tcPr>
            <w:tcW w:w="602" w:type="pct"/>
            <w:noWrap/>
            <w:vAlign w:val="bottom"/>
            <w:hideMark/>
          </w:tcPr>
          <w:p w:rsidR="00B83ECA" w:rsidRPr="00B15C15" w:rsidRDefault="00B83ECA"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7866.3</w:t>
            </w:r>
          </w:p>
        </w:tc>
        <w:tc>
          <w:tcPr>
            <w:tcW w:w="602" w:type="pct"/>
            <w:noWrap/>
            <w:vAlign w:val="bottom"/>
            <w:hideMark/>
          </w:tcPr>
          <w:p w:rsidR="00B83ECA" w:rsidRPr="00B15C15" w:rsidRDefault="00B83ECA"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8145.0</w:t>
            </w:r>
          </w:p>
        </w:tc>
      </w:tr>
    </w:tbl>
    <w:p w:rsidR="00360CE9" w:rsidRPr="00360CE9" w:rsidRDefault="00360CE9" w:rsidP="00360CE9">
      <w:pPr>
        <w:pStyle w:val="AERtablesource"/>
      </w:pPr>
      <w:r w:rsidRPr="00360CE9">
        <w:t>Source:</w:t>
      </w:r>
      <w:r w:rsidRPr="00360CE9">
        <w:tab/>
        <w:t>AER analysis</w:t>
      </w:r>
      <w:r w:rsidR="005A3A41">
        <w:t>.</w:t>
      </w:r>
    </w:p>
    <w:p w:rsidR="00360CE9" w:rsidRDefault="00360CE9" w:rsidP="00360CE9">
      <w:pPr>
        <w:pStyle w:val="AERtablesource"/>
      </w:pPr>
      <w:r w:rsidRPr="00360CE9">
        <w:t>(</w:t>
      </w:r>
      <w:proofErr w:type="gramStart"/>
      <w:r w:rsidRPr="00360CE9">
        <w:t>a</w:t>
      </w:r>
      <w:proofErr w:type="gramEnd"/>
      <w:r w:rsidRPr="00360CE9">
        <w:t>):</w:t>
      </w:r>
      <w:r w:rsidRPr="00360CE9">
        <w:tab/>
        <w:t>Net of disposals</w:t>
      </w:r>
      <w:r w:rsidR="00EF35B6">
        <w:t xml:space="preserve"> </w:t>
      </w:r>
      <w:r w:rsidRPr="00360CE9">
        <w:t>and capital contributions.</w:t>
      </w:r>
    </w:p>
    <w:p w:rsidR="00D97003" w:rsidRDefault="00A10B76" w:rsidP="00D97003">
      <w:pPr>
        <w:pStyle w:val="Heading2"/>
      </w:pPr>
      <w:bookmarkStart w:id="15" w:name="_Toc404324610"/>
      <w:r>
        <w:t>Essential Energy</w:t>
      </w:r>
      <w:r w:rsidR="00613D7D">
        <w:t xml:space="preserve">'s </w:t>
      </w:r>
      <w:r w:rsidR="00FE69C2">
        <w:t>proposal</w:t>
      </w:r>
      <w:bookmarkEnd w:id="15"/>
    </w:p>
    <w:p w:rsidR="008273CE" w:rsidRDefault="00A10B76" w:rsidP="00C839CF">
      <w:pPr>
        <w:pStyle w:val="AERbodytext"/>
      </w:pPr>
      <w:r>
        <w:t>Essential Energy</w:t>
      </w:r>
      <w:r w:rsidR="008273CE">
        <w:t xml:space="preserve"> used our standard </w:t>
      </w:r>
      <w:r w:rsidR="008D70B2">
        <w:t>roll forward model (</w:t>
      </w:r>
      <w:r w:rsidR="008273CE">
        <w:t>RFM</w:t>
      </w:r>
      <w:r w:rsidR="008D70B2">
        <w:t>)</w:t>
      </w:r>
      <w:r w:rsidR="008273CE">
        <w:t xml:space="preserve"> to establish an opening RAB as at 1</w:t>
      </w:r>
      <w:r w:rsidR="00B15C15">
        <w:t> </w:t>
      </w:r>
      <w:r w:rsidR="008273CE">
        <w:t xml:space="preserve">July 2014 and our standard </w:t>
      </w:r>
      <w:r w:rsidR="00D07A8F">
        <w:t>post-tax revenue model (</w:t>
      </w:r>
      <w:r w:rsidR="008273CE">
        <w:t>PTRM</w:t>
      </w:r>
      <w:r w:rsidR="00D07A8F">
        <w:t>)</w:t>
      </w:r>
      <w:r w:rsidR="008273CE">
        <w:t xml:space="preserve"> to roll forward the RAB over the </w:t>
      </w:r>
      <w:r w:rsidR="00B15C15">
        <w:br/>
      </w:r>
      <w:r w:rsidR="00310328">
        <w:t>2014</w:t>
      </w:r>
      <w:r w:rsidR="00973A8B">
        <w:t>–</w:t>
      </w:r>
      <w:r w:rsidR="00310328">
        <w:t xml:space="preserve">19 </w:t>
      </w:r>
      <w:proofErr w:type="gramStart"/>
      <w:r w:rsidR="00310328">
        <w:t>period</w:t>
      </w:r>
      <w:proofErr w:type="gramEnd"/>
      <w:r w:rsidR="008273CE">
        <w:t>.</w:t>
      </w:r>
    </w:p>
    <w:p w:rsidR="00D93F05" w:rsidRDefault="005F0C76" w:rsidP="00023CB5">
      <w:pPr>
        <w:pStyle w:val="AERbodytext"/>
      </w:pPr>
      <w:r>
        <w:t>Essential</w:t>
      </w:r>
      <w:r w:rsidRPr="005F0C76">
        <w:t xml:space="preserve"> Energy proposed an opening RAB value as at 1 July 2009 of $</w:t>
      </w:r>
      <w:r>
        <w:t>4319</w:t>
      </w:r>
      <w:r w:rsidR="000067A2">
        <w:t>.4</w:t>
      </w:r>
      <w:r w:rsidRPr="005F0C76">
        <w:t xml:space="preserve"> million ($</w:t>
      </w:r>
      <w:r w:rsidR="00B45399">
        <w:t> </w:t>
      </w:r>
      <w:r w:rsidRPr="005F0C76">
        <w:t>nomi</w:t>
      </w:r>
      <w:r w:rsidR="00B45399">
        <w:t xml:space="preserve">nal). Rolling forward this RAB </w:t>
      </w:r>
      <w:r w:rsidR="00D07A8F">
        <w:t xml:space="preserve">and using depreciation based on actual </w:t>
      </w:r>
      <w:proofErr w:type="spellStart"/>
      <w:r w:rsidR="00D07A8F">
        <w:t>capex</w:t>
      </w:r>
      <w:proofErr w:type="spellEnd"/>
      <w:r w:rsidR="00D07A8F">
        <w:t xml:space="preserve">, </w:t>
      </w:r>
      <w:r w:rsidR="00023CB5">
        <w:t>Essential Energy</w:t>
      </w:r>
      <w:r w:rsidR="00B45399">
        <w:t xml:space="preserve"> </w:t>
      </w:r>
      <w:r w:rsidRPr="005F0C76">
        <w:t xml:space="preserve">proposed </w:t>
      </w:r>
      <w:r w:rsidR="00023CB5">
        <w:t xml:space="preserve">a </w:t>
      </w:r>
      <w:r w:rsidRPr="005F0C76">
        <w:t>closing RAB as at 30 June 2014 of $</w:t>
      </w:r>
      <w:r>
        <w:t>6888</w:t>
      </w:r>
      <w:r w:rsidR="000067A2">
        <w:t>.5</w:t>
      </w:r>
      <w:r w:rsidRPr="005F0C76">
        <w:t xml:space="preserve"> million ($</w:t>
      </w:r>
      <w:r w:rsidR="00B45399">
        <w:t> </w:t>
      </w:r>
      <w:r w:rsidRPr="005F0C76">
        <w:t xml:space="preserve">nominal). </w:t>
      </w:r>
      <w:r>
        <w:fldChar w:fldCharType="begin"/>
      </w:r>
      <w:r>
        <w:instrText xml:space="preserve"> REF _Ref393096974 \h </w:instrText>
      </w:r>
      <w:r>
        <w:fldChar w:fldCharType="separate"/>
      </w:r>
      <w:r w:rsidR="00A10B76">
        <w:t xml:space="preserve">Table </w:t>
      </w:r>
      <w:r w:rsidR="0008691B">
        <w:rPr>
          <w:noProof/>
        </w:rPr>
        <w:t>2.</w:t>
      </w:r>
      <w:r w:rsidR="00A10B76">
        <w:rPr>
          <w:noProof/>
        </w:rPr>
        <w:t>3</w:t>
      </w:r>
      <w:r>
        <w:fldChar w:fldCharType="end"/>
      </w:r>
      <w:r>
        <w:t xml:space="preserve"> </w:t>
      </w:r>
      <w:r w:rsidRPr="005F0C76">
        <w:t xml:space="preserve">presents </w:t>
      </w:r>
      <w:r w:rsidR="00FA310B">
        <w:t>the</w:t>
      </w:r>
      <w:r w:rsidRPr="005F0C76">
        <w:t xml:space="preserve"> proposed roll forward of its RAB during the 2009–14 regulatory control </w:t>
      </w:r>
      <w:proofErr w:type="gramStart"/>
      <w:r w:rsidRPr="005F0C76">
        <w:t>period</w:t>
      </w:r>
      <w:proofErr w:type="gramEnd"/>
      <w:r w:rsidRPr="005F0C76">
        <w:t>.</w:t>
      </w:r>
      <w:r w:rsidR="005C4CF8">
        <w:rPr>
          <w:rStyle w:val="FootnoteReference"/>
        </w:rPr>
        <w:footnoteReference w:id="5"/>
      </w:r>
      <w:r w:rsidR="00C839CF">
        <w:t xml:space="preserve"> </w:t>
      </w:r>
      <w:r w:rsidR="00023CB5" w:rsidRPr="005C4CF8">
        <w:t xml:space="preserve">The removal of metering assets </w:t>
      </w:r>
      <w:r w:rsidR="00023CB5" w:rsidRPr="005C4CF8">
        <w:lastRenderedPageBreak/>
        <w:t xml:space="preserve">from </w:t>
      </w:r>
      <w:r w:rsidR="00023CB5">
        <w:t xml:space="preserve">the </w:t>
      </w:r>
      <w:r w:rsidR="00FA310B">
        <w:t>RAB at 1 July 2014 resulted</w:t>
      </w:r>
      <w:r w:rsidR="00023CB5" w:rsidRPr="005C4CF8">
        <w:t xml:space="preserve"> in a proposed opening RAB as at 1 July 2014 of $6770</w:t>
      </w:r>
      <w:r w:rsidR="000067A2">
        <w:t>.3</w:t>
      </w:r>
      <w:r w:rsidR="00023CB5" w:rsidRPr="005C4CF8">
        <w:t xml:space="preserve"> million ($ nominal).</w:t>
      </w:r>
      <w:r w:rsidR="00023CB5" w:rsidRPr="00023CB5">
        <w:rPr>
          <w:rStyle w:val="FootnoteReference"/>
        </w:rPr>
        <w:footnoteReference w:id="6"/>
      </w:r>
    </w:p>
    <w:p w:rsidR="00466FC8" w:rsidRDefault="00466FC8" w:rsidP="00466FC8">
      <w:pPr>
        <w:pStyle w:val="Caption"/>
      </w:pPr>
      <w:bookmarkStart w:id="16" w:name="_Ref393096974"/>
      <w:r>
        <w:t xml:space="preserve">Table </w:t>
      </w:r>
      <w:r w:rsidR="0008691B">
        <w:t>2-</w:t>
      </w:r>
      <w:r w:rsidR="00D90BFE">
        <w:fldChar w:fldCharType="begin"/>
      </w:r>
      <w:r w:rsidR="00D90BFE">
        <w:instrText xml:space="preserve"> SEQ Table \* ARABIC \s 1 </w:instrText>
      </w:r>
      <w:r w:rsidR="00D90BFE">
        <w:fldChar w:fldCharType="separate"/>
      </w:r>
      <w:r w:rsidR="00A10B76">
        <w:rPr>
          <w:noProof/>
        </w:rPr>
        <w:t>3</w:t>
      </w:r>
      <w:r w:rsidR="00D90BFE">
        <w:rPr>
          <w:noProof/>
        </w:rPr>
        <w:fldChar w:fldCharType="end"/>
      </w:r>
      <w:bookmarkEnd w:id="16"/>
      <w:r>
        <w:tab/>
        <w:t>Essential</w:t>
      </w:r>
      <w:r w:rsidRPr="00466FC8">
        <w:t xml:space="preserve"> Energy's proposed RAB for the 2009–14 regulatory control period ($million, nominal)</w:t>
      </w:r>
    </w:p>
    <w:tbl>
      <w:tblPr>
        <w:tblStyle w:val="AERtable-numbers"/>
        <w:tblW w:w="9159" w:type="dxa"/>
        <w:tblLook w:val="04A0" w:firstRow="1" w:lastRow="0" w:firstColumn="1" w:lastColumn="0" w:noHBand="0" w:noVBand="1"/>
      </w:tblPr>
      <w:tblGrid>
        <w:gridCol w:w="3644"/>
        <w:gridCol w:w="1103"/>
        <w:gridCol w:w="1103"/>
        <w:gridCol w:w="1103"/>
        <w:gridCol w:w="1103"/>
        <w:gridCol w:w="1103"/>
      </w:tblGrid>
      <w:tr w:rsidR="0011410F" w:rsidRPr="0011410F" w:rsidTr="0011410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644" w:type="dxa"/>
            <w:noWrap/>
            <w:hideMark/>
          </w:tcPr>
          <w:p w:rsidR="0011410F" w:rsidRPr="0011410F" w:rsidRDefault="0011410F" w:rsidP="0011410F">
            <w:pPr>
              <w:pStyle w:val="AERtabletextleft"/>
            </w:pPr>
            <w:r w:rsidRPr="0011410F">
              <w:t> </w:t>
            </w:r>
          </w:p>
        </w:tc>
        <w:tc>
          <w:tcPr>
            <w:tcW w:w="1103"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2009–10</w:t>
            </w:r>
          </w:p>
        </w:tc>
        <w:tc>
          <w:tcPr>
            <w:tcW w:w="1103"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2010–11</w:t>
            </w:r>
          </w:p>
        </w:tc>
        <w:tc>
          <w:tcPr>
            <w:tcW w:w="1103"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2011–12</w:t>
            </w:r>
          </w:p>
        </w:tc>
        <w:tc>
          <w:tcPr>
            <w:tcW w:w="1103"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2012–13</w:t>
            </w:r>
          </w:p>
        </w:tc>
        <w:tc>
          <w:tcPr>
            <w:tcW w:w="1103"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2013–14</w:t>
            </w:r>
            <w:r w:rsidR="00FC0432" w:rsidRPr="00FC0432">
              <w:rPr>
                <w:rStyle w:val="AERsuperscript"/>
              </w:rPr>
              <w:t>a</w:t>
            </w:r>
          </w:p>
        </w:tc>
      </w:tr>
      <w:tr w:rsidR="0028138C" w:rsidRPr="00B15C15" w:rsidTr="00C642D4">
        <w:trPr>
          <w:trHeight w:val="284"/>
        </w:trPr>
        <w:tc>
          <w:tcPr>
            <w:cnfStyle w:val="001000000000" w:firstRow="0" w:lastRow="0" w:firstColumn="1" w:lastColumn="0" w:oddVBand="0" w:evenVBand="0" w:oddHBand="0" w:evenHBand="0" w:firstRowFirstColumn="0" w:firstRowLastColumn="0" w:lastRowFirstColumn="0" w:lastRowLastColumn="0"/>
            <w:tcW w:w="3644" w:type="dxa"/>
            <w:noWrap/>
            <w:hideMark/>
          </w:tcPr>
          <w:p w:rsidR="0028138C" w:rsidRPr="00B15C15" w:rsidRDefault="0028138C" w:rsidP="00B15C15">
            <w:pPr>
              <w:pStyle w:val="AERtabletextleft"/>
              <w:rPr>
                <w:rStyle w:val="AERtextbold"/>
                <w:b w:val="0"/>
              </w:rPr>
            </w:pPr>
            <w:r w:rsidRPr="00B15C15">
              <w:rPr>
                <w:rStyle w:val="AERtextbold"/>
                <w:b w:val="0"/>
              </w:rPr>
              <w:t>Opening RAB</w:t>
            </w:r>
          </w:p>
        </w:tc>
        <w:tc>
          <w:tcPr>
            <w:tcW w:w="1103" w:type="dxa"/>
            <w:noWrap/>
            <w:vAlign w:val="bottom"/>
            <w:hideMark/>
          </w:tcPr>
          <w:p w:rsidR="0028138C" w:rsidRPr="00B15C15" w:rsidRDefault="0028138C"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4319.4</w:t>
            </w:r>
          </w:p>
        </w:tc>
        <w:tc>
          <w:tcPr>
            <w:tcW w:w="1103" w:type="dxa"/>
            <w:noWrap/>
            <w:vAlign w:val="bottom"/>
            <w:hideMark/>
          </w:tcPr>
          <w:p w:rsidR="0028138C" w:rsidRPr="00B15C15" w:rsidRDefault="0028138C"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4820.6</w:t>
            </w:r>
          </w:p>
        </w:tc>
        <w:tc>
          <w:tcPr>
            <w:tcW w:w="1103" w:type="dxa"/>
            <w:noWrap/>
            <w:vAlign w:val="bottom"/>
            <w:hideMark/>
          </w:tcPr>
          <w:p w:rsidR="0028138C" w:rsidRPr="00B15C15" w:rsidRDefault="0028138C"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5383.9</w:t>
            </w:r>
          </w:p>
        </w:tc>
        <w:tc>
          <w:tcPr>
            <w:tcW w:w="1103" w:type="dxa"/>
            <w:noWrap/>
            <w:vAlign w:val="bottom"/>
            <w:hideMark/>
          </w:tcPr>
          <w:p w:rsidR="0028138C" w:rsidRPr="00B15C15" w:rsidRDefault="0028138C"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6066.0</w:t>
            </w:r>
          </w:p>
        </w:tc>
        <w:tc>
          <w:tcPr>
            <w:tcW w:w="1103" w:type="dxa"/>
            <w:noWrap/>
            <w:vAlign w:val="bottom"/>
            <w:hideMark/>
          </w:tcPr>
          <w:p w:rsidR="0028138C" w:rsidRPr="00B15C15" w:rsidRDefault="0028138C"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6518.5</w:t>
            </w:r>
          </w:p>
        </w:tc>
      </w:tr>
      <w:tr w:rsidR="0028138C" w:rsidRPr="0011410F" w:rsidTr="00C642D4">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644" w:type="dxa"/>
            <w:noWrap/>
            <w:hideMark/>
          </w:tcPr>
          <w:p w:rsidR="0028138C" w:rsidRPr="0028138C" w:rsidRDefault="0028138C" w:rsidP="00FC0432">
            <w:pPr>
              <w:pStyle w:val="AERtabletextleft"/>
            </w:pPr>
            <w:r w:rsidRPr="0028138C">
              <w:t xml:space="preserve">Capital </w:t>
            </w:r>
            <w:proofErr w:type="spellStart"/>
            <w:r w:rsidRPr="0028138C">
              <w:t>expenditure</w:t>
            </w:r>
            <w:r w:rsidR="00FC0432">
              <w:rPr>
                <w:rStyle w:val="AERsuperscript"/>
              </w:rPr>
              <w:t>b</w:t>
            </w:r>
            <w:proofErr w:type="spellEnd"/>
          </w:p>
        </w:tc>
        <w:tc>
          <w:tcPr>
            <w:tcW w:w="1103"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688.3</w:t>
            </w:r>
          </w:p>
        </w:tc>
        <w:tc>
          <w:tcPr>
            <w:tcW w:w="1103"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723.8</w:t>
            </w:r>
          </w:p>
        </w:tc>
        <w:tc>
          <w:tcPr>
            <w:tcW w:w="1103"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771.5</w:t>
            </w:r>
          </w:p>
        </w:tc>
        <w:tc>
          <w:tcPr>
            <w:tcW w:w="1103"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654.7</w:t>
            </w:r>
          </w:p>
        </w:tc>
        <w:tc>
          <w:tcPr>
            <w:tcW w:w="1103"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585.5</w:t>
            </w:r>
          </w:p>
        </w:tc>
      </w:tr>
      <w:tr w:rsidR="0028138C" w:rsidRPr="0011410F" w:rsidTr="00C642D4">
        <w:trPr>
          <w:trHeight w:val="284"/>
        </w:trPr>
        <w:tc>
          <w:tcPr>
            <w:cnfStyle w:val="001000000000" w:firstRow="0" w:lastRow="0" w:firstColumn="1" w:lastColumn="0" w:oddVBand="0" w:evenVBand="0" w:oddHBand="0" w:evenHBand="0" w:firstRowFirstColumn="0" w:firstRowLastColumn="0" w:lastRowFirstColumn="0" w:lastRowLastColumn="0"/>
            <w:tcW w:w="3644" w:type="dxa"/>
            <w:noWrap/>
            <w:hideMark/>
          </w:tcPr>
          <w:p w:rsidR="0028138C" w:rsidRPr="0028138C" w:rsidRDefault="0028138C" w:rsidP="0028138C">
            <w:pPr>
              <w:pStyle w:val="AERtabletextleft"/>
            </w:pPr>
            <w:r w:rsidRPr="0028138C">
              <w:t>Inflation indexation on opening RAB</w:t>
            </w:r>
          </w:p>
        </w:tc>
        <w:tc>
          <w:tcPr>
            <w:tcW w:w="1103"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78.6</w:t>
            </w:r>
          </w:p>
        </w:tc>
        <w:tc>
          <w:tcPr>
            <w:tcW w:w="1103"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137.2</w:t>
            </w:r>
          </w:p>
        </w:tc>
        <w:tc>
          <w:tcPr>
            <w:tcW w:w="1103"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182.5</w:t>
            </w:r>
          </w:p>
        </w:tc>
        <w:tc>
          <w:tcPr>
            <w:tcW w:w="1103"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106.9</w:t>
            </w:r>
          </w:p>
        </w:tc>
        <w:tc>
          <w:tcPr>
            <w:tcW w:w="1103"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163.0</w:t>
            </w:r>
          </w:p>
        </w:tc>
      </w:tr>
      <w:tr w:rsidR="0028138C" w:rsidRPr="0011410F" w:rsidTr="00C642D4">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644" w:type="dxa"/>
            <w:noWrap/>
            <w:hideMark/>
          </w:tcPr>
          <w:p w:rsidR="0028138C" w:rsidRPr="0028138C" w:rsidRDefault="0028138C" w:rsidP="0028138C">
            <w:pPr>
              <w:pStyle w:val="AERtabletextleft"/>
            </w:pPr>
            <w:r w:rsidRPr="00ED39D7">
              <w:rPr>
                <w:rStyle w:val="AERtextitalic"/>
              </w:rPr>
              <w:t>Less:</w:t>
            </w:r>
            <w:r w:rsidRPr="0028138C">
              <w:t xml:space="preserve"> straight-line depreciation</w:t>
            </w:r>
          </w:p>
        </w:tc>
        <w:tc>
          <w:tcPr>
            <w:tcW w:w="1103"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265.8</w:t>
            </w:r>
          </w:p>
        </w:tc>
        <w:tc>
          <w:tcPr>
            <w:tcW w:w="1103"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297.6</w:t>
            </w:r>
          </w:p>
        </w:tc>
        <w:tc>
          <w:tcPr>
            <w:tcW w:w="1103"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271.9</w:t>
            </w:r>
          </w:p>
        </w:tc>
        <w:tc>
          <w:tcPr>
            <w:tcW w:w="1103"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309.2</w:t>
            </w:r>
          </w:p>
        </w:tc>
        <w:tc>
          <w:tcPr>
            <w:tcW w:w="1103"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333.7</w:t>
            </w:r>
          </w:p>
        </w:tc>
      </w:tr>
      <w:tr w:rsidR="0028138C" w:rsidRPr="00B15C15" w:rsidTr="00C642D4">
        <w:trPr>
          <w:trHeight w:val="284"/>
        </w:trPr>
        <w:tc>
          <w:tcPr>
            <w:cnfStyle w:val="001000000000" w:firstRow="0" w:lastRow="0" w:firstColumn="1" w:lastColumn="0" w:oddVBand="0" w:evenVBand="0" w:oddHBand="0" w:evenHBand="0" w:firstRowFirstColumn="0" w:firstRowLastColumn="0" w:lastRowFirstColumn="0" w:lastRowLastColumn="0"/>
            <w:tcW w:w="3644" w:type="dxa"/>
            <w:noWrap/>
            <w:hideMark/>
          </w:tcPr>
          <w:p w:rsidR="0028138C" w:rsidRPr="00B15C15" w:rsidRDefault="0028138C" w:rsidP="00B15C15">
            <w:pPr>
              <w:pStyle w:val="AERtabletextleft"/>
              <w:rPr>
                <w:rStyle w:val="AERtextbold"/>
                <w:b w:val="0"/>
              </w:rPr>
            </w:pPr>
            <w:r w:rsidRPr="00B15C15">
              <w:rPr>
                <w:rStyle w:val="AERtextbold"/>
                <w:b w:val="0"/>
              </w:rPr>
              <w:t>Closing RAB</w:t>
            </w:r>
          </w:p>
        </w:tc>
        <w:tc>
          <w:tcPr>
            <w:tcW w:w="1103" w:type="dxa"/>
            <w:noWrap/>
            <w:vAlign w:val="bottom"/>
            <w:hideMark/>
          </w:tcPr>
          <w:p w:rsidR="0028138C" w:rsidRPr="00B15C15" w:rsidRDefault="0028138C"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4820.6</w:t>
            </w:r>
          </w:p>
        </w:tc>
        <w:tc>
          <w:tcPr>
            <w:tcW w:w="1103" w:type="dxa"/>
            <w:noWrap/>
            <w:vAlign w:val="bottom"/>
            <w:hideMark/>
          </w:tcPr>
          <w:p w:rsidR="0028138C" w:rsidRPr="00B15C15" w:rsidRDefault="0028138C"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5383.9</w:t>
            </w:r>
          </w:p>
        </w:tc>
        <w:tc>
          <w:tcPr>
            <w:tcW w:w="1103" w:type="dxa"/>
            <w:noWrap/>
            <w:vAlign w:val="bottom"/>
            <w:hideMark/>
          </w:tcPr>
          <w:p w:rsidR="0028138C" w:rsidRPr="00B15C15" w:rsidRDefault="0028138C"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6066.0</w:t>
            </w:r>
          </w:p>
        </w:tc>
        <w:tc>
          <w:tcPr>
            <w:tcW w:w="1103" w:type="dxa"/>
            <w:noWrap/>
            <w:vAlign w:val="bottom"/>
            <w:hideMark/>
          </w:tcPr>
          <w:p w:rsidR="0028138C" w:rsidRPr="00B15C15" w:rsidRDefault="0028138C"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6518.5</w:t>
            </w:r>
          </w:p>
        </w:tc>
        <w:tc>
          <w:tcPr>
            <w:tcW w:w="1103" w:type="dxa"/>
            <w:noWrap/>
            <w:vAlign w:val="bottom"/>
            <w:hideMark/>
          </w:tcPr>
          <w:p w:rsidR="0028138C" w:rsidRPr="00B15C15" w:rsidRDefault="0028138C"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6933.2</w:t>
            </w:r>
          </w:p>
        </w:tc>
      </w:tr>
      <w:tr w:rsidR="0028138C" w:rsidRPr="0011410F" w:rsidTr="0028138C">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644" w:type="dxa"/>
            <w:noWrap/>
            <w:hideMark/>
          </w:tcPr>
          <w:p w:rsidR="005A3A41" w:rsidRDefault="00C839CF" w:rsidP="00D07A8F">
            <w:pPr>
              <w:pStyle w:val="AERtabletextleft"/>
            </w:pPr>
            <w:r w:rsidRPr="00565550">
              <w:t xml:space="preserve">Difference between estimated and actual </w:t>
            </w:r>
          </w:p>
          <w:p w:rsidR="0028138C" w:rsidRPr="0028138C" w:rsidRDefault="00D07A8F" w:rsidP="00D07A8F">
            <w:pPr>
              <w:pStyle w:val="AERtabletextleft"/>
            </w:pPr>
            <w:r>
              <w:t>(1 July 2008 to 30 June 2009)</w:t>
            </w:r>
          </w:p>
        </w:tc>
        <w:tc>
          <w:tcPr>
            <w:tcW w:w="4412" w:type="dxa"/>
            <w:gridSpan w:val="4"/>
            <w:vAlign w:val="bottom"/>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 </w:t>
            </w:r>
          </w:p>
        </w:tc>
        <w:tc>
          <w:tcPr>
            <w:tcW w:w="1103" w:type="dxa"/>
            <w:noWrap/>
            <w:vAlign w:val="bottom"/>
            <w:hideMark/>
          </w:tcPr>
          <w:p w:rsidR="0028138C" w:rsidRPr="0028138C" w:rsidRDefault="009809B9" w:rsidP="0028138C">
            <w:pPr>
              <w:pStyle w:val="AERtabletextright"/>
              <w:cnfStyle w:val="000000010000" w:firstRow="0" w:lastRow="0" w:firstColumn="0" w:lastColumn="0" w:oddVBand="0" w:evenVBand="0" w:oddHBand="0" w:evenHBand="1" w:firstRowFirstColumn="0" w:firstRowLastColumn="0" w:lastRowFirstColumn="0" w:lastRowLastColumn="0"/>
            </w:pPr>
            <w:r>
              <w:t>–</w:t>
            </w:r>
            <w:r w:rsidR="0028138C" w:rsidRPr="0028138C">
              <w:t>27.7</w:t>
            </w:r>
          </w:p>
        </w:tc>
      </w:tr>
      <w:tr w:rsidR="0028138C" w:rsidRPr="0011410F" w:rsidTr="0028138C">
        <w:trPr>
          <w:trHeight w:val="284"/>
        </w:trPr>
        <w:tc>
          <w:tcPr>
            <w:cnfStyle w:val="001000000000" w:firstRow="0" w:lastRow="0" w:firstColumn="1" w:lastColumn="0" w:oddVBand="0" w:evenVBand="0" w:oddHBand="0" w:evenHBand="0" w:firstRowFirstColumn="0" w:firstRowLastColumn="0" w:lastRowFirstColumn="0" w:lastRowLastColumn="0"/>
            <w:tcW w:w="3644" w:type="dxa"/>
            <w:noWrap/>
            <w:hideMark/>
          </w:tcPr>
          <w:p w:rsidR="0028138C" w:rsidRPr="0028138C" w:rsidRDefault="0028138C" w:rsidP="0028138C">
            <w:pPr>
              <w:pStyle w:val="AERtabletextleft"/>
            </w:pPr>
            <w:r w:rsidRPr="0028138C">
              <w:t xml:space="preserve">Return on difference for 2008–09 </w:t>
            </w:r>
            <w:proofErr w:type="spellStart"/>
            <w:r w:rsidRPr="0028138C">
              <w:t>capex</w:t>
            </w:r>
            <w:proofErr w:type="spellEnd"/>
          </w:p>
        </w:tc>
        <w:tc>
          <w:tcPr>
            <w:tcW w:w="2206" w:type="dxa"/>
            <w:gridSpan w:val="2"/>
            <w:vAlign w:val="bottom"/>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 </w:t>
            </w:r>
          </w:p>
        </w:tc>
        <w:tc>
          <w:tcPr>
            <w:tcW w:w="1103" w:type="dxa"/>
            <w:noWrap/>
            <w:vAlign w:val="bottom"/>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p>
        </w:tc>
        <w:tc>
          <w:tcPr>
            <w:tcW w:w="1103"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 </w:t>
            </w:r>
          </w:p>
        </w:tc>
        <w:tc>
          <w:tcPr>
            <w:tcW w:w="1103" w:type="dxa"/>
            <w:noWrap/>
            <w:vAlign w:val="bottom"/>
            <w:hideMark/>
          </w:tcPr>
          <w:p w:rsidR="0028138C" w:rsidRPr="0028138C" w:rsidRDefault="009809B9" w:rsidP="0028138C">
            <w:pPr>
              <w:pStyle w:val="AERtabletextright"/>
              <w:cnfStyle w:val="000000000000" w:firstRow="0" w:lastRow="0" w:firstColumn="0" w:lastColumn="0" w:oddVBand="0" w:evenVBand="0" w:oddHBand="0" w:evenHBand="0" w:firstRowFirstColumn="0" w:firstRowLastColumn="0" w:lastRowFirstColumn="0" w:lastRowLastColumn="0"/>
            </w:pPr>
            <w:r>
              <w:t>–</w:t>
            </w:r>
            <w:r w:rsidR="0028138C" w:rsidRPr="0028138C">
              <w:t>17.0</w:t>
            </w:r>
          </w:p>
        </w:tc>
      </w:tr>
      <w:tr w:rsidR="0028138C" w:rsidRPr="00B15C15" w:rsidTr="00C642D4">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644" w:type="dxa"/>
            <w:noWrap/>
            <w:hideMark/>
          </w:tcPr>
          <w:p w:rsidR="0028138C" w:rsidRPr="00B15C15" w:rsidRDefault="0028138C" w:rsidP="00B15C15">
            <w:pPr>
              <w:pStyle w:val="AERtabletextleft"/>
              <w:rPr>
                <w:rStyle w:val="AERtextbold"/>
                <w:b w:val="0"/>
              </w:rPr>
            </w:pPr>
            <w:r w:rsidRPr="00B15C15">
              <w:rPr>
                <w:rStyle w:val="AERtextbold"/>
                <w:b w:val="0"/>
              </w:rPr>
              <w:t>Closing RAB as at 30 June 2014</w:t>
            </w:r>
          </w:p>
        </w:tc>
        <w:tc>
          <w:tcPr>
            <w:tcW w:w="1103" w:type="dxa"/>
            <w:vAlign w:val="bottom"/>
          </w:tcPr>
          <w:p w:rsidR="0028138C" w:rsidRPr="00B15C15" w:rsidRDefault="0028138C" w:rsidP="00B15C15">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B15C15">
              <w:rPr>
                <w:rStyle w:val="AERtextbold"/>
                <w:b w:val="0"/>
              </w:rPr>
              <w:t> </w:t>
            </w:r>
          </w:p>
        </w:tc>
        <w:tc>
          <w:tcPr>
            <w:tcW w:w="1103" w:type="dxa"/>
            <w:noWrap/>
            <w:vAlign w:val="bottom"/>
            <w:hideMark/>
          </w:tcPr>
          <w:p w:rsidR="0028138C" w:rsidRPr="00B15C15" w:rsidRDefault="0028138C" w:rsidP="00B15C15">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B15C15">
              <w:rPr>
                <w:rStyle w:val="AERtextbold"/>
                <w:b w:val="0"/>
              </w:rPr>
              <w:t> </w:t>
            </w:r>
          </w:p>
        </w:tc>
        <w:tc>
          <w:tcPr>
            <w:tcW w:w="1103" w:type="dxa"/>
            <w:noWrap/>
            <w:vAlign w:val="bottom"/>
            <w:hideMark/>
          </w:tcPr>
          <w:p w:rsidR="0028138C" w:rsidRPr="00B15C15" w:rsidRDefault="0028138C" w:rsidP="00B15C15">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B15C15">
              <w:rPr>
                <w:rStyle w:val="AERtextbold"/>
                <w:b w:val="0"/>
              </w:rPr>
              <w:t> </w:t>
            </w:r>
          </w:p>
        </w:tc>
        <w:tc>
          <w:tcPr>
            <w:tcW w:w="1103" w:type="dxa"/>
            <w:noWrap/>
            <w:vAlign w:val="bottom"/>
            <w:hideMark/>
          </w:tcPr>
          <w:p w:rsidR="0028138C" w:rsidRPr="00B15C15" w:rsidRDefault="0028138C" w:rsidP="00B15C15">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B15C15">
              <w:rPr>
                <w:rStyle w:val="AERtextbold"/>
                <w:b w:val="0"/>
              </w:rPr>
              <w:t> </w:t>
            </w:r>
          </w:p>
        </w:tc>
        <w:tc>
          <w:tcPr>
            <w:tcW w:w="1103" w:type="dxa"/>
            <w:noWrap/>
            <w:vAlign w:val="bottom"/>
            <w:hideMark/>
          </w:tcPr>
          <w:p w:rsidR="0028138C" w:rsidRPr="00B15C15" w:rsidRDefault="0028138C" w:rsidP="00B15C15">
            <w:pPr>
              <w:pStyle w:val="AERtabletextleft"/>
              <w:cnfStyle w:val="000000010000" w:firstRow="0" w:lastRow="0" w:firstColumn="0" w:lastColumn="0" w:oddVBand="0" w:evenVBand="0" w:oddHBand="0" w:evenHBand="1" w:firstRowFirstColumn="0" w:firstRowLastColumn="0" w:lastRowFirstColumn="0" w:lastRowLastColumn="0"/>
              <w:rPr>
                <w:rStyle w:val="AERtextbold"/>
                <w:b w:val="0"/>
              </w:rPr>
            </w:pPr>
            <w:r w:rsidRPr="00B15C15">
              <w:rPr>
                <w:rStyle w:val="AERtextbold"/>
                <w:b w:val="0"/>
              </w:rPr>
              <w:t>6888.5</w:t>
            </w:r>
          </w:p>
        </w:tc>
      </w:tr>
      <w:tr w:rsidR="007C7EAA" w:rsidRPr="0028138C" w:rsidTr="00C642D4">
        <w:trPr>
          <w:trHeight w:val="284"/>
        </w:trPr>
        <w:tc>
          <w:tcPr>
            <w:cnfStyle w:val="001000000000" w:firstRow="0" w:lastRow="0" w:firstColumn="1" w:lastColumn="0" w:oddVBand="0" w:evenVBand="0" w:oddHBand="0" w:evenHBand="0" w:firstRowFirstColumn="0" w:firstRowLastColumn="0" w:lastRowFirstColumn="0" w:lastRowLastColumn="0"/>
            <w:tcW w:w="3644" w:type="dxa"/>
            <w:noWrap/>
          </w:tcPr>
          <w:p w:rsidR="007C7EAA" w:rsidRPr="007C7EAA" w:rsidRDefault="007C7EAA" w:rsidP="00D07A8F">
            <w:pPr>
              <w:pStyle w:val="AERtabletextleft"/>
              <w:rPr>
                <w:rStyle w:val="AERtextbold"/>
                <w:b w:val="0"/>
              </w:rPr>
            </w:pPr>
            <w:r w:rsidRPr="007C7EAA">
              <w:rPr>
                <w:rStyle w:val="AERtextbold"/>
                <w:b w:val="0"/>
              </w:rPr>
              <w:t>Meters m</w:t>
            </w:r>
            <w:r w:rsidRPr="00D07A8F">
              <w:rPr>
                <w:rStyle w:val="AERtextbold"/>
                <w:b w:val="0"/>
              </w:rPr>
              <w:t xml:space="preserve">oved to </w:t>
            </w:r>
            <w:r w:rsidR="00D07A8F" w:rsidRPr="00D07A8F">
              <w:rPr>
                <w:rStyle w:val="AERtextbold"/>
                <w:b w:val="0"/>
              </w:rPr>
              <w:t>alternative control services</w:t>
            </w:r>
          </w:p>
        </w:tc>
        <w:tc>
          <w:tcPr>
            <w:tcW w:w="1103" w:type="dxa"/>
            <w:vAlign w:val="bottom"/>
          </w:tcPr>
          <w:p w:rsidR="007C7EAA" w:rsidRPr="007C7EAA" w:rsidRDefault="007C7EAA" w:rsidP="007C7EA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103" w:type="dxa"/>
            <w:noWrap/>
            <w:vAlign w:val="bottom"/>
          </w:tcPr>
          <w:p w:rsidR="007C7EAA" w:rsidRPr="007C7EAA" w:rsidRDefault="007C7EAA" w:rsidP="007C7EA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103" w:type="dxa"/>
            <w:noWrap/>
            <w:vAlign w:val="bottom"/>
          </w:tcPr>
          <w:p w:rsidR="007C7EAA" w:rsidRPr="007C7EAA" w:rsidRDefault="007C7EAA" w:rsidP="007C7EA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103" w:type="dxa"/>
            <w:noWrap/>
            <w:vAlign w:val="bottom"/>
          </w:tcPr>
          <w:p w:rsidR="007C7EAA" w:rsidRPr="007C7EAA" w:rsidRDefault="007C7EAA" w:rsidP="007C7EA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c>
          <w:tcPr>
            <w:tcW w:w="1103" w:type="dxa"/>
            <w:noWrap/>
            <w:vAlign w:val="bottom"/>
          </w:tcPr>
          <w:p w:rsidR="007C7EAA" w:rsidRPr="007C7EAA" w:rsidRDefault="00A04EB2" w:rsidP="007C7EAA">
            <w:pPr>
              <w:pStyle w:val="AERtabletextright"/>
              <w:cnfStyle w:val="000000000000" w:firstRow="0" w:lastRow="0" w:firstColumn="0" w:lastColumn="0" w:oddVBand="0" w:evenVBand="0" w:oddHBand="0" w:evenHBand="0" w:firstRowFirstColumn="0" w:firstRowLastColumn="0" w:lastRowFirstColumn="0" w:lastRowLastColumn="0"/>
            </w:pPr>
            <w:r>
              <w:t>–</w:t>
            </w:r>
            <w:r w:rsidR="007C7EAA" w:rsidRPr="007C7EAA">
              <w:t>118.2</w:t>
            </w:r>
          </w:p>
        </w:tc>
      </w:tr>
      <w:tr w:rsidR="007C7EAA" w:rsidRPr="0028138C" w:rsidTr="00C642D4">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644" w:type="dxa"/>
            <w:noWrap/>
          </w:tcPr>
          <w:p w:rsidR="007C7EAA" w:rsidRPr="007C7EAA" w:rsidRDefault="007C7EAA" w:rsidP="007C7EAA">
            <w:pPr>
              <w:pStyle w:val="AERtabletextleft"/>
              <w:rPr>
                <w:rStyle w:val="AERtextbold"/>
              </w:rPr>
            </w:pPr>
            <w:r w:rsidRPr="007C7EAA">
              <w:rPr>
                <w:rStyle w:val="AERtextbold"/>
              </w:rPr>
              <w:t>Opening RAB as at 1 July 2014</w:t>
            </w:r>
          </w:p>
        </w:tc>
        <w:tc>
          <w:tcPr>
            <w:tcW w:w="1103" w:type="dxa"/>
            <w:vAlign w:val="bottom"/>
          </w:tcPr>
          <w:p w:rsidR="007C7EAA" w:rsidRPr="007C7EAA" w:rsidRDefault="007C7EAA" w:rsidP="007C7EA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103" w:type="dxa"/>
            <w:noWrap/>
            <w:vAlign w:val="bottom"/>
          </w:tcPr>
          <w:p w:rsidR="007C7EAA" w:rsidRPr="007C7EAA" w:rsidRDefault="007C7EAA" w:rsidP="007C7EA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103" w:type="dxa"/>
            <w:noWrap/>
            <w:vAlign w:val="bottom"/>
          </w:tcPr>
          <w:p w:rsidR="007C7EAA" w:rsidRPr="007C7EAA" w:rsidRDefault="007C7EAA" w:rsidP="007C7EA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103" w:type="dxa"/>
            <w:noWrap/>
            <w:vAlign w:val="bottom"/>
          </w:tcPr>
          <w:p w:rsidR="007C7EAA" w:rsidRPr="007C7EAA" w:rsidRDefault="007C7EAA" w:rsidP="007C7EA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103" w:type="dxa"/>
            <w:noWrap/>
            <w:vAlign w:val="bottom"/>
          </w:tcPr>
          <w:p w:rsidR="007C7EAA" w:rsidRPr="007C7EAA" w:rsidRDefault="007C7EAA" w:rsidP="007C7EA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7C7EAA">
              <w:rPr>
                <w:rStyle w:val="AERtextbold"/>
              </w:rPr>
              <w:t>6770.3</w:t>
            </w:r>
          </w:p>
        </w:tc>
      </w:tr>
    </w:tbl>
    <w:p w:rsidR="00FC0432" w:rsidRDefault="00FC0432" w:rsidP="00FC0432">
      <w:pPr>
        <w:pStyle w:val="AERtablesource"/>
      </w:pPr>
      <w:r>
        <w:t>Source:</w:t>
      </w:r>
      <w:r>
        <w:tab/>
        <w:t>Essential</w:t>
      </w:r>
      <w:r w:rsidRPr="00FC0432">
        <w:t xml:space="preserve"> Energy, </w:t>
      </w:r>
      <w:r w:rsidRPr="00FC0432">
        <w:rPr>
          <w:rStyle w:val="AERtextitalic"/>
        </w:rPr>
        <w:t>Regulatory proposal</w:t>
      </w:r>
      <w:r w:rsidRPr="00FC0432">
        <w:t>, May 2014, Attachment 4.</w:t>
      </w:r>
      <w:r>
        <w:t>2</w:t>
      </w:r>
      <w:r w:rsidRPr="00FC0432">
        <w:t>.</w:t>
      </w:r>
    </w:p>
    <w:p w:rsidR="00FC0432" w:rsidRPr="00FC0432" w:rsidRDefault="00FC0432" w:rsidP="00FC0432">
      <w:pPr>
        <w:pStyle w:val="AERtablesource"/>
      </w:pPr>
      <w:r w:rsidRPr="00FC0432">
        <w:t>(a)</w:t>
      </w:r>
      <w:r w:rsidR="00295142">
        <w:t>:</w:t>
      </w:r>
      <w:r w:rsidRPr="00FC0432">
        <w:tab/>
        <w:t xml:space="preserve">Based on estimated </w:t>
      </w:r>
      <w:proofErr w:type="spellStart"/>
      <w:r w:rsidRPr="00FC0432">
        <w:t>capex</w:t>
      </w:r>
      <w:proofErr w:type="spellEnd"/>
    </w:p>
    <w:p w:rsidR="00FC0432" w:rsidRPr="00FC0432" w:rsidRDefault="00FC0432" w:rsidP="00FC0432">
      <w:pPr>
        <w:pStyle w:val="AERtablesource"/>
      </w:pPr>
      <w:r w:rsidRPr="00FC0432">
        <w:t>(b)</w:t>
      </w:r>
      <w:r w:rsidR="00295142">
        <w:t>:</w:t>
      </w:r>
      <w:r w:rsidRPr="00FC0432">
        <w:tab/>
        <w:t>Net of disposals and capital contributions</w:t>
      </w:r>
      <w:r w:rsidR="00D07A8F">
        <w:t>, and adjusted for CPI</w:t>
      </w:r>
      <w:r w:rsidRPr="00FC0432">
        <w:t>.</w:t>
      </w:r>
    </w:p>
    <w:p w:rsidR="005F0C76" w:rsidRDefault="0028138C" w:rsidP="00D93F05">
      <w:pPr>
        <w:pStyle w:val="AERbodytext"/>
        <w:numPr>
          <w:ilvl w:val="0"/>
          <w:numId w:val="0"/>
        </w:numPr>
      </w:pPr>
      <w:r>
        <w:t>Essential</w:t>
      </w:r>
      <w:r w:rsidR="005F0C76" w:rsidRPr="005F0C76">
        <w:t xml:space="preserve"> Energy proposed a closing </w:t>
      </w:r>
      <w:r w:rsidR="00D07A8F">
        <w:t xml:space="preserve">forecast </w:t>
      </w:r>
      <w:r w:rsidR="005F0C76" w:rsidRPr="005F0C76">
        <w:t>RAB as at 30 June 2019 of $</w:t>
      </w:r>
      <w:r w:rsidR="005F0C76">
        <w:t>9013</w:t>
      </w:r>
      <w:r w:rsidR="000067A2">
        <w:t>.4</w:t>
      </w:r>
      <w:r w:rsidR="005F0C76" w:rsidRPr="005F0C76">
        <w:t xml:space="preserve"> million ($ nominal). </w:t>
      </w:r>
      <w:r w:rsidR="005F0C76">
        <w:t>This value</w:t>
      </w:r>
      <w:r w:rsidR="005F0C76" w:rsidRPr="005F0C76">
        <w:t xml:space="preserve"> reflect</w:t>
      </w:r>
      <w:r w:rsidR="005F0C76">
        <w:t>s</w:t>
      </w:r>
      <w:r w:rsidR="005F0C76" w:rsidRPr="005F0C76">
        <w:t xml:space="preserve"> its proposed </w:t>
      </w:r>
      <w:r w:rsidR="00C839CF">
        <w:t xml:space="preserve">opening RAB, </w:t>
      </w:r>
      <w:r w:rsidR="005F0C76" w:rsidRPr="005F0C76">
        <w:t xml:space="preserve">forecast </w:t>
      </w:r>
      <w:proofErr w:type="spellStart"/>
      <w:r w:rsidR="005F0C76" w:rsidRPr="005F0C76">
        <w:t>capex</w:t>
      </w:r>
      <w:proofErr w:type="spellEnd"/>
      <w:r w:rsidR="005F0C76" w:rsidRPr="005F0C76">
        <w:t xml:space="preserve">, </w:t>
      </w:r>
      <w:r w:rsidR="00D07A8F">
        <w:t xml:space="preserve">forecast </w:t>
      </w:r>
      <w:r w:rsidR="005F0C76" w:rsidRPr="005F0C76">
        <w:t xml:space="preserve">inflation and depreciation </w:t>
      </w:r>
      <w:r w:rsidR="00D07A8F">
        <w:t xml:space="preserve">(based on forecast </w:t>
      </w:r>
      <w:proofErr w:type="spellStart"/>
      <w:r w:rsidR="00D07A8F">
        <w:t>capex</w:t>
      </w:r>
      <w:proofErr w:type="spellEnd"/>
      <w:r w:rsidR="00D07A8F">
        <w:t xml:space="preserve">) </w:t>
      </w:r>
      <w:r w:rsidR="005F0C76" w:rsidRPr="005F0C76">
        <w:t xml:space="preserve">over the </w:t>
      </w:r>
      <w:r w:rsidR="00310328">
        <w:t>2014</w:t>
      </w:r>
      <w:r w:rsidR="00973A8B">
        <w:t>–</w:t>
      </w:r>
      <w:r w:rsidR="00310328">
        <w:t xml:space="preserve">19 </w:t>
      </w:r>
      <w:proofErr w:type="gramStart"/>
      <w:r w:rsidR="00310328">
        <w:t>period</w:t>
      </w:r>
      <w:proofErr w:type="gramEnd"/>
      <w:r w:rsidR="005F0C76" w:rsidRPr="005F0C76">
        <w:t xml:space="preserve">. </w:t>
      </w:r>
      <w:r w:rsidR="00C839CF">
        <w:t xml:space="preserve">Its </w:t>
      </w:r>
      <w:r w:rsidR="005F0C76" w:rsidRPr="005F0C76">
        <w:t xml:space="preserve">projected RAB over the </w:t>
      </w:r>
      <w:r w:rsidR="00310328">
        <w:t>2014</w:t>
      </w:r>
      <w:r w:rsidR="00973A8B">
        <w:t>–</w:t>
      </w:r>
      <w:r w:rsidR="00310328">
        <w:t xml:space="preserve">19 </w:t>
      </w:r>
      <w:proofErr w:type="gramStart"/>
      <w:r w:rsidR="00310328">
        <w:t>period</w:t>
      </w:r>
      <w:proofErr w:type="gramEnd"/>
      <w:r w:rsidR="005F0C76" w:rsidRPr="005F0C76">
        <w:t xml:space="preserve"> is shown in</w:t>
      </w:r>
      <w:r w:rsidR="005F0C76">
        <w:t xml:space="preserve"> </w:t>
      </w:r>
      <w:r w:rsidR="005F0C76">
        <w:fldChar w:fldCharType="begin"/>
      </w:r>
      <w:r w:rsidR="005F0C76">
        <w:instrText xml:space="preserve"> REF _Ref393097041 \h </w:instrText>
      </w:r>
      <w:r w:rsidR="005F0C76">
        <w:fldChar w:fldCharType="separate"/>
      </w:r>
      <w:r w:rsidR="0008691B">
        <w:t>t</w:t>
      </w:r>
      <w:r w:rsidR="00A10B76">
        <w:t xml:space="preserve">able </w:t>
      </w:r>
      <w:r w:rsidR="0008691B">
        <w:rPr>
          <w:noProof/>
        </w:rPr>
        <w:t>2.</w:t>
      </w:r>
      <w:r w:rsidR="00A10B76">
        <w:rPr>
          <w:noProof/>
        </w:rPr>
        <w:t>4</w:t>
      </w:r>
      <w:r w:rsidR="005F0C76">
        <w:fldChar w:fldCharType="end"/>
      </w:r>
      <w:r w:rsidR="005F0C76" w:rsidRPr="005F0C76">
        <w:t>.</w:t>
      </w:r>
    </w:p>
    <w:p w:rsidR="00466FC8" w:rsidRDefault="00466FC8" w:rsidP="00466FC8">
      <w:pPr>
        <w:pStyle w:val="Caption"/>
      </w:pPr>
      <w:bookmarkStart w:id="17" w:name="_Ref393097041"/>
      <w:r>
        <w:t xml:space="preserve">Table </w:t>
      </w:r>
      <w:r w:rsidR="0008691B">
        <w:t>2</w:t>
      </w:r>
      <w:r w:rsidR="00284F1D">
        <w:noBreakHyphen/>
      </w:r>
      <w:r w:rsidR="00D90BFE">
        <w:fldChar w:fldCharType="begin"/>
      </w:r>
      <w:r w:rsidR="00D90BFE">
        <w:instrText xml:space="preserve"> SEQ Table \* ARABIC \s 1 </w:instrText>
      </w:r>
      <w:r w:rsidR="00D90BFE">
        <w:fldChar w:fldCharType="separate"/>
      </w:r>
      <w:r w:rsidR="00A10B76">
        <w:rPr>
          <w:noProof/>
        </w:rPr>
        <w:t>4</w:t>
      </w:r>
      <w:r w:rsidR="00D90BFE">
        <w:rPr>
          <w:noProof/>
        </w:rPr>
        <w:fldChar w:fldCharType="end"/>
      </w:r>
      <w:bookmarkEnd w:id="17"/>
      <w:r>
        <w:tab/>
        <w:t>Essential</w:t>
      </w:r>
      <w:r w:rsidRPr="00466FC8">
        <w:t xml:space="preserve"> Energy's proposed RAB for the </w:t>
      </w:r>
      <w:r w:rsidR="00310328">
        <w:t>2014</w:t>
      </w:r>
      <w:r w:rsidR="00973A8B">
        <w:t>–</w:t>
      </w:r>
      <w:r w:rsidR="00310328">
        <w:t>19 period</w:t>
      </w:r>
      <w:r w:rsidRPr="00466FC8">
        <w:t xml:space="preserve"> ($million, nominal)</w:t>
      </w:r>
    </w:p>
    <w:tbl>
      <w:tblPr>
        <w:tblStyle w:val="AERtable-numbers"/>
        <w:tblW w:w="9170" w:type="dxa"/>
        <w:tblLook w:val="04A0" w:firstRow="1" w:lastRow="0" w:firstColumn="1" w:lastColumn="0" w:noHBand="0" w:noVBand="1"/>
      </w:tblPr>
      <w:tblGrid>
        <w:gridCol w:w="3645"/>
        <w:gridCol w:w="1105"/>
        <w:gridCol w:w="1105"/>
        <w:gridCol w:w="1105"/>
        <w:gridCol w:w="1105"/>
        <w:gridCol w:w="1105"/>
      </w:tblGrid>
      <w:tr w:rsidR="00FF25DB" w:rsidRPr="00FF25DB" w:rsidTr="00100583">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3645" w:type="dxa"/>
            <w:noWrap/>
            <w:hideMark/>
          </w:tcPr>
          <w:p w:rsidR="00FF25DB" w:rsidRPr="00FF25DB" w:rsidRDefault="00FF25DB" w:rsidP="00FF25DB">
            <w:pPr>
              <w:pStyle w:val="AERtabletextleft"/>
            </w:pPr>
            <w:r w:rsidRPr="00FF25DB">
              <w:t> </w:t>
            </w:r>
          </w:p>
        </w:tc>
        <w:tc>
          <w:tcPr>
            <w:tcW w:w="1105" w:type="dxa"/>
            <w:noWrap/>
            <w:hideMark/>
          </w:tcPr>
          <w:p w:rsidR="00FF25DB" w:rsidRPr="00FF25DB" w:rsidRDefault="00FF25DB" w:rsidP="00FF25DB">
            <w:pPr>
              <w:pStyle w:val="AERtabletextright"/>
              <w:cnfStyle w:val="100000000000" w:firstRow="1" w:lastRow="0" w:firstColumn="0" w:lastColumn="0" w:oddVBand="0" w:evenVBand="0" w:oddHBand="0" w:evenHBand="0" w:firstRowFirstColumn="0" w:firstRowLastColumn="0" w:lastRowFirstColumn="0" w:lastRowLastColumn="0"/>
            </w:pPr>
            <w:r w:rsidRPr="00FF25DB">
              <w:t>2014–15</w:t>
            </w:r>
          </w:p>
        </w:tc>
        <w:tc>
          <w:tcPr>
            <w:tcW w:w="1105" w:type="dxa"/>
            <w:noWrap/>
            <w:hideMark/>
          </w:tcPr>
          <w:p w:rsidR="00FF25DB" w:rsidRPr="00FF25DB" w:rsidRDefault="00FF25DB" w:rsidP="00FF25DB">
            <w:pPr>
              <w:pStyle w:val="AERtabletextright"/>
              <w:cnfStyle w:val="100000000000" w:firstRow="1" w:lastRow="0" w:firstColumn="0" w:lastColumn="0" w:oddVBand="0" w:evenVBand="0" w:oddHBand="0" w:evenHBand="0" w:firstRowFirstColumn="0" w:firstRowLastColumn="0" w:lastRowFirstColumn="0" w:lastRowLastColumn="0"/>
            </w:pPr>
            <w:r w:rsidRPr="00FF25DB">
              <w:t>2015–16</w:t>
            </w:r>
          </w:p>
        </w:tc>
        <w:tc>
          <w:tcPr>
            <w:tcW w:w="1105" w:type="dxa"/>
            <w:noWrap/>
            <w:hideMark/>
          </w:tcPr>
          <w:p w:rsidR="00FF25DB" w:rsidRPr="00FF25DB" w:rsidRDefault="00FF25DB" w:rsidP="00FF25DB">
            <w:pPr>
              <w:pStyle w:val="AERtabletextright"/>
              <w:cnfStyle w:val="100000000000" w:firstRow="1" w:lastRow="0" w:firstColumn="0" w:lastColumn="0" w:oddVBand="0" w:evenVBand="0" w:oddHBand="0" w:evenHBand="0" w:firstRowFirstColumn="0" w:firstRowLastColumn="0" w:lastRowFirstColumn="0" w:lastRowLastColumn="0"/>
            </w:pPr>
            <w:r w:rsidRPr="00FF25DB">
              <w:t>2016–17</w:t>
            </w:r>
          </w:p>
        </w:tc>
        <w:tc>
          <w:tcPr>
            <w:tcW w:w="1105" w:type="dxa"/>
            <w:noWrap/>
            <w:hideMark/>
          </w:tcPr>
          <w:p w:rsidR="00FF25DB" w:rsidRPr="00FF25DB" w:rsidRDefault="00FF25DB" w:rsidP="00FF25DB">
            <w:pPr>
              <w:pStyle w:val="AERtabletextright"/>
              <w:cnfStyle w:val="100000000000" w:firstRow="1" w:lastRow="0" w:firstColumn="0" w:lastColumn="0" w:oddVBand="0" w:evenVBand="0" w:oddHBand="0" w:evenHBand="0" w:firstRowFirstColumn="0" w:firstRowLastColumn="0" w:lastRowFirstColumn="0" w:lastRowLastColumn="0"/>
            </w:pPr>
            <w:r w:rsidRPr="00FF25DB">
              <w:t>2017–18</w:t>
            </w:r>
          </w:p>
        </w:tc>
        <w:tc>
          <w:tcPr>
            <w:tcW w:w="1105" w:type="dxa"/>
            <w:noWrap/>
            <w:hideMark/>
          </w:tcPr>
          <w:p w:rsidR="00FF25DB" w:rsidRPr="00FF25DB" w:rsidRDefault="00FF25DB" w:rsidP="00FF25DB">
            <w:pPr>
              <w:pStyle w:val="AERtabletextright"/>
              <w:cnfStyle w:val="100000000000" w:firstRow="1" w:lastRow="0" w:firstColumn="0" w:lastColumn="0" w:oddVBand="0" w:evenVBand="0" w:oddHBand="0" w:evenHBand="0" w:firstRowFirstColumn="0" w:firstRowLastColumn="0" w:lastRowFirstColumn="0" w:lastRowLastColumn="0"/>
            </w:pPr>
            <w:r w:rsidRPr="00FF25DB">
              <w:t>2018–19</w:t>
            </w:r>
          </w:p>
        </w:tc>
      </w:tr>
      <w:tr w:rsidR="0028138C" w:rsidRPr="00B15C15" w:rsidTr="00C642D4">
        <w:trPr>
          <w:trHeight w:val="268"/>
        </w:trPr>
        <w:tc>
          <w:tcPr>
            <w:cnfStyle w:val="001000000000" w:firstRow="0" w:lastRow="0" w:firstColumn="1" w:lastColumn="0" w:oddVBand="0" w:evenVBand="0" w:oddHBand="0" w:evenHBand="0" w:firstRowFirstColumn="0" w:firstRowLastColumn="0" w:lastRowFirstColumn="0" w:lastRowLastColumn="0"/>
            <w:tcW w:w="3645" w:type="dxa"/>
            <w:noWrap/>
            <w:hideMark/>
          </w:tcPr>
          <w:p w:rsidR="0028138C" w:rsidRPr="00B15C15" w:rsidRDefault="0028138C" w:rsidP="00B15C15">
            <w:pPr>
              <w:pStyle w:val="AERtabletextleft"/>
              <w:rPr>
                <w:rStyle w:val="AERtextbold"/>
                <w:b w:val="0"/>
              </w:rPr>
            </w:pPr>
            <w:r w:rsidRPr="00B15C15">
              <w:rPr>
                <w:rStyle w:val="AERtextbold"/>
                <w:b w:val="0"/>
              </w:rPr>
              <w:t>Opening RAB</w:t>
            </w:r>
          </w:p>
        </w:tc>
        <w:tc>
          <w:tcPr>
            <w:tcW w:w="1105" w:type="dxa"/>
            <w:noWrap/>
            <w:vAlign w:val="bottom"/>
            <w:hideMark/>
          </w:tcPr>
          <w:p w:rsidR="0028138C" w:rsidRPr="00B15C15" w:rsidRDefault="0028138C"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6770.3</w:t>
            </w:r>
          </w:p>
        </w:tc>
        <w:tc>
          <w:tcPr>
            <w:tcW w:w="1105" w:type="dxa"/>
            <w:noWrap/>
            <w:vAlign w:val="bottom"/>
            <w:hideMark/>
          </w:tcPr>
          <w:p w:rsidR="0028138C" w:rsidRPr="00B15C15" w:rsidRDefault="0028138C"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7244.0</w:t>
            </w:r>
          </w:p>
        </w:tc>
        <w:tc>
          <w:tcPr>
            <w:tcW w:w="1105" w:type="dxa"/>
            <w:noWrap/>
            <w:vAlign w:val="bottom"/>
            <w:hideMark/>
          </w:tcPr>
          <w:p w:rsidR="0028138C" w:rsidRPr="00B15C15" w:rsidRDefault="0028138C"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7680.9</w:t>
            </w:r>
          </w:p>
        </w:tc>
        <w:tc>
          <w:tcPr>
            <w:tcW w:w="1105" w:type="dxa"/>
            <w:noWrap/>
            <w:vAlign w:val="bottom"/>
            <w:hideMark/>
          </w:tcPr>
          <w:p w:rsidR="0028138C" w:rsidRPr="00B15C15" w:rsidRDefault="0028138C"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8124.0</w:t>
            </w:r>
          </w:p>
        </w:tc>
        <w:tc>
          <w:tcPr>
            <w:tcW w:w="1105" w:type="dxa"/>
            <w:noWrap/>
            <w:vAlign w:val="bottom"/>
            <w:hideMark/>
          </w:tcPr>
          <w:p w:rsidR="0028138C" w:rsidRPr="00B15C15" w:rsidRDefault="0028138C"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8562.0</w:t>
            </w:r>
          </w:p>
        </w:tc>
      </w:tr>
      <w:tr w:rsidR="0028138C" w:rsidRPr="00FF25DB" w:rsidTr="00C642D4">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645" w:type="dxa"/>
            <w:noWrap/>
            <w:hideMark/>
          </w:tcPr>
          <w:p w:rsidR="0028138C" w:rsidRPr="0028138C" w:rsidRDefault="0028138C" w:rsidP="00FC0432">
            <w:pPr>
              <w:pStyle w:val="AERtabletextleft"/>
            </w:pPr>
            <w:r w:rsidRPr="0028138C">
              <w:t xml:space="preserve">Capital </w:t>
            </w:r>
            <w:proofErr w:type="spellStart"/>
            <w:r w:rsidRPr="0028138C">
              <w:t>expenditure</w:t>
            </w:r>
            <w:r w:rsidR="00FC0432" w:rsidRPr="00FC0432">
              <w:rPr>
                <w:rStyle w:val="AERsuperscript"/>
              </w:rPr>
              <w:t>a</w:t>
            </w:r>
            <w:proofErr w:type="spellEnd"/>
          </w:p>
        </w:tc>
        <w:tc>
          <w:tcPr>
            <w:tcW w:w="1105"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572.0</w:t>
            </w:r>
          </w:p>
        </w:tc>
        <w:tc>
          <w:tcPr>
            <w:tcW w:w="1105"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553.3</w:t>
            </w:r>
          </w:p>
        </w:tc>
        <w:tc>
          <w:tcPr>
            <w:tcW w:w="1105"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574.9</w:t>
            </w:r>
          </w:p>
        </w:tc>
        <w:tc>
          <w:tcPr>
            <w:tcW w:w="1105"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573.9</w:t>
            </w:r>
          </w:p>
        </w:tc>
        <w:tc>
          <w:tcPr>
            <w:tcW w:w="1105"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581.2</w:t>
            </w:r>
          </w:p>
        </w:tc>
      </w:tr>
      <w:tr w:rsidR="0028138C" w:rsidRPr="00FF25DB" w:rsidTr="00C642D4">
        <w:trPr>
          <w:trHeight w:val="268"/>
        </w:trPr>
        <w:tc>
          <w:tcPr>
            <w:cnfStyle w:val="001000000000" w:firstRow="0" w:lastRow="0" w:firstColumn="1" w:lastColumn="0" w:oddVBand="0" w:evenVBand="0" w:oddHBand="0" w:evenHBand="0" w:firstRowFirstColumn="0" w:firstRowLastColumn="0" w:lastRowFirstColumn="0" w:lastRowLastColumn="0"/>
            <w:tcW w:w="3645" w:type="dxa"/>
            <w:noWrap/>
            <w:hideMark/>
          </w:tcPr>
          <w:p w:rsidR="0028138C" w:rsidRPr="0028138C" w:rsidRDefault="0028138C" w:rsidP="0028138C">
            <w:pPr>
              <w:pStyle w:val="AERtabletextleft"/>
            </w:pPr>
            <w:r w:rsidRPr="0028138C">
              <w:t>Inflation indexation on opening RAB</w:t>
            </w:r>
          </w:p>
        </w:tc>
        <w:tc>
          <w:tcPr>
            <w:tcW w:w="1105"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169.3</w:t>
            </w:r>
          </w:p>
        </w:tc>
        <w:tc>
          <w:tcPr>
            <w:tcW w:w="1105"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181.1</w:t>
            </w:r>
          </w:p>
        </w:tc>
        <w:tc>
          <w:tcPr>
            <w:tcW w:w="1105"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192.0</w:t>
            </w:r>
          </w:p>
        </w:tc>
        <w:tc>
          <w:tcPr>
            <w:tcW w:w="1105"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203.1</w:t>
            </w:r>
          </w:p>
        </w:tc>
        <w:tc>
          <w:tcPr>
            <w:tcW w:w="1105"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214.1</w:t>
            </w:r>
          </w:p>
        </w:tc>
      </w:tr>
      <w:tr w:rsidR="0028138C" w:rsidRPr="00FF25DB" w:rsidTr="00C642D4">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645" w:type="dxa"/>
            <w:noWrap/>
            <w:hideMark/>
          </w:tcPr>
          <w:p w:rsidR="0028138C" w:rsidRPr="0028138C" w:rsidRDefault="0028138C" w:rsidP="0028138C">
            <w:pPr>
              <w:pStyle w:val="AERtabletextleft"/>
            </w:pPr>
            <w:r w:rsidRPr="00ED39D7">
              <w:rPr>
                <w:rStyle w:val="AERtextitalic"/>
              </w:rPr>
              <w:t>Less:</w:t>
            </w:r>
            <w:r w:rsidRPr="0028138C">
              <w:t xml:space="preserve"> straight-line depreciation</w:t>
            </w:r>
          </w:p>
        </w:tc>
        <w:tc>
          <w:tcPr>
            <w:tcW w:w="1105"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267.6</w:t>
            </w:r>
          </w:p>
        </w:tc>
        <w:tc>
          <w:tcPr>
            <w:tcW w:w="1105"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297.4</w:t>
            </w:r>
          </w:p>
        </w:tc>
        <w:tc>
          <w:tcPr>
            <w:tcW w:w="1105"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323.7</w:t>
            </w:r>
          </w:p>
        </w:tc>
        <w:tc>
          <w:tcPr>
            <w:tcW w:w="1105"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339.0</w:t>
            </w:r>
          </w:p>
        </w:tc>
        <w:tc>
          <w:tcPr>
            <w:tcW w:w="1105"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343.8</w:t>
            </w:r>
          </w:p>
        </w:tc>
      </w:tr>
      <w:tr w:rsidR="0028138C" w:rsidRPr="00B15C15" w:rsidTr="00C642D4">
        <w:trPr>
          <w:trHeight w:val="268"/>
        </w:trPr>
        <w:tc>
          <w:tcPr>
            <w:cnfStyle w:val="001000000000" w:firstRow="0" w:lastRow="0" w:firstColumn="1" w:lastColumn="0" w:oddVBand="0" w:evenVBand="0" w:oddHBand="0" w:evenHBand="0" w:firstRowFirstColumn="0" w:firstRowLastColumn="0" w:lastRowFirstColumn="0" w:lastRowLastColumn="0"/>
            <w:tcW w:w="3645" w:type="dxa"/>
            <w:noWrap/>
            <w:hideMark/>
          </w:tcPr>
          <w:p w:rsidR="0028138C" w:rsidRPr="00B15C15" w:rsidRDefault="0028138C" w:rsidP="00B15C15">
            <w:pPr>
              <w:pStyle w:val="AERtabletextleft"/>
              <w:rPr>
                <w:rStyle w:val="AERtextbold"/>
                <w:b w:val="0"/>
              </w:rPr>
            </w:pPr>
            <w:r w:rsidRPr="00B15C15">
              <w:rPr>
                <w:rStyle w:val="AERtextbold"/>
                <w:b w:val="0"/>
              </w:rPr>
              <w:t>Closing RAB</w:t>
            </w:r>
          </w:p>
        </w:tc>
        <w:tc>
          <w:tcPr>
            <w:tcW w:w="1105" w:type="dxa"/>
            <w:noWrap/>
            <w:vAlign w:val="bottom"/>
            <w:hideMark/>
          </w:tcPr>
          <w:p w:rsidR="0028138C" w:rsidRPr="00B15C15" w:rsidRDefault="0028138C"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7244.0</w:t>
            </w:r>
          </w:p>
        </w:tc>
        <w:tc>
          <w:tcPr>
            <w:tcW w:w="1105" w:type="dxa"/>
            <w:noWrap/>
            <w:vAlign w:val="bottom"/>
            <w:hideMark/>
          </w:tcPr>
          <w:p w:rsidR="0028138C" w:rsidRPr="00B15C15" w:rsidRDefault="0028138C"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7680.9</w:t>
            </w:r>
          </w:p>
        </w:tc>
        <w:tc>
          <w:tcPr>
            <w:tcW w:w="1105" w:type="dxa"/>
            <w:noWrap/>
            <w:vAlign w:val="bottom"/>
            <w:hideMark/>
          </w:tcPr>
          <w:p w:rsidR="0028138C" w:rsidRPr="00B15C15" w:rsidRDefault="0028138C"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8124.0</w:t>
            </w:r>
          </w:p>
        </w:tc>
        <w:tc>
          <w:tcPr>
            <w:tcW w:w="1105" w:type="dxa"/>
            <w:noWrap/>
            <w:vAlign w:val="bottom"/>
            <w:hideMark/>
          </w:tcPr>
          <w:p w:rsidR="0028138C" w:rsidRPr="00B15C15" w:rsidRDefault="0028138C"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8562.0</w:t>
            </w:r>
          </w:p>
        </w:tc>
        <w:tc>
          <w:tcPr>
            <w:tcW w:w="1105" w:type="dxa"/>
            <w:noWrap/>
            <w:vAlign w:val="bottom"/>
            <w:hideMark/>
          </w:tcPr>
          <w:p w:rsidR="0028138C" w:rsidRPr="00B15C15" w:rsidRDefault="0028138C" w:rsidP="00B15C15">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B15C15">
              <w:rPr>
                <w:rStyle w:val="AERtextbold"/>
                <w:b w:val="0"/>
              </w:rPr>
              <w:t>9013.4</w:t>
            </w:r>
          </w:p>
        </w:tc>
      </w:tr>
    </w:tbl>
    <w:p w:rsidR="00FC0432" w:rsidRDefault="00FC0432" w:rsidP="00FC0432">
      <w:pPr>
        <w:pStyle w:val="AERtablesource"/>
      </w:pPr>
      <w:bookmarkStart w:id="18" w:name="_Toc387916798"/>
      <w:r>
        <w:t>Source:</w:t>
      </w:r>
      <w:r>
        <w:tab/>
        <w:t>Essential</w:t>
      </w:r>
      <w:r w:rsidRPr="00FC0432">
        <w:t xml:space="preserve"> Energy, </w:t>
      </w:r>
      <w:r w:rsidRPr="00FC0432">
        <w:rPr>
          <w:rStyle w:val="AERtextitalic"/>
        </w:rPr>
        <w:t>Regulatory proposal</w:t>
      </w:r>
      <w:r w:rsidRPr="00FC0432">
        <w:t>, May 2014, Attachment 4.</w:t>
      </w:r>
      <w:r>
        <w:t>1</w:t>
      </w:r>
      <w:r w:rsidRPr="00FC0432">
        <w:t>.</w:t>
      </w:r>
    </w:p>
    <w:p w:rsidR="00FC0432" w:rsidRDefault="00FC0432" w:rsidP="00FC0432">
      <w:pPr>
        <w:pStyle w:val="AERtablesource"/>
      </w:pPr>
      <w:r w:rsidRPr="00FC0432">
        <w:t>(</w:t>
      </w:r>
      <w:proofErr w:type="gramStart"/>
      <w:r w:rsidRPr="00FC0432">
        <w:t>a</w:t>
      </w:r>
      <w:proofErr w:type="gramEnd"/>
      <w:r w:rsidRPr="00FC0432">
        <w:t>)</w:t>
      </w:r>
      <w:r w:rsidR="00295142">
        <w:t>:</w:t>
      </w:r>
      <w:r w:rsidRPr="00FC0432">
        <w:tab/>
        <w:t>Net of disposals and capital contributions.</w:t>
      </w:r>
    </w:p>
    <w:p w:rsidR="00A10B76" w:rsidRPr="00A10B76" w:rsidRDefault="00A10B76" w:rsidP="00A10B76">
      <w:pPr>
        <w:pStyle w:val="AERbodytext"/>
      </w:pPr>
      <w:r>
        <w:t>Essential Energy p</w:t>
      </w:r>
      <w:r w:rsidRPr="00830BA6">
        <w:t xml:space="preserve">roposed to apply </w:t>
      </w:r>
      <w:r>
        <w:t xml:space="preserve">a </w:t>
      </w:r>
      <w:r w:rsidRPr="00830BA6">
        <w:t xml:space="preserve">forecast depreciation approach to establish the RAB at the commencement of 2019–24 regulatory control </w:t>
      </w:r>
      <w:proofErr w:type="gramStart"/>
      <w:r w:rsidRPr="00830BA6">
        <w:t>period</w:t>
      </w:r>
      <w:proofErr w:type="gramEnd"/>
      <w:r w:rsidRPr="00830BA6">
        <w:t xml:space="preserve">, consistent with the approach set out in </w:t>
      </w:r>
      <w:r w:rsidR="00D07A8F">
        <w:t>our S</w:t>
      </w:r>
      <w:r w:rsidR="00D07A8F" w:rsidRPr="00830BA6">
        <w:t xml:space="preserve">tage </w:t>
      </w:r>
      <w:r w:rsidRPr="00830BA6">
        <w:t>2 framework and approach</w:t>
      </w:r>
      <w:r w:rsidR="005A3A41">
        <w:t xml:space="preserve"> paper</w:t>
      </w:r>
      <w:r w:rsidRPr="00830BA6">
        <w:t>.</w:t>
      </w:r>
      <w:r w:rsidRPr="00830BA6">
        <w:rPr>
          <w:rStyle w:val="FootnoteReference"/>
        </w:rPr>
        <w:footnoteReference w:id="7"/>
      </w:r>
    </w:p>
    <w:p w:rsidR="00D97003" w:rsidRDefault="00D97003" w:rsidP="00D97003">
      <w:pPr>
        <w:pStyle w:val="Heading2"/>
      </w:pPr>
      <w:bookmarkStart w:id="19" w:name="_Toc404324611"/>
      <w:r>
        <w:lastRenderedPageBreak/>
        <w:t>AER's assessment approach</w:t>
      </w:r>
      <w:bookmarkEnd w:id="18"/>
      <w:bookmarkEnd w:id="19"/>
    </w:p>
    <w:p w:rsidR="0075167F" w:rsidRDefault="008528F2" w:rsidP="0075167F">
      <w:pPr>
        <w:pStyle w:val="AERbodytext"/>
      </w:pPr>
      <w:r>
        <w:t>We are</w:t>
      </w:r>
      <w:r w:rsidR="0075167F" w:rsidRPr="0075167F">
        <w:t xml:space="preserve"> required to roll forward </w:t>
      </w:r>
      <w:r w:rsidR="000E2656">
        <w:t xml:space="preserve">the </w:t>
      </w:r>
      <w:r w:rsidR="0075167F" w:rsidRPr="0075167F">
        <w:t xml:space="preserve">service provider's RAB </w:t>
      </w:r>
      <w:r w:rsidR="00D07A8F">
        <w:t xml:space="preserve">during the </w:t>
      </w:r>
      <w:r w:rsidR="000E2656">
        <w:t xml:space="preserve">2009–14 </w:t>
      </w:r>
      <w:r w:rsidR="00D07A8F">
        <w:t xml:space="preserve">regulatory control period </w:t>
      </w:r>
      <w:r w:rsidR="0075167F" w:rsidRPr="0075167F">
        <w:t xml:space="preserve">to establish the opening RAB </w:t>
      </w:r>
      <w:r w:rsidR="000E2656">
        <w:t>at 1 July 2014</w:t>
      </w:r>
      <w:r w:rsidR="0075167F" w:rsidRPr="0075167F">
        <w:t xml:space="preserve">. This value can be adjusted for any differences in the forecast and actual </w:t>
      </w:r>
      <w:proofErr w:type="spellStart"/>
      <w:r w:rsidR="0075167F" w:rsidRPr="0075167F">
        <w:t>capex</w:t>
      </w:r>
      <w:proofErr w:type="spellEnd"/>
      <w:r w:rsidR="0075167F" w:rsidRPr="0075167F">
        <w:t>, disposals and capital contributions. It may also be adjusted to reflect any changes in the use of the assets, with only assets used in the provision of standard control services to be included in the RAB.</w:t>
      </w:r>
      <w:r w:rsidR="0075167F">
        <w:rPr>
          <w:rStyle w:val="FootnoteReference"/>
        </w:rPr>
        <w:footnoteReference w:id="8"/>
      </w:r>
    </w:p>
    <w:p w:rsidR="0075167F" w:rsidRDefault="0075167F" w:rsidP="0075167F">
      <w:pPr>
        <w:pStyle w:val="AERbodytext"/>
      </w:pPr>
      <w:r w:rsidRPr="0075167F">
        <w:t xml:space="preserve">To determine the opening RAB, </w:t>
      </w:r>
      <w:r>
        <w:t>we</w:t>
      </w:r>
      <w:r w:rsidRPr="0075167F">
        <w:t xml:space="preserve"> developed an asset base </w:t>
      </w:r>
      <w:r>
        <w:t>RFM</w:t>
      </w:r>
      <w:r w:rsidRPr="0075167F">
        <w:t xml:space="preserve"> in accordance with the requirements of the</w:t>
      </w:r>
      <w:r w:rsidR="001F72C9">
        <w:t xml:space="preserve"> National Electricity Rules</w:t>
      </w:r>
      <w:r w:rsidRPr="0075167F">
        <w:t xml:space="preserve"> </w:t>
      </w:r>
      <w:r w:rsidR="001F72C9">
        <w:t>(</w:t>
      </w:r>
      <w:r w:rsidRPr="0075167F">
        <w:t>NER</w:t>
      </w:r>
      <w:r w:rsidR="001F72C9">
        <w:t>)</w:t>
      </w:r>
      <w:r w:rsidRPr="0075167F">
        <w:t>.</w:t>
      </w:r>
      <w:r>
        <w:rPr>
          <w:rStyle w:val="FootnoteReference"/>
        </w:rPr>
        <w:footnoteReference w:id="9"/>
      </w:r>
      <w:r w:rsidRPr="0075167F">
        <w:t xml:space="preserve"> A </w:t>
      </w:r>
      <w:r>
        <w:t>service provider</w:t>
      </w:r>
      <w:r w:rsidRPr="0075167F">
        <w:t xml:space="preserve"> must use the RFM in preparing its regulatory proposal. The RFM rolls forward the RAB from the beginning of the final year of the </w:t>
      </w:r>
      <w:r>
        <w:t xml:space="preserve">2004–09 </w:t>
      </w:r>
      <w:r w:rsidRPr="0075167F">
        <w:t xml:space="preserve">regulatory control </w:t>
      </w:r>
      <w:proofErr w:type="gramStart"/>
      <w:r w:rsidRPr="0075167F">
        <w:t>period</w:t>
      </w:r>
      <w:proofErr w:type="gramEnd"/>
      <w:r w:rsidRPr="0075167F">
        <w:t xml:space="preserve">, through the </w:t>
      </w:r>
      <w:r>
        <w:t xml:space="preserve">2009–14 </w:t>
      </w:r>
      <w:r w:rsidRPr="0075167F">
        <w:t xml:space="preserve">regulatory control period, to the beginning of the </w:t>
      </w:r>
      <w:r w:rsidR="00310328">
        <w:t>2014</w:t>
      </w:r>
      <w:r w:rsidR="00973A8B">
        <w:t>–</w:t>
      </w:r>
      <w:r w:rsidR="00310328">
        <w:t>19 period</w:t>
      </w:r>
      <w:r w:rsidRPr="0075167F">
        <w:t xml:space="preserve">. </w:t>
      </w:r>
      <w:r w:rsidR="00CC2425">
        <w:t>T</w:t>
      </w:r>
      <w:r w:rsidR="00310328">
        <w:t xml:space="preserve">he five regulatory years </w:t>
      </w:r>
      <w:proofErr w:type="gramStart"/>
      <w:r w:rsidR="00310328">
        <w:t>between 2014</w:t>
      </w:r>
      <w:r w:rsidR="00973A8B">
        <w:t>–</w:t>
      </w:r>
      <w:r w:rsidR="00B05FFC">
        <w:t>20</w:t>
      </w:r>
      <w:r w:rsidR="00310328">
        <w:t>19</w:t>
      </w:r>
      <w:proofErr w:type="gramEnd"/>
      <w:r w:rsidR="00310328">
        <w:t xml:space="preserve"> are split over two regulatory control periods (a transitional regulatory control period from 2014</w:t>
      </w:r>
      <w:r w:rsidR="00973A8B">
        <w:t>–</w:t>
      </w:r>
      <w:r w:rsidR="00B05FFC">
        <w:t>20</w:t>
      </w:r>
      <w:r w:rsidR="00310328">
        <w:t>15 and then a subsequent regulatory control period from 2015</w:t>
      </w:r>
      <w:r w:rsidR="00973A8B">
        <w:t>–</w:t>
      </w:r>
      <w:r w:rsidR="00310328">
        <w:t>19)</w:t>
      </w:r>
      <w:r w:rsidR="00973A8B">
        <w:t>. However</w:t>
      </w:r>
      <w:r w:rsidR="00310328">
        <w:t>, the NER expressly provides that when we determine the opening value of the regulatory asset base for this five year period we should do so as if the two periods were combined.</w:t>
      </w:r>
      <w:r w:rsidR="00310328">
        <w:rPr>
          <w:rStyle w:val="FootnoteReference"/>
        </w:rPr>
        <w:footnoteReference w:id="10"/>
      </w:r>
      <w:r w:rsidR="00310328">
        <w:t xml:space="preserve"> </w:t>
      </w:r>
      <w:r w:rsidRPr="0075167F">
        <w:t>The roll forward occurs for each year by:</w:t>
      </w:r>
    </w:p>
    <w:p w:rsidR="0075167F" w:rsidRPr="0075167F" w:rsidRDefault="00D07A8F" w:rsidP="0075167F">
      <w:pPr>
        <w:pStyle w:val="AERbulletlistfirststyle"/>
      </w:pPr>
      <w:r>
        <w:t>A</w:t>
      </w:r>
      <w:r w:rsidRPr="0075167F">
        <w:t xml:space="preserve">dding </w:t>
      </w:r>
      <w:r w:rsidR="0075167F" w:rsidRPr="0075167F">
        <w:t xml:space="preserve">an inflation (indexation) adjustment </w:t>
      </w:r>
      <w:r w:rsidR="00FC1C7A">
        <w:t xml:space="preserve">to the opening RAB </w:t>
      </w:r>
      <w:r w:rsidR="0075167F" w:rsidRPr="0075167F">
        <w:t>for the relevant year. This adjustment must be consistent with the inflation factor used in the control mechanism.</w:t>
      </w:r>
      <w:r w:rsidR="0075167F">
        <w:rPr>
          <w:rStyle w:val="FootnoteReference"/>
        </w:rPr>
        <w:footnoteReference w:id="11"/>
      </w:r>
    </w:p>
    <w:p w:rsidR="00023CB5" w:rsidRPr="0075167F" w:rsidRDefault="00D07A8F" w:rsidP="00023CB5">
      <w:pPr>
        <w:pStyle w:val="AERbulletlistfirststyle"/>
      </w:pPr>
      <w:r>
        <w:t>A</w:t>
      </w:r>
      <w:r w:rsidRPr="0075167F">
        <w:t xml:space="preserve">dding </w:t>
      </w:r>
      <w:proofErr w:type="spellStart"/>
      <w:r w:rsidR="00023CB5" w:rsidRPr="0075167F">
        <w:t>capex</w:t>
      </w:r>
      <w:proofErr w:type="spellEnd"/>
      <w:r w:rsidR="00023CB5">
        <w:t xml:space="preserve"> to the RAB</w:t>
      </w:r>
      <w:r w:rsidR="00023CB5" w:rsidRPr="0075167F">
        <w:t xml:space="preserve"> for the relevant year.</w:t>
      </w:r>
      <w:r w:rsidR="00023CB5">
        <w:rPr>
          <w:rStyle w:val="FootnoteReference"/>
        </w:rPr>
        <w:footnoteReference w:id="12"/>
      </w:r>
      <w:r w:rsidR="00023CB5" w:rsidRPr="0075167F">
        <w:t xml:space="preserve"> </w:t>
      </w:r>
      <w:r w:rsidR="000E2656">
        <w:t>In future determinations, t</w:t>
      </w:r>
      <w:r w:rsidR="001872D0">
        <w:t xml:space="preserve">he NER allows us to review a </w:t>
      </w:r>
      <w:r w:rsidR="005A3A41">
        <w:t>service provider</w:t>
      </w:r>
      <w:r w:rsidR="001872D0" w:rsidRPr="00BA2044">
        <w:t xml:space="preserve">'s past </w:t>
      </w:r>
      <w:proofErr w:type="spellStart"/>
      <w:r w:rsidR="001872D0" w:rsidRPr="00BA2044">
        <w:t>capex</w:t>
      </w:r>
      <w:proofErr w:type="spellEnd"/>
      <w:r w:rsidR="001872D0" w:rsidRPr="00BA2044">
        <w:t xml:space="preserve"> and exclude inefficient past </w:t>
      </w:r>
      <w:proofErr w:type="spellStart"/>
      <w:r w:rsidR="001872D0" w:rsidRPr="00BA2044">
        <w:t>capex</w:t>
      </w:r>
      <w:proofErr w:type="spellEnd"/>
      <w:r w:rsidR="001872D0" w:rsidRPr="00BA2044">
        <w:t xml:space="preserve"> from being rolled into the RAB.</w:t>
      </w:r>
      <w:r w:rsidR="001872D0">
        <w:rPr>
          <w:rStyle w:val="FootnoteReference"/>
        </w:rPr>
        <w:footnoteReference w:id="13"/>
      </w:r>
      <w:r w:rsidR="001872D0" w:rsidRPr="00BA2044">
        <w:t xml:space="preserve"> We note that under the transitional rules, the review of past </w:t>
      </w:r>
      <w:proofErr w:type="spellStart"/>
      <w:r w:rsidR="001872D0" w:rsidRPr="00BA2044">
        <w:t>capex</w:t>
      </w:r>
      <w:proofErr w:type="spellEnd"/>
      <w:r w:rsidR="001872D0" w:rsidRPr="00BA2044">
        <w:t xml:space="preserve"> does not apply to </w:t>
      </w:r>
      <w:r w:rsidR="005A3A41">
        <w:t>Essential</w:t>
      </w:r>
      <w:r w:rsidR="001872D0">
        <w:t xml:space="preserve"> Energy</w:t>
      </w:r>
      <w:r w:rsidR="000E2656">
        <w:t xml:space="preserve"> prior to 1 July 2015</w:t>
      </w:r>
      <w:r w:rsidR="001872D0" w:rsidRPr="00BA2044">
        <w:t>.</w:t>
      </w:r>
      <w:r w:rsidR="001872D0">
        <w:rPr>
          <w:rStyle w:val="FootnoteReference"/>
        </w:rPr>
        <w:footnoteReference w:id="14"/>
      </w:r>
      <w:r w:rsidR="001872D0">
        <w:t xml:space="preserve"> </w:t>
      </w:r>
      <w:r w:rsidR="001872D0" w:rsidRPr="00BA2044">
        <w:t xml:space="preserve">Therefore, for the purposes of this draft decision, we will add </w:t>
      </w:r>
      <w:r w:rsidR="005A3A41">
        <w:t>Essential</w:t>
      </w:r>
      <w:r w:rsidR="001872D0">
        <w:t xml:space="preserve"> Energy</w:t>
      </w:r>
      <w:r w:rsidR="001872D0" w:rsidRPr="00BA2044">
        <w:t xml:space="preserve">'s actual or estimated </w:t>
      </w:r>
      <w:proofErr w:type="spellStart"/>
      <w:r w:rsidR="001872D0" w:rsidRPr="00BA2044">
        <w:t>capex</w:t>
      </w:r>
      <w:proofErr w:type="spellEnd"/>
      <w:r w:rsidR="001872D0" w:rsidRPr="00BA2044">
        <w:t xml:space="preserve"> in the </w:t>
      </w:r>
      <w:r w:rsidR="000E2656">
        <w:t xml:space="preserve">2009–14 </w:t>
      </w:r>
      <w:r w:rsidR="001872D0" w:rsidRPr="00BA2044">
        <w:t xml:space="preserve">regulatory control </w:t>
      </w:r>
      <w:proofErr w:type="gramStart"/>
      <w:r w:rsidR="001872D0" w:rsidRPr="00BA2044">
        <w:t>period</w:t>
      </w:r>
      <w:proofErr w:type="gramEnd"/>
      <w:r w:rsidR="001872D0" w:rsidRPr="00BA2044">
        <w:t xml:space="preserve"> to the RAB.</w:t>
      </w:r>
      <w:r w:rsidR="00023CB5" w:rsidRPr="0075167F">
        <w:t xml:space="preserve"> </w:t>
      </w:r>
      <w:r w:rsidR="00023CB5">
        <w:t>We</w:t>
      </w:r>
      <w:r w:rsidR="00023CB5" w:rsidRPr="0075167F">
        <w:t xml:space="preserve"> check actual </w:t>
      </w:r>
      <w:proofErr w:type="spellStart"/>
      <w:r w:rsidR="00023CB5" w:rsidRPr="0075167F">
        <w:t>capex</w:t>
      </w:r>
      <w:proofErr w:type="spellEnd"/>
      <w:r w:rsidR="00023CB5" w:rsidRPr="0075167F">
        <w:t xml:space="preserve"> amounts against </w:t>
      </w:r>
      <w:r w:rsidR="001872D0">
        <w:t xml:space="preserve">audited </w:t>
      </w:r>
      <w:r w:rsidR="00023CB5">
        <w:t xml:space="preserve">annual reporting </w:t>
      </w:r>
      <w:r w:rsidR="00023CB5" w:rsidRPr="0075167F">
        <w:t xml:space="preserve">regulatory </w:t>
      </w:r>
      <w:r w:rsidR="00023CB5">
        <w:t>information notice</w:t>
      </w:r>
      <w:r w:rsidR="00023CB5" w:rsidRPr="0075167F">
        <w:t xml:space="preserve"> </w:t>
      </w:r>
      <w:r w:rsidR="00023CB5">
        <w:t xml:space="preserve">(RIN) </w:t>
      </w:r>
      <w:r w:rsidR="00023CB5" w:rsidRPr="0075167F">
        <w:t xml:space="preserve">data and generally accept the </w:t>
      </w:r>
      <w:proofErr w:type="spellStart"/>
      <w:r w:rsidR="00023CB5" w:rsidRPr="0075167F">
        <w:t>capex</w:t>
      </w:r>
      <w:proofErr w:type="spellEnd"/>
      <w:r w:rsidR="00023CB5" w:rsidRPr="0075167F">
        <w:t xml:space="preserve"> reported in those </w:t>
      </w:r>
      <w:r w:rsidR="00023CB5">
        <w:t>RINs</w:t>
      </w:r>
      <w:r w:rsidR="00023CB5" w:rsidRPr="0075167F">
        <w:t xml:space="preserve"> in rolling forward the RAB. However, there may be instances where adjustments are </w:t>
      </w:r>
      <w:r w:rsidR="00023CB5">
        <w:t>required</w:t>
      </w:r>
      <w:r w:rsidR="00023CB5" w:rsidRPr="0075167F">
        <w:t xml:space="preserve"> to the </w:t>
      </w:r>
      <w:r w:rsidR="00023CB5">
        <w:t>annual reporting RIN</w:t>
      </w:r>
      <w:r w:rsidR="00023CB5" w:rsidRPr="0075167F">
        <w:t xml:space="preserve"> data because it is not fit for purpose due to a particular issue.</w:t>
      </w:r>
      <w:r w:rsidR="00023CB5">
        <w:t xml:space="preserve"> </w:t>
      </w:r>
    </w:p>
    <w:p w:rsidR="0075167F" w:rsidRPr="0075167F" w:rsidRDefault="001872D0" w:rsidP="006B735D">
      <w:pPr>
        <w:pStyle w:val="AERbulletlistfirststyle"/>
      </w:pPr>
      <w:r>
        <w:t>S</w:t>
      </w:r>
      <w:r w:rsidRPr="0075167F">
        <w:t xml:space="preserve">ubtracting </w:t>
      </w:r>
      <w:r w:rsidR="0075167F" w:rsidRPr="0075167F">
        <w:t xml:space="preserve">depreciation </w:t>
      </w:r>
      <w:r w:rsidR="009C544E">
        <w:t xml:space="preserve">from the RAB </w:t>
      </w:r>
      <w:r w:rsidR="0075167F" w:rsidRPr="0075167F">
        <w:t>for the relevant year</w:t>
      </w:r>
      <w:r>
        <w:t>,</w:t>
      </w:r>
      <w:r w:rsidRPr="00DF0243">
        <w:t xml:space="preserve"> calculated in accordance with the</w:t>
      </w:r>
      <w:r w:rsidR="000E2656">
        <w:t xml:space="preserve"> relevant</w:t>
      </w:r>
      <w:r w:rsidRPr="00DF0243">
        <w:t xml:space="preserve"> </w:t>
      </w:r>
      <w:r>
        <w:t>distribution</w:t>
      </w:r>
      <w:r w:rsidRPr="00DF0243">
        <w:t xml:space="preserve"> determination for </w:t>
      </w:r>
      <w:r w:rsidR="000E2656">
        <w:t>that year</w:t>
      </w:r>
      <w:r w:rsidRPr="0075167F">
        <w:t>.</w:t>
      </w:r>
      <w:r>
        <w:rPr>
          <w:rStyle w:val="FootnoteReference"/>
        </w:rPr>
        <w:footnoteReference w:id="15"/>
      </w:r>
      <w:r w:rsidR="0075167F" w:rsidRPr="0075167F">
        <w:t xml:space="preserve"> Depreciation based on forecast or actual </w:t>
      </w:r>
      <w:proofErr w:type="spellStart"/>
      <w:r w:rsidR="0075167F" w:rsidRPr="0075167F">
        <w:t>capex</w:t>
      </w:r>
      <w:proofErr w:type="spellEnd"/>
      <w:r w:rsidR="0075167F" w:rsidRPr="0075167F">
        <w:t xml:space="preserve"> can be used to roll forward the RAB.</w:t>
      </w:r>
      <w:r w:rsidR="004C4439">
        <w:rPr>
          <w:rStyle w:val="FootnoteReference"/>
        </w:rPr>
        <w:footnoteReference w:id="16"/>
      </w:r>
      <w:r w:rsidR="0075167F" w:rsidRPr="0075167F">
        <w:t xml:space="preserve"> By default the RFM applies the depreciation approach based on actual </w:t>
      </w:r>
      <w:proofErr w:type="spellStart"/>
      <w:r w:rsidR="0075167F" w:rsidRPr="0075167F">
        <w:t>capex</w:t>
      </w:r>
      <w:proofErr w:type="spellEnd"/>
      <w:r w:rsidR="0075167F" w:rsidRPr="0075167F">
        <w:t>, although this can be modified to apply a</w:t>
      </w:r>
      <w:r w:rsidR="0075167F">
        <w:t xml:space="preserve"> depreciation approach </w:t>
      </w:r>
      <w:r>
        <w:t xml:space="preserve">based on forecast </w:t>
      </w:r>
      <w:r w:rsidR="00850BFE">
        <w:t xml:space="preserve">if </w:t>
      </w:r>
      <w:r w:rsidR="0075167F" w:rsidRPr="0075167F">
        <w:t>necessary.</w:t>
      </w:r>
      <w:r w:rsidR="006B735D">
        <w:t xml:space="preserve"> </w:t>
      </w:r>
      <w:r w:rsidR="006B735D" w:rsidRPr="006B735D">
        <w:t xml:space="preserve">For this draft decision, we use depreciation based on actual </w:t>
      </w:r>
      <w:proofErr w:type="spellStart"/>
      <w:r w:rsidR="006B735D" w:rsidRPr="006B735D">
        <w:t>capex</w:t>
      </w:r>
      <w:proofErr w:type="spellEnd"/>
      <w:r w:rsidR="006B735D" w:rsidRPr="006B735D">
        <w:t xml:space="preserve"> for rolling forward </w:t>
      </w:r>
      <w:r>
        <w:t>Essential Energy</w:t>
      </w:r>
      <w:r w:rsidR="006B735D" w:rsidRPr="006B735D">
        <w:t xml:space="preserve">'s RAB </w:t>
      </w:r>
      <w:r w:rsidR="006B735D">
        <w:t>values over the 2009–14 regulatory control period</w:t>
      </w:r>
      <w:r w:rsidR="006B735D" w:rsidRPr="006B735D">
        <w:t>.</w:t>
      </w:r>
      <w:r w:rsidR="006B735D">
        <w:rPr>
          <w:rStyle w:val="FootnoteReference"/>
        </w:rPr>
        <w:footnoteReference w:id="17"/>
      </w:r>
    </w:p>
    <w:p w:rsidR="0075167F" w:rsidRDefault="001872D0" w:rsidP="0075167F">
      <w:pPr>
        <w:pStyle w:val="AERbulletlistfirststyle"/>
      </w:pPr>
      <w:r>
        <w:t>S</w:t>
      </w:r>
      <w:r w:rsidRPr="0075167F">
        <w:t xml:space="preserve">ubtracting </w:t>
      </w:r>
      <w:r w:rsidR="0075167F" w:rsidRPr="0075167F">
        <w:t>any disposals and capital contrib</w:t>
      </w:r>
      <w:r w:rsidR="00850BFE">
        <w:t>utions</w:t>
      </w:r>
      <w:r w:rsidR="009C544E">
        <w:t xml:space="preserve"> from the RAB</w:t>
      </w:r>
      <w:r w:rsidR="00850BFE">
        <w:t xml:space="preserve"> for the relevant year.</w:t>
      </w:r>
      <w:r w:rsidR="00850BFE">
        <w:rPr>
          <w:rStyle w:val="FootnoteReference"/>
        </w:rPr>
        <w:footnoteReference w:id="18"/>
      </w:r>
      <w:r w:rsidR="0075167F" w:rsidRPr="0075167F">
        <w:t xml:space="preserve"> </w:t>
      </w:r>
      <w:r w:rsidR="00850BFE">
        <w:t xml:space="preserve">We </w:t>
      </w:r>
      <w:r w:rsidR="0075167F" w:rsidRPr="0075167F">
        <w:t xml:space="preserve">check these amounts against </w:t>
      </w:r>
      <w:r>
        <w:t xml:space="preserve">audited </w:t>
      </w:r>
      <w:r w:rsidR="0018730B">
        <w:t xml:space="preserve">annual reporting </w:t>
      </w:r>
      <w:r w:rsidR="00850BFE">
        <w:t xml:space="preserve">RIN </w:t>
      </w:r>
      <w:r w:rsidR="0075167F" w:rsidRPr="0075167F">
        <w:t>data.</w:t>
      </w:r>
    </w:p>
    <w:p w:rsidR="00850BFE" w:rsidRDefault="00850BFE" w:rsidP="00850BFE">
      <w:pPr>
        <w:pStyle w:val="AERbulletlistfirststyle"/>
        <w:numPr>
          <w:ilvl w:val="0"/>
          <w:numId w:val="0"/>
        </w:numPr>
        <w:rPr>
          <w:rStyle w:val="AERbody"/>
        </w:rPr>
      </w:pPr>
      <w:r w:rsidRPr="00850BFE">
        <w:rPr>
          <w:rStyle w:val="AERbody"/>
        </w:rPr>
        <w:lastRenderedPageBreak/>
        <w:t xml:space="preserve">These annual adjustments give the closing RAB for any particular year, </w:t>
      </w:r>
      <w:r w:rsidR="001872D0">
        <w:rPr>
          <w:rStyle w:val="AERbody"/>
        </w:rPr>
        <w:t>which</w:t>
      </w:r>
      <w:r w:rsidR="001872D0" w:rsidRPr="00850BFE">
        <w:rPr>
          <w:rStyle w:val="AERbody"/>
        </w:rPr>
        <w:t xml:space="preserve"> </w:t>
      </w:r>
      <w:r w:rsidRPr="00850BFE">
        <w:rPr>
          <w:rStyle w:val="AERbody"/>
        </w:rPr>
        <w:t xml:space="preserve">then becomes the opening RAB for the following year. Through this process the RFM rolls forward the RAB to the end of the </w:t>
      </w:r>
      <w:r w:rsidR="00206C0B">
        <w:rPr>
          <w:rStyle w:val="AERbody"/>
        </w:rPr>
        <w:t xml:space="preserve">2009–14 </w:t>
      </w:r>
      <w:r w:rsidRPr="00850BFE">
        <w:rPr>
          <w:rStyle w:val="AERbody"/>
        </w:rPr>
        <w:t xml:space="preserve">regulatory control </w:t>
      </w:r>
      <w:proofErr w:type="gramStart"/>
      <w:r w:rsidRPr="00850BFE">
        <w:rPr>
          <w:rStyle w:val="AERbody"/>
        </w:rPr>
        <w:t>period</w:t>
      </w:r>
      <w:proofErr w:type="gramEnd"/>
      <w:r w:rsidRPr="00850BFE">
        <w:rPr>
          <w:rStyle w:val="AERbody"/>
        </w:rPr>
        <w:t xml:space="preserve">. The PTRM used to calculate the annual revenue requirement for the </w:t>
      </w:r>
      <w:r w:rsidR="00310328">
        <w:rPr>
          <w:rStyle w:val="AERbody"/>
        </w:rPr>
        <w:t>2014</w:t>
      </w:r>
      <w:r w:rsidR="00973A8B">
        <w:rPr>
          <w:rStyle w:val="AERbody"/>
        </w:rPr>
        <w:t>–</w:t>
      </w:r>
      <w:r w:rsidR="00310328">
        <w:rPr>
          <w:rStyle w:val="AERbody"/>
        </w:rPr>
        <w:t>19 period</w:t>
      </w:r>
      <w:r w:rsidRPr="00850BFE">
        <w:rPr>
          <w:rStyle w:val="AERbody"/>
        </w:rPr>
        <w:t xml:space="preserve"> generally adopts the same </w:t>
      </w:r>
      <w:r w:rsidR="00206C0B">
        <w:rPr>
          <w:rStyle w:val="AERbody"/>
        </w:rPr>
        <w:t xml:space="preserve">RAB </w:t>
      </w:r>
      <w:r w:rsidRPr="00850BFE">
        <w:rPr>
          <w:rStyle w:val="AERbody"/>
        </w:rPr>
        <w:t>roll forward approach as the RFM, although the annual adjustments to the RAB are based on forecasts, rather than actual amounts.</w:t>
      </w:r>
    </w:p>
    <w:p w:rsidR="004C4439" w:rsidRDefault="004C4439" w:rsidP="00850BFE">
      <w:pPr>
        <w:pStyle w:val="AERbulletlistfirststyle"/>
        <w:numPr>
          <w:ilvl w:val="0"/>
          <w:numId w:val="0"/>
        </w:numPr>
        <w:rPr>
          <w:rStyle w:val="AERbody"/>
        </w:rPr>
      </w:pPr>
      <w:r>
        <w:rPr>
          <w:rStyle w:val="AERbody"/>
        </w:rPr>
        <w:t>W</w:t>
      </w:r>
      <w:r w:rsidRPr="004C4439">
        <w:rPr>
          <w:rStyle w:val="AERbody"/>
        </w:rPr>
        <w:t xml:space="preserve">e are required to decide whether depreciation for establishing the service provider's RAB as at the commencement of the 2019–24 regulatory control period is to be based on actual or forecast </w:t>
      </w:r>
      <w:proofErr w:type="spellStart"/>
      <w:r w:rsidRPr="004C4439">
        <w:rPr>
          <w:rStyle w:val="AERbody"/>
        </w:rPr>
        <w:t>capex</w:t>
      </w:r>
      <w:proofErr w:type="spellEnd"/>
      <w:r w:rsidRPr="004C4439">
        <w:rPr>
          <w:rStyle w:val="AERbody"/>
        </w:rPr>
        <w:t>.</w:t>
      </w:r>
      <w:r w:rsidRPr="004C4439">
        <w:rPr>
          <w:rStyle w:val="FootnoteReference"/>
        </w:rPr>
        <w:footnoteReference w:id="19"/>
      </w:r>
    </w:p>
    <w:p w:rsidR="004C4439" w:rsidRDefault="00206C0B" w:rsidP="00850BFE">
      <w:pPr>
        <w:pStyle w:val="AERbulletlistfirststyle"/>
        <w:numPr>
          <w:ilvl w:val="0"/>
          <w:numId w:val="0"/>
        </w:numPr>
        <w:rPr>
          <w:rStyle w:val="AERbody"/>
        </w:rPr>
      </w:pPr>
      <w:r w:rsidRPr="00206C0B">
        <w:rPr>
          <w:rStyle w:val="AERbody"/>
        </w:rPr>
        <w:t>The opening RAB for the 20</w:t>
      </w:r>
      <w:r>
        <w:rPr>
          <w:rStyle w:val="AERbody"/>
        </w:rPr>
        <w:t>19</w:t>
      </w:r>
      <w:r w:rsidRPr="00206C0B">
        <w:rPr>
          <w:rStyle w:val="AERbody"/>
        </w:rPr>
        <w:t>–2</w:t>
      </w:r>
      <w:r>
        <w:rPr>
          <w:rStyle w:val="AERbody"/>
        </w:rPr>
        <w:t>4</w:t>
      </w:r>
      <w:r w:rsidRPr="00206C0B">
        <w:rPr>
          <w:rStyle w:val="AERbody"/>
        </w:rPr>
        <w:t xml:space="preserve"> regulatory control period can be determined using depreciation based either on forecast or actual </w:t>
      </w:r>
      <w:proofErr w:type="spellStart"/>
      <w:r w:rsidRPr="00206C0B">
        <w:rPr>
          <w:rStyle w:val="AERbody"/>
        </w:rPr>
        <w:t>capex</w:t>
      </w:r>
      <w:proofErr w:type="spellEnd"/>
      <w:r w:rsidRPr="00206C0B">
        <w:rPr>
          <w:rStyle w:val="AERbody"/>
        </w:rPr>
        <w:t xml:space="preserve"> incurred during the </w:t>
      </w:r>
      <w:r w:rsidR="00310328">
        <w:rPr>
          <w:rStyle w:val="AERbody"/>
        </w:rPr>
        <w:t>2014</w:t>
      </w:r>
      <w:r w:rsidR="00973A8B">
        <w:rPr>
          <w:rStyle w:val="AERbody"/>
        </w:rPr>
        <w:t>–</w:t>
      </w:r>
      <w:r w:rsidR="00310328">
        <w:rPr>
          <w:rStyle w:val="AERbody"/>
        </w:rPr>
        <w:t>19 period</w:t>
      </w:r>
      <w:r w:rsidRPr="00206C0B">
        <w:rPr>
          <w:rStyle w:val="AERbody"/>
        </w:rPr>
        <w:t>. To</w:t>
      </w:r>
      <w:r>
        <w:rPr>
          <w:rStyle w:val="AERbody"/>
        </w:rPr>
        <w:t xml:space="preserve"> </w:t>
      </w:r>
      <w:r w:rsidRPr="00206C0B">
        <w:rPr>
          <w:rStyle w:val="AERbody"/>
        </w:rPr>
        <w:t xml:space="preserve">roll forward the RAB using depreciation based on forecast </w:t>
      </w:r>
      <w:proofErr w:type="spellStart"/>
      <w:r w:rsidRPr="00206C0B">
        <w:rPr>
          <w:rStyle w:val="AERbody"/>
        </w:rPr>
        <w:t>capex</w:t>
      </w:r>
      <w:proofErr w:type="spellEnd"/>
      <w:r w:rsidRPr="00206C0B">
        <w:rPr>
          <w:rStyle w:val="AERbody"/>
        </w:rPr>
        <w:t xml:space="preserve">, </w:t>
      </w:r>
      <w:r>
        <w:rPr>
          <w:rStyle w:val="AERbody"/>
        </w:rPr>
        <w:t>we</w:t>
      </w:r>
      <w:r w:rsidRPr="00206C0B">
        <w:rPr>
          <w:rStyle w:val="AERbody"/>
        </w:rPr>
        <w:t xml:space="preserve"> would use the forecast depreciation contained in the PTRM for the </w:t>
      </w:r>
      <w:r w:rsidR="00310328">
        <w:rPr>
          <w:rStyle w:val="AERbody"/>
        </w:rPr>
        <w:t>2014</w:t>
      </w:r>
      <w:r w:rsidR="00973A8B">
        <w:rPr>
          <w:rStyle w:val="AERbody"/>
        </w:rPr>
        <w:t>–</w:t>
      </w:r>
      <w:r w:rsidR="00310328">
        <w:rPr>
          <w:rStyle w:val="AERbody"/>
        </w:rPr>
        <w:t>19 period</w:t>
      </w:r>
      <w:r w:rsidRPr="00206C0B">
        <w:rPr>
          <w:rStyle w:val="AERbody"/>
        </w:rPr>
        <w:t xml:space="preserve">, adjusted for actual inflation. If the approach to roll forward the RAB using depreciation based on actual </w:t>
      </w:r>
      <w:proofErr w:type="spellStart"/>
      <w:r w:rsidRPr="00206C0B">
        <w:rPr>
          <w:rStyle w:val="AERbody"/>
        </w:rPr>
        <w:t>capex</w:t>
      </w:r>
      <w:proofErr w:type="spellEnd"/>
      <w:r w:rsidRPr="00206C0B">
        <w:rPr>
          <w:rStyle w:val="AERbody"/>
        </w:rPr>
        <w:t xml:space="preserve"> was adopted, </w:t>
      </w:r>
      <w:r>
        <w:rPr>
          <w:rStyle w:val="AERbody"/>
        </w:rPr>
        <w:t>we</w:t>
      </w:r>
      <w:r w:rsidRPr="00206C0B">
        <w:rPr>
          <w:rStyle w:val="AERbody"/>
        </w:rPr>
        <w:t xml:space="preserve"> would recalculate the depreciation based on actual </w:t>
      </w:r>
      <w:proofErr w:type="spellStart"/>
      <w:r w:rsidRPr="00206C0B">
        <w:rPr>
          <w:rStyle w:val="AERbody"/>
        </w:rPr>
        <w:t>capex</w:t>
      </w:r>
      <w:proofErr w:type="spellEnd"/>
      <w:r w:rsidRPr="00206C0B">
        <w:rPr>
          <w:rStyle w:val="AERbody"/>
        </w:rPr>
        <w:t xml:space="preserve"> incurred during the </w:t>
      </w:r>
      <w:r w:rsidR="00310328">
        <w:rPr>
          <w:rStyle w:val="AERbody"/>
        </w:rPr>
        <w:t>2014</w:t>
      </w:r>
      <w:r w:rsidR="00973A8B">
        <w:rPr>
          <w:rStyle w:val="AERbody"/>
        </w:rPr>
        <w:t>–</w:t>
      </w:r>
      <w:r w:rsidR="00310328">
        <w:rPr>
          <w:rStyle w:val="AERbody"/>
        </w:rPr>
        <w:t>19 period</w:t>
      </w:r>
      <w:r w:rsidRPr="00206C0B">
        <w:rPr>
          <w:rStyle w:val="AERbody"/>
        </w:rPr>
        <w:t xml:space="preserve">. </w:t>
      </w:r>
    </w:p>
    <w:p w:rsidR="001872D0" w:rsidRDefault="001872D0" w:rsidP="00850BFE">
      <w:pPr>
        <w:pStyle w:val="AERbulletlistfirststyle"/>
        <w:numPr>
          <w:ilvl w:val="0"/>
          <w:numId w:val="0"/>
        </w:numPr>
        <w:rPr>
          <w:rStyle w:val="AERbody"/>
        </w:rPr>
      </w:pPr>
      <w:r w:rsidRPr="001872D0">
        <w:rPr>
          <w:rStyle w:val="AERbody"/>
        </w:rPr>
        <w:t xml:space="preserve">Our decision on whether to use actual or forecast depreciation must be consistent with the </w:t>
      </w:r>
      <w:proofErr w:type="spellStart"/>
      <w:r w:rsidRPr="001872D0">
        <w:rPr>
          <w:rStyle w:val="AERbody"/>
        </w:rPr>
        <w:t>capex</w:t>
      </w:r>
      <w:proofErr w:type="spellEnd"/>
      <w:r w:rsidRPr="001872D0">
        <w:rPr>
          <w:rStyle w:val="AERbody"/>
        </w:rPr>
        <w:t xml:space="preserve"> incentive objective. We must have </w:t>
      </w:r>
      <w:proofErr w:type="gramStart"/>
      <w:r w:rsidRPr="001872D0">
        <w:rPr>
          <w:rStyle w:val="AERbody"/>
        </w:rPr>
        <w:t>regard</w:t>
      </w:r>
      <w:proofErr w:type="gramEnd"/>
      <w:r w:rsidRPr="001872D0">
        <w:rPr>
          <w:rStyle w:val="AERbody"/>
        </w:rPr>
        <w:t xml:space="preserve"> to:</w:t>
      </w:r>
      <w:r w:rsidRPr="001872D0">
        <w:rPr>
          <w:rStyle w:val="FootnoteReference"/>
        </w:rPr>
        <w:footnoteReference w:id="20"/>
      </w:r>
    </w:p>
    <w:p w:rsidR="001872D0" w:rsidRPr="00CC5F58" w:rsidRDefault="001872D0" w:rsidP="001872D0">
      <w:pPr>
        <w:pStyle w:val="AERbulletlistfirststyle"/>
        <w:rPr>
          <w:rStyle w:val="AERbody"/>
        </w:rPr>
      </w:pPr>
      <w:r w:rsidRPr="00CC5F58">
        <w:rPr>
          <w:rStyle w:val="AERbody"/>
        </w:rPr>
        <w:t xml:space="preserve">any other incentives the </w:t>
      </w:r>
      <w:r w:rsidR="006C41B9">
        <w:rPr>
          <w:rStyle w:val="AERbody"/>
        </w:rPr>
        <w:t>service provider</w:t>
      </w:r>
      <w:r w:rsidRPr="00CC5F58">
        <w:rPr>
          <w:rStyle w:val="AERbody"/>
        </w:rPr>
        <w:t xml:space="preserve"> has to undertake efficient </w:t>
      </w:r>
      <w:proofErr w:type="spellStart"/>
      <w:r w:rsidRPr="00CC5F58">
        <w:rPr>
          <w:rStyle w:val="AERbody"/>
        </w:rPr>
        <w:t>capex</w:t>
      </w:r>
      <w:proofErr w:type="spellEnd"/>
    </w:p>
    <w:p w:rsidR="001872D0" w:rsidRPr="00CC5F58" w:rsidRDefault="001872D0" w:rsidP="001872D0">
      <w:pPr>
        <w:pStyle w:val="AERbulletlistfirststyle"/>
        <w:rPr>
          <w:rStyle w:val="AERbody"/>
        </w:rPr>
      </w:pPr>
      <w:r w:rsidRPr="00CC5F58">
        <w:rPr>
          <w:rStyle w:val="AERbody"/>
        </w:rPr>
        <w:t>substitution possibilities between assets with different lives</w:t>
      </w:r>
    </w:p>
    <w:p w:rsidR="001872D0" w:rsidRPr="00CC5F58" w:rsidRDefault="001872D0" w:rsidP="001872D0">
      <w:pPr>
        <w:pStyle w:val="AERbulletlistfirststyle"/>
        <w:rPr>
          <w:rStyle w:val="AERbody"/>
        </w:rPr>
      </w:pPr>
      <w:r w:rsidRPr="00CC5F58">
        <w:rPr>
          <w:rStyle w:val="AERbody"/>
        </w:rPr>
        <w:t>the extent of overspending and inefficient overspending relative to the allowed forecast</w:t>
      </w:r>
    </w:p>
    <w:p w:rsidR="001872D0" w:rsidRDefault="001872D0" w:rsidP="001872D0">
      <w:pPr>
        <w:pStyle w:val="AERbulletlistfirststyle"/>
        <w:rPr>
          <w:rStyle w:val="AERbody"/>
        </w:rPr>
      </w:pPr>
      <w:r>
        <w:rPr>
          <w:rStyle w:val="AERbody"/>
        </w:rPr>
        <w:t xml:space="preserve">the </w:t>
      </w:r>
      <w:proofErr w:type="spellStart"/>
      <w:r>
        <w:rPr>
          <w:rStyle w:val="AERbody"/>
        </w:rPr>
        <w:t>capex</w:t>
      </w:r>
      <w:proofErr w:type="spellEnd"/>
      <w:r>
        <w:rPr>
          <w:rStyle w:val="AERbody"/>
        </w:rPr>
        <w:t xml:space="preserve"> incentive guideline</w:t>
      </w:r>
    </w:p>
    <w:p w:rsidR="001872D0" w:rsidRPr="00850BFE" w:rsidRDefault="001872D0" w:rsidP="006C41B9">
      <w:pPr>
        <w:pStyle w:val="AERbulletlistfirststyle"/>
        <w:rPr>
          <w:rStyle w:val="AERbody"/>
          <w:lang w:eastAsia="en-AU"/>
        </w:rPr>
      </w:pPr>
      <w:proofErr w:type="gramStart"/>
      <w:r w:rsidRPr="00CC5F58">
        <w:rPr>
          <w:rStyle w:val="AERbody"/>
        </w:rPr>
        <w:t>the</w:t>
      </w:r>
      <w:proofErr w:type="gramEnd"/>
      <w:r w:rsidRPr="00CC5F58">
        <w:rPr>
          <w:rStyle w:val="AERbody"/>
        </w:rPr>
        <w:t xml:space="preserve"> capital expenditure factors.</w:t>
      </w:r>
    </w:p>
    <w:p w:rsidR="00D97003" w:rsidRDefault="00D97003" w:rsidP="00D97003">
      <w:pPr>
        <w:pStyle w:val="Heading3"/>
      </w:pPr>
      <w:bookmarkStart w:id="20" w:name="_Toc387916799"/>
      <w:bookmarkStart w:id="21" w:name="_Toc404324612"/>
      <w:r w:rsidRPr="00E94C06">
        <w:t>Interrelationships</w:t>
      </w:r>
      <w:bookmarkEnd w:id="20"/>
      <w:bookmarkEnd w:id="21"/>
      <w:r w:rsidRPr="00E94C06">
        <w:t xml:space="preserve"> </w:t>
      </w:r>
    </w:p>
    <w:p w:rsidR="008C3A61" w:rsidRPr="008C3A61" w:rsidRDefault="008C3A61" w:rsidP="008C3A61">
      <w:pPr>
        <w:pStyle w:val="AERbodytext"/>
      </w:pPr>
      <w:r w:rsidRPr="008C3A61">
        <w:t xml:space="preserve">The RAB is an input into the determination of the return on capital and depreciation (return of capital) </w:t>
      </w:r>
      <w:r w:rsidR="000E2656">
        <w:t xml:space="preserve">building block </w:t>
      </w:r>
      <w:r w:rsidRPr="008C3A61">
        <w:t>allowances.</w:t>
      </w:r>
      <w:r>
        <w:rPr>
          <w:rStyle w:val="FootnoteReference"/>
        </w:rPr>
        <w:footnoteReference w:id="21"/>
      </w:r>
      <w:r w:rsidRPr="008C3A61">
        <w:t xml:space="preserve"> Factors that influence the RAB will therefore flow through to these building block components and the annual revenue requirement. Other things being equal, a higher RAB increases both the return on capital and depreciation allowances.</w:t>
      </w:r>
    </w:p>
    <w:p w:rsidR="008C3A61" w:rsidRPr="008C3A61" w:rsidRDefault="008C3A61" w:rsidP="008C3A61">
      <w:pPr>
        <w:pStyle w:val="AERbodytext"/>
      </w:pPr>
      <w:r w:rsidRPr="008C3A61">
        <w:t>The RAB is determined by various factors, including;</w:t>
      </w:r>
    </w:p>
    <w:p w:rsidR="008C3A61" w:rsidRPr="008C3A61" w:rsidRDefault="001872D0" w:rsidP="008C3A61">
      <w:pPr>
        <w:pStyle w:val="AERbulletlistfirststyle"/>
      </w:pPr>
      <w:r>
        <w:t>t</w:t>
      </w:r>
      <w:r w:rsidRPr="008C3A61">
        <w:t xml:space="preserve">he </w:t>
      </w:r>
      <w:r w:rsidR="008C3A61" w:rsidRPr="008C3A61">
        <w:t>opening RAB (meaning the value of existing assets at the beginning of the regulatory control period)</w:t>
      </w:r>
    </w:p>
    <w:p w:rsidR="008C3A61" w:rsidRPr="008C3A61" w:rsidRDefault="00973A8B" w:rsidP="008C3A61">
      <w:pPr>
        <w:pStyle w:val="AERbulletlistfirststyle"/>
      </w:pPr>
      <w:r>
        <w:t xml:space="preserve">net </w:t>
      </w:r>
      <w:proofErr w:type="spellStart"/>
      <w:r w:rsidR="001872D0">
        <w:t>c</w:t>
      </w:r>
      <w:r w:rsidR="001872D0" w:rsidRPr="008C3A61">
        <w:t>apex</w:t>
      </w:r>
      <w:proofErr w:type="spellEnd"/>
      <w:r w:rsidR="008C3A61">
        <w:rPr>
          <w:rStyle w:val="FootnoteReference"/>
        </w:rPr>
        <w:footnoteReference w:id="22"/>
      </w:r>
    </w:p>
    <w:p w:rsidR="008C3A61" w:rsidRPr="008C3A61" w:rsidRDefault="001872D0" w:rsidP="008C3A61">
      <w:pPr>
        <w:pStyle w:val="AERbulletlistfirststyle"/>
      </w:pPr>
      <w:r>
        <w:t>d</w:t>
      </w:r>
      <w:r w:rsidRPr="008C3A61">
        <w:t>epreciation</w:t>
      </w:r>
    </w:p>
    <w:p w:rsidR="008C3A61" w:rsidRPr="008C3A61" w:rsidRDefault="001872D0" w:rsidP="008C3A61">
      <w:pPr>
        <w:pStyle w:val="AERbulletlistfirststyle"/>
      </w:pPr>
      <w:proofErr w:type="gramStart"/>
      <w:r>
        <w:t>i</w:t>
      </w:r>
      <w:r w:rsidRPr="008C3A61">
        <w:t>ndexation</w:t>
      </w:r>
      <w:proofErr w:type="gramEnd"/>
      <w:r w:rsidRPr="008C3A61">
        <w:t xml:space="preserve"> </w:t>
      </w:r>
      <w:r w:rsidR="008C3A61" w:rsidRPr="008C3A61">
        <w:t xml:space="preserve">adjustment – so the RAB is presented in nominal terms, consistent with the </w:t>
      </w:r>
      <w:r w:rsidR="00A803F5">
        <w:t>rate of return</w:t>
      </w:r>
      <w:r w:rsidR="008C3A61" w:rsidRPr="008C3A61">
        <w:t>.</w:t>
      </w:r>
    </w:p>
    <w:p w:rsidR="008C3A61" w:rsidRPr="008C3A61" w:rsidRDefault="008C3A61" w:rsidP="008C3A61">
      <w:pPr>
        <w:pStyle w:val="AERbodytext"/>
      </w:pPr>
      <w:r w:rsidRPr="008C3A61">
        <w:lastRenderedPageBreak/>
        <w:t xml:space="preserve">The opening RAB depends on the value of existing assets and will depend on actual </w:t>
      </w:r>
      <w:r w:rsidR="00973A8B">
        <w:t xml:space="preserve">net </w:t>
      </w:r>
      <w:proofErr w:type="spellStart"/>
      <w:r w:rsidRPr="008C3A61">
        <w:t>capex</w:t>
      </w:r>
      <w:proofErr w:type="spellEnd"/>
      <w:r w:rsidRPr="008C3A61">
        <w:t xml:space="preserve">, actual inflation outcomes and depreciation in the past. </w:t>
      </w:r>
    </w:p>
    <w:p w:rsidR="008C3A61" w:rsidRPr="008C3A61" w:rsidRDefault="008C3A61" w:rsidP="008C3A61">
      <w:pPr>
        <w:pStyle w:val="AERbodytext"/>
      </w:pPr>
      <w:r w:rsidRPr="008C3A61">
        <w:t xml:space="preserve">The RAB when projected to the end of the regulatory control period increases due to both </w:t>
      </w:r>
      <w:r w:rsidR="00FA692B">
        <w:t xml:space="preserve">forecast </w:t>
      </w:r>
      <w:r w:rsidRPr="008C3A61">
        <w:t xml:space="preserve">new </w:t>
      </w:r>
      <w:proofErr w:type="spellStart"/>
      <w:r w:rsidRPr="008C3A61">
        <w:t>capex</w:t>
      </w:r>
      <w:proofErr w:type="spellEnd"/>
      <w:r w:rsidRPr="008C3A61">
        <w:t xml:space="preserve"> and the indexation adjustment. The size of the indexation adjustment depends on expected inflation (which also affects the nominal rate of return or WACC) and the size of the RAB at the start of each year. </w:t>
      </w:r>
    </w:p>
    <w:p w:rsidR="008C3A61" w:rsidRDefault="008C3A61" w:rsidP="008C3A61">
      <w:pPr>
        <w:pStyle w:val="AERbodytext"/>
      </w:pPr>
      <w:r w:rsidRPr="008C3A61">
        <w:t xml:space="preserve">Depreciation reduces the RAB. The depreciation allowance depends on the size of the opening RAB and the forecast </w:t>
      </w:r>
      <w:r w:rsidR="00973A8B">
        <w:t xml:space="preserve">net </w:t>
      </w:r>
      <w:proofErr w:type="spellStart"/>
      <w:r w:rsidRPr="008C3A61">
        <w:t>capex</w:t>
      </w:r>
      <w:proofErr w:type="spellEnd"/>
      <w:r w:rsidRPr="008C3A61">
        <w:t xml:space="preserve">. By convention, the indexation adjustment is also offset against depreciation to prevent double counting of inflation in the RAB and </w:t>
      </w:r>
      <w:r w:rsidR="00A803F5">
        <w:t>rate of return</w:t>
      </w:r>
      <w:r w:rsidRPr="008C3A61">
        <w:t>, which are both presented in nominal terms. This reduces the apparent depreciation building block that feeds into the annual revenue requirement.</w:t>
      </w:r>
    </w:p>
    <w:p w:rsidR="00176610" w:rsidRPr="009179D3" w:rsidRDefault="00A10B76" w:rsidP="00176610">
      <w:pPr>
        <w:pStyle w:val="AERbodytext"/>
      </w:pPr>
      <w:r>
        <w:fldChar w:fldCharType="begin"/>
      </w:r>
      <w:r>
        <w:instrText xml:space="preserve"> REF _Ref396378308 \h </w:instrText>
      </w:r>
      <w:r>
        <w:fldChar w:fldCharType="separate"/>
      </w:r>
      <w:r>
        <w:t xml:space="preserve">Figure </w:t>
      </w:r>
      <w:r>
        <w:rPr>
          <w:noProof/>
        </w:rPr>
        <w:t>1</w:t>
      </w:r>
      <w:r>
        <w:noBreakHyphen/>
      </w:r>
      <w:r>
        <w:rPr>
          <w:noProof/>
        </w:rPr>
        <w:t>1</w:t>
      </w:r>
      <w:r>
        <w:fldChar w:fldCharType="end"/>
      </w:r>
      <w:r>
        <w:t xml:space="preserve"> </w:t>
      </w:r>
      <w:r w:rsidR="00176610" w:rsidRPr="009179D3">
        <w:t xml:space="preserve">shows the key drivers of the change in </w:t>
      </w:r>
      <w:r w:rsidR="00176610">
        <w:t xml:space="preserve">the </w:t>
      </w:r>
      <w:r w:rsidR="00176610" w:rsidRPr="009179D3">
        <w:t xml:space="preserve">RAB over the </w:t>
      </w:r>
      <w:r w:rsidR="00310328">
        <w:t>2014</w:t>
      </w:r>
      <w:r w:rsidR="00973A8B">
        <w:t>–</w:t>
      </w:r>
      <w:r w:rsidR="00310328">
        <w:t xml:space="preserve">19 </w:t>
      </w:r>
      <w:proofErr w:type="gramStart"/>
      <w:r w:rsidR="00310328">
        <w:t>period</w:t>
      </w:r>
      <w:proofErr w:type="gramEnd"/>
      <w:r w:rsidR="00176610" w:rsidRPr="009179D3">
        <w:t xml:space="preserve"> as proposed by </w:t>
      </w:r>
      <w:r w:rsidR="00176610">
        <w:t>Essential Energy</w:t>
      </w:r>
      <w:r w:rsidR="00176610" w:rsidRPr="009179D3">
        <w:t xml:space="preserve">. Overall, the closing RAB </w:t>
      </w:r>
      <w:r w:rsidR="001872D0">
        <w:t xml:space="preserve">at the end of the </w:t>
      </w:r>
      <w:r w:rsidR="00310328">
        <w:t>2014</w:t>
      </w:r>
      <w:r w:rsidR="00973A8B">
        <w:t>–</w:t>
      </w:r>
      <w:r w:rsidR="00310328">
        <w:t>19 period</w:t>
      </w:r>
      <w:r w:rsidR="001872D0">
        <w:t xml:space="preserve"> </w:t>
      </w:r>
      <w:r w:rsidR="00176610" w:rsidRPr="009179D3">
        <w:t>wo</w:t>
      </w:r>
      <w:r w:rsidR="00176610">
        <w:t>uld be 33</w:t>
      </w:r>
      <w:r w:rsidR="00176610" w:rsidRPr="009179D3">
        <w:t xml:space="preserve"> per cent higher than the opening RAB </w:t>
      </w:r>
      <w:r w:rsidR="001872D0">
        <w:t xml:space="preserve">at the start of that period </w:t>
      </w:r>
      <w:r w:rsidR="00176610" w:rsidRPr="009179D3">
        <w:t>based on the proposal</w:t>
      </w:r>
      <w:r w:rsidR="00FA692B">
        <w:t>, in nominal terms</w:t>
      </w:r>
      <w:r w:rsidR="00176610" w:rsidRPr="009179D3">
        <w:t xml:space="preserve">. </w:t>
      </w:r>
      <w:r w:rsidR="001872D0">
        <w:t>The proposal f</w:t>
      </w:r>
      <w:r w:rsidR="001872D0" w:rsidRPr="009179D3">
        <w:t xml:space="preserve">orecast </w:t>
      </w:r>
      <w:r w:rsidR="00973A8B">
        <w:t xml:space="preserve">net </w:t>
      </w:r>
      <w:proofErr w:type="spellStart"/>
      <w:r w:rsidR="00176610" w:rsidRPr="009179D3">
        <w:t>capex</w:t>
      </w:r>
      <w:proofErr w:type="spellEnd"/>
      <w:r w:rsidR="00176610" w:rsidRPr="009179D3">
        <w:t xml:space="preserve"> increases the RAB by about </w:t>
      </w:r>
      <w:r w:rsidR="00176610">
        <w:t>42</w:t>
      </w:r>
      <w:r w:rsidR="00176610" w:rsidRPr="009179D3">
        <w:t xml:space="preserve"> per cent, while in</w:t>
      </w:r>
      <w:r w:rsidR="00176610">
        <w:t>flation increases it by about 14</w:t>
      </w:r>
      <w:r w:rsidR="00176610" w:rsidRPr="009179D3">
        <w:t xml:space="preserve"> per cent. </w:t>
      </w:r>
      <w:r w:rsidR="001872D0">
        <w:t>Forecast d</w:t>
      </w:r>
      <w:r w:rsidR="00176610" w:rsidRPr="009179D3">
        <w:t xml:space="preserve">epreciation, on the other hand, reduces the RAB by about </w:t>
      </w:r>
      <w:r w:rsidR="00176610">
        <w:t>23</w:t>
      </w:r>
      <w:r w:rsidR="00176610" w:rsidRPr="009179D3">
        <w:t xml:space="preserve"> per cent. </w:t>
      </w:r>
    </w:p>
    <w:p w:rsidR="00176610" w:rsidRPr="009179D3" w:rsidRDefault="00176610" w:rsidP="00176610">
      <w:pPr>
        <w:pStyle w:val="AERbodytext"/>
      </w:pPr>
      <w:r w:rsidRPr="009179D3">
        <w:t xml:space="preserve">The RAB would rise in real terms over the </w:t>
      </w:r>
      <w:r w:rsidR="00310328">
        <w:t>2014</w:t>
      </w:r>
      <w:r w:rsidR="00973A8B">
        <w:t>–</w:t>
      </w:r>
      <w:r w:rsidR="00310328">
        <w:t>19 period</w:t>
      </w:r>
      <w:r w:rsidRPr="009179D3">
        <w:t xml:space="preserve"> based on </w:t>
      </w:r>
      <w:r>
        <w:t>Essential Energy</w:t>
      </w:r>
      <w:r w:rsidRPr="009179D3">
        <w:t>'s proposal. We consider the depreciation amount to be generally reasonable</w:t>
      </w:r>
      <w:r w:rsidR="001872D0">
        <w:t xml:space="preserve"> and satisfy the requirements of the NER in terms of the assigned asset lives. The depreciation amount also</w:t>
      </w:r>
      <w:r w:rsidRPr="009179D3">
        <w:t xml:space="preserve"> largely depends on the opening RAB (which </w:t>
      </w:r>
      <w:r w:rsidR="001872D0">
        <w:t xml:space="preserve">in turn </w:t>
      </w:r>
      <w:r w:rsidRPr="009179D3">
        <w:t xml:space="preserve">depends on </w:t>
      </w:r>
      <w:proofErr w:type="spellStart"/>
      <w:r w:rsidRPr="009179D3">
        <w:t>capex</w:t>
      </w:r>
      <w:proofErr w:type="spellEnd"/>
      <w:r w:rsidRPr="009179D3">
        <w:t xml:space="preserve"> in the past). However, we do have concerns with the size of the forecast </w:t>
      </w:r>
      <w:r w:rsidR="00973A8B">
        <w:t xml:space="preserve">net </w:t>
      </w:r>
      <w:proofErr w:type="spellStart"/>
      <w:r w:rsidRPr="009179D3">
        <w:t>capex</w:t>
      </w:r>
      <w:proofErr w:type="spellEnd"/>
      <w:r w:rsidRPr="009179D3">
        <w:t xml:space="preserve">. </w:t>
      </w:r>
      <w:r w:rsidR="00A10B76">
        <w:fldChar w:fldCharType="begin"/>
      </w:r>
      <w:r w:rsidR="00A10B76">
        <w:instrText xml:space="preserve"> REF _Ref396378308 \h </w:instrText>
      </w:r>
      <w:r w:rsidR="00A10B76">
        <w:fldChar w:fldCharType="separate"/>
      </w:r>
      <w:r w:rsidR="00A10B76">
        <w:t xml:space="preserve">Figure </w:t>
      </w:r>
      <w:r w:rsidR="0008691B">
        <w:rPr>
          <w:noProof/>
        </w:rPr>
        <w:t>2.</w:t>
      </w:r>
      <w:r w:rsidR="00A10B76">
        <w:rPr>
          <w:noProof/>
        </w:rPr>
        <w:t>1</w:t>
      </w:r>
      <w:r w:rsidR="00A10B76">
        <w:fldChar w:fldCharType="end"/>
      </w:r>
      <w:r w:rsidR="00A10B76">
        <w:t xml:space="preserve"> </w:t>
      </w:r>
      <w:r w:rsidRPr="009179D3">
        <w:t xml:space="preserve">shows forecast </w:t>
      </w:r>
      <w:r w:rsidR="00973A8B">
        <w:t xml:space="preserve">net </w:t>
      </w:r>
      <w:proofErr w:type="spellStart"/>
      <w:r w:rsidRPr="009179D3">
        <w:t>capex</w:t>
      </w:r>
      <w:proofErr w:type="spellEnd"/>
      <w:r w:rsidRPr="009179D3">
        <w:t xml:space="preserve"> is the largest driver of the increase in the RAB and we have considered whether it is appropriate that the forecast </w:t>
      </w:r>
      <w:r w:rsidR="00973A8B">
        <w:t xml:space="preserve">net </w:t>
      </w:r>
      <w:proofErr w:type="spellStart"/>
      <w:r w:rsidRPr="009179D3">
        <w:t>capex</w:t>
      </w:r>
      <w:proofErr w:type="spellEnd"/>
      <w:r w:rsidRPr="009179D3">
        <w:t xml:space="preserve"> exceed</w:t>
      </w:r>
      <w:r w:rsidR="001872D0">
        <w:t>s</w:t>
      </w:r>
      <w:r w:rsidRPr="009179D3">
        <w:t xml:space="preserve"> depreciation as </w:t>
      </w:r>
      <w:r w:rsidR="001872D0">
        <w:t xml:space="preserve">Essential Energy has </w:t>
      </w:r>
      <w:r w:rsidRPr="009179D3">
        <w:t>propose</w:t>
      </w:r>
      <w:r w:rsidR="00023CB5">
        <w:t>d</w:t>
      </w:r>
      <w:r w:rsidRPr="009179D3">
        <w:t xml:space="preserve">. Refer to attachment </w:t>
      </w:r>
      <w:r w:rsidR="00705B0B">
        <w:t>6</w:t>
      </w:r>
      <w:r w:rsidR="00705B0B" w:rsidRPr="009179D3">
        <w:t xml:space="preserve"> </w:t>
      </w:r>
      <w:r w:rsidRPr="009179D3">
        <w:t xml:space="preserve">for the discussion on forecast </w:t>
      </w:r>
      <w:proofErr w:type="spellStart"/>
      <w:r w:rsidRPr="009179D3">
        <w:t>capex</w:t>
      </w:r>
      <w:proofErr w:type="spellEnd"/>
      <w:r w:rsidRPr="009179D3">
        <w:t>.</w:t>
      </w:r>
    </w:p>
    <w:p w:rsidR="00176610" w:rsidRDefault="00A10B76" w:rsidP="00A10B76">
      <w:pPr>
        <w:pStyle w:val="Caption"/>
      </w:pPr>
      <w:bookmarkStart w:id="22" w:name="_Ref396378308"/>
      <w:r>
        <w:t xml:space="preserve">Figure </w:t>
      </w:r>
      <w:r w:rsidR="0008691B">
        <w:t>2</w:t>
      </w:r>
      <w:r>
        <w:noBreakHyphen/>
      </w:r>
      <w:r w:rsidR="00D90BFE">
        <w:fldChar w:fldCharType="begin"/>
      </w:r>
      <w:r w:rsidR="00D90BFE">
        <w:instrText xml:space="preserve"> SEQ Figure \* ARABIC \s 1 </w:instrText>
      </w:r>
      <w:r w:rsidR="00D90BFE">
        <w:fldChar w:fldCharType="separate"/>
      </w:r>
      <w:r>
        <w:rPr>
          <w:noProof/>
        </w:rPr>
        <w:t>1</w:t>
      </w:r>
      <w:r w:rsidR="00D90BFE">
        <w:rPr>
          <w:noProof/>
        </w:rPr>
        <w:fldChar w:fldCharType="end"/>
      </w:r>
      <w:bookmarkEnd w:id="22"/>
      <w:r>
        <w:tab/>
      </w:r>
      <w:r w:rsidR="00176610" w:rsidRPr="009179D3">
        <w:t xml:space="preserve">Key drivers of changes in </w:t>
      </w:r>
      <w:r w:rsidR="001872D0">
        <w:t xml:space="preserve">the </w:t>
      </w:r>
      <w:r w:rsidR="00176610" w:rsidRPr="009179D3">
        <w:t>RAB ($m, nominal)</w:t>
      </w:r>
    </w:p>
    <w:p w:rsidR="00176610" w:rsidRPr="008C3A61" w:rsidRDefault="00CC04B7" w:rsidP="00CC04B7">
      <w:pPr>
        <w:pStyle w:val="AERbodytext"/>
      </w:pPr>
      <w:r w:rsidRPr="00CC04B7">
        <w:rPr>
          <w:noProof/>
          <w:lang w:eastAsia="en-AU"/>
        </w:rPr>
        <w:drawing>
          <wp:inline distT="0" distB="0" distL="0" distR="0" wp14:anchorId="076F9684" wp14:editId="5EEDE8B8">
            <wp:extent cx="5731510" cy="3261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261745"/>
                    </a:xfrm>
                    <a:prstGeom prst="rect">
                      <a:avLst/>
                    </a:prstGeom>
                    <a:noFill/>
                    <a:ln>
                      <a:noFill/>
                    </a:ln>
                  </pic:spPr>
                </pic:pic>
              </a:graphicData>
            </a:graphic>
          </wp:inline>
        </w:drawing>
      </w:r>
      <w:r w:rsidR="00176610" w:rsidRPr="009179D3">
        <w:t xml:space="preserve">A </w:t>
      </w:r>
      <w:r w:rsidR="002E70C3">
        <w:t>ten</w:t>
      </w:r>
      <w:r w:rsidR="002E70C3" w:rsidRPr="009179D3">
        <w:t xml:space="preserve"> </w:t>
      </w:r>
      <w:r w:rsidR="00176610" w:rsidRPr="009179D3">
        <w:t xml:space="preserve">per cent increase in the </w:t>
      </w:r>
      <w:r w:rsidR="002E70C3">
        <w:t xml:space="preserve">opening </w:t>
      </w:r>
      <w:r w:rsidR="00176610" w:rsidRPr="009179D3">
        <w:t xml:space="preserve">RAB causes revenues to increase by about </w:t>
      </w:r>
      <w:r w:rsidR="002E70C3">
        <w:t>5.9</w:t>
      </w:r>
      <w:r w:rsidR="00176610" w:rsidRPr="009179D3">
        <w:t xml:space="preserve"> per cent. </w:t>
      </w:r>
      <w:r w:rsidR="00176610" w:rsidRPr="009179D3">
        <w:lastRenderedPageBreak/>
        <w:t xml:space="preserve">However, the </w:t>
      </w:r>
      <w:r w:rsidR="002E70C3">
        <w:t xml:space="preserve">impact on revenues of the annual change in RAB depends </w:t>
      </w:r>
      <w:r w:rsidR="00176610" w:rsidRPr="009179D3">
        <w:t xml:space="preserve">on the source of the RAB </w:t>
      </w:r>
      <w:r w:rsidR="002E70C3">
        <w:t>change</w:t>
      </w:r>
      <w:r w:rsidR="00176610" w:rsidRPr="009179D3">
        <w:t>, as some drivers affect more than one building block cost.</w:t>
      </w:r>
      <w:r w:rsidR="00176610">
        <w:rPr>
          <w:rStyle w:val="FootnoteReference"/>
        </w:rPr>
        <w:footnoteReference w:id="23"/>
      </w:r>
    </w:p>
    <w:p w:rsidR="00D97003" w:rsidRDefault="00D97003" w:rsidP="00D97003">
      <w:pPr>
        <w:pStyle w:val="Heading2"/>
      </w:pPr>
      <w:bookmarkStart w:id="23" w:name="_Toc387916800"/>
      <w:bookmarkStart w:id="24" w:name="_Toc404324613"/>
      <w:r>
        <w:t>Reasons for draft decision</w:t>
      </w:r>
      <w:bookmarkEnd w:id="23"/>
      <w:bookmarkEnd w:id="24"/>
    </w:p>
    <w:p w:rsidR="005566CF" w:rsidRPr="005566CF" w:rsidRDefault="005566CF" w:rsidP="005566CF">
      <w:pPr>
        <w:pStyle w:val="AERbodytext"/>
      </w:pPr>
      <w:r>
        <w:t>We have determined an opening RAB value for Essential Energy of $668</w:t>
      </w:r>
      <w:r w:rsidR="000067A2">
        <w:t>5.4</w:t>
      </w:r>
      <w:r>
        <w:t> million ($ nominal) as at 1 July 2014, a reduction</w:t>
      </w:r>
      <w:r w:rsidRPr="002573BD">
        <w:t xml:space="preserve"> </w:t>
      </w:r>
      <w:r>
        <w:t>of</w:t>
      </w:r>
      <w:r w:rsidRPr="002573BD">
        <w:t xml:space="preserve"> $</w:t>
      </w:r>
      <w:r>
        <w:t>8</w:t>
      </w:r>
      <w:r w:rsidR="000067A2">
        <w:t>4.9</w:t>
      </w:r>
      <w:r w:rsidRPr="002573BD">
        <w:t xml:space="preserve"> million </w:t>
      </w:r>
      <w:r>
        <w:t>($ million) or 1.</w:t>
      </w:r>
      <w:r w:rsidR="00F36107">
        <w:t>3</w:t>
      </w:r>
      <w:r w:rsidRPr="002573BD">
        <w:t xml:space="preserve"> per cent</w:t>
      </w:r>
      <w:r>
        <w:t xml:space="preserve"> from the proposed value. </w:t>
      </w:r>
      <w:r w:rsidRPr="00443636">
        <w:t>We forecast a closing RAB value of $</w:t>
      </w:r>
      <w:r w:rsidR="00B83ECA">
        <w:t>8145</w:t>
      </w:r>
      <w:r w:rsidR="000067A2">
        <w:t>.0</w:t>
      </w:r>
      <w:r w:rsidR="00B54962">
        <w:t> </w:t>
      </w:r>
      <w:r w:rsidRPr="00443636">
        <w:t>million by 30 June 201</w:t>
      </w:r>
      <w:r>
        <w:t>9. This</w:t>
      </w:r>
      <w:r w:rsidRPr="00443636">
        <w:t xml:space="preserve"> represents </w:t>
      </w:r>
      <w:r w:rsidR="0089008C">
        <w:t xml:space="preserve">a </w:t>
      </w:r>
      <w:r w:rsidRPr="00443636">
        <w:t xml:space="preserve">reduction </w:t>
      </w:r>
      <w:r>
        <w:t xml:space="preserve">of </w:t>
      </w:r>
      <w:r w:rsidR="00B83ECA">
        <w:t>868.4</w:t>
      </w:r>
      <w:r>
        <w:t xml:space="preserve"> million, or </w:t>
      </w:r>
      <w:r w:rsidR="00B83ECA">
        <w:t>9.6</w:t>
      </w:r>
      <w:r w:rsidR="00B54962">
        <w:t> </w:t>
      </w:r>
      <w:r>
        <w:t xml:space="preserve">per cent compared to the </w:t>
      </w:r>
      <w:r w:rsidRPr="00443636">
        <w:t>proposal</w:t>
      </w:r>
      <w:r>
        <w:t>. The</w:t>
      </w:r>
      <w:r w:rsidRPr="008E312C">
        <w:t xml:space="preserve"> </w:t>
      </w:r>
      <w:r>
        <w:t xml:space="preserve">reasons for our </w:t>
      </w:r>
      <w:r w:rsidRPr="008E312C">
        <w:t xml:space="preserve">decision </w:t>
      </w:r>
      <w:r>
        <w:t>are</w:t>
      </w:r>
      <w:r w:rsidRPr="008E312C">
        <w:t xml:space="preserve"> discussed below.</w:t>
      </w:r>
    </w:p>
    <w:p w:rsidR="00D97003" w:rsidRDefault="00A803F5" w:rsidP="00A803F5">
      <w:pPr>
        <w:pStyle w:val="Heading3"/>
      </w:pPr>
      <w:bookmarkStart w:id="25" w:name="_Ref394911405"/>
      <w:bookmarkStart w:id="26" w:name="_Toc404324614"/>
      <w:r>
        <w:t>Opening RAB</w:t>
      </w:r>
      <w:r w:rsidR="00C22174">
        <w:t xml:space="preserve"> as at 1 July 2014</w:t>
      </w:r>
      <w:bookmarkEnd w:id="25"/>
      <w:bookmarkEnd w:id="26"/>
    </w:p>
    <w:p w:rsidR="00A834AC" w:rsidRDefault="00901417" w:rsidP="00A834AC">
      <w:pPr>
        <w:pStyle w:val="AERbodytext"/>
      </w:pPr>
      <w:r>
        <w:t>To determine the opening RAB</w:t>
      </w:r>
      <w:r w:rsidR="00A834AC">
        <w:t xml:space="preserve"> as at 1 July 2014</w:t>
      </w:r>
      <w:r w:rsidR="006C41B9">
        <w:t xml:space="preserve"> we have rolled forward the RAB</w:t>
      </w:r>
      <w:r w:rsidR="00A834AC">
        <w:t xml:space="preserve"> over the 2009–14 regulatory control period to determine a closing RAB value at 30 June 2014. As </w:t>
      </w:r>
      <w:r w:rsidR="00A834AC" w:rsidRPr="00CF1E29">
        <w:t xml:space="preserve">metering </w:t>
      </w:r>
      <w:r w:rsidR="00A834AC">
        <w:t>is</w:t>
      </w:r>
      <w:r w:rsidR="00A834AC" w:rsidRPr="00CF1E29">
        <w:t xml:space="preserve"> to be </w:t>
      </w:r>
      <w:r w:rsidR="001872D0">
        <w:t xml:space="preserve">classified as alternative </w:t>
      </w:r>
      <w:r w:rsidR="00A834AC" w:rsidRPr="00CF1E29">
        <w:t xml:space="preserve">control services </w:t>
      </w:r>
      <w:r w:rsidR="00A834AC">
        <w:t xml:space="preserve">from 1 July 2014, the metering assets must </w:t>
      </w:r>
      <w:r>
        <w:t>be removed from the closing RAB</w:t>
      </w:r>
      <w:r w:rsidR="00D538E6">
        <w:t xml:space="preserve"> as at 30 June 2014</w:t>
      </w:r>
      <w:r w:rsidR="00A834AC">
        <w:t xml:space="preserve"> to determine the </w:t>
      </w:r>
      <w:r w:rsidR="001872D0">
        <w:t xml:space="preserve">standard control services </w:t>
      </w:r>
      <w:r w:rsidR="00A834AC">
        <w:t>opening RABs as at 1 July 2014</w:t>
      </w:r>
      <w:r w:rsidR="00A10B76">
        <w:t>.</w:t>
      </w:r>
    </w:p>
    <w:p w:rsidR="002242F7" w:rsidRDefault="00AD2407" w:rsidP="005E63D9">
      <w:pPr>
        <w:pStyle w:val="AERbodytext"/>
      </w:pPr>
      <w:r w:rsidRPr="00AD2407">
        <w:t xml:space="preserve">We do not accept </w:t>
      </w:r>
      <w:r>
        <w:t>Essential Energy</w:t>
      </w:r>
      <w:r w:rsidRPr="00AD2407">
        <w:t>'s proposed opening RAB value as at 1 July 2014 of $</w:t>
      </w:r>
      <w:r>
        <w:t>6770</w:t>
      </w:r>
      <w:r w:rsidR="000067A2">
        <w:t>.3</w:t>
      </w:r>
      <w:r>
        <w:t> </w:t>
      </w:r>
      <w:r w:rsidR="00901417">
        <w:t>million. Instead we have determined an opening RAB value of $668</w:t>
      </w:r>
      <w:r w:rsidR="003F10C2">
        <w:t>5</w:t>
      </w:r>
      <w:r w:rsidR="000067A2">
        <w:t>.4</w:t>
      </w:r>
      <w:r w:rsidR="00901417">
        <w:t xml:space="preserve"> million ($ nominal) as at 1 July 2014, a </w:t>
      </w:r>
      <w:r w:rsidRPr="00AD2407">
        <w:t>reduc</w:t>
      </w:r>
      <w:r w:rsidR="00901417">
        <w:t>tion</w:t>
      </w:r>
      <w:r w:rsidRPr="00AD2407">
        <w:t xml:space="preserve"> </w:t>
      </w:r>
      <w:r w:rsidR="00901417">
        <w:t xml:space="preserve">of </w:t>
      </w:r>
      <w:r w:rsidRPr="00AD2407">
        <w:t>$</w:t>
      </w:r>
      <w:r w:rsidR="00813287">
        <w:t>8</w:t>
      </w:r>
      <w:r w:rsidR="003F10C2">
        <w:t>4.9</w:t>
      </w:r>
      <w:r>
        <w:t> </w:t>
      </w:r>
      <w:r w:rsidRPr="00AD2407">
        <w:t>million</w:t>
      </w:r>
      <w:r w:rsidR="00901417">
        <w:t xml:space="preserve"> ($ nominal), </w:t>
      </w:r>
      <w:r w:rsidRPr="00AD2407">
        <w:t xml:space="preserve">or </w:t>
      </w:r>
      <w:r>
        <w:t>1.</w:t>
      </w:r>
      <w:r w:rsidR="003F10C2">
        <w:t>3</w:t>
      </w:r>
      <w:r w:rsidRPr="00AD2407">
        <w:t xml:space="preserve"> per cent</w:t>
      </w:r>
      <w:r w:rsidR="00901417">
        <w:t xml:space="preserve"> from Essential Energy's proposal</w:t>
      </w:r>
      <w:r w:rsidRPr="00AD2407">
        <w:t xml:space="preserve">. This is because we have adjusted </w:t>
      </w:r>
      <w:r>
        <w:t>Essential Energy</w:t>
      </w:r>
      <w:r w:rsidRPr="00AD2407">
        <w:t xml:space="preserve">'s actual </w:t>
      </w:r>
      <w:proofErr w:type="spellStart"/>
      <w:r w:rsidRPr="00AD2407">
        <w:t>capex</w:t>
      </w:r>
      <w:proofErr w:type="spellEnd"/>
      <w:r w:rsidRPr="00AD2407">
        <w:t xml:space="preserve"> for 2008–09 to 2013–14 for </w:t>
      </w:r>
      <w:r>
        <w:t xml:space="preserve">the </w:t>
      </w:r>
      <w:r w:rsidRPr="00AD2407">
        <w:t xml:space="preserve">movements in </w:t>
      </w:r>
      <w:r w:rsidR="008D70B2">
        <w:t xml:space="preserve">capitalised </w:t>
      </w:r>
      <w:r w:rsidRPr="00AD2407">
        <w:t>provisions</w:t>
      </w:r>
      <w:r w:rsidR="008D70B2">
        <w:t xml:space="preserve"> in each of those years</w:t>
      </w:r>
      <w:r w:rsidRPr="00AD2407">
        <w:t>.</w:t>
      </w:r>
      <w:r w:rsidR="0016513A">
        <w:rPr>
          <w:rStyle w:val="FootnoteReference"/>
        </w:rPr>
        <w:footnoteReference w:id="24"/>
      </w:r>
      <w:r w:rsidR="00F66A41">
        <w:t xml:space="preserve"> </w:t>
      </w:r>
      <w:r>
        <w:t>Essential Energy</w:t>
      </w:r>
      <w:r w:rsidRPr="00AD2407">
        <w:t xml:space="preserve">'s proposed actual </w:t>
      </w:r>
      <w:proofErr w:type="spellStart"/>
      <w:r w:rsidRPr="00AD2407">
        <w:t>capex</w:t>
      </w:r>
      <w:proofErr w:type="spellEnd"/>
      <w:r w:rsidRPr="00AD2407">
        <w:t xml:space="preserve"> for 2008–09 to 2013–14 </w:t>
      </w:r>
      <w:r w:rsidR="0089008C">
        <w:t xml:space="preserve">in the RFM </w:t>
      </w:r>
      <w:r w:rsidRPr="00AD2407">
        <w:t>included capitalised provisions.</w:t>
      </w:r>
      <w:r w:rsidR="002F0B7B">
        <w:rPr>
          <w:rStyle w:val="FootnoteReference"/>
        </w:rPr>
        <w:footnoteReference w:id="25"/>
      </w:r>
      <w:r w:rsidRPr="00AD2407">
        <w:t xml:space="preserve"> Provisions are expenditures that </w:t>
      </w:r>
      <w:r>
        <w:t>Essential Energy</w:t>
      </w:r>
      <w:r w:rsidRPr="00AD2407">
        <w:t xml:space="preserve"> anticipates</w:t>
      </w:r>
      <w:r>
        <w:t>,</w:t>
      </w:r>
      <w:r w:rsidRPr="00AD2407">
        <w:t xml:space="preserve"> but </w:t>
      </w:r>
      <w:r>
        <w:t>has</w:t>
      </w:r>
      <w:r w:rsidRPr="00AD2407">
        <w:t xml:space="preserve"> not yet paid (incurred). Examples of provisions include environmental provisions, superannuation and other employment entitlements such as annual leave and long service leave. The NER requires a </w:t>
      </w:r>
      <w:r>
        <w:t>service provider</w:t>
      </w:r>
      <w:r w:rsidRPr="00AD2407">
        <w:t xml:space="preserve">'s opening RAB value to be increased by the amount of all </w:t>
      </w:r>
      <w:proofErr w:type="spellStart"/>
      <w:r w:rsidRPr="00AD2407">
        <w:t>capex</w:t>
      </w:r>
      <w:proofErr w:type="spellEnd"/>
      <w:r w:rsidRPr="00AD2407">
        <w:t xml:space="preserve"> incurred during its </w:t>
      </w:r>
      <w:r w:rsidR="0089008C">
        <w:t xml:space="preserve">2009–14 </w:t>
      </w:r>
      <w:r>
        <w:t>regulatory control period.</w:t>
      </w:r>
      <w:r w:rsidR="00B3082D">
        <w:rPr>
          <w:rStyle w:val="FootnoteReference"/>
        </w:rPr>
        <w:footnoteReference w:id="26"/>
      </w:r>
      <w:r w:rsidRPr="00AD2407">
        <w:t xml:space="preserve"> We considered this matter in detail in our transmission determination for </w:t>
      </w:r>
      <w:proofErr w:type="spellStart"/>
      <w:r w:rsidRPr="00AD2407">
        <w:t>ElectraNet</w:t>
      </w:r>
      <w:proofErr w:type="spellEnd"/>
      <w:r w:rsidR="002379DF">
        <w:t>.</w:t>
      </w:r>
      <w:r w:rsidR="002379DF" w:rsidRPr="002379DF">
        <w:rPr>
          <w:rStyle w:val="FootnoteReference"/>
        </w:rPr>
        <w:footnoteReference w:id="27"/>
      </w:r>
      <w:r w:rsidRPr="00AD2407">
        <w:t xml:space="preserve"> </w:t>
      </w:r>
    </w:p>
    <w:p w:rsidR="00AD2407" w:rsidRPr="00AD2407" w:rsidRDefault="00AD2407" w:rsidP="005E63D9">
      <w:pPr>
        <w:pStyle w:val="AERbodytext"/>
      </w:pPr>
      <w:r w:rsidRPr="00AD2407">
        <w:t xml:space="preserve">Consistent with that determination, we consider that a </w:t>
      </w:r>
      <w:r w:rsidR="00B3082D">
        <w:t>service provider</w:t>
      </w:r>
      <w:r w:rsidRPr="00AD2407">
        <w:t xml:space="preserve"> should not treat capitalised provisions as </w:t>
      </w:r>
      <w:proofErr w:type="spellStart"/>
      <w:r w:rsidRPr="00AD2407">
        <w:t>capex</w:t>
      </w:r>
      <w:proofErr w:type="spellEnd"/>
      <w:r w:rsidRPr="00AD2407">
        <w:t xml:space="preserve"> incurred when rolling forward its RAB, because a </w:t>
      </w:r>
      <w:r w:rsidR="00B3082D">
        <w:t>service provider</w:t>
      </w:r>
      <w:r w:rsidRPr="00AD2407">
        <w:t xml:space="preserve"> has not yet paid out (incurred) the expenses to which the provisions relate.</w:t>
      </w:r>
      <w:r w:rsidR="00B62296">
        <w:t xml:space="preserve"> We adjust the RAB by the movement in </w:t>
      </w:r>
      <w:r w:rsidR="00571854">
        <w:t xml:space="preserve">capitalised </w:t>
      </w:r>
      <w:r w:rsidR="00B62296">
        <w:t>provisions from one year to the next. Th</w:t>
      </w:r>
      <w:r w:rsidR="0089008C">
        <w:t>erefore</w:t>
      </w:r>
      <w:r w:rsidR="00B62296">
        <w:t>, increases in capitalised provisions are removed from the RAB, while decreases in capitalised provisions are added to the RAB to reflect when they are paid out</w:t>
      </w:r>
      <w:r w:rsidR="005E63D9">
        <w:t xml:space="preserve">. This approach is consistent with </w:t>
      </w:r>
      <w:r w:rsidR="0089008C">
        <w:t>that</w:t>
      </w:r>
      <w:r w:rsidR="005E63D9">
        <w:t xml:space="preserve"> for </w:t>
      </w:r>
      <w:r w:rsidR="005E63D9" w:rsidRPr="005E63D9">
        <w:t>calculating the EBSS carryovers</w:t>
      </w:r>
      <w:r w:rsidR="005E63D9">
        <w:t xml:space="preserve"> and </w:t>
      </w:r>
      <w:r w:rsidR="005E63D9" w:rsidRPr="005E63D9">
        <w:t xml:space="preserve">for setting our base year </w:t>
      </w:r>
      <w:proofErr w:type="spellStart"/>
      <w:r w:rsidR="005E63D9" w:rsidRPr="005E63D9">
        <w:t>opex</w:t>
      </w:r>
      <w:proofErr w:type="spellEnd"/>
      <w:r w:rsidR="005E63D9" w:rsidRPr="005E63D9">
        <w:t xml:space="preserve"> forecast</w:t>
      </w:r>
      <w:r w:rsidR="0089008C">
        <w:t>, as</w:t>
      </w:r>
      <w:r w:rsidR="005E63D9">
        <w:t xml:space="preserve"> discussed further in attachment </w:t>
      </w:r>
      <w:r w:rsidR="00705B0B">
        <w:t>7</w:t>
      </w:r>
      <w:r w:rsidR="005E63D9">
        <w:t>.</w:t>
      </w:r>
    </w:p>
    <w:p w:rsidR="00023CB5" w:rsidRDefault="005C4CF8" w:rsidP="005C4CF8">
      <w:pPr>
        <w:pStyle w:val="AERbodytext"/>
      </w:pPr>
      <w:r>
        <w:t>We accept Essential Energy's approach to reallocating the value of its '</w:t>
      </w:r>
      <w:r w:rsidRPr="005C4CF8">
        <w:t>RAB adjustment</w:t>
      </w:r>
      <w:r>
        <w:t>' and '</w:t>
      </w:r>
      <w:r w:rsidRPr="005C4CF8">
        <w:t>Deferred depreciation</w:t>
      </w:r>
      <w:r>
        <w:t xml:space="preserve">' asset classes at 1 July 2014 across its existing system assets. This reallocation </w:t>
      </w:r>
      <w:r w:rsidR="00816CF7">
        <w:t>has</w:t>
      </w:r>
      <w:r>
        <w:t xml:space="preserve"> no impact on the total RAB value</w:t>
      </w:r>
      <w:r w:rsidR="00816CF7">
        <w:t xml:space="preserve"> as at 1 July 2014</w:t>
      </w:r>
      <w:r w:rsidR="00571854">
        <w:t xml:space="preserve"> but applies the values to more meaningful asset classes.</w:t>
      </w:r>
    </w:p>
    <w:p w:rsidR="00043CD2" w:rsidRPr="00D742BB" w:rsidRDefault="00AD2407" w:rsidP="005C4CF8">
      <w:pPr>
        <w:pStyle w:val="AERbodytext"/>
      </w:pPr>
      <w:r w:rsidRPr="00AD2407">
        <w:lastRenderedPageBreak/>
        <w:t xml:space="preserve">We also reviewed </w:t>
      </w:r>
      <w:r w:rsidR="00B62296">
        <w:t xml:space="preserve">the </w:t>
      </w:r>
      <w:r w:rsidRPr="00AD2407">
        <w:t xml:space="preserve">other </w:t>
      </w:r>
      <w:r w:rsidR="00F66A41">
        <w:t xml:space="preserve">key </w:t>
      </w:r>
      <w:r w:rsidRPr="00AD2407">
        <w:t xml:space="preserve">inputs into </w:t>
      </w:r>
      <w:r w:rsidR="00B3082D">
        <w:t>Essential Energy</w:t>
      </w:r>
      <w:r w:rsidRPr="00AD2407">
        <w:t>'s proposed RFM, such as CPI, rate of return</w:t>
      </w:r>
      <w:r w:rsidR="00F66A41">
        <w:t>, asset lives</w:t>
      </w:r>
      <w:r w:rsidRPr="00AD2407">
        <w:t xml:space="preserve"> and disposal values</w:t>
      </w:r>
      <w:r w:rsidR="00023CB5">
        <w:t>.</w:t>
      </w:r>
      <w:r w:rsidR="00023CB5" w:rsidRPr="00023CB5">
        <w:t xml:space="preserve"> </w:t>
      </w:r>
      <w:r w:rsidR="00023CB5">
        <w:t xml:space="preserve">We </w:t>
      </w:r>
      <w:r w:rsidR="00F66A41">
        <w:t xml:space="preserve">found these were correct and they reconcile with relevant data sources such as ABS data, </w:t>
      </w:r>
      <w:r w:rsidR="00023CB5">
        <w:t>annual reporting RIN data</w:t>
      </w:r>
      <w:r w:rsidR="00F66A41">
        <w:t xml:space="preserve"> and the 2009–14 decision models</w:t>
      </w:r>
      <w:r w:rsidR="00023CB5">
        <w:t>.</w:t>
      </w:r>
      <w:r w:rsidR="006818E2">
        <w:t xml:space="preserve"> </w:t>
      </w:r>
      <w:r w:rsidR="00F45DA3">
        <w:t>For the 2013–14 CPI input, we have updated the RFM with the actual value of 2.45 per cent.</w:t>
      </w:r>
    </w:p>
    <w:p w:rsidR="00D742BB" w:rsidRDefault="00A803F5" w:rsidP="00A803F5">
      <w:pPr>
        <w:pStyle w:val="Heading3"/>
      </w:pPr>
      <w:bookmarkStart w:id="27" w:name="_Toc404324615"/>
      <w:r>
        <w:t>Forecast closing RAB</w:t>
      </w:r>
      <w:r w:rsidR="00C22174">
        <w:t xml:space="preserve"> as at 30 June 2019</w:t>
      </w:r>
      <w:bookmarkEnd w:id="27"/>
    </w:p>
    <w:p w:rsidR="00443636" w:rsidRPr="00443636" w:rsidRDefault="00443636" w:rsidP="00443636">
      <w:pPr>
        <w:pStyle w:val="AERbodytext"/>
      </w:pPr>
      <w:r w:rsidRPr="00443636">
        <w:t>We forecast a closing RAB value of $</w:t>
      </w:r>
      <w:r w:rsidR="00B83ECA">
        <w:t>8145</w:t>
      </w:r>
      <w:r w:rsidR="000067A2">
        <w:t>.0</w:t>
      </w:r>
      <w:r w:rsidR="00B54962">
        <w:t> </w:t>
      </w:r>
      <w:r w:rsidRPr="00443636">
        <w:t>million by 30 June 201</w:t>
      </w:r>
      <w:r>
        <w:t>9</w:t>
      </w:r>
      <w:r w:rsidRPr="00443636">
        <w:t xml:space="preserve"> for </w:t>
      </w:r>
      <w:r>
        <w:t>Essential Energy. This</w:t>
      </w:r>
      <w:r w:rsidRPr="00443636">
        <w:t xml:space="preserve"> represents a </w:t>
      </w:r>
      <w:r w:rsidR="00023CB5">
        <w:t xml:space="preserve">reduction of </w:t>
      </w:r>
      <w:r w:rsidR="00B83ECA">
        <w:t>868.4</w:t>
      </w:r>
      <w:r w:rsidR="00B54962">
        <w:t> </w:t>
      </w:r>
      <w:r w:rsidR="00023CB5">
        <w:t xml:space="preserve">million, or </w:t>
      </w:r>
      <w:r w:rsidR="00B83ECA">
        <w:t>9.6 </w:t>
      </w:r>
      <w:r w:rsidRPr="00443636">
        <w:t xml:space="preserve">per cent </w:t>
      </w:r>
      <w:r w:rsidR="00F66A41">
        <w:t>t</w:t>
      </w:r>
      <w:r w:rsidRPr="00443636">
        <w:t xml:space="preserve">o </w:t>
      </w:r>
      <w:r>
        <w:t>Essential Energy</w:t>
      </w:r>
      <w:r w:rsidRPr="00443636">
        <w:t>'s proposal. This reduction reflects our draft decision on the inputs for determining the forecast RAB in the PTRM. To determine the forecast RAB value, we amended the following PTRM inputs:</w:t>
      </w:r>
    </w:p>
    <w:p w:rsidR="00AF66C0" w:rsidRPr="00443636" w:rsidRDefault="00AF66C0" w:rsidP="00AF66C0">
      <w:pPr>
        <w:pStyle w:val="AERbulletlistfirststyle"/>
      </w:pPr>
      <w:r w:rsidRPr="00443636">
        <w:t xml:space="preserve">We </w:t>
      </w:r>
      <w:r>
        <w:t>reduced</w:t>
      </w:r>
      <w:r w:rsidRPr="00443636">
        <w:t xml:space="preserve"> </w:t>
      </w:r>
      <w:r w:rsidR="005C0BCE">
        <w:t>Essential</w:t>
      </w:r>
      <w:r>
        <w:t xml:space="preserve"> Energy</w:t>
      </w:r>
      <w:r w:rsidRPr="00443636">
        <w:t>'s proposed opening RAB as at 1 July 2014 by $</w:t>
      </w:r>
      <w:r w:rsidR="00B54962">
        <w:t>84.9</w:t>
      </w:r>
      <w:r w:rsidRPr="00443636">
        <w:t xml:space="preserve"> million or </w:t>
      </w:r>
      <w:r w:rsidR="00B54962">
        <w:t>1.3</w:t>
      </w:r>
      <w:r w:rsidR="00B15C15">
        <w:t> </w:t>
      </w:r>
      <w:r w:rsidRPr="00443636">
        <w:t>per cent</w:t>
      </w:r>
      <w:r>
        <w:t xml:space="preserve"> (</w:t>
      </w:r>
      <w:r w:rsidR="00F66A41">
        <w:t>s</w:t>
      </w:r>
      <w:r>
        <w:t>ection</w:t>
      </w:r>
      <w:r w:rsidR="00B15C15">
        <w:t xml:space="preserve"> </w:t>
      </w:r>
      <w:r w:rsidR="00B15C15">
        <w:fldChar w:fldCharType="begin"/>
      </w:r>
      <w:r w:rsidR="00B15C15">
        <w:instrText xml:space="preserve"> REF _Ref394911405 \r \h </w:instrText>
      </w:r>
      <w:r w:rsidR="00B15C15">
        <w:fldChar w:fldCharType="separate"/>
      </w:r>
      <w:r w:rsidR="00B15C15">
        <w:t>2.4.1</w:t>
      </w:r>
      <w:r w:rsidR="00B15C15">
        <w:fldChar w:fldCharType="end"/>
      </w:r>
      <w:r>
        <w:t>)</w:t>
      </w:r>
      <w:r w:rsidRPr="00443636">
        <w:t>.</w:t>
      </w:r>
    </w:p>
    <w:p w:rsidR="00443636" w:rsidRPr="00443636" w:rsidRDefault="00443636" w:rsidP="00443636">
      <w:pPr>
        <w:pStyle w:val="AERbulletlistfirststyle"/>
      </w:pPr>
      <w:r w:rsidRPr="00443636">
        <w:t xml:space="preserve">We reduced </w:t>
      </w:r>
      <w:r>
        <w:t>Essential Energy</w:t>
      </w:r>
      <w:r w:rsidRPr="00443636">
        <w:t xml:space="preserve">'s proposed forecast </w:t>
      </w:r>
      <w:proofErr w:type="spellStart"/>
      <w:r w:rsidRPr="00443636">
        <w:t>capex</w:t>
      </w:r>
      <w:proofErr w:type="spellEnd"/>
      <w:r w:rsidRPr="00443636">
        <w:t xml:space="preserve"> for the </w:t>
      </w:r>
      <w:r w:rsidR="00310328">
        <w:t>2014</w:t>
      </w:r>
      <w:r w:rsidR="00973A8B">
        <w:t>–</w:t>
      </w:r>
      <w:r w:rsidR="00310328">
        <w:t xml:space="preserve">19 </w:t>
      </w:r>
      <w:proofErr w:type="gramStart"/>
      <w:r w:rsidR="00310328">
        <w:t>period</w:t>
      </w:r>
      <w:proofErr w:type="gramEnd"/>
      <w:r w:rsidRPr="00443636">
        <w:t xml:space="preserve"> by $</w:t>
      </w:r>
      <w:r w:rsidR="00B83ECA">
        <w:t>782.5</w:t>
      </w:r>
      <w:r w:rsidR="00B83ECA">
        <w:rPr>
          <w:rStyle w:val="CommentReference"/>
          <w:rFonts w:eastAsia="Calibri"/>
        </w:rPr>
        <w:t> </w:t>
      </w:r>
      <w:r w:rsidRPr="00443636">
        <w:t xml:space="preserve">million or </w:t>
      </w:r>
      <w:r w:rsidR="00B83ECA">
        <w:t>27.4</w:t>
      </w:r>
      <w:r w:rsidRPr="00443636">
        <w:t xml:space="preserve"> per cent (attachment </w:t>
      </w:r>
      <w:r w:rsidR="00705B0B">
        <w:t>6</w:t>
      </w:r>
      <w:r w:rsidRPr="00443636">
        <w:t>).</w:t>
      </w:r>
    </w:p>
    <w:p w:rsidR="00443636" w:rsidRDefault="00443636" w:rsidP="00443636">
      <w:pPr>
        <w:pStyle w:val="AERbulletlistfirststyle"/>
      </w:pPr>
      <w:r>
        <w:t>We reduced Essential Energy</w:t>
      </w:r>
      <w:r w:rsidRPr="00443636">
        <w:t>'s proposed forecast regulatory depreciation allowance by $</w:t>
      </w:r>
      <w:r w:rsidR="00B83ECA">
        <w:t>1.1</w:t>
      </w:r>
      <w:r w:rsidR="00B54962">
        <w:t> </w:t>
      </w:r>
      <w:r w:rsidRPr="00443636">
        <w:t xml:space="preserve">million or </w:t>
      </w:r>
      <w:r w:rsidR="00B83ECA">
        <w:t>0.2</w:t>
      </w:r>
      <w:r w:rsidR="00B54962">
        <w:rPr>
          <w:rStyle w:val="CommentReference"/>
          <w:rFonts w:eastAsia="Calibri"/>
        </w:rPr>
        <w:t> </w:t>
      </w:r>
      <w:r w:rsidRPr="00443636">
        <w:t xml:space="preserve">per cent (attachment </w:t>
      </w:r>
      <w:r w:rsidR="00705B0B">
        <w:t>5</w:t>
      </w:r>
      <w:r w:rsidRPr="00443636">
        <w:t>).</w:t>
      </w:r>
    </w:p>
    <w:p w:rsidR="00A803F5" w:rsidRDefault="00F66A41" w:rsidP="00A803F5">
      <w:pPr>
        <w:pStyle w:val="Heading3"/>
      </w:pPr>
      <w:bookmarkStart w:id="28" w:name="_Toc404324616"/>
      <w:r>
        <w:t>Application of d</w:t>
      </w:r>
      <w:r w:rsidR="00C22174" w:rsidRPr="00C22174">
        <w:t xml:space="preserve">epreciation approach </w:t>
      </w:r>
      <w:r>
        <w:t>in RAB</w:t>
      </w:r>
      <w:r w:rsidRPr="00C22174">
        <w:t xml:space="preserve"> </w:t>
      </w:r>
      <w:r w:rsidR="00C22174" w:rsidRPr="00C22174">
        <w:t xml:space="preserve">roll forward </w:t>
      </w:r>
      <w:r>
        <w:t>for next reset</w:t>
      </w:r>
      <w:bookmarkEnd w:id="28"/>
    </w:p>
    <w:p w:rsidR="00F66A41" w:rsidRDefault="00F214ED" w:rsidP="00C93632">
      <w:pPr>
        <w:pStyle w:val="AERbodytext"/>
      </w:pPr>
      <w:r w:rsidRPr="00F214ED">
        <w:t xml:space="preserve">Consistent with our </w:t>
      </w:r>
      <w:r w:rsidR="00F66A41">
        <w:t xml:space="preserve">Stage 2 </w:t>
      </w:r>
      <w:r w:rsidR="0008691B">
        <w:t>F</w:t>
      </w:r>
      <w:r w:rsidRPr="00F214ED">
        <w:t xml:space="preserve">ramework and </w:t>
      </w:r>
      <w:r w:rsidR="0008691B">
        <w:t>A</w:t>
      </w:r>
      <w:r w:rsidRPr="00F214ED">
        <w:t xml:space="preserve">pproach </w:t>
      </w:r>
      <w:r w:rsidR="00F66A41">
        <w:t>and Essential Energy's proposal</w:t>
      </w:r>
      <w:r w:rsidRPr="00F214ED">
        <w:t xml:space="preserve">, we determine that the forecast depreciation approach is to be used to establish the RAB at the commencement of </w:t>
      </w:r>
      <w:r w:rsidR="00F66A41">
        <w:t xml:space="preserve">Essential Energy's </w:t>
      </w:r>
      <w:r w:rsidRPr="00F214ED">
        <w:t>201</w:t>
      </w:r>
      <w:r>
        <w:t>9</w:t>
      </w:r>
      <w:r w:rsidRPr="00F214ED">
        <w:t>–2</w:t>
      </w:r>
      <w:r>
        <w:t xml:space="preserve">4 </w:t>
      </w:r>
      <w:r w:rsidRPr="00F214ED">
        <w:t>regulatory control period</w:t>
      </w:r>
      <w:r>
        <w:t>.</w:t>
      </w:r>
      <w:r w:rsidR="00C35B13" w:rsidRPr="00C35B13">
        <w:rPr>
          <w:rStyle w:val="FootnoteReference"/>
        </w:rPr>
        <w:footnoteReference w:id="28"/>
      </w:r>
      <w:r w:rsidR="00C35B13">
        <w:rPr>
          <w:rStyle w:val="CommentReference"/>
          <w:rFonts w:eastAsia="Calibri"/>
        </w:rPr>
        <w:t xml:space="preserve"> </w:t>
      </w:r>
      <w:r w:rsidR="00F66A41">
        <w:t xml:space="preserve">This approach will apply to both the transitional and subsequent regulatory control periods for </w:t>
      </w:r>
      <w:r w:rsidR="005C0BCE">
        <w:t>Essential</w:t>
      </w:r>
      <w:r w:rsidR="00F66A41">
        <w:t xml:space="preserve"> Energy.</w:t>
      </w:r>
      <w:r w:rsidR="00F66A41">
        <w:rPr>
          <w:rStyle w:val="FootnoteReference"/>
        </w:rPr>
        <w:footnoteReference w:id="29"/>
      </w:r>
      <w:r w:rsidR="00F66A41">
        <w:t xml:space="preserve"> We consider this approach will provide sufficient incentives for </w:t>
      </w:r>
      <w:r w:rsidR="005C0BCE">
        <w:t>Essential</w:t>
      </w:r>
      <w:r w:rsidR="00F66A41">
        <w:t xml:space="preserve"> Energy to achieve </w:t>
      </w:r>
      <w:proofErr w:type="spellStart"/>
      <w:r w:rsidR="00F66A41">
        <w:t>capex</w:t>
      </w:r>
      <w:proofErr w:type="spellEnd"/>
      <w:r w:rsidR="00F66A41">
        <w:t xml:space="preserve"> efficiency gains over the relevant regulatory control periods.</w:t>
      </w:r>
    </w:p>
    <w:p w:rsidR="00C93632" w:rsidRPr="00FB2897" w:rsidRDefault="00F66A41" w:rsidP="00C93632">
      <w:pPr>
        <w:pStyle w:val="AERbodytext"/>
      </w:pPr>
      <w:r>
        <w:t>W</w:t>
      </w:r>
      <w:r w:rsidR="00C93632">
        <w:t>e had regard to the relevant factors in the NER</w:t>
      </w:r>
      <w:r>
        <w:t xml:space="preserve"> in developing the approach to choosing the depreciation approach set out in our </w:t>
      </w:r>
      <w:proofErr w:type="spellStart"/>
      <w:r>
        <w:t>capex</w:t>
      </w:r>
      <w:proofErr w:type="spellEnd"/>
      <w:r>
        <w:t xml:space="preserve"> incentive guideline</w:t>
      </w:r>
      <w:r w:rsidR="00C93632">
        <w:t>.</w:t>
      </w:r>
      <w:r w:rsidR="00C93632">
        <w:rPr>
          <w:rStyle w:val="FootnoteReference"/>
        </w:rPr>
        <w:footnoteReference w:id="30"/>
      </w:r>
      <w:r w:rsidR="00C93632">
        <w:t xml:space="preserve"> Our approach is to apply forecast depreciation except where</w:t>
      </w:r>
      <w:r w:rsidR="00C93632" w:rsidRPr="00FB2897">
        <w:t>:</w:t>
      </w:r>
      <w:r w:rsidR="00C93632">
        <w:t xml:space="preserve"> </w:t>
      </w:r>
    </w:p>
    <w:p w:rsidR="00C93632" w:rsidRPr="00FB2897" w:rsidRDefault="00C93632" w:rsidP="00C93632">
      <w:pPr>
        <w:pStyle w:val="AERbulletlistfirststyle"/>
      </w:pPr>
      <w:r w:rsidRPr="00FB2897">
        <w:t xml:space="preserve">there is no </w:t>
      </w:r>
      <w:r w:rsidRPr="00F214ED">
        <w:t>CESS</w:t>
      </w:r>
      <w:r w:rsidR="00541A86">
        <w:t xml:space="preserve"> </w:t>
      </w:r>
      <w:r w:rsidRPr="00FB2897">
        <w:t xml:space="preserve">in place and therefore the power of </w:t>
      </w:r>
      <w:r>
        <w:t xml:space="preserve">the </w:t>
      </w:r>
      <w:proofErr w:type="spellStart"/>
      <w:r w:rsidRPr="00FB2897">
        <w:t>capex</w:t>
      </w:r>
      <w:proofErr w:type="spellEnd"/>
      <w:r w:rsidRPr="00FB2897">
        <w:t xml:space="preserve"> incent</w:t>
      </w:r>
      <w:r>
        <w:t>ive may need to be strengthened,</w:t>
      </w:r>
      <w:r w:rsidRPr="00FB2897">
        <w:t xml:space="preserve"> or</w:t>
      </w:r>
    </w:p>
    <w:p w:rsidR="00C93632" w:rsidRPr="00FB2897" w:rsidRDefault="00C93632" w:rsidP="00C93632">
      <w:pPr>
        <w:pStyle w:val="AERbulletlistfirststyle"/>
      </w:pPr>
      <w:proofErr w:type="gramStart"/>
      <w:r>
        <w:t>a</w:t>
      </w:r>
      <w:proofErr w:type="gramEnd"/>
      <w:r>
        <w:t xml:space="preserve"> service provider’s </w:t>
      </w:r>
      <w:r w:rsidRPr="00FB2897">
        <w:t xml:space="preserve">past </w:t>
      </w:r>
      <w:proofErr w:type="spellStart"/>
      <w:r w:rsidRPr="00FB2897">
        <w:t>capex</w:t>
      </w:r>
      <w:proofErr w:type="spellEnd"/>
      <w:r w:rsidRPr="00FB2897">
        <w:t xml:space="preserve"> performance demonstrates evidence of persistent overspending</w:t>
      </w:r>
      <w:r>
        <w:t xml:space="preserve"> or inefficiency, thus requiring a higher powered incentive</w:t>
      </w:r>
      <w:r w:rsidRPr="00FB2897">
        <w:t>.</w:t>
      </w:r>
    </w:p>
    <w:p w:rsidR="00F66A41" w:rsidRPr="002B6508" w:rsidRDefault="00F66A41" w:rsidP="00F66A41">
      <w:pPr>
        <w:pStyle w:val="AERbodytext"/>
      </w:pPr>
      <w:r w:rsidRPr="002B6508">
        <w:t xml:space="preserve">In making our decision on whether to use actual depreciation in either of these circumstances we </w:t>
      </w:r>
      <w:r>
        <w:t>have</w:t>
      </w:r>
      <w:r w:rsidRPr="002B6508">
        <w:t xml:space="preserve"> consider</w:t>
      </w:r>
      <w:r>
        <w:t>ed</w:t>
      </w:r>
      <w:r w:rsidRPr="002B6508">
        <w:t>:</w:t>
      </w:r>
    </w:p>
    <w:p w:rsidR="00F66A41" w:rsidRPr="002B6508" w:rsidRDefault="00F66A41" w:rsidP="00F66A41">
      <w:pPr>
        <w:pStyle w:val="AERbulletlistfirststyle"/>
      </w:pPr>
      <w:r w:rsidRPr="002B6508">
        <w:t xml:space="preserve">the substitutability between </w:t>
      </w:r>
      <w:proofErr w:type="spellStart"/>
      <w:r w:rsidRPr="002B6508">
        <w:t>capex</w:t>
      </w:r>
      <w:proofErr w:type="spellEnd"/>
      <w:r w:rsidRPr="002B6508">
        <w:t xml:space="preserve"> and </w:t>
      </w:r>
      <w:proofErr w:type="spellStart"/>
      <w:r w:rsidRPr="002B6508">
        <w:t>opex</w:t>
      </w:r>
      <w:proofErr w:type="spellEnd"/>
      <w:r w:rsidRPr="002B6508">
        <w:t xml:space="preserve"> and the balance of incentives between these</w:t>
      </w:r>
    </w:p>
    <w:p w:rsidR="00F66A41" w:rsidRPr="002B6508" w:rsidRDefault="00F66A41" w:rsidP="00F66A41">
      <w:pPr>
        <w:pStyle w:val="AERbulletlistfirststyle"/>
      </w:pPr>
      <w:r w:rsidRPr="002B6508">
        <w:t>the balance of incentives with service</w:t>
      </w:r>
      <w:r>
        <w:t xml:space="preserve"> outcomes</w:t>
      </w:r>
    </w:p>
    <w:p w:rsidR="00F66A41" w:rsidRPr="002B6508" w:rsidRDefault="00F66A41" w:rsidP="00F66A41">
      <w:pPr>
        <w:pStyle w:val="AERbulletlistfirststyle"/>
      </w:pPr>
      <w:proofErr w:type="gramStart"/>
      <w:r w:rsidRPr="002B6508">
        <w:t>the</w:t>
      </w:r>
      <w:proofErr w:type="gramEnd"/>
      <w:r w:rsidRPr="002B6508">
        <w:t xml:space="preserve"> substitutability of assets of different asset lives.</w:t>
      </w:r>
    </w:p>
    <w:p w:rsidR="00F66A41" w:rsidRDefault="00F66A41" w:rsidP="00F66A41">
      <w:pPr>
        <w:pStyle w:val="AERbodytext"/>
      </w:pPr>
      <w:r w:rsidRPr="00695AA2">
        <w:lastRenderedPageBreak/>
        <w:t>We have chosen forecast depreciation because, in combination with the CESS, it will provide a 30 per cent reward</w:t>
      </w:r>
      <w:r>
        <w:t xml:space="preserve"> </w:t>
      </w:r>
      <w:r w:rsidRPr="00695AA2">
        <w:t xml:space="preserve">for </w:t>
      </w:r>
      <w:proofErr w:type="spellStart"/>
      <w:r w:rsidRPr="00695AA2">
        <w:t>capex</w:t>
      </w:r>
      <w:proofErr w:type="spellEnd"/>
      <w:r w:rsidRPr="00695AA2">
        <w:t xml:space="preserve"> </w:t>
      </w:r>
      <w:r>
        <w:t xml:space="preserve">underspends and 30 per cent penalty for </w:t>
      </w:r>
      <w:proofErr w:type="spellStart"/>
      <w:r>
        <w:t>capex</w:t>
      </w:r>
      <w:proofErr w:type="spellEnd"/>
      <w:r>
        <w:t xml:space="preserve"> overspends</w:t>
      </w:r>
      <w:r w:rsidRPr="00695AA2">
        <w:t xml:space="preserve">, which is consistent for all asset classes. </w:t>
      </w:r>
      <w:r>
        <w:t xml:space="preserve">In developing </w:t>
      </w:r>
      <w:r w:rsidRPr="002B6508">
        <w:t xml:space="preserve">our </w:t>
      </w:r>
      <w:proofErr w:type="spellStart"/>
      <w:r w:rsidRPr="002B6508">
        <w:t>capex</w:t>
      </w:r>
      <w:proofErr w:type="spellEnd"/>
      <w:r w:rsidRPr="002B6508">
        <w:t xml:space="preserve"> incentives guideline</w:t>
      </w:r>
      <w:r>
        <w:t xml:space="preserve">, </w:t>
      </w:r>
      <w:r w:rsidRPr="00695AA2">
        <w:t>we consider</w:t>
      </w:r>
      <w:r>
        <w:t>ed</w:t>
      </w:r>
      <w:r w:rsidRPr="00695AA2">
        <w:t xml:space="preserve"> this to be a sufficient incentive for a </w:t>
      </w:r>
      <w:r w:rsidR="00A41BF0">
        <w:t>service provider</w:t>
      </w:r>
      <w:r w:rsidRPr="00695AA2">
        <w:t xml:space="preserve"> to achieve efficiency gains over the regulatory </w:t>
      </w:r>
      <w:r>
        <w:t xml:space="preserve">control </w:t>
      </w:r>
      <w:r w:rsidRPr="00695AA2">
        <w:t>period</w:t>
      </w:r>
      <w:r>
        <w:t xml:space="preserve"> i</w:t>
      </w:r>
      <w:r w:rsidRPr="002B6508">
        <w:t>n most circumstances</w:t>
      </w:r>
      <w:r w:rsidRPr="00695AA2">
        <w:t>.</w:t>
      </w:r>
    </w:p>
    <w:p w:rsidR="00EF0E19" w:rsidRPr="00D97003" w:rsidRDefault="00C93632" w:rsidP="00C93632">
      <w:pPr>
        <w:pStyle w:val="AERbodytext"/>
      </w:pPr>
      <w:r>
        <w:t xml:space="preserve">As discussed in attachment </w:t>
      </w:r>
      <w:r w:rsidR="00705B0B">
        <w:t>10</w:t>
      </w:r>
      <w:r>
        <w:t xml:space="preserve">, </w:t>
      </w:r>
      <w:r w:rsidR="00627713">
        <w:t xml:space="preserve">Essential Energy is </w:t>
      </w:r>
      <w:r w:rsidRPr="00695AA2">
        <w:t xml:space="preserve">not currently subject to a CESS but we </w:t>
      </w:r>
      <w:r>
        <w:t>will</w:t>
      </w:r>
      <w:r w:rsidRPr="00695AA2">
        <w:t xml:space="preserve"> apply the CESS </w:t>
      </w:r>
      <w:r w:rsidR="00F66A41">
        <w:t xml:space="preserve">to Essential </w:t>
      </w:r>
      <w:r w:rsidR="00D95E8F">
        <w:t xml:space="preserve">Energy from 1 July 2015. </w:t>
      </w:r>
      <w:r w:rsidR="0089008C">
        <w:t>The</w:t>
      </w:r>
      <w:r w:rsidR="00D95E8F">
        <w:t xml:space="preserve"> CESS </w:t>
      </w:r>
      <w:r w:rsidR="0089008C">
        <w:t>does not</w:t>
      </w:r>
      <w:r w:rsidR="00D95E8F">
        <w:t xml:space="preserve"> apply to Essential Energy for the 2014–15</w:t>
      </w:r>
      <w:r w:rsidR="0089008C">
        <w:t xml:space="preserve"> transitional</w:t>
      </w:r>
      <w:r w:rsidR="00D95E8F">
        <w:t xml:space="preserve"> </w:t>
      </w:r>
      <w:r w:rsidRPr="00695AA2">
        <w:t xml:space="preserve">regulatory </w:t>
      </w:r>
      <w:r>
        <w:t xml:space="preserve">control </w:t>
      </w:r>
      <w:proofErr w:type="gramStart"/>
      <w:r>
        <w:t>period</w:t>
      </w:r>
      <w:proofErr w:type="gramEnd"/>
      <w:r>
        <w:t>.</w:t>
      </w:r>
      <w:r w:rsidR="00D95E8F">
        <w:rPr>
          <w:rStyle w:val="FootnoteReference"/>
        </w:rPr>
        <w:footnoteReference w:id="31"/>
      </w:r>
      <w:r>
        <w:t xml:space="preserve"> </w:t>
      </w:r>
      <w:r w:rsidR="00C81D0A">
        <w:t>W</w:t>
      </w:r>
      <w:r w:rsidR="00C81D0A" w:rsidRPr="00F214ED">
        <w:t xml:space="preserve">e consider the </w:t>
      </w:r>
      <w:r w:rsidR="0089008C">
        <w:t>use of a forecast depreciation</w:t>
      </w:r>
      <w:r w:rsidR="00C81D0A">
        <w:t xml:space="preserve"> approach</w:t>
      </w:r>
      <w:r w:rsidR="00C81D0A" w:rsidRPr="00F214ED">
        <w:t xml:space="preserve"> </w:t>
      </w:r>
      <w:r w:rsidR="00C81D0A">
        <w:t xml:space="preserve">in combination with </w:t>
      </w:r>
      <w:r w:rsidR="00C81D0A" w:rsidRPr="00F214ED">
        <w:t>the application of the CESS</w:t>
      </w:r>
      <w:r w:rsidR="00C81D0A">
        <w:t xml:space="preserve"> </w:t>
      </w:r>
      <w:r w:rsidR="00C81D0A" w:rsidRPr="00F214ED">
        <w:t xml:space="preserve">and our other ex post </w:t>
      </w:r>
      <w:proofErr w:type="spellStart"/>
      <w:r w:rsidR="00C81D0A" w:rsidRPr="00F214ED">
        <w:t>capex</w:t>
      </w:r>
      <w:proofErr w:type="spellEnd"/>
      <w:r w:rsidR="00C81D0A" w:rsidRPr="00F214ED">
        <w:t xml:space="preserve"> measures </w:t>
      </w:r>
      <w:r w:rsidR="00C81D0A">
        <w:t>ar</w:t>
      </w:r>
      <w:r w:rsidR="00C81D0A" w:rsidRPr="00F214ED">
        <w:t>e</w:t>
      </w:r>
      <w:r w:rsidR="00C81D0A">
        <w:t xml:space="preserve"> </w:t>
      </w:r>
      <w:r w:rsidR="00C81D0A" w:rsidRPr="00F214ED">
        <w:t xml:space="preserve">sufficient to achieve the </w:t>
      </w:r>
      <w:proofErr w:type="spellStart"/>
      <w:r w:rsidR="00C81D0A" w:rsidRPr="00F214ED">
        <w:t>capex</w:t>
      </w:r>
      <w:proofErr w:type="spellEnd"/>
      <w:r w:rsidR="00C81D0A" w:rsidRPr="00F214ED">
        <w:t xml:space="preserve"> incentive objective.</w:t>
      </w:r>
      <w:r>
        <w:rPr>
          <w:rStyle w:val="FootnoteReference"/>
        </w:rPr>
        <w:footnoteReference w:id="32"/>
      </w:r>
    </w:p>
    <w:sectPr w:rsidR="00EF0E19" w:rsidRPr="00D97003" w:rsidSect="0045608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91B" w:rsidRPr="00AB4345" w:rsidRDefault="0008691B" w:rsidP="00AB4345">
      <w:r>
        <w:separator/>
      </w:r>
    </w:p>
  </w:endnote>
  <w:endnote w:type="continuationSeparator" w:id="0">
    <w:p w:rsidR="0008691B" w:rsidRPr="00AB4345" w:rsidRDefault="0008691B"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08691B" w:rsidRPr="00824CC8" w:rsidRDefault="0008691B" w:rsidP="00824CC8">
        <w:pPr>
          <w:pStyle w:val="Footer"/>
        </w:pPr>
        <w:r>
          <w:t>2-</w:t>
        </w:r>
        <w:r w:rsidRPr="00824CC8">
          <w:fldChar w:fldCharType="begin"/>
        </w:r>
        <w:r w:rsidRPr="00824CC8">
          <w:instrText xml:space="preserve"> PAGE   \* MERGEFORMAT </w:instrText>
        </w:r>
        <w:r w:rsidRPr="00824CC8">
          <w:fldChar w:fldCharType="separate"/>
        </w:r>
        <w:r w:rsidR="00D90BFE">
          <w:rPr>
            <w:noProof/>
          </w:rPr>
          <w:t>14</w:t>
        </w:r>
        <w:r w:rsidRPr="00824CC8">
          <w:fldChar w:fldCharType="end"/>
        </w:r>
        <w:r w:rsidRPr="00824CC8">
          <w:tab/>
        </w:r>
        <w:r>
          <w:t xml:space="preserve">                                     </w:t>
        </w:r>
        <w:r w:rsidR="00B15C15">
          <w:t xml:space="preserve">     </w:t>
        </w:r>
        <w:r w:rsidRPr="00210880">
          <w:rPr>
            <w:rStyle w:val="AERbody"/>
          </w:rPr>
          <w:t>Attachment</w:t>
        </w:r>
        <w:r>
          <w:rPr>
            <w:rStyle w:val="AERbody"/>
          </w:rPr>
          <w:t xml:space="preserve"> 2: Regulatory asset base</w:t>
        </w:r>
        <w:r w:rsidRPr="00824CC8">
          <w:rPr>
            <w:rStyle w:val="AERbody"/>
          </w:rPr>
          <w:t xml:space="preserve"> | </w:t>
        </w:r>
        <w:r>
          <w:rPr>
            <w:rStyle w:val="AERbody"/>
          </w:rPr>
          <w:t>Essential Energy d</w:t>
        </w:r>
        <w:r w:rsidRPr="004906E8">
          <w:rPr>
            <w:rStyle w:val="AERbody"/>
          </w:rPr>
          <w:t>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1B" w:rsidRPr="00824CC8" w:rsidRDefault="0008691B" w:rsidP="00824CC8">
    <w:pPr>
      <w:pStyle w:val="Footer"/>
      <w:rPr>
        <w:rStyle w:val="AERbody"/>
      </w:rPr>
    </w:pPr>
    <w:r w:rsidRPr="00210880">
      <w:rPr>
        <w:rStyle w:val="AERbody"/>
      </w:rPr>
      <w:t>Attachment</w:t>
    </w:r>
    <w:r>
      <w:rPr>
        <w:rStyle w:val="AERbody"/>
      </w:rPr>
      <w:t xml:space="preserve"> 2: Regulatory asset base</w:t>
    </w:r>
    <w:r w:rsidRPr="00824CC8">
      <w:rPr>
        <w:rStyle w:val="AERbody"/>
      </w:rPr>
      <w:t xml:space="preserve"> | </w:t>
    </w:r>
    <w:r>
      <w:rPr>
        <w:rStyle w:val="AERbody"/>
      </w:rPr>
      <w:t>Essential Energy d</w:t>
    </w:r>
    <w:r w:rsidRPr="004906E8">
      <w:rPr>
        <w:rStyle w:val="AERbody"/>
      </w:rPr>
      <w:t>raft decision</w:t>
    </w:r>
    <w:r w:rsidRPr="00210880">
      <w:rPr>
        <w:rStyle w:val="AERbody"/>
      </w:rPr>
      <w:tab/>
    </w:r>
    <w:r>
      <w:rPr>
        <w:rStyle w:val="AERbody"/>
      </w:rPr>
      <w:t>2-</w:t>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D90BFE">
      <w:rPr>
        <w:rStyle w:val="AERbody"/>
        <w:noProof/>
      </w:rPr>
      <w:t>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91B" w:rsidRPr="00AB4345" w:rsidRDefault="0008691B" w:rsidP="00AB4345">
      <w:r>
        <w:separator/>
      </w:r>
    </w:p>
  </w:footnote>
  <w:footnote w:type="continuationSeparator" w:id="0">
    <w:p w:rsidR="0008691B" w:rsidRPr="00AB4345" w:rsidRDefault="0008691B" w:rsidP="00AB4345">
      <w:r>
        <w:continuationSeparator/>
      </w:r>
    </w:p>
  </w:footnote>
  <w:footnote w:id="1">
    <w:p w:rsidR="0008691B" w:rsidRDefault="0008691B" w:rsidP="003E2D82">
      <w:pPr>
        <w:pStyle w:val="FootnoteText"/>
      </w:pPr>
      <w:r>
        <w:rPr>
          <w:rStyle w:val="FootnoteReference"/>
        </w:rPr>
        <w:footnoteRef/>
      </w:r>
      <w:r>
        <w:t xml:space="preserve"> </w:t>
      </w:r>
      <w:r>
        <w:tab/>
      </w:r>
      <w:proofErr w:type="gramStart"/>
      <w:r w:rsidRPr="003540A6">
        <w:t xml:space="preserve">NER, </w:t>
      </w:r>
      <w:r>
        <w:t>cl.</w:t>
      </w:r>
      <w:r w:rsidRPr="003540A6">
        <w:t xml:space="preserve"> 6.12.1(6).</w:t>
      </w:r>
      <w:proofErr w:type="gramEnd"/>
    </w:p>
  </w:footnote>
  <w:footnote w:id="2">
    <w:p w:rsidR="0008691B" w:rsidRDefault="0008691B" w:rsidP="00360CE9">
      <w:pPr>
        <w:pStyle w:val="FootnoteText"/>
      </w:pPr>
      <w:r>
        <w:rPr>
          <w:rStyle w:val="FootnoteReference"/>
        </w:rPr>
        <w:footnoteRef/>
      </w:r>
      <w:r>
        <w:t xml:space="preserve"> </w:t>
      </w:r>
      <w:r>
        <w:tab/>
      </w:r>
      <w:proofErr w:type="gramStart"/>
      <w:r>
        <w:t>Essential</w:t>
      </w:r>
      <w:r w:rsidRPr="00DC4EE3">
        <w:t xml:space="preserve"> Energy, </w:t>
      </w:r>
      <w:r w:rsidRPr="00DC4EE3">
        <w:rPr>
          <w:rStyle w:val="AERtextitalic"/>
        </w:rPr>
        <w:t>Regulatory proposal</w:t>
      </w:r>
      <w:r w:rsidRPr="00DC4EE3">
        <w:t>, May 2014, Attachment 4.02.</w:t>
      </w:r>
      <w:proofErr w:type="gramEnd"/>
    </w:p>
  </w:footnote>
  <w:footnote w:id="3">
    <w:p w:rsidR="0008691B" w:rsidRDefault="0008691B" w:rsidP="00D07A8F">
      <w:pPr>
        <w:pStyle w:val="FootnoteText"/>
      </w:pPr>
      <w:r>
        <w:rPr>
          <w:rStyle w:val="FootnoteReference"/>
        </w:rPr>
        <w:footnoteRef/>
      </w:r>
      <w:r>
        <w:t xml:space="preserve"> </w:t>
      </w:r>
      <w:r>
        <w:tab/>
        <w:t xml:space="preserve">The end of period adjustment will be positive (negative) if actual </w:t>
      </w:r>
      <w:proofErr w:type="spellStart"/>
      <w:r>
        <w:t>capex</w:t>
      </w:r>
      <w:proofErr w:type="spellEnd"/>
      <w:r>
        <w:t xml:space="preserve"> is higher (lower) than the estimate approved at the 2009–14 determination.</w:t>
      </w:r>
    </w:p>
  </w:footnote>
  <w:footnote w:id="4">
    <w:p w:rsidR="00B15C15" w:rsidRDefault="00B15C15" w:rsidP="00B15C15">
      <w:pPr>
        <w:pStyle w:val="FootnoteText"/>
      </w:pPr>
      <w:r>
        <w:rPr>
          <w:rStyle w:val="FootnoteReference"/>
        </w:rPr>
        <w:footnoteRef/>
      </w:r>
      <w:r>
        <w:t xml:space="preserve"> </w:t>
      </w:r>
      <w:r>
        <w:tab/>
      </w:r>
      <w:proofErr w:type="gramStart"/>
      <w:r>
        <w:t>NER, cl. 6.12.1(18).</w:t>
      </w:r>
      <w:proofErr w:type="gramEnd"/>
    </w:p>
  </w:footnote>
  <w:footnote w:id="5">
    <w:p w:rsidR="0008691B" w:rsidRDefault="0008691B">
      <w:pPr>
        <w:pStyle w:val="FootnoteText"/>
      </w:pPr>
      <w:r>
        <w:rPr>
          <w:rStyle w:val="FootnoteReference"/>
        </w:rPr>
        <w:footnoteRef/>
      </w:r>
      <w:r>
        <w:t xml:space="preserve"> </w:t>
      </w:r>
      <w:r>
        <w:tab/>
      </w:r>
      <w:r w:rsidRPr="005C4CF8">
        <w:t>Essential Energy's also reallocated the value of its 'RAB adjustment' and 'Deferred depreciation' asset classes at 30 June 2014 across its existing system assets.</w:t>
      </w:r>
      <w:r>
        <w:t xml:space="preserve"> This had no impact on the total RAB value.</w:t>
      </w:r>
    </w:p>
  </w:footnote>
  <w:footnote w:id="6">
    <w:p w:rsidR="0008691B" w:rsidRDefault="0008691B" w:rsidP="00023CB5">
      <w:pPr>
        <w:pStyle w:val="FootnoteText"/>
      </w:pPr>
      <w:r>
        <w:rPr>
          <w:rStyle w:val="FootnoteReference"/>
        </w:rPr>
        <w:footnoteRef/>
      </w:r>
      <w:r>
        <w:t xml:space="preserve"> </w:t>
      </w:r>
      <w:r>
        <w:tab/>
      </w:r>
      <w:r w:rsidRPr="00B67E97">
        <w:t>From 1 July 2014 metering will be treated as an alternative control service and therefore metering assets are to be excluded from the standard control services RAB.</w:t>
      </w:r>
    </w:p>
  </w:footnote>
  <w:footnote w:id="7">
    <w:p w:rsidR="0008691B" w:rsidRDefault="0008691B" w:rsidP="00A10B76">
      <w:pPr>
        <w:pStyle w:val="FootnoteText"/>
      </w:pPr>
      <w:r>
        <w:rPr>
          <w:rStyle w:val="FootnoteReference"/>
        </w:rPr>
        <w:footnoteRef/>
      </w:r>
      <w:r>
        <w:t xml:space="preserve"> </w:t>
      </w:r>
      <w:r>
        <w:tab/>
      </w:r>
      <w:proofErr w:type="gramStart"/>
      <w:r w:rsidRPr="00830BA6">
        <w:t xml:space="preserve">Essential Energy, </w:t>
      </w:r>
      <w:r w:rsidRPr="00830BA6">
        <w:rPr>
          <w:rStyle w:val="AERtextitalic"/>
        </w:rPr>
        <w:t>Regulatory proposal</w:t>
      </w:r>
      <w:r w:rsidRPr="00830BA6">
        <w:t>, May 2014,</w:t>
      </w:r>
      <w:r>
        <w:t xml:space="preserve"> p. 24.</w:t>
      </w:r>
      <w:proofErr w:type="gramEnd"/>
      <w:r>
        <w:t xml:space="preserve"> </w:t>
      </w:r>
    </w:p>
  </w:footnote>
  <w:footnote w:id="8">
    <w:p w:rsidR="0008691B" w:rsidRDefault="0008691B" w:rsidP="0075167F">
      <w:pPr>
        <w:pStyle w:val="FootnoteText"/>
      </w:pPr>
      <w:r>
        <w:rPr>
          <w:rStyle w:val="FootnoteReference"/>
        </w:rPr>
        <w:footnoteRef/>
      </w:r>
      <w:r>
        <w:t xml:space="preserve"> </w:t>
      </w:r>
      <w:r>
        <w:tab/>
      </w:r>
      <w:proofErr w:type="gramStart"/>
      <w:r>
        <w:t>NER, cl.</w:t>
      </w:r>
      <w:r w:rsidRPr="0075167F">
        <w:t xml:space="preserve"> S6.2.1.</w:t>
      </w:r>
      <w:proofErr w:type="gramEnd"/>
    </w:p>
  </w:footnote>
  <w:footnote w:id="9">
    <w:p w:rsidR="0008691B" w:rsidRDefault="0008691B">
      <w:pPr>
        <w:pStyle w:val="FootnoteText"/>
      </w:pPr>
      <w:r>
        <w:rPr>
          <w:rStyle w:val="FootnoteReference"/>
        </w:rPr>
        <w:footnoteRef/>
      </w:r>
      <w:r>
        <w:t xml:space="preserve"> </w:t>
      </w:r>
      <w:r>
        <w:tab/>
      </w:r>
      <w:proofErr w:type="gramStart"/>
      <w:r w:rsidRPr="0075167F">
        <w:t>NER, cl</w:t>
      </w:r>
      <w:r>
        <w:t>.</w:t>
      </w:r>
      <w:r w:rsidRPr="0075167F">
        <w:t xml:space="preserve"> 6.5.1.</w:t>
      </w:r>
      <w:proofErr w:type="gramEnd"/>
    </w:p>
  </w:footnote>
  <w:footnote w:id="10">
    <w:p w:rsidR="0008691B" w:rsidRDefault="0008691B" w:rsidP="00310328">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11.56.4(c</w:t>
      </w:r>
      <w:proofErr w:type="gramStart"/>
      <w:r>
        <w:t>)(</w:t>
      </w:r>
      <w:proofErr w:type="gramEnd"/>
      <w:r>
        <w:t>4)-(6) and (f).</w:t>
      </w:r>
    </w:p>
  </w:footnote>
  <w:footnote w:id="11">
    <w:p w:rsidR="0008691B" w:rsidRDefault="0008691B">
      <w:pPr>
        <w:pStyle w:val="FootnoteText"/>
      </w:pPr>
      <w:r>
        <w:rPr>
          <w:rStyle w:val="FootnoteReference"/>
        </w:rPr>
        <w:footnoteRef/>
      </w:r>
      <w:r>
        <w:t xml:space="preserve"> </w:t>
      </w:r>
      <w:r>
        <w:tab/>
      </w:r>
      <w:r w:rsidRPr="0075167F">
        <w:t>NER, cl</w:t>
      </w:r>
      <w:r>
        <w:t>.</w:t>
      </w:r>
      <w:r w:rsidRPr="0075167F">
        <w:t xml:space="preserve"> 6.5.1(e</w:t>
      </w:r>
      <w:proofErr w:type="gramStart"/>
      <w:r w:rsidRPr="0075167F">
        <w:t>)(</w:t>
      </w:r>
      <w:proofErr w:type="gramEnd"/>
      <w:r w:rsidRPr="0075167F">
        <w:t>3).</w:t>
      </w:r>
    </w:p>
  </w:footnote>
  <w:footnote w:id="12">
    <w:p w:rsidR="0008691B" w:rsidRDefault="0008691B" w:rsidP="00023CB5">
      <w:pPr>
        <w:pStyle w:val="FootnoteText"/>
      </w:pPr>
      <w:r>
        <w:rPr>
          <w:rStyle w:val="FootnoteReference"/>
        </w:rPr>
        <w:footnoteRef/>
      </w:r>
      <w:r>
        <w:t xml:space="preserve"> </w:t>
      </w:r>
      <w:r>
        <w:tab/>
      </w:r>
      <w:r w:rsidRPr="0075167F">
        <w:t>NER, cl</w:t>
      </w:r>
      <w:r>
        <w:t>.</w:t>
      </w:r>
      <w:r w:rsidRPr="0075167F">
        <w:t xml:space="preserve"> </w:t>
      </w:r>
      <w:proofErr w:type="gramStart"/>
      <w:r w:rsidRPr="0075167F">
        <w:t>S6.2.1(</w:t>
      </w:r>
      <w:proofErr w:type="gramEnd"/>
      <w:r w:rsidRPr="0075167F">
        <w:t>e)(4).</w:t>
      </w:r>
    </w:p>
  </w:footnote>
  <w:footnote w:id="13">
    <w:p w:rsidR="0008691B" w:rsidRDefault="0008691B" w:rsidP="001872D0">
      <w:pPr>
        <w:pStyle w:val="FootnoteText"/>
      </w:pPr>
      <w:r>
        <w:rPr>
          <w:rStyle w:val="FootnoteReference"/>
        </w:rPr>
        <w:footnoteRef/>
      </w:r>
      <w:r>
        <w:t xml:space="preserve"> </w:t>
      </w:r>
      <w:r>
        <w:tab/>
      </w:r>
      <w:proofErr w:type="gramStart"/>
      <w:r>
        <w:t>NER, cl. S6.2.2A.</w:t>
      </w:r>
      <w:proofErr w:type="gramEnd"/>
    </w:p>
  </w:footnote>
  <w:footnote w:id="14">
    <w:p w:rsidR="0008691B" w:rsidRDefault="0008691B" w:rsidP="001872D0">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11.56.5 and 11.62.</w:t>
      </w:r>
    </w:p>
  </w:footnote>
  <w:footnote w:id="15">
    <w:p w:rsidR="0008691B" w:rsidRDefault="0008691B" w:rsidP="001872D0">
      <w:pPr>
        <w:pStyle w:val="FootnoteText"/>
      </w:pPr>
      <w:r>
        <w:rPr>
          <w:rStyle w:val="FootnoteReference"/>
        </w:rPr>
        <w:footnoteRef/>
      </w:r>
      <w:r>
        <w:t xml:space="preserve"> </w:t>
      </w:r>
      <w:r>
        <w:tab/>
      </w:r>
      <w:r w:rsidRPr="00850BFE">
        <w:t>NER, cl</w:t>
      </w:r>
      <w:r>
        <w:t>.</w:t>
      </w:r>
      <w:r w:rsidRPr="00850BFE">
        <w:t xml:space="preserve"> </w:t>
      </w:r>
      <w:proofErr w:type="gramStart"/>
      <w:r w:rsidRPr="00850BFE">
        <w:t>S6.2.1(</w:t>
      </w:r>
      <w:proofErr w:type="gramEnd"/>
      <w:r w:rsidRPr="00850BFE">
        <w:t>e)(5).</w:t>
      </w:r>
    </w:p>
  </w:footnote>
  <w:footnote w:id="16">
    <w:p w:rsidR="0008691B" w:rsidRDefault="0008691B">
      <w:pPr>
        <w:pStyle w:val="FootnoteText"/>
      </w:pPr>
      <w:r>
        <w:rPr>
          <w:rStyle w:val="FootnoteReference"/>
        </w:rPr>
        <w:footnoteRef/>
      </w:r>
      <w:r>
        <w:t xml:space="preserve"> </w:t>
      </w:r>
      <w:r>
        <w:tab/>
      </w:r>
      <w:proofErr w:type="gramStart"/>
      <w:r>
        <w:t>NER, cl. 6.12.1(18).</w:t>
      </w:r>
      <w:proofErr w:type="gramEnd"/>
    </w:p>
  </w:footnote>
  <w:footnote w:id="17">
    <w:p w:rsidR="0008691B" w:rsidRDefault="0008691B">
      <w:pPr>
        <w:pStyle w:val="FootnoteText"/>
      </w:pPr>
      <w:r>
        <w:rPr>
          <w:rStyle w:val="FootnoteReference"/>
        </w:rPr>
        <w:footnoteRef/>
      </w:r>
      <w:r>
        <w:t xml:space="preserve"> </w:t>
      </w:r>
      <w:r>
        <w:tab/>
      </w:r>
      <w:r w:rsidRPr="006B735D">
        <w:t xml:space="preserve">The use of actual depreciation is consistent with the depreciation approach established in the 2009 </w:t>
      </w:r>
      <w:r>
        <w:t xml:space="preserve">distribution </w:t>
      </w:r>
      <w:r w:rsidRPr="006B735D">
        <w:t xml:space="preserve">determinations for </w:t>
      </w:r>
      <w:r>
        <w:t>NSW service providers</w:t>
      </w:r>
      <w:r w:rsidRPr="006B735D">
        <w:t>.</w:t>
      </w:r>
    </w:p>
  </w:footnote>
  <w:footnote w:id="18">
    <w:p w:rsidR="0008691B" w:rsidRDefault="0008691B">
      <w:pPr>
        <w:pStyle w:val="FootnoteText"/>
      </w:pPr>
      <w:r>
        <w:rPr>
          <w:rStyle w:val="FootnoteReference"/>
        </w:rPr>
        <w:footnoteRef/>
      </w:r>
      <w:r>
        <w:t xml:space="preserve"> </w:t>
      </w:r>
      <w:r>
        <w:tab/>
        <w:t>NER, cl.</w:t>
      </w:r>
      <w:r w:rsidRPr="00850BFE">
        <w:t xml:space="preserve"> </w:t>
      </w:r>
      <w:proofErr w:type="gramStart"/>
      <w:r w:rsidRPr="00850BFE">
        <w:t>S6.2.1(</w:t>
      </w:r>
      <w:proofErr w:type="gramEnd"/>
      <w:r w:rsidRPr="00850BFE">
        <w:t>e)(6).</w:t>
      </w:r>
    </w:p>
  </w:footnote>
  <w:footnote w:id="19">
    <w:p w:rsidR="0008691B" w:rsidRDefault="0008691B" w:rsidP="004C4439">
      <w:pPr>
        <w:pStyle w:val="FootnoteText"/>
      </w:pPr>
      <w:r>
        <w:rPr>
          <w:rStyle w:val="FootnoteReference"/>
        </w:rPr>
        <w:footnoteRef/>
      </w:r>
      <w:r>
        <w:t xml:space="preserve"> </w:t>
      </w:r>
      <w:r>
        <w:tab/>
      </w:r>
      <w:proofErr w:type="gramStart"/>
      <w:r>
        <w:t>NER, cl. S6.2.2B.</w:t>
      </w:r>
      <w:proofErr w:type="gramEnd"/>
    </w:p>
  </w:footnote>
  <w:footnote w:id="20">
    <w:p w:rsidR="0008691B" w:rsidRDefault="0008691B" w:rsidP="001872D0">
      <w:pPr>
        <w:pStyle w:val="FootnoteText"/>
      </w:pPr>
      <w:r>
        <w:rPr>
          <w:rStyle w:val="FootnoteReference"/>
        </w:rPr>
        <w:footnoteRef/>
      </w:r>
      <w:r>
        <w:t xml:space="preserve"> </w:t>
      </w:r>
      <w:r>
        <w:tab/>
      </w:r>
      <w:proofErr w:type="gramStart"/>
      <w:r>
        <w:t>NER, cl. S6.2.2B(c).</w:t>
      </w:r>
      <w:proofErr w:type="gramEnd"/>
    </w:p>
  </w:footnote>
  <w:footnote w:id="21">
    <w:p w:rsidR="0008691B" w:rsidRDefault="0008691B">
      <w:pPr>
        <w:pStyle w:val="FootnoteText"/>
      </w:pPr>
      <w:r>
        <w:rPr>
          <w:rStyle w:val="FootnoteReference"/>
        </w:rPr>
        <w:footnoteRef/>
      </w:r>
      <w:r>
        <w:t xml:space="preserve"> </w:t>
      </w:r>
      <w:r>
        <w:tab/>
        <w:t>The size of the RAB also impacts the benchmark debt raising cost allowance. However, this amount is usually relatively small and therefore not a significant determinant of revenues overall.</w:t>
      </w:r>
    </w:p>
  </w:footnote>
  <w:footnote w:id="22">
    <w:p w:rsidR="0008691B" w:rsidRDefault="0008691B">
      <w:pPr>
        <w:pStyle w:val="FootnoteText"/>
      </w:pPr>
      <w:r>
        <w:rPr>
          <w:rStyle w:val="FootnoteReference"/>
        </w:rPr>
        <w:footnoteRef/>
      </w:r>
      <w:r>
        <w:t xml:space="preserve"> </w:t>
      </w:r>
      <w:r>
        <w:tab/>
        <w:t xml:space="preserve">The rate of return or WACC also influences the size of the </w:t>
      </w:r>
      <w:proofErr w:type="spellStart"/>
      <w:r>
        <w:t>capex</w:t>
      </w:r>
      <w:proofErr w:type="spellEnd"/>
      <w:r>
        <w:t xml:space="preserve">. This is because the </w:t>
      </w:r>
      <w:proofErr w:type="spellStart"/>
      <w:r>
        <w:t>capex</w:t>
      </w:r>
      <w:proofErr w:type="spellEnd"/>
      <w:r>
        <w:t xml:space="preserve"> is not depreciated in the year it is first incurred, but added to the RAB at the end of the year. Instead, the </w:t>
      </w:r>
      <w:proofErr w:type="spellStart"/>
      <w:r>
        <w:t>capex</w:t>
      </w:r>
      <w:proofErr w:type="spellEnd"/>
      <w:r>
        <w:t xml:space="preserve"> amount is escalated by half a WACC to arrive at an end of year value. It then begins depreciating the following year.</w:t>
      </w:r>
    </w:p>
  </w:footnote>
  <w:footnote w:id="23">
    <w:p w:rsidR="0008691B" w:rsidRDefault="0008691B" w:rsidP="00176610">
      <w:pPr>
        <w:pStyle w:val="FootnoteText"/>
      </w:pPr>
      <w:r>
        <w:rPr>
          <w:rStyle w:val="FootnoteReference"/>
        </w:rPr>
        <w:footnoteRef/>
      </w:r>
      <w:r>
        <w:t xml:space="preserve"> </w:t>
      </w:r>
      <w:r>
        <w:tab/>
      </w:r>
      <w:r w:rsidRPr="002C733C">
        <w:t xml:space="preserve">If </w:t>
      </w:r>
      <w:proofErr w:type="spellStart"/>
      <w:r w:rsidRPr="002C733C">
        <w:t>capex</w:t>
      </w:r>
      <w:proofErr w:type="spellEnd"/>
      <w:r w:rsidRPr="002C733C">
        <w:t xml:space="preserve"> causes the RAB increase, return on capital, depreciation, and debt raising costs all increase too. If a reduction in depreciation causes the RAB increase, revenue could increase or decrease. In this case, the higher return on capital is offset (perhaps more than offset) by the reduction in depreciation allowance. Inflation naturally increases the RAB in nominal terms. However, the real impact from changing the inflation forecast is inconsequential as revenues are updated annual</w:t>
      </w:r>
      <w:r>
        <w:t>ly</w:t>
      </w:r>
      <w:r w:rsidRPr="002C733C">
        <w:t xml:space="preserve"> by actual inflation and the X factor, which is generally unaffected by the assumed forecast inflation rate.</w:t>
      </w:r>
    </w:p>
  </w:footnote>
  <w:footnote w:id="24">
    <w:p w:rsidR="0008691B" w:rsidRDefault="0008691B">
      <w:pPr>
        <w:pStyle w:val="FootnoteText"/>
      </w:pPr>
      <w:r>
        <w:rPr>
          <w:rStyle w:val="FootnoteReference"/>
        </w:rPr>
        <w:footnoteRef/>
      </w:r>
      <w:r>
        <w:t xml:space="preserve"> </w:t>
      </w:r>
      <w:r>
        <w:tab/>
        <w:t>Cash paid out on provisions has been pro-rated across asset classes according to original capitalised provisions allocation presented in the reset RIN.</w:t>
      </w:r>
    </w:p>
  </w:footnote>
  <w:footnote w:id="25">
    <w:p w:rsidR="0008691B" w:rsidRDefault="0008691B">
      <w:pPr>
        <w:pStyle w:val="FootnoteText"/>
      </w:pPr>
      <w:r>
        <w:rPr>
          <w:rStyle w:val="FootnoteReference"/>
        </w:rPr>
        <w:footnoteRef/>
      </w:r>
      <w:r>
        <w:t xml:space="preserve"> </w:t>
      </w:r>
      <w:r>
        <w:tab/>
      </w:r>
      <w:r w:rsidRPr="008914BF">
        <w:t>At the time of this draft decision</w:t>
      </w:r>
      <w:r>
        <w:t>,</w:t>
      </w:r>
      <w:r w:rsidRPr="008914BF">
        <w:t xml:space="preserve"> the roll forward of </w:t>
      </w:r>
      <w:r>
        <w:t>Essential Energy's RAB</w:t>
      </w:r>
      <w:r w:rsidRPr="008914BF">
        <w:t xml:space="preserve"> includes </w:t>
      </w:r>
      <w:r>
        <w:t>estimated</w:t>
      </w:r>
      <w:r w:rsidRPr="008914BF">
        <w:t xml:space="preserve"> </w:t>
      </w:r>
      <w:proofErr w:type="spellStart"/>
      <w:r w:rsidRPr="008914BF">
        <w:t>capex</w:t>
      </w:r>
      <w:proofErr w:type="spellEnd"/>
      <w:r>
        <w:t xml:space="preserve"> values</w:t>
      </w:r>
      <w:r w:rsidRPr="008914BF">
        <w:t xml:space="preserve"> for </w:t>
      </w:r>
      <w:r>
        <w:t xml:space="preserve">2013–14. </w:t>
      </w:r>
      <w:r w:rsidRPr="00516A5D">
        <w:t xml:space="preserve">We will update the 2013–14 estimated </w:t>
      </w:r>
      <w:proofErr w:type="spellStart"/>
      <w:r w:rsidRPr="00516A5D">
        <w:t>capex</w:t>
      </w:r>
      <w:proofErr w:type="spellEnd"/>
      <w:r w:rsidRPr="00516A5D">
        <w:t xml:space="preserve"> value</w:t>
      </w:r>
      <w:r>
        <w:t>s</w:t>
      </w:r>
      <w:r w:rsidRPr="00516A5D">
        <w:t xml:space="preserve"> with the actual value</w:t>
      </w:r>
      <w:r>
        <w:t>s</w:t>
      </w:r>
      <w:r w:rsidRPr="00EF2907">
        <w:t xml:space="preserve"> </w:t>
      </w:r>
      <w:r w:rsidRPr="00516A5D">
        <w:t>for the final decision</w:t>
      </w:r>
      <w:r>
        <w:t>.</w:t>
      </w:r>
    </w:p>
  </w:footnote>
  <w:footnote w:id="26">
    <w:p w:rsidR="0008691B" w:rsidRDefault="0008691B">
      <w:pPr>
        <w:pStyle w:val="FootnoteText"/>
      </w:pPr>
      <w:r>
        <w:rPr>
          <w:rStyle w:val="FootnoteReference"/>
        </w:rPr>
        <w:footnoteRef/>
      </w:r>
      <w:r>
        <w:t xml:space="preserve"> </w:t>
      </w:r>
      <w:r>
        <w:tab/>
      </w:r>
      <w:r w:rsidRPr="00B3082D">
        <w:t>NER, cl</w:t>
      </w:r>
      <w:r>
        <w:t xml:space="preserve">. </w:t>
      </w:r>
      <w:proofErr w:type="gramStart"/>
      <w:r>
        <w:t>S</w:t>
      </w:r>
      <w:r w:rsidRPr="00B3082D">
        <w:t>6.2.1(</w:t>
      </w:r>
      <w:proofErr w:type="gramEnd"/>
      <w:r>
        <w:t>e</w:t>
      </w:r>
      <w:r w:rsidRPr="00B3082D">
        <w:t>)(1).</w:t>
      </w:r>
    </w:p>
  </w:footnote>
  <w:footnote w:id="27">
    <w:p w:rsidR="0008691B" w:rsidRDefault="0008691B" w:rsidP="002379DF">
      <w:pPr>
        <w:pStyle w:val="FootnoteText"/>
      </w:pPr>
      <w:r>
        <w:rPr>
          <w:rStyle w:val="FootnoteReference"/>
        </w:rPr>
        <w:footnoteRef/>
      </w:r>
      <w:r>
        <w:t xml:space="preserve"> </w:t>
      </w:r>
      <w:r>
        <w:tab/>
        <w:t xml:space="preserve">AER, </w:t>
      </w:r>
      <w:r w:rsidRPr="00BA126C">
        <w:rPr>
          <w:rStyle w:val="AERtextitalic"/>
        </w:rPr>
        <w:t xml:space="preserve">Final decision: </w:t>
      </w:r>
      <w:proofErr w:type="spellStart"/>
      <w:r w:rsidRPr="00BA126C">
        <w:rPr>
          <w:rStyle w:val="AERtextitalic"/>
        </w:rPr>
        <w:t>ElectraNet</w:t>
      </w:r>
      <w:proofErr w:type="spellEnd"/>
      <w:r w:rsidRPr="00BA126C">
        <w:rPr>
          <w:rStyle w:val="AERtextitalic"/>
        </w:rPr>
        <w:t xml:space="preserve"> transmission determination 2013–14 to 2017–18, April 2013</w:t>
      </w:r>
      <w:r>
        <w:t>, pp. 138–142</w:t>
      </w:r>
    </w:p>
  </w:footnote>
  <w:footnote w:id="28">
    <w:p w:rsidR="0008691B" w:rsidRDefault="0008691B" w:rsidP="00C35B13">
      <w:pPr>
        <w:pStyle w:val="FootnoteText"/>
      </w:pPr>
      <w:r>
        <w:rPr>
          <w:rStyle w:val="FootnoteReference"/>
        </w:rPr>
        <w:footnoteRef/>
      </w:r>
      <w:r>
        <w:t xml:space="preserve"> </w:t>
      </w:r>
      <w:r>
        <w:tab/>
        <w:t>AER, Stage 2 f</w:t>
      </w:r>
      <w:r w:rsidRPr="003948FF">
        <w:rPr>
          <w:rStyle w:val="AERtextitalic"/>
        </w:rPr>
        <w:t>ramework and approach paper</w:t>
      </w:r>
      <w:r>
        <w:t>, January 2014, p. 37.</w:t>
      </w:r>
    </w:p>
  </w:footnote>
  <w:footnote w:id="29">
    <w:p w:rsidR="0008691B" w:rsidRDefault="0008691B" w:rsidP="00F66A41">
      <w:pPr>
        <w:pStyle w:val="FootnoteText"/>
      </w:pPr>
      <w:r>
        <w:rPr>
          <w:rStyle w:val="FootnoteReference"/>
        </w:rPr>
        <w:footnoteRef/>
      </w:r>
      <w:r>
        <w:t xml:space="preserve"> </w:t>
      </w:r>
      <w:r>
        <w:tab/>
        <w:t xml:space="preserve">The transitional regulatory control period for Essential Energy is 2014–15. Essential Energy's subsequent regulatory control period is from 2015–16 to 2017–19. </w:t>
      </w:r>
    </w:p>
  </w:footnote>
  <w:footnote w:id="30">
    <w:p w:rsidR="0008691B" w:rsidRDefault="0008691B" w:rsidP="00C93632">
      <w:pPr>
        <w:pStyle w:val="FootnoteText"/>
      </w:pPr>
      <w:r>
        <w:rPr>
          <w:rStyle w:val="FootnoteReference"/>
        </w:rPr>
        <w:footnoteRef/>
      </w:r>
      <w:r>
        <w:t xml:space="preserve"> </w:t>
      </w:r>
      <w:r>
        <w:tab/>
      </w:r>
      <w:proofErr w:type="gramStart"/>
      <w:r>
        <w:t xml:space="preserve">AER, </w:t>
      </w:r>
      <w:r w:rsidRPr="00CA0D0A">
        <w:rPr>
          <w:rStyle w:val="AERtextitalic"/>
        </w:rPr>
        <w:t>Capital expenditure incentive guideline for electricity network service providers</w:t>
      </w:r>
      <w:r>
        <w:t xml:space="preserve">, November 2013, p. </w:t>
      </w:r>
      <w:r w:rsidRPr="003E15E0">
        <w:t>12.</w:t>
      </w:r>
      <w:proofErr w:type="gramEnd"/>
    </w:p>
  </w:footnote>
  <w:footnote w:id="31">
    <w:p w:rsidR="0008691B" w:rsidRDefault="0008691B" w:rsidP="00D95E8F">
      <w:pPr>
        <w:pStyle w:val="FootnoteText"/>
      </w:pPr>
      <w:r>
        <w:rPr>
          <w:rStyle w:val="FootnoteReference"/>
        </w:rPr>
        <w:footnoteRef/>
      </w:r>
      <w:r>
        <w:t xml:space="preserve"> </w:t>
      </w:r>
      <w:r>
        <w:tab/>
      </w:r>
      <w:r w:rsidRPr="006D5FEE">
        <w:rPr>
          <w:rFonts w:eastAsia="Calibri"/>
        </w:rPr>
        <w:t>NER, cl</w:t>
      </w:r>
      <w:r>
        <w:rPr>
          <w:rFonts w:eastAsia="Calibri"/>
        </w:rPr>
        <w:t>.</w:t>
      </w:r>
      <w:r w:rsidRPr="006D5FEE">
        <w:rPr>
          <w:rFonts w:eastAsia="Calibri"/>
        </w:rPr>
        <w:t xml:space="preserve"> 11.56.3(a</w:t>
      </w:r>
      <w:proofErr w:type="gramStart"/>
      <w:r w:rsidRPr="006D5FEE">
        <w:rPr>
          <w:rFonts w:eastAsia="Calibri"/>
        </w:rPr>
        <w:t>)(</w:t>
      </w:r>
      <w:proofErr w:type="gramEnd"/>
      <w:r w:rsidRPr="006D5FEE">
        <w:rPr>
          <w:rFonts w:eastAsia="Calibri"/>
        </w:rPr>
        <w:t>3).</w:t>
      </w:r>
    </w:p>
  </w:footnote>
  <w:footnote w:id="32">
    <w:p w:rsidR="0008691B" w:rsidRDefault="0008691B" w:rsidP="00C93632">
      <w:pPr>
        <w:pStyle w:val="FootnoteText"/>
      </w:pPr>
      <w:r>
        <w:rPr>
          <w:rStyle w:val="FootnoteReference"/>
        </w:rPr>
        <w:footnoteRef/>
      </w:r>
      <w:r>
        <w:t xml:space="preserve"> </w:t>
      </w:r>
      <w:r>
        <w:tab/>
        <w:t xml:space="preserve">Our ex post </w:t>
      </w:r>
      <w:proofErr w:type="spellStart"/>
      <w:r>
        <w:t>capex</w:t>
      </w:r>
      <w:proofErr w:type="spellEnd"/>
      <w:r>
        <w:t xml:space="preserve"> measures are set out in the </w:t>
      </w:r>
      <w:proofErr w:type="spellStart"/>
      <w:r>
        <w:t>capex</w:t>
      </w:r>
      <w:proofErr w:type="spellEnd"/>
      <w:r>
        <w:t xml:space="preserve"> incentives guideline, AER, </w:t>
      </w:r>
      <w:r w:rsidRPr="00CA0D0A">
        <w:rPr>
          <w:rStyle w:val="AERtextitalic"/>
        </w:rPr>
        <w:t>Capital expenditure incentive guideline for electricity network service providers</w:t>
      </w:r>
      <w:r>
        <w:t xml:space="preserve">, November 2013, pp. 13–19, 20–21. The guideline also sets out how all our </w:t>
      </w:r>
      <w:proofErr w:type="spellStart"/>
      <w:r>
        <w:t>capex</w:t>
      </w:r>
      <w:proofErr w:type="spellEnd"/>
      <w:r>
        <w:t xml:space="preserve"> incentive measures </w:t>
      </w:r>
      <w:r w:rsidRPr="008269B2">
        <w:t xml:space="preserve">are consistent with the </w:t>
      </w:r>
      <w:proofErr w:type="spellStart"/>
      <w:r w:rsidRPr="008269B2">
        <w:t>capex</w:t>
      </w:r>
      <w:proofErr w:type="spellEnd"/>
      <w:r w:rsidRPr="008269B2">
        <w:t xml:space="preserve"> incentive objective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2"/>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14"/>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6">
    <w:abstractNumId w:val="33"/>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7">
    <w:abstractNumId w:val="33"/>
    <w:lvlOverride w:ilvl="4">
      <w:lvl w:ilvl="4">
        <w:start w:val="1"/>
        <w:numFmt w:val="upperLetter"/>
        <w:lvlRestart w:val="1"/>
        <w:lvlText w:val="%5"/>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5.%6"/>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50">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696\AER14 425  Ausgrid reset 2014-19 - Draft decision - Regulatory asset base(2).DOCX"/>
  </w:docVars>
  <w:rsids>
    <w:rsidRoot w:val="000C052F"/>
    <w:rsid w:val="00004191"/>
    <w:rsid w:val="0000634B"/>
    <w:rsid w:val="000067A2"/>
    <w:rsid w:val="00011129"/>
    <w:rsid w:val="000154C5"/>
    <w:rsid w:val="00022606"/>
    <w:rsid w:val="00023CB5"/>
    <w:rsid w:val="00033158"/>
    <w:rsid w:val="0003663C"/>
    <w:rsid w:val="00040599"/>
    <w:rsid w:val="00040749"/>
    <w:rsid w:val="00043CD2"/>
    <w:rsid w:val="00054F94"/>
    <w:rsid w:val="00073609"/>
    <w:rsid w:val="0008665C"/>
    <w:rsid w:val="0008691B"/>
    <w:rsid w:val="00091FCA"/>
    <w:rsid w:val="000A1CC2"/>
    <w:rsid w:val="000A5342"/>
    <w:rsid w:val="000B15CA"/>
    <w:rsid w:val="000C052F"/>
    <w:rsid w:val="000C3430"/>
    <w:rsid w:val="000D03C2"/>
    <w:rsid w:val="000D04B1"/>
    <w:rsid w:val="000D3018"/>
    <w:rsid w:val="000D401F"/>
    <w:rsid w:val="000D66FE"/>
    <w:rsid w:val="000D76C0"/>
    <w:rsid w:val="000E1A25"/>
    <w:rsid w:val="000E2656"/>
    <w:rsid w:val="000E6418"/>
    <w:rsid w:val="000F3A6A"/>
    <w:rsid w:val="00100583"/>
    <w:rsid w:val="001033B3"/>
    <w:rsid w:val="00103C51"/>
    <w:rsid w:val="001046E4"/>
    <w:rsid w:val="00105636"/>
    <w:rsid w:val="0011410F"/>
    <w:rsid w:val="0012103C"/>
    <w:rsid w:val="0013022D"/>
    <w:rsid w:val="001307A7"/>
    <w:rsid w:val="00131287"/>
    <w:rsid w:val="001333D9"/>
    <w:rsid w:val="00135BB9"/>
    <w:rsid w:val="0014043E"/>
    <w:rsid w:val="001543D2"/>
    <w:rsid w:val="00154466"/>
    <w:rsid w:val="001569BC"/>
    <w:rsid w:val="001626F5"/>
    <w:rsid w:val="00162CA9"/>
    <w:rsid w:val="0016513A"/>
    <w:rsid w:val="001708CC"/>
    <w:rsid w:val="001732A0"/>
    <w:rsid w:val="00174026"/>
    <w:rsid w:val="00176610"/>
    <w:rsid w:val="00184CEF"/>
    <w:rsid w:val="001856EE"/>
    <w:rsid w:val="001872D0"/>
    <w:rsid w:val="0018730B"/>
    <w:rsid w:val="00191742"/>
    <w:rsid w:val="00191E55"/>
    <w:rsid w:val="00194884"/>
    <w:rsid w:val="00194C3C"/>
    <w:rsid w:val="00194F95"/>
    <w:rsid w:val="001A2661"/>
    <w:rsid w:val="001B6619"/>
    <w:rsid w:val="001C0AAC"/>
    <w:rsid w:val="001C12E5"/>
    <w:rsid w:val="001C306C"/>
    <w:rsid w:val="001E02B1"/>
    <w:rsid w:val="001E2350"/>
    <w:rsid w:val="001E7F3A"/>
    <w:rsid w:val="001F72C9"/>
    <w:rsid w:val="002023C1"/>
    <w:rsid w:val="00206C0B"/>
    <w:rsid w:val="0020711E"/>
    <w:rsid w:val="00210880"/>
    <w:rsid w:val="00222180"/>
    <w:rsid w:val="002242F7"/>
    <w:rsid w:val="002257B9"/>
    <w:rsid w:val="00227541"/>
    <w:rsid w:val="0023137D"/>
    <w:rsid w:val="002379DF"/>
    <w:rsid w:val="002407D4"/>
    <w:rsid w:val="00242766"/>
    <w:rsid w:val="002471E6"/>
    <w:rsid w:val="002501CC"/>
    <w:rsid w:val="002573BD"/>
    <w:rsid w:val="00266710"/>
    <w:rsid w:val="002805B8"/>
    <w:rsid w:val="0028138C"/>
    <w:rsid w:val="00284F1D"/>
    <w:rsid w:val="00287EE6"/>
    <w:rsid w:val="00290197"/>
    <w:rsid w:val="0029139A"/>
    <w:rsid w:val="002938CE"/>
    <w:rsid w:val="00295142"/>
    <w:rsid w:val="002B2226"/>
    <w:rsid w:val="002B4AF4"/>
    <w:rsid w:val="002B4DA4"/>
    <w:rsid w:val="002B6640"/>
    <w:rsid w:val="002D61AC"/>
    <w:rsid w:val="002E4720"/>
    <w:rsid w:val="002E70C3"/>
    <w:rsid w:val="002F0B7B"/>
    <w:rsid w:val="00303452"/>
    <w:rsid w:val="00310328"/>
    <w:rsid w:val="00314144"/>
    <w:rsid w:val="003309C8"/>
    <w:rsid w:val="003324F7"/>
    <w:rsid w:val="00334F88"/>
    <w:rsid w:val="003372A5"/>
    <w:rsid w:val="00360CE9"/>
    <w:rsid w:val="003707DB"/>
    <w:rsid w:val="00375AEC"/>
    <w:rsid w:val="00376236"/>
    <w:rsid w:val="0037652C"/>
    <w:rsid w:val="003800E4"/>
    <w:rsid w:val="00380FF5"/>
    <w:rsid w:val="00382264"/>
    <w:rsid w:val="003851FC"/>
    <w:rsid w:val="003948FF"/>
    <w:rsid w:val="0039763D"/>
    <w:rsid w:val="003A2F38"/>
    <w:rsid w:val="003A6174"/>
    <w:rsid w:val="003C066D"/>
    <w:rsid w:val="003D104E"/>
    <w:rsid w:val="003D553D"/>
    <w:rsid w:val="003E2D82"/>
    <w:rsid w:val="003F10C2"/>
    <w:rsid w:val="004030AB"/>
    <w:rsid w:val="00411433"/>
    <w:rsid w:val="00412282"/>
    <w:rsid w:val="004132A9"/>
    <w:rsid w:val="00423AD4"/>
    <w:rsid w:val="004256BA"/>
    <w:rsid w:val="00431999"/>
    <w:rsid w:val="00431A5F"/>
    <w:rsid w:val="00433475"/>
    <w:rsid w:val="00435682"/>
    <w:rsid w:val="00436C61"/>
    <w:rsid w:val="0044174E"/>
    <w:rsid w:val="004421FF"/>
    <w:rsid w:val="00442DEB"/>
    <w:rsid w:val="00443636"/>
    <w:rsid w:val="0044698A"/>
    <w:rsid w:val="004552CE"/>
    <w:rsid w:val="00456081"/>
    <w:rsid w:val="004568BF"/>
    <w:rsid w:val="00463C80"/>
    <w:rsid w:val="00464F5D"/>
    <w:rsid w:val="00465C58"/>
    <w:rsid w:val="00466FC8"/>
    <w:rsid w:val="00474FBD"/>
    <w:rsid w:val="00491D7D"/>
    <w:rsid w:val="004964DB"/>
    <w:rsid w:val="004A10DD"/>
    <w:rsid w:val="004C115A"/>
    <w:rsid w:val="004C3502"/>
    <w:rsid w:val="004C3F45"/>
    <w:rsid w:val="004C4439"/>
    <w:rsid w:val="004E2BA2"/>
    <w:rsid w:val="004E40EF"/>
    <w:rsid w:val="004E73F7"/>
    <w:rsid w:val="004F76A0"/>
    <w:rsid w:val="00500D71"/>
    <w:rsid w:val="00500E7F"/>
    <w:rsid w:val="00516F7A"/>
    <w:rsid w:val="0052179D"/>
    <w:rsid w:val="00525604"/>
    <w:rsid w:val="005334B8"/>
    <w:rsid w:val="00541A86"/>
    <w:rsid w:val="005456A9"/>
    <w:rsid w:val="00546CAD"/>
    <w:rsid w:val="00555D52"/>
    <w:rsid w:val="005566CF"/>
    <w:rsid w:val="005566D7"/>
    <w:rsid w:val="00561F7F"/>
    <w:rsid w:val="00564868"/>
    <w:rsid w:val="00564FCA"/>
    <w:rsid w:val="0056522A"/>
    <w:rsid w:val="00565550"/>
    <w:rsid w:val="005656B6"/>
    <w:rsid w:val="00566B35"/>
    <w:rsid w:val="00571854"/>
    <w:rsid w:val="005732CC"/>
    <w:rsid w:val="00573FFE"/>
    <w:rsid w:val="00575422"/>
    <w:rsid w:val="00577AEC"/>
    <w:rsid w:val="005837BD"/>
    <w:rsid w:val="005938C6"/>
    <w:rsid w:val="005A0431"/>
    <w:rsid w:val="005A3A41"/>
    <w:rsid w:val="005B3752"/>
    <w:rsid w:val="005B61C2"/>
    <w:rsid w:val="005B77C4"/>
    <w:rsid w:val="005C0BCE"/>
    <w:rsid w:val="005C340A"/>
    <w:rsid w:val="005C4CF8"/>
    <w:rsid w:val="005C5E57"/>
    <w:rsid w:val="005D26B7"/>
    <w:rsid w:val="005D4AA1"/>
    <w:rsid w:val="005E297A"/>
    <w:rsid w:val="005E3E0C"/>
    <w:rsid w:val="005E63D9"/>
    <w:rsid w:val="005F0C76"/>
    <w:rsid w:val="005F1981"/>
    <w:rsid w:val="0060146C"/>
    <w:rsid w:val="0060207D"/>
    <w:rsid w:val="006039F2"/>
    <w:rsid w:val="006061B0"/>
    <w:rsid w:val="0060732E"/>
    <w:rsid w:val="006076A9"/>
    <w:rsid w:val="00613D7D"/>
    <w:rsid w:val="00627713"/>
    <w:rsid w:val="006341BE"/>
    <w:rsid w:val="00636AA7"/>
    <w:rsid w:val="0065125A"/>
    <w:rsid w:val="0065338D"/>
    <w:rsid w:val="006544EA"/>
    <w:rsid w:val="006551DB"/>
    <w:rsid w:val="0066182D"/>
    <w:rsid w:val="0066569F"/>
    <w:rsid w:val="0067382C"/>
    <w:rsid w:val="006810E6"/>
    <w:rsid w:val="006818E2"/>
    <w:rsid w:val="0069004B"/>
    <w:rsid w:val="006B08EB"/>
    <w:rsid w:val="006B259C"/>
    <w:rsid w:val="006B481F"/>
    <w:rsid w:val="006B735D"/>
    <w:rsid w:val="006C41B9"/>
    <w:rsid w:val="006D0BC4"/>
    <w:rsid w:val="006E20F5"/>
    <w:rsid w:val="006E263A"/>
    <w:rsid w:val="006F295B"/>
    <w:rsid w:val="006F6035"/>
    <w:rsid w:val="006F638E"/>
    <w:rsid w:val="00701E79"/>
    <w:rsid w:val="00703E42"/>
    <w:rsid w:val="00705B0B"/>
    <w:rsid w:val="007065AA"/>
    <w:rsid w:val="00706B77"/>
    <w:rsid w:val="0071040D"/>
    <w:rsid w:val="007211B9"/>
    <w:rsid w:val="00734CB4"/>
    <w:rsid w:val="00736714"/>
    <w:rsid w:val="007368AD"/>
    <w:rsid w:val="0075167F"/>
    <w:rsid w:val="00751D2A"/>
    <w:rsid w:val="0075488E"/>
    <w:rsid w:val="00755095"/>
    <w:rsid w:val="00771043"/>
    <w:rsid w:val="00775F7A"/>
    <w:rsid w:val="00776717"/>
    <w:rsid w:val="00787879"/>
    <w:rsid w:val="00794E98"/>
    <w:rsid w:val="00796A07"/>
    <w:rsid w:val="007B29DE"/>
    <w:rsid w:val="007B4E02"/>
    <w:rsid w:val="007C7EAA"/>
    <w:rsid w:val="007D05BB"/>
    <w:rsid w:val="007E4010"/>
    <w:rsid w:val="007F10E3"/>
    <w:rsid w:val="007F2C0E"/>
    <w:rsid w:val="00804AEB"/>
    <w:rsid w:val="00813287"/>
    <w:rsid w:val="00816CF7"/>
    <w:rsid w:val="00824CC8"/>
    <w:rsid w:val="00826E71"/>
    <w:rsid w:val="008273CE"/>
    <w:rsid w:val="00830BA6"/>
    <w:rsid w:val="00836D17"/>
    <w:rsid w:val="00840A55"/>
    <w:rsid w:val="00841E25"/>
    <w:rsid w:val="00842C40"/>
    <w:rsid w:val="0084378B"/>
    <w:rsid w:val="008464CD"/>
    <w:rsid w:val="00850BFE"/>
    <w:rsid w:val="008515EE"/>
    <w:rsid w:val="008528F2"/>
    <w:rsid w:val="00861A28"/>
    <w:rsid w:val="00861C4E"/>
    <w:rsid w:val="00866D21"/>
    <w:rsid w:val="00872D85"/>
    <w:rsid w:val="00883DDA"/>
    <w:rsid w:val="00886213"/>
    <w:rsid w:val="0089008C"/>
    <w:rsid w:val="0089116F"/>
    <w:rsid w:val="00891FF9"/>
    <w:rsid w:val="00893367"/>
    <w:rsid w:val="00893D07"/>
    <w:rsid w:val="008A0472"/>
    <w:rsid w:val="008B7956"/>
    <w:rsid w:val="008C3722"/>
    <w:rsid w:val="008C3A61"/>
    <w:rsid w:val="008C3B67"/>
    <w:rsid w:val="008C3F48"/>
    <w:rsid w:val="008C4CDB"/>
    <w:rsid w:val="008D49B4"/>
    <w:rsid w:val="008D53D4"/>
    <w:rsid w:val="008D70B2"/>
    <w:rsid w:val="008D7498"/>
    <w:rsid w:val="008F7D5D"/>
    <w:rsid w:val="00901417"/>
    <w:rsid w:val="00904CE4"/>
    <w:rsid w:val="0091153D"/>
    <w:rsid w:val="009153B4"/>
    <w:rsid w:val="00932E96"/>
    <w:rsid w:val="009360BF"/>
    <w:rsid w:val="009418E6"/>
    <w:rsid w:val="0094235F"/>
    <w:rsid w:val="0094279F"/>
    <w:rsid w:val="00945874"/>
    <w:rsid w:val="00946745"/>
    <w:rsid w:val="00946B98"/>
    <w:rsid w:val="0095052A"/>
    <w:rsid w:val="009516DF"/>
    <w:rsid w:val="00955101"/>
    <w:rsid w:val="00955803"/>
    <w:rsid w:val="009658F0"/>
    <w:rsid w:val="00967156"/>
    <w:rsid w:val="00971655"/>
    <w:rsid w:val="00971C63"/>
    <w:rsid w:val="00972175"/>
    <w:rsid w:val="00973A8B"/>
    <w:rsid w:val="009809B9"/>
    <w:rsid w:val="009A0FEC"/>
    <w:rsid w:val="009A4AE9"/>
    <w:rsid w:val="009C544E"/>
    <w:rsid w:val="009C71D5"/>
    <w:rsid w:val="009D0222"/>
    <w:rsid w:val="009D3D0B"/>
    <w:rsid w:val="009E4C3F"/>
    <w:rsid w:val="009F6E34"/>
    <w:rsid w:val="009F7CE4"/>
    <w:rsid w:val="00A04EB2"/>
    <w:rsid w:val="00A05244"/>
    <w:rsid w:val="00A06119"/>
    <w:rsid w:val="00A10B76"/>
    <w:rsid w:val="00A11162"/>
    <w:rsid w:val="00A13D2D"/>
    <w:rsid w:val="00A27139"/>
    <w:rsid w:val="00A41BF0"/>
    <w:rsid w:val="00A43227"/>
    <w:rsid w:val="00A44D18"/>
    <w:rsid w:val="00A467C5"/>
    <w:rsid w:val="00A46CCD"/>
    <w:rsid w:val="00A5617E"/>
    <w:rsid w:val="00A62FB9"/>
    <w:rsid w:val="00A6323D"/>
    <w:rsid w:val="00A65133"/>
    <w:rsid w:val="00A652C5"/>
    <w:rsid w:val="00A803F5"/>
    <w:rsid w:val="00A834AC"/>
    <w:rsid w:val="00A85C5A"/>
    <w:rsid w:val="00A946E0"/>
    <w:rsid w:val="00A96A08"/>
    <w:rsid w:val="00AA0161"/>
    <w:rsid w:val="00AB1BD0"/>
    <w:rsid w:val="00AB1D08"/>
    <w:rsid w:val="00AB4345"/>
    <w:rsid w:val="00AB5BD7"/>
    <w:rsid w:val="00AC0135"/>
    <w:rsid w:val="00AC070D"/>
    <w:rsid w:val="00AC0B2B"/>
    <w:rsid w:val="00AC1B94"/>
    <w:rsid w:val="00AD0616"/>
    <w:rsid w:val="00AD2407"/>
    <w:rsid w:val="00AD34FF"/>
    <w:rsid w:val="00AD4DE6"/>
    <w:rsid w:val="00AE0822"/>
    <w:rsid w:val="00AE6DBC"/>
    <w:rsid w:val="00AF3E95"/>
    <w:rsid w:val="00AF66C0"/>
    <w:rsid w:val="00AF7C67"/>
    <w:rsid w:val="00B05FFC"/>
    <w:rsid w:val="00B13151"/>
    <w:rsid w:val="00B15C15"/>
    <w:rsid w:val="00B15FE9"/>
    <w:rsid w:val="00B16900"/>
    <w:rsid w:val="00B17F18"/>
    <w:rsid w:val="00B22775"/>
    <w:rsid w:val="00B3082D"/>
    <w:rsid w:val="00B35173"/>
    <w:rsid w:val="00B401E3"/>
    <w:rsid w:val="00B44334"/>
    <w:rsid w:val="00B45399"/>
    <w:rsid w:val="00B51883"/>
    <w:rsid w:val="00B54962"/>
    <w:rsid w:val="00B56CA3"/>
    <w:rsid w:val="00B61FD4"/>
    <w:rsid w:val="00B62296"/>
    <w:rsid w:val="00B66E0B"/>
    <w:rsid w:val="00B674DB"/>
    <w:rsid w:val="00B67E97"/>
    <w:rsid w:val="00B817CE"/>
    <w:rsid w:val="00B82E8D"/>
    <w:rsid w:val="00B83ECA"/>
    <w:rsid w:val="00B9264D"/>
    <w:rsid w:val="00B94838"/>
    <w:rsid w:val="00B94D99"/>
    <w:rsid w:val="00B97C84"/>
    <w:rsid w:val="00BA27AD"/>
    <w:rsid w:val="00BB3FA1"/>
    <w:rsid w:val="00BB62BB"/>
    <w:rsid w:val="00BC05C5"/>
    <w:rsid w:val="00BD04BE"/>
    <w:rsid w:val="00BE0630"/>
    <w:rsid w:val="00BE2E83"/>
    <w:rsid w:val="00BE6F28"/>
    <w:rsid w:val="00BF29FA"/>
    <w:rsid w:val="00C04D2B"/>
    <w:rsid w:val="00C1211B"/>
    <w:rsid w:val="00C22174"/>
    <w:rsid w:val="00C35B13"/>
    <w:rsid w:val="00C45EFB"/>
    <w:rsid w:val="00C537E9"/>
    <w:rsid w:val="00C557F2"/>
    <w:rsid w:val="00C642D4"/>
    <w:rsid w:val="00C654C6"/>
    <w:rsid w:val="00C65A70"/>
    <w:rsid w:val="00C737C5"/>
    <w:rsid w:val="00C738A1"/>
    <w:rsid w:val="00C81D0A"/>
    <w:rsid w:val="00C839CF"/>
    <w:rsid w:val="00C93632"/>
    <w:rsid w:val="00CA3540"/>
    <w:rsid w:val="00CA6DED"/>
    <w:rsid w:val="00CC04B7"/>
    <w:rsid w:val="00CC2425"/>
    <w:rsid w:val="00CC49D4"/>
    <w:rsid w:val="00CD51BA"/>
    <w:rsid w:val="00CD6D6C"/>
    <w:rsid w:val="00CE6F5A"/>
    <w:rsid w:val="00CF1E29"/>
    <w:rsid w:val="00CF42CF"/>
    <w:rsid w:val="00D01345"/>
    <w:rsid w:val="00D07A8F"/>
    <w:rsid w:val="00D102E9"/>
    <w:rsid w:val="00D1688F"/>
    <w:rsid w:val="00D2117F"/>
    <w:rsid w:val="00D23605"/>
    <w:rsid w:val="00D25317"/>
    <w:rsid w:val="00D46D6A"/>
    <w:rsid w:val="00D47C9F"/>
    <w:rsid w:val="00D52FE7"/>
    <w:rsid w:val="00D53863"/>
    <w:rsid w:val="00D538E6"/>
    <w:rsid w:val="00D65814"/>
    <w:rsid w:val="00D66E8B"/>
    <w:rsid w:val="00D742BB"/>
    <w:rsid w:val="00D85715"/>
    <w:rsid w:val="00D8706C"/>
    <w:rsid w:val="00D90BFE"/>
    <w:rsid w:val="00D93F05"/>
    <w:rsid w:val="00D95E8F"/>
    <w:rsid w:val="00D97003"/>
    <w:rsid w:val="00DA4C62"/>
    <w:rsid w:val="00DB6A17"/>
    <w:rsid w:val="00DC141E"/>
    <w:rsid w:val="00DC4EE3"/>
    <w:rsid w:val="00DD3279"/>
    <w:rsid w:val="00DD430F"/>
    <w:rsid w:val="00DD4E84"/>
    <w:rsid w:val="00DD5520"/>
    <w:rsid w:val="00DE22F1"/>
    <w:rsid w:val="00DE32BD"/>
    <w:rsid w:val="00DE5F78"/>
    <w:rsid w:val="00DF000A"/>
    <w:rsid w:val="00DF16C2"/>
    <w:rsid w:val="00E00F76"/>
    <w:rsid w:val="00E02DB3"/>
    <w:rsid w:val="00E05035"/>
    <w:rsid w:val="00E07A95"/>
    <w:rsid w:val="00E10368"/>
    <w:rsid w:val="00E116F8"/>
    <w:rsid w:val="00E1292B"/>
    <w:rsid w:val="00E21E75"/>
    <w:rsid w:val="00E24D2D"/>
    <w:rsid w:val="00E35D86"/>
    <w:rsid w:val="00E41DB1"/>
    <w:rsid w:val="00E5082E"/>
    <w:rsid w:val="00E519DC"/>
    <w:rsid w:val="00E542A1"/>
    <w:rsid w:val="00E5659D"/>
    <w:rsid w:val="00E6571F"/>
    <w:rsid w:val="00E807DA"/>
    <w:rsid w:val="00E84E3A"/>
    <w:rsid w:val="00E90D53"/>
    <w:rsid w:val="00E94C06"/>
    <w:rsid w:val="00EA05AF"/>
    <w:rsid w:val="00EB52F5"/>
    <w:rsid w:val="00EB5CDF"/>
    <w:rsid w:val="00EC43B9"/>
    <w:rsid w:val="00ED39D7"/>
    <w:rsid w:val="00ED400D"/>
    <w:rsid w:val="00ED4D69"/>
    <w:rsid w:val="00ED7532"/>
    <w:rsid w:val="00EE362F"/>
    <w:rsid w:val="00EF0E19"/>
    <w:rsid w:val="00EF35B6"/>
    <w:rsid w:val="00EF55F9"/>
    <w:rsid w:val="00F114AE"/>
    <w:rsid w:val="00F20D95"/>
    <w:rsid w:val="00F214ED"/>
    <w:rsid w:val="00F36107"/>
    <w:rsid w:val="00F41773"/>
    <w:rsid w:val="00F43CA0"/>
    <w:rsid w:val="00F45DA3"/>
    <w:rsid w:val="00F45ED5"/>
    <w:rsid w:val="00F46AA3"/>
    <w:rsid w:val="00F54216"/>
    <w:rsid w:val="00F55030"/>
    <w:rsid w:val="00F560D7"/>
    <w:rsid w:val="00F64571"/>
    <w:rsid w:val="00F66A41"/>
    <w:rsid w:val="00F67BF9"/>
    <w:rsid w:val="00F7696F"/>
    <w:rsid w:val="00F8209B"/>
    <w:rsid w:val="00F8634A"/>
    <w:rsid w:val="00F92D37"/>
    <w:rsid w:val="00F95E26"/>
    <w:rsid w:val="00F9682D"/>
    <w:rsid w:val="00F97CD9"/>
    <w:rsid w:val="00FA0576"/>
    <w:rsid w:val="00FA1BFA"/>
    <w:rsid w:val="00FA1C2B"/>
    <w:rsid w:val="00FA310B"/>
    <w:rsid w:val="00FA35B0"/>
    <w:rsid w:val="00FA692B"/>
    <w:rsid w:val="00FB2A15"/>
    <w:rsid w:val="00FB50B4"/>
    <w:rsid w:val="00FC0432"/>
    <w:rsid w:val="00FC0B56"/>
    <w:rsid w:val="00FC11B5"/>
    <w:rsid w:val="00FC1C7A"/>
    <w:rsid w:val="00FD2771"/>
    <w:rsid w:val="00FD4B97"/>
    <w:rsid w:val="00FE55EB"/>
    <w:rsid w:val="00FE5D43"/>
    <w:rsid w:val="00FE69C2"/>
    <w:rsid w:val="00FF019A"/>
    <w:rsid w:val="00FF0353"/>
    <w:rsid w:val="00FF25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466FC8"/>
    <w:rPr>
      <w:rFonts w:ascii="Times New Roman" w:eastAsia="Times New Roman" w:hAnsi="Times New Roman"/>
      <w:sz w:val="24"/>
      <w:szCs w:val="24"/>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uiPriority w:val="99"/>
    <w:qFormat/>
    <w:rsid w:val="003A6174"/>
    <w:pPr>
      <w:numPr>
        <w:numId w:val="9"/>
      </w:numPr>
      <w:tabs>
        <w:tab w:val="left" w:pos="1077"/>
      </w:tabs>
      <w:spacing w:after="240" w:line="200" w:lineRule="atLeast"/>
      <w:ind w:left="1077" w:right="663" w:hanging="357"/>
      <w:jc w:val="both"/>
    </w:pPr>
    <w:rPr>
      <w:rFonts w:ascii="Gautami" w:hAnsi="Gautami"/>
      <w:sz w:val="16"/>
      <w:szCs w:val="16"/>
      <w:lang w:eastAsia="en-US"/>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jc w:val="both"/>
    </w:pPr>
    <w:rPr>
      <w:rFonts w:ascii="Gautami" w:eastAsia="Calibri" w:hAnsi="Gautami"/>
      <w:sz w:val="20"/>
      <w:szCs w:val="20"/>
      <w:lang w:eastAsia="en-US"/>
    </w:r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jc w:val="both"/>
    </w:pPr>
    <w:rPr>
      <w:rFonts w:ascii="Gautami" w:eastAsia="Calibri" w:hAnsi="Gautami"/>
      <w:sz w:val="20"/>
      <w:szCs w:val="20"/>
      <w:lang w:eastAsia="en-US"/>
    </w:r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spacing w:after="240" w:line="288" w:lineRule="auto"/>
      <w:ind w:left="720"/>
      <w:contextualSpacing/>
      <w:jc w:val="both"/>
    </w:pPr>
    <w:rPr>
      <w:rFonts w:ascii="Gautami" w:eastAsia="Calibri" w:hAnsi="Gautami"/>
      <w:sz w:val="20"/>
      <w:szCs w:val="20"/>
      <w:lang w:eastAsia="en-US"/>
    </w:r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line="288" w:lineRule="auto"/>
    </w:pPr>
    <w:rPr>
      <w:rFonts w:ascii="Gautami" w:eastAsia="Calibri" w:hAnsi="Gautami"/>
      <w:b/>
      <w:bCs/>
      <w:sz w:val="20"/>
      <w:szCs w:val="20"/>
      <w:lang w:eastAsia="en-US"/>
    </w:rPr>
  </w:style>
  <w:style w:type="paragraph" w:styleId="TOC2">
    <w:name w:val="toc 2"/>
    <w:basedOn w:val="Normal"/>
    <w:next w:val="Normal"/>
    <w:autoRedefine/>
    <w:uiPriority w:val="39"/>
    <w:unhideWhenUsed/>
    <w:qFormat/>
    <w:rsid w:val="00AF3E95"/>
    <w:pPr>
      <w:spacing w:before="120" w:line="288" w:lineRule="auto"/>
      <w:ind w:left="200"/>
    </w:pPr>
    <w:rPr>
      <w:rFonts w:ascii="Gautami" w:eastAsia="Calibri" w:hAnsi="Gautami"/>
      <w:iCs/>
      <w:sz w:val="20"/>
      <w:szCs w:val="20"/>
      <w:lang w:eastAsia="en-US"/>
    </w:rPr>
  </w:style>
  <w:style w:type="paragraph" w:styleId="TOC3">
    <w:name w:val="toc 3"/>
    <w:basedOn w:val="Normal"/>
    <w:next w:val="Normal"/>
    <w:autoRedefine/>
    <w:uiPriority w:val="39"/>
    <w:unhideWhenUsed/>
    <w:qFormat/>
    <w:rsid w:val="00AF3E95"/>
    <w:pPr>
      <w:spacing w:line="288" w:lineRule="auto"/>
      <w:ind w:left="400"/>
    </w:pPr>
    <w:rPr>
      <w:rFonts w:ascii="Gautami" w:eastAsia="Calibri" w:hAnsi="Gautami"/>
      <w:sz w:val="20"/>
      <w:szCs w:val="20"/>
      <w:lang w:eastAsia="en-US"/>
    </w:r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jc w:val="both"/>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locked/>
    <w:rsid w:val="00AF3E95"/>
    <w:pPr>
      <w:spacing w:line="288" w:lineRule="auto"/>
      <w:ind w:left="600"/>
    </w:pPr>
    <w:rPr>
      <w:rFonts w:ascii="Calibri" w:eastAsia="Calibri" w:hAnsi="Calibri"/>
      <w:sz w:val="20"/>
      <w:szCs w:val="20"/>
      <w:lang w:eastAsia="en-US"/>
    </w:rPr>
  </w:style>
  <w:style w:type="paragraph" w:styleId="TOC5">
    <w:name w:val="toc 5"/>
    <w:basedOn w:val="Normal"/>
    <w:next w:val="Normal"/>
    <w:autoRedefine/>
    <w:uiPriority w:val="39"/>
    <w:locked/>
    <w:rsid w:val="00AF3E95"/>
    <w:pPr>
      <w:spacing w:line="288" w:lineRule="auto"/>
      <w:ind w:left="800"/>
    </w:pPr>
    <w:rPr>
      <w:rFonts w:ascii="Calibri" w:eastAsia="Calibri" w:hAnsi="Calibri"/>
      <w:sz w:val="20"/>
      <w:szCs w:val="20"/>
      <w:lang w:eastAsia="en-US"/>
    </w:rPr>
  </w:style>
  <w:style w:type="paragraph" w:styleId="TOC6">
    <w:name w:val="toc 6"/>
    <w:basedOn w:val="Normal"/>
    <w:next w:val="Normal"/>
    <w:autoRedefine/>
    <w:uiPriority w:val="39"/>
    <w:locked/>
    <w:rsid w:val="00AF3E95"/>
    <w:pPr>
      <w:spacing w:line="288" w:lineRule="auto"/>
      <w:ind w:left="1000"/>
    </w:pPr>
    <w:rPr>
      <w:rFonts w:ascii="Calibri" w:eastAsia="Calibri" w:hAnsi="Calibri"/>
      <w:sz w:val="20"/>
      <w:szCs w:val="20"/>
      <w:lang w:eastAsia="en-US"/>
    </w:rPr>
  </w:style>
  <w:style w:type="paragraph" w:styleId="TOC7">
    <w:name w:val="toc 7"/>
    <w:basedOn w:val="Normal"/>
    <w:next w:val="Normal"/>
    <w:autoRedefine/>
    <w:uiPriority w:val="39"/>
    <w:locked/>
    <w:rsid w:val="00AF3E95"/>
    <w:pPr>
      <w:spacing w:line="288" w:lineRule="auto"/>
      <w:ind w:left="1200"/>
    </w:pPr>
    <w:rPr>
      <w:rFonts w:ascii="Calibri" w:eastAsia="Calibri" w:hAnsi="Calibri"/>
      <w:sz w:val="20"/>
      <w:szCs w:val="20"/>
      <w:lang w:eastAsia="en-US"/>
    </w:rPr>
  </w:style>
  <w:style w:type="paragraph" w:styleId="TOC8">
    <w:name w:val="toc 8"/>
    <w:basedOn w:val="Normal"/>
    <w:next w:val="Normal"/>
    <w:autoRedefine/>
    <w:uiPriority w:val="39"/>
    <w:locked/>
    <w:rsid w:val="00AF3E95"/>
    <w:pPr>
      <w:spacing w:line="288" w:lineRule="auto"/>
      <w:ind w:left="1400"/>
    </w:pPr>
    <w:rPr>
      <w:rFonts w:ascii="Calibri" w:eastAsia="Calibri" w:hAnsi="Calibri"/>
      <w:sz w:val="20"/>
      <w:szCs w:val="20"/>
      <w:lang w:eastAsia="en-US"/>
    </w:rPr>
  </w:style>
  <w:style w:type="paragraph" w:styleId="TOC9">
    <w:name w:val="toc 9"/>
    <w:basedOn w:val="Normal"/>
    <w:next w:val="Normal"/>
    <w:autoRedefine/>
    <w:uiPriority w:val="39"/>
    <w:locked/>
    <w:rsid w:val="00AF3E95"/>
    <w:pPr>
      <w:spacing w:line="288" w:lineRule="auto"/>
      <w:ind w:left="1600"/>
    </w:pPr>
    <w:rPr>
      <w:rFonts w:ascii="Calibri" w:eastAsia="Calibri" w:hAnsi="Calibri"/>
      <w:sz w:val="20"/>
      <w:szCs w:val="20"/>
      <w:lang w:eastAsia="en-US"/>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after="240"/>
      <w:jc w:val="both"/>
    </w:pPr>
    <w:rPr>
      <w:rFonts w:ascii="Gautami" w:eastAsia="Calibri" w:hAnsi="Gautami"/>
      <w:sz w:val="20"/>
      <w:szCs w:val="20"/>
      <w:lang w:eastAsia="en-US"/>
    </w:r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EndnoteText">
    <w:name w:val="endnote text"/>
    <w:basedOn w:val="Normal"/>
    <w:link w:val="EndnoteTextChar"/>
    <w:uiPriority w:val="99"/>
    <w:semiHidden/>
    <w:unhideWhenUsed/>
    <w:rsid w:val="005C4CF8"/>
    <w:rPr>
      <w:sz w:val="20"/>
      <w:szCs w:val="20"/>
    </w:rPr>
  </w:style>
  <w:style w:type="character" w:customStyle="1" w:styleId="EndnoteTextChar">
    <w:name w:val="Endnote Text Char"/>
    <w:basedOn w:val="DefaultParagraphFont"/>
    <w:link w:val="EndnoteText"/>
    <w:uiPriority w:val="99"/>
    <w:semiHidden/>
    <w:rsid w:val="005C4CF8"/>
    <w:rPr>
      <w:rFonts w:ascii="Times New Roman" w:eastAsia="Times New Roman" w:hAnsi="Times New Roman"/>
    </w:rPr>
  </w:style>
  <w:style w:type="character" w:styleId="EndnoteReference">
    <w:name w:val="endnote reference"/>
    <w:basedOn w:val="DefaultParagraphFont"/>
    <w:uiPriority w:val="99"/>
    <w:semiHidden/>
    <w:unhideWhenUsed/>
    <w:rsid w:val="005C4CF8"/>
    <w:rPr>
      <w:vertAlign w:val="superscript"/>
    </w:rPr>
  </w:style>
  <w:style w:type="paragraph" w:styleId="ListBullet">
    <w:name w:val="List Bullet"/>
    <w:basedOn w:val="Normal"/>
    <w:uiPriority w:val="99"/>
    <w:unhideWhenUsed/>
    <w:locked/>
    <w:rsid w:val="004421FF"/>
    <w:pPr>
      <w:tabs>
        <w:tab w:val="num" w:pos="0"/>
      </w:tabs>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8265">
      <w:bodyDiv w:val="1"/>
      <w:marLeft w:val="0"/>
      <w:marRight w:val="0"/>
      <w:marTop w:val="0"/>
      <w:marBottom w:val="0"/>
      <w:divBdr>
        <w:top w:val="none" w:sz="0" w:space="0" w:color="auto"/>
        <w:left w:val="none" w:sz="0" w:space="0" w:color="auto"/>
        <w:bottom w:val="none" w:sz="0" w:space="0" w:color="auto"/>
        <w:right w:val="none" w:sz="0" w:space="0" w:color="auto"/>
      </w:divBdr>
    </w:div>
    <w:div w:id="132449550">
      <w:bodyDiv w:val="1"/>
      <w:marLeft w:val="0"/>
      <w:marRight w:val="0"/>
      <w:marTop w:val="0"/>
      <w:marBottom w:val="0"/>
      <w:divBdr>
        <w:top w:val="none" w:sz="0" w:space="0" w:color="auto"/>
        <w:left w:val="none" w:sz="0" w:space="0" w:color="auto"/>
        <w:bottom w:val="none" w:sz="0" w:space="0" w:color="auto"/>
        <w:right w:val="none" w:sz="0" w:space="0" w:color="auto"/>
      </w:divBdr>
    </w:div>
    <w:div w:id="173227495">
      <w:bodyDiv w:val="1"/>
      <w:marLeft w:val="0"/>
      <w:marRight w:val="0"/>
      <w:marTop w:val="0"/>
      <w:marBottom w:val="0"/>
      <w:divBdr>
        <w:top w:val="none" w:sz="0" w:space="0" w:color="auto"/>
        <w:left w:val="none" w:sz="0" w:space="0" w:color="auto"/>
        <w:bottom w:val="none" w:sz="0" w:space="0" w:color="auto"/>
        <w:right w:val="none" w:sz="0" w:space="0" w:color="auto"/>
      </w:divBdr>
    </w:div>
    <w:div w:id="201091878">
      <w:bodyDiv w:val="1"/>
      <w:marLeft w:val="0"/>
      <w:marRight w:val="0"/>
      <w:marTop w:val="0"/>
      <w:marBottom w:val="0"/>
      <w:divBdr>
        <w:top w:val="none" w:sz="0" w:space="0" w:color="auto"/>
        <w:left w:val="none" w:sz="0" w:space="0" w:color="auto"/>
        <w:bottom w:val="none" w:sz="0" w:space="0" w:color="auto"/>
        <w:right w:val="none" w:sz="0" w:space="0" w:color="auto"/>
      </w:divBdr>
    </w:div>
    <w:div w:id="337510674">
      <w:bodyDiv w:val="1"/>
      <w:marLeft w:val="0"/>
      <w:marRight w:val="0"/>
      <w:marTop w:val="0"/>
      <w:marBottom w:val="0"/>
      <w:divBdr>
        <w:top w:val="none" w:sz="0" w:space="0" w:color="auto"/>
        <w:left w:val="none" w:sz="0" w:space="0" w:color="auto"/>
        <w:bottom w:val="none" w:sz="0" w:space="0" w:color="auto"/>
        <w:right w:val="none" w:sz="0" w:space="0" w:color="auto"/>
      </w:divBdr>
    </w:div>
    <w:div w:id="379475376">
      <w:bodyDiv w:val="1"/>
      <w:marLeft w:val="0"/>
      <w:marRight w:val="0"/>
      <w:marTop w:val="0"/>
      <w:marBottom w:val="0"/>
      <w:divBdr>
        <w:top w:val="none" w:sz="0" w:space="0" w:color="auto"/>
        <w:left w:val="none" w:sz="0" w:space="0" w:color="auto"/>
        <w:bottom w:val="none" w:sz="0" w:space="0" w:color="auto"/>
        <w:right w:val="none" w:sz="0" w:space="0" w:color="auto"/>
      </w:divBdr>
    </w:div>
    <w:div w:id="432630024">
      <w:bodyDiv w:val="1"/>
      <w:marLeft w:val="0"/>
      <w:marRight w:val="0"/>
      <w:marTop w:val="0"/>
      <w:marBottom w:val="0"/>
      <w:divBdr>
        <w:top w:val="none" w:sz="0" w:space="0" w:color="auto"/>
        <w:left w:val="none" w:sz="0" w:space="0" w:color="auto"/>
        <w:bottom w:val="none" w:sz="0" w:space="0" w:color="auto"/>
        <w:right w:val="none" w:sz="0" w:space="0" w:color="auto"/>
      </w:divBdr>
    </w:div>
    <w:div w:id="493178925">
      <w:bodyDiv w:val="1"/>
      <w:marLeft w:val="0"/>
      <w:marRight w:val="0"/>
      <w:marTop w:val="0"/>
      <w:marBottom w:val="0"/>
      <w:divBdr>
        <w:top w:val="none" w:sz="0" w:space="0" w:color="auto"/>
        <w:left w:val="none" w:sz="0" w:space="0" w:color="auto"/>
        <w:bottom w:val="none" w:sz="0" w:space="0" w:color="auto"/>
        <w:right w:val="none" w:sz="0" w:space="0" w:color="auto"/>
      </w:divBdr>
    </w:div>
    <w:div w:id="568659833">
      <w:bodyDiv w:val="1"/>
      <w:marLeft w:val="0"/>
      <w:marRight w:val="0"/>
      <w:marTop w:val="0"/>
      <w:marBottom w:val="0"/>
      <w:divBdr>
        <w:top w:val="none" w:sz="0" w:space="0" w:color="auto"/>
        <w:left w:val="none" w:sz="0" w:space="0" w:color="auto"/>
        <w:bottom w:val="none" w:sz="0" w:space="0" w:color="auto"/>
        <w:right w:val="none" w:sz="0" w:space="0" w:color="auto"/>
      </w:divBdr>
    </w:div>
    <w:div w:id="705760845">
      <w:bodyDiv w:val="1"/>
      <w:marLeft w:val="0"/>
      <w:marRight w:val="0"/>
      <w:marTop w:val="0"/>
      <w:marBottom w:val="0"/>
      <w:divBdr>
        <w:top w:val="none" w:sz="0" w:space="0" w:color="auto"/>
        <w:left w:val="none" w:sz="0" w:space="0" w:color="auto"/>
        <w:bottom w:val="none" w:sz="0" w:space="0" w:color="auto"/>
        <w:right w:val="none" w:sz="0" w:space="0" w:color="auto"/>
      </w:divBdr>
    </w:div>
    <w:div w:id="711152404">
      <w:bodyDiv w:val="1"/>
      <w:marLeft w:val="0"/>
      <w:marRight w:val="0"/>
      <w:marTop w:val="0"/>
      <w:marBottom w:val="0"/>
      <w:divBdr>
        <w:top w:val="none" w:sz="0" w:space="0" w:color="auto"/>
        <w:left w:val="none" w:sz="0" w:space="0" w:color="auto"/>
        <w:bottom w:val="none" w:sz="0" w:space="0" w:color="auto"/>
        <w:right w:val="none" w:sz="0" w:space="0" w:color="auto"/>
      </w:divBdr>
    </w:div>
    <w:div w:id="842741529">
      <w:bodyDiv w:val="1"/>
      <w:marLeft w:val="0"/>
      <w:marRight w:val="0"/>
      <w:marTop w:val="0"/>
      <w:marBottom w:val="0"/>
      <w:divBdr>
        <w:top w:val="none" w:sz="0" w:space="0" w:color="auto"/>
        <w:left w:val="none" w:sz="0" w:space="0" w:color="auto"/>
        <w:bottom w:val="none" w:sz="0" w:space="0" w:color="auto"/>
        <w:right w:val="none" w:sz="0" w:space="0" w:color="auto"/>
      </w:divBdr>
    </w:div>
    <w:div w:id="978073352">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00502507">
      <w:bodyDiv w:val="1"/>
      <w:marLeft w:val="0"/>
      <w:marRight w:val="0"/>
      <w:marTop w:val="0"/>
      <w:marBottom w:val="0"/>
      <w:divBdr>
        <w:top w:val="none" w:sz="0" w:space="0" w:color="auto"/>
        <w:left w:val="none" w:sz="0" w:space="0" w:color="auto"/>
        <w:bottom w:val="none" w:sz="0" w:space="0" w:color="auto"/>
        <w:right w:val="none" w:sz="0" w:space="0" w:color="auto"/>
      </w:divBdr>
    </w:div>
    <w:div w:id="1010984485">
      <w:bodyDiv w:val="1"/>
      <w:marLeft w:val="0"/>
      <w:marRight w:val="0"/>
      <w:marTop w:val="0"/>
      <w:marBottom w:val="0"/>
      <w:divBdr>
        <w:top w:val="none" w:sz="0" w:space="0" w:color="auto"/>
        <w:left w:val="none" w:sz="0" w:space="0" w:color="auto"/>
        <w:bottom w:val="none" w:sz="0" w:space="0" w:color="auto"/>
        <w:right w:val="none" w:sz="0" w:space="0" w:color="auto"/>
      </w:divBdr>
    </w:div>
    <w:div w:id="1287006057">
      <w:bodyDiv w:val="1"/>
      <w:marLeft w:val="0"/>
      <w:marRight w:val="0"/>
      <w:marTop w:val="0"/>
      <w:marBottom w:val="0"/>
      <w:divBdr>
        <w:top w:val="none" w:sz="0" w:space="0" w:color="auto"/>
        <w:left w:val="none" w:sz="0" w:space="0" w:color="auto"/>
        <w:bottom w:val="none" w:sz="0" w:space="0" w:color="auto"/>
        <w:right w:val="none" w:sz="0" w:space="0" w:color="auto"/>
      </w:divBdr>
    </w:div>
    <w:div w:id="1288585902">
      <w:bodyDiv w:val="1"/>
      <w:marLeft w:val="0"/>
      <w:marRight w:val="0"/>
      <w:marTop w:val="0"/>
      <w:marBottom w:val="0"/>
      <w:divBdr>
        <w:top w:val="none" w:sz="0" w:space="0" w:color="auto"/>
        <w:left w:val="none" w:sz="0" w:space="0" w:color="auto"/>
        <w:bottom w:val="none" w:sz="0" w:space="0" w:color="auto"/>
        <w:right w:val="none" w:sz="0" w:space="0" w:color="auto"/>
      </w:divBdr>
    </w:div>
    <w:div w:id="1374378410">
      <w:bodyDiv w:val="1"/>
      <w:marLeft w:val="0"/>
      <w:marRight w:val="0"/>
      <w:marTop w:val="0"/>
      <w:marBottom w:val="0"/>
      <w:divBdr>
        <w:top w:val="none" w:sz="0" w:space="0" w:color="auto"/>
        <w:left w:val="none" w:sz="0" w:space="0" w:color="auto"/>
        <w:bottom w:val="none" w:sz="0" w:space="0" w:color="auto"/>
        <w:right w:val="none" w:sz="0" w:space="0" w:color="auto"/>
      </w:divBdr>
    </w:div>
    <w:div w:id="1428846382">
      <w:bodyDiv w:val="1"/>
      <w:marLeft w:val="0"/>
      <w:marRight w:val="0"/>
      <w:marTop w:val="0"/>
      <w:marBottom w:val="0"/>
      <w:divBdr>
        <w:top w:val="none" w:sz="0" w:space="0" w:color="auto"/>
        <w:left w:val="none" w:sz="0" w:space="0" w:color="auto"/>
        <w:bottom w:val="none" w:sz="0" w:space="0" w:color="auto"/>
        <w:right w:val="none" w:sz="0" w:space="0" w:color="auto"/>
      </w:divBdr>
    </w:div>
    <w:div w:id="1621254507">
      <w:bodyDiv w:val="1"/>
      <w:marLeft w:val="0"/>
      <w:marRight w:val="0"/>
      <w:marTop w:val="0"/>
      <w:marBottom w:val="0"/>
      <w:divBdr>
        <w:top w:val="none" w:sz="0" w:space="0" w:color="auto"/>
        <w:left w:val="none" w:sz="0" w:space="0" w:color="auto"/>
        <w:bottom w:val="none" w:sz="0" w:space="0" w:color="auto"/>
        <w:right w:val="none" w:sz="0" w:space="0" w:color="auto"/>
      </w:divBdr>
    </w:div>
    <w:div w:id="1719472542">
      <w:bodyDiv w:val="1"/>
      <w:marLeft w:val="0"/>
      <w:marRight w:val="0"/>
      <w:marTop w:val="0"/>
      <w:marBottom w:val="0"/>
      <w:divBdr>
        <w:top w:val="none" w:sz="0" w:space="0" w:color="auto"/>
        <w:left w:val="none" w:sz="0" w:space="0" w:color="auto"/>
        <w:bottom w:val="none" w:sz="0" w:space="0" w:color="auto"/>
        <w:right w:val="none" w:sz="0" w:space="0" w:color="auto"/>
      </w:divBdr>
    </w:div>
    <w:div w:id="1735228193">
      <w:bodyDiv w:val="1"/>
      <w:marLeft w:val="0"/>
      <w:marRight w:val="0"/>
      <w:marTop w:val="0"/>
      <w:marBottom w:val="0"/>
      <w:divBdr>
        <w:top w:val="none" w:sz="0" w:space="0" w:color="auto"/>
        <w:left w:val="none" w:sz="0" w:space="0" w:color="auto"/>
        <w:bottom w:val="none" w:sz="0" w:space="0" w:color="auto"/>
        <w:right w:val="none" w:sz="0" w:space="0" w:color="auto"/>
      </w:divBdr>
    </w:div>
    <w:div w:id="1752198900">
      <w:bodyDiv w:val="1"/>
      <w:marLeft w:val="0"/>
      <w:marRight w:val="0"/>
      <w:marTop w:val="0"/>
      <w:marBottom w:val="0"/>
      <w:divBdr>
        <w:top w:val="none" w:sz="0" w:space="0" w:color="auto"/>
        <w:left w:val="none" w:sz="0" w:space="0" w:color="auto"/>
        <w:bottom w:val="none" w:sz="0" w:space="0" w:color="auto"/>
        <w:right w:val="none" w:sz="0" w:space="0" w:color="auto"/>
      </w:divBdr>
    </w:div>
    <w:div w:id="1788543196">
      <w:bodyDiv w:val="1"/>
      <w:marLeft w:val="0"/>
      <w:marRight w:val="0"/>
      <w:marTop w:val="0"/>
      <w:marBottom w:val="0"/>
      <w:divBdr>
        <w:top w:val="none" w:sz="0" w:space="0" w:color="auto"/>
        <w:left w:val="none" w:sz="0" w:space="0" w:color="auto"/>
        <w:bottom w:val="none" w:sz="0" w:space="0" w:color="auto"/>
        <w:right w:val="none" w:sz="0" w:space="0" w:color="auto"/>
      </w:divBdr>
    </w:div>
    <w:div w:id="1811246034">
      <w:bodyDiv w:val="1"/>
      <w:marLeft w:val="0"/>
      <w:marRight w:val="0"/>
      <w:marTop w:val="0"/>
      <w:marBottom w:val="0"/>
      <w:divBdr>
        <w:top w:val="none" w:sz="0" w:space="0" w:color="auto"/>
        <w:left w:val="none" w:sz="0" w:space="0" w:color="auto"/>
        <w:bottom w:val="none" w:sz="0" w:space="0" w:color="auto"/>
        <w:right w:val="none" w:sz="0" w:space="0" w:color="auto"/>
      </w:divBdr>
    </w:div>
    <w:div w:id="1821461535">
      <w:bodyDiv w:val="1"/>
      <w:marLeft w:val="0"/>
      <w:marRight w:val="0"/>
      <w:marTop w:val="0"/>
      <w:marBottom w:val="0"/>
      <w:divBdr>
        <w:top w:val="none" w:sz="0" w:space="0" w:color="auto"/>
        <w:left w:val="none" w:sz="0" w:space="0" w:color="auto"/>
        <w:bottom w:val="none" w:sz="0" w:space="0" w:color="auto"/>
        <w:right w:val="none" w:sz="0" w:space="0" w:color="auto"/>
      </w:divBdr>
    </w:div>
    <w:div w:id="1834374335">
      <w:bodyDiv w:val="1"/>
      <w:marLeft w:val="0"/>
      <w:marRight w:val="0"/>
      <w:marTop w:val="0"/>
      <w:marBottom w:val="0"/>
      <w:divBdr>
        <w:top w:val="none" w:sz="0" w:space="0" w:color="auto"/>
        <w:left w:val="none" w:sz="0" w:space="0" w:color="auto"/>
        <w:bottom w:val="none" w:sz="0" w:space="0" w:color="auto"/>
        <w:right w:val="none" w:sz="0" w:space="0" w:color="auto"/>
      </w:divBdr>
    </w:div>
    <w:div w:id="1876382865">
      <w:bodyDiv w:val="1"/>
      <w:marLeft w:val="0"/>
      <w:marRight w:val="0"/>
      <w:marTop w:val="0"/>
      <w:marBottom w:val="0"/>
      <w:divBdr>
        <w:top w:val="none" w:sz="0" w:space="0" w:color="auto"/>
        <w:left w:val="none" w:sz="0" w:space="0" w:color="auto"/>
        <w:bottom w:val="none" w:sz="0" w:space="0" w:color="auto"/>
        <w:right w:val="none" w:sz="0" w:space="0" w:color="auto"/>
      </w:divBdr>
    </w:div>
    <w:div w:id="1957130653">
      <w:bodyDiv w:val="1"/>
      <w:marLeft w:val="0"/>
      <w:marRight w:val="0"/>
      <w:marTop w:val="0"/>
      <w:marBottom w:val="0"/>
      <w:divBdr>
        <w:top w:val="none" w:sz="0" w:space="0" w:color="auto"/>
        <w:left w:val="none" w:sz="0" w:space="0" w:color="auto"/>
        <w:bottom w:val="none" w:sz="0" w:space="0" w:color="auto"/>
        <w:right w:val="none" w:sz="0" w:space="0" w:color="auto"/>
      </w:divBdr>
    </w:div>
    <w:div w:id="1959799618">
      <w:bodyDiv w:val="1"/>
      <w:marLeft w:val="0"/>
      <w:marRight w:val="0"/>
      <w:marTop w:val="0"/>
      <w:marBottom w:val="0"/>
      <w:divBdr>
        <w:top w:val="none" w:sz="0" w:space="0" w:color="auto"/>
        <w:left w:val="none" w:sz="0" w:space="0" w:color="auto"/>
        <w:bottom w:val="none" w:sz="0" w:space="0" w:color="auto"/>
        <w:right w:val="none" w:sz="0" w:space="0" w:color="auto"/>
      </w:divBdr>
    </w:div>
    <w:div w:id="1972323361">
      <w:bodyDiv w:val="1"/>
      <w:marLeft w:val="0"/>
      <w:marRight w:val="0"/>
      <w:marTop w:val="0"/>
      <w:marBottom w:val="0"/>
      <w:divBdr>
        <w:top w:val="none" w:sz="0" w:space="0" w:color="auto"/>
        <w:left w:val="none" w:sz="0" w:space="0" w:color="auto"/>
        <w:bottom w:val="none" w:sz="0" w:space="0" w:color="auto"/>
        <w:right w:val="none" w:sz="0" w:space="0" w:color="auto"/>
      </w:divBdr>
    </w:div>
    <w:div w:id="2039119816">
      <w:bodyDiv w:val="1"/>
      <w:marLeft w:val="0"/>
      <w:marRight w:val="0"/>
      <w:marTop w:val="0"/>
      <w:marBottom w:val="0"/>
      <w:divBdr>
        <w:top w:val="none" w:sz="0" w:space="0" w:color="auto"/>
        <w:left w:val="none" w:sz="0" w:space="0" w:color="auto"/>
        <w:bottom w:val="none" w:sz="0" w:space="0" w:color="auto"/>
        <w:right w:val="none" w:sz="0" w:space="0" w:color="auto"/>
      </w:divBdr>
    </w:div>
    <w:div w:id="208961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FA7A2456.dotm</Template>
  <TotalTime>0</TotalTime>
  <Pages>15</Pages>
  <Words>3942</Words>
  <Characters>22476</Characters>
  <Application>Microsoft Office Word</Application>
  <DocSecurity>0</DocSecurity>
  <Lines>187</Lines>
  <Paragraphs>52</Paragraphs>
  <ScaleCrop>false</ScaleCrop>
  <Company/>
  <LinksUpToDate>false</LinksUpToDate>
  <CharactersWithSpaces>26366</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2014-11-26T07:09:00Z</dcterms:created>
  <dcterms:modified xsi:type="dcterms:W3CDTF">2014-11-26T07:09:00Z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8249941</vt:lpwstr>
  </property>
</Properties>
</file>