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ED" w:rsidRDefault="001752ED" w:rsidP="001752ED">
      <w:pPr>
        <w:pStyle w:val="AERbodytext"/>
      </w:pPr>
      <w:bookmarkStart w:id="0" w:name="_GoBack"/>
      <w:bookmarkEnd w:id="0"/>
      <w:r w:rsidRPr="001752ED">
        <w:rPr>
          <w:noProof/>
          <w:lang w:eastAsia="en-AU"/>
        </w:rPr>
        <w:drawing>
          <wp:anchor distT="0" distB="0" distL="114300" distR="114300" simplePos="0" relativeHeight="251659264" behindDoc="1" locked="0" layoutInCell="1" allowOverlap="1" wp14:anchorId="2A8FA053" wp14:editId="63065216">
            <wp:simplePos x="0" y="0"/>
            <wp:positionH relativeFrom="column">
              <wp:posOffset>-919480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5146B7" w:rsidRDefault="005146B7" w:rsidP="001752ED">
      <w:pPr>
        <w:pStyle w:val="AERtitle1"/>
      </w:pPr>
    </w:p>
    <w:p w:rsidR="005146B7" w:rsidRDefault="005146B7" w:rsidP="001752ED">
      <w:pPr>
        <w:pStyle w:val="AERtitle1"/>
      </w:pPr>
    </w:p>
    <w:p w:rsidR="005146B7" w:rsidRPr="005146B7" w:rsidRDefault="005146B7" w:rsidP="005146B7">
      <w:pPr>
        <w:pStyle w:val="AERtitle1"/>
      </w:pPr>
      <w:r w:rsidRPr="005146B7">
        <w:t>Draft decision</w:t>
      </w:r>
    </w:p>
    <w:p w:rsidR="005146B7" w:rsidRPr="005146B7" w:rsidRDefault="005146B7" w:rsidP="005146B7">
      <w:pPr>
        <w:pStyle w:val="AERtitle1"/>
      </w:pPr>
      <w:r w:rsidRPr="005146B7">
        <w:t>Endeavour Energy distribution determination</w:t>
      </w:r>
    </w:p>
    <w:p w:rsidR="005146B7" w:rsidRPr="005146B7" w:rsidRDefault="005146B7" w:rsidP="005146B7">
      <w:pPr>
        <w:pStyle w:val="AERtitle1"/>
      </w:pPr>
      <w:r w:rsidRPr="005146B7">
        <w:t>2015–16 to 2018–19</w:t>
      </w:r>
    </w:p>
    <w:p w:rsidR="005146B7" w:rsidRPr="005146B7" w:rsidRDefault="005146B7" w:rsidP="005146B7">
      <w:pPr>
        <w:pStyle w:val="AERtitle1"/>
      </w:pPr>
      <w:r w:rsidRPr="005146B7">
        <w:t xml:space="preserve">Attachment </w:t>
      </w:r>
      <w:r>
        <w:t>4</w:t>
      </w:r>
      <w:r w:rsidRPr="005146B7">
        <w:t xml:space="preserve">: </w:t>
      </w:r>
      <w:r>
        <w:t>Value of imputation credits</w:t>
      </w:r>
    </w:p>
    <w:p w:rsidR="001752ED" w:rsidRDefault="001752ED" w:rsidP="001752ED">
      <w:pPr>
        <w:pStyle w:val="AERtitle1"/>
      </w:pPr>
    </w:p>
    <w:p w:rsidR="001752ED" w:rsidRDefault="001752ED" w:rsidP="001752ED">
      <w:pPr>
        <w:pStyle w:val="AERbodytext"/>
      </w:pPr>
    </w:p>
    <w:p w:rsidR="001752ED" w:rsidRPr="00F6235D" w:rsidRDefault="001752ED" w:rsidP="001752ED">
      <w:pPr>
        <w:pStyle w:val="AERtitle2"/>
      </w:pPr>
      <w:r>
        <w:t>November 2014</w:t>
      </w:r>
    </w:p>
    <w:p w:rsidR="001752ED" w:rsidRDefault="001752ED" w:rsidP="001752ED">
      <w:pPr>
        <w:pStyle w:val="AERbodytext"/>
      </w:pPr>
    </w:p>
    <w:p w:rsidR="001752ED" w:rsidRDefault="001752ED" w:rsidP="001752ED">
      <w:pPr>
        <w:pStyle w:val="AERbodytext"/>
      </w:pPr>
    </w:p>
    <w:p w:rsidR="001752ED" w:rsidRDefault="001752ED" w:rsidP="001752ED">
      <w:pPr>
        <w:pStyle w:val="AERbodytext"/>
      </w:pPr>
      <w:r>
        <w:br w:type="page"/>
      </w:r>
    </w:p>
    <w:p w:rsidR="00256802" w:rsidRPr="000A33B4" w:rsidRDefault="00256802" w:rsidP="00256802">
      <w:pPr>
        <w:pStyle w:val="AERbodytextnospace"/>
        <w:rPr>
          <w:rStyle w:val="AERtextbold"/>
        </w:rPr>
      </w:pPr>
      <w:r w:rsidRPr="000A33B4">
        <w:rPr>
          <w:rStyle w:val="AERtextbold"/>
        </w:rPr>
        <w:lastRenderedPageBreak/>
        <w:t>© Commonwealth of Australia 2014</w:t>
      </w:r>
    </w:p>
    <w:p w:rsidR="00256802" w:rsidRPr="000A33B4" w:rsidRDefault="00256802" w:rsidP="00256802">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256802" w:rsidRPr="000A33B4" w:rsidRDefault="00256802" w:rsidP="00256802">
      <w:pPr>
        <w:pStyle w:val="AERbulletlistfirststyle"/>
      </w:pPr>
      <w:r w:rsidRPr="000A33B4">
        <w:t>the Commonwealth Coat of Arms</w:t>
      </w:r>
    </w:p>
    <w:p w:rsidR="00256802" w:rsidRDefault="00256802" w:rsidP="00256802">
      <w:pPr>
        <w:pStyle w:val="AERbulletlistfirststyle"/>
      </w:pPr>
      <w:r w:rsidRPr="000A33B4">
        <w:t>the ACCC and AER logos</w:t>
      </w:r>
    </w:p>
    <w:p w:rsidR="00256802" w:rsidRPr="000A33B4" w:rsidRDefault="00256802" w:rsidP="00256802">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256802" w:rsidRPr="000A33B4" w:rsidRDefault="00256802" w:rsidP="00256802">
      <w:pPr>
        <w:pStyle w:val="AERbodytext"/>
      </w:pPr>
      <w:r w:rsidRPr="000A33B4">
        <w:t>The details of the relevant licence conditions are available on the Creative Commons website, as is the full legal code for the CC BY 3.0 AU licence.</w:t>
      </w:r>
    </w:p>
    <w:p w:rsidR="00256802" w:rsidRPr="000A33B4" w:rsidRDefault="00256802" w:rsidP="00256802">
      <w:pPr>
        <w:pStyle w:val="AERbodytext"/>
      </w:pPr>
      <w:r w:rsidRPr="000A33B4">
        <w:t>Requests and inquiries concerning reproduction and rights should be addressed to the Director, Corporate Communications, ACCC, GPO Box 3131, Canberra ACT 2601, or</w:t>
      </w:r>
    </w:p>
    <w:p w:rsidR="00256802" w:rsidRPr="000A33B4" w:rsidRDefault="00256802" w:rsidP="00256802">
      <w:pPr>
        <w:pStyle w:val="AERbodytext"/>
      </w:pPr>
      <w:r w:rsidRPr="000A33B4">
        <w:t xml:space="preserve"> </w:t>
      </w:r>
      <w:r>
        <w:tab/>
      </w:r>
      <w:hyperlink r:id="rId9" w:history="1">
        <w:r w:rsidRPr="000A33B4">
          <w:t>publishing.unit@accc.gov.au</w:t>
        </w:r>
      </w:hyperlink>
      <w:r w:rsidRPr="000A33B4">
        <w:t xml:space="preserve"> .</w:t>
      </w:r>
    </w:p>
    <w:p w:rsidR="00256802" w:rsidRPr="000A33B4" w:rsidRDefault="00256802" w:rsidP="00256802">
      <w:pPr>
        <w:pStyle w:val="AERbodytext"/>
      </w:pPr>
      <w:r w:rsidRPr="000A33B4">
        <w:t>Inquiries about this document should be addressed to:</w:t>
      </w:r>
    </w:p>
    <w:p w:rsidR="00256802" w:rsidRPr="000A33B4" w:rsidRDefault="00256802" w:rsidP="00256802">
      <w:pPr>
        <w:pStyle w:val="AERbodytextnospace"/>
      </w:pPr>
      <w:r w:rsidRPr="000A33B4">
        <w:t>Australian Energy Regulator</w:t>
      </w:r>
    </w:p>
    <w:p w:rsidR="00256802" w:rsidRPr="000A33B4" w:rsidRDefault="00256802" w:rsidP="00256802">
      <w:pPr>
        <w:pStyle w:val="AERbodytextnospace"/>
      </w:pPr>
      <w:r w:rsidRPr="000A33B4">
        <w:t>GPO Box 520</w:t>
      </w:r>
    </w:p>
    <w:p w:rsidR="00256802" w:rsidRPr="000A33B4" w:rsidRDefault="00256802" w:rsidP="00256802">
      <w:pPr>
        <w:pStyle w:val="AERbodytextnospace"/>
      </w:pPr>
      <w:r w:rsidRPr="000A33B4">
        <w:t>Melbourne  Vic  3001</w:t>
      </w:r>
    </w:p>
    <w:p w:rsidR="00256802" w:rsidRPr="000A33B4" w:rsidRDefault="00256802" w:rsidP="00256802">
      <w:pPr>
        <w:pStyle w:val="AERbodytextnospace"/>
      </w:pPr>
      <w:r w:rsidRPr="000A33B4">
        <w:t>Tel: (03) 9290 1444</w:t>
      </w:r>
    </w:p>
    <w:p w:rsidR="00256802" w:rsidRDefault="00256802" w:rsidP="00256802">
      <w:pPr>
        <w:pStyle w:val="AERbodytextnospace"/>
      </w:pPr>
      <w:r w:rsidRPr="000A33B4">
        <w:t>Fax: (03) 9290 1457</w:t>
      </w:r>
    </w:p>
    <w:p w:rsidR="00256802" w:rsidRDefault="00256802" w:rsidP="00256802">
      <w:pPr>
        <w:pStyle w:val="AERbodytextnospace"/>
      </w:pPr>
      <w:r w:rsidRPr="000A33B4">
        <w:t xml:space="preserve">Email: </w:t>
      </w:r>
      <w:hyperlink r:id="rId10" w:history="1">
        <w:r w:rsidRPr="000A33B4">
          <w:rPr>
            <w:rStyle w:val="Hyperlink"/>
          </w:rPr>
          <w:t>AERInquiry@aer.gov.au</w:t>
        </w:r>
      </w:hyperlink>
    </w:p>
    <w:p w:rsidR="00256802" w:rsidRDefault="00256802" w:rsidP="00256802"/>
    <w:p w:rsidR="00256802" w:rsidRDefault="00256802" w:rsidP="00256802">
      <w:r>
        <w:t>AER reference: 54420</w:t>
      </w:r>
    </w:p>
    <w:p w:rsidR="00256802" w:rsidRDefault="00256802" w:rsidP="00256802"/>
    <w:p w:rsidR="00256802" w:rsidRDefault="00256802" w:rsidP="00256802"/>
    <w:p w:rsidR="00256802" w:rsidRDefault="00256802" w:rsidP="00256802">
      <w:pPr>
        <w:spacing w:after="0" w:line="240" w:lineRule="auto"/>
        <w:jc w:val="left"/>
      </w:pPr>
      <w:r>
        <w:br w:type="page"/>
      </w:r>
    </w:p>
    <w:p w:rsidR="00256802" w:rsidRPr="006B36C8" w:rsidRDefault="00256802" w:rsidP="00256802">
      <w:pPr>
        <w:pStyle w:val="UnnumberedHeading"/>
        <w:numPr>
          <w:ilvl w:val="0"/>
          <w:numId w:val="57"/>
        </w:numPr>
        <w:rPr>
          <w:rStyle w:val="AERtextorange"/>
        </w:rPr>
      </w:pPr>
      <w:bookmarkStart w:id="1" w:name="_Toc404334854"/>
      <w:r w:rsidRPr="006B36C8">
        <w:rPr>
          <w:rStyle w:val="AERtextorange"/>
        </w:rPr>
        <w:lastRenderedPageBreak/>
        <w:t>Note</w:t>
      </w:r>
      <w:bookmarkEnd w:id="1"/>
    </w:p>
    <w:p w:rsidR="00256802" w:rsidRDefault="00256802" w:rsidP="00256802">
      <w:r>
        <w:t>This attachment forms part of the AER's draft decision on Endeavour Energy's 2015–19 distribution determination. It should be read with other parts of the draft decision.</w:t>
      </w:r>
    </w:p>
    <w:p w:rsidR="00256802" w:rsidRDefault="00256802" w:rsidP="00256802">
      <w:r>
        <w:t>The draft decision includes the following documents:</w:t>
      </w:r>
    </w:p>
    <w:p w:rsidR="00256802" w:rsidRDefault="00256802" w:rsidP="00256802">
      <w:r>
        <w:t>Overview</w:t>
      </w:r>
    </w:p>
    <w:p w:rsidR="00256802" w:rsidRDefault="00256802" w:rsidP="00256802">
      <w:r>
        <w:t>Attachment 1 – Annual revenue requirement</w:t>
      </w:r>
    </w:p>
    <w:p w:rsidR="00256802" w:rsidRDefault="00256802" w:rsidP="00256802">
      <w:r>
        <w:t>Attachment 2 – Regulatory asset base</w:t>
      </w:r>
    </w:p>
    <w:p w:rsidR="00256802" w:rsidRDefault="00256802" w:rsidP="00256802">
      <w:r>
        <w:t>Attachment 3 – Rate of return</w:t>
      </w:r>
    </w:p>
    <w:p w:rsidR="00256802" w:rsidRDefault="00256802" w:rsidP="00256802">
      <w:r>
        <w:t>Attachment 4 – Value of imputation credits</w:t>
      </w:r>
    </w:p>
    <w:p w:rsidR="00256802" w:rsidRDefault="00256802" w:rsidP="00256802">
      <w:r>
        <w:t>Attachment 5 – Regulatory depreciation</w:t>
      </w:r>
    </w:p>
    <w:p w:rsidR="00256802" w:rsidRDefault="00256802" w:rsidP="00256802">
      <w:r>
        <w:t>Attachment 6 – Capital expenditure</w:t>
      </w:r>
      <w:r w:rsidRPr="0012445F">
        <w:t xml:space="preserve"> </w:t>
      </w:r>
    </w:p>
    <w:p w:rsidR="00256802" w:rsidRDefault="00256802" w:rsidP="00256802">
      <w:r>
        <w:t>Attachment 7 – Operating expenditure</w:t>
      </w:r>
    </w:p>
    <w:p w:rsidR="00256802" w:rsidRDefault="00256802" w:rsidP="00256802">
      <w:r>
        <w:t>Attachment 8 – Corporate income tax</w:t>
      </w:r>
    </w:p>
    <w:p w:rsidR="00256802" w:rsidRDefault="00256802" w:rsidP="00256802">
      <w:r>
        <w:t>Attachment 9 – Efficiency benefit sharing scheme</w:t>
      </w:r>
    </w:p>
    <w:p w:rsidR="00256802" w:rsidRDefault="00256802" w:rsidP="00256802">
      <w:r w:rsidRPr="00DF268E">
        <w:t xml:space="preserve">Attachment </w:t>
      </w:r>
      <w:r>
        <w:t>10</w:t>
      </w:r>
      <w:r w:rsidRPr="00DF268E">
        <w:t xml:space="preserve"> –</w:t>
      </w:r>
      <w:r>
        <w:t xml:space="preserve"> C</w:t>
      </w:r>
      <w:r w:rsidRPr="00FB0F49">
        <w:t>apital expenditure sharing scheme</w:t>
      </w:r>
    </w:p>
    <w:p w:rsidR="00256802" w:rsidRDefault="00256802" w:rsidP="00256802">
      <w:r w:rsidRPr="00DF268E">
        <w:t>Attachment 1</w:t>
      </w:r>
      <w:r>
        <w:t>1 – S</w:t>
      </w:r>
      <w:r w:rsidRPr="00FB0F49">
        <w:t>ervice target performance incentive scheme</w:t>
      </w:r>
    </w:p>
    <w:p w:rsidR="00256802" w:rsidRDefault="00256802" w:rsidP="00256802">
      <w:r w:rsidRPr="00DF268E">
        <w:t>Attachment 1</w:t>
      </w:r>
      <w:r>
        <w:t>2</w:t>
      </w:r>
      <w:r w:rsidRPr="00DF268E">
        <w:t xml:space="preserve"> –</w:t>
      </w:r>
      <w:r>
        <w:t xml:space="preserve"> Demand management incentive scheme</w:t>
      </w:r>
    </w:p>
    <w:p w:rsidR="00256802" w:rsidRPr="0012445F" w:rsidRDefault="00256802" w:rsidP="00256802">
      <w:r w:rsidRPr="00DF268E">
        <w:t>Attachment 1</w:t>
      </w:r>
      <w:r>
        <w:t>3</w:t>
      </w:r>
      <w:r w:rsidRPr="00DF268E">
        <w:t xml:space="preserve"> –</w:t>
      </w:r>
      <w:r>
        <w:t xml:space="preserve"> Classification of services</w:t>
      </w:r>
    </w:p>
    <w:p w:rsidR="00256802" w:rsidRDefault="00256802" w:rsidP="00256802">
      <w:r w:rsidRPr="00DF268E">
        <w:t>Attachment 1</w:t>
      </w:r>
      <w:r>
        <w:t>4</w:t>
      </w:r>
      <w:r w:rsidRPr="00DF268E">
        <w:t xml:space="preserve"> –</w:t>
      </w:r>
      <w:r>
        <w:t xml:space="preserve"> Control mechanisms</w:t>
      </w:r>
    </w:p>
    <w:p w:rsidR="00256802" w:rsidRDefault="00256802" w:rsidP="00256802">
      <w:r w:rsidRPr="00DF268E">
        <w:t>Attachment 1</w:t>
      </w:r>
      <w:r>
        <w:t>5</w:t>
      </w:r>
      <w:r w:rsidRPr="00DF268E">
        <w:t xml:space="preserve"> –</w:t>
      </w:r>
      <w:r>
        <w:t xml:space="preserve"> Pass through events</w:t>
      </w:r>
    </w:p>
    <w:p w:rsidR="00256802" w:rsidRDefault="00256802" w:rsidP="00256802">
      <w:r w:rsidRPr="00DF268E">
        <w:t>Attachment 1</w:t>
      </w:r>
      <w:r>
        <w:t>6</w:t>
      </w:r>
      <w:r w:rsidRPr="00DF268E">
        <w:t xml:space="preserve"> –</w:t>
      </w:r>
      <w:r>
        <w:t xml:space="preserve"> Alternative control services</w:t>
      </w:r>
    </w:p>
    <w:p w:rsidR="00256802" w:rsidRDefault="00256802" w:rsidP="00256802">
      <w:r w:rsidRPr="00DF268E">
        <w:t>Attachment 1</w:t>
      </w:r>
      <w:r>
        <w:t>7</w:t>
      </w:r>
      <w:r w:rsidRPr="00DF268E">
        <w:t xml:space="preserve"> –</w:t>
      </w:r>
      <w:r>
        <w:t xml:space="preserve"> Negotiated services framework and criteria</w:t>
      </w:r>
    </w:p>
    <w:p w:rsidR="00256802" w:rsidRDefault="00256802" w:rsidP="00256802">
      <w:r w:rsidRPr="00DF268E">
        <w:t>Attachment 1</w:t>
      </w:r>
      <w:r>
        <w:t>8</w:t>
      </w:r>
      <w:r w:rsidRPr="00DF268E">
        <w:t xml:space="preserve"> –</w:t>
      </w:r>
      <w:r>
        <w:t xml:space="preserve"> Connection policy</w:t>
      </w:r>
    </w:p>
    <w:p w:rsidR="00256802" w:rsidRDefault="00256802" w:rsidP="00256802">
      <w:pPr>
        <w:pStyle w:val="AERbodytext"/>
      </w:pPr>
      <w:r>
        <w:br w:type="page"/>
      </w:r>
    </w:p>
    <w:p w:rsidR="00256802" w:rsidRPr="00A628B6" w:rsidRDefault="00256802" w:rsidP="00256802">
      <w:pPr>
        <w:pStyle w:val="UnnumberedHeading"/>
        <w:numPr>
          <w:ilvl w:val="0"/>
          <w:numId w:val="57"/>
        </w:numPr>
      </w:pPr>
      <w:bookmarkStart w:id="2" w:name="_Toc404334855"/>
      <w:r>
        <w:t>Contents</w:t>
      </w:r>
      <w:bookmarkEnd w:id="2"/>
    </w:p>
    <w:sdt>
      <w:sdtPr>
        <w:id w:val="-830675811"/>
        <w:docPartObj>
          <w:docPartGallery w:val="Table of Contents"/>
          <w:docPartUnique/>
        </w:docPartObj>
      </w:sdtPr>
      <w:sdtEndPr/>
      <w:sdtContent>
        <w:p w:rsidR="00C87708" w:rsidRDefault="00256802">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334854" w:history="1">
            <w:r w:rsidR="00C87708" w:rsidRPr="002B66CA">
              <w:rPr>
                <w:rStyle w:val="Hyperlink"/>
                <w:noProof/>
              </w:rPr>
              <w:t>Note</w:t>
            </w:r>
            <w:r w:rsidR="00C87708">
              <w:rPr>
                <w:noProof/>
                <w:webHidden/>
              </w:rPr>
              <w:tab/>
            </w:r>
            <w:r w:rsidR="00C87708">
              <w:rPr>
                <w:noProof/>
                <w:webHidden/>
              </w:rPr>
              <w:fldChar w:fldCharType="begin"/>
            </w:r>
            <w:r w:rsidR="00C87708">
              <w:rPr>
                <w:noProof/>
                <w:webHidden/>
              </w:rPr>
              <w:instrText xml:space="preserve"> PAGEREF _Toc404334854 \h </w:instrText>
            </w:r>
            <w:r w:rsidR="00C87708">
              <w:rPr>
                <w:noProof/>
                <w:webHidden/>
              </w:rPr>
            </w:r>
            <w:r w:rsidR="00C87708">
              <w:rPr>
                <w:noProof/>
                <w:webHidden/>
              </w:rPr>
              <w:fldChar w:fldCharType="separate"/>
            </w:r>
            <w:r w:rsidR="00C87708">
              <w:rPr>
                <w:noProof/>
                <w:webHidden/>
              </w:rPr>
              <w:t>iii</w:t>
            </w:r>
            <w:r w:rsidR="00C87708">
              <w:rPr>
                <w:noProof/>
                <w:webHidden/>
              </w:rPr>
              <w:fldChar w:fldCharType="end"/>
            </w:r>
          </w:hyperlink>
        </w:p>
        <w:p w:rsidR="00C87708" w:rsidRDefault="00115D9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34855" w:history="1">
            <w:r w:rsidR="00C87708" w:rsidRPr="002B66CA">
              <w:rPr>
                <w:rStyle w:val="Hyperlink"/>
                <w:noProof/>
              </w:rPr>
              <w:t>Contents</w:t>
            </w:r>
            <w:r w:rsidR="00C87708">
              <w:rPr>
                <w:noProof/>
                <w:webHidden/>
              </w:rPr>
              <w:tab/>
            </w:r>
            <w:r w:rsidR="00C87708">
              <w:rPr>
                <w:noProof/>
                <w:webHidden/>
              </w:rPr>
              <w:fldChar w:fldCharType="begin"/>
            </w:r>
            <w:r w:rsidR="00C87708">
              <w:rPr>
                <w:noProof/>
                <w:webHidden/>
              </w:rPr>
              <w:instrText xml:space="preserve"> PAGEREF _Toc404334855 \h </w:instrText>
            </w:r>
            <w:r w:rsidR="00C87708">
              <w:rPr>
                <w:noProof/>
                <w:webHidden/>
              </w:rPr>
            </w:r>
            <w:r w:rsidR="00C87708">
              <w:rPr>
                <w:noProof/>
                <w:webHidden/>
              </w:rPr>
              <w:fldChar w:fldCharType="separate"/>
            </w:r>
            <w:r w:rsidR="00C87708">
              <w:rPr>
                <w:noProof/>
                <w:webHidden/>
              </w:rPr>
              <w:t>iv</w:t>
            </w:r>
            <w:r w:rsidR="00C87708">
              <w:rPr>
                <w:noProof/>
                <w:webHidden/>
              </w:rPr>
              <w:fldChar w:fldCharType="end"/>
            </w:r>
          </w:hyperlink>
        </w:p>
        <w:p w:rsidR="00C87708" w:rsidRDefault="00115D9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34856" w:history="1">
            <w:r w:rsidR="00C87708" w:rsidRPr="002B66CA">
              <w:rPr>
                <w:rStyle w:val="Hyperlink"/>
                <w:noProof/>
              </w:rPr>
              <w:t>Shortened forms</w:t>
            </w:r>
            <w:r w:rsidR="00C87708">
              <w:rPr>
                <w:noProof/>
                <w:webHidden/>
              </w:rPr>
              <w:tab/>
            </w:r>
            <w:r w:rsidR="00C87708">
              <w:rPr>
                <w:noProof/>
                <w:webHidden/>
              </w:rPr>
              <w:fldChar w:fldCharType="begin"/>
            </w:r>
            <w:r w:rsidR="00C87708">
              <w:rPr>
                <w:noProof/>
                <w:webHidden/>
              </w:rPr>
              <w:instrText xml:space="preserve"> PAGEREF _Toc404334856 \h </w:instrText>
            </w:r>
            <w:r w:rsidR="00C87708">
              <w:rPr>
                <w:noProof/>
                <w:webHidden/>
              </w:rPr>
            </w:r>
            <w:r w:rsidR="00C87708">
              <w:rPr>
                <w:noProof/>
                <w:webHidden/>
              </w:rPr>
              <w:fldChar w:fldCharType="separate"/>
            </w:r>
            <w:r w:rsidR="00C87708">
              <w:rPr>
                <w:noProof/>
                <w:webHidden/>
              </w:rPr>
              <w:t>vi</w:t>
            </w:r>
            <w:r w:rsidR="00C87708">
              <w:rPr>
                <w:noProof/>
                <w:webHidden/>
              </w:rPr>
              <w:fldChar w:fldCharType="end"/>
            </w:r>
          </w:hyperlink>
        </w:p>
        <w:p w:rsidR="00C87708" w:rsidRDefault="00115D9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34857" w:history="1">
            <w:r w:rsidR="00C87708" w:rsidRPr="002B66CA">
              <w:rPr>
                <w:rStyle w:val="Hyperlink"/>
                <w:noProof/>
              </w:rPr>
              <w:t>4</w:t>
            </w:r>
            <w:r w:rsidR="00C87708">
              <w:rPr>
                <w:rFonts w:asciiTheme="minorHAnsi" w:eastAsiaTheme="minorEastAsia" w:hAnsiTheme="minorHAnsi" w:cstheme="minorBidi"/>
                <w:b w:val="0"/>
                <w:bCs w:val="0"/>
                <w:noProof/>
                <w:sz w:val="22"/>
                <w:szCs w:val="22"/>
                <w:lang w:eastAsia="en-AU"/>
              </w:rPr>
              <w:tab/>
            </w:r>
            <w:r w:rsidR="00C87708" w:rsidRPr="002B66CA">
              <w:rPr>
                <w:rStyle w:val="Hyperlink"/>
                <w:noProof/>
              </w:rPr>
              <w:t>Value of imputation credits</w:t>
            </w:r>
            <w:r w:rsidR="00C87708">
              <w:rPr>
                <w:noProof/>
                <w:webHidden/>
              </w:rPr>
              <w:tab/>
            </w:r>
            <w:r w:rsidR="00C87708">
              <w:rPr>
                <w:noProof/>
                <w:webHidden/>
              </w:rPr>
              <w:fldChar w:fldCharType="begin"/>
            </w:r>
            <w:r w:rsidR="00C87708">
              <w:rPr>
                <w:noProof/>
                <w:webHidden/>
              </w:rPr>
              <w:instrText xml:space="preserve"> PAGEREF _Toc404334857 \h </w:instrText>
            </w:r>
            <w:r w:rsidR="00C87708">
              <w:rPr>
                <w:noProof/>
                <w:webHidden/>
              </w:rPr>
            </w:r>
            <w:r w:rsidR="00C87708">
              <w:rPr>
                <w:noProof/>
                <w:webHidden/>
              </w:rPr>
              <w:fldChar w:fldCharType="separate"/>
            </w:r>
            <w:r w:rsidR="00C87708">
              <w:rPr>
                <w:noProof/>
                <w:webHidden/>
              </w:rPr>
              <w:t>4-9</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58" w:history="1">
            <w:r w:rsidR="00C87708" w:rsidRPr="002B66CA">
              <w:rPr>
                <w:rStyle w:val="Hyperlink"/>
                <w:noProof/>
              </w:rPr>
              <w:t>4.1</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Draft decision</w:t>
            </w:r>
            <w:r w:rsidR="00C87708">
              <w:rPr>
                <w:noProof/>
                <w:webHidden/>
              </w:rPr>
              <w:tab/>
            </w:r>
            <w:r w:rsidR="00C87708">
              <w:rPr>
                <w:noProof/>
                <w:webHidden/>
              </w:rPr>
              <w:fldChar w:fldCharType="begin"/>
            </w:r>
            <w:r w:rsidR="00C87708">
              <w:rPr>
                <w:noProof/>
                <w:webHidden/>
              </w:rPr>
              <w:instrText xml:space="preserve"> PAGEREF _Toc404334858 \h </w:instrText>
            </w:r>
            <w:r w:rsidR="00C87708">
              <w:rPr>
                <w:noProof/>
                <w:webHidden/>
              </w:rPr>
            </w:r>
            <w:r w:rsidR="00C87708">
              <w:rPr>
                <w:noProof/>
                <w:webHidden/>
              </w:rPr>
              <w:fldChar w:fldCharType="separate"/>
            </w:r>
            <w:r w:rsidR="00C87708">
              <w:rPr>
                <w:noProof/>
                <w:webHidden/>
              </w:rPr>
              <w:t>4-9</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59" w:history="1">
            <w:r w:rsidR="00C87708" w:rsidRPr="002B66CA">
              <w:rPr>
                <w:rStyle w:val="Hyperlink"/>
                <w:noProof/>
              </w:rPr>
              <w:t>4.2</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Endeavour Energy's proposal</w:t>
            </w:r>
            <w:r w:rsidR="00C87708">
              <w:rPr>
                <w:noProof/>
                <w:webHidden/>
              </w:rPr>
              <w:tab/>
            </w:r>
            <w:r w:rsidR="00C87708">
              <w:rPr>
                <w:noProof/>
                <w:webHidden/>
              </w:rPr>
              <w:fldChar w:fldCharType="begin"/>
            </w:r>
            <w:r w:rsidR="00C87708">
              <w:rPr>
                <w:noProof/>
                <w:webHidden/>
              </w:rPr>
              <w:instrText xml:space="preserve"> PAGEREF _Toc404334859 \h </w:instrText>
            </w:r>
            <w:r w:rsidR="00C87708">
              <w:rPr>
                <w:noProof/>
                <w:webHidden/>
              </w:rPr>
            </w:r>
            <w:r w:rsidR="00C87708">
              <w:rPr>
                <w:noProof/>
                <w:webHidden/>
              </w:rPr>
              <w:fldChar w:fldCharType="separate"/>
            </w:r>
            <w:r w:rsidR="00C87708">
              <w:rPr>
                <w:noProof/>
                <w:webHidden/>
              </w:rPr>
              <w:t>4-10</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60" w:history="1">
            <w:r w:rsidR="00C87708" w:rsidRPr="002B66CA">
              <w:rPr>
                <w:rStyle w:val="Hyperlink"/>
                <w:noProof/>
              </w:rPr>
              <w:t>4.3</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AER's assessment approach</w:t>
            </w:r>
            <w:r w:rsidR="00C87708">
              <w:rPr>
                <w:noProof/>
                <w:webHidden/>
              </w:rPr>
              <w:tab/>
            </w:r>
            <w:r w:rsidR="00C87708">
              <w:rPr>
                <w:noProof/>
                <w:webHidden/>
              </w:rPr>
              <w:fldChar w:fldCharType="begin"/>
            </w:r>
            <w:r w:rsidR="00C87708">
              <w:rPr>
                <w:noProof/>
                <w:webHidden/>
              </w:rPr>
              <w:instrText xml:space="preserve"> PAGEREF _Toc404334860 \h </w:instrText>
            </w:r>
            <w:r w:rsidR="00C87708">
              <w:rPr>
                <w:noProof/>
                <w:webHidden/>
              </w:rPr>
            </w:r>
            <w:r w:rsidR="00C87708">
              <w:rPr>
                <w:noProof/>
                <w:webHidden/>
              </w:rPr>
              <w:fldChar w:fldCharType="separate"/>
            </w:r>
            <w:r w:rsidR="00C87708">
              <w:rPr>
                <w:noProof/>
                <w:webHidden/>
              </w:rPr>
              <w:t>4-10</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61" w:history="1">
            <w:r w:rsidR="00C87708" w:rsidRPr="002B66CA">
              <w:rPr>
                <w:rStyle w:val="Hyperlink"/>
                <w:noProof/>
              </w:rPr>
              <w:t>4.3.1</w:t>
            </w:r>
            <w:r w:rsidR="00C87708">
              <w:rPr>
                <w:rFonts w:asciiTheme="minorHAnsi" w:eastAsiaTheme="minorEastAsia" w:hAnsiTheme="minorHAnsi" w:cstheme="minorBidi"/>
                <w:noProof/>
                <w:sz w:val="22"/>
                <w:szCs w:val="22"/>
                <w:lang w:eastAsia="en-AU"/>
              </w:rPr>
              <w:tab/>
            </w:r>
            <w:r w:rsidR="00C87708" w:rsidRPr="002B66CA">
              <w:rPr>
                <w:rStyle w:val="Hyperlink"/>
                <w:noProof/>
              </w:rPr>
              <w:t>Requirements of the law and rules</w:t>
            </w:r>
            <w:r w:rsidR="00C87708">
              <w:rPr>
                <w:noProof/>
                <w:webHidden/>
              </w:rPr>
              <w:tab/>
            </w:r>
            <w:r w:rsidR="00C87708">
              <w:rPr>
                <w:noProof/>
                <w:webHidden/>
              </w:rPr>
              <w:fldChar w:fldCharType="begin"/>
            </w:r>
            <w:r w:rsidR="00C87708">
              <w:rPr>
                <w:noProof/>
                <w:webHidden/>
              </w:rPr>
              <w:instrText xml:space="preserve"> PAGEREF _Toc404334861 \h </w:instrText>
            </w:r>
            <w:r w:rsidR="00C87708">
              <w:rPr>
                <w:noProof/>
                <w:webHidden/>
              </w:rPr>
            </w:r>
            <w:r w:rsidR="00C87708">
              <w:rPr>
                <w:noProof/>
                <w:webHidden/>
              </w:rPr>
              <w:fldChar w:fldCharType="separate"/>
            </w:r>
            <w:r w:rsidR="00C87708">
              <w:rPr>
                <w:noProof/>
                <w:webHidden/>
              </w:rPr>
              <w:t>4-11</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62" w:history="1">
            <w:r w:rsidR="00C87708" w:rsidRPr="002B66CA">
              <w:rPr>
                <w:rStyle w:val="Hyperlink"/>
                <w:noProof/>
              </w:rPr>
              <w:t>4.3.2</w:t>
            </w:r>
            <w:r w:rsidR="00C87708">
              <w:rPr>
                <w:rFonts w:asciiTheme="minorHAnsi" w:eastAsiaTheme="minorEastAsia" w:hAnsiTheme="minorHAnsi" w:cstheme="minorBidi"/>
                <w:noProof/>
                <w:sz w:val="22"/>
                <w:szCs w:val="22"/>
                <w:lang w:eastAsia="en-AU"/>
              </w:rPr>
              <w:tab/>
            </w:r>
            <w:r w:rsidR="00C87708" w:rsidRPr="002B66CA">
              <w:rPr>
                <w:rStyle w:val="Hyperlink"/>
                <w:noProof/>
              </w:rPr>
              <w:t>Rate of return guideline</w:t>
            </w:r>
            <w:r w:rsidR="00C87708">
              <w:rPr>
                <w:noProof/>
                <w:webHidden/>
              </w:rPr>
              <w:tab/>
            </w:r>
            <w:r w:rsidR="00C87708">
              <w:rPr>
                <w:noProof/>
                <w:webHidden/>
              </w:rPr>
              <w:fldChar w:fldCharType="begin"/>
            </w:r>
            <w:r w:rsidR="00C87708">
              <w:rPr>
                <w:noProof/>
                <w:webHidden/>
              </w:rPr>
              <w:instrText xml:space="preserve"> PAGEREF _Toc404334862 \h </w:instrText>
            </w:r>
            <w:r w:rsidR="00C87708">
              <w:rPr>
                <w:noProof/>
                <w:webHidden/>
              </w:rPr>
            </w:r>
            <w:r w:rsidR="00C87708">
              <w:rPr>
                <w:noProof/>
                <w:webHidden/>
              </w:rPr>
              <w:fldChar w:fldCharType="separate"/>
            </w:r>
            <w:r w:rsidR="00C87708">
              <w:rPr>
                <w:noProof/>
                <w:webHidden/>
              </w:rPr>
              <w:t>4-12</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63" w:history="1">
            <w:r w:rsidR="00C87708" w:rsidRPr="002B66CA">
              <w:rPr>
                <w:rStyle w:val="Hyperlink"/>
                <w:noProof/>
              </w:rPr>
              <w:t>4.3.3</w:t>
            </w:r>
            <w:r w:rsidR="00C87708">
              <w:rPr>
                <w:rFonts w:asciiTheme="minorHAnsi" w:eastAsiaTheme="minorEastAsia" w:hAnsiTheme="minorHAnsi" w:cstheme="minorBidi"/>
                <w:noProof/>
                <w:sz w:val="22"/>
                <w:szCs w:val="22"/>
                <w:lang w:eastAsia="en-AU"/>
              </w:rPr>
              <w:tab/>
            </w:r>
            <w:r w:rsidR="00C87708" w:rsidRPr="002B66CA">
              <w:rPr>
                <w:rStyle w:val="Hyperlink"/>
                <w:noProof/>
              </w:rPr>
              <w:t>Definition of benchmark efficient entity</w:t>
            </w:r>
            <w:r w:rsidR="00C87708">
              <w:rPr>
                <w:noProof/>
                <w:webHidden/>
              </w:rPr>
              <w:tab/>
            </w:r>
            <w:r w:rsidR="00C87708">
              <w:rPr>
                <w:noProof/>
                <w:webHidden/>
              </w:rPr>
              <w:fldChar w:fldCharType="begin"/>
            </w:r>
            <w:r w:rsidR="00C87708">
              <w:rPr>
                <w:noProof/>
                <w:webHidden/>
              </w:rPr>
              <w:instrText xml:space="preserve"> PAGEREF _Toc404334863 \h </w:instrText>
            </w:r>
            <w:r w:rsidR="00C87708">
              <w:rPr>
                <w:noProof/>
                <w:webHidden/>
              </w:rPr>
            </w:r>
            <w:r w:rsidR="00C87708">
              <w:rPr>
                <w:noProof/>
                <w:webHidden/>
              </w:rPr>
              <w:fldChar w:fldCharType="separate"/>
            </w:r>
            <w:r w:rsidR="00C87708">
              <w:rPr>
                <w:noProof/>
                <w:webHidden/>
              </w:rPr>
              <w:t>4-13</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64" w:history="1">
            <w:r w:rsidR="00C87708" w:rsidRPr="002B66CA">
              <w:rPr>
                <w:rStyle w:val="Hyperlink"/>
                <w:noProof/>
              </w:rPr>
              <w:t>4.3.4</w:t>
            </w:r>
            <w:r w:rsidR="00C87708">
              <w:rPr>
                <w:rFonts w:asciiTheme="minorHAnsi" w:eastAsiaTheme="minorEastAsia" w:hAnsiTheme="minorHAnsi" w:cstheme="minorBidi"/>
                <w:noProof/>
                <w:sz w:val="22"/>
                <w:szCs w:val="22"/>
                <w:lang w:eastAsia="en-AU"/>
              </w:rPr>
              <w:tab/>
            </w:r>
            <w:r w:rsidR="00C87708" w:rsidRPr="002B66CA">
              <w:rPr>
                <w:rStyle w:val="Hyperlink"/>
                <w:noProof/>
              </w:rPr>
              <w:t>Expert reports</w:t>
            </w:r>
            <w:r w:rsidR="00C87708">
              <w:rPr>
                <w:noProof/>
                <w:webHidden/>
              </w:rPr>
              <w:tab/>
            </w:r>
            <w:r w:rsidR="00C87708">
              <w:rPr>
                <w:noProof/>
                <w:webHidden/>
              </w:rPr>
              <w:fldChar w:fldCharType="begin"/>
            </w:r>
            <w:r w:rsidR="00C87708">
              <w:rPr>
                <w:noProof/>
                <w:webHidden/>
              </w:rPr>
              <w:instrText xml:space="preserve"> PAGEREF _Toc404334864 \h </w:instrText>
            </w:r>
            <w:r w:rsidR="00C87708">
              <w:rPr>
                <w:noProof/>
                <w:webHidden/>
              </w:rPr>
            </w:r>
            <w:r w:rsidR="00C87708">
              <w:rPr>
                <w:noProof/>
                <w:webHidden/>
              </w:rPr>
              <w:fldChar w:fldCharType="separate"/>
            </w:r>
            <w:r w:rsidR="00C87708">
              <w:rPr>
                <w:noProof/>
                <w:webHidden/>
              </w:rPr>
              <w:t>4-13</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65" w:history="1">
            <w:r w:rsidR="00C87708" w:rsidRPr="002B66CA">
              <w:rPr>
                <w:rStyle w:val="Hyperlink"/>
                <w:noProof/>
              </w:rPr>
              <w:t>4.3.5</w:t>
            </w:r>
            <w:r w:rsidR="00C87708">
              <w:rPr>
                <w:rFonts w:asciiTheme="minorHAnsi" w:eastAsiaTheme="minorEastAsia" w:hAnsiTheme="minorHAnsi" w:cstheme="minorBidi"/>
                <w:noProof/>
                <w:sz w:val="22"/>
                <w:szCs w:val="22"/>
                <w:lang w:eastAsia="en-AU"/>
              </w:rPr>
              <w:tab/>
            </w:r>
            <w:r w:rsidR="00C87708" w:rsidRPr="002B66CA">
              <w:rPr>
                <w:rStyle w:val="Hyperlink"/>
                <w:noProof/>
              </w:rPr>
              <w:t>Approach to determining the value of imputation credits</w:t>
            </w:r>
            <w:r w:rsidR="00C87708">
              <w:rPr>
                <w:noProof/>
                <w:webHidden/>
              </w:rPr>
              <w:tab/>
            </w:r>
            <w:r w:rsidR="00C87708">
              <w:rPr>
                <w:noProof/>
                <w:webHidden/>
              </w:rPr>
              <w:fldChar w:fldCharType="begin"/>
            </w:r>
            <w:r w:rsidR="00C87708">
              <w:rPr>
                <w:noProof/>
                <w:webHidden/>
              </w:rPr>
              <w:instrText xml:space="preserve"> PAGEREF _Toc404334865 \h </w:instrText>
            </w:r>
            <w:r w:rsidR="00C87708">
              <w:rPr>
                <w:noProof/>
                <w:webHidden/>
              </w:rPr>
            </w:r>
            <w:r w:rsidR="00C87708">
              <w:rPr>
                <w:noProof/>
                <w:webHidden/>
              </w:rPr>
              <w:fldChar w:fldCharType="separate"/>
            </w:r>
            <w:r w:rsidR="00C87708">
              <w:rPr>
                <w:noProof/>
                <w:webHidden/>
              </w:rPr>
              <w:t>4-14</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66" w:history="1">
            <w:r w:rsidR="00C87708" w:rsidRPr="002B66CA">
              <w:rPr>
                <w:rStyle w:val="Hyperlink"/>
                <w:noProof/>
              </w:rPr>
              <w:t>4.4</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Reasons for draft decision</w:t>
            </w:r>
            <w:r w:rsidR="00C87708">
              <w:rPr>
                <w:noProof/>
                <w:webHidden/>
              </w:rPr>
              <w:tab/>
            </w:r>
            <w:r w:rsidR="00C87708">
              <w:rPr>
                <w:noProof/>
                <w:webHidden/>
              </w:rPr>
              <w:fldChar w:fldCharType="begin"/>
            </w:r>
            <w:r w:rsidR="00C87708">
              <w:rPr>
                <w:noProof/>
                <w:webHidden/>
              </w:rPr>
              <w:instrText xml:space="preserve"> PAGEREF _Toc404334866 \h </w:instrText>
            </w:r>
            <w:r w:rsidR="00C87708">
              <w:rPr>
                <w:noProof/>
                <w:webHidden/>
              </w:rPr>
            </w:r>
            <w:r w:rsidR="00C87708">
              <w:rPr>
                <w:noProof/>
                <w:webHidden/>
              </w:rPr>
              <w:fldChar w:fldCharType="separate"/>
            </w:r>
            <w:r w:rsidR="00C87708">
              <w:rPr>
                <w:noProof/>
                <w:webHidden/>
              </w:rPr>
              <w:t>4-15</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67" w:history="1">
            <w:r w:rsidR="00C87708" w:rsidRPr="002B66CA">
              <w:rPr>
                <w:rStyle w:val="Hyperlink"/>
                <w:noProof/>
              </w:rPr>
              <w:t>4.4.1</w:t>
            </w:r>
            <w:r w:rsidR="00C87708">
              <w:rPr>
                <w:rFonts w:asciiTheme="minorHAnsi" w:eastAsiaTheme="minorEastAsia" w:hAnsiTheme="minorHAnsi" w:cstheme="minorBidi"/>
                <w:noProof/>
                <w:sz w:val="22"/>
                <w:szCs w:val="22"/>
                <w:lang w:eastAsia="en-AU"/>
              </w:rPr>
              <w:tab/>
            </w:r>
            <w:r w:rsidR="00C87708" w:rsidRPr="002B66CA">
              <w:rPr>
                <w:rStyle w:val="Hyperlink"/>
                <w:noProof/>
              </w:rPr>
              <w:t>The distribution rate</w:t>
            </w:r>
            <w:r w:rsidR="00C87708">
              <w:rPr>
                <w:noProof/>
                <w:webHidden/>
              </w:rPr>
              <w:tab/>
            </w:r>
            <w:r w:rsidR="00C87708">
              <w:rPr>
                <w:noProof/>
                <w:webHidden/>
              </w:rPr>
              <w:fldChar w:fldCharType="begin"/>
            </w:r>
            <w:r w:rsidR="00C87708">
              <w:rPr>
                <w:noProof/>
                <w:webHidden/>
              </w:rPr>
              <w:instrText xml:space="preserve"> PAGEREF _Toc404334867 \h </w:instrText>
            </w:r>
            <w:r w:rsidR="00C87708">
              <w:rPr>
                <w:noProof/>
                <w:webHidden/>
              </w:rPr>
            </w:r>
            <w:r w:rsidR="00C87708">
              <w:rPr>
                <w:noProof/>
                <w:webHidden/>
              </w:rPr>
              <w:fldChar w:fldCharType="separate"/>
            </w:r>
            <w:r w:rsidR="00C87708">
              <w:rPr>
                <w:noProof/>
                <w:webHidden/>
              </w:rPr>
              <w:t>4-18</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68" w:history="1">
            <w:r w:rsidR="00C87708" w:rsidRPr="002B66CA">
              <w:rPr>
                <w:rStyle w:val="Hyperlink"/>
                <w:noProof/>
              </w:rPr>
              <w:t>4.4.2</w:t>
            </w:r>
            <w:r w:rsidR="00C87708">
              <w:rPr>
                <w:rFonts w:asciiTheme="minorHAnsi" w:eastAsiaTheme="minorEastAsia" w:hAnsiTheme="minorHAnsi" w:cstheme="minorBidi"/>
                <w:noProof/>
                <w:sz w:val="22"/>
                <w:szCs w:val="22"/>
                <w:lang w:eastAsia="en-AU"/>
              </w:rPr>
              <w:tab/>
            </w:r>
            <w:r w:rsidR="00C87708" w:rsidRPr="002B66CA">
              <w:rPr>
                <w:rStyle w:val="Hyperlink"/>
                <w:noProof/>
              </w:rPr>
              <w:t>The utilisation rate</w:t>
            </w:r>
            <w:r w:rsidR="00C87708">
              <w:rPr>
                <w:noProof/>
                <w:webHidden/>
              </w:rPr>
              <w:tab/>
            </w:r>
            <w:r w:rsidR="00C87708">
              <w:rPr>
                <w:noProof/>
                <w:webHidden/>
              </w:rPr>
              <w:fldChar w:fldCharType="begin"/>
            </w:r>
            <w:r w:rsidR="00C87708">
              <w:rPr>
                <w:noProof/>
                <w:webHidden/>
              </w:rPr>
              <w:instrText xml:space="preserve"> PAGEREF _Toc404334868 \h </w:instrText>
            </w:r>
            <w:r w:rsidR="00C87708">
              <w:rPr>
                <w:noProof/>
                <w:webHidden/>
              </w:rPr>
            </w:r>
            <w:r w:rsidR="00C87708">
              <w:rPr>
                <w:noProof/>
                <w:webHidden/>
              </w:rPr>
              <w:fldChar w:fldCharType="separate"/>
            </w:r>
            <w:r w:rsidR="00C87708">
              <w:rPr>
                <w:noProof/>
                <w:webHidden/>
              </w:rPr>
              <w:t>4-19</w:t>
            </w:r>
            <w:r w:rsidR="00C87708">
              <w:rPr>
                <w:noProof/>
                <w:webHidden/>
              </w:rPr>
              <w:fldChar w:fldCharType="end"/>
            </w:r>
          </w:hyperlink>
        </w:p>
        <w:p w:rsidR="00C87708" w:rsidRDefault="00115D9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34869" w:history="1">
            <w:r w:rsidR="00C87708" w:rsidRPr="002B66CA">
              <w:rPr>
                <w:rStyle w:val="Hyperlink"/>
                <w:noProof/>
              </w:rPr>
              <w:t>A</w:t>
            </w:r>
            <w:r w:rsidR="00C87708">
              <w:rPr>
                <w:rFonts w:asciiTheme="minorHAnsi" w:eastAsiaTheme="minorEastAsia" w:hAnsiTheme="minorHAnsi" w:cstheme="minorBidi"/>
                <w:b w:val="0"/>
                <w:bCs w:val="0"/>
                <w:noProof/>
                <w:sz w:val="22"/>
                <w:szCs w:val="22"/>
                <w:lang w:eastAsia="en-AU"/>
              </w:rPr>
              <w:tab/>
            </w:r>
            <w:r w:rsidR="00C87708" w:rsidRPr="002B66CA">
              <w:rPr>
                <w:rStyle w:val="Hyperlink"/>
                <w:noProof/>
              </w:rPr>
              <w:t>Value of imputation credits: Detailed analysis</w:t>
            </w:r>
            <w:r w:rsidR="00C87708">
              <w:rPr>
                <w:noProof/>
                <w:webHidden/>
              </w:rPr>
              <w:tab/>
            </w:r>
            <w:r w:rsidR="00C87708">
              <w:rPr>
                <w:noProof/>
                <w:webHidden/>
              </w:rPr>
              <w:fldChar w:fldCharType="begin"/>
            </w:r>
            <w:r w:rsidR="00C87708">
              <w:rPr>
                <w:noProof/>
                <w:webHidden/>
              </w:rPr>
              <w:instrText xml:space="preserve"> PAGEREF _Toc404334869 \h </w:instrText>
            </w:r>
            <w:r w:rsidR="00C87708">
              <w:rPr>
                <w:noProof/>
                <w:webHidden/>
              </w:rPr>
            </w:r>
            <w:r w:rsidR="00C87708">
              <w:rPr>
                <w:noProof/>
                <w:webHidden/>
              </w:rPr>
              <w:fldChar w:fldCharType="separate"/>
            </w:r>
            <w:r w:rsidR="00C87708">
              <w:rPr>
                <w:noProof/>
                <w:webHidden/>
              </w:rPr>
              <w:t>4-28</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70" w:history="1">
            <w:r w:rsidR="00C87708" w:rsidRPr="002B66CA">
              <w:rPr>
                <w:rStyle w:val="Hyperlink"/>
                <w:noProof/>
              </w:rPr>
              <w:t>A.1</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Expert views on the value of imputation credits</w:t>
            </w:r>
            <w:r w:rsidR="00C87708">
              <w:rPr>
                <w:noProof/>
                <w:webHidden/>
              </w:rPr>
              <w:tab/>
            </w:r>
            <w:r w:rsidR="00C87708">
              <w:rPr>
                <w:noProof/>
                <w:webHidden/>
              </w:rPr>
              <w:fldChar w:fldCharType="begin"/>
            </w:r>
            <w:r w:rsidR="00C87708">
              <w:rPr>
                <w:noProof/>
                <w:webHidden/>
              </w:rPr>
              <w:instrText xml:space="preserve"> PAGEREF _Toc404334870 \h </w:instrText>
            </w:r>
            <w:r w:rsidR="00C87708">
              <w:rPr>
                <w:noProof/>
                <w:webHidden/>
              </w:rPr>
            </w:r>
            <w:r w:rsidR="00C87708">
              <w:rPr>
                <w:noProof/>
                <w:webHidden/>
              </w:rPr>
              <w:fldChar w:fldCharType="separate"/>
            </w:r>
            <w:r w:rsidR="00C87708">
              <w:rPr>
                <w:noProof/>
                <w:webHidden/>
              </w:rPr>
              <w:t>4-28</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71" w:history="1">
            <w:r w:rsidR="00C87708" w:rsidRPr="002B66CA">
              <w:rPr>
                <w:rStyle w:val="Hyperlink"/>
                <w:noProof/>
              </w:rPr>
              <w:t>A.2</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The value of imputation credits used by other regulators</w:t>
            </w:r>
            <w:r w:rsidR="00C87708">
              <w:rPr>
                <w:noProof/>
                <w:webHidden/>
              </w:rPr>
              <w:tab/>
            </w:r>
            <w:r w:rsidR="00C87708">
              <w:rPr>
                <w:noProof/>
                <w:webHidden/>
              </w:rPr>
              <w:fldChar w:fldCharType="begin"/>
            </w:r>
            <w:r w:rsidR="00C87708">
              <w:rPr>
                <w:noProof/>
                <w:webHidden/>
              </w:rPr>
              <w:instrText xml:space="preserve"> PAGEREF _Toc404334871 \h </w:instrText>
            </w:r>
            <w:r w:rsidR="00C87708">
              <w:rPr>
                <w:noProof/>
                <w:webHidden/>
              </w:rPr>
            </w:r>
            <w:r w:rsidR="00C87708">
              <w:rPr>
                <w:noProof/>
                <w:webHidden/>
              </w:rPr>
              <w:fldChar w:fldCharType="separate"/>
            </w:r>
            <w:r w:rsidR="00C87708">
              <w:rPr>
                <w:noProof/>
                <w:webHidden/>
              </w:rPr>
              <w:t>4-29</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72" w:history="1">
            <w:r w:rsidR="00C87708" w:rsidRPr="002B66CA">
              <w:rPr>
                <w:rStyle w:val="Hyperlink"/>
                <w:noProof/>
              </w:rPr>
              <w:t>A.3</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Previous Australian Competition Tribunal considerations</w:t>
            </w:r>
            <w:r w:rsidR="00C87708">
              <w:rPr>
                <w:noProof/>
                <w:webHidden/>
              </w:rPr>
              <w:tab/>
            </w:r>
            <w:r w:rsidR="00C87708">
              <w:rPr>
                <w:noProof/>
                <w:webHidden/>
              </w:rPr>
              <w:fldChar w:fldCharType="begin"/>
            </w:r>
            <w:r w:rsidR="00C87708">
              <w:rPr>
                <w:noProof/>
                <w:webHidden/>
              </w:rPr>
              <w:instrText xml:space="preserve"> PAGEREF _Toc404334872 \h </w:instrText>
            </w:r>
            <w:r w:rsidR="00C87708">
              <w:rPr>
                <w:noProof/>
                <w:webHidden/>
              </w:rPr>
            </w:r>
            <w:r w:rsidR="00C87708">
              <w:rPr>
                <w:noProof/>
                <w:webHidden/>
              </w:rPr>
              <w:fldChar w:fldCharType="separate"/>
            </w:r>
            <w:r w:rsidR="00C87708">
              <w:rPr>
                <w:noProof/>
                <w:webHidden/>
              </w:rPr>
              <w:t>4-30</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73" w:history="1">
            <w:r w:rsidR="00C87708" w:rsidRPr="002B66CA">
              <w:rPr>
                <w:rStyle w:val="Hyperlink"/>
                <w:noProof/>
              </w:rPr>
              <w:t>A.3.1</w:t>
            </w:r>
            <w:r w:rsidR="00C87708">
              <w:rPr>
                <w:rFonts w:asciiTheme="minorHAnsi" w:eastAsiaTheme="minorEastAsia" w:hAnsiTheme="minorHAnsi" w:cstheme="minorBidi"/>
                <w:noProof/>
                <w:sz w:val="22"/>
                <w:szCs w:val="22"/>
                <w:lang w:eastAsia="en-AU"/>
              </w:rPr>
              <w:tab/>
            </w:r>
            <w:r w:rsidR="00C87708" w:rsidRPr="002B66CA">
              <w:rPr>
                <w:rStyle w:val="Hyperlink"/>
                <w:noProof/>
              </w:rPr>
              <w:t>Energex</w:t>
            </w:r>
            <w:r w:rsidR="00C87708">
              <w:rPr>
                <w:noProof/>
                <w:webHidden/>
              </w:rPr>
              <w:tab/>
            </w:r>
            <w:r w:rsidR="00C87708">
              <w:rPr>
                <w:noProof/>
                <w:webHidden/>
              </w:rPr>
              <w:fldChar w:fldCharType="begin"/>
            </w:r>
            <w:r w:rsidR="00C87708">
              <w:rPr>
                <w:noProof/>
                <w:webHidden/>
              </w:rPr>
              <w:instrText xml:space="preserve"> PAGEREF _Toc404334873 \h </w:instrText>
            </w:r>
            <w:r w:rsidR="00C87708">
              <w:rPr>
                <w:noProof/>
                <w:webHidden/>
              </w:rPr>
            </w:r>
            <w:r w:rsidR="00C87708">
              <w:rPr>
                <w:noProof/>
                <w:webHidden/>
              </w:rPr>
              <w:fldChar w:fldCharType="separate"/>
            </w:r>
            <w:r w:rsidR="00C87708">
              <w:rPr>
                <w:noProof/>
                <w:webHidden/>
              </w:rPr>
              <w:t>4-31</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74" w:history="1">
            <w:r w:rsidR="00C87708" w:rsidRPr="002B66CA">
              <w:rPr>
                <w:rStyle w:val="Hyperlink"/>
                <w:noProof/>
              </w:rPr>
              <w:t>A.3.2</w:t>
            </w:r>
            <w:r w:rsidR="00C87708">
              <w:rPr>
                <w:rFonts w:asciiTheme="minorHAnsi" w:eastAsiaTheme="minorEastAsia" w:hAnsiTheme="minorHAnsi" w:cstheme="minorBidi"/>
                <w:noProof/>
                <w:sz w:val="22"/>
                <w:szCs w:val="22"/>
                <w:lang w:eastAsia="en-AU"/>
              </w:rPr>
              <w:tab/>
            </w:r>
            <w:r w:rsidR="00C87708" w:rsidRPr="002B66CA">
              <w:rPr>
                <w:rStyle w:val="Hyperlink"/>
                <w:noProof/>
              </w:rPr>
              <w:t>DBNGP and WA Gas Networks</w:t>
            </w:r>
            <w:r w:rsidR="00C87708">
              <w:rPr>
                <w:noProof/>
                <w:webHidden/>
              </w:rPr>
              <w:tab/>
            </w:r>
            <w:r w:rsidR="00C87708">
              <w:rPr>
                <w:noProof/>
                <w:webHidden/>
              </w:rPr>
              <w:fldChar w:fldCharType="begin"/>
            </w:r>
            <w:r w:rsidR="00C87708">
              <w:rPr>
                <w:noProof/>
                <w:webHidden/>
              </w:rPr>
              <w:instrText xml:space="preserve"> PAGEREF _Toc404334874 \h </w:instrText>
            </w:r>
            <w:r w:rsidR="00C87708">
              <w:rPr>
                <w:noProof/>
                <w:webHidden/>
              </w:rPr>
            </w:r>
            <w:r w:rsidR="00C87708">
              <w:rPr>
                <w:noProof/>
                <w:webHidden/>
              </w:rPr>
              <w:fldChar w:fldCharType="separate"/>
            </w:r>
            <w:r w:rsidR="00C87708">
              <w:rPr>
                <w:noProof/>
                <w:webHidden/>
              </w:rPr>
              <w:t>4-34</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75" w:history="1">
            <w:r w:rsidR="00C87708" w:rsidRPr="002B66CA">
              <w:rPr>
                <w:rStyle w:val="Hyperlink"/>
                <w:noProof/>
              </w:rPr>
              <w:t>A.4</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The role of the value of imputation credits in the regulatory framework</w:t>
            </w:r>
            <w:r w:rsidR="00C87708">
              <w:rPr>
                <w:noProof/>
                <w:webHidden/>
              </w:rPr>
              <w:tab/>
            </w:r>
            <w:r w:rsidR="00C87708">
              <w:rPr>
                <w:noProof/>
                <w:webHidden/>
              </w:rPr>
              <w:fldChar w:fldCharType="begin"/>
            </w:r>
            <w:r w:rsidR="00C87708">
              <w:rPr>
                <w:noProof/>
                <w:webHidden/>
              </w:rPr>
              <w:instrText xml:space="preserve"> PAGEREF _Toc404334875 \h </w:instrText>
            </w:r>
            <w:r w:rsidR="00C87708">
              <w:rPr>
                <w:noProof/>
                <w:webHidden/>
              </w:rPr>
            </w:r>
            <w:r w:rsidR="00C87708">
              <w:rPr>
                <w:noProof/>
                <w:webHidden/>
              </w:rPr>
              <w:fldChar w:fldCharType="separate"/>
            </w:r>
            <w:r w:rsidR="00C87708">
              <w:rPr>
                <w:noProof/>
                <w:webHidden/>
              </w:rPr>
              <w:t>4-34</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76" w:history="1">
            <w:r w:rsidR="00C87708" w:rsidRPr="002B66CA">
              <w:rPr>
                <w:rStyle w:val="Hyperlink"/>
                <w:noProof/>
              </w:rPr>
              <w:t>A.4.1</w:t>
            </w:r>
            <w:r w:rsidR="00C87708">
              <w:rPr>
                <w:rFonts w:asciiTheme="minorHAnsi" w:eastAsiaTheme="minorEastAsia" w:hAnsiTheme="minorHAnsi" w:cstheme="minorBidi"/>
                <w:noProof/>
                <w:sz w:val="22"/>
                <w:szCs w:val="22"/>
                <w:lang w:eastAsia="en-AU"/>
              </w:rPr>
              <w:tab/>
            </w:r>
            <w:r w:rsidR="00C87708" w:rsidRPr="002B66CA">
              <w:rPr>
                <w:rStyle w:val="Hyperlink"/>
                <w:noProof/>
              </w:rPr>
              <w:t>The building block framework</w:t>
            </w:r>
            <w:r w:rsidR="00C87708">
              <w:rPr>
                <w:noProof/>
                <w:webHidden/>
              </w:rPr>
              <w:tab/>
            </w:r>
            <w:r w:rsidR="00C87708">
              <w:rPr>
                <w:noProof/>
                <w:webHidden/>
              </w:rPr>
              <w:fldChar w:fldCharType="begin"/>
            </w:r>
            <w:r w:rsidR="00C87708">
              <w:rPr>
                <w:noProof/>
                <w:webHidden/>
              </w:rPr>
              <w:instrText xml:space="preserve"> PAGEREF _Toc404334876 \h </w:instrText>
            </w:r>
            <w:r w:rsidR="00C87708">
              <w:rPr>
                <w:noProof/>
                <w:webHidden/>
              </w:rPr>
            </w:r>
            <w:r w:rsidR="00C87708">
              <w:rPr>
                <w:noProof/>
                <w:webHidden/>
              </w:rPr>
              <w:fldChar w:fldCharType="separate"/>
            </w:r>
            <w:r w:rsidR="00C87708">
              <w:rPr>
                <w:noProof/>
                <w:webHidden/>
              </w:rPr>
              <w:t>4-35</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77" w:history="1">
            <w:r w:rsidR="00C87708" w:rsidRPr="002B66CA">
              <w:rPr>
                <w:rStyle w:val="Hyperlink"/>
                <w:noProof/>
              </w:rPr>
              <w:t>A.4.2</w:t>
            </w:r>
            <w:r w:rsidR="00C87708">
              <w:rPr>
                <w:rFonts w:asciiTheme="minorHAnsi" w:eastAsiaTheme="minorEastAsia" w:hAnsiTheme="minorHAnsi" w:cstheme="minorBidi"/>
                <w:noProof/>
                <w:sz w:val="22"/>
                <w:szCs w:val="22"/>
                <w:lang w:eastAsia="en-AU"/>
              </w:rPr>
              <w:tab/>
            </w:r>
            <w:r w:rsidR="00C87708" w:rsidRPr="002B66CA">
              <w:rPr>
                <w:rStyle w:val="Hyperlink"/>
                <w:noProof/>
              </w:rPr>
              <w:t>The tax building block</w:t>
            </w:r>
            <w:r w:rsidR="00C87708">
              <w:rPr>
                <w:noProof/>
                <w:webHidden/>
              </w:rPr>
              <w:tab/>
            </w:r>
            <w:r w:rsidR="00C87708">
              <w:rPr>
                <w:noProof/>
                <w:webHidden/>
              </w:rPr>
              <w:fldChar w:fldCharType="begin"/>
            </w:r>
            <w:r w:rsidR="00C87708">
              <w:rPr>
                <w:noProof/>
                <w:webHidden/>
              </w:rPr>
              <w:instrText xml:space="preserve"> PAGEREF _Toc404334877 \h </w:instrText>
            </w:r>
            <w:r w:rsidR="00C87708">
              <w:rPr>
                <w:noProof/>
                <w:webHidden/>
              </w:rPr>
            </w:r>
            <w:r w:rsidR="00C87708">
              <w:rPr>
                <w:noProof/>
                <w:webHidden/>
              </w:rPr>
              <w:fldChar w:fldCharType="separate"/>
            </w:r>
            <w:r w:rsidR="00C87708">
              <w:rPr>
                <w:noProof/>
                <w:webHidden/>
              </w:rPr>
              <w:t>4-35</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78" w:history="1">
            <w:r w:rsidR="00C87708" w:rsidRPr="002B66CA">
              <w:rPr>
                <w:rStyle w:val="Hyperlink"/>
                <w:noProof/>
              </w:rPr>
              <w:t>A.5</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The conceptual framework for the value of imputation credits</w:t>
            </w:r>
            <w:r w:rsidR="00C87708">
              <w:rPr>
                <w:noProof/>
                <w:webHidden/>
              </w:rPr>
              <w:tab/>
            </w:r>
            <w:r w:rsidR="00C87708">
              <w:rPr>
                <w:noProof/>
                <w:webHidden/>
              </w:rPr>
              <w:fldChar w:fldCharType="begin"/>
            </w:r>
            <w:r w:rsidR="00C87708">
              <w:rPr>
                <w:noProof/>
                <w:webHidden/>
              </w:rPr>
              <w:instrText xml:space="preserve"> PAGEREF _Toc404334878 \h </w:instrText>
            </w:r>
            <w:r w:rsidR="00C87708">
              <w:rPr>
                <w:noProof/>
                <w:webHidden/>
              </w:rPr>
            </w:r>
            <w:r w:rsidR="00C87708">
              <w:rPr>
                <w:noProof/>
                <w:webHidden/>
              </w:rPr>
              <w:fldChar w:fldCharType="separate"/>
            </w:r>
            <w:r w:rsidR="00C87708">
              <w:rPr>
                <w:noProof/>
                <w:webHidden/>
              </w:rPr>
              <w:t>4-36</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79" w:history="1">
            <w:r w:rsidR="00C87708" w:rsidRPr="002B66CA">
              <w:rPr>
                <w:rStyle w:val="Hyperlink"/>
                <w:noProof/>
              </w:rPr>
              <w:t>A.6</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SFG's comments on the conceptual framework</w:t>
            </w:r>
            <w:r w:rsidR="00C87708">
              <w:rPr>
                <w:noProof/>
                <w:webHidden/>
              </w:rPr>
              <w:tab/>
            </w:r>
            <w:r w:rsidR="00C87708">
              <w:rPr>
                <w:noProof/>
                <w:webHidden/>
              </w:rPr>
              <w:fldChar w:fldCharType="begin"/>
            </w:r>
            <w:r w:rsidR="00C87708">
              <w:rPr>
                <w:noProof/>
                <w:webHidden/>
              </w:rPr>
              <w:instrText xml:space="preserve"> PAGEREF _Toc404334879 \h </w:instrText>
            </w:r>
            <w:r w:rsidR="00C87708">
              <w:rPr>
                <w:noProof/>
                <w:webHidden/>
              </w:rPr>
            </w:r>
            <w:r w:rsidR="00C87708">
              <w:rPr>
                <w:noProof/>
                <w:webHidden/>
              </w:rPr>
              <w:fldChar w:fldCharType="separate"/>
            </w:r>
            <w:r w:rsidR="00C87708">
              <w:rPr>
                <w:noProof/>
                <w:webHidden/>
              </w:rPr>
              <w:t>4-38</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80" w:history="1">
            <w:r w:rsidR="00C87708" w:rsidRPr="002B66CA">
              <w:rPr>
                <w:rStyle w:val="Hyperlink"/>
                <w:noProof/>
              </w:rPr>
              <w:t>A.6.1</w:t>
            </w:r>
            <w:r w:rsidR="00C87708">
              <w:rPr>
                <w:rFonts w:asciiTheme="minorHAnsi" w:eastAsiaTheme="minorEastAsia" w:hAnsiTheme="minorHAnsi" w:cstheme="minorBidi"/>
                <w:noProof/>
                <w:sz w:val="22"/>
                <w:szCs w:val="22"/>
                <w:lang w:eastAsia="en-AU"/>
              </w:rPr>
              <w:tab/>
            </w:r>
            <w:r w:rsidR="00C87708" w:rsidRPr="002B66CA">
              <w:rPr>
                <w:rStyle w:val="Hyperlink"/>
                <w:noProof/>
              </w:rPr>
              <w:t>SFG's comments on the evidence and advice cited in the Guideline</w:t>
            </w:r>
            <w:r w:rsidR="00C87708">
              <w:rPr>
                <w:noProof/>
                <w:webHidden/>
              </w:rPr>
              <w:tab/>
            </w:r>
            <w:r w:rsidR="00C87708">
              <w:rPr>
                <w:noProof/>
                <w:webHidden/>
              </w:rPr>
              <w:fldChar w:fldCharType="begin"/>
            </w:r>
            <w:r w:rsidR="00C87708">
              <w:rPr>
                <w:noProof/>
                <w:webHidden/>
              </w:rPr>
              <w:instrText xml:space="preserve"> PAGEREF _Toc404334880 \h </w:instrText>
            </w:r>
            <w:r w:rsidR="00C87708">
              <w:rPr>
                <w:noProof/>
                <w:webHidden/>
              </w:rPr>
            </w:r>
            <w:r w:rsidR="00C87708">
              <w:rPr>
                <w:noProof/>
                <w:webHidden/>
              </w:rPr>
              <w:fldChar w:fldCharType="separate"/>
            </w:r>
            <w:r w:rsidR="00C87708">
              <w:rPr>
                <w:noProof/>
                <w:webHidden/>
              </w:rPr>
              <w:t>4-38</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81" w:history="1">
            <w:r w:rsidR="00C87708" w:rsidRPr="002B66CA">
              <w:rPr>
                <w:rStyle w:val="Hyperlink"/>
                <w:noProof/>
              </w:rPr>
              <w:t>A.6.2</w:t>
            </w:r>
            <w:r w:rsidR="00C87708">
              <w:rPr>
                <w:rFonts w:asciiTheme="minorHAnsi" w:eastAsiaTheme="minorEastAsia" w:hAnsiTheme="minorHAnsi" w:cstheme="minorBidi"/>
                <w:noProof/>
                <w:sz w:val="22"/>
                <w:szCs w:val="22"/>
                <w:lang w:eastAsia="en-AU"/>
              </w:rPr>
              <w:tab/>
            </w:r>
            <w:r w:rsidR="00C87708" w:rsidRPr="002B66CA">
              <w:rPr>
                <w:rStyle w:val="Hyperlink"/>
                <w:noProof/>
              </w:rPr>
              <w:t>SFG's comments on the Officer framework</w:t>
            </w:r>
            <w:r w:rsidR="00C87708">
              <w:rPr>
                <w:noProof/>
                <w:webHidden/>
              </w:rPr>
              <w:tab/>
            </w:r>
            <w:r w:rsidR="00C87708">
              <w:rPr>
                <w:noProof/>
                <w:webHidden/>
              </w:rPr>
              <w:fldChar w:fldCharType="begin"/>
            </w:r>
            <w:r w:rsidR="00C87708">
              <w:rPr>
                <w:noProof/>
                <w:webHidden/>
              </w:rPr>
              <w:instrText xml:space="preserve"> PAGEREF _Toc404334881 \h </w:instrText>
            </w:r>
            <w:r w:rsidR="00C87708">
              <w:rPr>
                <w:noProof/>
                <w:webHidden/>
              </w:rPr>
            </w:r>
            <w:r w:rsidR="00C87708">
              <w:rPr>
                <w:noProof/>
                <w:webHidden/>
              </w:rPr>
              <w:fldChar w:fldCharType="separate"/>
            </w:r>
            <w:r w:rsidR="00C87708">
              <w:rPr>
                <w:noProof/>
                <w:webHidden/>
              </w:rPr>
              <w:t>4-41</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82" w:history="1">
            <w:r w:rsidR="00C87708" w:rsidRPr="002B66CA">
              <w:rPr>
                <w:rStyle w:val="Hyperlink"/>
                <w:noProof/>
              </w:rPr>
              <w:t>A.6.3</w:t>
            </w:r>
            <w:r w:rsidR="00C87708">
              <w:rPr>
                <w:rFonts w:asciiTheme="minorHAnsi" w:eastAsiaTheme="minorEastAsia" w:hAnsiTheme="minorHAnsi" w:cstheme="minorBidi"/>
                <w:noProof/>
                <w:sz w:val="22"/>
                <w:szCs w:val="22"/>
                <w:lang w:eastAsia="en-AU"/>
              </w:rPr>
              <w:tab/>
            </w:r>
            <w:r w:rsidR="00C87708" w:rsidRPr="002B66CA">
              <w:rPr>
                <w:rStyle w:val="Hyperlink"/>
                <w:noProof/>
              </w:rPr>
              <w:t>SFG's comments on the Monkhouse framework</w:t>
            </w:r>
            <w:r w:rsidR="00C87708">
              <w:rPr>
                <w:noProof/>
                <w:webHidden/>
              </w:rPr>
              <w:tab/>
            </w:r>
            <w:r w:rsidR="00C87708">
              <w:rPr>
                <w:noProof/>
                <w:webHidden/>
              </w:rPr>
              <w:fldChar w:fldCharType="begin"/>
            </w:r>
            <w:r w:rsidR="00C87708">
              <w:rPr>
                <w:noProof/>
                <w:webHidden/>
              </w:rPr>
              <w:instrText xml:space="preserve"> PAGEREF _Toc404334882 \h </w:instrText>
            </w:r>
            <w:r w:rsidR="00C87708">
              <w:rPr>
                <w:noProof/>
                <w:webHidden/>
              </w:rPr>
            </w:r>
            <w:r w:rsidR="00C87708">
              <w:rPr>
                <w:noProof/>
                <w:webHidden/>
              </w:rPr>
              <w:fldChar w:fldCharType="separate"/>
            </w:r>
            <w:r w:rsidR="00C87708">
              <w:rPr>
                <w:noProof/>
                <w:webHidden/>
              </w:rPr>
              <w:t>4-44</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83" w:history="1">
            <w:r w:rsidR="00C87708" w:rsidRPr="002B66CA">
              <w:rPr>
                <w:rStyle w:val="Hyperlink"/>
                <w:noProof/>
              </w:rPr>
              <w:t>A.7</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Further issues relating to the utilisation rate</w:t>
            </w:r>
            <w:r w:rsidR="00C87708">
              <w:rPr>
                <w:noProof/>
                <w:webHidden/>
              </w:rPr>
              <w:tab/>
            </w:r>
            <w:r w:rsidR="00C87708">
              <w:rPr>
                <w:noProof/>
                <w:webHidden/>
              </w:rPr>
              <w:fldChar w:fldCharType="begin"/>
            </w:r>
            <w:r w:rsidR="00C87708">
              <w:rPr>
                <w:noProof/>
                <w:webHidden/>
              </w:rPr>
              <w:instrText xml:space="preserve"> PAGEREF _Toc404334883 \h </w:instrText>
            </w:r>
            <w:r w:rsidR="00C87708">
              <w:rPr>
                <w:noProof/>
                <w:webHidden/>
              </w:rPr>
            </w:r>
            <w:r w:rsidR="00C87708">
              <w:rPr>
                <w:noProof/>
                <w:webHidden/>
              </w:rPr>
              <w:fldChar w:fldCharType="separate"/>
            </w:r>
            <w:r w:rsidR="00C87708">
              <w:rPr>
                <w:noProof/>
                <w:webHidden/>
              </w:rPr>
              <w:t>4-45</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84" w:history="1">
            <w:r w:rsidR="00C87708" w:rsidRPr="002B66CA">
              <w:rPr>
                <w:rStyle w:val="Hyperlink"/>
                <w:noProof/>
              </w:rPr>
              <w:t>A.7.1</w:t>
            </w:r>
            <w:r w:rsidR="00C87708">
              <w:rPr>
                <w:rFonts w:asciiTheme="minorHAnsi" w:eastAsiaTheme="minorEastAsia" w:hAnsiTheme="minorHAnsi" w:cstheme="minorBidi"/>
                <w:noProof/>
                <w:sz w:val="22"/>
                <w:szCs w:val="22"/>
                <w:lang w:eastAsia="en-AU"/>
              </w:rPr>
              <w:tab/>
            </w:r>
            <w:r w:rsidR="00C87708" w:rsidRPr="002B66CA">
              <w:rPr>
                <w:rStyle w:val="Hyperlink"/>
                <w:noProof/>
              </w:rPr>
              <w:t>Consistency with the building block framework</w:t>
            </w:r>
            <w:r w:rsidR="00C87708">
              <w:rPr>
                <w:noProof/>
                <w:webHidden/>
              </w:rPr>
              <w:tab/>
            </w:r>
            <w:r w:rsidR="00C87708">
              <w:rPr>
                <w:noProof/>
                <w:webHidden/>
              </w:rPr>
              <w:fldChar w:fldCharType="begin"/>
            </w:r>
            <w:r w:rsidR="00C87708">
              <w:rPr>
                <w:noProof/>
                <w:webHidden/>
              </w:rPr>
              <w:instrText xml:space="preserve"> PAGEREF _Toc404334884 \h </w:instrText>
            </w:r>
            <w:r w:rsidR="00C87708">
              <w:rPr>
                <w:noProof/>
                <w:webHidden/>
              </w:rPr>
            </w:r>
            <w:r w:rsidR="00C87708">
              <w:rPr>
                <w:noProof/>
                <w:webHidden/>
              </w:rPr>
              <w:fldChar w:fldCharType="separate"/>
            </w:r>
            <w:r w:rsidR="00C87708">
              <w:rPr>
                <w:noProof/>
                <w:webHidden/>
              </w:rPr>
              <w:t>4-45</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85" w:history="1">
            <w:r w:rsidR="00C87708" w:rsidRPr="002B66CA">
              <w:rPr>
                <w:rStyle w:val="Hyperlink"/>
                <w:noProof/>
              </w:rPr>
              <w:t>A.7.2</w:t>
            </w:r>
            <w:r w:rsidR="00C87708">
              <w:rPr>
                <w:rFonts w:asciiTheme="minorHAnsi" w:eastAsiaTheme="minorEastAsia" w:hAnsiTheme="minorHAnsi" w:cstheme="minorBidi"/>
                <w:noProof/>
                <w:sz w:val="22"/>
                <w:szCs w:val="22"/>
                <w:lang w:eastAsia="en-AU"/>
              </w:rPr>
              <w:tab/>
            </w:r>
            <w:r w:rsidR="00C87708" w:rsidRPr="002B66CA">
              <w:rPr>
                <w:rStyle w:val="Hyperlink"/>
                <w:noProof/>
              </w:rPr>
              <w:t>Factors affecting investors' valuation of imputation credits</w:t>
            </w:r>
            <w:r w:rsidR="00C87708">
              <w:rPr>
                <w:noProof/>
                <w:webHidden/>
              </w:rPr>
              <w:tab/>
            </w:r>
            <w:r w:rsidR="00C87708">
              <w:rPr>
                <w:noProof/>
                <w:webHidden/>
              </w:rPr>
              <w:fldChar w:fldCharType="begin"/>
            </w:r>
            <w:r w:rsidR="00C87708">
              <w:rPr>
                <w:noProof/>
                <w:webHidden/>
              </w:rPr>
              <w:instrText xml:space="preserve"> PAGEREF _Toc404334885 \h </w:instrText>
            </w:r>
            <w:r w:rsidR="00C87708">
              <w:rPr>
                <w:noProof/>
                <w:webHidden/>
              </w:rPr>
            </w:r>
            <w:r w:rsidR="00C87708">
              <w:rPr>
                <w:noProof/>
                <w:webHidden/>
              </w:rPr>
              <w:fldChar w:fldCharType="separate"/>
            </w:r>
            <w:r w:rsidR="00C87708">
              <w:rPr>
                <w:noProof/>
                <w:webHidden/>
              </w:rPr>
              <w:t>4-46</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86" w:history="1">
            <w:r w:rsidR="00C87708" w:rsidRPr="002B66CA">
              <w:rPr>
                <w:rStyle w:val="Hyperlink"/>
                <w:noProof/>
              </w:rPr>
              <w:t>A.8</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Estimation approach considerations</w:t>
            </w:r>
            <w:r w:rsidR="00C87708">
              <w:rPr>
                <w:noProof/>
                <w:webHidden/>
              </w:rPr>
              <w:tab/>
            </w:r>
            <w:r w:rsidR="00C87708">
              <w:rPr>
                <w:noProof/>
                <w:webHidden/>
              </w:rPr>
              <w:fldChar w:fldCharType="begin"/>
            </w:r>
            <w:r w:rsidR="00C87708">
              <w:rPr>
                <w:noProof/>
                <w:webHidden/>
              </w:rPr>
              <w:instrText xml:space="preserve"> PAGEREF _Toc404334886 \h </w:instrText>
            </w:r>
            <w:r w:rsidR="00C87708">
              <w:rPr>
                <w:noProof/>
                <w:webHidden/>
              </w:rPr>
            </w:r>
            <w:r w:rsidR="00C87708">
              <w:rPr>
                <w:noProof/>
                <w:webHidden/>
              </w:rPr>
              <w:fldChar w:fldCharType="separate"/>
            </w:r>
            <w:r w:rsidR="00C87708">
              <w:rPr>
                <w:noProof/>
                <w:webHidden/>
              </w:rPr>
              <w:t>4-50</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87" w:history="1">
            <w:r w:rsidR="00C87708" w:rsidRPr="002B66CA">
              <w:rPr>
                <w:rStyle w:val="Hyperlink"/>
                <w:noProof/>
              </w:rPr>
              <w:t>A.8.1</w:t>
            </w:r>
            <w:r w:rsidR="00C87708">
              <w:rPr>
                <w:rFonts w:asciiTheme="minorHAnsi" w:eastAsiaTheme="minorEastAsia" w:hAnsiTheme="minorHAnsi" w:cstheme="minorBidi"/>
                <w:noProof/>
                <w:sz w:val="22"/>
                <w:szCs w:val="22"/>
                <w:lang w:eastAsia="en-AU"/>
              </w:rPr>
              <w:tab/>
            </w:r>
            <w:r w:rsidR="00C87708" w:rsidRPr="002B66CA">
              <w:rPr>
                <w:rStyle w:val="Hyperlink"/>
                <w:noProof/>
              </w:rPr>
              <w:t>Evidence from all equity or listed equity only</w:t>
            </w:r>
            <w:r w:rsidR="00C87708">
              <w:rPr>
                <w:noProof/>
                <w:webHidden/>
              </w:rPr>
              <w:tab/>
            </w:r>
            <w:r w:rsidR="00C87708">
              <w:rPr>
                <w:noProof/>
                <w:webHidden/>
              </w:rPr>
              <w:fldChar w:fldCharType="begin"/>
            </w:r>
            <w:r w:rsidR="00C87708">
              <w:rPr>
                <w:noProof/>
                <w:webHidden/>
              </w:rPr>
              <w:instrText xml:space="preserve"> PAGEREF _Toc404334887 \h </w:instrText>
            </w:r>
            <w:r w:rsidR="00C87708">
              <w:rPr>
                <w:noProof/>
                <w:webHidden/>
              </w:rPr>
            </w:r>
            <w:r w:rsidR="00C87708">
              <w:rPr>
                <w:noProof/>
                <w:webHidden/>
              </w:rPr>
              <w:fldChar w:fldCharType="separate"/>
            </w:r>
            <w:r w:rsidR="00C87708">
              <w:rPr>
                <w:noProof/>
                <w:webHidden/>
              </w:rPr>
              <w:t>4-50</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88" w:history="1">
            <w:r w:rsidR="00C87708" w:rsidRPr="002B66CA">
              <w:rPr>
                <w:rStyle w:val="Hyperlink"/>
                <w:noProof/>
              </w:rPr>
              <w:t>A.8.2</w:t>
            </w:r>
            <w:r w:rsidR="00C87708">
              <w:rPr>
                <w:rFonts w:asciiTheme="minorHAnsi" w:eastAsiaTheme="minorEastAsia" w:hAnsiTheme="minorHAnsi" w:cstheme="minorBidi"/>
                <w:noProof/>
                <w:sz w:val="22"/>
                <w:szCs w:val="22"/>
                <w:lang w:eastAsia="en-AU"/>
              </w:rPr>
              <w:tab/>
            </w:r>
            <w:r w:rsidR="00C87708" w:rsidRPr="002B66CA">
              <w:rPr>
                <w:rStyle w:val="Hyperlink"/>
                <w:noProof/>
              </w:rPr>
              <w:t>Relationship between the distribution rate and the utilisation rate</w:t>
            </w:r>
            <w:r w:rsidR="00C87708">
              <w:rPr>
                <w:noProof/>
                <w:webHidden/>
              </w:rPr>
              <w:tab/>
            </w:r>
            <w:r w:rsidR="00C87708">
              <w:rPr>
                <w:noProof/>
                <w:webHidden/>
              </w:rPr>
              <w:fldChar w:fldCharType="begin"/>
            </w:r>
            <w:r w:rsidR="00C87708">
              <w:rPr>
                <w:noProof/>
                <w:webHidden/>
              </w:rPr>
              <w:instrText xml:space="preserve"> PAGEREF _Toc404334888 \h </w:instrText>
            </w:r>
            <w:r w:rsidR="00C87708">
              <w:rPr>
                <w:noProof/>
                <w:webHidden/>
              </w:rPr>
            </w:r>
            <w:r w:rsidR="00C87708">
              <w:rPr>
                <w:noProof/>
                <w:webHidden/>
              </w:rPr>
              <w:fldChar w:fldCharType="separate"/>
            </w:r>
            <w:r w:rsidR="00C87708">
              <w:rPr>
                <w:noProof/>
                <w:webHidden/>
              </w:rPr>
              <w:t>4-51</w:t>
            </w:r>
            <w:r w:rsidR="00C87708">
              <w:rPr>
                <w:noProof/>
                <w:webHidden/>
              </w:rPr>
              <w:fldChar w:fldCharType="end"/>
            </w:r>
          </w:hyperlink>
        </w:p>
        <w:p w:rsidR="00C87708" w:rsidRDefault="00115D9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4889" w:history="1">
            <w:r w:rsidR="00C87708" w:rsidRPr="002B66CA">
              <w:rPr>
                <w:rStyle w:val="Hyperlink"/>
                <w:noProof/>
              </w:rPr>
              <w:t>A.9</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Estimating the distribution rate</w:t>
            </w:r>
            <w:r w:rsidR="00C87708">
              <w:rPr>
                <w:noProof/>
                <w:webHidden/>
              </w:rPr>
              <w:tab/>
            </w:r>
            <w:r w:rsidR="00C87708">
              <w:rPr>
                <w:noProof/>
                <w:webHidden/>
              </w:rPr>
              <w:fldChar w:fldCharType="begin"/>
            </w:r>
            <w:r w:rsidR="00C87708">
              <w:rPr>
                <w:noProof/>
                <w:webHidden/>
              </w:rPr>
              <w:instrText xml:space="preserve"> PAGEREF _Toc404334889 \h </w:instrText>
            </w:r>
            <w:r w:rsidR="00C87708">
              <w:rPr>
                <w:noProof/>
                <w:webHidden/>
              </w:rPr>
            </w:r>
            <w:r w:rsidR="00C87708">
              <w:rPr>
                <w:noProof/>
                <w:webHidden/>
              </w:rPr>
              <w:fldChar w:fldCharType="separate"/>
            </w:r>
            <w:r w:rsidR="00C87708">
              <w:rPr>
                <w:noProof/>
                <w:webHidden/>
              </w:rPr>
              <w:t>4-51</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90" w:history="1">
            <w:r w:rsidR="00C87708" w:rsidRPr="002B66CA">
              <w:rPr>
                <w:rStyle w:val="Hyperlink"/>
                <w:noProof/>
              </w:rPr>
              <w:t>A.9.1</w:t>
            </w:r>
            <w:r w:rsidR="00C87708">
              <w:rPr>
                <w:rFonts w:asciiTheme="minorHAnsi" w:eastAsiaTheme="minorEastAsia" w:hAnsiTheme="minorHAnsi" w:cstheme="minorBidi"/>
                <w:noProof/>
                <w:sz w:val="22"/>
                <w:szCs w:val="22"/>
                <w:lang w:eastAsia="en-AU"/>
              </w:rPr>
              <w:tab/>
            </w:r>
            <w:r w:rsidR="00C87708" w:rsidRPr="002B66CA">
              <w:rPr>
                <w:rStyle w:val="Hyperlink"/>
                <w:noProof/>
              </w:rPr>
              <w:t>The cumulative payout ratio approach</w:t>
            </w:r>
            <w:r w:rsidR="00C87708">
              <w:rPr>
                <w:noProof/>
                <w:webHidden/>
              </w:rPr>
              <w:tab/>
            </w:r>
            <w:r w:rsidR="00C87708">
              <w:rPr>
                <w:noProof/>
                <w:webHidden/>
              </w:rPr>
              <w:fldChar w:fldCharType="begin"/>
            </w:r>
            <w:r w:rsidR="00C87708">
              <w:rPr>
                <w:noProof/>
                <w:webHidden/>
              </w:rPr>
              <w:instrText xml:space="preserve"> PAGEREF _Toc404334890 \h </w:instrText>
            </w:r>
            <w:r w:rsidR="00C87708">
              <w:rPr>
                <w:noProof/>
                <w:webHidden/>
              </w:rPr>
            </w:r>
            <w:r w:rsidR="00C87708">
              <w:rPr>
                <w:noProof/>
                <w:webHidden/>
              </w:rPr>
              <w:fldChar w:fldCharType="separate"/>
            </w:r>
            <w:r w:rsidR="00C87708">
              <w:rPr>
                <w:noProof/>
                <w:webHidden/>
              </w:rPr>
              <w:t>4-52</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91" w:history="1">
            <w:r w:rsidR="00C87708" w:rsidRPr="002B66CA">
              <w:rPr>
                <w:rStyle w:val="Hyperlink"/>
                <w:noProof/>
              </w:rPr>
              <w:t>A.9.2</w:t>
            </w:r>
            <w:r w:rsidR="00C87708">
              <w:rPr>
                <w:rFonts w:asciiTheme="minorHAnsi" w:eastAsiaTheme="minorEastAsia" w:hAnsiTheme="minorHAnsi" w:cstheme="minorBidi"/>
                <w:noProof/>
                <w:sz w:val="22"/>
                <w:szCs w:val="22"/>
                <w:lang w:eastAsia="en-AU"/>
              </w:rPr>
              <w:tab/>
            </w:r>
            <w:r w:rsidR="00C87708" w:rsidRPr="002B66CA">
              <w:rPr>
                <w:rStyle w:val="Hyperlink"/>
                <w:noProof/>
              </w:rPr>
              <w:t>Alternative approaches</w:t>
            </w:r>
            <w:r w:rsidR="00C87708">
              <w:rPr>
                <w:noProof/>
                <w:webHidden/>
              </w:rPr>
              <w:tab/>
            </w:r>
            <w:r w:rsidR="00C87708">
              <w:rPr>
                <w:noProof/>
                <w:webHidden/>
              </w:rPr>
              <w:fldChar w:fldCharType="begin"/>
            </w:r>
            <w:r w:rsidR="00C87708">
              <w:rPr>
                <w:noProof/>
                <w:webHidden/>
              </w:rPr>
              <w:instrText xml:space="preserve"> PAGEREF _Toc404334891 \h </w:instrText>
            </w:r>
            <w:r w:rsidR="00C87708">
              <w:rPr>
                <w:noProof/>
                <w:webHidden/>
              </w:rPr>
            </w:r>
            <w:r w:rsidR="00C87708">
              <w:rPr>
                <w:noProof/>
                <w:webHidden/>
              </w:rPr>
              <w:fldChar w:fldCharType="separate"/>
            </w:r>
            <w:r w:rsidR="00C87708">
              <w:rPr>
                <w:noProof/>
                <w:webHidden/>
              </w:rPr>
              <w:t>4-52</w:t>
            </w:r>
            <w:r w:rsidR="00C87708">
              <w:rPr>
                <w:noProof/>
                <w:webHidden/>
              </w:rPr>
              <w:fldChar w:fldCharType="end"/>
            </w:r>
          </w:hyperlink>
        </w:p>
        <w:p w:rsidR="00C87708" w:rsidRDefault="00115D9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4892" w:history="1">
            <w:r w:rsidR="00C87708" w:rsidRPr="002B66CA">
              <w:rPr>
                <w:rStyle w:val="Hyperlink"/>
                <w:noProof/>
              </w:rPr>
              <w:t>A.10</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Application of rate of return criteria to evidence on the utilisation rate</w:t>
            </w:r>
            <w:r w:rsidR="00C87708">
              <w:rPr>
                <w:noProof/>
                <w:webHidden/>
              </w:rPr>
              <w:tab/>
            </w:r>
            <w:r w:rsidR="00C87708">
              <w:rPr>
                <w:noProof/>
                <w:webHidden/>
              </w:rPr>
              <w:fldChar w:fldCharType="begin"/>
            </w:r>
            <w:r w:rsidR="00C87708">
              <w:rPr>
                <w:noProof/>
                <w:webHidden/>
              </w:rPr>
              <w:instrText xml:space="preserve"> PAGEREF _Toc404334892 \h </w:instrText>
            </w:r>
            <w:r w:rsidR="00C87708">
              <w:rPr>
                <w:noProof/>
                <w:webHidden/>
              </w:rPr>
            </w:r>
            <w:r w:rsidR="00C87708">
              <w:rPr>
                <w:noProof/>
                <w:webHidden/>
              </w:rPr>
              <w:fldChar w:fldCharType="separate"/>
            </w:r>
            <w:r w:rsidR="00C87708">
              <w:rPr>
                <w:noProof/>
                <w:webHidden/>
              </w:rPr>
              <w:t>4-53</w:t>
            </w:r>
            <w:r w:rsidR="00C87708">
              <w:rPr>
                <w:noProof/>
                <w:webHidden/>
              </w:rPr>
              <w:fldChar w:fldCharType="end"/>
            </w:r>
          </w:hyperlink>
        </w:p>
        <w:p w:rsidR="00C87708" w:rsidRDefault="00115D9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4893" w:history="1">
            <w:r w:rsidR="00C87708" w:rsidRPr="002B66CA">
              <w:rPr>
                <w:rStyle w:val="Hyperlink"/>
                <w:noProof/>
              </w:rPr>
              <w:t>A.11</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The equity ownership approach</w:t>
            </w:r>
            <w:r w:rsidR="00C87708">
              <w:rPr>
                <w:noProof/>
                <w:webHidden/>
              </w:rPr>
              <w:tab/>
            </w:r>
            <w:r w:rsidR="00C87708">
              <w:rPr>
                <w:noProof/>
                <w:webHidden/>
              </w:rPr>
              <w:fldChar w:fldCharType="begin"/>
            </w:r>
            <w:r w:rsidR="00C87708">
              <w:rPr>
                <w:noProof/>
                <w:webHidden/>
              </w:rPr>
              <w:instrText xml:space="preserve"> PAGEREF _Toc404334893 \h </w:instrText>
            </w:r>
            <w:r w:rsidR="00C87708">
              <w:rPr>
                <w:noProof/>
                <w:webHidden/>
              </w:rPr>
            </w:r>
            <w:r w:rsidR="00C87708">
              <w:rPr>
                <w:noProof/>
                <w:webHidden/>
              </w:rPr>
              <w:fldChar w:fldCharType="separate"/>
            </w:r>
            <w:r w:rsidR="00C87708">
              <w:rPr>
                <w:noProof/>
                <w:webHidden/>
              </w:rPr>
              <w:t>4-55</w:t>
            </w:r>
            <w:r w:rsidR="00C87708">
              <w:rPr>
                <w:noProof/>
                <w:webHidden/>
              </w:rPr>
              <w:fldChar w:fldCharType="end"/>
            </w:r>
          </w:hyperlink>
        </w:p>
        <w:p w:rsidR="00C87708" w:rsidRDefault="00115D9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4894" w:history="1">
            <w:r w:rsidR="00C87708" w:rsidRPr="002B66CA">
              <w:rPr>
                <w:rStyle w:val="Hyperlink"/>
                <w:noProof/>
              </w:rPr>
              <w:t>A.12</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SFG's analysis of equity ownership data</w:t>
            </w:r>
            <w:r w:rsidR="00C87708">
              <w:rPr>
                <w:noProof/>
                <w:webHidden/>
              </w:rPr>
              <w:tab/>
            </w:r>
            <w:r w:rsidR="00C87708">
              <w:rPr>
                <w:noProof/>
                <w:webHidden/>
              </w:rPr>
              <w:fldChar w:fldCharType="begin"/>
            </w:r>
            <w:r w:rsidR="00C87708">
              <w:rPr>
                <w:noProof/>
                <w:webHidden/>
              </w:rPr>
              <w:instrText xml:space="preserve"> PAGEREF _Toc404334894 \h </w:instrText>
            </w:r>
            <w:r w:rsidR="00C87708">
              <w:rPr>
                <w:noProof/>
                <w:webHidden/>
              </w:rPr>
            </w:r>
            <w:r w:rsidR="00C87708">
              <w:rPr>
                <w:noProof/>
                <w:webHidden/>
              </w:rPr>
              <w:fldChar w:fldCharType="separate"/>
            </w:r>
            <w:r w:rsidR="00C87708">
              <w:rPr>
                <w:noProof/>
                <w:webHidden/>
              </w:rPr>
              <w:t>4-59</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95" w:history="1">
            <w:r w:rsidR="00C87708" w:rsidRPr="002B66CA">
              <w:rPr>
                <w:rStyle w:val="Hyperlink"/>
                <w:noProof/>
              </w:rPr>
              <w:t>A.12.1</w:t>
            </w:r>
            <w:r w:rsidR="00C87708">
              <w:rPr>
                <w:rFonts w:asciiTheme="minorHAnsi" w:eastAsiaTheme="minorEastAsia" w:hAnsiTheme="minorHAnsi" w:cstheme="minorBidi"/>
                <w:noProof/>
                <w:sz w:val="22"/>
                <w:szCs w:val="22"/>
                <w:lang w:eastAsia="en-AU"/>
              </w:rPr>
              <w:tab/>
            </w:r>
            <w:r w:rsidR="00C87708" w:rsidRPr="002B66CA">
              <w:rPr>
                <w:rStyle w:val="Hyperlink"/>
                <w:noProof/>
              </w:rPr>
              <w:t>Sources of evidence on the ownership of Australian equity</w:t>
            </w:r>
            <w:r w:rsidR="00C87708">
              <w:rPr>
                <w:noProof/>
                <w:webHidden/>
              </w:rPr>
              <w:tab/>
            </w:r>
            <w:r w:rsidR="00C87708">
              <w:rPr>
                <w:noProof/>
                <w:webHidden/>
              </w:rPr>
              <w:fldChar w:fldCharType="begin"/>
            </w:r>
            <w:r w:rsidR="00C87708">
              <w:rPr>
                <w:noProof/>
                <w:webHidden/>
              </w:rPr>
              <w:instrText xml:space="preserve"> PAGEREF _Toc404334895 \h </w:instrText>
            </w:r>
            <w:r w:rsidR="00C87708">
              <w:rPr>
                <w:noProof/>
                <w:webHidden/>
              </w:rPr>
            </w:r>
            <w:r w:rsidR="00C87708">
              <w:rPr>
                <w:noProof/>
                <w:webHidden/>
              </w:rPr>
              <w:fldChar w:fldCharType="separate"/>
            </w:r>
            <w:r w:rsidR="00C87708">
              <w:rPr>
                <w:noProof/>
                <w:webHidden/>
              </w:rPr>
              <w:t>4-59</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96" w:history="1">
            <w:r w:rsidR="00C87708" w:rsidRPr="002B66CA">
              <w:rPr>
                <w:rStyle w:val="Hyperlink"/>
                <w:noProof/>
              </w:rPr>
              <w:t>A.12.2</w:t>
            </w:r>
            <w:r w:rsidR="00C87708">
              <w:rPr>
                <w:rFonts w:asciiTheme="minorHAnsi" w:eastAsiaTheme="minorEastAsia" w:hAnsiTheme="minorHAnsi" w:cstheme="minorBidi"/>
                <w:noProof/>
                <w:sz w:val="22"/>
                <w:szCs w:val="22"/>
                <w:lang w:eastAsia="en-AU"/>
              </w:rPr>
              <w:tab/>
            </w:r>
            <w:r w:rsidR="00C87708" w:rsidRPr="002B66CA">
              <w:rPr>
                <w:rStyle w:val="Hyperlink"/>
                <w:noProof/>
              </w:rPr>
              <w:t>Comparison with the Guideline estimate</w:t>
            </w:r>
            <w:r w:rsidR="00C87708">
              <w:rPr>
                <w:noProof/>
                <w:webHidden/>
              </w:rPr>
              <w:tab/>
            </w:r>
            <w:r w:rsidR="00C87708">
              <w:rPr>
                <w:noProof/>
                <w:webHidden/>
              </w:rPr>
              <w:fldChar w:fldCharType="begin"/>
            </w:r>
            <w:r w:rsidR="00C87708">
              <w:rPr>
                <w:noProof/>
                <w:webHidden/>
              </w:rPr>
              <w:instrText xml:space="preserve"> PAGEREF _Toc404334896 \h </w:instrText>
            </w:r>
            <w:r w:rsidR="00C87708">
              <w:rPr>
                <w:noProof/>
                <w:webHidden/>
              </w:rPr>
            </w:r>
            <w:r w:rsidR="00C87708">
              <w:rPr>
                <w:noProof/>
                <w:webHidden/>
              </w:rPr>
              <w:fldChar w:fldCharType="separate"/>
            </w:r>
            <w:r w:rsidR="00C87708">
              <w:rPr>
                <w:noProof/>
                <w:webHidden/>
              </w:rPr>
              <w:t>4-60</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897" w:history="1">
            <w:r w:rsidR="00C87708" w:rsidRPr="002B66CA">
              <w:rPr>
                <w:rStyle w:val="Hyperlink"/>
                <w:noProof/>
              </w:rPr>
              <w:t>A.12.3</w:t>
            </w:r>
            <w:r w:rsidR="00C87708">
              <w:rPr>
                <w:rFonts w:asciiTheme="minorHAnsi" w:eastAsiaTheme="minorEastAsia" w:hAnsiTheme="minorHAnsi" w:cstheme="minorBidi"/>
                <w:noProof/>
                <w:sz w:val="22"/>
                <w:szCs w:val="22"/>
                <w:lang w:eastAsia="en-AU"/>
              </w:rPr>
              <w:tab/>
            </w:r>
            <w:r w:rsidR="00C87708" w:rsidRPr="002B66CA">
              <w:rPr>
                <w:rStyle w:val="Hyperlink"/>
                <w:noProof/>
              </w:rPr>
              <w:t>ABS data quality</w:t>
            </w:r>
            <w:r w:rsidR="00C87708">
              <w:rPr>
                <w:noProof/>
                <w:webHidden/>
              </w:rPr>
              <w:tab/>
            </w:r>
            <w:r w:rsidR="00C87708">
              <w:rPr>
                <w:noProof/>
                <w:webHidden/>
              </w:rPr>
              <w:fldChar w:fldCharType="begin"/>
            </w:r>
            <w:r w:rsidR="00C87708">
              <w:rPr>
                <w:noProof/>
                <w:webHidden/>
              </w:rPr>
              <w:instrText xml:space="preserve"> PAGEREF _Toc404334897 \h </w:instrText>
            </w:r>
            <w:r w:rsidR="00C87708">
              <w:rPr>
                <w:noProof/>
                <w:webHidden/>
              </w:rPr>
            </w:r>
            <w:r w:rsidR="00C87708">
              <w:rPr>
                <w:noProof/>
                <w:webHidden/>
              </w:rPr>
              <w:fldChar w:fldCharType="separate"/>
            </w:r>
            <w:r w:rsidR="00C87708">
              <w:rPr>
                <w:noProof/>
                <w:webHidden/>
              </w:rPr>
              <w:t>4-60</w:t>
            </w:r>
            <w:r w:rsidR="00C87708">
              <w:rPr>
                <w:noProof/>
                <w:webHidden/>
              </w:rPr>
              <w:fldChar w:fldCharType="end"/>
            </w:r>
          </w:hyperlink>
        </w:p>
        <w:p w:rsidR="00C87708" w:rsidRDefault="00115D9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4898" w:history="1">
            <w:r w:rsidR="00C87708" w:rsidRPr="002B66CA">
              <w:rPr>
                <w:rStyle w:val="Hyperlink"/>
                <w:noProof/>
              </w:rPr>
              <w:t>A.13</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Tax statistics</w:t>
            </w:r>
            <w:r w:rsidR="00C87708">
              <w:rPr>
                <w:noProof/>
                <w:webHidden/>
              </w:rPr>
              <w:tab/>
            </w:r>
            <w:r w:rsidR="00C87708">
              <w:rPr>
                <w:noProof/>
                <w:webHidden/>
              </w:rPr>
              <w:fldChar w:fldCharType="begin"/>
            </w:r>
            <w:r w:rsidR="00C87708">
              <w:rPr>
                <w:noProof/>
                <w:webHidden/>
              </w:rPr>
              <w:instrText xml:space="preserve"> PAGEREF _Toc404334898 \h </w:instrText>
            </w:r>
            <w:r w:rsidR="00C87708">
              <w:rPr>
                <w:noProof/>
                <w:webHidden/>
              </w:rPr>
            </w:r>
            <w:r w:rsidR="00C87708">
              <w:rPr>
                <w:noProof/>
                <w:webHidden/>
              </w:rPr>
              <w:fldChar w:fldCharType="separate"/>
            </w:r>
            <w:r w:rsidR="00C87708">
              <w:rPr>
                <w:noProof/>
                <w:webHidden/>
              </w:rPr>
              <w:t>4-60</w:t>
            </w:r>
            <w:r w:rsidR="00C87708">
              <w:rPr>
                <w:noProof/>
                <w:webHidden/>
              </w:rPr>
              <w:fldChar w:fldCharType="end"/>
            </w:r>
          </w:hyperlink>
        </w:p>
        <w:p w:rsidR="00C87708" w:rsidRDefault="00115D9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4899" w:history="1">
            <w:r w:rsidR="00C87708" w:rsidRPr="002B66CA">
              <w:rPr>
                <w:rStyle w:val="Hyperlink"/>
                <w:noProof/>
              </w:rPr>
              <w:t>A.14</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Implied market value studies</w:t>
            </w:r>
            <w:r w:rsidR="00C87708">
              <w:rPr>
                <w:noProof/>
                <w:webHidden/>
              </w:rPr>
              <w:tab/>
            </w:r>
            <w:r w:rsidR="00C87708">
              <w:rPr>
                <w:noProof/>
                <w:webHidden/>
              </w:rPr>
              <w:fldChar w:fldCharType="begin"/>
            </w:r>
            <w:r w:rsidR="00C87708">
              <w:rPr>
                <w:noProof/>
                <w:webHidden/>
              </w:rPr>
              <w:instrText xml:space="preserve"> PAGEREF _Toc404334899 \h </w:instrText>
            </w:r>
            <w:r w:rsidR="00C87708">
              <w:rPr>
                <w:noProof/>
                <w:webHidden/>
              </w:rPr>
            </w:r>
            <w:r w:rsidR="00C87708">
              <w:rPr>
                <w:noProof/>
                <w:webHidden/>
              </w:rPr>
              <w:fldChar w:fldCharType="separate"/>
            </w:r>
            <w:r w:rsidR="00C87708">
              <w:rPr>
                <w:noProof/>
                <w:webHidden/>
              </w:rPr>
              <w:t>4-62</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900" w:history="1">
            <w:r w:rsidR="00C87708" w:rsidRPr="002B66CA">
              <w:rPr>
                <w:rStyle w:val="Hyperlink"/>
                <w:noProof/>
              </w:rPr>
              <w:t>A.14.1</w:t>
            </w:r>
            <w:r w:rsidR="00C87708">
              <w:rPr>
                <w:rFonts w:asciiTheme="minorHAnsi" w:eastAsiaTheme="minorEastAsia" w:hAnsiTheme="minorHAnsi" w:cstheme="minorBidi"/>
                <w:noProof/>
                <w:sz w:val="22"/>
                <w:szCs w:val="22"/>
                <w:lang w:eastAsia="en-AU"/>
              </w:rPr>
              <w:tab/>
            </w:r>
            <w:r w:rsidR="00C87708" w:rsidRPr="002B66CA">
              <w:rPr>
                <w:rStyle w:val="Hyperlink"/>
                <w:noProof/>
              </w:rPr>
              <w:t>Types of implied market value studies</w:t>
            </w:r>
            <w:r w:rsidR="00C87708">
              <w:rPr>
                <w:noProof/>
                <w:webHidden/>
              </w:rPr>
              <w:tab/>
            </w:r>
            <w:r w:rsidR="00C87708">
              <w:rPr>
                <w:noProof/>
                <w:webHidden/>
              </w:rPr>
              <w:fldChar w:fldCharType="begin"/>
            </w:r>
            <w:r w:rsidR="00C87708">
              <w:rPr>
                <w:noProof/>
                <w:webHidden/>
              </w:rPr>
              <w:instrText xml:space="preserve"> PAGEREF _Toc404334900 \h </w:instrText>
            </w:r>
            <w:r w:rsidR="00C87708">
              <w:rPr>
                <w:noProof/>
                <w:webHidden/>
              </w:rPr>
            </w:r>
            <w:r w:rsidR="00C87708">
              <w:rPr>
                <w:noProof/>
                <w:webHidden/>
              </w:rPr>
              <w:fldChar w:fldCharType="separate"/>
            </w:r>
            <w:r w:rsidR="00C87708">
              <w:rPr>
                <w:noProof/>
                <w:webHidden/>
              </w:rPr>
              <w:t>4-62</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901" w:history="1">
            <w:r w:rsidR="00C87708" w:rsidRPr="002B66CA">
              <w:rPr>
                <w:rStyle w:val="Hyperlink"/>
                <w:noProof/>
              </w:rPr>
              <w:t>A.14.2</w:t>
            </w:r>
            <w:r w:rsidR="00C87708">
              <w:rPr>
                <w:rFonts w:asciiTheme="minorHAnsi" w:eastAsiaTheme="minorEastAsia" w:hAnsiTheme="minorHAnsi" w:cstheme="minorBidi"/>
                <w:noProof/>
                <w:sz w:val="22"/>
                <w:szCs w:val="22"/>
                <w:lang w:eastAsia="en-AU"/>
              </w:rPr>
              <w:tab/>
            </w:r>
            <w:r w:rsidR="00C87708" w:rsidRPr="002B66CA">
              <w:rPr>
                <w:rStyle w:val="Hyperlink"/>
                <w:noProof/>
              </w:rPr>
              <w:t>Estimates from implied market value studies</w:t>
            </w:r>
            <w:r w:rsidR="00C87708">
              <w:rPr>
                <w:noProof/>
                <w:webHidden/>
              </w:rPr>
              <w:tab/>
            </w:r>
            <w:r w:rsidR="00C87708">
              <w:rPr>
                <w:noProof/>
                <w:webHidden/>
              </w:rPr>
              <w:fldChar w:fldCharType="begin"/>
            </w:r>
            <w:r w:rsidR="00C87708">
              <w:rPr>
                <w:noProof/>
                <w:webHidden/>
              </w:rPr>
              <w:instrText xml:space="preserve"> PAGEREF _Toc404334901 \h </w:instrText>
            </w:r>
            <w:r w:rsidR="00C87708">
              <w:rPr>
                <w:noProof/>
                <w:webHidden/>
              </w:rPr>
            </w:r>
            <w:r w:rsidR="00C87708">
              <w:rPr>
                <w:noProof/>
                <w:webHidden/>
              </w:rPr>
              <w:fldChar w:fldCharType="separate"/>
            </w:r>
            <w:r w:rsidR="00C87708">
              <w:rPr>
                <w:noProof/>
                <w:webHidden/>
              </w:rPr>
              <w:t>4-65</w:t>
            </w:r>
            <w:r w:rsidR="00C87708">
              <w:rPr>
                <w:noProof/>
                <w:webHidden/>
              </w:rPr>
              <w:fldChar w:fldCharType="end"/>
            </w:r>
          </w:hyperlink>
        </w:p>
        <w:p w:rsidR="00C87708" w:rsidRDefault="00115D9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4902" w:history="1">
            <w:r w:rsidR="00C87708" w:rsidRPr="002B66CA">
              <w:rPr>
                <w:rStyle w:val="Hyperlink"/>
                <w:noProof/>
              </w:rPr>
              <w:t>A.15</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Limitations of dividend drop off studies</w:t>
            </w:r>
            <w:r w:rsidR="00C87708">
              <w:rPr>
                <w:noProof/>
                <w:webHidden/>
              </w:rPr>
              <w:tab/>
            </w:r>
            <w:r w:rsidR="00C87708">
              <w:rPr>
                <w:noProof/>
                <w:webHidden/>
              </w:rPr>
              <w:fldChar w:fldCharType="begin"/>
            </w:r>
            <w:r w:rsidR="00C87708">
              <w:rPr>
                <w:noProof/>
                <w:webHidden/>
              </w:rPr>
              <w:instrText xml:space="preserve"> PAGEREF _Toc404334902 \h </w:instrText>
            </w:r>
            <w:r w:rsidR="00C87708">
              <w:rPr>
                <w:noProof/>
                <w:webHidden/>
              </w:rPr>
            </w:r>
            <w:r w:rsidR="00C87708">
              <w:rPr>
                <w:noProof/>
                <w:webHidden/>
              </w:rPr>
              <w:fldChar w:fldCharType="separate"/>
            </w:r>
            <w:r w:rsidR="00C87708">
              <w:rPr>
                <w:noProof/>
                <w:webHidden/>
              </w:rPr>
              <w:t>4-67</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903" w:history="1">
            <w:r w:rsidR="00C87708" w:rsidRPr="002B66CA">
              <w:rPr>
                <w:rStyle w:val="Hyperlink"/>
                <w:noProof/>
              </w:rPr>
              <w:t>A.15.1</w:t>
            </w:r>
            <w:r w:rsidR="00C87708">
              <w:rPr>
                <w:rFonts w:asciiTheme="minorHAnsi" w:eastAsiaTheme="minorEastAsia" w:hAnsiTheme="minorHAnsi" w:cstheme="minorBidi"/>
                <w:noProof/>
                <w:sz w:val="22"/>
                <w:szCs w:val="22"/>
                <w:lang w:eastAsia="en-AU"/>
              </w:rPr>
              <w:tab/>
            </w:r>
            <w:r w:rsidR="00C87708" w:rsidRPr="002B66CA">
              <w:rPr>
                <w:rStyle w:val="Hyperlink"/>
                <w:noProof/>
              </w:rPr>
              <w:t>Comparison with other market-based estimation approaches</w:t>
            </w:r>
            <w:r w:rsidR="00C87708">
              <w:rPr>
                <w:noProof/>
                <w:webHidden/>
              </w:rPr>
              <w:tab/>
            </w:r>
            <w:r w:rsidR="00C87708">
              <w:rPr>
                <w:noProof/>
                <w:webHidden/>
              </w:rPr>
              <w:fldChar w:fldCharType="begin"/>
            </w:r>
            <w:r w:rsidR="00C87708">
              <w:rPr>
                <w:noProof/>
                <w:webHidden/>
              </w:rPr>
              <w:instrText xml:space="preserve"> PAGEREF _Toc404334903 \h </w:instrText>
            </w:r>
            <w:r w:rsidR="00C87708">
              <w:rPr>
                <w:noProof/>
                <w:webHidden/>
              </w:rPr>
            </w:r>
            <w:r w:rsidR="00C87708">
              <w:rPr>
                <w:noProof/>
                <w:webHidden/>
              </w:rPr>
              <w:fldChar w:fldCharType="separate"/>
            </w:r>
            <w:r w:rsidR="00C87708">
              <w:rPr>
                <w:noProof/>
                <w:webHidden/>
              </w:rPr>
              <w:t>4-68</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904" w:history="1">
            <w:r w:rsidR="00C87708" w:rsidRPr="002B66CA">
              <w:rPr>
                <w:rStyle w:val="Hyperlink"/>
                <w:noProof/>
              </w:rPr>
              <w:t>A.15.2</w:t>
            </w:r>
            <w:r w:rsidR="00C87708">
              <w:rPr>
                <w:rFonts w:asciiTheme="minorHAnsi" w:eastAsiaTheme="minorEastAsia" w:hAnsiTheme="minorHAnsi" w:cstheme="minorBidi"/>
                <w:noProof/>
                <w:sz w:val="22"/>
                <w:szCs w:val="22"/>
                <w:lang w:eastAsia="en-AU"/>
              </w:rPr>
              <w:tab/>
            </w:r>
            <w:r w:rsidR="00C87708" w:rsidRPr="002B66CA">
              <w:rPr>
                <w:rStyle w:val="Hyperlink"/>
                <w:noProof/>
              </w:rPr>
              <w:t>The views of academics and other regulators</w:t>
            </w:r>
            <w:r w:rsidR="00C87708">
              <w:rPr>
                <w:noProof/>
                <w:webHidden/>
              </w:rPr>
              <w:tab/>
            </w:r>
            <w:r w:rsidR="00C87708">
              <w:rPr>
                <w:noProof/>
                <w:webHidden/>
              </w:rPr>
              <w:fldChar w:fldCharType="begin"/>
            </w:r>
            <w:r w:rsidR="00C87708">
              <w:rPr>
                <w:noProof/>
                <w:webHidden/>
              </w:rPr>
              <w:instrText xml:space="preserve"> PAGEREF _Toc404334904 \h </w:instrText>
            </w:r>
            <w:r w:rsidR="00C87708">
              <w:rPr>
                <w:noProof/>
                <w:webHidden/>
              </w:rPr>
            </w:r>
            <w:r w:rsidR="00C87708">
              <w:rPr>
                <w:noProof/>
                <w:webHidden/>
              </w:rPr>
              <w:fldChar w:fldCharType="separate"/>
            </w:r>
            <w:r w:rsidR="00C87708">
              <w:rPr>
                <w:noProof/>
                <w:webHidden/>
              </w:rPr>
              <w:t>4-68</w:t>
            </w:r>
            <w:r w:rsidR="00C87708">
              <w:rPr>
                <w:noProof/>
                <w:webHidden/>
              </w:rPr>
              <w:fldChar w:fldCharType="end"/>
            </w:r>
          </w:hyperlink>
        </w:p>
        <w:p w:rsidR="00C87708" w:rsidRDefault="00115D9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4905" w:history="1">
            <w:r w:rsidR="00C87708" w:rsidRPr="002B66CA">
              <w:rPr>
                <w:rStyle w:val="Hyperlink"/>
                <w:noProof/>
              </w:rPr>
              <w:t>A.16</w:t>
            </w:r>
            <w:r w:rsidR="00C87708">
              <w:rPr>
                <w:rFonts w:asciiTheme="minorHAnsi" w:eastAsiaTheme="minorEastAsia" w:hAnsiTheme="minorHAnsi" w:cstheme="minorBidi"/>
                <w:iCs w:val="0"/>
                <w:noProof/>
                <w:sz w:val="22"/>
                <w:szCs w:val="22"/>
                <w:lang w:eastAsia="en-AU"/>
              </w:rPr>
              <w:tab/>
            </w:r>
            <w:r w:rsidR="00C87708" w:rsidRPr="002B66CA">
              <w:rPr>
                <w:rStyle w:val="Hyperlink"/>
                <w:noProof/>
              </w:rPr>
              <w:t>Revised consideration of the conceptual goalposts approach</w:t>
            </w:r>
            <w:r w:rsidR="00C87708">
              <w:rPr>
                <w:noProof/>
                <w:webHidden/>
              </w:rPr>
              <w:tab/>
            </w:r>
            <w:r w:rsidR="00C87708">
              <w:rPr>
                <w:noProof/>
                <w:webHidden/>
              </w:rPr>
              <w:fldChar w:fldCharType="begin"/>
            </w:r>
            <w:r w:rsidR="00C87708">
              <w:rPr>
                <w:noProof/>
                <w:webHidden/>
              </w:rPr>
              <w:instrText xml:space="preserve"> PAGEREF _Toc404334905 \h </w:instrText>
            </w:r>
            <w:r w:rsidR="00C87708">
              <w:rPr>
                <w:noProof/>
                <w:webHidden/>
              </w:rPr>
            </w:r>
            <w:r w:rsidR="00C87708">
              <w:rPr>
                <w:noProof/>
                <w:webHidden/>
              </w:rPr>
              <w:fldChar w:fldCharType="separate"/>
            </w:r>
            <w:r w:rsidR="00C87708">
              <w:rPr>
                <w:noProof/>
                <w:webHidden/>
              </w:rPr>
              <w:t>4-71</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906" w:history="1">
            <w:r w:rsidR="00C87708" w:rsidRPr="002B66CA">
              <w:rPr>
                <w:rStyle w:val="Hyperlink"/>
                <w:noProof/>
              </w:rPr>
              <w:t>A.16.1</w:t>
            </w:r>
            <w:r w:rsidR="00C87708">
              <w:rPr>
                <w:rFonts w:asciiTheme="minorHAnsi" w:eastAsiaTheme="minorEastAsia" w:hAnsiTheme="minorHAnsi" w:cstheme="minorBidi"/>
                <w:noProof/>
                <w:sz w:val="22"/>
                <w:szCs w:val="22"/>
                <w:lang w:eastAsia="en-AU"/>
              </w:rPr>
              <w:tab/>
            </w:r>
            <w:r w:rsidR="00C87708" w:rsidRPr="002B66CA">
              <w:rPr>
                <w:rStyle w:val="Hyperlink"/>
                <w:noProof/>
              </w:rPr>
              <w:t>Description of the approach</w:t>
            </w:r>
            <w:r w:rsidR="00C87708">
              <w:rPr>
                <w:noProof/>
                <w:webHidden/>
              </w:rPr>
              <w:tab/>
            </w:r>
            <w:r w:rsidR="00C87708">
              <w:rPr>
                <w:noProof/>
                <w:webHidden/>
              </w:rPr>
              <w:fldChar w:fldCharType="begin"/>
            </w:r>
            <w:r w:rsidR="00C87708">
              <w:rPr>
                <w:noProof/>
                <w:webHidden/>
              </w:rPr>
              <w:instrText xml:space="preserve"> PAGEREF _Toc404334906 \h </w:instrText>
            </w:r>
            <w:r w:rsidR="00C87708">
              <w:rPr>
                <w:noProof/>
                <w:webHidden/>
              </w:rPr>
            </w:r>
            <w:r w:rsidR="00C87708">
              <w:rPr>
                <w:noProof/>
                <w:webHidden/>
              </w:rPr>
              <w:fldChar w:fldCharType="separate"/>
            </w:r>
            <w:r w:rsidR="00C87708">
              <w:rPr>
                <w:noProof/>
                <w:webHidden/>
              </w:rPr>
              <w:t>4-71</w:t>
            </w:r>
            <w:r w:rsidR="00C87708">
              <w:rPr>
                <w:noProof/>
                <w:webHidden/>
              </w:rPr>
              <w:fldChar w:fldCharType="end"/>
            </w:r>
          </w:hyperlink>
        </w:p>
        <w:p w:rsidR="00C87708" w:rsidRDefault="00115D92">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4907" w:history="1">
            <w:r w:rsidR="00C87708" w:rsidRPr="002B66CA">
              <w:rPr>
                <w:rStyle w:val="Hyperlink"/>
                <w:noProof/>
              </w:rPr>
              <w:t>A.16.2</w:t>
            </w:r>
            <w:r w:rsidR="00C87708">
              <w:rPr>
                <w:rFonts w:asciiTheme="minorHAnsi" w:eastAsiaTheme="minorEastAsia" w:hAnsiTheme="minorHAnsi" w:cstheme="minorBidi"/>
                <w:noProof/>
                <w:sz w:val="22"/>
                <w:szCs w:val="22"/>
                <w:lang w:eastAsia="en-AU"/>
              </w:rPr>
              <w:tab/>
            </w:r>
            <w:r w:rsidR="00C87708" w:rsidRPr="002B66CA">
              <w:rPr>
                <w:rStyle w:val="Hyperlink"/>
                <w:noProof/>
              </w:rPr>
              <w:t>Advice received since the Guideline</w:t>
            </w:r>
            <w:r w:rsidR="00C87708">
              <w:rPr>
                <w:noProof/>
                <w:webHidden/>
              </w:rPr>
              <w:tab/>
            </w:r>
            <w:r w:rsidR="00C87708">
              <w:rPr>
                <w:noProof/>
                <w:webHidden/>
              </w:rPr>
              <w:fldChar w:fldCharType="begin"/>
            </w:r>
            <w:r w:rsidR="00C87708">
              <w:rPr>
                <w:noProof/>
                <w:webHidden/>
              </w:rPr>
              <w:instrText xml:space="preserve"> PAGEREF _Toc404334907 \h </w:instrText>
            </w:r>
            <w:r w:rsidR="00C87708">
              <w:rPr>
                <w:noProof/>
                <w:webHidden/>
              </w:rPr>
            </w:r>
            <w:r w:rsidR="00C87708">
              <w:rPr>
                <w:noProof/>
                <w:webHidden/>
              </w:rPr>
              <w:fldChar w:fldCharType="separate"/>
            </w:r>
            <w:r w:rsidR="00C87708">
              <w:rPr>
                <w:noProof/>
                <w:webHidden/>
              </w:rPr>
              <w:t>4-73</w:t>
            </w:r>
            <w:r w:rsidR="00C87708">
              <w:rPr>
                <w:noProof/>
                <w:webHidden/>
              </w:rPr>
              <w:fldChar w:fldCharType="end"/>
            </w:r>
          </w:hyperlink>
        </w:p>
        <w:p w:rsidR="00256802" w:rsidRDefault="00256802" w:rsidP="00256802">
          <w:pPr>
            <w:pStyle w:val="TOC1"/>
            <w:tabs>
              <w:tab w:val="right" w:leader="dot" w:pos="9016"/>
            </w:tabs>
          </w:pPr>
          <w:r>
            <w:rPr>
              <w:lang w:val="en-US" w:eastAsia="ja-JP"/>
            </w:rPr>
            <w:fldChar w:fldCharType="end"/>
          </w:r>
        </w:p>
      </w:sdtContent>
    </w:sdt>
    <w:p w:rsidR="00256802" w:rsidRDefault="00256802" w:rsidP="00256802">
      <w:pPr>
        <w:pStyle w:val="AERbodytext"/>
      </w:pPr>
    </w:p>
    <w:p w:rsidR="00256802" w:rsidRDefault="00256802" w:rsidP="00256802">
      <w:pPr>
        <w:pStyle w:val="UnnumberedHeading"/>
        <w:numPr>
          <w:ilvl w:val="0"/>
          <w:numId w:val="57"/>
        </w:numPr>
      </w:pPr>
      <w:bookmarkStart w:id="3" w:name="_Toc402537455"/>
      <w:bookmarkStart w:id="4" w:name="_Toc403479638"/>
      <w:bookmarkStart w:id="5" w:name="_Toc403564409"/>
      <w:bookmarkStart w:id="6" w:name="_Toc403565520"/>
      <w:bookmarkStart w:id="7" w:name="_Toc404257455"/>
      <w:bookmarkStart w:id="8" w:name="_Toc404334856"/>
      <w:r>
        <w:t>Shortened forms</w:t>
      </w:r>
      <w:bookmarkEnd w:id="3"/>
      <w:bookmarkEnd w:id="4"/>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256802" w:rsidTr="002568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Shortened form</w:t>
            </w:r>
          </w:p>
        </w:tc>
        <w:tc>
          <w:tcPr>
            <w:tcW w:w="4621" w:type="dxa"/>
          </w:tcPr>
          <w:p w:rsidR="00256802" w:rsidRDefault="00256802" w:rsidP="00256802">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AARR</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AEMC</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AEMO</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AER</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ASRR</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augex</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capex</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CCP</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CESS</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CPI</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CPI-X</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DRP</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DMIA</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DMIS</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distributor</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DUoS</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EBSS</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ERP</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expenditure assessment guideline</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F&amp;A</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MRP</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NEL</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NEM</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NEO</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NER</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NSP</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opex</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PPI</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PTRM</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RAB</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RBA</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repex</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RFM</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RIN</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RPP</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SAIDI</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SAIFI</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SLCAPM</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256802" w:rsidTr="00256802">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STPIS</w:t>
            </w:r>
          </w:p>
        </w:tc>
        <w:tc>
          <w:tcPr>
            <w:tcW w:w="4621" w:type="dxa"/>
          </w:tcPr>
          <w:p w:rsidR="00256802" w:rsidRDefault="00256802" w:rsidP="00256802">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256802" w:rsidTr="002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6802" w:rsidRDefault="00256802" w:rsidP="00256802">
            <w:pPr>
              <w:pStyle w:val="AERbodytext"/>
            </w:pPr>
            <w:r>
              <w:t>WACC</w:t>
            </w:r>
          </w:p>
        </w:tc>
        <w:tc>
          <w:tcPr>
            <w:tcW w:w="4621" w:type="dxa"/>
          </w:tcPr>
          <w:p w:rsidR="00256802" w:rsidRDefault="00256802" w:rsidP="00256802">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1752ED" w:rsidRPr="00AF3E95" w:rsidRDefault="001752ED" w:rsidP="001752ED">
      <w:pPr>
        <w:pStyle w:val="TOC1"/>
      </w:pPr>
    </w:p>
    <w:p w:rsidR="001752ED" w:rsidRDefault="001752ED" w:rsidP="001752ED">
      <w:pPr>
        <w:pStyle w:val="UnnumberedHeading"/>
        <w:sectPr w:rsidR="001752ED" w:rsidSect="00C87708">
          <w:footerReference w:type="even" r:id="rId11"/>
          <w:footerReference w:type="default" r:id="rId12"/>
          <w:pgSz w:w="11906" w:h="16838" w:code="9"/>
          <w:pgMar w:top="1440" w:right="1440" w:bottom="1440" w:left="1440" w:header="709" w:footer="709" w:gutter="0"/>
          <w:pgNumType w:start="1" w:chapStyle="1"/>
          <w:cols w:space="708"/>
          <w:docGrid w:linePitch="360"/>
        </w:sectPr>
      </w:pPr>
    </w:p>
    <w:p w:rsidR="00B47945" w:rsidRDefault="007D5DEB" w:rsidP="00162A3D">
      <w:pPr>
        <w:pStyle w:val="Heading1"/>
      </w:pPr>
      <w:bookmarkStart w:id="9" w:name="_Ref403482530"/>
      <w:bookmarkStart w:id="10" w:name="_Ref403482758"/>
      <w:bookmarkStart w:id="11" w:name="_Ref403482812"/>
      <w:bookmarkStart w:id="12" w:name="_Ref403482848"/>
      <w:bookmarkStart w:id="13" w:name="_Ref403482860"/>
      <w:bookmarkStart w:id="14" w:name="_Ref403482904"/>
      <w:bookmarkStart w:id="15" w:name="_Ref403482943"/>
      <w:bookmarkStart w:id="16" w:name="_Ref403482992"/>
      <w:bookmarkStart w:id="17" w:name="_Ref403483018"/>
      <w:bookmarkStart w:id="18" w:name="_Ref403483046"/>
      <w:bookmarkStart w:id="19" w:name="_Ref403483064"/>
      <w:bookmarkStart w:id="20" w:name="_Ref403483100"/>
      <w:bookmarkStart w:id="21" w:name="_Ref403483122"/>
      <w:bookmarkStart w:id="22" w:name="_Ref403483147"/>
      <w:bookmarkStart w:id="23" w:name="_Toc404078535"/>
      <w:bookmarkStart w:id="24" w:name="_Toc404334857"/>
      <w:r>
        <w:t xml:space="preserve">Value of </w:t>
      </w:r>
      <w:r w:rsidRPr="00162A3D">
        <w:t>imputation</w:t>
      </w:r>
      <w:r>
        <w:t xml:space="preserve"> credits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3318E" w:rsidRDefault="00A3318E" w:rsidP="00A3318E">
      <w:pPr>
        <w:pStyle w:val="AERbodytext"/>
      </w:pPr>
      <w:r w:rsidRPr="00A3318E">
        <w:t xml:space="preserve">Under the Australian imputation tax system, investors </w:t>
      </w:r>
      <w:r w:rsidR="00292D0B">
        <w:t xml:space="preserve">can </w:t>
      </w:r>
      <w:r w:rsidRPr="00A3318E">
        <w:t>receive an imputation credit for income t</w:t>
      </w:r>
      <w:r w:rsidR="008E23C2">
        <w:t>ax paid at the company level.</w:t>
      </w:r>
      <w:r w:rsidR="005A0C29">
        <w:rPr>
          <w:rStyle w:val="FootnoteReference"/>
        </w:rPr>
        <w:footnoteReference w:id="1"/>
      </w:r>
      <w:r w:rsidRPr="00A3318E">
        <w:t xml:space="preserve"> For eligible investors, this credit offsets their Australian income tax liabilities. If the </w:t>
      </w:r>
      <w:r w:rsidR="007A3905">
        <w:t>amount</w:t>
      </w:r>
      <w:r w:rsidRPr="00A3318E">
        <w:t xml:space="preserve"> of imputation credits </w:t>
      </w:r>
      <w:r w:rsidR="007A3905">
        <w:t xml:space="preserve">received </w:t>
      </w:r>
      <w:r w:rsidRPr="00A3318E">
        <w:t xml:space="preserve">exceeds an investor's tax liability, that investor can receive a cash refund for the balance. </w:t>
      </w:r>
      <w:r w:rsidR="008112F4">
        <w:t>Imputation</w:t>
      </w:r>
      <w:r w:rsidRPr="00A3318E">
        <w:t xml:space="preserve"> credits are therefore </w:t>
      </w:r>
      <w:r w:rsidR="001C431A">
        <w:t xml:space="preserve">valuable to investors and are </w:t>
      </w:r>
      <w:r w:rsidRPr="00A3318E">
        <w:t xml:space="preserve">a benefit to investors in addition to any cash dividend or capital gains </w:t>
      </w:r>
      <w:r w:rsidR="0093545C">
        <w:t xml:space="preserve">they </w:t>
      </w:r>
      <w:r w:rsidR="00C64527">
        <w:t xml:space="preserve">receive </w:t>
      </w:r>
      <w:r w:rsidRPr="00A3318E">
        <w:t>from owning shares.</w:t>
      </w:r>
    </w:p>
    <w:p w:rsidR="007F4921" w:rsidRDefault="00031C9B" w:rsidP="00A3318E">
      <w:pPr>
        <w:pStyle w:val="AERbodytext"/>
      </w:pPr>
      <w:r>
        <w:t>In determining a service provider's revenue allowance, t</w:t>
      </w:r>
      <w:r w:rsidR="007A3905">
        <w:t xml:space="preserve">he rules require that the </w:t>
      </w:r>
      <w:r w:rsidR="007C2777">
        <w:t xml:space="preserve">estimated cost of corporate income tax be </w:t>
      </w:r>
      <w:r w:rsidR="00F15586">
        <w:t xml:space="preserve">determined </w:t>
      </w:r>
      <w:r w:rsidR="007C2777">
        <w:t xml:space="preserve">in accordance with a formula that reduces the estimated cost </w:t>
      </w:r>
      <w:r w:rsidR="001C431A">
        <w:t xml:space="preserve">of corporate tax </w:t>
      </w:r>
      <w:r w:rsidR="007C2777">
        <w:t>by the 'value of imputation credits'</w:t>
      </w:r>
      <w:r w:rsidR="00BD4A26">
        <w:t xml:space="preserve"> (represented by the Greek letter</w:t>
      </w:r>
      <w:r w:rsidR="001F533B">
        <w:t xml:space="preserve">, </w:t>
      </w:r>
      <m:oMath>
        <m:r>
          <w:rPr>
            <w:rFonts w:ascii="Cambria Math" w:hAnsi="Cambria Math"/>
          </w:rPr>
          <m:t>γ</m:t>
        </m:r>
      </m:oMath>
      <w:r w:rsidR="001F533B">
        <w:t>,</w:t>
      </w:r>
      <w:r w:rsidR="00BD4A26">
        <w:t xml:space="preserve"> </w:t>
      </w:r>
      <w:r w:rsidR="0016352F">
        <w:t>'</w:t>
      </w:r>
      <w:r w:rsidR="00BD4A26">
        <w:t>gamma</w:t>
      </w:r>
      <w:r w:rsidR="0016352F">
        <w:t>'</w:t>
      </w:r>
      <w:r w:rsidR="00BD4A26">
        <w:t>)</w:t>
      </w:r>
      <w:r w:rsidR="007C2777">
        <w:t>.</w:t>
      </w:r>
      <w:r w:rsidR="007C2777">
        <w:rPr>
          <w:rStyle w:val="FootnoteReference"/>
        </w:rPr>
        <w:footnoteReference w:id="2"/>
      </w:r>
      <w:r w:rsidR="007C2777">
        <w:t xml:space="preserve"> That is, the </w:t>
      </w:r>
      <w:r w:rsidR="007A3905">
        <w:t xml:space="preserve">revenue allowance granted to a service provider to cover its expected tax liability </w:t>
      </w:r>
      <w:r w:rsidR="007C2777">
        <w:t xml:space="preserve">must </w:t>
      </w:r>
      <w:r w:rsidR="007A3905">
        <w:t xml:space="preserve">be reduced </w:t>
      </w:r>
      <w:r w:rsidR="004B77D2">
        <w:t>in a manner consistent</w:t>
      </w:r>
      <w:r w:rsidR="007A3905">
        <w:t xml:space="preserve"> </w:t>
      </w:r>
      <w:r w:rsidR="00BE50F8">
        <w:t xml:space="preserve">with </w:t>
      </w:r>
      <w:r w:rsidR="007A3905">
        <w:t xml:space="preserve">the value of imputation credits.  </w:t>
      </w:r>
      <w:r w:rsidR="0021016D">
        <w:t>T</w:t>
      </w:r>
      <w:r w:rsidR="007A3905">
        <w:t>he regulatory framework identifies that</w:t>
      </w:r>
      <w:r w:rsidR="007F4921">
        <w:t>:</w:t>
      </w:r>
    </w:p>
    <w:p w:rsidR="007F4921" w:rsidRDefault="007F4921" w:rsidP="007F4921">
      <w:pPr>
        <w:pStyle w:val="AERbulletlistfirststyle"/>
      </w:pPr>
      <w:r>
        <w:t xml:space="preserve">A service provider should be compensated for </w:t>
      </w:r>
      <w:r w:rsidR="00C7122E">
        <w:t>the</w:t>
      </w:r>
      <w:r>
        <w:t xml:space="preserve"> expected tax liability</w:t>
      </w:r>
      <w:r w:rsidR="00C7122E">
        <w:t xml:space="preserve"> of </w:t>
      </w:r>
      <w:r w:rsidR="00BD4ACB">
        <w:t>the</w:t>
      </w:r>
      <w:r w:rsidR="00C7122E">
        <w:t xml:space="preserve"> benchmark efficient entity.</w:t>
      </w:r>
    </w:p>
    <w:p w:rsidR="007F4921" w:rsidRDefault="00BD4ACB" w:rsidP="007F4921">
      <w:pPr>
        <w:pStyle w:val="AERbulletlistfirststyle"/>
      </w:pPr>
      <w:r>
        <w:t>The</w:t>
      </w:r>
      <w:r w:rsidR="00C7122E">
        <w:t xml:space="preserve"> benchmark efficient entity</w:t>
      </w:r>
      <w:r w:rsidR="007F4921">
        <w:t xml:space="preserve">'s </w:t>
      </w:r>
      <w:r w:rsidR="00C7122E">
        <w:t xml:space="preserve">expected </w:t>
      </w:r>
      <w:r w:rsidR="007F4921">
        <w:t xml:space="preserve">payment of company tax </w:t>
      </w:r>
      <w:r w:rsidR="00C7122E">
        <w:t>would generate</w:t>
      </w:r>
      <w:r w:rsidR="007F4921">
        <w:t xml:space="preserve"> imputation </w:t>
      </w:r>
      <w:r w:rsidR="00F817B5">
        <w:t xml:space="preserve">credits </w:t>
      </w:r>
      <w:r w:rsidR="007F4921">
        <w:t xml:space="preserve">which it </w:t>
      </w:r>
      <w:r w:rsidR="00C7122E">
        <w:t>could</w:t>
      </w:r>
      <w:r w:rsidR="007F4921">
        <w:t xml:space="preserve"> distribute to its investors</w:t>
      </w:r>
      <w:r w:rsidR="00C7122E">
        <w:t>.</w:t>
      </w:r>
    </w:p>
    <w:p w:rsidR="007A3905" w:rsidRPr="00A3318E" w:rsidRDefault="00F817B5" w:rsidP="007F4921">
      <w:pPr>
        <w:pStyle w:val="AERbulletlistfirststyle"/>
      </w:pPr>
      <w:r>
        <w:t>A service provider should not be compensated for the value of imputation credits</w:t>
      </w:r>
      <w:r w:rsidR="00C7122E">
        <w:t xml:space="preserve"> to investors in the benchmark efficient entity.</w:t>
      </w:r>
      <w:r w:rsidR="007A3905">
        <w:t xml:space="preserve"> </w:t>
      </w:r>
    </w:p>
    <w:p w:rsidR="007D5DEB" w:rsidRDefault="00142828" w:rsidP="0054528A">
      <w:pPr>
        <w:pStyle w:val="AERbodytext"/>
      </w:pPr>
      <w:r>
        <w:t xml:space="preserve">In this </w:t>
      </w:r>
      <w:r w:rsidR="00CB0A52">
        <w:t>a</w:t>
      </w:r>
      <w:r w:rsidR="000F6FB8">
        <w:t xml:space="preserve">ttachment, we set out our draft decision on the value of imputation credits and our key reasons for this position. We also consider </w:t>
      </w:r>
      <w:r w:rsidR="000C4FCC">
        <w:t>Endeavour Energy</w:t>
      </w:r>
      <w:r w:rsidR="000F6FB8">
        <w:t xml:space="preserve">'s proposed value of imputation credits and the key reasons for its proposal. In </w:t>
      </w:r>
      <w:r w:rsidR="00CB0A52">
        <w:t>appendix</w:t>
      </w:r>
      <w:r w:rsidR="004B48F4">
        <w:t xml:space="preserve"> </w:t>
      </w:r>
      <w:r w:rsidR="00B04695">
        <w:t>A</w:t>
      </w:r>
      <w:r w:rsidR="000F6FB8">
        <w:t xml:space="preserve">, we include further supporting detail on our position on the value of imputation credits and also respond to </w:t>
      </w:r>
      <w:r w:rsidR="000C4FCC">
        <w:t>Endeavour Energy</w:t>
      </w:r>
      <w:r w:rsidR="000F6FB8">
        <w:t xml:space="preserve">'s proposal in more detail. </w:t>
      </w:r>
      <w:bookmarkStart w:id="25" w:name="_Toc396839196"/>
    </w:p>
    <w:p w:rsidR="00B47945" w:rsidRDefault="00B47945" w:rsidP="00352762">
      <w:pPr>
        <w:pStyle w:val="Heading2"/>
      </w:pPr>
      <w:bookmarkStart w:id="26" w:name="_Toc404078536"/>
      <w:bookmarkStart w:id="27" w:name="_Toc404334858"/>
      <w:r>
        <w:t>Draft decision</w:t>
      </w:r>
      <w:bookmarkEnd w:id="25"/>
      <w:bookmarkEnd w:id="26"/>
      <w:bookmarkEnd w:id="27"/>
    </w:p>
    <w:p w:rsidR="00160199" w:rsidRDefault="00CE4ABD" w:rsidP="00352762">
      <w:pPr>
        <w:pStyle w:val="AERbodytext"/>
      </w:pPr>
      <w:r>
        <w:t xml:space="preserve">We do not accept </w:t>
      </w:r>
      <w:r w:rsidR="000C4FCC">
        <w:t>Endeavour Energy</w:t>
      </w:r>
      <w:r w:rsidR="000F6FB8">
        <w:t xml:space="preserve">'s </w:t>
      </w:r>
      <w:r>
        <w:t>proposed value of imputation credits of 0.25. Instead, we adopt a valu</w:t>
      </w:r>
      <w:r w:rsidR="00BB331A">
        <w:t>e of imputation credits of 0.4.</w:t>
      </w:r>
    </w:p>
    <w:p w:rsidR="007E4E36" w:rsidRDefault="00160199" w:rsidP="00352762">
      <w:pPr>
        <w:pStyle w:val="AERbodytext"/>
      </w:pPr>
      <w:r>
        <w:t>Estimating the value of imputation credits is a complex and imprecise task. There is no consensus among experts on the appropriate value or estimation techniques to use.</w:t>
      </w:r>
      <w:r w:rsidR="00B16986">
        <w:rPr>
          <w:rStyle w:val="FootnoteReference"/>
        </w:rPr>
        <w:footnoteReference w:id="3"/>
      </w:r>
      <w:r>
        <w:t xml:space="preserve"> Further, with each estimation technique th</w:t>
      </w:r>
      <w:r w:rsidR="00B4412C">
        <w:t>ere</w:t>
      </w:r>
      <w:r>
        <w:t xml:space="preserve"> are often a number of ways these may be applied resulting in different outcomes. Conceptually, the value of imputation credits must be between </w:t>
      </w:r>
      <w:r w:rsidR="00B16986">
        <w:t>0 and 1</w:t>
      </w:r>
      <w:r>
        <w:t>, and the range of expert views on the value of imputation credits is almost this wide.</w:t>
      </w:r>
      <w:r w:rsidR="0054528A">
        <w:rPr>
          <w:rStyle w:val="FootnoteReference"/>
        </w:rPr>
        <w:footnoteReference w:id="4"/>
      </w:r>
    </w:p>
    <w:p w:rsidR="009975B8" w:rsidRDefault="00F5131C" w:rsidP="00C474DF">
      <w:pPr>
        <w:pStyle w:val="AERbodytext"/>
      </w:pPr>
      <w:r>
        <w:t xml:space="preserve">In coming to a value of imputation credits of 0.4, we have considered the </w:t>
      </w:r>
      <w:r w:rsidR="00F15586">
        <w:t xml:space="preserve">multitude of </w:t>
      </w:r>
      <w:r>
        <w:t>evidence before us with regard to its merits. Spec</w:t>
      </w:r>
      <w:r w:rsidR="00AE6C11">
        <w:t xml:space="preserve">ifically, we use the </w:t>
      </w:r>
      <w:r w:rsidR="009975B8">
        <w:t>widely accepted approach of estimating the value of imputation credits as the product of two sub-parameters:</w:t>
      </w:r>
      <w:r w:rsidR="004E3405">
        <w:t xml:space="preserve"> the 'distribution rate' and the 'utilisation rate'.</w:t>
      </w:r>
      <w:r w:rsidR="004E3405">
        <w:rPr>
          <w:rStyle w:val="FootnoteReference"/>
        </w:rPr>
        <w:footnoteReference w:id="5"/>
      </w:r>
      <w:r w:rsidR="004E3405">
        <w:t xml:space="preserve"> </w:t>
      </w:r>
      <w:r w:rsidR="00AE6C11">
        <w:t>Moreover, we have regard to:</w:t>
      </w:r>
      <w:r w:rsidR="009975B8">
        <w:t xml:space="preserve"> </w:t>
      </w:r>
    </w:p>
    <w:p w:rsidR="00F5131C" w:rsidRDefault="00417DCA" w:rsidP="00417DCA">
      <w:pPr>
        <w:pStyle w:val="AERbulletlistfirststyle"/>
      </w:pPr>
      <w:r>
        <w:t xml:space="preserve">The widely accepted approach to estimating the </w:t>
      </w:r>
      <w:r w:rsidR="009975B8">
        <w:t>distribution rate</w:t>
      </w:r>
      <w:r w:rsidR="00BF16E2">
        <w:t>.</w:t>
      </w:r>
    </w:p>
    <w:p w:rsidR="00417DCA" w:rsidRDefault="00417DCA" w:rsidP="00417DCA">
      <w:pPr>
        <w:pStyle w:val="AERbulletlistfirststyle"/>
      </w:pPr>
      <w:r>
        <w:t xml:space="preserve">The range of </w:t>
      </w:r>
      <w:r w:rsidR="000D3D7B">
        <w:t>approaches</w:t>
      </w:r>
      <w:r w:rsidR="00BF16E2">
        <w:t xml:space="preserve"> relevant to estimating the </w:t>
      </w:r>
      <w:r w:rsidR="009975B8">
        <w:t>utilisation rate</w:t>
      </w:r>
      <w:r w:rsidR="000D3D7B">
        <w:t>, with due regard to the merit of each approach</w:t>
      </w:r>
      <w:r w:rsidR="00BF16E2">
        <w:t>.</w:t>
      </w:r>
    </w:p>
    <w:p w:rsidR="00417DCA" w:rsidRDefault="00417DCA" w:rsidP="00B16986">
      <w:pPr>
        <w:pStyle w:val="AERbodytext"/>
      </w:pPr>
      <w:r>
        <w:t xml:space="preserve">Overall, this evidence suggests that a range of estimates for the value of imputation credits might </w:t>
      </w:r>
      <w:r w:rsidR="00172F90">
        <w:t xml:space="preserve">be </w:t>
      </w:r>
      <w:r>
        <w:t>reasonable.</w:t>
      </w:r>
      <w:r w:rsidR="007432A3">
        <w:t xml:space="preserve"> </w:t>
      </w:r>
      <w:r w:rsidR="00F15586">
        <w:t>W</w:t>
      </w:r>
      <w:r>
        <w:t xml:space="preserve">ith regard to </w:t>
      </w:r>
      <w:r w:rsidR="00BF16E2">
        <w:t>the merit</w:t>
      </w:r>
      <w:r w:rsidR="009B4283">
        <w:t>s</w:t>
      </w:r>
      <w:r w:rsidR="00BF16E2">
        <w:t xml:space="preserve"> of the </w:t>
      </w:r>
      <w:r w:rsidR="009B4283">
        <w:t>evidence before us</w:t>
      </w:r>
      <w:r w:rsidR="00BF16E2">
        <w:t xml:space="preserve">, we choose a value for imputation credits of 0.4 from within </w:t>
      </w:r>
      <w:r w:rsidR="00F15586">
        <w:t>a</w:t>
      </w:r>
      <w:r w:rsidR="00BF16E2">
        <w:t xml:space="preserve"> range</w:t>
      </w:r>
      <w:r w:rsidR="00F15586">
        <w:t xml:space="preserve"> of 0.3 to 0.5</w:t>
      </w:r>
      <w:r w:rsidR="00BF16E2">
        <w:t>.</w:t>
      </w:r>
      <w:r w:rsidR="00B16986">
        <w:t xml:space="preserve"> Importantly, w</w:t>
      </w:r>
      <w:r w:rsidR="00B16986" w:rsidRPr="00B16986">
        <w:t xml:space="preserve">e consider that a value of imputation credits of 0.4 provides service providers with a reasonable opportunity to recover at least their efficient corporate tax </w:t>
      </w:r>
      <w:r w:rsidR="0006519C">
        <w:t>costs</w:t>
      </w:r>
      <w:r w:rsidR="00B16986" w:rsidRPr="00B16986">
        <w:t>, and that this value is consistent with the building block framework embedded in the rules.</w:t>
      </w:r>
    </w:p>
    <w:p w:rsidR="003B5E19" w:rsidRDefault="003B5E19" w:rsidP="00B16986">
      <w:pPr>
        <w:pStyle w:val="AERbodytext"/>
      </w:pPr>
      <w:r>
        <w:t>In considering the evidence on the distribution and utilisation rates, we have broadly maintained the approach set out in the rate of return guideline</w:t>
      </w:r>
      <w:r w:rsidR="00071FCB">
        <w:t xml:space="preserve"> (the Guideline)</w:t>
      </w:r>
      <w:r>
        <w:t>, but have re-examined the relevant evidence and estimates. This re-examination, and new evidence and advice considered since the Guideline, led us to depart from the 0.5 value of imputation credits we proposed in the Guideline.</w:t>
      </w:r>
    </w:p>
    <w:p w:rsidR="00ED09CD" w:rsidRPr="00ED09CD" w:rsidRDefault="000C4FCC" w:rsidP="00E54FDF">
      <w:pPr>
        <w:pStyle w:val="Heading2"/>
      </w:pPr>
      <w:bookmarkStart w:id="28" w:name="_Toc396839197"/>
      <w:bookmarkStart w:id="29" w:name="_Ref401169027"/>
      <w:bookmarkStart w:id="30" w:name="_Toc404078537"/>
      <w:bookmarkStart w:id="31" w:name="_Toc404334859"/>
      <w:r>
        <w:t>Endeavour Energy</w:t>
      </w:r>
      <w:r w:rsidR="00ED09CD" w:rsidRPr="00E54FDF">
        <w:t>'s</w:t>
      </w:r>
      <w:r w:rsidR="00ED09CD">
        <w:t xml:space="preserve"> proposal</w:t>
      </w:r>
      <w:bookmarkEnd w:id="28"/>
      <w:bookmarkEnd w:id="29"/>
      <w:bookmarkEnd w:id="30"/>
      <w:bookmarkEnd w:id="31"/>
    </w:p>
    <w:p w:rsidR="00E56C7B" w:rsidRDefault="000C4FCC" w:rsidP="009975B8">
      <w:pPr>
        <w:pStyle w:val="AERbodytext"/>
      </w:pPr>
      <w:r>
        <w:t>Endeavour Energy</w:t>
      </w:r>
      <w:r w:rsidR="008975F8">
        <w:t xml:space="preserve"> </w:t>
      </w:r>
      <w:r w:rsidR="00E56C7B">
        <w:t xml:space="preserve">proposed a </w:t>
      </w:r>
      <w:r w:rsidR="001E290A">
        <w:t>value of imputation credits</w:t>
      </w:r>
      <w:r w:rsidR="00E56C7B">
        <w:t xml:space="preserve"> of 0.25, </w:t>
      </w:r>
      <w:r w:rsidR="007C7EAE">
        <w:t>calculated</w:t>
      </w:r>
      <w:r w:rsidR="009975B8">
        <w:t xml:space="preserve"> as the product of a</w:t>
      </w:r>
      <w:r w:rsidR="00970F60">
        <w:t xml:space="preserve"> distribution rate </w:t>
      </w:r>
      <w:r w:rsidR="009975B8">
        <w:t>of 0.7 and a utilisation rate of 0.35.</w:t>
      </w:r>
      <w:r w:rsidR="00754B0F">
        <w:rPr>
          <w:rStyle w:val="FootnoteReference"/>
        </w:rPr>
        <w:footnoteReference w:id="6"/>
      </w:r>
      <w:r w:rsidR="009975B8">
        <w:t xml:space="preserve"> Its proposed</w:t>
      </w:r>
      <w:r w:rsidR="007C7EAE">
        <w:t xml:space="preserve"> </w:t>
      </w:r>
      <w:r w:rsidR="00E56C7B">
        <w:t xml:space="preserve">distribution rate of 0.7 was consistent with </w:t>
      </w:r>
      <w:r w:rsidR="008A4CDF">
        <w:t xml:space="preserve">the estimate adopted in </w:t>
      </w:r>
      <w:r w:rsidR="00071FCB">
        <w:t>the Guideline</w:t>
      </w:r>
      <w:r w:rsidR="00E56C7B">
        <w:t>.</w:t>
      </w:r>
      <w:r w:rsidR="008A4CDF">
        <w:rPr>
          <w:rStyle w:val="FootnoteReference"/>
        </w:rPr>
        <w:footnoteReference w:id="7"/>
      </w:r>
      <w:r w:rsidR="00E56C7B">
        <w:t xml:space="preserve"> </w:t>
      </w:r>
      <w:r w:rsidR="009975B8">
        <w:t>Its proposed utilisation rate</w:t>
      </w:r>
      <w:r w:rsidR="009560CD">
        <w:t xml:space="preserve"> of</w:t>
      </w:r>
      <w:r w:rsidR="00BF1CC0">
        <w:t xml:space="preserve"> 0.35</w:t>
      </w:r>
      <w:r w:rsidR="00DE4D0B">
        <w:t xml:space="preserve"> was lower than the 0.7 in </w:t>
      </w:r>
      <w:r w:rsidR="00071FCB">
        <w:t>the Guideline</w:t>
      </w:r>
      <w:r w:rsidR="00DE4D0B">
        <w:t>.</w:t>
      </w:r>
      <w:r w:rsidR="009560CD">
        <w:t xml:space="preserve"> </w:t>
      </w:r>
      <w:r w:rsidR="000F64C9">
        <w:t xml:space="preserve">In proposing a different utilisation rate, </w:t>
      </w:r>
      <w:r>
        <w:t>Endeavour Energy</w:t>
      </w:r>
      <w:r w:rsidR="000F64C9">
        <w:t xml:space="preserve"> cons</w:t>
      </w:r>
      <w:r w:rsidR="00104179">
        <w:t xml:space="preserve">idered that </w:t>
      </w:r>
      <w:r w:rsidR="000F64C9">
        <w:t>the only source of relevant evidence</w:t>
      </w:r>
      <w:r w:rsidR="00104179">
        <w:t xml:space="preserve"> were studies that seek to infer from market prices the value to investors of distributed imputation credits ('implied market value studies')</w:t>
      </w:r>
      <w:r w:rsidR="000F64C9">
        <w:t xml:space="preserve">. Further, </w:t>
      </w:r>
      <w:r>
        <w:t>Endeavour Energy</w:t>
      </w:r>
      <w:r w:rsidR="000F64C9">
        <w:t xml:space="preserve"> proposed that the best estimate of the utilisation rate from implied market value studies was 0.35 from </w:t>
      </w:r>
      <w:r w:rsidR="00104179">
        <w:t xml:space="preserve">a </w:t>
      </w:r>
      <w:r w:rsidR="009851F5">
        <w:t>'dividend drop off'</w:t>
      </w:r>
      <w:r w:rsidR="00104179">
        <w:t xml:space="preserve"> study conducted by SFG</w:t>
      </w:r>
      <w:r w:rsidR="00A97368">
        <w:t xml:space="preserve"> Consulting (SFG)</w:t>
      </w:r>
      <w:r w:rsidR="000F64C9">
        <w:t>.</w:t>
      </w:r>
      <w:r w:rsidR="00BF32DA">
        <w:rPr>
          <w:rStyle w:val="FootnoteReference"/>
        </w:rPr>
        <w:footnoteReference w:id="8"/>
      </w:r>
    </w:p>
    <w:p w:rsidR="00A160E6" w:rsidRDefault="000C4FCC">
      <w:pPr>
        <w:pStyle w:val="AERbodytext"/>
      </w:pPr>
      <w:r>
        <w:t>Endeavour Energy</w:t>
      </w:r>
      <w:r w:rsidR="004C06C3">
        <w:t xml:space="preserve">'s proposed </w:t>
      </w:r>
      <w:r w:rsidR="0033660D">
        <w:t xml:space="preserve">value of imputation credits of </w:t>
      </w:r>
      <w:r w:rsidR="004C06C3">
        <w:t xml:space="preserve">0.25 and </w:t>
      </w:r>
      <w:r w:rsidR="0033660D">
        <w:t xml:space="preserve">supporting </w:t>
      </w:r>
      <w:r w:rsidR="004C06C3">
        <w:t xml:space="preserve">reasons were consistent with the proposals </w:t>
      </w:r>
      <w:r w:rsidR="0033660D">
        <w:t xml:space="preserve">we have </w:t>
      </w:r>
      <w:r w:rsidR="004C06C3">
        <w:t xml:space="preserve">received from a number of other service providers with current </w:t>
      </w:r>
      <w:r w:rsidR="00A34DC3">
        <w:t>regulatory decision</w:t>
      </w:r>
      <w:r w:rsidR="004C06C3">
        <w:t>s.</w:t>
      </w:r>
      <w:r w:rsidR="0033660D">
        <w:rPr>
          <w:rStyle w:val="FootnoteReference"/>
        </w:rPr>
        <w:footnoteReference w:id="9"/>
      </w:r>
      <w:r w:rsidR="004C06C3">
        <w:t xml:space="preserve"> Further, these service providers jointly commissioned a report from SFG and relied on this report extensively in their proposal</w:t>
      </w:r>
      <w:r w:rsidR="000E28CA">
        <w:t>s</w:t>
      </w:r>
      <w:r w:rsidR="004C06C3">
        <w:t xml:space="preserve">. Accordingly, our analysis of </w:t>
      </w:r>
      <w:r>
        <w:t>Endeavour Energy</w:t>
      </w:r>
      <w:r w:rsidR="004C06C3">
        <w:t>'s proposal is also applicable and consistent with our analysis of the proposals from those other service providers.</w:t>
      </w:r>
    </w:p>
    <w:p w:rsidR="00B47945" w:rsidRDefault="00B47945" w:rsidP="00352762">
      <w:pPr>
        <w:pStyle w:val="Heading2"/>
      </w:pPr>
      <w:bookmarkStart w:id="32" w:name="_Toc396839198"/>
      <w:bookmarkStart w:id="33" w:name="_Toc404078538"/>
      <w:bookmarkStart w:id="34" w:name="_Toc404334860"/>
      <w:r>
        <w:t>AER's assessment approach</w:t>
      </w:r>
      <w:bookmarkEnd w:id="32"/>
      <w:bookmarkEnd w:id="33"/>
      <w:bookmarkEnd w:id="34"/>
    </w:p>
    <w:p w:rsidR="00AD718B" w:rsidRDefault="00784B2C" w:rsidP="00AD718B">
      <w:pPr>
        <w:pStyle w:val="AERbodytext"/>
      </w:pPr>
      <w:r>
        <w:t xml:space="preserve">In this section we set out the approach we have taken to assessing </w:t>
      </w:r>
      <w:r w:rsidR="00875871">
        <w:t xml:space="preserve">the service providers' </w:t>
      </w:r>
      <w:r>
        <w:t>proposal</w:t>
      </w:r>
      <w:r w:rsidR="00875871">
        <w:t>s</w:t>
      </w:r>
      <w:r>
        <w:t xml:space="preserve"> on the value of imputati</w:t>
      </w:r>
      <w:r w:rsidR="0062197A">
        <w:t xml:space="preserve">on credits. This </w:t>
      </w:r>
      <w:r>
        <w:t>approach involves</w:t>
      </w:r>
      <w:r w:rsidR="00F72221">
        <w:t xml:space="preserve"> consideration of</w:t>
      </w:r>
      <w:r>
        <w:t>:</w:t>
      </w:r>
    </w:p>
    <w:p w:rsidR="00784B2C" w:rsidRDefault="00784B2C" w:rsidP="00784B2C">
      <w:pPr>
        <w:pStyle w:val="AERbulletlistfirststyle"/>
      </w:pPr>
      <w:r>
        <w:t>the re</w:t>
      </w:r>
      <w:r w:rsidR="0062197A">
        <w:t>quirements of the law and rules</w:t>
      </w:r>
    </w:p>
    <w:p w:rsidR="00784B2C" w:rsidRDefault="00071FCB" w:rsidP="00784B2C">
      <w:pPr>
        <w:pStyle w:val="AERbulletlistfirststyle"/>
      </w:pPr>
      <w:r>
        <w:t>the Guideline</w:t>
      </w:r>
    </w:p>
    <w:p w:rsidR="00F72221" w:rsidRDefault="00F72221" w:rsidP="00784B2C">
      <w:pPr>
        <w:pStyle w:val="AERbulletlistfirststyle"/>
      </w:pPr>
      <w:r>
        <w:t>our definition of the benchmark efficient entity</w:t>
      </w:r>
    </w:p>
    <w:p w:rsidR="00F72221" w:rsidRDefault="00F72221" w:rsidP="00784B2C">
      <w:pPr>
        <w:pStyle w:val="AERbulletlistfirststyle"/>
      </w:pPr>
      <w:r>
        <w:t>expert reports</w:t>
      </w:r>
      <w:r w:rsidR="0062197A">
        <w:t>, and</w:t>
      </w:r>
    </w:p>
    <w:p w:rsidR="00F72221" w:rsidRPr="00AD718B" w:rsidRDefault="0062197A" w:rsidP="00784B2C">
      <w:pPr>
        <w:pStyle w:val="AERbulletlistfirststyle"/>
      </w:pPr>
      <w:r>
        <w:t>our approach to determining the value of imputation credits.</w:t>
      </w:r>
    </w:p>
    <w:p w:rsidR="004F5C28" w:rsidRDefault="004F5C28" w:rsidP="00EA24D2">
      <w:pPr>
        <w:pStyle w:val="Heading3"/>
      </w:pPr>
      <w:bookmarkStart w:id="35" w:name="_Ref400272912"/>
      <w:bookmarkStart w:id="36" w:name="_Toc404334861"/>
      <w:r w:rsidRPr="00EA24D2">
        <w:t>Requirements</w:t>
      </w:r>
      <w:r>
        <w:t xml:space="preserve"> of the law and rules</w:t>
      </w:r>
      <w:bookmarkEnd w:id="35"/>
      <w:bookmarkEnd w:id="36"/>
    </w:p>
    <w:p w:rsidR="00584072" w:rsidRPr="00EA5C1A" w:rsidRDefault="00EB23AD" w:rsidP="00584072">
      <w:pPr>
        <w:pStyle w:val="AERbodytext"/>
      </w:pPr>
      <w:r>
        <w:t xml:space="preserve">The rules </w:t>
      </w:r>
      <w:r w:rsidR="00584072">
        <w:t>require that t</w:t>
      </w:r>
      <w:r w:rsidR="00584072" w:rsidRPr="00EA5C1A">
        <w:t xml:space="preserve">he estimated cost of corporate income tax of a </w:t>
      </w:r>
      <w:r>
        <w:t>service provider</w:t>
      </w:r>
      <w:r w:rsidR="00584072" w:rsidRPr="006D6E12">
        <w:t xml:space="preserve"> for each regulatory year</w:t>
      </w:r>
      <w:r w:rsidR="00584072" w:rsidRPr="00EA5C1A">
        <w:t xml:space="preserve"> (</w:t>
      </w:r>
      <w:bookmarkStart w:id="37"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37"/>
      <w:r w:rsidR="00584072" w:rsidRPr="00EA5C1A">
        <w:t>) must be estimated in accordance with the following formula:</w:t>
      </w:r>
      <w:r>
        <w:rPr>
          <w:rStyle w:val="FootnoteReference"/>
        </w:rPr>
        <w:footnoteReference w:id="10"/>
      </w:r>
    </w:p>
    <w:p w:rsidR="008A468E" w:rsidRPr="00EA5C1A" w:rsidRDefault="00115D92" w:rsidP="004B0617">
      <w:pPr>
        <w:pStyle w:val="AERbodytext"/>
      </w:pPr>
      <m:oMath>
        <m:sSub>
          <m:sSubPr>
            <m:ctrlPr>
              <w:rPr>
                <w:rFonts w:ascii="Cambria Math" w:hAnsi="Cambria Math"/>
                <w:i/>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e>
        </m:d>
        <m:d>
          <m:dPr>
            <m:ctrlPr>
              <w:rPr>
                <w:rFonts w:ascii="Cambria Math" w:hAnsi="Cambria Math"/>
                <w:i/>
              </w:rPr>
            </m:ctrlPr>
          </m:dPr>
          <m:e>
            <m:r>
              <w:rPr>
                <w:rFonts w:ascii="Cambria Math" w:hAnsi="Cambria Math"/>
              </w:rPr>
              <m:t>1-γ</m:t>
            </m:r>
          </m:e>
        </m:d>
      </m:oMath>
    </w:p>
    <w:p w:rsidR="00584072" w:rsidRPr="00EA5C1A" w:rsidRDefault="00584072" w:rsidP="00584072">
      <w:pPr>
        <w:pStyle w:val="AERbodytext"/>
      </w:pPr>
      <w:r w:rsidRPr="00EA5C1A">
        <w:t>where:</w:t>
      </w:r>
    </w:p>
    <w:p w:rsidR="00584072" w:rsidRPr="006D6E12" w:rsidRDefault="00115D92" w:rsidP="00876111">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584072" w:rsidRPr="00EA5C1A">
        <w:t xml:space="preserve"> is an </w:t>
      </w:r>
      <w:r w:rsidR="00584072" w:rsidRPr="006D6E12">
        <w:t xml:space="preserve">estimate of the taxable income for that regulatory year that would be earned by a benchmark efficient entity as a result of the provision of </w:t>
      </w:r>
      <w:r w:rsidR="00EB23AD">
        <w:t>regulated</w:t>
      </w:r>
      <w:r w:rsidR="00584072" w:rsidRPr="006D6E12">
        <w:t xml:space="preserve"> services if such an entity, rather than the </w:t>
      </w:r>
      <w:r w:rsidR="00CE25AC">
        <w:t>service provider</w:t>
      </w:r>
      <w:r w:rsidR="00584072" w:rsidRPr="006D6E12">
        <w:t xml:space="preserve">, operated the business of the </w:t>
      </w:r>
      <w:r w:rsidR="00CE25AC">
        <w:t>service provider</w:t>
      </w:r>
      <w:r w:rsidR="00584072" w:rsidRPr="006D6E12">
        <w:t xml:space="preserve">, such estimate being determined in accordance </w:t>
      </w:r>
      <w:r w:rsidR="00EA4A3E">
        <w:t>with the post-tax revenue model</w:t>
      </w:r>
      <w:r w:rsidR="00CE25AC">
        <w:t>.</w:t>
      </w:r>
    </w:p>
    <w:p w:rsidR="00584072" w:rsidRPr="006D6E12" w:rsidRDefault="00115D92" w:rsidP="00876111">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584072" w:rsidRPr="006D6E12">
        <w:t> is the expected statutory income tax rate for that regulatory ye</w:t>
      </w:r>
      <w:r w:rsidR="00EA4A3E">
        <w:t>ar as determined by the AER</w:t>
      </w:r>
      <w:r w:rsidR="00292D0B">
        <w:t>.</w:t>
      </w:r>
    </w:p>
    <w:p w:rsidR="00584072" w:rsidRDefault="008A4242" w:rsidP="00876111">
      <w:pPr>
        <w:pStyle w:val="AERbulletlistfirststyle"/>
      </w:pPr>
      <m:oMath>
        <m:r>
          <w:rPr>
            <w:rFonts w:ascii="Cambria Math" w:hAnsi="Cambria Math"/>
          </w:rPr>
          <m:t>γ</m:t>
        </m:r>
      </m:oMath>
      <w:r w:rsidR="00584072" w:rsidRPr="006D6E12">
        <w:t> is the value of imputation credits.</w:t>
      </w:r>
    </w:p>
    <w:p w:rsidR="00FA0554" w:rsidRDefault="00FA0554" w:rsidP="00FA0554">
      <w:pPr>
        <w:pStyle w:val="AERbodytext"/>
      </w:pPr>
      <w:r w:rsidRPr="00FA0554">
        <w:t xml:space="preserve">Unlike many other aspects of the rules, there is no specific objective </w:t>
      </w:r>
      <w:r w:rsidR="00B12F78">
        <w:t>we</w:t>
      </w:r>
      <w:r w:rsidRPr="00FA0554">
        <w:t xml:space="preserve"> must achieve </w:t>
      </w:r>
      <w:r w:rsidR="00BE50F8">
        <w:t xml:space="preserve">for </w:t>
      </w:r>
      <w:r w:rsidR="00876111">
        <w:t>the value of imputation credits</w:t>
      </w:r>
      <w:r w:rsidR="00BE50F8">
        <w:t xml:space="preserve"> </w:t>
      </w:r>
      <w:r w:rsidR="001068F9">
        <w:t>and no specific factors we</w:t>
      </w:r>
      <w:r w:rsidRPr="00FA0554">
        <w:t xml:space="preserve"> must take into account in estimating </w:t>
      </w:r>
      <w:r w:rsidR="00876111">
        <w:t xml:space="preserve">it. </w:t>
      </w:r>
      <w:r w:rsidR="007E4E36">
        <w:t>In this context, we note t</w:t>
      </w:r>
      <w:r w:rsidRPr="00FA0554">
        <w:t>he rate of return objective does not specifi</w:t>
      </w:r>
      <w:r w:rsidR="007E4E36">
        <w:t>cally apply to the value of imputation credits</w:t>
      </w:r>
      <w:r w:rsidRPr="00FA0554">
        <w:t xml:space="preserve">. However, the rate of return must be determined on a nominal vanilla basis consistent with </w:t>
      </w:r>
      <w:r w:rsidR="00B12F78">
        <w:t>our</w:t>
      </w:r>
      <w:r w:rsidRPr="00FA0554">
        <w:t xml:space="preserve"> value of imputation credits.</w:t>
      </w:r>
      <w:r w:rsidR="009D3AE3">
        <w:rPr>
          <w:rStyle w:val="FootnoteReference"/>
        </w:rPr>
        <w:footnoteReference w:id="11"/>
      </w:r>
    </w:p>
    <w:p w:rsidR="00384D45" w:rsidRDefault="00F023A0" w:rsidP="00FA0554">
      <w:pPr>
        <w:pStyle w:val="AERbodytext"/>
      </w:pPr>
      <w:r>
        <w:t xml:space="preserve">We must </w:t>
      </w:r>
      <w:r w:rsidR="00A9121A">
        <w:t>make our decision</w:t>
      </w:r>
      <w:r>
        <w:t xml:space="preserve"> in a manner that will or is likely to contribute to the achievement of the </w:t>
      </w:r>
      <w:r w:rsidR="00CF6508">
        <w:t xml:space="preserve">national electricity/gas </w:t>
      </w:r>
      <w:r w:rsidR="00A9121A">
        <w:t>objective</w:t>
      </w:r>
      <w:r>
        <w:t>.</w:t>
      </w:r>
      <w:r>
        <w:rPr>
          <w:rStyle w:val="FootnoteReference"/>
        </w:rPr>
        <w:footnoteReference w:id="12"/>
      </w:r>
      <w:r>
        <w:t xml:space="preserve"> Further, when exercising a discretion in making the relevant parts of a </w:t>
      </w:r>
      <w:r w:rsidR="00A9121A">
        <w:t>decision</w:t>
      </w:r>
      <w:r>
        <w:t>, we must take into account the revenue and pricing principles.</w:t>
      </w:r>
      <w:r>
        <w:rPr>
          <w:rStyle w:val="FootnoteReference"/>
        </w:rPr>
        <w:footnoteReference w:id="13"/>
      </w:r>
      <w:r>
        <w:t xml:space="preserve"> </w:t>
      </w:r>
      <w:r w:rsidR="00A46603">
        <w:t>The revenue and pricing principles provide, amongst other things, that a service provider should be provided with a reasonable opportunity to recover at least the efficient costs the operator incurs providing regulated services and complying with regulatory obligations</w:t>
      </w:r>
      <w:r w:rsidR="00B12F78">
        <w:t>. The revenue and pricing principles a</w:t>
      </w:r>
      <w:r w:rsidR="005F4D8F">
        <w:t>lso</w:t>
      </w:r>
      <w:r w:rsidR="00B12F78">
        <w:t xml:space="preserve"> provide that</w:t>
      </w:r>
      <w:r w:rsidR="00A46603">
        <w:t xml:space="preserve"> a price, charge or tariff for the provision of a regulated service should allow for a return commensurate with the regulatory and commercial risks involved in providing the regulated service.</w:t>
      </w:r>
      <w:r w:rsidR="00A46603">
        <w:rPr>
          <w:rStyle w:val="FootnoteReference"/>
        </w:rPr>
        <w:footnoteReference w:id="14"/>
      </w:r>
      <w:r w:rsidR="00A46603">
        <w:t xml:space="preserve"> </w:t>
      </w:r>
      <w:r w:rsidR="00384D45">
        <w:t>Therefore, t</w:t>
      </w:r>
      <w:r w:rsidR="00ED6BDA">
        <w:t xml:space="preserve">he value of imputation credits we adopt must </w:t>
      </w:r>
      <w:r w:rsidR="00384D45">
        <w:t xml:space="preserve">ultimately </w:t>
      </w:r>
      <w:r w:rsidR="00ED6BDA">
        <w:t xml:space="preserve">promote the achievement of the </w:t>
      </w:r>
      <w:r w:rsidR="00CF6508">
        <w:t xml:space="preserve">national electricity/gas </w:t>
      </w:r>
      <w:r w:rsidR="00ED6BDA">
        <w:t xml:space="preserve">objective </w:t>
      </w:r>
      <w:r w:rsidR="00384D45">
        <w:t xml:space="preserve">(via its application in the estimated cost of corporate income tax building block) </w:t>
      </w:r>
      <w:r w:rsidR="00822733">
        <w:t xml:space="preserve">and </w:t>
      </w:r>
      <w:r w:rsidR="00CF6508">
        <w:t xml:space="preserve">must take into account </w:t>
      </w:r>
      <w:r w:rsidR="00ED6BDA">
        <w:t xml:space="preserve">the revenue and pricing principles in the </w:t>
      </w:r>
      <w:r w:rsidR="00A9121A">
        <w:t>law</w:t>
      </w:r>
      <w:r w:rsidR="00ED6BDA">
        <w:t xml:space="preserve">. </w:t>
      </w:r>
    </w:p>
    <w:p w:rsidR="001246D2" w:rsidRDefault="00E17B4A" w:rsidP="00FA0554">
      <w:pPr>
        <w:pStyle w:val="AERbodytext"/>
      </w:pPr>
      <w:r>
        <w:t>W</w:t>
      </w:r>
      <w:r w:rsidR="001246D2">
        <w:t xml:space="preserve">ith reference to the language of </w:t>
      </w:r>
      <w:r w:rsidR="003B71BD">
        <w:t xml:space="preserve">these </w:t>
      </w:r>
      <w:r w:rsidR="001246D2">
        <w:t xml:space="preserve">principles, this requires the exercise of our discretion in determining a </w:t>
      </w:r>
      <w:r w:rsidR="009434DF">
        <w:t xml:space="preserve">tax building block (including the exercise of our discretion in determining the adjustment for the </w:t>
      </w:r>
      <w:r w:rsidR="001246D2">
        <w:t>value of imputation credits</w:t>
      </w:r>
      <w:r w:rsidR="009434DF">
        <w:t>)</w:t>
      </w:r>
      <w:r w:rsidR="001246D2">
        <w:t xml:space="preserve"> that is:</w:t>
      </w:r>
    </w:p>
    <w:p w:rsidR="001246D2" w:rsidRDefault="001246D2" w:rsidP="00F4457B">
      <w:pPr>
        <w:pStyle w:val="AERbulletlistfirststyle"/>
      </w:pPr>
      <w:r>
        <w:t xml:space="preserve">not too </w:t>
      </w:r>
      <w:r w:rsidR="0075483B">
        <w:t>low</w:t>
      </w:r>
      <w:r>
        <w:t xml:space="preserve">, in that </w:t>
      </w:r>
      <w:r w:rsidR="003B71BD">
        <w:t xml:space="preserve">it </w:t>
      </w:r>
      <w:r>
        <w:t>contribute</w:t>
      </w:r>
      <w:r w:rsidR="0075483B">
        <w:t>s</w:t>
      </w:r>
      <w:r>
        <w:t xml:space="preserve"> to providing</w:t>
      </w:r>
      <w:r w:rsidR="00C1783E">
        <w:t xml:space="preserve"> </w:t>
      </w:r>
      <w:r>
        <w:t>a reasonable oppor</w:t>
      </w:r>
      <w:r w:rsidRPr="001246D2">
        <w:t xml:space="preserve">tunity </w:t>
      </w:r>
      <w:r>
        <w:t xml:space="preserve">to recover at least efficient </w:t>
      </w:r>
      <w:r w:rsidR="00AB6D0C">
        <w:t xml:space="preserve">corporate tax </w:t>
      </w:r>
      <w:r>
        <w:t>costs, and</w:t>
      </w:r>
    </w:p>
    <w:p w:rsidR="00ED6BDA" w:rsidRPr="00FA0554" w:rsidRDefault="001246D2" w:rsidP="00F4457B">
      <w:pPr>
        <w:pStyle w:val="AERbulletlistfirststyle"/>
      </w:pPr>
      <w:r>
        <w:t xml:space="preserve">not too </w:t>
      </w:r>
      <w:r w:rsidR="0075483B">
        <w:t>high</w:t>
      </w:r>
      <w:r>
        <w:t>, in that it contribute</w:t>
      </w:r>
      <w:r w:rsidR="0075483B">
        <w:t>s</w:t>
      </w:r>
      <w:r>
        <w:t xml:space="preserve"> to a return </w:t>
      </w:r>
      <w:r w:rsidR="00C1783E">
        <w:t xml:space="preserve">that </w:t>
      </w:r>
      <w:r>
        <w:t xml:space="preserve">is </w:t>
      </w:r>
      <w:r w:rsidR="009434DF">
        <w:t xml:space="preserve">not </w:t>
      </w:r>
      <w:r w:rsidR="00CF6508">
        <w:t xml:space="preserve">excessive and </w:t>
      </w:r>
      <w:r w:rsidR="009434DF">
        <w:t xml:space="preserve">is </w:t>
      </w:r>
      <w:r>
        <w:t xml:space="preserve">commensurate with the </w:t>
      </w:r>
      <w:r w:rsidR="00C1783E">
        <w:t>relevant</w:t>
      </w:r>
      <w:r>
        <w:t xml:space="preserve"> risks</w:t>
      </w:r>
      <w:r w:rsidR="00C1783E">
        <w:t>.</w:t>
      </w:r>
    </w:p>
    <w:p w:rsidR="00C1783E" w:rsidRDefault="00C1783E" w:rsidP="006A579D">
      <w:pPr>
        <w:pStyle w:val="AERbodytext"/>
      </w:pPr>
      <w:r>
        <w:t>We consider that finding the right balance is best served by having regard to the merit</w:t>
      </w:r>
      <w:r w:rsidR="00D45352">
        <w:t>s</w:t>
      </w:r>
      <w:r>
        <w:t xml:space="preserve"> of a wide range of relevant evidence.</w:t>
      </w:r>
      <w:r w:rsidR="007B288A">
        <w:t xml:space="preserve"> We explain our consideration of, and reliance upon, the rang</w:t>
      </w:r>
      <w:r w:rsidR="00CB0A52">
        <w:t>e of relevant evidence in this a</w:t>
      </w:r>
      <w:r w:rsidR="007B288A">
        <w:t>ttachment. We have determined a value of imputation credits that achieves a balance between the opportunity for service providers to recover at least efficient costs but that is commensurate with relevant risks.</w:t>
      </w:r>
      <w:r w:rsidR="00150493">
        <w:t xml:space="preserve"> </w:t>
      </w:r>
    </w:p>
    <w:p w:rsidR="00C1783E" w:rsidRDefault="00C1783E" w:rsidP="00E1586B">
      <w:pPr>
        <w:pStyle w:val="AERbodytext"/>
      </w:pPr>
      <w:r>
        <w:t>We also consider that determining a val</w:t>
      </w:r>
      <w:r w:rsidR="003B71BD">
        <w:t>ue of imputation credits in a manner</w:t>
      </w:r>
      <w:r>
        <w:t xml:space="preserve"> consistent with the building block </w:t>
      </w:r>
      <w:r w:rsidR="003B71BD">
        <w:t xml:space="preserve">revenue </w:t>
      </w:r>
      <w:r>
        <w:t xml:space="preserve">framework embedded in the rules will contribute to the achievement of the </w:t>
      </w:r>
      <w:r w:rsidR="00AB6D0C">
        <w:t xml:space="preserve">national electricity/gas </w:t>
      </w:r>
      <w:r>
        <w:t xml:space="preserve">objective and the revenue and pricing principles. This is because the value of imputation credits is a </w:t>
      </w:r>
      <w:r w:rsidR="0075483B">
        <w:t>c</w:t>
      </w:r>
      <w:r w:rsidR="003B094F">
        <w:t>omponent</w:t>
      </w:r>
      <w:r>
        <w:t xml:space="preserve"> of this framework, </w:t>
      </w:r>
      <w:r w:rsidR="003B094F">
        <w:t>and this framework as a whole is designed to achieve the objective and the revenue and pricing principles.</w:t>
      </w:r>
    </w:p>
    <w:p w:rsidR="004F5C28" w:rsidRDefault="00A442E5" w:rsidP="004F5C28">
      <w:pPr>
        <w:pStyle w:val="Heading3"/>
      </w:pPr>
      <w:bookmarkStart w:id="38" w:name="_Ref401234016"/>
      <w:bookmarkStart w:id="39" w:name="_Toc404334862"/>
      <w:r>
        <w:t>Rate of return guideline</w:t>
      </w:r>
      <w:bookmarkEnd w:id="38"/>
      <w:bookmarkEnd w:id="39"/>
    </w:p>
    <w:p w:rsidR="00A442E5" w:rsidRDefault="00AB6D0C" w:rsidP="00A442E5">
      <w:pPr>
        <w:pStyle w:val="AERbodytext"/>
      </w:pPr>
      <w:r>
        <w:t>In</w:t>
      </w:r>
      <w:r w:rsidR="00A442E5">
        <w:t xml:space="preserve"> December 2013, we published the </w:t>
      </w:r>
      <w:r>
        <w:t>G</w:t>
      </w:r>
      <w:r w:rsidR="00A442E5">
        <w:t>uideline which is available on our website.</w:t>
      </w:r>
      <w:r w:rsidR="00A442E5">
        <w:rPr>
          <w:rStyle w:val="FootnoteReference"/>
        </w:rPr>
        <w:footnoteReference w:id="15"/>
      </w:r>
      <w:r w:rsidR="00A442E5">
        <w:t xml:space="preserve"> Within it we </w:t>
      </w:r>
      <w:r w:rsidR="00A442E5" w:rsidRPr="007968DE">
        <w:t>specif</w:t>
      </w:r>
      <w:r w:rsidR="00A442E5">
        <w:t>ied</w:t>
      </w:r>
      <w:r w:rsidR="00A442E5" w:rsidRPr="007968DE">
        <w:t>:</w:t>
      </w:r>
      <w:r w:rsidR="00A442E5" w:rsidRPr="000709A4">
        <w:rPr>
          <w:rStyle w:val="FootnoteReference"/>
        </w:rPr>
        <w:footnoteReference w:id="16"/>
      </w:r>
    </w:p>
    <w:p w:rsidR="00A442E5" w:rsidRPr="000709A4" w:rsidRDefault="00A442E5" w:rsidP="00A442E5">
      <w:pPr>
        <w:pStyle w:val="AERbulletlistfirststyle"/>
      </w:pPr>
      <w:r w:rsidRPr="000709A4">
        <w:t>The method</w:t>
      </w:r>
      <w:r>
        <w:t>ologies</w:t>
      </w:r>
      <w:r w:rsidRPr="000709A4">
        <w:t xml:space="preserve"> we propose to use to estimate the allowed rate of return (derived from the expected return on equity and the return on debt) for electricity and gas network </w:t>
      </w:r>
      <w:r w:rsidR="006E62FE">
        <w:t>service providers</w:t>
      </w:r>
      <w:r w:rsidRPr="000709A4">
        <w:t>.</w:t>
      </w:r>
    </w:p>
    <w:p w:rsidR="00A442E5" w:rsidRPr="000709A4" w:rsidRDefault="00A442E5" w:rsidP="00A442E5">
      <w:pPr>
        <w:pStyle w:val="AERbulletlistfirststyle"/>
      </w:pPr>
      <w:r w:rsidRPr="000709A4">
        <w:t>The method we propose to use to estimate the value of imputation credits.</w:t>
      </w:r>
    </w:p>
    <w:p w:rsidR="00A442E5" w:rsidRPr="000709A4" w:rsidRDefault="00A442E5" w:rsidP="00A442E5">
      <w:pPr>
        <w:pStyle w:val="AERbulletlistfirststyle"/>
      </w:pPr>
      <w:r w:rsidRPr="000709A4">
        <w:t xml:space="preserve">How these methods will result in an allowed return on </w:t>
      </w:r>
      <w:r w:rsidR="00AE3636">
        <w:t>equity and</w:t>
      </w:r>
      <w:r w:rsidRPr="000709A4">
        <w:t xml:space="preserve"> return on </w:t>
      </w:r>
      <w:r w:rsidR="00AE3636">
        <w:t xml:space="preserve">debt </w:t>
      </w:r>
      <w:r w:rsidRPr="000709A4">
        <w:t xml:space="preserve">which </w:t>
      </w:r>
      <w:r w:rsidR="00AE3636">
        <w:t>we are satisfied achieve</w:t>
      </w:r>
      <w:r>
        <w:t xml:space="preserve"> </w:t>
      </w:r>
      <w:r w:rsidRPr="000709A4">
        <w:t xml:space="preserve">the allowed </w:t>
      </w:r>
      <w:r>
        <w:t>rate of return objective</w:t>
      </w:r>
      <w:r w:rsidRPr="000709A4">
        <w:t>.</w:t>
      </w:r>
    </w:p>
    <w:p w:rsidR="00A442E5" w:rsidRDefault="00A442E5" w:rsidP="00A442E5">
      <w:pPr>
        <w:pStyle w:val="AERbodytext"/>
      </w:pPr>
      <w:r>
        <w:t>I</w:t>
      </w:r>
      <w:r w:rsidRPr="000709A4">
        <w:t xml:space="preserve">n the </w:t>
      </w:r>
      <w:r w:rsidR="0033289B">
        <w:t>Guideline</w:t>
      </w:r>
      <w:r>
        <w:t xml:space="preserv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17"/>
      </w:r>
      <w:r w:rsidR="003B226B">
        <w:t xml:space="preserve"> We discuss in detail in </w:t>
      </w:r>
      <w:r w:rsidR="00CB0A52">
        <w:t>attachment</w:t>
      </w:r>
      <w:r w:rsidR="000B1384">
        <w:t xml:space="preserve"> </w:t>
      </w:r>
      <w:r w:rsidR="009B433A">
        <w:t>3</w:t>
      </w:r>
      <w:r w:rsidR="003B226B">
        <w:t xml:space="preserve"> </w:t>
      </w:r>
      <w:r w:rsidR="00984E45">
        <w:t xml:space="preserve">on the rate of return </w:t>
      </w:r>
      <w:r w:rsidR="003B226B">
        <w:t xml:space="preserve">our development of the </w:t>
      </w:r>
      <w:r w:rsidR="0033289B">
        <w:t>Guideline</w:t>
      </w:r>
      <w:r w:rsidR="003B226B">
        <w:t xml:space="preserve">.  </w:t>
      </w:r>
    </w:p>
    <w:p w:rsidR="00A442E5" w:rsidRDefault="00A442E5" w:rsidP="00A442E5">
      <w:pPr>
        <w:pStyle w:val="AERbodytext"/>
      </w:pPr>
      <w:r>
        <w:t xml:space="preserve">The </w:t>
      </w:r>
      <w:r w:rsidR="0033289B">
        <w:t>Guideline</w:t>
      </w:r>
      <w:r>
        <w:t xml:space="preserve"> </w:t>
      </w:r>
      <w:r w:rsidRPr="00696EC1">
        <w:t xml:space="preserve">is not binding on us in determining the </w:t>
      </w:r>
      <w:r w:rsidR="00122221">
        <w:t>value of imputation credits</w:t>
      </w:r>
      <w:r>
        <w:t>.</w:t>
      </w:r>
      <w:r w:rsidRPr="00696EC1">
        <w:t xml:space="preserve"> However, should we decide to depart from the </w:t>
      </w:r>
      <w:r w:rsidR="0033289B">
        <w:t>Guideline</w:t>
      </w:r>
      <w:r w:rsidRPr="00696EC1">
        <w:t xml:space="preserve"> we </w:t>
      </w:r>
      <w:r>
        <w:t>must</w:t>
      </w:r>
      <w:r w:rsidRPr="00696EC1">
        <w:t xml:space="preserve"> provide reasons for doing so.</w:t>
      </w:r>
      <w:r>
        <w:rPr>
          <w:rStyle w:val="FootnoteReference"/>
        </w:rPr>
        <w:footnoteReference w:id="18"/>
      </w:r>
      <w:r w:rsidR="003B226B" w:rsidRPr="00696EC1">
        <w:t xml:space="preserve"> </w:t>
      </w:r>
      <w:r w:rsidRPr="00696EC1">
        <w:t xml:space="preserve">Equally, it is open to </w:t>
      </w:r>
      <w:r w:rsidR="006E62FE">
        <w:t>service providers</w:t>
      </w:r>
      <w:r w:rsidRPr="00696EC1">
        <w:t xml:space="preserve"> to </w:t>
      </w:r>
      <w:r>
        <w:t>propose departures f</w:t>
      </w:r>
      <w:r w:rsidRPr="00696EC1">
        <w:t xml:space="preserve">rom the </w:t>
      </w:r>
      <w:r w:rsidR="0033289B">
        <w:t>Guideline</w:t>
      </w:r>
      <w:r>
        <w:t>,</w:t>
      </w:r>
      <w:r w:rsidRPr="00696EC1">
        <w:t xml:space="preserve"> </w:t>
      </w:r>
      <w:r>
        <w:t>so long as</w:t>
      </w:r>
      <w:r w:rsidRPr="00696EC1">
        <w:t xml:space="preserve"> they provide reasons.</w:t>
      </w:r>
      <w:r>
        <w:rPr>
          <w:rStyle w:val="FootnoteReference"/>
        </w:rPr>
        <w:footnoteReference w:id="19"/>
      </w:r>
      <w:r w:rsidR="003B226B">
        <w:t xml:space="preserve"> We have identified in section </w:t>
      </w:r>
      <w:r w:rsidR="003B226B">
        <w:fldChar w:fldCharType="begin"/>
      </w:r>
      <w:r w:rsidR="003B226B">
        <w:instrText xml:space="preserve"> REF _Ref401169027 \r \h </w:instrText>
      </w:r>
      <w:r w:rsidR="003B226B">
        <w:fldChar w:fldCharType="separate"/>
      </w:r>
      <w:r w:rsidR="00927273">
        <w:t>4.2</w:t>
      </w:r>
      <w:r w:rsidR="003B226B">
        <w:fldChar w:fldCharType="end"/>
      </w:r>
      <w:r w:rsidR="003B226B">
        <w:t xml:space="preserve"> where the proposals we have received on the value of imputation credits have departed from the </w:t>
      </w:r>
      <w:r w:rsidR="0033289B">
        <w:t>Guideline</w:t>
      </w:r>
      <w:r w:rsidR="003B226B">
        <w:t xml:space="preserve">. We identify in section </w:t>
      </w:r>
      <w:r w:rsidR="003B226B">
        <w:fldChar w:fldCharType="begin"/>
      </w:r>
      <w:r w:rsidR="003B226B">
        <w:instrText xml:space="preserve"> REF _Ref401136494 \r \h </w:instrText>
      </w:r>
      <w:r w:rsidR="003B226B">
        <w:fldChar w:fldCharType="separate"/>
      </w:r>
      <w:r w:rsidR="00927273">
        <w:t>4.4</w:t>
      </w:r>
      <w:r w:rsidR="003B226B">
        <w:fldChar w:fldCharType="end"/>
      </w:r>
      <w:r w:rsidR="003B226B">
        <w:t xml:space="preserve"> </w:t>
      </w:r>
      <w:r w:rsidR="00984E45">
        <w:t xml:space="preserve">the </w:t>
      </w:r>
      <w:r w:rsidR="003B226B">
        <w:t xml:space="preserve">departures we have made in this draft decision from the </w:t>
      </w:r>
      <w:r w:rsidR="0033289B">
        <w:t>Guideline</w:t>
      </w:r>
      <w:r w:rsidR="003B226B">
        <w:t xml:space="preserve"> position on the value of imputation credits.</w:t>
      </w:r>
    </w:p>
    <w:p w:rsidR="00856009" w:rsidRDefault="00856009" w:rsidP="004F5C28">
      <w:pPr>
        <w:pStyle w:val="Heading3"/>
      </w:pPr>
      <w:bookmarkStart w:id="40" w:name="_Ref404065332"/>
      <w:bookmarkStart w:id="41" w:name="_Toc404334863"/>
      <w:r>
        <w:t>Definition of benchmark efficient</w:t>
      </w:r>
      <w:r w:rsidR="00E47743">
        <w:t xml:space="preserve"> entity</w:t>
      </w:r>
      <w:bookmarkEnd w:id="40"/>
      <w:bookmarkEnd w:id="41"/>
    </w:p>
    <w:p w:rsidR="00637A60" w:rsidRPr="003E6517" w:rsidRDefault="00302B4E" w:rsidP="008E0B16">
      <w:pPr>
        <w:pStyle w:val="AERbodytext"/>
      </w:pPr>
      <w:r>
        <w:t xml:space="preserve">As shown in section </w:t>
      </w:r>
      <w:r>
        <w:fldChar w:fldCharType="begin"/>
      </w:r>
      <w:r>
        <w:instrText xml:space="preserve"> REF _Ref400272912 \r \h </w:instrText>
      </w:r>
      <w:r>
        <w:fldChar w:fldCharType="separate"/>
      </w:r>
      <w:r w:rsidR="00927273">
        <w:t>4.3.1</w:t>
      </w:r>
      <w:r>
        <w:fldChar w:fldCharType="end"/>
      </w:r>
      <w:r>
        <w:t xml:space="preserve">, the rules refer to a 'benchmark efficient entity'. </w:t>
      </w:r>
      <w:r w:rsidR="002025E9">
        <w:t>For the benchmark efficient entity, we have adopted</w:t>
      </w:r>
      <w:r w:rsidR="00637A60">
        <w:t>:</w:t>
      </w:r>
    </w:p>
    <w:p w:rsidR="00637A60" w:rsidRPr="003E6517" w:rsidRDefault="00302B4E" w:rsidP="00637A60">
      <w:pPr>
        <w:pStyle w:val="AERbulletlistfirststyle"/>
      </w:pPr>
      <w:r>
        <w:t>a s</w:t>
      </w:r>
      <w:r w:rsidR="00637A60" w:rsidRPr="003E6517">
        <w:t>ingle benchmark across gas, electricity, transmission and distribution</w:t>
      </w:r>
      <w:r>
        <w:t>, and</w:t>
      </w:r>
    </w:p>
    <w:p w:rsidR="00637A60" w:rsidRPr="003E6517" w:rsidRDefault="00302B4E" w:rsidP="00637A60">
      <w:pPr>
        <w:pStyle w:val="AERbulletlistfirststyle"/>
      </w:pPr>
      <w:r>
        <w:t xml:space="preserve">a </w:t>
      </w:r>
      <w:r w:rsidR="00637A60" w:rsidRPr="003E6517">
        <w:t xml:space="preserve">conceptual definition of the benchmark efficient entity </w:t>
      </w:r>
      <w:r w:rsidR="00EB7958">
        <w:t>as</w:t>
      </w:r>
      <w:r w:rsidR="00637A60" w:rsidRPr="003E6517">
        <w:t xml:space="preserve"> 'a pure play, regulated</w:t>
      </w:r>
      <w:r w:rsidR="00637A60">
        <w:t xml:space="preserve"> </w:t>
      </w:r>
      <w:r w:rsidR="00637A60" w:rsidRPr="003E6517">
        <w:t>energy network business operating within Australia'</w:t>
      </w:r>
      <w:r w:rsidR="00637A60">
        <w:t>.</w:t>
      </w:r>
      <w:r w:rsidR="00514E7B">
        <w:rPr>
          <w:rStyle w:val="FootnoteReference"/>
        </w:rPr>
        <w:footnoteReference w:id="20"/>
      </w:r>
    </w:p>
    <w:p w:rsidR="00637A60" w:rsidRPr="0046739D" w:rsidRDefault="00637A60" w:rsidP="004B0617">
      <w:pPr>
        <w:pStyle w:val="AERbodytext"/>
      </w:pPr>
      <w:r>
        <w:t xml:space="preserve">Our benchmark efficient entity includes the following </w:t>
      </w:r>
      <w:r w:rsidR="003902FC">
        <w:t>sub-</w:t>
      </w:r>
      <w:r w:rsidR="00302B4E">
        <w:t>components as defined below.</w:t>
      </w:r>
      <w:r>
        <w:t xml:space="preserve"> </w:t>
      </w:r>
    </w:p>
    <w:p w:rsidR="00C43B0B" w:rsidRPr="008E0B16" w:rsidRDefault="00C43B0B" w:rsidP="004B0617">
      <w:pPr>
        <w:pStyle w:val="HeadingBoldBlue"/>
        <w:rPr>
          <w:rStyle w:val="AERtextbold"/>
        </w:rPr>
      </w:pPr>
      <w:r>
        <w:t>Pure play</w:t>
      </w:r>
    </w:p>
    <w:p w:rsidR="00637A60" w:rsidRPr="00440CEC" w:rsidRDefault="00637A60" w:rsidP="00637A60">
      <w:pPr>
        <w:pStyle w:val="AERbodytext"/>
      </w:pPr>
      <w:r w:rsidRPr="00440CEC">
        <w:t>A pure play business is one which offers services focused in one industry or product area. In this context, it means that the benchmark efficient entity provides only regulated energy network services.</w:t>
      </w:r>
    </w:p>
    <w:p w:rsidR="00C43B0B" w:rsidRDefault="00C43B0B" w:rsidP="00C43B0B">
      <w:pPr>
        <w:pStyle w:val="HeadingBoldBlue"/>
      </w:pPr>
      <w:r>
        <w:t>Regulated</w:t>
      </w:r>
    </w:p>
    <w:p w:rsidR="00637A60" w:rsidRPr="00637A60" w:rsidRDefault="00637A60" w:rsidP="00637A60">
      <w:pPr>
        <w:pStyle w:val="AERbodytext"/>
      </w:pPr>
      <w:r w:rsidRPr="00440CEC">
        <w:t>A regulated entity for the purposes of our benchmark is one which is subject to economic regulation (that is, revenue price cap regulation) under the National Electricity Rules and/or the National Gas Rules</w:t>
      </w:r>
      <w:r w:rsidR="00984E45">
        <w:t xml:space="preserve"> (the rules)</w:t>
      </w:r>
      <w:r w:rsidRPr="00440CEC">
        <w:t>.</w:t>
      </w:r>
    </w:p>
    <w:p w:rsidR="00C43B0B" w:rsidRDefault="00C43B0B" w:rsidP="00C43B0B">
      <w:pPr>
        <w:pStyle w:val="HeadingBoldBlue"/>
      </w:pPr>
      <w:r>
        <w:t>Energy network business</w:t>
      </w:r>
    </w:p>
    <w:p w:rsidR="00637A60" w:rsidRPr="00637A60" w:rsidRDefault="00637A60" w:rsidP="00637A60">
      <w:pPr>
        <w:pStyle w:val="AERbodytext"/>
      </w:pPr>
      <w:r w:rsidRPr="00440CEC">
        <w:t>Energy network refers to a gas distribution, gas transmission, electricity distribution or electricity transmission business.</w:t>
      </w:r>
    </w:p>
    <w:p w:rsidR="00C43B0B" w:rsidRDefault="00C43B0B" w:rsidP="00C43B0B">
      <w:pPr>
        <w:pStyle w:val="HeadingBoldBlue"/>
      </w:pPr>
      <w:r>
        <w:t>Operating within Australia</w:t>
      </w:r>
    </w:p>
    <w:p w:rsidR="00637A60" w:rsidRDefault="00637A60" w:rsidP="008E0B16">
      <w:pPr>
        <w:pStyle w:val="AERbodytext"/>
      </w:pPr>
      <w:r>
        <w:t>T</w:t>
      </w:r>
      <w:r w:rsidRPr="00637A60">
        <w:t>he benchmark efficient entity should be operating within Australia as the location of a business determines the conditions unde</w:t>
      </w:r>
      <w:r w:rsidR="001D446A">
        <w:t xml:space="preserve">r which the business operates. </w:t>
      </w:r>
      <w:r w:rsidR="00EB2FFB" w:rsidRPr="00EB2FFB">
        <w:t>This includes the regulat</w:t>
      </w:r>
      <w:r w:rsidR="00EB2FFB">
        <w:t xml:space="preserve">ory regime, </w:t>
      </w:r>
      <w:r w:rsidR="00EB2FFB" w:rsidRPr="00EB2FFB">
        <w:t>tax laws, industry structure and broader economic environment.</w:t>
      </w:r>
      <w:r w:rsidR="00EB2FFB">
        <w:t xml:space="preserve"> </w:t>
      </w:r>
      <w:r w:rsidR="009D3FD9">
        <w:t xml:space="preserve">An additional consideration that is particularly relevant to the value of imputation credits is that we recognise that both domestic and foreign investors participate in the </w:t>
      </w:r>
      <w:r w:rsidR="00422130">
        <w:t xml:space="preserve">Australian </w:t>
      </w:r>
      <w:r w:rsidR="009D3FD9">
        <w:t>market.</w:t>
      </w:r>
      <w:r w:rsidR="00836E9F">
        <w:t xml:space="preserve"> That is, we consider that the </w:t>
      </w:r>
      <w:r w:rsidR="00422130">
        <w:t xml:space="preserve">defined </w:t>
      </w:r>
      <w:r w:rsidR="00836E9F">
        <w:t>market is an Australian domestic market that recognises the presence of foreign investors to the extent that they invest in the Australian market.</w:t>
      </w:r>
      <w:r w:rsidR="009D3FD9">
        <w:t xml:space="preserve"> This is important for determining a value of imputation credits because typically domestic investors are eligible to utilise imputation credits </w:t>
      </w:r>
      <w:r w:rsidR="009A4B3A">
        <w:t>while</w:t>
      </w:r>
      <w:r w:rsidR="009D3FD9">
        <w:t xml:space="preserve"> foreign investors </w:t>
      </w:r>
      <w:r w:rsidR="009A4B3A">
        <w:t>are not.</w:t>
      </w:r>
      <w:r w:rsidR="009D3FD9">
        <w:t xml:space="preserve"> </w:t>
      </w:r>
    </w:p>
    <w:p w:rsidR="0003796F" w:rsidRDefault="0003796F" w:rsidP="00EA24D2">
      <w:pPr>
        <w:pStyle w:val="Heading3"/>
      </w:pPr>
      <w:bookmarkStart w:id="42" w:name="_Toc404334864"/>
      <w:bookmarkStart w:id="43" w:name="_Toc396839199"/>
      <w:r>
        <w:t xml:space="preserve">Expert </w:t>
      </w:r>
      <w:r w:rsidRPr="00EA24D2">
        <w:t>reports</w:t>
      </w:r>
      <w:bookmarkEnd w:id="42"/>
    </w:p>
    <w:p w:rsidR="00A97368" w:rsidRPr="00867688" w:rsidRDefault="00A97368" w:rsidP="004B0617">
      <w:pPr>
        <w:pStyle w:val="AERbodytext"/>
      </w:pPr>
      <w:r>
        <w:t xml:space="preserve">During the development of the </w:t>
      </w:r>
      <w:r w:rsidR="0033289B">
        <w:t>Guideline</w:t>
      </w:r>
      <w:r>
        <w:t>, we commissioned expert advice on the value of imputation credits from Associate Professor Martin Lally of th</w:t>
      </w:r>
      <w:r w:rsidRPr="004B0617">
        <w:t xml:space="preserve">e </w:t>
      </w:r>
      <w:r w:rsidRPr="004B0617">
        <w:rPr>
          <w:rStyle w:val="AERtexthighlight"/>
          <w:shd w:val="clear" w:color="auto" w:fill="auto"/>
        </w:rPr>
        <w:t>Victoria University of Wellington.</w:t>
      </w:r>
      <w:r w:rsidRPr="004B0617">
        <w:rPr>
          <w:rStyle w:val="FootnoteReference"/>
        </w:rPr>
        <w:footnoteReference w:id="21"/>
      </w:r>
    </w:p>
    <w:p w:rsidR="0003796F" w:rsidRDefault="00A97368" w:rsidP="0003796F">
      <w:pPr>
        <w:pStyle w:val="AERbodytext"/>
      </w:pPr>
      <w:r>
        <w:t>To assist us i</w:t>
      </w:r>
      <w:r w:rsidRPr="00867688">
        <w:t xml:space="preserve">n making this draft decision on the </w:t>
      </w:r>
      <w:r>
        <w:t>value of imputation credits</w:t>
      </w:r>
      <w:r w:rsidRPr="00867688">
        <w:t xml:space="preserve"> proposed by the service providers</w:t>
      </w:r>
      <w:r>
        <w:t>, w</w:t>
      </w:r>
      <w:r w:rsidR="0003796F">
        <w:t xml:space="preserve">e </w:t>
      </w:r>
      <w:r w:rsidR="0003796F" w:rsidRPr="00867688">
        <w:t xml:space="preserve">commissioned </w:t>
      </w:r>
      <w:r w:rsidR="00984E45">
        <w:t xml:space="preserve">further </w:t>
      </w:r>
      <w:r w:rsidR="0003796F" w:rsidRPr="00867688">
        <w:t xml:space="preserve">expert advice from </w:t>
      </w:r>
      <w:r w:rsidR="0003796F">
        <w:t xml:space="preserve">Associate Professor John Handley </w:t>
      </w:r>
      <w:r w:rsidR="00142828">
        <w:t>of</w:t>
      </w:r>
      <w:r w:rsidR="0003796F">
        <w:t xml:space="preserve"> the University of Melbourne.</w:t>
      </w:r>
      <w:r w:rsidR="004D735C">
        <w:rPr>
          <w:rStyle w:val="FootnoteReference"/>
        </w:rPr>
        <w:footnoteReference w:id="22"/>
      </w:r>
      <w:r>
        <w:t xml:space="preserve"> We have also had regard to, among other things:</w:t>
      </w:r>
    </w:p>
    <w:p w:rsidR="00A97368" w:rsidRDefault="00A97368" w:rsidP="004B0617">
      <w:pPr>
        <w:pStyle w:val="AERbulletlistfirststyle"/>
      </w:pPr>
      <w:r>
        <w:t xml:space="preserve">The </w:t>
      </w:r>
      <w:r w:rsidR="006D5263">
        <w:t xml:space="preserve">May 2014 </w:t>
      </w:r>
      <w:r>
        <w:t>report from SFG that was jointly commissioned by the service providers</w:t>
      </w:r>
      <w:r w:rsidR="0099605E">
        <w:t xml:space="preserve"> and submitted to us with their proposals</w:t>
      </w:r>
      <w:r>
        <w:t>.</w:t>
      </w:r>
      <w:r>
        <w:rPr>
          <w:rStyle w:val="FootnoteReference"/>
        </w:rPr>
        <w:footnoteReference w:id="23"/>
      </w:r>
    </w:p>
    <w:p w:rsidR="001E2F25" w:rsidRDefault="001E2F25" w:rsidP="001E2F25">
      <w:pPr>
        <w:pStyle w:val="AERbulletlistfirststyle"/>
      </w:pPr>
      <w:r>
        <w:t xml:space="preserve">A March 2014 </w:t>
      </w:r>
      <w:r w:rsidR="00715AAE">
        <w:t>report</w:t>
      </w:r>
      <w:r>
        <w:t xml:space="preserve"> by Associate Professor Lally</w:t>
      </w:r>
      <w:r w:rsidRPr="00E50874">
        <w:t xml:space="preserve"> </w:t>
      </w:r>
      <w:r>
        <w:t>that was commissioned by the Queensland Competition Authority.</w:t>
      </w:r>
      <w:r>
        <w:rPr>
          <w:rStyle w:val="FootnoteReference"/>
        </w:rPr>
        <w:footnoteReference w:id="24"/>
      </w:r>
    </w:p>
    <w:p w:rsidR="0099605E" w:rsidRDefault="0099605E" w:rsidP="004B0617">
      <w:pPr>
        <w:pStyle w:val="AERbulletlistfirststyle"/>
      </w:pPr>
      <w:r>
        <w:t>A</w:t>
      </w:r>
      <w:r w:rsidR="006D5263">
        <w:t>n October 2013</w:t>
      </w:r>
      <w:r>
        <w:t xml:space="preserve"> review of </w:t>
      </w:r>
      <w:r w:rsidR="00984E45">
        <w:t>a network rail access undertaking</w:t>
      </w:r>
      <w:r>
        <w:t xml:space="preserve"> by Professor Michael McKenzie </w:t>
      </w:r>
      <w:r w:rsidR="006D5263">
        <w:t xml:space="preserve">of the University of Liverpool </w:t>
      </w:r>
      <w:r>
        <w:t xml:space="preserve">and </w:t>
      </w:r>
      <w:r w:rsidR="006D5263">
        <w:t xml:space="preserve">Associate Professor </w:t>
      </w:r>
      <w:r>
        <w:t>Graham Partington</w:t>
      </w:r>
      <w:r w:rsidR="006D5263">
        <w:t xml:space="preserve"> of the University of Sydney</w:t>
      </w:r>
      <w:r>
        <w:t>.</w:t>
      </w:r>
      <w:r w:rsidR="006D5263">
        <w:rPr>
          <w:rStyle w:val="FootnoteReference"/>
        </w:rPr>
        <w:footnoteReference w:id="25"/>
      </w:r>
      <w:r>
        <w:t xml:space="preserve"> This review was commissioned by the Queensland Resources Council and submitted to the Queensland Competition Authority.</w:t>
      </w:r>
    </w:p>
    <w:p w:rsidR="001E2F25" w:rsidRDefault="001E2F25" w:rsidP="004B0617">
      <w:pPr>
        <w:pStyle w:val="AERbulletlistfirststyle"/>
      </w:pPr>
      <w:r>
        <w:t>A September 2013 report on tax statistics by Dr. Neville Hathaway that was commissioned by the Energy Networks Association.</w:t>
      </w:r>
      <w:r w:rsidR="00715AAE">
        <w:rPr>
          <w:rStyle w:val="FootnoteReference"/>
        </w:rPr>
        <w:footnoteReference w:id="26"/>
      </w:r>
    </w:p>
    <w:p w:rsidR="004B0617" w:rsidRDefault="001E2F25" w:rsidP="004B0617">
      <w:pPr>
        <w:pStyle w:val="AERbulletlistfirststyle"/>
      </w:pPr>
      <w:r>
        <w:t>A June 2013 report on the distribution rate by NERA Economic Consulting (NERA) that was commissioned by the Energy Networks Association.</w:t>
      </w:r>
      <w:r w:rsidR="00715AAE">
        <w:rPr>
          <w:rStyle w:val="FootnoteReference"/>
        </w:rPr>
        <w:footnoteReference w:id="27"/>
      </w:r>
    </w:p>
    <w:p w:rsidR="00984E45" w:rsidRDefault="00BD14D8" w:rsidP="003C38F6">
      <w:pPr>
        <w:pStyle w:val="AERbodytext"/>
      </w:pPr>
      <w:r>
        <w:t>We took into account</w:t>
      </w:r>
      <w:r w:rsidR="00984E45">
        <w:t xml:space="preserve"> the reports from Lally, Hathaway and NERA</w:t>
      </w:r>
      <w:r>
        <w:t xml:space="preserve"> in the Guideline. </w:t>
      </w:r>
      <w:r w:rsidR="003C38F6">
        <w:t>We consider t</w:t>
      </w:r>
      <w:r>
        <w:t>he other reports for the first time in this decision.</w:t>
      </w:r>
    </w:p>
    <w:p w:rsidR="00FF13BD" w:rsidRPr="00784B2C" w:rsidRDefault="001B5FE0" w:rsidP="00881F44">
      <w:pPr>
        <w:pStyle w:val="Heading3"/>
      </w:pPr>
      <w:bookmarkStart w:id="44" w:name="_Toc404334865"/>
      <w:r w:rsidRPr="00784B2C">
        <w:t xml:space="preserve">Approach to </w:t>
      </w:r>
      <w:r w:rsidR="00972B67" w:rsidRPr="00784B2C">
        <w:t>determining</w:t>
      </w:r>
      <w:r w:rsidRPr="00784B2C">
        <w:t xml:space="preserve"> the value of imputation credits</w:t>
      </w:r>
      <w:bookmarkEnd w:id="44"/>
    </w:p>
    <w:p w:rsidR="00972B67" w:rsidRDefault="00972B67" w:rsidP="00FF13BD">
      <w:pPr>
        <w:pStyle w:val="AERbodytext"/>
      </w:pPr>
      <w:r>
        <w:t>There is no consensus among experts</w:t>
      </w:r>
      <w:r w:rsidR="00F6225D">
        <w:t xml:space="preserve"> or regulators</w:t>
      </w:r>
      <w:r>
        <w:t xml:space="preserve"> on the value of imputation credits or the techniques to use to estimate it.</w:t>
      </w:r>
      <w:r w:rsidR="001E634E">
        <w:rPr>
          <w:rStyle w:val="FootnoteReference"/>
        </w:rPr>
        <w:footnoteReference w:id="28"/>
      </w:r>
      <w:r>
        <w:t xml:space="preserve"> Our approach to determining the value of imputation credits is guided by:</w:t>
      </w:r>
    </w:p>
    <w:p w:rsidR="00972B67" w:rsidRDefault="00872E15" w:rsidP="00872E15">
      <w:pPr>
        <w:pStyle w:val="AERbulletlistfirststyle"/>
      </w:pPr>
      <w:r>
        <w:t>The requirements of the rules</w:t>
      </w:r>
      <w:r w:rsidR="00380642">
        <w:t>—</w:t>
      </w:r>
      <w:r w:rsidR="008D7D50">
        <w:t xml:space="preserve">see section </w:t>
      </w:r>
      <w:r w:rsidR="008D7D50">
        <w:fldChar w:fldCharType="begin"/>
      </w:r>
      <w:r w:rsidR="008D7D50">
        <w:instrText xml:space="preserve"> REF _Ref400272912 \r \h </w:instrText>
      </w:r>
      <w:r w:rsidR="008D7D50">
        <w:fldChar w:fldCharType="separate"/>
      </w:r>
      <w:r w:rsidR="00927273">
        <w:t>4.3.1</w:t>
      </w:r>
      <w:r w:rsidR="008D7D50">
        <w:fldChar w:fldCharType="end"/>
      </w:r>
      <w:r w:rsidR="00380642">
        <w:t>.</w:t>
      </w:r>
    </w:p>
    <w:p w:rsidR="00872E15" w:rsidRDefault="00872E15" w:rsidP="00872E15">
      <w:pPr>
        <w:pStyle w:val="AERbulletlistfirststyle"/>
      </w:pPr>
      <w:r>
        <w:t>The role of the value of the imputation credits in the revenue building block framework</w:t>
      </w:r>
      <w:r w:rsidR="00380642">
        <w:t>—this suggests that the value of imputation credits is intended to reflect the value of imputation credits to investors in the benchmark efficient entity.</w:t>
      </w:r>
      <w:r w:rsidR="00035BE9">
        <w:rPr>
          <w:rStyle w:val="FootnoteReference"/>
        </w:rPr>
        <w:footnoteReference w:id="29"/>
      </w:r>
    </w:p>
    <w:p w:rsidR="00423E59" w:rsidRDefault="004F5482" w:rsidP="00872E15">
      <w:pPr>
        <w:pStyle w:val="AERbulletlistfirststyle"/>
      </w:pPr>
      <w:r>
        <w:t>Relevant</w:t>
      </w:r>
      <w:r w:rsidR="00872E15">
        <w:t xml:space="preserve"> academic literature</w:t>
      </w:r>
      <w:r w:rsidR="00380642">
        <w:t>—</w:t>
      </w:r>
      <w:r w:rsidR="002A339B">
        <w:t xml:space="preserve">the framework developed in a 1994 paper by Officer is widely recognised as providing the basis for the value of imputation credits in the </w:t>
      </w:r>
      <w:r w:rsidR="00C23054">
        <w:t>building block framework</w:t>
      </w:r>
      <w:r w:rsidR="002A339B">
        <w:t>.</w:t>
      </w:r>
      <w:r w:rsidR="00035BE9">
        <w:rPr>
          <w:rStyle w:val="FootnoteReference"/>
        </w:rPr>
        <w:footnoteReference w:id="30"/>
      </w:r>
      <w:r w:rsidR="002A339B">
        <w:t xml:space="preserve"> </w:t>
      </w:r>
      <w:r w:rsidR="0043351C">
        <w:t xml:space="preserve">The work of Monkhouse (and others) extends the Officer framework, and shows that the value of imputation credits can </w:t>
      </w:r>
      <w:r w:rsidR="00BE5FAF">
        <w:t xml:space="preserve">be </w:t>
      </w:r>
      <w:r w:rsidR="0043351C">
        <w:t xml:space="preserve">estimated as the product of </w:t>
      </w:r>
      <w:r w:rsidR="00035BE9">
        <w:t>two parameters:</w:t>
      </w:r>
    </w:p>
    <w:p w:rsidR="00423E59" w:rsidRDefault="00423E59" w:rsidP="003C38F6">
      <w:pPr>
        <w:pStyle w:val="AERbulletlistsecondstyle"/>
      </w:pPr>
      <w:r w:rsidRPr="00423E59">
        <w:t>the proportion of imputation credits generated that is distributed to investors</w:t>
      </w:r>
      <w:r>
        <w:t xml:space="preserve"> (</w:t>
      </w:r>
      <w:r w:rsidR="00035BE9">
        <w:t>the</w:t>
      </w:r>
      <w:r w:rsidR="0043351C">
        <w:t xml:space="preserve"> </w:t>
      </w:r>
      <w:r w:rsidR="007B4BA3">
        <w:t>distribution rate</w:t>
      </w:r>
      <w:r>
        <w:t xml:space="preserve">), </w:t>
      </w:r>
      <w:r w:rsidR="007B4BA3">
        <w:t xml:space="preserve">and </w:t>
      </w:r>
    </w:p>
    <w:p w:rsidR="00423E59" w:rsidRDefault="00423E59" w:rsidP="003C38F6">
      <w:pPr>
        <w:pStyle w:val="AERbulletlistsecondstyle"/>
      </w:pPr>
      <w:r w:rsidRPr="00423E59">
        <w:t xml:space="preserve">the utilisation value to investors in the market per dollar of imputation credits distributed </w:t>
      </w:r>
      <w:r>
        <w:t>(</w:t>
      </w:r>
      <w:r w:rsidR="007B4BA3">
        <w:t>the utilisation rate</w:t>
      </w:r>
      <w:r>
        <w:t>)</w:t>
      </w:r>
      <w:r w:rsidR="007B4BA3">
        <w:t>.</w:t>
      </w:r>
      <w:r w:rsidR="00035BE9">
        <w:rPr>
          <w:rStyle w:val="FootnoteReference"/>
        </w:rPr>
        <w:footnoteReference w:id="31"/>
      </w:r>
      <w:r w:rsidR="00B66A82">
        <w:t xml:space="preserve"> </w:t>
      </w:r>
    </w:p>
    <w:p w:rsidR="004F5482" w:rsidRDefault="00B66A82" w:rsidP="003C38F6">
      <w:pPr>
        <w:pStyle w:val="AERbulletlistfirststyle"/>
        <w:numPr>
          <w:ilvl w:val="0"/>
          <w:numId w:val="0"/>
        </w:numPr>
        <w:ind w:left="357"/>
      </w:pPr>
      <w:r>
        <w:t>Consistent with this literature, we determine the value of imputation credits as the product of these two parameters.</w:t>
      </w:r>
    </w:p>
    <w:p w:rsidR="00222B8F" w:rsidRDefault="004F5482" w:rsidP="00872E15">
      <w:pPr>
        <w:pStyle w:val="AERbulletlistfirststyle"/>
      </w:pPr>
      <w:r>
        <w:t xml:space="preserve">A wide range of relevant </w:t>
      </w:r>
      <w:r w:rsidR="00163B76">
        <w:t>evidence</w:t>
      </w:r>
      <w:r w:rsidR="00380642">
        <w:t>—</w:t>
      </w:r>
      <w:r w:rsidR="003C4B75">
        <w:t xml:space="preserve">while there is a widely accepted approach to estimating the distribution rate, </w:t>
      </w:r>
      <w:r w:rsidR="00F429C0">
        <w:t xml:space="preserve">there is no single accepted approach to estimating the utilisation rate and </w:t>
      </w:r>
      <w:r w:rsidR="003C4B75">
        <w:t xml:space="preserve">there is a range of </w:t>
      </w:r>
      <w:r w:rsidR="0081146E">
        <w:t>evidence</w:t>
      </w:r>
      <w:r w:rsidR="003C4B75">
        <w:t xml:space="preserve"> relevant to the utilisation rate. </w:t>
      </w:r>
      <w:r w:rsidR="0081146E">
        <w:t>This</w:t>
      </w:r>
      <w:r w:rsidR="00222B8F">
        <w:t xml:space="preserve"> include</w:t>
      </w:r>
      <w:r w:rsidR="0081146E">
        <w:t>s</w:t>
      </w:r>
      <w:r w:rsidR="00222B8F">
        <w:t>:</w:t>
      </w:r>
    </w:p>
    <w:p w:rsidR="00222B8F" w:rsidRPr="00222B8F" w:rsidRDefault="00222B8F" w:rsidP="00222B8F">
      <w:pPr>
        <w:pStyle w:val="AERbulletlistsecondstyle"/>
      </w:pPr>
      <w:r w:rsidRPr="00222B8F">
        <w:t>The proportion of Australian equity held by domestic investors (the 'equity ownership approach').</w:t>
      </w:r>
    </w:p>
    <w:p w:rsidR="00222B8F" w:rsidRPr="00222B8F" w:rsidRDefault="00222B8F" w:rsidP="00222B8F">
      <w:pPr>
        <w:pStyle w:val="AERbulletlistsecondstyle"/>
      </w:pPr>
      <w:r w:rsidRPr="00222B8F">
        <w:t xml:space="preserve">The reported value of credits utilised by investors in </w:t>
      </w:r>
      <w:r w:rsidR="00D335F3">
        <w:t>Australian Taxation Office (</w:t>
      </w:r>
      <w:r w:rsidRPr="00222B8F">
        <w:t>ATO</w:t>
      </w:r>
      <w:r w:rsidR="00D335F3">
        <w:t>)</w:t>
      </w:r>
      <w:r w:rsidRPr="00222B8F">
        <w:t xml:space="preserve"> statistics ('tax statistics').</w:t>
      </w:r>
    </w:p>
    <w:p w:rsidR="00222B8F" w:rsidRPr="00222B8F" w:rsidRDefault="00ED6975" w:rsidP="00ED6975">
      <w:pPr>
        <w:pStyle w:val="AERbulletlistsecondstyle"/>
      </w:pPr>
      <w:r>
        <w:t>S</w:t>
      </w:r>
      <w:r w:rsidRPr="00ED6975">
        <w:t xml:space="preserve">tudies that seek to infer from market prices the value to investors of distributed imputation credits </w:t>
      </w:r>
      <w:r>
        <w:t>('i</w:t>
      </w:r>
      <w:r w:rsidR="00015D08">
        <w:t>mplied market value studies</w:t>
      </w:r>
      <w:r>
        <w:t>')</w:t>
      </w:r>
      <w:r w:rsidR="00015D08">
        <w:t>.</w:t>
      </w:r>
    </w:p>
    <w:p w:rsidR="00222B8F" w:rsidRDefault="0081146E" w:rsidP="00222B8F">
      <w:pPr>
        <w:pStyle w:val="AERbulletlistfirststyle"/>
        <w:numPr>
          <w:ilvl w:val="0"/>
          <w:numId w:val="0"/>
        </w:numPr>
        <w:ind w:left="357"/>
      </w:pPr>
      <w:r>
        <w:t xml:space="preserve">Also, when estimating the distribution rate and the utilisation rate there is </w:t>
      </w:r>
      <w:r w:rsidR="00222B8F">
        <w:t>no consensus regarding whether</w:t>
      </w:r>
      <w:r>
        <w:t xml:space="preserve"> evidence and data should be used on all companies and their investors</w:t>
      </w:r>
      <w:r w:rsidR="003D28CD">
        <w:t xml:space="preserve"> (all equity)</w:t>
      </w:r>
      <w:r>
        <w:t xml:space="preserve"> or just listed</w:t>
      </w:r>
      <w:r w:rsidR="00222B8F">
        <w:t xml:space="preserve"> </w:t>
      </w:r>
      <w:r>
        <w:t>companies and their investors</w:t>
      </w:r>
      <w:r w:rsidR="003D28CD">
        <w:t xml:space="preserve"> (listed equity</w:t>
      </w:r>
      <w:r w:rsidR="001E4EF7">
        <w:t xml:space="preserve"> only</w:t>
      </w:r>
      <w:r w:rsidR="003D28CD">
        <w:t>)</w:t>
      </w:r>
      <w:r>
        <w:t>.</w:t>
      </w:r>
      <w:r w:rsidR="00763421">
        <w:rPr>
          <w:rStyle w:val="FootnoteReference"/>
        </w:rPr>
        <w:footnoteReference w:id="32"/>
      </w:r>
      <w:r w:rsidR="00B66A82">
        <w:t xml:space="preserve"> In determining the value of imputation credits, we rely on the results from both approaches.</w:t>
      </w:r>
    </w:p>
    <w:p w:rsidR="00F25DB6" w:rsidRDefault="004F5482" w:rsidP="00872E15">
      <w:pPr>
        <w:pStyle w:val="AERbulletlistfirststyle"/>
      </w:pPr>
      <w:r>
        <w:t>The views of experts</w:t>
      </w:r>
      <w:r w:rsidR="00380642">
        <w:t>—</w:t>
      </w:r>
      <w:r w:rsidR="00D07350">
        <w:t>experts differ in their</w:t>
      </w:r>
      <w:r w:rsidR="00F25DB6">
        <w:t xml:space="preserve"> interpretations of the:</w:t>
      </w:r>
    </w:p>
    <w:p w:rsidR="00F25DB6" w:rsidRDefault="00F25DB6" w:rsidP="00F25DB6">
      <w:pPr>
        <w:pStyle w:val="AERbulletlistsecondstyle"/>
      </w:pPr>
      <w:r>
        <w:t>role of the value of imputation credits in the regulatory framework</w:t>
      </w:r>
    </w:p>
    <w:p w:rsidR="00F25DB6" w:rsidRDefault="00F25DB6" w:rsidP="00F25DB6">
      <w:pPr>
        <w:pStyle w:val="AERbulletlistsecondstyle"/>
      </w:pPr>
      <w:r>
        <w:t>underlying theory and academic literature</w:t>
      </w:r>
      <w:r w:rsidR="00704686">
        <w:t>, and</w:t>
      </w:r>
    </w:p>
    <w:p w:rsidR="00872E15" w:rsidRDefault="00F25DB6" w:rsidP="00F25DB6">
      <w:pPr>
        <w:pStyle w:val="AERbulletlistsecondstyle"/>
      </w:pPr>
      <w:r>
        <w:t>relevance of different estimation techniques</w:t>
      </w:r>
      <w:r w:rsidR="005C3F04">
        <w:t>, particularly for the utilisation rate</w:t>
      </w:r>
      <w:r>
        <w:t>.</w:t>
      </w:r>
      <w:r w:rsidR="00872E15">
        <w:t xml:space="preserve"> </w:t>
      </w:r>
    </w:p>
    <w:p w:rsidR="00B47945" w:rsidRDefault="00B47945" w:rsidP="00352762">
      <w:pPr>
        <w:pStyle w:val="Heading2"/>
      </w:pPr>
      <w:bookmarkStart w:id="45" w:name="_Toc396839200"/>
      <w:bookmarkStart w:id="46" w:name="_Ref401136494"/>
      <w:bookmarkStart w:id="47" w:name="_Toc404078539"/>
      <w:bookmarkStart w:id="48" w:name="_Toc404334866"/>
      <w:bookmarkEnd w:id="43"/>
      <w:r>
        <w:t>Reasons for draft decisio</w:t>
      </w:r>
      <w:bookmarkEnd w:id="45"/>
      <w:r w:rsidR="002E69E4">
        <w:t>n</w:t>
      </w:r>
      <w:bookmarkEnd w:id="46"/>
      <w:bookmarkEnd w:id="47"/>
      <w:bookmarkEnd w:id="48"/>
    </w:p>
    <w:p w:rsidR="009C7069" w:rsidRDefault="00996115" w:rsidP="009C7069">
      <w:pPr>
        <w:pStyle w:val="AERbodytext"/>
      </w:pPr>
      <w:r>
        <w:t>In determining the value of imputation credits, we have considered the wide range of evidence before us with regard to its merit</w:t>
      </w:r>
      <w:r w:rsidR="00142828">
        <w:t>s</w:t>
      </w:r>
      <w:r>
        <w:t xml:space="preserve">. </w:t>
      </w:r>
      <w:r w:rsidR="00C23054">
        <w:t>We consider that a value of imputation credits of 0.4</w:t>
      </w:r>
      <w:r w:rsidR="00B66A82">
        <w:t>, selected from within a range of 0.3 to 0.5,</w:t>
      </w:r>
      <w:r w:rsidR="00C23054">
        <w:t xml:space="preserve"> is reasonable because:</w:t>
      </w:r>
    </w:p>
    <w:p w:rsidR="00C61368" w:rsidRDefault="00C61368" w:rsidP="00C23054">
      <w:pPr>
        <w:pStyle w:val="AERbulletlistfirststyle"/>
      </w:pPr>
      <w:r>
        <w:t>It is within the range of values indicated by the evidence, and the relevance of the evidence is supported by the expert opinion of Handley, Lally and McKenzie and Partington</w:t>
      </w:r>
      <w:r w:rsidR="00D63B18">
        <w:t>.</w:t>
      </w:r>
    </w:p>
    <w:p w:rsidR="00C61368" w:rsidRDefault="00C61368" w:rsidP="00917F07">
      <w:pPr>
        <w:pStyle w:val="AERbulletlistfirststyle"/>
      </w:pPr>
      <w:r>
        <w:t>It primarily reflects an estimate of the utilisation rate fro</w:t>
      </w:r>
      <w:r w:rsidR="00F411AD">
        <w:t>m the equity ownership approach. Handley consider</w:t>
      </w:r>
      <w:r w:rsidR="00BB0D6C">
        <w:t>ed</w:t>
      </w:r>
      <w:r w:rsidR="00F411AD">
        <w:t xml:space="preserve"> this</w:t>
      </w:r>
      <w:r w:rsidR="00D63B18">
        <w:t xml:space="preserve"> the most important</w:t>
      </w:r>
      <w:r w:rsidR="00F411AD">
        <w:t xml:space="preserve"> approach to estimating the utilisation rate, relative to the alternatives of tax statistics and implied market value studies.</w:t>
      </w:r>
      <w:r w:rsidR="00F411AD">
        <w:rPr>
          <w:rStyle w:val="FootnoteReference"/>
        </w:rPr>
        <w:footnoteReference w:id="33"/>
      </w:r>
      <w:r>
        <w:t xml:space="preserve"> </w:t>
      </w:r>
      <w:r w:rsidR="00D63B18">
        <w:t xml:space="preserve">The equity ownership approach </w:t>
      </w:r>
      <w:r w:rsidR="00FC2F5E">
        <w:t>wa</w:t>
      </w:r>
      <w:r w:rsidR="00D63B18">
        <w:t xml:space="preserve">s </w:t>
      </w:r>
      <w:r>
        <w:t>Lally</w:t>
      </w:r>
      <w:r w:rsidR="00D63B18">
        <w:t>'s second preference after his recommendation for a utilisation rate of 1.</w:t>
      </w:r>
      <w:r w:rsidR="00D63B18">
        <w:rPr>
          <w:rStyle w:val="FootnoteReference"/>
        </w:rPr>
        <w:footnoteReference w:id="34"/>
      </w:r>
    </w:p>
    <w:p w:rsidR="00C61368" w:rsidRDefault="00C61368" w:rsidP="00C23054">
      <w:pPr>
        <w:pStyle w:val="AERbulletlistfirststyle"/>
      </w:pPr>
      <w:r>
        <w:t xml:space="preserve">It is within the 'preferred' range for the value of imputation credits </w:t>
      </w:r>
      <w:r w:rsidR="00C9351E">
        <w:t xml:space="preserve">(0.4 to 0.5) </w:t>
      </w:r>
      <w:r>
        <w:t>in Handley's recent advice.</w:t>
      </w:r>
      <w:r w:rsidR="00015D08">
        <w:rPr>
          <w:rStyle w:val="FootnoteReference"/>
        </w:rPr>
        <w:footnoteReference w:id="35"/>
      </w:r>
    </w:p>
    <w:p w:rsidR="00C61368" w:rsidRDefault="002F19A6" w:rsidP="00C23054">
      <w:pPr>
        <w:pStyle w:val="AERbulletlistfirststyle"/>
      </w:pPr>
      <w:r>
        <w:t>Based on the evidence before us at this time, a</w:t>
      </w:r>
      <w:r w:rsidR="00C61368">
        <w:t xml:space="preserve">dopting a value of imputation credits that is rounded to one decimal place appropriately reflects the uncertainty and imprecision associated with this parameter. This uncertainty is evident in the range of views and values that have been espoused by experts, and </w:t>
      </w:r>
      <w:r w:rsidR="00BB0D6C">
        <w:t>wa</w:t>
      </w:r>
      <w:r w:rsidR="00C61368">
        <w:t>s recognised by Handley and McKenzie and Partington.</w:t>
      </w:r>
      <w:r w:rsidR="00C61368">
        <w:rPr>
          <w:rStyle w:val="FootnoteReference"/>
        </w:rPr>
        <w:footnoteReference w:id="36"/>
      </w:r>
      <w:r w:rsidR="00996115">
        <w:t xml:space="preserve"> The imprecision of determining the value of imputation credits </w:t>
      </w:r>
      <w:r w:rsidR="00BB0D6C">
        <w:t>wa</w:t>
      </w:r>
      <w:r w:rsidR="00996115">
        <w:t>s emphasised by Handley.</w:t>
      </w:r>
      <w:r w:rsidR="00996115">
        <w:rPr>
          <w:rStyle w:val="FootnoteReference"/>
        </w:rPr>
        <w:footnoteReference w:id="37"/>
      </w:r>
    </w:p>
    <w:p w:rsidR="00152C9A" w:rsidRDefault="002E69E4" w:rsidP="002E69E4">
      <w:pPr>
        <w:pStyle w:val="AERbodytext"/>
      </w:pPr>
      <w:r>
        <w:t xml:space="preserve">In considering the evidence on the distribution </w:t>
      </w:r>
      <w:r w:rsidR="006241C0">
        <w:t xml:space="preserve">and </w:t>
      </w:r>
      <w:r>
        <w:t>utilisat</w:t>
      </w:r>
      <w:r w:rsidR="003D28CD">
        <w:t>ion rate</w:t>
      </w:r>
      <w:r w:rsidR="006241C0">
        <w:t>s</w:t>
      </w:r>
      <w:r w:rsidR="003D28CD">
        <w:t xml:space="preserve">, we </w:t>
      </w:r>
      <w:r w:rsidR="006241C0">
        <w:t xml:space="preserve">have broadly maintained the approach set out in the </w:t>
      </w:r>
      <w:r w:rsidR="0033289B">
        <w:t>Guideline</w:t>
      </w:r>
      <w:r w:rsidR="00015D08">
        <w:t>,</w:t>
      </w:r>
      <w:r w:rsidR="00152C9A">
        <w:t xml:space="preserve"> but have re-examined the relevant evidence and estimates</w:t>
      </w:r>
      <w:r w:rsidR="006241C0">
        <w:t>.</w:t>
      </w:r>
      <w:r w:rsidR="00855860">
        <w:t xml:space="preserve"> This re-examination, and new evidence and advice considered since</w:t>
      </w:r>
      <w:r w:rsidR="001E4EF7">
        <w:t xml:space="preserve"> the</w:t>
      </w:r>
      <w:r w:rsidR="003902FC">
        <w:t xml:space="preserve"> </w:t>
      </w:r>
      <w:r w:rsidR="0033289B">
        <w:t>Guideline</w:t>
      </w:r>
      <w:r w:rsidR="003902FC">
        <w:t>, le</w:t>
      </w:r>
      <w:r w:rsidR="00855860">
        <w:t xml:space="preserve">d us to depart from the </w:t>
      </w:r>
      <w:r w:rsidR="0033289B">
        <w:t>Guideline</w:t>
      </w:r>
      <w:r w:rsidR="00855860">
        <w:t xml:space="preserve"> value of imputation credits of 0.5. </w:t>
      </w:r>
      <w:r w:rsidR="00D71B43">
        <w:t>D</w:t>
      </w:r>
      <w:r w:rsidR="00152C9A">
        <w:t xml:space="preserve">epartures from </w:t>
      </w:r>
      <w:r w:rsidR="00D71B43">
        <w:t xml:space="preserve">specific aspects of the </w:t>
      </w:r>
      <w:r w:rsidR="0033289B">
        <w:t>Guideline</w:t>
      </w:r>
      <w:r w:rsidR="00152C9A">
        <w:t xml:space="preserve"> are noted in the discussion of the distribution rate and utilisation rate below.</w:t>
      </w:r>
      <w:r w:rsidR="006241C0">
        <w:t xml:space="preserve"> </w:t>
      </w:r>
    </w:p>
    <w:p w:rsidR="007824EF" w:rsidRDefault="00152C9A" w:rsidP="002E69E4">
      <w:pPr>
        <w:pStyle w:val="AERbodytext"/>
      </w:pPr>
      <w:r>
        <w:t xml:space="preserve">Further to the </w:t>
      </w:r>
      <w:r w:rsidR="0033289B">
        <w:t>Guideline</w:t>
      </w:r>
      <w:r>
        <w:t xml:space="preserve"> approach</w:t>
      </w:r>
      <w:r w:rsidR="006241C0">
        <w:t xml:space="preserve">, </w:t>
      </w:r>
      <w:r w:rsidR="00745601">
        <w:t xml:space="preserve">in this draft decision we </w:t>
      </w:r>
      <w:r w:rsidR="003D28CD">
        <w:t>consider that</w:t>
      </w:r>
      <w:r w:rsidR="002E69E4">
        <w:t>:</w:t>
      </w:r>
    </w:p>
    <w:p w:rsidR="002E69E4" w:rsidRDefault="00071F21" w:rsidP="001E4EF7">
      <w:pPr>
        <w:pStyle w:val="AERbulletlistfirststyle"/>
      </w:pPr>
      <w:r>
        <w:t>We may</w:t>
      </w:r>
      <w:r w:rsidR="002E69E4">
        <w:t xml:space="preserve"> have regard to evidence from all </w:t>
      </w:r>
      <w:r w:rsidR="003D28CD">
        <w:t>equity</w:t>
      </w:r>
      <w:r w:rsidR="002E69E4">
        <w:t xml:space="preserve"> and/or listed </w:t>
      </w:r>
      <w:r w:rsidR="003D28CD">
        <w:t>equity</w:t>
      </w:r>
      <w:r w:rsidR="002E69E4">
        <w:t xml:space="preserve"> </w:t>
      </w:r>
      <w:r w:rsidR="001E4EF7">
        <w:t>only</w:t>
      </w:r>
      <w:r w:rsidR="003B352D">
        <w:t>.</w:t>
      </w:r>
      <w:r w:rsidR="001E4EF7">
        <w:t xml:space="preserve"> S</w:t>
      </w:r>
      <w:r w:rsidR="001E4EF7" w:rsidRPr="001E4EF7">
        <w:t xml:space="preserve">ome experts advocate use of evidence on </w:t>
      </w:r>
      <w:r w:rsidR="001234FB">
        <w:t>only</w:t>
      </w:r>
      <w:r w:rsidR="001E4EF7" w:rsidRPr="001E4EF7">
        <w:t xml:space="preserve"> listed companies and their investors because this is considered to be more reflective of the benchmark efficient entity and its investo</w:t>
      </w:r>
      <w:r w:rsidR="00E17E21">
        <w:t xml:space="preserve">rs, </w:t>
      </w:r>
      <w:r w:rsidR="001E4EF7" w:rsidRPr="001E4EF7">
        <w:t xml:space="preserve">or </w:t>
      </w:r>
      <w:r w:rsidR="001E4EF7">
        <w:t xml:space="preserve">because </w:t>
      </w:r>
      <w:r w:rsidR="001E4EF7" w:rsidRPr="001E4EF7">
        <w:t xml:space="preserve">this is consistent with the use of evidence from </w:t>
      </w:r>
      <w:r w:rsidR="001234FB">
        <w:t>only</w:t>
      </w:r>
      <w:r w:rsidR="001E4EF7" w:rsidRPr="001E4EF7">
        <w:t xml:space="preserve"> listed companies when estimating the market risk premium.</w:t>
      </w:r>
      <w:r w:rsidR="001E4EF7">
        <w:t xml:space="preserve"> However, there is no consensus on this point. We discuss the issue further in</w:t>
      </w:r>
      <w:r w:rsidR="009F7D8B">
        <w:t xml:space="preserve"> section</w:t>
      </w:r>
      <w:r w:rsidR="001E5CFB">
        <w:t xml:space="preserve"> </w:t>
      </w:r>
      <w:r w:rsidR="001E5CFB">
        <w:fldChar w:fldCharType="begin"/>
      </w:r>
      <w:r w:rsidR="001E5CFB">
        <w:instrText xml:space="preserve"> REF _Ref401048631 \r \h </w:instrText>
      </w:r>
      <w:r w:rsidR="001E5CFB">
        <w:fldChar w:fldCharType="separate"/>
      </w:r>
      <w:r w:rsidR="00927273">
        <w:t>A.8.1</w:t>
      </w:r>
      <w:r w:rsidR="001E5CFB">
        <w:fldChar w:fldCharType="end"/>
      </w:r>
      <w:r w:rsidR="009F7D8B">
        <w:t xml:space="preserve"> of </w:t>
      </w:r>
      <w:r w:rsidR="00CB0A52">
        <w:t>appendix</w:t>
      </w:r>
      <w:r w:rsidR="00B04695">
        <w:t xml:space="preserve"> A</w:t>
      </w:r>
      <w:r w:rsidR="001E4EF7">
        <w:t>.</w:t>
      </w:r>
      <w:r w:rsidR="00A50EC2">
        <w:t xml:space="preserve"> We did not consider this issue in the Guideline.</w:t>
      </w:r>
    </w:p>
    <w:p w:rsidR="002E69E4" w:rsidRDefault="003D28CD" w:rsidP="002E69E4">
      <w:pPr>
        <w:pStyle w:val="AERbulletlistfirststyle"/>
      </w:pPr>
      <w:r>
        <w:t>It would be i</w:t>
      </w:r>
      <w:r w:rsidR="002E69E4">
        <w:t>nappropriate to pair an estimate of the utilis</w:t>
      </w:r>
      <w:r>
        <w:t>ation rate from listed equity</w:t>
      </w:r>
      <w:r w:rsidR="001234FB">
        <w:t xml:space="preserve"> only</w:t>
      </w:r>
      <w:r>
        <w:t xml:space="preserve"> with an estimate of the distribution rate from all equity (and vice versa). </w:t>
      </w:r>
      <w:r w:rsidR="001234FB">
        <w:t xml:space="preserve">There is a relationship between definitions and estimates of the distribution rate and utilisation rate that should be recognised when estimating the value of imputation credits. </w:t>
      </w:r>
      <w:r w:rsidR="00C9351E">
        <w:t xml:space="preserve">In the Guideline, we estimated the distribution and utilisation rates independently, and did not recognise this relationship. </w:t>
      </w:r>
      <w:r w:rsidR="001234FB">
        <w:t xml:space="preserve">We discuss this relationship further in </w:t>
      </w:r>
      <w:r w:rsidR="00B53234">
        <w:t>section</w:t>
      </w:r>
      <w:r w:rsidR="001E5CFB">
        <w:t xml:space="preserve"> </w:t>
      </w:r>
      <w:r w:rsidR="001E5CFB">
        <w:fldChar w:fldCharType="begin"/>
      </w:r>
      <w:r w:rsidR="001E5CFB">
        <w:instrText xml:space="preserve"> REF _Ref403481194 \r \h </w:instrText>
      </w:r>
      <w:r w:rsidR="001E5CFB">
        <w:fldChar w:fldCharType="separate"/>
      </w:r>
      <w:r w:rsidR="00927273">
        <w:t>A.8.2</w:t>
      </w:r>
      <w:r w:rsidR="001E5CFB">
        <w:fldChar w:fldCharType="end"/>
      </w:r>
      <w:r w:rsidR="00B53234">
        <w:t xml:space="preserve"> of </w:t>
      </w:r>
      <w:r w:rsidR="00CB0A52">
        <w:t>appendix</w:t>
      </w:r>
      <w:r w:rsidR="00B53234">
        <w:t xml:space="preserve"> </w:t>
      </w:r>
      <w:r w:rsidR="00B04695">
        <w:t>A</w:t>
      </w:r>
      <w:r w:rsidR="001234FB">
        <w:t xml:space="preserve">. </w:t>
      </w:r>
    </w:p>
    <w:p w:rsidR="00D3139D" w:rsidRPr="00EB588E" w:rsidRDefault="00EB588E" w:rsidP="00EB588E">
      <w:pPr>
        <w:pStyle w:val="AERbodytext"/>
      </w:pPr>
      <w:r>
        <w:t xml:space="preserve">Recognising these considerations, </w:t>
      </w:r>
      <w:r>
        <w:fldChar w:fldCharType="begin"/>
      </w:r>
      <w:r>
        <w:instrText xml:space="preserve"> REF  _Ref400900366 \* Lower \h </w:instrText>
      </w:r>
      <w:r>
        <w:fldChar w:fldCharType="separate"/>
      </w:r>
      <w:r w:rsidR="00927273">
        <w:t xml:space="preserve">table </w:t>
      </w:r>
      <w:r w:rsidR="00927273">
        <w:rPr>
          <w:noProof/>
        </w:rPr>
        <w:t>4</w:t>
      </w:r>
      <w:r w:rsidR="00927273">
        <w:noBreakHyphen/>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927273">
        <w:noBreakHyphen/>
      </w:r>
      <w:r w:rsidR="00927273">
        <w:rPr>
          <w:noProof/>
        </w:rPr>
        <w:t>2</w:t>
      </w:r>
      <w:r>
        <w:fldChar w:fldCharType="end"/>
      </w:r>
      <w:r>
        <w:t xml:space="preserve"> </w:t>
      </w:r>
      <w:r w:rsidR="003A17C6" w:rsidRPr="00EB588E">
        <w:t>show estimates of the value of imputation credits that arise from internally consistent evidence from all equity and listed equity</w:t>
      </w:r>
      <w:r w:rsidR="00B53234" w:rsidRPr="00EB588E">
        <w:t xml:space="preserve"> only</w:t>
      </w:r>
      <w:r w:rsidR="003A17C6" w:rsidRPr="00EB588E">
        <w:t>, respectively.</w:t>
      </w:r>
      <w:r w:rsidR="00D07EA0" w:rsidRPr="00EB588E">
        <w:t xml:space="preserve"> </w:t>
      </w:r>
      <w:r w:rsidR="007A6B26" w:rsidRPr="00EB588E">
        <w:t>T</w:t>
      </w:r>
      <w:r w:rsidR="00D07EA0" w:rsidRPr="00EB588E">
        <w:t xml:space="preserve">hese individual sources of evidence allow us to </w:t>
      </w:r>
      <w:r w:rsidR="00C32996" w:rsidRPr="00EB588E">
        <w:t>present</w:t>
      </w:r>
      <w:r w:rsidR="00D07EA0" w:rsidRPr="00EB588E">
        <w:t xml:space="preserve"> estimates to two decimal place</w:t>
      </w:r>
      <w:r w:rsidR="007A6B26" w:rsidRPr="00EB588E">
        <w:t xml:space="preserve">s. However, </w:t>
      </w:r>
      <w:r w:rsidR="00A714B8" w:rsidRPr="00EB588E">
        <w:t xml:space="preserve">as discussed above, we consider it reasonable to determine a value of imputation credits to </w:t>
      </w:r>
      <w:r w:rsidR="003C513B" w:rsidRPr="00EB588E">
        <w:t xml:space="preserve">only </w:t>
      </w:r>
      <w:r w:rsidR="00A714B8" w:rsidRPr="00EB588E">
        <w:t xml:space="preserve">one decimal place </w:t>
      </w:r>
      <w:r w:rsidR="007A6B26" w:rsidRPr="00EB588E">
        <w:t xml:space="preserve">when determining a </w:t>
      </w:r>
      <w:r w:rsidR="002D4DC3" w:rsidRPr="00EB588E">
        <w:t xml:space="preserve">single </w:t>
      </w:r>
      <w:r w:rsidR="007A6B26" w:rsidRPr="00EB588E">
        <w:t>value from across this evidence</w:t>
      </w:r>
      <w:r w:rsidR="00A714B8" w:rsidRPr="00EB588E">
        <w:t>.</w:t>
      </w:r>
    </w:p>
    <w:p w:rsidR="001702C9" w:rsidRDefault="00506B17" w:rsidP="00506B17">
      <w:pPr>
        <w:pStyle w:val="Caption"/>
      </w:pPr>
      <w:bookmarkStart w:id="49" w:name="_Ref400900366"/>
      <w:bookmarkStart w:id="50" w:name="_Ref400900335"/>
      <w:r>
        <w:t xml:space="preserve">Table </w:t>
      </w:r>
      <w:r w:rsidR="00115D92">
        <w:fldChar w:fldCharType="begin"/>
      </w:r>
      <w:r w:rsidR="00115D92">
        <w:instrText xml:space="preserve"> STYLEREF 1 \s </w:instrText>
      </w:r>
      <w:r w:rsidR="00115D92">
        <w:fldChar w:fldCharType="separate"/>
      </w:r>
      <w:r w:rsidR="00927273">
        <w:rPr>
          <w:noProof/>
        </w:rPr>
        <w:t>4</w:t>
      </w:r>
      <w:r w:rsidR="00115D92">
        <w:rPr>
          <w:noProof/>
        </w:rPr>
        <w:fldChar w:fldCharType="end"/>
      </w:r>
      <w:r w:rsidR="00C20561">
        <w:noBreakHyphen/>
      </w:r>
      <w:r w:rsidR="00115D92">
        <w:fldChar w:fldCharType="begin"/>
      </w:r>
      <w:r w:rsidR="00115D92">
        <w:instrText xml:space="preserve"> SEQ Table \* ARABIC \s 1 </w:instrText>
      </w:r>
      <w:r w:rsidR="00115D92">
        <w:fldChar w:fldCharType="separate"/>
      </w:r>
      <w:r w:rsidR="00927273">
        <w:rPr>
          <w:noProof/>
        </w:rPr>
        <w:t>1</w:t>
      </w:r>
      <w:r w:rsidR="00115D92">
        <w:rPr>
          <w:noProof/>
        </w:rPr>
        <w:fldChar w:fldCharType="end"/>
      </w:r>
      <w:bookmarkEnd w:id="49"/>
      <w:r>
        <w:tab/>
        <w:t>Estimates of the value of imputation credits—evidence from all equity</w:t>
      </w:r>
      <w:bookmarkEnd w:id="50"/>
    </w:p>
    <w:tbl>
      <w:tblPr>
        <w:tblStyle w:val="AERtable-numbers"/>
        <w:tblW w:w="0" w:type="auto"/>
        <w:tblLook w:val="04A0" w:firstRow="1" w:lastRow="0" w:firstColumn="1" w:lastColumn="0" w:noHBand="0" w:noVBand="1"/>
      </w:tblPr>
      <w:tblGrid>
        <w:gridCol w:w="2399"/>
        <w:gridCol w:w="2197"/>
        <w:gridCol w:w="2198"/>
        <w:gridCol w:w="2448"/>
      </w:tblGrid>
      <w:tr w:rsidR="008F4773"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474611" w:rsidP="009312B9">
            <w:pPr>
              <w:pStyle w:val="AERbodytext"/>
              <w:keepNext/>
              <w:keepLines/>
            </w:pPr>
            <w:r>
              <w:t>E</w:t>
            </w:r>
            <w:r w:rsidR="008F4773">
              <w:t>vidence</w:t>
            </w:r>
            <w:r>
              <w:t xml:space="preserve"> on utilisation rate</w:t>
            </w:r>
          </w:p>
        </w:tc>
        <w:tc>
          <w:tcPr>
            <w:tcW w:w="2197"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Utilisation rate</w:t>
            </w:r>
          </w:p>
        </w:tc>
        <w:tc>
          <w:tcPr>
            <w:tcW w:w="219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Distribution rate</w:t>
            </w:r>
          </w:p>
        </w:tc>
        <w:tc>
          <w:tcPr>
            <w:tcW w:w="244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Value of Imputation Credits</w:t>
            </w:r>
          </w:p>
        </w:tc>
      </w:tr>
      <w:tr w:rsidR="008F4773" w:rsidTr="00E94F88">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Equity ownership approach</w:t>
            </w:r>
          </w:p>
        </w:tc>
        <w:tc>
          <w:tcPr>
            <w:tcW w:w="2197" w:type="dxa"/>
          </w:tcPr>
          <w:p w:rsidR="008F4773"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0.55 to 0.7</w:t>
            </w:r>
          </w:p>
        </w:tc>
        <w:tc>
          <w:tcPr>
            <w:tcW w:w="2198" w:type="dxa"/>
          </w:tcPr>
          <w:p w:rsidR="008F4773" w:rsidRDefault="00165322"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0.7</w:t>
            </w:r>
          </w:p>
        </w:tc>
        <w:tc>
          <w:tcPr>
            <w:tcW w:w="2448" w:type="dxa"/>
          </w:tcPr>
          <w:p w:rsidR="008F4773"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0.39 to 0.49</w:t>
            </w:r>
          </w:p>
        </w:tc>
      </w:tr>
      <w:tr w:rsidR="008F4773"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Tax statistics</w:t>
            </w:r>
          </w:p>
        </w:tc>
        <w:tc>
          <w:tcPr>
            <w:tcW w:w="2197" w:type="dxa"/>
          </w:tcPr>
          <w:p w:rsidR="008F4773" w:rsidRDefault="00DA137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0.43</w:t>
            </w:r>
          </w:p>
        </w:tc>
        <w:tc>
          <w:tcPr>
            <w:tcW w:w="219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0.7</w:t>
            </w:r>
          </w:p>
        </w:tc>
        <w:tc>
          <w:tcPr>
            <w:tcW w:w="244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0.3</w:t>
            </w:r>
          </w:p>
        </w:tc>
      </w:tr>
    </w:tbl>
    <w:p w:rsidR="001B2B55" w:rsidRPr="001B2B55" w:rsidRDefault="00506B17" w:rsidP="009312B9">
      <w:pPr>
        <w:pStyle w:val="AERtablesource"/>
      </w:pPr>
      <w:r>
        <w:t>Source:</w:t>
      </w:r>
      <w:r>
        <w:tab/>
        <w:t>AER analysis.</w:t>
      </w:r>
      <w:bookmarkStart w:id="51" w:name="_Ref400900373"/>
    </w:p>
    <w:p w:rsidR="00506B17" w:rsidRDefault="00506B17" w:rsidP="00506B17">
      <w:pPr>
        <w:pStyle w:val="Caption"/>
      </w:pPr>
      <w:bookmarkStart w:id="52" w:name="_Ref404072148"/>
      <w:r>
        <w:t xml:space="preserve">Table </w:t>
      </w:r>
      <w:r w:rsidR="00115D92">
        <w:fldChar w:fldCharType="begin"/>
      </w:r>
      <w:r w:rsidR="00115D92">
        <w:instrText xml:space="preserve"> STYLEREF 1 \s </w:instrText>
      </w:r>
      <w:r w:rsidR="00115D92">
        <w:fldChar w:fldCharType="separate"/>
      </w:r>
      <w:r w:rsidR="00927273">
        <w:rPr>
          <w:noProof/>
        </w:rPr>
        <w:t>4</w:t>
      </w:r>
      <w:r w:rsidR="00115D92">
        <w:rPr>
          <w:noProof/>
        </w:rPr>
        <w:fldChar w:fldCharType="end"/>
      </w:r>
      <w:r w:rsidR="00C20561">
        <w:noBreakHyphen/>
      </w:r>
      <w:r w:rsidR="00115D92">
        <w:fldChar w:fldCharType="begin"/>
      </w:r>
      <w:r w:rsidR="00115D92">
        <w:instrText xml:space="preserve"> SEQ Table \* ARABIC \s 1 </w:instrText>
      </w:r>
      <w:r w:rsidR="00115D92">
        <w:fldChar w:fldCharType="separate"/>
      </w:r>
      <w:r w:rsidR="00927273">
        <w:rPr>
          <w:noProof/>
        </w:rPr>
        <w:t>2</w:t>
      </w:r>
      <w:r w:rsidR="00115D92">
        <w:rPr>
          <w:noProof/>
        </w:rPr>
        <w:fldChar w:fldCharType="end"/>
      </w:r>
      <w:bookmarkEnd w:id="51"/>
      <w:bookmarkEnd w:id="52"/>
      <w:r>
        <w:tab/>
        <w:t>Estimates of the value of imputation credits—evidence from listed equity</w:t>
      </w:r>
    </w:p>
    <w:tbl>
      <w:tblPr>
        <w:tblStyle w:val="AERtable-numbers"/>
        <w:tblW w:w="0" w:type="auto"/>
        <w:tblLook w:val="04A0" w:firstRow="1" w:lastRow="0" w:firstColumn="1" w:lastColumn="0" w:noHBand="0" w:noVBand="1"/>
      </w:tblPr>
      <w:tblGrid>
        <w:gridCol w:w="2399"/>
        <w:gridCol w:w="2197"/>
        <w:gridCol w:w="2198"/>
        <w:gridCol w:w="2448"/>
      </w:tblGrid>
      <w:tr w:rsidR="00052838"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474611" w:rsidP="009312B9">
            <w:pPr>
              <w:pStyle w:val="AERbodytext"/>
              <w:keepNext/>
              <w:keepLines/>
            </w:pPr>
            <w:r>
              <w:t>E</w:t>
            </w:r>
            <w:r w:rsidR="00052838">
              <w:t>vidence</w:t>
            </w:r>
            <w:r>
              <w:t xml:space="preserve"> on utilisation rate</w:t>
            </w:r>
          </w:p>
        </w:tc>
        <w:tc>
          <w:tcPr>
            <w:tcW w:w="2197"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9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44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052838" w:rsidTr="00E94F88">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Equity ownership approach</w:t>
            </w:r>
          </w:p>
        </w:tc>
        <w:tc>
          <w:tcPr>
            <w:tcW w:w="2197"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0.4 to 0.6</w:t>
            </w:r>
          </w:p>
        </w:tc>
        <w:tc>
          <w:tcPr>
            <w:tcW w:w="2198" w:type="dxa"/>
          </w:tcPr>
          <w:p w:rsidR="00052838"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0.8</w:t>
            </w:r>
          </w:p>
        </w:tc>
        <w:tc>
          <w:tcPr>
            <w:tcW w:w="2448"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0.32 to 0.48</w:t>
            </w:r>
          </w:p>
        </w:tc>
      </w:tr>
      <w:tr w:rsidR="00052838"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Implied market value studies</w:t>
            </w:r>
          </w:p>
          <w:p w:rsidR="00052838" w:rsidRPr="00956099" w:rsidRDefault="00052838" w:rsidP="009312B9">
            <w:pPr>
              <w:pStyle w:val="AERbodytext"/>
              <w:keepNext/>
              <w:keepLines/>
              <w:rPr>
                <w:i/>
              </w:rPr>
            </w:pPr>
            <w:r w:rsidRPr="00052838">
              <w:rPr>
                <w:rStyle w:val="AERtextitalic"/>
              </w:rPr>
              <w:t>SFG dividend drop off study</w:t>
            </w:r>
            <w:r w:rsidR="0064590E">
              <w:rPr>
                <w:rStyle w:val="FootnoteReference"/>
              </w:rPr>
              <w:t>(a)</w:t>
            </w:r>
          </w:p>
        </w:tc>
        <w:tc>
          <w:tcPr>
            <w:tcW w:w="2197"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1</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vertAlign w:val="superscript"/>
              </w:rPr>
            </w:pPr>
            <w:r>
              <w:rPr>
                <w:rStyle w:val="AERtextitalic"/>
              </w:rPr>
              <w:t>0.35 (0.4)</w:t>
            </w:r>
            <w:r w:rsidR="0064590E">
              <w:rPr>
                <w:rStyle w:val="FootnoteReference"/>
              </w:rPr>
              <w:t>(b</w:t>
            </w:r>
            <w:r>
              <w:rPr>
                <w:rStyle w:val="FootnoteReference"/>
              </w:rPr>
              <w:t>)</w:t>
            </w:r>
          </w:p>
        </w:tc>
        <w:tc>
          <w:tcPr>
            <w:tcW w:w="219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0.8</w:t>
            </w:r>
          </w:p>
        </w:tc>
        <w:tc>
          <w:tcPr>
            <w:tcW w:w="244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0.8</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i/>
              </w:rPr>
            </w:pPr>
            <w:r>
              <w:rPr>
                <w:rStyle w:val="AERtextitalic"/>
              </w:rPr>
              <w:t>0.28 (0.32)</w:t>
            </w:r>
            <w:r w:rsidR="0064590E">
              <w:rPr>
                <w:rStyle w:val="FootnoteReference"/>
              </w:rPr>
              <w:t>(b</w:t>
            </w:r>
            <w:r>
              <w:rPr>
                <w:rStyle w:val="FootnoteReference"/>
              </w:rPr>
              <w:t>)</w:t>
            </w:r>
          </w:p>
        </w:tc>
      </w:tr>
    </w:tbl>
    <w:p w:rsidR="00506B17" w:rsidRDefault="00506B17" w:rsidP="00506B17">
      <w:pPr>
        <w:pStyle w:val="AERtablesource"/>
      </w:pPr>
      <w:r>
        <w:t>Source:</w:t>
      </w:r>
      <w:r>
        <w:tab/>
        <w:t>AER analysis.</w:t>
      </w:r>
    </w:p>
    <w:p w:rsidR="0064590E" w:rsidRDefault="0064590E" w:rsidP="00506B17">
      <w:pPr>
        <w:pStyle w:val="AERtablesource"/>
      </w:pPr>
      <w:r>
        <w:t>(a):</w:t>
      </w:r>
      <w:r>
        <w:tab/>
        <w:t>The service providers</w:t>
      </w:r>
      <w:r w:rsidR="00E94F88">
        <w:t>' proposals</w:t>
      </w:r>
      <w:r>
        <w:t xml:space="preserve"> rely on this study from within the class of implied market value studies.</w:t>
      </w:r>
    </w:p>
    <w:p w:rsidR="00506B17" w:rsidRDefault="0064590E" w:rsidP="00506B17">
      <w:pPr>
        <w:pStyle w:val="AERtablesource"/>
      </w:pPr>
      <w:r>
        <w:t>(b</w:t>
      </w:r>
      <w:r w:rsidR="00506B17">
        <w:t>):</w:t>
      </w:r>
      <w:r w:rsidR="00506B17">
        <w:tab/>
      </w:r>
      <w:r w:rsidR="00597D52">
        <w:t xml:space="preserve">Following the adjustment proposed by </w:t>
      </w:r>
      <w:r w:rsidR="00506B17">
        <w:t>Handley and Lally</w:t>
      </w:r>
      <w:r w:rsidR="00597D52">
        <w:t>. This adjustment is discussed f</w:t>
      </w:r>
      <w:r w:rsidR="00071F21">
        <w:t xml:space="preserve">urther in section </w:t>
      </w:r>
      <w:r w:rsidR="00071F21">
        <w:fldChar w:fldCharType="begin"/>
      </w:r>
      <w:r w:rsidR="00071F21">
        <w:instrText xml:space="preserve"> REF _Ref401165415 \r \h </w:instrText>
      </w:r>
      <w:r w:rsidR="00071F21">
        <w:fldChar w:fldCharType="separate"/>
      </w:r>
      <w:r w:rsidR="00927273">
        <w:t>4.4.2</w:t>
      </w:r>
      <w:r w:rsidR="00071F21">
        <w:fldChar w:fldCharType="end"/>
      </w:r>
      <w:r w:rsidR="00597D52">
        <w:t>.</w:t>
      </w:r>
    </w:p>
    <w:p w:rsidR="002C4A08" w:rsidRDefault="002C4A08" w:rsidP="007B0DA0">
      <w:pPr>
        <w:pStyle w:val="AERbodytext"/>
      </w:pPr>
      <w:r>
        <w:t>Overall, the evidence suggests that a reasonable estimate of the value of imputation credits is within the range 0.3 to 0.5.</w:t>
      </w:r>
      <w:r w:rsidR="00474611">
        <w:rPr>
          <w:rStyle w:val="FootnoteReference"/>
        </w:rPr>
        <w:footnoteReference w:id="38"/>
      </w:r>
      <w:r>
        <w:t xml:space="preserve"> From within this range, we choose a </w:t>
      </w:r>
      <w:r w:rsidR="00D44DFF">
        <w:t>value</w:t>
      </w:r>
      <w:r>
        <w:t xml:space="preserve"> of 0.4. </w:t>
      </w:r>
      <w:r w:rsidR="00AE3636">
        <w:t>This is</w:t>
      </w:r>
      <w:r>
        <w:t xml:space="preserve"> because:</w:t>
      </w:r>
    </w:p>
    <w:p w:rsidR="002C4A08" w:rsidRDefault="00AE3636" w:rsidP="00B340E4">
      <w:pPr>
        <w:pStyle w:val="AERbulletlistfirststyle"/>
      </w:pPr>
      <w:r>
        <w:t>The equity ownership approach, on which we have placed the most reliance, suggests a value between 0.4 and 0.5 when applied to all equity and between 0.3 and 0.5 when applied to listed equity only. Therefore, t</w:t>
      </w:r>
      <w:r w:rsidR="002C4A08">
        <w:t>he balance of evidence from</w:t>
      </w:r>
      <w:r>
        <w:t xml:space="preserve"> the equity ownership approach </w:t>
      </w:r>
      <w:r w:rsidR="002C4A08">
        <w:t>suggests a value between 0.4 and 0.5.</w:t>
      </w:r>
    </w:p>
    <w:p w:rsidR="002C4A08" w:rsidRDefault="002C4A08" w:rsidP="00B340E4">
      <w:pPr>
        <w:pStyle w:val="AERbulletlistfirststyle"/>
      </w:pPr>
      <w:r>
        <w:t>The evidence from tax statistics suggests</w:t>
      </w:r>
      <w:r w:rsidR="00D44DFF">
        <w:t xml:space="preserve"> </w:t>
      </w:r>
      <w:r w:rsidR="00335579">
        <w:t>the</w:t>
      </w:r>
      <w:r w:rsidR="00D44DFF">
        <w:t xml:space="preserve"> value </w:t>
      </w:r>
      <w:r w:rsidR="00335579">
        <w:t xml:space="preserve">could be </w:t>
      </w:r>
      <w:r w:rsidR="00D44DFF">
        <w:t>lower than 0.4</w:t>
      </w:r>
      <w:r w:rsidR="00335579">
        <w:t>. T</w:t>
      </w:r>
      <w:r w:rsidR="00D44DFF">
        <w:t>herefore we choose a value at the lower end of the range suggested by the balance of evidence from the equity ownership approach (that is, 0.4)</w:t>
      </w:r>
      <w:r>
        <w:t>.</w:t>
      </w:r>
    </w:p>
    <w:p w:rsidR="002C4A08" w:rsidRDefault="002C4A08" w:rsidP="00B340E4">
      <w:pPr>
        <w:pStyle w:val="AERbulletlistfirststyle"/>
      </w:pPr>
      <w:r>
        <w:t xml:space="preserve">A value of 0.4 is </w:t>
      </w:r>
      <w:r w:rsidR="007F7185">
        <w:t xml:space="preserve">also </w:t>
      </w:r>
      <w:r>
        <w:t>reasonable in light of the evidence from implied market value studies</w:t>
      </w:r>
      <w:r w:rsidR="00F529B9">
        <w:t xml:space="preserve"> </w:t>
      </w:r>
      <w:r w:rsidR="0088187F">
        <w:t>which produces results both higher and lower than this value</w:t>
      </w:r>
      <w:r w:rsidR="004469A8">
        <w:t>,</w:t>
      </w:r>
      <w:r w:rsidR="0088187F">
        <w:t xml:space="preserve"> </w:t>
      </w:r>
      <w:r w:rsidR="00F529B9">
        <w:t xml:space="preserve">and the lesser degree of reliance we </w:t>
      </w:r>
      <w:r w:rsidR="00AE3636">
        <w:t xml:space="preserve">have </w:t>
      </w:r>
      <w:r w:rsidR="00F529B9">
        <w:t>place</w:t>
      </w:r>
      <w:r w:rsidR="00AE3636">
        <w:t>d</w:t>
      </w:r>
      <w:r w:rsidR="00F529B9">
        <w:t xml:space="preserve"> upon these studies</w:t>
      </w:r>
      <w:r w:rsidR="00B340E4">
        <w:t>.</w:t>
      </w:r>
    </w:p>
    <w:p w:rsidR="00424B7D" w:rsidRDefault="00424B7D">
      <w:pPr>
        <w:pStyle w:val="AERbodytext"/>
      </w:pPr>
      <w:r>
        <w:t xml:space="preserve">The reasons for the relative levels of reliance that we place on different types of evidence are set out in this </w:t>
      </w:r>
      <w:r w:rsidR="00CB0A52">
        <w:t>attachment</w:t>
      </w:r>
      <w:r>
        <w:t xml:space="preserve"> and </w:t>
      </w:r>
      <w:r w:rsidR="00CB0A52">
        <w:t>appendix</w:t>
      </w:r>
      <w:r>
        <w:t xml:space="preserve"> </w:t>
      </w:r>
      <w:r w:rsidR="00B04695">
        <w:t>A</w:t>
      </w:r>
      <w:r>
        <w:t>.</w:t>
      </w:r>
    </w:p>
    <w:p w:rsidR="005A0F44" w:rsidRDefault="00436F15">
      <w:pPr>
        <w:pStyle w:val="AERbodytext"/>
      </w:pPr>
      <w:r>
        <w:t xml:space="preserve">We therefore </w:t>
      </w:r>
      <w:r w:rsidR="003D7807">
        <w:t>do not accept</w:t>
      </w:r>
      <w:r>
        <w:t xml:space="preserve"> the service providers' proposed value of imputation credits of 0.25, calculated as the product of a distribution rate of 0.7 and a utilisation rate of 0.35.</w:t>
      </w:r>
      <w:r w:rsidR="003D7807">
        <w:t xml:space="preserve"> Specifically, w</w:t>
      </w:r>
      <w:r w:rsidR="005A0F44">
        <w:t>e do not accept the service providers' proposed estimate of the utilisation rate of 0.35. This is because:</w:t>
      </w:r>
    </w:p>
    <w:p w:rsidR="005A0F44" w:rsidRDefault="005A0F44" w:rsidP="005A0F44">
      <w:pPr>
        <w:pStyle w:val="AERbulletlistfirststyle"/>
      </w:pPr>
      <w:r>
        <w:t xml:space="preserve">We do not consider it reasonable to rely exclusively on the results of </w:t>
      </w:r>
      <w:r w:rsidR="00745533">
        <w:t>a single study from within the class of implied market value studies (</w:t>
      </w:r>
      <w:r w:rsidR="007D1BC3">
        <w:t xml:space="preserve">that is, </w:t>
      </w:r>
      <w:r>
        <w:t xml:space="preserve">SFG's </w:t>
      </w:r>
      <w:r w:rsidR="005B1EFD">
        <w:t xml:space="preserve">dividend drop off </w:t>
      </w:r>
      <w:r>
        <w:t>study</w:t>
      </w:r>
      <w:r w:rsidR="00745533">
        <w:t>)</w:t>
      </w:r>
      <w:r>
        <w:t>. McKenzie and Partington</w:t>
      </w:r>
      <w:r w:rsidR="003D7807">
        <w:t>'s report for the Queensland Resources Council</w:t>
      </w:r>
      <w:r>
        <w:t xml:space="preserve"> suggest</w:t>
      </w:r>
      <w:r w:rsidR="003D7807">
        <w:t>ed</w:t>
      </w:r>
      <w:r>
        <w:t xml:space="preserve"> that it is reasonable to have regard to implied market value studies other than SFG's.</w:t>
      </w:r>
      <w:r>
        <w:rPr>
          <w:rStyle w:val="FootnoteReference"/>
        </w:rPr>
        <w:footnoteReference w:id="39"/>
      </w:r>
    </w:p>
    <w:p w:rsidR="005A0F44" w:rsidRDefault="005A0F44" w:rsidP="005A0F44">
      <w:pPr>
        <w:pStyle w:val="AERbulletlistfirststyle"/>
      </w:pPr>
      <w:r>
        <w:t>We do not consider it reasonable to rely exclusively on the implied market value studies class of evidence. Handley and Lally advise</w:t>
      </w:r>
      <w:r w:rsidR="003D7807">
        <w:t>d</w:t>
      </w:r>
      <w:r>
        <w:t xml:space="preserve"> that other classes of evidence are more relevant.</w:t>
      </w:r>
      <w:r>
        <w:rPr>
          <w:rStyle w:val="FootnoteReference"/>
        </w:rPr>
        <w:footnoteReference w:id="40"/>
      </w:r>
      <w:r>
        <w:t xml:space="preserve"> </w:t>
      </w:r>
      <w:r w:rsidR="005B1EFD">
        <w:t>McKenzie and Partington's report for the Queensland Resources Council suggested that it is reasonable to</w:t>
      </w:r>
      <w:r>
        <w:t xml:space="preserve"> </w:t>
      </w:r>
      <w:r w:rsidR="005B1EFD">
        <w:t>have regard to</w:t>
      </w:r>
      <w:r>
        <w:t xml:space="preserve"> other c</w:t>
      </w:r>
      <w:r w:rsidR="005B1EFD">
        <w:t>lasses of evidence</w:t>
      </w:r>
      <w:r>
        <w:t>.</w:t>
      </w:r>
      <w:r>
        <w:rPr>
          <w:rStyle w:val="FootnoteReference"/>
        </w:rPr>
        <w:footnoteReference w:id="41"/>
      </w:r>
    </w:p>
    <w:p w:rsidR="005A0F44" w:rsidRDefault="005A0F44" w:rsidP="005A0F44">
      <w:pPr>
        <w:pStyle w:val="AERbodytext"/>
      </w:pPr>
      <w:r>
        <w:t>Even if the two points above are disregarded, and an estimate of the utilisation rate of 0.35 from SFG's study was used, we still consider that a value of imputation credits of 0.25 is unreasonable. This is because:</w:t>
      </w:r>
    </w:p>
    <w:p w:rsidR="005A0F44" w:rsidRDefault="005A0F44" w:rsidP="005A0F44">
      <w:pPr>
        <w:pStyle w:val="AERbulletlistfirststyle"/>
      </w:pPr>
      <w:r>
        <w:t>Handley and Lally advise</w:t>
      </w:r>
      <w:r w:rsidR="005B1EFD">
        <w:t>d</w:t>
      </w:r>
      <w:r>
        <w:t xml:space="preserve"> that the proper use of this estimate of the utilisati</w:t>
      </w:r>
      <w:r w:rsidR="001068F9">
        <w:t>on rate requires its adjustment</w:t>
      </w:r>
      <w:r>
        <w:t xml:space="preserve"> to 0.4.</w:t>
      </w:r>
      <w:r>
        <w:rPr>
          <w:rStyle w:val="FootnoteReference"/>
        </w:rPr>
        <w:footnoteReference w:id="42"/>
      </w:r>
      <w:r>
        <w:t xml:space="preserve"> We accept their approach.</w:t>
      </w:r>
    </w:p>
    <w:p w:rsidR="005A0F44" w:rsidRDefault="005A0F44" w:rsidP="005A0F44">
      <w:pPr>
        <w:pStyle w:val="AERbulletlistfirststyle"/>
      </w:pPr>
      <w:r>
        <w:t>This is an estimate of the utilisation rate of investors in listed equity only, and therefore it should be paired with an estimate of the distribution rate from listed equity only (that is, 0.8).</w:t>
      </w:r>
    </w:p>
    <w:p w:rsidR="005A0F44" w:rsidRDefault="005A0F44" w:rsidP="005A0F44">
      <w:pPr>
        <w:pStyle w:val="AERbodytext"/>
      </w:pPr>
      <w:r>
        <w:t>Therefore, we consider that even if the service providers' proposed utilisation rate is used, it yields a value of imputation credits of</w:t>
      </w:r>
      <w:r w:rsidR="008B75C6">
        <w:t xml:space="preserve"> (0.4 x 0.8)</w:t>
      </w:r>
      <w:r>
        <w:t xml:space="preserve"> 0.32 rather than 0.25. However, with regard to </w:t>
      </w:r>
      <w:r w:rsidR="005B1EFD">
        <w:t>discussion above</w:t>
      </w:r>
      <w:r>
        <w:t>, our preferred value of imputation credits is still higher than 0.32.</w:t>
      </w:r>
    </w:p>
    <w:p w:rsidR="008A785B" w:rsidRPr="00506B17" w:rsidRDefault="0057648E" w:rsidP="00506B17">
      <w:pPr>
        <w:pStyle w:val="AERbodytext"/>
      </w:pPr>
      <w:r>
        <w:t xml:space="preserve">In the following sections, we describe the sources of the estimates in </w:t>
      </w:r>
      <w:r>
        <w:fldChar w:fldCharType="begin"/>
      </w:r>
      <w:r>
        <w:instrText xml:space="preserve"> REF  _Ref400900366 \* Lower \h </w:instrText>
      </w:r>
      <w:r>
        <w:fldChar w:fldCharType="separate"/>
      </w:r>
      <w:r w:rsidR="00927273">
        <w:t xml:space="preserve">table </w:t>
      </w:r>
      <w:r w:rsidR="00927273">
        <w:rPr>
          <w:noProof/>
        </w:rPr>
        <w:t>4</w:t>
      </w:r>
      <w:r w:rsidR="00927273">
        <w:noBreakHyphen/>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927273">
        <w:noBreakHyphen/>
      </w:r>
      <w:r w:rsidR="00927273">
        <w:rPr>
          <w:noProof/>
        </w:rPr>
        <w:t>2</w:t>
      </w:r>
      <w:r>
        <w:fldChar w:fldCharType="end"/>
      </w:r>
      <w:r>
        <w:t xml:space="preserve">, </w:t>
      </w:r>
      <w:r w:rsidR="009716E1">
        <w:t>and we present our assessment of the underlying evidence</w:t>
      </w:r>
      <w:r w:rsidR="008A785B">
        <w:t xml:space="preserve">. </w:t>
      </w:r>
    </w:p>
    <w:p w:rsidR="00C42707" w:rsidRDefault="00C42707" w:rsidP="002D7A10">
      <w:pPr>
        <w:pStyle w:val="Heading3"/>
      </w:pPr>
      <w:bookmarkStart w:id="53" w:name="_Ref403482746"/>
      <w:bookmarkStart w:id="54" w:name="_Toc404334867"/>
      <w:r>
        <w:t>The distribution rate</w:t>
      </w:r>
      <w:bookmarkEnd w:id="53"/>
      <w:bookmarkEnd w:id="54"/>
    </w:p>
    <w:p w:rsidR="00C27A58" w:rsidRDefault="00851965" w:rsidP="00C27A58">
      <w:pPr>
        <w:pStyle w:val="AERbodytext"/>
      </w:pPr>
      <w:r>
        <w:t xml:space="preserve">We </w:t>
      </w:r>
      <w:r w:rsidR="002C3705">
        <w:t xml:space="preserve">define </w:t>
      </w:r>
      <w:r>
        <w:t>t</w:t>
      </w:r>
      <w:r w:rsidR="00C42707">
        <w:t xml:space="preserve">he distribution rate </w:t>
      </w:r>
      <w:r w:rsidR="002C3705">
        <w:t>as</w:t>
      </w:r>
      <w:r w:rsidR="00C42707">
        <w:t xml:space="preserve"> the proportion</w:t>
      </w:r>
      <w:r w:rsidR="006F7749">
        <w:t xml:space="preserve"> of imputation credits generated by the benchmark efficient entity that </w:t>
      </w:r>
      <w:r w:rsidR="00424F2D">
        <w:t>is</w:t>
      </w:r>
      <w:r w:rsidR="006F7749">
        <w:t xml:space="preserve"> distributed to investors.</w:t>
      </w:r>
      <w:r>
        <w:rPr>
          <w:rStyle w:val="FootnoteReference"/>
        </w:rPr>
        <w:footnoteReference w:id="43"/>
      </w:r>
      <w:r w:rsidR="00C27A58">
        <w:t xml:space="preserve"> We use a 0.8 estimate of the distribution rate in combination with estimates of the utilisation rate from listed equity only, and a 0.7 estimate of the distribution rate with estimates of the utilisation rate from all equity.</w:t>
      </w:r>
    </w:p>
    <w:p w:rsidR="00F5531F" w:rsidRDefault="006241C0" w:rsidP="00305957">
      <w:pPr>
        <w:pStyle w:val="AERbodytext"/>
      </w:pPr>
      <w:r>
        <w:t>Consistent with the</w:t>
      </w:r>
      <w:r w:rsidR="00404059">
        <w:t xml:space="preserve"> </w:t>
      </w:r>
      <w:r w:rsidR="0033289B">
        <w:t>Guideline</w:t>
      </w:r>
      <w:r>
        <w:t>, w</w:t>
      </w:r>
      <w:r w:rsidR="00305957">
        <w:t xml:space="preserve">e estimate </w:t>
      </w:r>
      <w:r w:rsidR="00C27A58">
        <w:t>the distribution rate</w:t>
      </w:r>
      <w:r w:rsidR="00305957">
        <w:t xml:space="preserve"> using</w:t>
      </w:r>
      <w:r w:rsidR="000B7792">
        <w:t xml:space="preserve"> the </w:t>
      </w:r>
      <w:r w:rsidR="00015D08">
        <w:t>'</w:t>
      </w:r>
      <w:r w:rsidR="000B7792">
        <w:t>cumulative payout ratio approach</w:t>
      </w:r>
      <w:r w:rsidR="00015D08">
        <w:t>'</w:t>
      </w:r>
      <w:r w:rsidR="000B7792">
        <w:t>, which uses</w:t>
      </w:r>
      <w:r w:rsidR="00305957">
        <w:t xml:space="preserve"> data </w:t>
      </w:r>
      <w:r w:rsidR="00734923">
        <w:t xml:space="preserve">from the </w:t>
      </w:r>
      <w:r w:rsidR="00D335F3">
        <w:t>ATO</w:t>
      </w:r>
      <w:r w:rsidR="00734923">
        <w:t xml:space="preserve"> on the</w:t>
      </w:r>
      <w:r w:rsidR="00305957">
        <w:t xml:space="preserve"> account</w:t>
      </w:r>
      <w:r w:rsidR="00734923">
        <w:t>s used by companies to track their stocks of imputation credits ('franking account balances')</w:t>
      </w:r>
      <w:r w:rsidR="00305957">
        <w:t>.</w:t>
      </w:r>
      <w:r w:rsidR="003D28CD">
        <w:rPr>
          <w:rStyle w:val="FootnoteReference"/>
        </w:rPr>
        <w:footnoteReference w:id="44"/>
      </w:r>
      <w:r w:rsidR="00305957">
        <w:t xml:space="preserve"> Using this approach, </w:t>
      </w:r>
      <w:r w:rsidR="00715AAE">
        <w:t>NERA</w:t>
      </w:r>
      <w:r w:rsidR="001E2F25">
        <w:t xml:space="preserve"> </w:t>
      </w:r>
      <w:r w:rsidR="00305957">
        <w:t>estimate</w:t>
      </w:r>
      <w:r w:rsidR="001E2F25">
        <w:t>d</w:t>
      </w:r>
      <w:r w:rsidR="00305957">
        <w:t xml:space="preserve"> a distribution rate across all equity of 0.7 for the period 1987 to 2011.</w:t>
      </w:r>
      <w:r w:rsidR="00FD7776">
        <w:rPr>
          <w:rStyle w:val="FootnoteReference"/>
        </w:rPr>
        <w:footnoteReference w:id="45"/>
      </w:r>
      <w:r w:rsidR="00305957">
        <w:t xml:space="preserve"> Hathaway </w:t>
      </w:r>
      <w:r w:rsidR="00715AAE">
        <w:t xml:space="preserve">found </w:t>
      </w:r>
      <w:r w:rsidR="00305957">
        <w:t>a similar estimate for the period 2004 to 2011.</w:t>
      </w:r>
      <w:r w:rsidR="00FD7776">
        <w:rPr>
          <w:rStyle w:val="FootnoteReference"/>
        </w:rPr>
        <w:footnoteReference w:id="46"/>
      </w:r>
      <w:r w:rsidR="00305957">
        <w:t xml:space="preserve"> </w:t>
      </w:r>
    </w:p>
    <w:p w:rsidR="00C42707" w:rsidRDefault="00776C0E" w:rsidP="00C42707">
      <w:pPr>
        <w:pStyle w:val="AERbodytext"/>
      </w:pPr>
      <w:r>
        <w:t>We use t</w:t>
      </w:r>
      <w:r w:rsidR="00734923">
        <w:t>he cumulative payout ratio approach</w:t>
      </w:r>
      <w:r>
        <w:t xml:space="preserve"> because it</w:t>
      </w:r>
      <w:r w:rsidR="00305957">
        <w:t>:</w:t>
      </w:r>
    </w:p>
    <w:p w:rsidR="00305957" w:rsidRDefault="00305957" w:rsidP="00305957">
      <w:pPr>
        <w:pStyle w:val="AERbulletlistfirststyle"/>
      </w:pPr>
      <w:r>
        <w:t>is simple and intuitive</w:t>
      </w:r>
    </w:p>
    <w:p w:rsidR="00305957" w:rsidRDefault="00305957" w:rsidP="00305957">
      <w:pPr>
        <w:pStyle w:val="AERbulletlistfirststyle"/>
      </w:pPr>
      <w:r>
        <w:t>uses long-term, published data</w:t>
      </w:r>
      <w:r w:rsidR="00704686">
        <w:t>, and</w:t>
      </w:r>
    </w:p>
    <w:p w:rsidR="00305957" w:rsidRDefault="00305957" w:rsidP="00305957">
      <w:pPr>
        <w:pStyle w:val="AERbulletlistfirststyle"/>
      </w:pPr>
      <w:r>
        <w:t>is supported by the s</w:t>
      </w:r>
      <w:r w:rsidR="006D1C84">
        <w:t xml:space="preserve">ervice providers, SFG, Handley and </w:t>
      </w:r>
      <w:r>
        <w:t>McKenzie and Partington</w:t>
      </w:r>
      <w:r w:rsidR="006D1C84">
        <w:t>.</w:t>
      </w:r>
      <w:r w:rsidR="00142828">
        <w:rPr>
          <w:rStyle w:val="FootnoteReference"/>
        </w:rPr>
        <w:footnoteReference w:id="47"/>
      </w:r>
    </w:p>
    <w:p w:rsidR="00FD6F15" w:rsidRDefault="00FD6F15" w:rsidP="00FD6F15">
      <w:pPr>
        <w:pStyle w:val="AERbodytext"/>
      </w:pPr>
      <w:r>
        <w:t>Also using this approach, Handley estimate</w:t>
      </w:r>
      <w:r w:rsidR="00457B0C">
        <w:t>d</w:t>
      </w:r>
      <w:r>
        <w:t xml:space="preserve"> a distribution rate across listed equity only of 0.8 for the period 1987 to 2011.</w:t>
      </w:r>
      <w:r>
        <w:rPr>
          <w:rStyle w:val="FootnoteReference"/>
        </w:rPr>
        <w:footnoteReference w:id="48"/>
      </w:r>
      <w:r>
        <w:t xml:space="preserve"> A distribution rate across listed equity only was not presented in the </w:t>
      </w:r>
      <w:r w:rsidR="0033289B">
        <w:t>Guideline</w:t>
      </w:r>
      <w:r>
        <w:t>. However, as set out above, we now consider that:</w:t>
      </w:r>
    </w:p>
    <w:p w:rsidR="00FD6F15" w:rsidRDefault="00FD6F15" w:rsidP="00FD6F15">
      <w:pPr>
        <w:pStyle w:val="AERbulletlistfirststyle"/>
      </w:pPr>
      <w:r>
        <w:t>It is o</w:t>
      </w:r>
      <w:r w:rsidRPr="00F5531F">
        <w:t>pen to us to have regard to evidence from all equity and/or listed equity only</w:t>
      </w:r>
      <w:r>
        <w:t>.</w:t>
      </w:r>
    </w:p>
    <w:p w:rsidR="00FD6F15" w:rsidRDefault="00FD6F15" w:rsidP="00FD6F15">
      <w:pPr>
        <w:pStyle w:val="AERbulletlistfirststyle"/>
      </w:pPr>
      <w:r>
        <w:t xml:space="preserve">It would be </w:t>
      </w:r>
      <w:r w:rsidR="002C3705">
        <w:t>inconsistent</w:t>
      </w:r>
      <w:r w:rsidR="002C3705" w:rsidRPr="00F5531F">
        <w:t xml:space="preserve"> </w:t>
      </w:r>
      <w:r w:rsidRPr="00F5531F">
        <w:t>to pair an estimate of the utilisation rate from listed equity only with an estimate of the distribution rate from all equity (and vice versa).</w:t>
      </w:r>
    </w:p>
    <w:p w:rsidR="00FF13BD" w:rsidRDefault="00C102E1" w:rsidP="002D7A10">
      <w:pPr>
        <w:pStyle w:val="Heading3"/>
      </w:pPr>
      <w:bookmarkStart w:id="55" w:name="_Ref401165415"/>
      <w:bookmarkStart w:id="56" w:name="_Toc404334868"/>
      <w:r>
        <w:t>The utilisation rate</w:t>
      </w:r>
      <w:bookmarkEnd w:id="55"/>
      <w:bookmarkEnd w:id="56"/>
    </w:p>
    <w:p w:rsidR="000301D3" w:rsidRDefault="00957DF7" w:rsidP="006241C0">
      <w:pPr>
        <w:pStyle w:val="AERbodytext"/>
      </w:pPr>
      <w:r>
        <w:t>We define t</w:t>
      </w:r>
      <w:r w:rsidR="000301D3">
        <w:t xml:space="preserve">he utilisation rate </w:t>
      </w:r>
      <w:r>
        <w:t>as</w:t>
      </w:r>
      <w:r w:rsidR="00520083">
        <w:t xml:space="preserve"> the utilisation value to investors in the market per dollar of imputation credit</w:t>
      </w:r>
      <w:r w:rsidR="00C771B5">
        <w:t>s</w:t>
      </w:r>
      <w:r w:rsidR="00520083">
        <w:t xml:space="preserve"> distributed. In the Monkhouse framework, the utilisation rate is equal to the weighted average, by wealth and risk aversion, of the utilisation rates of individual investors. </w:t>
      </w:r>
      <w:r w:rsidR="00520083" w:rsidRPr="00EB5361">
        <w:t xml:space="preserve">For an ‘eligible’ investor, each dollar of imputation credit received can be fully </w:t>
      </w:r>
      <w:r w:rsidR="00520083">
        <w:t>returned to the investor</w:t>
      </w:r>
      <w:r w:rsidR="00520083" w:rsidRPr="00EB5361">
        <w:t xml:space="preserve"> </w:t>
      </w:r>
      <w:r w:rsidR="00520083">
        <w:t xml:space="preserve">in </w:t>
      </w:r>
      <w:r w:rsidR="00520083" w:rsidRPr="00EB5361">
        <w:t>the form of a reducti</w:t>
      </w:r>
      <w:r w:rsidR="00520083">
        <w:t>on in tax payable or a refund.</w:t>
      </w:r>
      <w:r w:rsidR="00520083">
        <w:rPr>
          <w:rStyle w:val="FootnoteReference"/>
        </w:rPr>
        <w:footnoteReference w:id="49"/>
      </w:r>
      <w:r w:rsidR="00520083">
        <w:t xml:space="preserve"> </w:t>
      </w:r>
      <w:r w:rsidR="00520083" w:rsidRPr="00EB5361">
        <w:t xml:space="preserve">Therefore, we consider that eligible investors have a utilisation rate of 1. Conversely, ‘ineligible’ investors cannot </w:t>
      </w:r>
      <w:r w:rsidR="00E93FFB">
        <w:t>utilise</w:t>
      </w:r>
      <w:r w:rsidR="00520083" w:rsidRPr="00EB5361">
        <w:t xml:space="preserve"> imputation credits and have a utilisation rate of 0.</w:t>
      </w:r>
      <w:r w:rsidR="00C16586">
        <w:t xml:space="preserve"> It follows that the utilisation rate reflects the extent to which investors can utilise the imputation credits they receive to reduce their tax or get a refund.</w:t>
      </w:r>
      <w:r w:rsidR="00520083">
        <w:t xml:space="preserve"> </w:t>
      </w:r>
      <w:r w:rsidR="00612270">
        <w:t>We discuss</w:t>
      </w:r>
      <w:r w:rsidR="00015D08">
        <w:t xml:space="preserve"> our interpretation and definition of</w:t>
      </w:r>
      <w:r w:rsidR="00520083">
        <w:t xml:space="preserve"> the utilisation rate</w:t>
      </w:r>
      <w:r w:rsidR="00612270">
        <w:t xml:space="preserve"> further in section</w:t>
      </w:r>
      <w:r w:rsidR="00DC5375">
        <w:t xml:space="preserve">s </w:t>
      </w:r>
      <w:r w:rsidR="00C61296">
        <w:fldChar w:fldCharType="begin"/>
      </w:r>
      <w:r w:rsidR="00C61296">
        <w:instrText xml:space="preserve"> REF _Ref400965182 \r \h </w:instrText>
      </w:r>
      <w:r w:rsidR="00C61296">
        <w:fldChar w:fldCharType="separate"/>
      </w:r>
      <w:r w:rsidR="00927273">
        <w:t>A.5</w:t>
      </w:r>
      <w:r w:rsidR="00C61296">
        <w:fldChar w:fldCharType="end"/>
      </w:r>
      <w:r w:rsidR="00DC5375">
        <w:t xml:space="preserve"> and</w:t>
      </w:r>
      <w:r w:rsidR="00612270">
        <w:t xml:space="preserve"> </w:t>
      </w:r>
      <w:r w:rsidR="00C61296">
        <w:fldChar w:fldCharType="begin"/>
      </w:r>
      <w:r w:rsidR="00C61296">
        <w:instrText xml:space="preserve"> REF _Ref401272599 \r \h </w:instrText>
      </w:r>
      <w:r w:rsidR="00C61296">
        <w:fldChar w:fldCharType="separate"/>
      </w:r>
      <w:r w:rsidR="00927273">
        <w:t>A.7</w:t>
      </w:r>
      <w:r w:rsidR="00C61296">
        <w:fldChar w:fldCharType="end"/>
      </w:r>
      <w:r w:rsidR="00612270">
        <w:t xml:space="preserve"> of </w:t>
      </w:r>
      <w:r w:rsidR="00CB0A52">
        <w:t>appendix</w:t>
      </w:r>
      <w:r w:rsidR="00B04695">
        <w:t xml:space="preserve"> A</w:t>
      </w:r>
      <w:r w:rsidR="00520083">
        <w:t xml:space="preserve">. </w:t>
      </w:r>
    </w:p>
    <w:p w:rsidR="006241C0" w:rsidRDefault="00FE08C3" w:rsidP="006241C0">
      <w:pPr>
        <w:pStyle w:val="AERbodytext"/>
      </w:pPr>
      <w:r>
        <w:t>Consistent with the</w:t>
      </w:r>
      <w:r w:rsidR="006241C0">
        <w:t xml:space="preserve"> </w:t>
      </w:r>
      <w:r w:rsidR="0033289B">
        <w:t>Guideline</w:t>
      </w:r>
      <w:r w:rsidR="006241C0">
        <w:t>, when estimating the uti</w:t>
      </w:r>
      <w:r w:rsidR="003902FC">
        <w:t xml:space="preserve">lisation rate </w:t>
      </w:r>
      <w:r w:rsidR="0061054A">
        <w:t xml:space="preserve">we </w:t>
      </w:r>
      <w:r w:rsidR="00C65855">
        <w:t>place</w:t>
      </w:r>
      <w:r w:rsidR="006241C0">
        <w:t>:</w:t>
      </w:r>
    </w:p>
    <w:p w:rsidR="006241C0" w:rsidRDefault="0061054A" w:rsidP="006241C0">
      <w:pPr>
        <w:pStyle w:val="AERbulletlistfirststyle"/>
      </w:pPr>
      <w:r>
        <w:t xml:space="preserve">significant </w:t>
      </w:r>
      <w:r w:rsidR="00724D6A">
        <w:t xml:space="preserve">reliance upon </w:t>
      </w:r>
      <w:r>
        <w:t>t</w:t>
      </w:r>
      <w:r w:rsidR="006241C0">
        <w:t>he equity ownership approach</w:t>
      </w:r>
    </w:p>
    <w:p w:rsidR="006241C0" w:rsidRDefault="00FD7402" w:rsidP="006241C0">
      <w:pPr>
        <w:pStyle w:val="AERbulletlistfirststyle"/>
      </w:pPr>
      <w:r>
        <w:t xml:space="preserve">some </w:t>
      </w:r>
      <w:r w:rsidR="00724D6A">
        <w:t>reliance upon</w:t>
      </w:r>
      <w:r w:rsidR="00DF5B72">
        <w:t xml:space="preserve"> </w:t>
      </w:r>
      <w:r w:rsidR="0061054A">
        <w:t>t</w:t>
      </w:r>
      <w:r w:rsidR="006241C0">
        <w:t>ax statistics</w:t>
      </w:r>
      <w:r w:rsidR="00FE08C3">
        <w:t>, and</w:t>
      </w:r>
    </w:p>
    <w:p w:rsidR="006241C0" w:rsidRDefault="0061054A" w:rsidP="006241C0">
      <w:pPr>
        <w:pStyle w:val="AERbulletlistfirststyle"/>
      </w:pPr>
      <w:r>
        <w:t xml:space="preserve">less </w:t>
      </w:r>
      <w:r w:rsidR="00724D6A">
        <w:t>reliance upon</w:t>
      </w:r>
      <w:r w:rsidR="00DF5B72">
        <w:t xml:space="preserve"> </w:t>
      </w:r>
      <w:r>
        <w:t>i</w:t>
      </w:r>
      <w:r w:rsidR="006241C0">
        <w:t>mplied market value studies</w:t>
      </w:r>
      <w:r w:rsidR="00D839AC">
        <w:t>.</w:t>
      </w:r>
    </w:p>
    <w:p w:rsidR="00444C92" w:rsidRDefault="00444C92" w:rsidP="0061054A">
      <w:pPr>
        <w:pStyle w:val="AERbodytext"/>
      </w:pPr>
      <w:r>
        <w:t xml:space="preserve">The results from those classes of evidence on which we place reliance are summarised in </w:t>
      </w:r>
      <w:r>
        <w:fldChar w:fldCharType="begin"/>
      </w:r>
      <w:r>
        <w:instrText xml:space="preserve"> REF  _Ref400900366 \* Lower \h </w:instrText>
      </w:r>
      <w:r>
        <w:fldChar w:fldCharType="separate"/>
      </w:r>
      <w:r w:rsidR="00927273">
        <w:t xml:space="preserve">table </w:t>
      </w:r>
      <w:r w:rsidR="00927273">
        <w:rPr>
          <w:noProof/>
        </w:rPr>
        <w:t>4</w:t>
      </w:r>
      <w:r w:rsidR="00927273">
        <w:noBreakHyphen/>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927273">
        <w:noBreakHyphen/>
      </w:r>
      <w:r w:rsidR="00927273">
        <w:rPr>
          <w:noProof/>
        </w:rPr>
        <w:t>2</w:t>
      </w:r>
      <w:r>
        <w:fldChar w:fldCharType="end"/>
      </w:r>
      <w:r>
        <w:t>.</w:t>
      </w:r>
    </w:p>
    <w:p w:rsidR="006241C0" w:rsidRDefault="0061054A" w:rsidP="0061054A">
      <w:pPr>
        <w:pStyle w:val="AERbodytext"/>
      </w:pPr>
      <w:r>
        <w:t>The relative importance that we assign to each approach is supported by Handley and Lally</w:t>
      </w:r>
      <w:r w:rsidR="009153C2">
        <w:t xml:space="preserve">, while </w:t>
      </w:r>
      <w:r w:rsidR="00854C0A">
        <w:t xml:space="preserve">McKenzie and Partington's report for the Queensland Resources Council suggested that </w:t>
      </w:r>
      <w:r w:rsidR="009153C2">
        <w:t>having regard to all of these approaches is reasonable</w:t>
      </w:r>
      <w:r>
        <w:t>.</w:t>
      </w:r>
      <w:r>
        <w:rPr>
          <w:rStyle w:val="FootnoteReference"/>
        </w:rPr>
        <w:footnoteReference w:id="50"/>
      </w:r>
      <w:r>
        <w:t xml:space="preserve"> We discuss each approach</w:t>
      </w:r>
      <w:r w:rsidR="006241C0">
        <w:t xml:space="preserve"> </w:t>
      </w:r>
      <w:r>
        <w:t>in the sections below.</w:t>
      </w:r>
      <w:r w:rsidR="0050623B">
        <w:rPr>
          <w:rStyle w:val="FootnoteReference"/>
        </w:rPr>
        <w:footnoteReference w:id="51"/>
      </w:r>
      <w:r>
        <w:t xml:space="preserve"> </w:t>
      </w:r>
      <w:r w:rsidR="006241C0">
        <w:t xml:space="preserve">We depart from the </w:t>
      </w:r>
      <w:r w:rsidR="0033289B">
        <w:t>Guideline</w:t>
      </w:r>
      <w:r w:rsidR="006241C0">
        <w:t xml:space="preserve"> by not </w:t>
      </w:r>
      <w:r w:rsidR="00D15155">
        <w:t>relying upon</w:t>
      </w:r>
      <w:r w:rsidR="006241C0">
        <w:t xml:space="preserve"> the 'conceptual goalposts approach'. </w:t>
      </w:r>
      <w:r>
        <w:t>We discuss</w:t>
      </w:r>
      <w:r w:rsidR="006241C0">
        <w:t xml:space="preserve"> </w:t>
      </w:r>
      <w:r>
        <w:t xml:space="preserve">this </w:t>
      </w:r>
      <w:r w:rsidR="006241C0">
        <w:t>approach and our revised consider</w:t>
      </w:r>
      <w:r>
        <w:t xml:space="preserve">ation of it </w:t>
      </w:r>
      <w:r w:rsidR="006241C0">
        <w:t xml:space="preserve">in </w:t>
      </w:r>
      <w:r w:rsidR="00A81E3B">
        <w:t xml:space="preserve">section </w:t>
      </w:r>
      <w:r w:rsidR="002A2DF1">
        <w:fldChar w:fldCharType="begin"/>
      </w:r>
      <w:r w:rsidR="002A2DF1">
        <w:instrText xml:space="preserve"> REF _Ref403481482 \r \h </w:instrText>
      </w:r>
      <w:r w:rsidR="002A2DF1">
        <w:fldChar w:fldCharType="separate"/>
      </w:r>
      <w:r w:rsidR="00927273">
        <w:t>A.16</w:t>
      </w:r>
      <w:r w:rsidR="002A2DF1">
        <w:fldChar w:fldCharType="end"/>
      </w:r>
      <w:r w:rsidR="00A81E3B">
        <w:t xml:space="preserve"> of </w:t>
      </w:r>
      <w:r w:rsidR="00CB0A52">
        <w:t>appendix</w:t>
      </w:r>
      <w:r w:rsidR="00A81E3B">
        <w:t xml:space="preserve"> </w:t>
      </w:r>
      <w:r w:rsidR="00B04695">
        <w:t>A</w:t>
      </w:r>
      <w:r w:rsidR="006241C0">
        <w:t>.</w:t>
      </w:r>
    </w:p>
    <w:p w:rsidR="007D0F6F" w:rsidRPr="007D0F6F" w:rsidRDefault="007D0F6F" w:rsidP="00C41468">
      <w:pPr>
        <w:pStyle w:val="AERbodytext"/>
        <w:keepNext/>
        <w:rPr>
          <w:rStyle w:val="AERtextbold"/>
        </w:rPr>
      </w:pPr>
      <w:r w:rsidRPr="007D0F6F">
        <w:rPr>
          <w:rStyle w:val="AERtextbold"/>
        </w:rPr>
        <w:t>Responses to key issues raised by stakeholders</w:t>
      </w:r>
    </w:p>
    <w:p w:rsidR="007D0F6F" w:rsidRDefault="007D0F6F" w:rsidP="0061054A">
      <w:pPr>
        <w:pStyle w:val="AERbodytext"/>
      </w:pPr>
      <w:r>
        <w:t xml:space="preserve">The issues raised by the service providers in relation to the utilisation rate are addressed in the relevant sections below and in various sections of </w:t>
      </w:r>
      <w:r w:rsidR="00CB0A52">
        <w:t>appendix</w:t>
      </w:r>
      <w:r w:rsidR="00B04695">
        <w:t xml:space="preserve"> A</w:t>
      </w:r>
      <w:r>
        <w:t>.</w:t>
      </w:r>
    </w:p>
    <w:p w:rsidR="005548BC" w:rsidRDefault="005548BC" w:rsidP="0061054A">
      <w:pPr>
        <w:pStyle w:val="AERbodytext"/>
      </w:pPr>
      <w:r>
        <w:t xml:space="preserve">There were two material comments on the value of imputation credits in submissions </w:t>
      </w:r>
      <w:r w:rsidR="0051360C">
        <w:t xml:space="preserve">from consumer representatives </w:t>
      </w:r>
      <w:r>
        <w:t xml:space="preserve">to the current set of </w:t>
      </w:r>
      <w:r w:rsidR="00A34DC3">
        <w:t>regulatory decisions</w:t>
      </w:r>
      <w:r>
        <w:t>:</w:t>
      </w:r>
    </w:p>
    <w:p w:rsidR="009153C2" w:rsidRDefault="00F829DB" w:rsidP="00F829DB">
      <w:pPr>
        <w:pStyle w:val="AERbulletlistfirststyle"/>
      </w:pPr>
      <w:r>
        <w:t>The Public Interest Advocacy Centre submitted that the Australian Competition Tribunal's decision in 2011 to rely on an estimate of the utilisation rate from SFG's dividend drop off study should not be viewed as permanently determinative.</w:t>
      </w:r>
      <w:r w:rsidR="00320D46">
        <w:rPr>
          <w:rStyle w:val="FootnoteReference"/>
        </w:rPr>
        <w:footnoteReference w:id="52"/>
      </w:r>
      <w:r>
        <w:t xml:space="preserve"> We agree with these comments in light of the Tribunal's finding that:</w:t>
      </w:r>
      <w:r>
        <w:rPr>
          <w:rStyle w:val="FootnoteReference"/>
        </w:rPr>
        <w:footnoteReference w:id="53"/>
      </w:r>
    </w:p>
    <w:p w:rsidR="00F829DB" w:rsidRDefault="008A03DA" w:rsidP="00F829DB">
      <w:pPr>
        <w:pStyle w:val="AERquote"/>
      </w:pPr>
      <w:r>
        <w:t xml:space="preserve">Further, </w:t>
      </w:r>
      <w:r w:rsidR="00F829DB">
        <w:t>the Tribunal notes that estimation of a parameter such as [the value of imputation credits] is necessarily, and desirably, an ongoing intellectual and empirical endeavour. Its decision in these proceedings is based on the material before it.</w:t>
      </w:r>
    </w:p>
    <w:p w:rsidR="007D0F6F" w:rsidRDefault="00F829DB" w:rsidP="00F829DB">
      <w:pPr>
        <w:pStyle w:val="AERbulletlistfirststyle"/>
      </w:pPr>
      <w:r>
        <w:t>The Energy Markets Reform Forum submitted that an appropriate estimate of the value of imputation credits should not be considered in isolation from other rate of return parameters.</w:t>
      </w:r>
      <w:r w:rsidR="00320D46">
        <w:rPr>
          <w:rStyle w:val="FootnoteReference"/>
        </w:rPr>
        <w:footnoteReference w:id="54"/>
      </w:r>
      <w:r>
        <w:t xml:space="preserve"> We agree that the reasonableness of the overall rate of return is of primary importance and </w:t>
      </w:r>
      <w:r w:rsidR="00A50EC2">
        <w:t xml:space="preserve">we have taken into account the </w:t>
      </w:r>
      <w:r>
        <w:t>interrelationships</w:t>
      </w:r>
      <w:r w:rsidR="00A50EC2">
        <w:t xml:space="preserve"> that</w:t>
      </w:r>
      <w:r>
        <w:t xml:space="preserve"> exist between rate of return parameters. </w:t>
      </w:r>
    </w:p>
    <w:p w:rsidR="00FF13BD" w:rsidRDefault="00C102E1" w:rsidP="002D7A10">
      <w:pPr>
        <w:pStyle w:val="HeadingBoldBlue"/>
        <w:numPr>
          <w:ilvl w:val="0"/>
          <w:numId w:val="0"/>
        </w:numPr>
      </w:pPr>
      <w:r>
        <w:t>The equity ownership approach</w:t>
      </w:r>
    </w:p>
    <w:p w:rsidR="0029614B" w:rsidRDefault="001F2EB4" w:rsidP="0029614B">
      <w:pPr>
        <w:pStyle w:val="AERbodytext"/>
      </w:pPr>
      <w:r>
        <w:t>W</w:t>
      </w:r>
      <w:r w:rsidR="00945671">
        <w:t xml:space="preserve">e consider that </w:t>
      </w:r>
      <w:r w:rsidR="00945671" w:rsidRPr="0029614B">
        <w:t>the value-weighted proportion of domestic investors in th</w:t>
      </w:r>
      <w:r w:rsidR="00945671">
        <w:t>e Australian equity market is a reasonable</w:t>
      </w:r>
      <w:r w:rsidR="00945671" w:rsidRPr="0029614B">
        <w:t xml:space="preserve"> estimate of the utilisation rate</w:t>
      </w:r>
      <w:r w:rsidR="00945671">
        <w:t>. This is because, i</w:t>
      </w:r>
      <w:r w:rsidR="0029614B">
        <w:t xml:space="preserve">n general, domestic investors are eligible to </w:t>
      </w:r>
      <w:r w:rsidR="00E93FFB">
        <w:t>utilise</w:t>
      </w:r>
      <w:r w:rsidR="0029614B">
        <w:t xml:space="preserve"> imputation credits and foreign investors are not. </w:t>
      </w:r>
      <w:r>
        <w:t xml:space="preserve">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t>
      </w:r>
      <w:r w:rsidR="0029614B" w:rsidRPr="003A2E5B">
        <w:t xml:space="preserve">We refer to this approach as </w:t>
      </w:r>
      <w:r w:rsidR="00945671">
        <w:t>the 'equity ownership approach', and w</w:t>
      </w:r>
      <w:r w:rsidR="002D7AC3">
        <w:t xml:space="preserve">e use data from </w:t>
      </w:r>
      <w:r w:rsidR="0061054A">
        <w:t xml:space="preserve">the National Accounts </w:t>
      </w:r>
      <w:r w:rsidR="001D6CCC">
        <w:t>of the</w:t>
      </w:r>
      <w:r w:rsidR="00DF0D74">
        <w:t xml:space="preserve"> Australian Bureau of Statistics</w:t>
      </w:r>
      <w:r w:rsidR="001D6CCC">
        <w:t xml:space="preserve"> </w:t>
      </w:r>
      <w:r w:rsidR="00DF0D74">
        <w:t>(</w:t>
      </w:r>
      <w:r w:rsidR="001D6CCC">
        <w:t>ABS</w:t>
      </w:r>
      <w:r w:rsidR="00DF0D74">
        <w:t>)</w:t>
      </w:r>
      <w:r w:rsidR="001D6CCC">
        <w:t xml:space="preserve"> </w:t>
      </w:r>
      <w:r w:rsidR="002D7AC3">
        <w:t>to estimate the domestic ownership share.</w:t>
      </w:r>
      <w:r w:rsidR="0061054A">
        <w:rPr>
          <w:rStyle w:val="FootnoteReference"/>
        </w:rPr>
        <w:footnoteReference w:id="55"/>
      </w:r>
    </w:p>
    <w:p w:rsidR="002D7AC3" w:rsidRDefault="002D7AC3" w:rsidP="0029614B">
      <w:pPr>
        <w:pStyle w:val="AERbodytext"/>
      </w:pPr>
      <w:r>
        <w:t xml:space="preserve">We </w:t>
      </w:r>
      <w:r w:rsidR="004F2DEB">
        <w:t>place</w:t>
      </w:r>
      <w:r>
        <w:t xml:space="preserve"> </w:t>
      </w:r>
      <w:r w:rsidR="00545605">
        <w:t>significant</w:t>
      </w:r>
      <w:r>
        <w:t xml:space="preserve"> </w:t>
      </w:r>
      <w:r w:rsidR="004F2DEB">
        <w:t>reliance</w:t>
      </w:r>
      <w:r>
        <w:t xml:space="preserve"> </w:t>
      </w:r>
      <w:r w:rsidR="004F2DEB">
        <w:t>upon</w:t>
      </w:r>
      <w:r>
        <w:t xml:space="preserve"> </w:t>
      </w:r>
      <w:r w:rsidR="00545605">
        <w:t>the equity ownership</w:t>
      </w:r>
      <w:r>
        <w:t xml:space="preserve"> approach when considering estimates of the utilisation rate. This is because:</w:t>
      </w:r>
    </w:p>
    <w:p w:rsidR="002D7AC3" w:rsidRDefault="00A7385C" w:rsidP="00A7385C">
      <w:pPr>
        <w:pStyle w:val="AERbulletlistfirststyle"/>
      </w:pPr>
      <w:r>
        <w:t>it is well aligned with the definition of the utilisation rate in the Monkhouse framework</w:t>
      </w:r>
    </w:p>
    <w:p w:rsidR="00A7385C" w:rsidRDefault="00A7385C" w:rsidP="00A7385C">
      <w:pPr>
        <w:pStyle w:val="AERbulletlistfirststyle"/>
      </w:pPr>
      <w:r>
        <w:t>it employs a relatively simple and intuitive methodology</w:t>
      </w:r>
    </w:p>
    <w:p w:rsidR="00A7385C" w:rsidRDefault="00A7385C" w:rsidP="00A7385C">
      <w:pPr>
        <w:pStyle w:val="AERbulletlistfirststyle"/>
      </w:pPr>
      <w:r>
        <w:t>it uses a reliable and transparent source of data</w:t>
      </w:r>
      <w:r w:rsidR="00704686">
        <w:t>, and</w:t>
      </w:r>
    </w:p>
    <w:p w:rsidR="00A7385C" w:rsidRDefault="00A7385C" w:rsidP="00A7385C">
      <w:pPr>
        <w:pStyle w:val="AERbulletlistfirststyle"/>
      </w:pPr>
      <w:r>
        <w:t xml:space="preserve">it provides </w:t>
      </w:r>
      <w:r w:rsidR="00DB240B">
        <w:t xml:space="preserve">estimates of the utilisation rate for investors in </w:t>
      </w:r>
      <w:r w:rsidR="009877DB">
        <w:t xml:space="preserve">both </w:t>
      </w:r>
      <w:r w:rsidR="00DB240B">
        <w:t>all equity and listed equity</w:t>
      </w:r>
      <w:r w:rsidR="001E4EF7">
        <w:t xml:space="preserve"> only</w:t>
      </w:r>
      <w:r w:rsidR="00DB240B">
        <w:t>.</w:t>
      </w:r>
    </w:p>
    <w:p w:rsidR="00BE43FC" w:rsidRDefault="00BE43FC" w:rsidP="0061054A">
      <w:pPr>
        <w:pStyle w:val="AERbodytext"/>
      </w:pPr>
      <w:r>
        <w:t xml:space="preserve">We have regard also to the limitations of this approach, but we do not consider them significant. We discuss these limitations in section </w:t>
      </w:r>
      <w:r w:rsidR="008B6562">
        <w:fldChar w:fldCharType="begin"/>
      </w:r>
      <w:r w:rsidR="008B6562">
        <w:instrText xml:space="preserve"> REF _Ref403481615 \r \h </w:instrText>
      </w:r>
      <w:r w:rsidR="008B6562">
        <w:fldChar w:fldCharType="separate"/>
      </w:r>
      <w:r w:rsidR="00927273">
        <w:t>A.11</w:t>
      </w:r>
      <w:r w:rsidR="008B6562">
        <w:fldChar w:fldCharType="end"/>
      </w:r>
      <w:r>
        <w:t xml:space="preserve"> of </w:t>
      </w:r>
      <w:r w:rsidR="00CB0A52">
        <w:t>appendix</w:t>
      </w:r>
      <w:r w:rsidR="00B04695">
        <w:t xml:space="preserve"> A</w:t>
      </w:r>
      <w:r>
        <w:t>.</w:t>
      </w:r>
    </w:p>
    <w:p w:rsidR="0061054A" w:rsidRDefault="0061054A" w:rsidP="0061054A">
      <w:pPr>
        <w:pStyle w:val="AERbodytext"/>
      </w:pPr>
      <w:r>
        <w:t>We consider that a reasonable estimate for the utilisation rate from the equity ownership approach is between:</w:t>
      </w:r>
    </w:p>
    <w:p w:rsidR="0061054A" w:rsidRDefault="0061054A" w:rsidP="0061054A">
      <w:pPr>
        <w:pStyle w:val="AERbulletlistfirststyle"/>
      </w:pPr>
      <w:r>
        <w:t>0.55 and 0.7</w:t>
      </w:r>
      <w:r w:rsidR="001D6CCC">
        <w:t>0</w:t>
      </w:r>
      <w:r>
        <w:t>, if all equity is considered</w:t>
      </w:r>
      <w:r w:rsidR="00D347DE">
        <w:t>.</w:t>
      </w:r>
    </w:p>
    <w:p w:rsidR="0061054A" w:rsidRDefault="0061054A" w:rsidP="0061054A">
      <w:pPr>
        <w:pStyle w:val="AERbulletlistfirststyle"/>
      </w:pPr>
      <w:r>
        <w:t>0.4</w:t>
      </w:r>
      <w:r w:rsidR="001D6CCC">
        <w:t>0</w:t>
      </w:r>
      <w:r>
        <w:t xml:space="preserve"> and 0.6</w:t>
      </w:r>
      <w:r w:rsidR="001D6CCC">
        <w:t>0</w:t>
      </w:r>
      <w:r>
        <w:t xml:space="preserve">, if </w:t>
      </w:r>
      <w:r w:rsidR="001E4EF7">
        <w:t xml:space="preserve">only </w:t>
      </w:r>
      <w:r>
        <w:t>listed equity is considered.</w:t>
      </w:r>
    </w:p>
    <w:p w:rsidR="00D32253" w:rsidRDefault="00D32253" w:rsidP="0061054A">
      <w:pPr>
        <w:pStyle w:val="AERbodytext"/>
      </w:pPr>
      <w:r>
        <w:t>This broadly accords with Handley's advice on the equity ownership approach, noting that Handley's report uses the March 2014 release of the relevant data whereas we have subsequently used the September 2014 release.</w:t>
      </w:r>
      <w:r>
        <w:rPr>
          <w:rStyle w:val="FootnoteReference"/>
        </w:rPr>
        <w:footnoteReference w:id="56"/>
      </w:r>
    </w:p>
    <w:p w:rsidR="00F85785" w:rsidRDefault="00F85785" w:rsidP="00C102E1">
      <w:pPr>
        <w:pStyle w:val="AERbodytext"/>
      </w:pPr>
      <w:r>
        <w:t xml:space="preserve">However, this differs from the </w:t>
      </w:r>
      <w:r w:rsidR="001537B6">
        <w:t>G</w:t>
      </w:r>
      <w:r>
        <w:t xml:space="preserve">uideline, in which we considered that the equity ownership approach supported a utilisation rate between 0.7 and 0.8. Since the </w:t>
      </w:r>
      <w:r w:rsidR="001537B6">
        <w:t>G</w:t>
      </w:r>
      <w:r>
        <w:t xml:space="preserve">uideline's publication, we have examined more closely the relevant data from the National Accounts. This has allowed us to update and refine our estimates. We describe our application of the equity ownership approach and our re-examination of this source of evidence since the </w:t>
      </w:r>
      <w:r w:rsidR="0033289B">
        <w:t>Guideline</w:t>
      </w:r>
      <w:r>
        <w:t xml:space="preserve"> in detail in </w:t>
      </w:r>
      <w:r w:rsidR="005B6311">
        <w:t xml:space="preserve">section </w:t>
      </w:r>
      <w:r w:rsidR="008B6562">
        <w:fldChar w:fldCharType="begin"/>
      </w:r>
      <w:r w:rsidR="008B6562">
        <w:instrText xml:space="preserve"> REF _Ref403481615 \r \h </w:instrText>
      </w:r>
      <w:r w:rsidR="008B6562">
        <w:fldChar w:fldCharType="separate"/>
      </w:r>
      <w:r w:rsidR="00927273">
        <w:t>A.11</w:t>
      </w:r>
      <w:r w:rsidR="008B6562">
        <w:fldChar w:fldCharType="end"/>
      </w:r>
      <w:r w:rsidR="005B6311">
        <w:t xml:space="preserve"> of </w:t>
      </w:r>
      <w:r w:rsidR="00CB0A52">
        <w:t>appendix</w:t>
      </w:r>
      <w:r w:rsidR="00B04695">
        <w:t xml:space="preserve"> A</w:t>
      </w:r>
      <w:r>
        <w:t>.</w:t>
      </w:r>
    </w:p>
    <w:p w:rsidR="00983A20" w:rsidRPr="00983A20" w:rsidRDefault="00983A20" w:rsidP="00C41468">
      <w:pPr>
        <w:pStyle w:val="AERbodytext"/>
        <w:keepNext/>
        <w:numPr>
          <w:ilvl w:val="0"/>
          <w:numId w:val="0"/>
        </w:numPr>
        <w:rPr>
          <w:rStyle w:val="AERtextbold"/>
        </w:rPr>
      </w:pPr>
      <w:r>
        <w:rPr>
          <w:rStyle w:val="AERtextbold"/>
        </w:rPr>
        <w:t>Responses to key issues raised by stakeholders</w:t>
      </w:r>
    </w:p>
    <w:p w:rsidR="00983A20" w:rsidRDefault="00983A20" w:rsidP="00983A20">
      <w:pPr>
        <w:pStyle w:val="AERbodytext"/>
      </w:pPr>
      <w:r>
        <w:t xml:space="preserve">The service providers submitted that the equity ownership approach, and other measures of the </w:t>
      </w:r>
      <w:r w:rsidR="00311E9C">
        <w:t xml:space="preserve">utilisation or redemption of imputation credits, </w:t>
      </w:r>
      <w:r w:rsidR="00CD5DFC">
        <w:t>do not reflect a number of factors which affect investors' valuation of imputation credits.</w:t>
      </w:r>
      <w:r w:rsidR="00042F5C">
        <w:rPr>
          <w:rStyle w:val="FootnoteReference"/>
        </w:rPr>
        <w:footnoteReference w:id="57"/>
      </w:r>
      <w:r w:rsidR="00446960">
        <w:t xml:space="preserve"> </w:t>
      </w:r>
      <w:r w:rsidR="00042F5C">
        <w:t xml:space="preserve">We have </w:t>
      </w:r>
      <w:r w:rsidR="00BD674A">
        <w:t>received</w:t>
      </w:r>
      <w:r w:rsidR="00042F5C">
        <w:t xml:space="preserve"> advice from Handley on </w:t>
      </w:r>
      <w:r w:rsidR="00446960">
        <w:t xml:space="preserve">these </w:t>
      </w:r>
      <w:r w:rsidR="007E5A1D">
        <w:t>factors</w:t>
      </w:r>
      <w:r w:rsidR="00042F5C">
        <w:t>, and our responses</w:t>
      </w:r>
      <w:r w:rsidR="00446960">
        <w:t xml:space="preserve"> are set out in detail in </w:t>
      </w:r>
      <w:r w:rsidR="006B1A9C">
        <w:t xml:space="preserve">section </w:t>
      </w:r>
      <w:r w:rsidR="008B6562">
        <w:fldChar w:fldCharType="begin"/>
      </w:r>
      <w:r w:rsidR="008B6562">
        <w:instrText xml:space="preserve"> REF _Ref400971678 \r \h </w:instrText>
      </w:r>
      <w:r w:rsidR="008B6562">
        <w:fldChar w:fldCharType="separate"/>
      </w:r>
      <w:r w:rsidR="00927273">
        <w:t>A.7.2</w:t>
      </w:r>
      <w:r w:rsidR="008B6562">
        <w:fldChar w:fldCharType="end"/>
      </w:r>
      <w:r w:rsidR="006B1A9C">
        <w:t xml:space="preserve"> of </w:t>
      </w:r>
      <w:r w:rsidR="00CB0A52">
        <w:t>appendix</w:t>
      </w:r>
      <w:r w:rsidR="00B04695">
        <w:t xml:space="preserve"> A</w:t>
      </w:r>
      <w:r w:rsidR="00446960">
        <w:t>.</w:t>
      </w:r>
      <w:r w:rsidR="005963B3">
        <w:t xml:space="preserve"> </w:t>
      </w:r>
      <w:r w:rsidR="00042F5C">
        <w:t xml:space="preserve">In summary, </w:t>
      </w:r>
      <w:r w:rsidR="00561B1B">
        <w:t>we consider</w:t>
      </w:r>
      <w:r w:rsidR="00042F5C">
        <w:t xml:space="preserve"> that </w:t>
      </w:r>
      <w:r w:rsidR="006B620B">
        <w:t>such factors are either immaterial or should not be accounted for when estimating the properly defined utilisation rate.</w:t>
      </w:r>
    </w:p>
    <w:p w:rsidR="00561B1B" w:rsidRDefault="00042F5C" w:rsidP="00983A20">
      <w:pPr>
        <w:pStyle w:val="AERbodytext"/>
      </w:pPr>
      <w:r>
        <w:t xml:space="preserve">The service providers </w:t>
      </w:r>
      <w:r w:rsidR="00BD674A">
        <w:t xml:space="preserve">also </w:t>
      </w:r>
      <w:r>
        <w:t>submitted that r</w:t>
      </w:r>
      <w:r w:rsidR="00983A20">
        <w:t>ates of domestic ownership in Australian entities are in fact lower</w:t>
      </w:r>
      <w:r>
        <w:t xml:space="preserve"> than what is stated in the </w:t>
      </w:r>
      <w:r w:rsidR="0033289B">
        <w:t>Guideline</w:t>
      </w:r>
      <w:r w:rsidR="00983A20">
        <w:t>.</w:t>
      </w:r>
      <w:r>
        <w:rPr>
          <w:rStyle w:val="FootnoteReference"/>
        </w:rPr>
        <w:footnoteReference w:id="58"/>
      </w:r>
      <w:r w:rsidR="00983A20">
        <w:t xml:space="preserve"> </w:t>
      </w:r>
      <w:r w:rsidR="004555E6">
        <w:t>The service providers refer to SFG'</w:t>
      </w:r>
      <w:r w:rsidR="00EA5B3C">
        <w:t>s analysis of this issue</w:t>
      </w:r>
      <w:r w:rsidR="004555E6">
        <w:t>.</w:t>
      </w:r>
      <w:r w:rsidR="00561B1B">
        <w:rPr>
          <w:rStyle w:val="FootnoteReference"/>
        </w:rPr>
        <w:footnoteReference w:id="59"/>
      </w:r>
      <w:r>
        <w:t xml:space="preserve"> </w:t>
      </w:r>
      <w:r w:rsidR="00561B1B">
        <w:t xml:space="preserve">We address SFG's analysis in </w:t>
      </w:r>
      <w:r w:rsidR="006B1A9C">
        <w:t xml:space="preserve">section </w:t>
      </w:r>
      <w:r w:rsidR="00034AC7">
        <w:fldChar w:fldCharType="begin"/>
      </w:r>
      <w:r w:rsidR="00034AC7">
        <w:instrText xml:space="preserve"> REF _Ref403481732 \r \h </w:instrText>
      </w:r>
      <w:r w:rsidR="00034AC7">
        <w:fldChar w:fldCharType="separate"/>
      </w:r>
      <w:r w:rsidR="00927273">
        <w:t>A.12</w:t>
      </w:r>
      <w:r w:rsidR="00034AC7">
        <w:fldChar w:fldCharType="end"/>
      </w:r>
      <w:r w:rsidR="006B1A9C">
        <w:t xml:space="preserve"> of </w:t>
      </w:r>
      <w:r w:rsidR="00CB0A52">
        <w:t>appendix</w:t>
      </w:r>
      <w:r w:rsidR="00B04695">
        <w:t xml:space="preserve"> A</w:t>
      </w:r>
      <w:r w:rsidR="00561B1B">
        <w:t xml:space="preserve">, and consider that the figures presented in </w:t>
      </w:r>
      <w:r w:rsidR="006B1A9C">
        <w:t xml:space="preserve">section </w:t>
      </w:r>
      <w:r w:rsidR="00034AC7">
        <w:fldChar w:fldCharType="begin"/>
      </w:r>
      <w:r w:rsidR="00034AC7">
        <w:instrText xml:space="preserve"> REF _Ref403481615 \r \h </w:instrText>
      </w:r>
      <w:r w:rsidR="00034AC7">
        <w:fldChar w:fldCharType="separate"/>
      </w:r>
      <w:r w:rsidR="00927273">
        <w:t>A.11</w:t>
      </w:r>
      <w:r w:rsidR="00034AC7">
        <w:fldChar w:fldCharType="end"/>
      </w:r>
      <w:r w:rsidR="006B1A9C">
        <w:t xml:space="preserve"> of </w:t>
      </w:r>
      <w:r w:rsidR="00CB0A52">
        <w:t>appendix</w:t>
      </w:r>
      <w:r w:rsidR="006B1A9C">
        <w:t xml:space="preserve"> </w:t>
      </w:r>
      <w:r w:rsidR="00B04695">
        <w:t xml:space="preserve">A </w:t>
      </w:r>
      <w:r w:rsidR="00561B1B">
        <w:t xml:space="preserve">reflect the most up-to-date data </w:t>
      </w:r>
      <w:r w:rsidR="00EB4E0E">
        <w:t xml:space="preserve">available </w:t>
      </w:r>
      <w:r w:rsidR="00561B1B">
        <w:t xml:space="preserve">on domestic ownership </w:t>
      </w:r>
      <w:r w:rsidR="00EB4E0E">
        <w:t>in Australian equity</w:t>
      </w:r>
      <w:r w:rsidR="00561B1B">
        <w:t>.</w:t>
      </w:r>
      <w:r w:rsidR="001537B6">
        <w:t xml:space="preserve"> In summary, the difference is because the service providers referred to the proportion of domestic ownership data on listed equity only, whereas in the Guideline we used data from all equity. In this decision, we rely on the proportion of domestic ownership using data from both listed equity only and all equity.</w:t>
      </w:r>
    </w:p>
    <w:p w:rsidR="00593342" w:rsidRDefault="0071324B" w:rsidP="00D71738">
      <w:pPr>
        <w:pStyle w:val="HeadingBoldBlue"/>
        <w:numPr>
          <w:ilvl w:val="0"/>
          <w:numId w:val="0"/>
        </w:numPr>
      </w:pPr>
      <w:r>
        <w:t>Tax statistics</w:t>
      </w:r>
    </w:p>
    <w:p w:rsidR="0071324B" w:rsidRDefault="00863CA4" w:rsidP="00863CA4">
      <w:pPr>
        <w:pStyle w:val="AERbodytext"/>
      </w:pPr>
      <w:r w:rsidRPr="00863CA4">
        <w:t xml:space="preserve">The ATO publishes aggregate statistics on the tax returns submitted by individuals, superannuation funds and companies, as well as on the imputation credits refunded to </w:t>
      </w:r>
      <w:r>
        <w:t xml:space="preserve">certain </w:t>
      </w:r>
      <w:r w:rsidR="00970F60">
        <w:t>income tax exempt entities (for example,</w:t>
      </w:r>
      <w:r w:rsidRPr="00863CA4">
        <w:t xml:space="preserve"> charities).</w:t>
      </w:r>
      <w:r w:rsidR="00D357D7">
        <w:rPr>
          <w:rStyle w:val="FootnoteReference"/>
        </w:rPr>
        <w:footnoteReference w:id="60"/>
      </w:r>
      <w:r w:rsidRPr="00863CA4">
        <w:t xml:space="preserve"> These statistics can be used to derive a measure of the total </w:t>
      </w:r>
      <w:r w:rsidR="00E93FFB">
        <w:t>amount</w:t>
      </w:r>
      <w:r w:rsidRPr="00863CA4">
        <w:t xml:space="preserve"> of imputation credits </w:t>
      </w:r>
      <w:r w:rsidR="00E93FFB">
        <w:t>utilised</w:t>
      </w:r>
      <w:r w:rsidRPr="00863CA4">
        <w:t xml:space="preserve"> by eligible investors to offset tax or to be refunded.</w:t>
      </w:r>
      <w:r w:rsidR="00871F88">
        <w:t xml:space="preserve"> As discussed in relation to the distribution rate, </w:t>
      </w:r>
      <w:r w:rsidR="00B02FC5">
        <w:t>ATO</w:t>
      </w:r>
      <w:r w:rsidR="00871F88">
        <w:t xml:space="preserve"> statistics also provide estimates of the </w:t>
      </w:r>
      <w:r w:rsidR="00E93FFB">
        <w:t>amount</w:t>
      </w:r>
      <w:r w:rsidR="00871F88">
        <w:t xml:space="preserve"> of imputation credits distributed. We consider that the </w:t>
      </w:r>
      <w:r w:rsidR="00E93FFB">
        <w:t>reported amount</w:t>
      </w:r>
      <w:r w:rsidR="00871F88">
        <w:t xml:space="preserve"> of credits </w:t>
      </w:r>
      <w:r w:rsidR="00E93FFB">
        <w:t>utilised</w:t>
      </w:r>
      <w:r w:rsidR="00871F88">
        <w:t xml:space="preserve"> divided by the </w:t>
      </w:r>
      <w:r w:rsidR="00E93FFB">
        <w:t>reported amount</w:t>
      </w:r>
      <w:r w:rsidR="00871F88">
        <w:t xml:space="preserve"> of credits distributed is a reasonable estimate of the utilisation rate.</w:t>
      </w:r>
    </w:p>
    <w:p w:rsidR="00871F88" w:rsidRDefault="00F0450B" w:rsidP="00863CA4">
      <w:pPr>
        <w:pStyle w:val="AERbodytext"/>
      </w:pPr>
      <w:r>
        <w:t xml:space="preserve">We have </w:t>
      </w:r>
      <w:r w:rsidR="00DF5B72">
        <w:t xml:space="preserve">had </w:t>
      </w:r>
      <w:r>
        <w:t xml:space="preserve">regard to tax statistics when considering estimates of the utilisation rate. </w:t>
      </w:r>
      <w:r w:rsidR="00B340E4">
        <w:t>We place a degree of reliance upon tax statistics that is less than that placed upon the equity ownership approach, but</w:t>
      </w:r>
      <w:r w:rsidR="00454FBE">
        <w:t xml:space="preserve"> which</w:t>
      </w:r>
      <w:r w:rsidR="00B340E4">
        <w:t xml:space="preserve"> is more than that placed on implied market value studies. </w:t>
      </w:r>
      <w:r w:rsidR="00D32253">
        <w:t xml:space="preserve">Our position on tax statistics is consistent with the advice from </w:t>
      </w:r>
      <w:r>
        <w:t>Handley and Lally</w:t>
      </w:r>
      <w:r w:rsidR="00B340E4">
        <w:t>.</w:t>
      </w:r>
      <w:r w:rsidR="00214ECA">
        <w:t xml:space="preserve"> Handley consider</w:t>
      </w:r>
      <w:r w:rsidR="00444177">
        <w:t>ed</w:t>
      </w:r>
      <w:r w:rsidR="00214ECA">
        <w:t xml:space="preserve"> tax statistics to be the second most important approach to estimating the utilisation rate after the equity ownership approach.</w:t>
      </w:r>
      <w:r w:rsidR="00214ECA">
        <w:rPr>
          <w:rStyle w:val="FootnoteReference"/>
        </w:rPr>
        <w:footnoteReference w:id="61"/>
      </w:r>
      <w:r w:rsidR="00214ECA">
        <w:t xml:space="preserve"> Lally consider</w:t>
      </w:r>
      <w:r w:rsidR="00444177">
        <w:t>ed</w:t>
      </w:r>
      <w:r w:rsidR="00454FBE">
        <w:t xml:space="preserve"> that</w:t>
      </w:r>
      <w:r w:rsidR="00214ECA">
        <w:t xml:space="preserve"> the tax statistics approach lacks precision, and he </w:t>
      </w:r>
      <w:r w:rsidR="00444177">
        <w:t xml:space="preserve">did </w:t>
      </w:r>
      <w:r w:rsidR="00214ECA">
        <w:t>not prefer it to the equity ownership approach.</w:t>
      </w:r>
      <w:r w:rsidR="00214ECA">
        <w:rPr>
          <w:rStyle w:val="FootnoteReference"/>
        </w:rPr>
        <w:footnoteReference w:id="62"/>
      </w:r>
      <w:r w:rsidR="00214ECA">
        <w:t xml:space="preserve"> </w:t>
      </w:r>
      <w:r w:rsidR="00682BF4">
        <w:t xml:space="preserve"> However, Lally still preferred tax statistics </w:t>
      </w:r>
      <w:r w:rsidR="008610F3">
        <w:t>to</w:t>
      </w:r>
      <w:r w:rsidR="00682BF4">
        <w:t xml:space="preserve"> implied market value studies which he considered to be even more problematic.</w:t>
      </w:r>
    </w:p>
    <w:p w:rsidR="00871F88" w:rsidRDefault="00B25C15" w:rsidP="00863CA4">
      <w:pPr>
        <w:pStyle w:val="AERbodytext"/>
      </w:pPr>
      <w:r>
        <w:t xml:space="preserve">We have </w:t>
      </w:r>
      <w:r w:rsidR="00724D6A">
        <w:t>placed less reliance upon</w:t>
      </w:r>
      <w:r>
        <w:t xml:space="preserve"> tax statistics</w:t>
      </w:r>
      <w:r w:rsidR="004323C1">
        <w:t xml:space="preserve"> compared with the equity ownership approach</w:t>
      </w:r>
      <w:r>
        <w:t xml:space="preserve"> b</w:t>
      </w:r>
      <w:r w:rsidR="004323C1">
        <w:t>ecause</w:t>
      </w:r>
      <w:r>
        <w:t xml:space="preserve"> </w:t>
      </w:r>
      <w:r w:rsidR="00454FBE">
        <w:t>w</w:t>
      </w:r>
      <w:r w:rsidR="00F0450B">
        <w:t>e consider that tax statist</w:t>
      </w:r>
      <w:r w:rsidR="00012326">
        <w:t>ics have a number of limitations</w:t>
      </w:r>
      <w:r w:rsidR="00F0450B">
        <w:t>:</w:t>
      </w:r>
    </w:p>
    <w:p w:rsidR="00F0450B" w:rsidRDefault="00012326" w:rsidP="00F0450B">
      <w:pPr>
        <w:pStyle w:val="AERbulletlistfirststyle"/>
      </w:pPr>
      <w:r>
        <w:t>They do not reflect</w:t>
      </w:r>
      <w:r w:rsidR="00F103F5">
        <w:t xml:space="preserve"> the </w:t>
      </w:r>
      <w:r w:rsidR="00E93FFB">
        <w:t>amount</w:t>
      </w:r>
      <w:r w:rsidR="00F103F5">
        <w:t xml:space="preserve"> of credits refunded to individuals that do not have to fill out a tax return</w:t>
      </w:r>
      <w:r>
        <w:t>.</w:t>
      </w:r>
    </w:p>
    <w:p w:rsidR="00012326" w:rsidRDefault="00012326" w:rsidP="00293592">
      <w:pPr>
        <w:pStyle w:val="AERbulletlistfirststyle"/>
      </w:pPr>
      <w:r>
        <w:t xml:space="preserve">They might not reflect the </w:t>
      </w:r>
      <w:r w:rsidR="00E93FFB">
        <w:t>amount</w:t>
      </w:r>
      <w:r>
        <w:t xml:space="preserve"> of credits refunded to certain types of entities.</w:t>
      </w:r>
      <w:r w:rsidR="00B02FC5">
        <w:rPr>
          <w:rStyle w:val="FootnoteReference"/>
        </w:rPr>
        <w:footnoteReference w:id="63"/>
      </w:r>
      <w:r>
        <w:t xml:space="preserve"> </w:t>
      </w:r>
    </w:p>
    <w:p w:rsidR="009877DB" w:rsidRDefault="009877DB" w:rsidP="009877DB">
      <w:pPr>
        <w:pStyle w:val="AERbulletlistfirststyle"/>
      </w:pPr>
      <w:r>
        <w:t xml:space="preserve">They do not provide </w:t>
      </w:r>
      <w:r w:rsidRPr="009877DB">
        <w:t>estimates of the ut</w:t>
      </w:r>
      <w:r w:rsidR="00F1212E">
        <w:t>ilisation rate for investors in</w:t>
      </w:r>
      <w:r w:rsidRPr="009877DB">
        <w:t xml:space="preserve"> listed equity</w:t>
      </w:r>
      <w:r w:rsidR="001E4EF7">
        <w:t xml:space="preserve"> only</w:t>
      </w:r>
      <w:r>
        <w:t>.</w:t>
      </w:r>
      <w:r w:rsidR="00F1212E">
        <w:t xml:space="preserve"> Handley and SFG both suggested that evidence from listed equity is more relevant to the benchmark efficient entity.</w:t>
      </w:r>
      <w:r w:rsidR="00EB4E0E">
        <w:rPr>
          <w:rStyle w:val="FootnoteReference"/>
        </w:rPr>
        <w:footnoteReference w:id="64"/>
      </w:r>
    </w:p>
    <w:p w:rsidR="0081765E" w:rsidRPr="0081765E" w:rsidRDefault="0081765E" w:rsidP="0081765E">
      <w:pPr>
        <w:pStyle w:val="AERbulletlistfirststyle"/>
      </w:pPr>
      <w:r w:rsidRPr="0081765E">
        <w:t xml:space="preserve">There are residual concerns regarding the </w:t>
      </w:r>
      <w:r w:rsidR="00C946D6">
        <w:t>data. While</w:t>
      </w:r>
      <w:r w:rsidRPr="0081765E">
        <w:t xml:space="preserve"> Hathaway consider</w:t>
      </w:r>
      <w:r w:rsidR="00444177">
        <w:t>ed</w:t>
      </w:r>
      <w:r w:rsidRPr="0081765E">
        <w:t xml:space="preserve"> that the </w:t>
      </w:r>
      <w:r w:rsidR="00E93FFB">
        <w:t>amounts</w:t>
      </w:r>
      <w:r w:rsidRPr="0081765E">
        <w:t xml:space="preserve"> of tax paid and credits </w:t>
      </w:r>
      <w:r w:rsidR="00E93FFB">
        <w:t>utilised</w:t>
      </w:r>
      <w:r w:rsidRPr="0081765E">
        <w:t xml:space="preserve"> can be concluded ‘with some confidence’ and that they are </w:t>
      </w:r>
      <w:r w:rsidR="00C946D6">
        <w:t xml:space="preserve">‘unlikely to be in major error’, Hathaway also </w:t>
      </w:r>
      <w:r w:rsidR="00C946D6" w:rsidRPr="00C946D6">
        <w:t>identifie</w:t>
      </w:r>
      <w:r w:rsidR="00444177">
        <w:t>d</w:t>
      </w:r>
      <w:r w:rsidR="00C946D6" w:rsidRPr="00C946D6">
        <w:t xml:space="preserve"> a significant discrepancy associated with the tracking of </w:t>
      </w:r>
      <w:r w:rsidR="00DA6594">
        <w:t>imputation</w:t>
      </w:r>
      <w:r w:rsidR="00C946D6" w:rsidRPr="00C946D6">
        <w:t xml:space="preserve"> credits</w:t>
      </w:r>
      <w:r w:rsidR="00C946D6">
        <w:t xml:space="preserve"> in the data that </w:t>
      </w:r>
      <w:r w:rsidR="00444177">
        <w:t xml:space="preserve">led </w:t>
      </w:r>
      <w:r w:rsidR="00C946D6">
        <w:t xml:space="preserve">him to 'urge all caution in using ATO statistics for any estimates of parameters concerned with </w:t>
      </w:r>
      <w:r w:rsidR="007977FD">
        <w:t>[imputation]</w:t>
      </w:r>
      <w:r w:rsidR="00C946D6">
        <w:t xml:space="preserve"> credits'.</w:t>
      </w:r>
      <w:r w:rsidR="00483D4E">
        <w:rPr>
          <w:rStyle w:val="FootnoteReference"/>
        </w:rPr>
        <w:footnoteReference w:id="65"/>
      </w:r>
    </w:p>
    <w:p w:rsidR="002D06FF" w:rsidRDefault="00702CE3" w:rsidP="00454FBE">
      <w:pPr>
        <w:pStyle w:val="AERbodytext"/>
      </w:pPr>
      <w:r>
        <w:t>With regard to Hathaway's analysis, w</w:t>
      </w:r>
      <w:r w:rsidR="00D32253">
        <w:t xml:space="preserve">e </w:t>
      </w:r>
      <w:r w:rsidR="00293592">
        <w:t>consider that tax statistics support an estimate of the utilisation rate between 0.4 and 0.6</w:t>
      </w:r>
      <w:r>
        <w:t>.</w:t>
      </w:r>
      <w:r>
        <w:rPr>
          <w:rStyle w:val="FootnoteReference"/>
        </w:rPr>
        <w:footnoteReference w:id="66"/>
      </w:r>
      <w:r w:rsidR="00293592">
        <w:t xml:space="preserve"> </w:t>
      </w:r>
      <w:r>
        <w:t xml:space="preserve">However, </w:t>
      </w:r>
      <w:r w:rsidR="00293592">
        <w:t xml:space="preserve">our estimate of the distribution rate implies that we should </w:t>
      </w:r>
      <w:r w:rsidR="00454FBE">
        <w:t>adopt</w:t>
      </w:r>
      <w:r w:rsidR="00293592">
        <w:t xml:space="preserve"> </w:t>
      </w:r>
      <w:r w:rsidR="00724D6A">
        <w:t xml:space="preserve">a </w:t>
      </w:r>
      <w:r w:rsidR="00DF5B72">
        <w:t xml:space="preserve">utilisation </w:t>
      </w:r>
      <w:r w:rsidR="00293592">
        <w:t>rate of around 0.4</w:t>
      </w:r>
      <w:r w:rsidR="00DA1377">
        <w:t>3</w:t>
      </w:r>
      <w:r w:rsidR="00454FBE">
        <w:t xml:space="preserve"> from within this range</w:t>
      </w:r>
      <w:r w:rsidR="00682BF4">
        <w:t xml:space="preserve"> for consistency</w:t>
      </w:r>
      <w:r w:rsidR="00724D6A">
        <w:t>.</w:t>
      </w:r>
      <w:r w:rsidR="00D32253">
        <w:t xml:space="preserve"> This differs from t</w:t>
      </w:r>
      <w:r w:rsidR="00C946D6">
        <w:t xml:space="preserve">he </w:t>
      </w:r>
      <w:r w:rsidR="001A69FB">
        <w:t>G</w:t>
      </w:r>
      <w:r w:rsidR="00C946D6">
        <w:t xml:space="preserve">uideline, </w:t>
      </w:r>
      <w:r w:rsidR="00D32253">
        <w:t xml:space="preserve">in which </w:t>
      </w:r>
      <w:r w:rsidR="00C946D6">
        <w:t>we considered that tax statistics supported an estimate of the utilisation rate between 0.4 and 0.8.</w:t>
      </w:r>
      <w:r w:rsidR="009C2832">
        <w:t xml:space="preserve"> </w:t>
      </w:r>
    </w:p>
    <w:p w:rsidR="00890A49" w:rsidRDefault="00635321" w:rsidP="00890A49">
      <w:pPr>
        <w:pStyle w:val="AERbodytext"/>
      </w:pPr>
      <w:r>
        <w:t xml:space="preserve">Since the </w:t>
      </w:r>
      <w:r w:rsidR="0033289B">
        <w:t>Guideline</w:t>
      </w:r>
      <w:r>
        <w:t>, we have continued to examine this evidence.</w:t>
      </w:r>
      <w:r w:rsidR="00782406">
        <w:t xml:space="preserve"> We </w:t>
      </w:r>
      <w:r w:rsidR="00890A49">
        <w:t xml:space="preserve">now </w:t>
      </w:r>
      <w:r w:rsidR="00782406">
        <w:t>consider that</w:t>
      </w:r>
      <w:r w:rsidR="00EA2BB8">
        <w:t xml:space="preserve"> </w:t>
      </w:r>
      <w:r w:rsidR="00DF5B72">
        <w:t xml:space="preserve">greater </w:t>
      </w:r>
      <w:r w:rsidR="00724D6A">
        <w:t xml:space="preserve">reliance </w:t>
      </w:r>
      <w:r w:rsidR="00EA2BB8">
        <w:t xml:space="preserve">should be </w:t>
      </w:r>
      <w:r w:rsidR="00724D6A">
        <w:t xml:space="preserve">placed </w:t>
      </w:r>
      <w:r w:rsidR="007977FD">
        <w:t>upon</w:t>
      </w:r>
      <w:r w:rsidR="00EA2BB8">
        <w:t xml:space="preserve"> estimates that are</w:t>
      </w:r>
      <w:r w:rsidR="00890A49">
        <w:t>:</w:t>
      </w:r>
    </w:p>
    <w:p w:rsidR="00972746" w:rsidRDefault="00704686" w:rsidP="00890A49">
      <w:pPr>
        <w:pStyle w:val="AERbulletlistfirststyle"/>
      </w:pPr>
      <w:r>
        <w:t>d</w:t>
      </w:r>
      <w:r w:rsidR="00EA2BB8">
        <w:t xml:space="preserve">erived from post-2004 data, </w:t>
      </w:r>
      <w:r w:rsidR="00972746">
        <w:t>consistent with Hathaway's findings that the ATO statistics are subject to a number of issues prior to 2004</w:t>
      </w:r>
      <w:r>
        <w:t>,</w:t>
      </w:r>
      <w:r w:rsidR="00EC64CF">
        <w:rPr>
          <w:rStyle w:val="FootnoteReference"/>
        </w:rPr>
        <w:footnoteReference w:id="67"/>
      </w:r>
      <w:r>
        <w:t xml:space="preserve"> and</w:t>
      </w:r>
    </w:p>
    <w:p w:rsidR="00871F88" w:rsidRDefault="00704686" w:rsidP="00890A49">
      <w:pPr>
        <w:pStyle w:val="AERbulletlistfirststyle"/>
      </w:pPr>
      <w:r>
        <w:t>c</w:t>
      </w:r>
      <w:r w:rsidR="00EA2BB8">
        <w:t xml:space="preserve">onsistent with </w:t>
      </w:r>
      <w:r w:rsidR="00C53494">
        <w:t xml:space="preserve">our </w:t>
      </w:r>
      <w:r w:rsidR="00EA2BB8">
        <w:t>preferred estimates of the distribution rate</w:t>
      </w:r>
      <w:r w:rsidR="00C53494">
        <w:t>.</w:t>
      </w:r>
    </w:p>
    <w:p w:rsidR="0099398C" w:rsidRDefault="0099398C" w:rsidP="00C53494">
      <w:pPr>
        <w:pStyle w:val="AERbodytext"/>
      </w:pPr>
      <w:r>
        <w:t xml:space="preserve">This leads us to a range of 0.4 to 0.6, with </w:t>
      </w:r>
      <w:r w:rsidR="00454FBE">
        <w:t xml:space="preserve">an </w:t>
      </w:r>
      <w:r>
        <w:t xml:space="preserve">estimate of 0.43 </w:t>
      </w:r>
      <w:r w:rsidR="00724D6A">
        <w:t xml:space="preserve">being reasonable </w:t>
      </w:r>
      <w:r>
        <w:t>because this is consistent with our estimate of the distribution rate across all equity of 0.7. We discuss our revised consideration of tax statistics in more detail in</w:t>
      </w:r>
      <w:r w:rsidR="007977FD">
        <w:t xml:space="preserve"> section </w:t>
      </w:r>
      <w:r w:rsidR="009231A8">
        <w:fldChar w:fldCharType="begin"/>
      </w:r>
      <w:r w:rsidR="009231A8">
        <w:instrText xml:space="preserve"> REF _Ref402179420 \r \h </w:instrText>
      </w:r>
      <w:r w:rsidR="009231A8">
        <w:fldChar w:fldCharType="separate"/>
      </w:r>
      <w:r w:rsidR="00927273">
        <w:t>A.13</w:t>
      </w:r>
      <w:r w:rsidR="009231A8">
        <w:fldChar w:fldCharType="end"/>
      </w:r>
      <w:r w:rsidR="007977FD">
        <w:t xml:space="preserve"> of </w:t>
      </w:r>
      <w:r w:rsidR="00CB0A52">
        <w:t>appendix</w:t>
      </w:r>
      <w:r w:rsidR="00B04695">
        <w:t xml:space="preserve"> A</w:t>
      </w:r>
      <w:r>
        <w:t>.</w:t>
      </w:r>
    </w:p>
    <w:p w:rsidR="00F01F86" w:rsidRPr="00983A20" w:rsidRDefault="00F01F86" w:rsidP="00C41468">
      <w:pPr>
        <w:pStyle w:val="AERbodytext"/>
        <w:keepNext/>
        <w:rPr>
          <w:rStyle w:val="AERtextbold"/>
        </w:rPr>
      </w:pPr>
      <w:r>
        <w:rPr>
          <w:rStyle w:val="AERtextbold"/>
        </w:rPr>
        <w:t>Responses to key issues raised by stakeholders</w:t>
      </w:r>
    </w:p>
    <w:p w:rsidR="00A9774E" w:rsidRDefault="00A9774E" w:rsidP="00A14C6B">
      <w:pPr>
        <w:pStyle w:val="AERbodytext"/>
      </w:pPr>
      <w:r>
        <w:t xml:space="preserve">The service providers submitted that tax statistics, and other measures of the utilisation or redemption of imputation credits, </w:t>
      </w:r>
      <w:r w:rsidR="006B620B">
        <w:t>do not reflect a number of factors which affect investors' valuation of imputation credits</w:t>
      </w:r>
      <w:r>
        <w:t>.</w:t>
      </w:r>
      <w:r>
        <w:rPr>
          <w:rStyle w:val="FootnoteReference"/>
        </w:rPr>
        <w:footnoteReference w:id="68"/>
      </w:r>
      <w:r w:rsidR="00FB33C0">
        <w:t xml:space="preserve"> </w:t>
      </w:r>
      <w:r w:rsidR="00BD06B1">
        <w:t xml:space="preserve">We have received advice from Handley on these factors, and our responses are set out in detail in </w:t>
      </w:r>
      <w:r w:rsidR="00132F9A" w:rsidRPr="00132F9A">
        <w:t xml:space="preserve">section </w:t>
      </w:r>
      <w:r w:rsidR="002E7EA0">
        <w:fldChar w:fldCharType="begin"/>
      </w:r>
      <w:r w:rsidR="002E7EA0">
        <w:instrText xml:space="preserve"> REF _Ref400971678 \r \h </w:instrText>
      </w:r>
      <w:r w:rsidR="002E7EA0">
        <w:fldChar w:fldCharType="separate"/>
      </w:r>
      <w:r w:rsidR="00927273">
        <w:t>A.7.2</w:t>
      </w:r>
      <w:r w:rsidR="002E7EA0">
        <w:fldChar w:fldCharType="end"/>
      </w:r>
      <w:r w:rsidR="00132F9A" w:rsidRPr="00132F9A">
        <w:t xml:space="preserve"> of </w:t>
      </w:r>
      <w:r w:rsidR="00CB0A52">
        <w:t>appendix</w:t>
      </w:r>
      <w:r w:rsidR="00B04695">
        <w:t xml:space="preserve"> A</w:t>
      </w:r>
      <w:r w:rsidR="00BD06B1">
        <w:t>. In summary, we consider that such factors are either immaterial or should not be accounted for when estimating the properly defined utilisation rate.</w:t>
      </w:r>
    </w:p>
    <w:p w:rsidR="00382B8E" w:rsidRDefault="00A9774E" w:rsidP="00A701E1">
      <w:pPr>
        <w:pStyle w:val="AERbodytext"/>
      </w:pPr>
      <w:r>
        <w:t xml:space="preserve">The service providers </w:t>
      </w:r>
      <w:r w:rsidR="00FB33C0">
        <w:t xml:space="preserve">also </w:t>
      </w:r>
      <w:r>
        <w:t>submit</w:t>
      </w:r>
      <w:r w:rsidR="00FB33C0">
        <w:t>ted</w:t>
      </w:r>
      <w:r>
        <w:t xml:space="preserve"> that no weight </w:t>
      </w:r>
      <w:r w:rsidR="00880888">
        <w:t xml:space="preserve">should </w:t>
      </w:r>
      <w:r>
        <w:t>be placed on estimates of the utilisation rate from</w:t>
      </w:r>
      <w:r w:rsidR="00C53494">
        <w:t xml:space="preserve"> </w:t>
      </w:r>
      <w:r w:rsidR="00FB33C0">
        <w:t>tax statistics</w:t>
      </w:r>
      <w:r w:rsidR="00FA6B94">
        <w:t xml:space="preserve"> because of significant unresolved </w:t>
      </w:r>
      <w:r w:rsidR="00880888">
        <w:t>problems identified with the data.</w:t>
      </w:r>
      <w:r w:rsidR="00880888">
        <w:rPr>
          <w:rStyle w:val="FootnoteReference"/>
        </w:rPr>
        <w:footnoteReference w:id="69"/>
      </w:r>
      <w:r w:rsidR="00880888">
        <w:t xml:space="preserve"> </w:t>
      </w:r>
      <w:r w:rsidR="00CF6A3E">
        <w:t xml:space="preserve">In support of this, the service providers refer to the issues identified </w:t>
      </w:r>
      <w:r w:rsidR="00444177">
        <w:t xml:space="preserve">by </w:t>
      </w:r>
      <w:r w:rsidR="00CF6A3E">
        <w:t xml:space="preserve">Hathaway. We are mindful of these data concerns, and this is reflected in the level of </w:t>
      </w:r>
      <w:r w:rsidR="00D15155">
        <w:t>reliance that</w:t>
      </w:r>
      <w:r w:rsidR="00CF6A3E">
        <w:t xml:space="preserve"> we </w:t>
      </w:r>
      <w:r w:rsidR="00D15155">
        <w:t>place upon</w:t>
      </w:r>
      <w:r w:rsidR="00CF6A3E">
        <w:t xml:space="preserve"> this class of evidence. However, we also note</w:t>
      </w:r>
      <w:r w:rsidR="00A701E1">
        <w:t xml:space="preserve"> Hathaway</w:t>
      </w:r>
      <w:r w:rsidR="00177B62">
        <w:t>'s finding that</w:t>
      </w:r>
      <w:r w:rsidR="00A701E1">
        <w:t xml:space="preserve"> </w:t>
      </w:r>
      <w:r w:rsidR="00A701E1" w:rsidRPr="00A701E1">
        <w:t xml:space="preserve">the </w:t>
      </w:r>
      <w:r w:rsidR="00E93FFB">
        <w:t>amounts</w:t>
      </w:r>
      <w:r w:rsidR="00A701E1" w:rsidRPr="00A701E1">
        <w:t xml:space="preserve"> of tax paid and credits </w:t>
      </w:r>
      <w:r w:rsidR="00E93FFB">
        <w:t>utilised</w:t>
      </w:r>
      <w:r w:rsidR="00A701E1" w:rsidRPr="00A701E1">
        <w:t xml:space="preserve"> can be concluded ‘with some confidence’ and that they are ‘unlikely to be in major error’</w:t>
      </w:r>
      <w:r w:rsidR="00177B62">
        <w:t>.</w:t>
      </w:r>
      <w:r w:rsidR="00177B62">
        <w:rPr>
          <w:rStyle w:val="FootnoteReference"/>
        </w:rPr>
        <w:footnoteReference w:id="70"/>
      </w:r>
      <w:r w:rsidR="00177B62">
        <w:t xml:space="preserve"> Moreover, Hathaway </w:t>
      </w:r>
      <w:r w:rsidR="00382B8E">
        <w:t>state</w:t>
      </w:r>
      <w:r w:rsidR="00444177">
        <w:t>d</w:t>
      </w:r>
      <w:r w:rsidR="00382B8E">
        <w:t xml:space="preserve"> that:</w:t>
      </w:r>
      <w:r w:rsidR="00EE5A9A">
        <w:rPr>
          <w:rStyle w:val="FootnoteReference"/>
        </w:rPr>
        <w:footnoteReference w:id="71"/>
      </w:r>
    </w:p>
    <w:p w:rsidR="00EE5A9A" w:rsidRDefault="00382B8E" w:rsidP="00382B8E">
      <w:pPr>
        <w:pStyle w:val="AERquote"/>
      </w:pPr>
      <w:r>
        <w:t>The only reasonably reliable estimate that I can obtain from the taxation statistics is the [distribution rate], which is obtained from the [franking account balance] data.</w:t>
      </w:r>
    </w:p>
    <w:p w:rsidR="008715A3" w:rsidRDefault="009C2DFD" w:rsidP="00EE5A9A">
      <w:pPr>
        <w:pStyle w:val="AERbodytext"/>
      </w:pPr>
      <w:r>
        <w:t>W</w:t>
      </w:r>
      <w:r w:rsidR="00EE5A9A">
        <w:t xml:space="preserve">e </w:t>
      </w:r>
      <w:r>
        <w:t xml:space="preserve">therefore </w:t>
      </w:r>
      <w:r w:rsidR="00EE5A9A">
        <w:t>consider that a distribution rate of around 0.7 and a utilisation rate of 0.</w:t>
      </w:r>
      <w:r w:rsidR="00C255C5">
        <w:t>43</w:t>
      </w:r>
      <w:r w:rsidR="00454FBE">
        <w:t xml:space="preserve"> </w:t>
      </w:r>
      <w:r w:rsidR="00EE5A9A">
        <w:t>are reasonable estimates but are subject to residual data concerns</w:t>
      </w:r>
      <w:r w:rsidR="003B1D33">
        <w:t xml:space="preserve"> that should be acknowledged</w:t>
      </w:r>
      <w:r w:rsidR="00EE5A9A">
        <w:t>.</w:t>
      </w:r>
    </w:p>
    <w:p w:rsidR="008715A3" w:rsidRDefault="008715A3" w:rsidP="008715A3">
      <w:pPr>
        <w:pStyle w:val="AERbodytext"/>
      </w:pPr>
      <w:r>
        <w:t>Further, as noted above, the level of reliance that we have placed upon tax statistics is supported by expert advice from Handley and Lally.</w:t>
      </w:r>
    </w:p>
    <w:p w:rsidR="0097728A" w:rsidRDefault="0097728A" w:rsidP="00593342">
      <w:pPr>
        <w:pStyle w:val="HeadingBoldBlue"/>
      </w:pPr>
      <w:r>
        <w:t>Implied market value studies</w:t>
      </w:r>
    </w:p>
    <w:p w:rsidR="0097728A" w:rsidRDefault="007E6C27" w:rsidP="007E6C27">
      <w:pPr>
        <w:pStyle w:val="AERbodytext"/>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w:t>
      </w:r>
      <w:r w:rsidR="001A69FB">
        <w:t>A</w:t>
      </w:r>
      <w:r>
        <w:t xml:space="preserve"> </w:t>
      </w:r>
      <w:r w:rsidR="007769F5">
        <w:t>common</w:t>
      </w:r>
      <w:r w:rsidR="002500C3">
        <w:t xml:space="preserve"> </w:t>
      </w:r>
      <w:r>
        <w:t>type of implied market value study are dividend drop off studies. These studies compare the price of a security before and after a dividend is distributed. Econometric techniques are then used to infer the value of the imputation credits attached to these dividends.</w:t>
      </w:r>
      <w:r w:rsidR="00747D57">
        <w:t xml:space="preserve"> We discuss the different types of implied market value study in section </w:t>
      </w:r>
      <w:r w:rsidR="006F6B54">
        <w:fldChar w:fldCharType="begin"/>
      </w:r>
      <w:r w:rsidR="006F6B54">
        <w:instrText xml:space="preserve"> REF _Ref402791521 \r \h </w:instrText>
      </w:r>
      <w:r w:rsidR="006F6B54">
        <w:fldChar w:fldCharType="separate"/>
      </w:r>
      <w:r w:rsidR="00927273">
        <w:t>A.14.1</w:t>
      </w:r>
      <w:r w:rsidR="006F6B54">
        <w:fldChar w:fldCharType="end"/>
      </w:r>
      <w:r w:rsidR="00747D57">
        <w:t xml:space="preserve"> of </w:t>
      </w:r>
      <w:r w:rsidR="00CB0A52">
        <w:t>appendix</w:t>
      </w:r>
      <w:r w:rsidR="00B04695">
        <w:t xml:space="preserve"> A</w:t>
      </w:r>
      <w:r w:rsidR="00747D57">
        <w:t>.</w:t>
      </w:r>
    </w:p>
    <w:p w:rsidR="00A46603" w:rsidRDefault="00355F7C" w:rsidP="00F70D3C">
      <w:pPr>
        <w:pStyle w:val="AERbodytext"/>
      </w:pPr>
      <w:r>
        <w:t xml:space="preserve">Although we consider that implied market value studies provide evidence relevant to the utilisation rate, we also consider </w:t>
      </w:r>
      <w:r w:rsidR="00430B5E">
        <w:t xml:space="preserve">that these studies can be subject to a number of limitations. </w:t>
      </w:r>
      <w:r w:rsidR="00F70D3C" w:rsidRPr="00F70D3C">
        <w:t>Handley</w:t>
      </w:r>
      <w:r w:rsidR="00E1004C">
        <w:t xml:space="preserve"> consider</w:t>
      </w:r>
      <w:r w:rsidR="00445995">
        <w:t>ed</w:t>
      </w:r>
      <w:r w:rsidR="00E1004C">
        <w:t xml:space="preserve"> that dividend drop off studies are the most relevant class of implied market value study, but </w:t>
      </w:r>
      <w:r w:rsidR="00D043E8">
        <w:t xml:space="preserve">that </w:t>
      </w:r>
      <w:r w:rsidR="00E1004C">
        <w:t>they are less important to estimating the utilisation rate than the equity ownership approach and tax statistics.</w:t>
      </w:r>
      <w:r w:rsidR="00E1004C">
        <w:rPr>
          <w:rStyle w:val="FootnoteReference"/>
        </w:rPr>
        <w:footnoteReference w:id="72"/>
      </w:r>
      <w:r w:rsidR="00E1004C">
        <w:t xml:space="preserve"> </w:t>
      </w:r>
      <w:r w:rsidR="00A46603">
        <w:t>Lally identifie</w:t>
      </w:r>
      <w:r w:rsidR="00445995">
        <w:t>d</w:t>
      </w:r>
      <w:r w:rsidR="00A46603">
        <w:t xml:space="preserve"> a number of issues with using market prices to estimate the utilisation rate, and </w:t>
      </w:r>
      <w:r w:rsidR="00445995">
        <w:t xml:space="preserve">did </w:t>
      </w:r>
      <w:r w:rsidR="00A46603">
        <w:t>not prefer this approach to the equity ownership approach.</w:t>
      </w:r>
      <w:r w:rsidR="00A46603">
        <w:rPr>
          <w:rStyle w:val="FootnoteReference"/>
        </w:rPr>
        <w:footnoteReference w:id="73"/>
      </w:r>
      <w:r w:rsidR="00A46603">
        <w:t xml:space="preserve"> </w:t>
      </w:r>
    </w:p>
    <w:p w:rsidR="00A12268" w:rsidRDefault="007D1088" w:rsidP="00F70D3C">
      <w:pPr>
        <w:pStyle w:val="AERbodytext"/>
      </w:pPr>
      <w:r>
        <w:t>The limitations of implied market value studies include:</w:t>
      </w:r>
    </w:p>
    <w:p w:rsidR="007D1088" w:rsidRDefault="00D043E8" w:rsidP="007D1088">
      <w:pPr>
        <w:pStyle w:val="AERbulletlistfirststyle"/>
      </w:pPr>
      <w:r>
        <w:t>T</w:t>
      </w:r>
      <w:r w:rsidR="00F623B5">
        <w:t>hese</w:t>
      </w:r>
      <w:r w:rsidR="007D1088">
        <w:t xml:space="preserve"> studies </w:t>
      </w:r>
      <w:r w:rsidR="00F623B5">
        <w:t xml:space="preserve">can </w:t>
      </w:r>
      <w:r w:rsidR="007D1088">
        <w:t xml:space="preserve">produce </w:t>
      </w:r>
      <w:r w:rsidR="00BB0A43">
        <w:t>nonsensical</w:t>
      </w:r>
      <w:r w:rsidR="007D1088">
        <w:t xml:space="preserve"> estimates of the utilisation rate</w:t>
      </w:r>
      <w:r w:rsidR="00142E9F">
        <w:t>; that is,</w:t>
      </w:r>
      <w:r w:rsidR="00262966">
        <w:t xml:space="preserve"> gre</w:t>
      </w:r>
      <w:r w:rsidR="00142E9F">
        <w:t>ater than one or less than zero</w:t>
      </w:r>
      <w:r>
        <w:t>.</w:t>
      </w:r>
    </w:p>
    <w:p w:rsidR="00F623B5" w:rsidRDefault="00D043E8" w:rsidP="007D1088">
      <w:pPr>
        <w:pStyle w:val="AERbulletlistfirststyle"/>
      </w:pPr>
      <w:r>
        <w:t>T</w:t>
      </w:r>
      <w:r w:rsidR="00F623B5">
        <w:t>he results of these studies can reflect factors, such as differential personal taxes and risk, which are not relevant to the utilisation rate</w:t>
      </w:r>
      <w:r>
        <w:t>.</w:t>
      </w:r>
    </w:p>
    <w:p w:rsidR="00F24D56" w:rsidRDefault="00D043E8" w:rsidP="007D1088">
      <w:pPr>
        <w:pStyle w:val="AERbulletlistfirststyle"/>
      </w:pPr>
      <w:r>
        <w:t>T</w:t>
      </w:r>
      <w:r w:rsidR="00201EEC">
        <w:t>he</w:t>
      </w:r>
      <w:r w:rsidR="00F623B5">
        <w:t xml:space="preserve"> </w:t>
      </w:r>
      <w:r w:rsidR="004546C0">
        <w:t>results of these studies might not be reflective</w:t>
      </w:r>
      <w:r w:rsidR="00262966">
        <w:t xml:space="preserve"> of the value of imputation credits to</w:t>
      </w:r>
      <w:r w:rsidR="006E6D72">
        <w:t xml:space="preserve"> investors in</w:t>
      </w:r>
      <w:r w:rsidR="00262966">
        <w:t xml:space="preserve"> the market as a whole</w:t>
      </w:r>
      <w:r>
        <w:t>.</w:t>
      </w:r>
      <w:r w:rsidR="00F623B5">
        <w:t xml:space="preserve"> </w:t>
      </w:r>
    </w:p>
    <w:p w:rsidR="002A25EE" w:rsidRDefault="00D043E8" w:rsidP="007D1088">
      <w:pPr>
        <w:pStyle w:val="AERbulletlistfirststyle"/>
      </w:pPr>
      <w:r>
        <w:t>T</w:t>
      </w:r>
      <w:r w:rsidR="00F24D56">
        <w:t xml:space="preserve">hese studies can </w:t>
      </w:r>
      <w:r w:rsidR="00552F5F">
        <w:t xml:space="preserve">be data intensive and </w:t>
      </w:r>
      <w:r w:rsidR="00F24D56">
        <w:t xml:space="preserve">employ complex </w:t>
      </w:r>
      <w:r w:rsidR="00552F5F">
        <w:t xml:space="preserve">and sometimes problematic estimation </w:t>
      </w:r>
      <w:r w:rsidR="00F24D56">
        <w:t>methodol</w:t>
      </w:r>
      <w:r w:rsidR="00552F5F">
        <w:t>ogies</w:t>
      </w:r>
      <w:r>
        <w:t>.</w:t>
      </w:r>
    </w:p>
    <w:p w:rsidR="002A25EE" w:rsidRDefault="00D043E8" w:rsidP="00D264A3">
      <w:pPr>
        <w:pStyle w:val="AERbulletlistfirststyle"/>
      </w:pPr>
      <w:r>
        <w:t>R</w:t>
      </w:r>
      <w:r w:rsidR="00C60278">
        <w:t xml:space="preserve">egarding dividend drop off studies, </w:t>
      </w:r>
      <w:r w:rsidR="00BB0A43">
        <w:t>it is only</w:t>
      </w:r>
      <w:r w:rsidR="00C60278">
        <w:t xml:space="preserve"> </w:t>
      </w:r>
      <w:r w:rsidR="00C60278" w:rsidRPr="00C60278">
        <w:t xml:space="preserve">the value of </w:t>
      </w:r>
      <w:r w:rsidR="00BB0A43">
        <w:t xml:space="preserve">the combined package of </w:t>
      </w:r>
      <w:r w:rsidR="00C60278" w:rsidRPr="00C60278">
        <w:t xml:space="preserve">dividends and </w:t>
      </w:r>
      <w:r w:rsidR="009227F3">
        <w:t>imputation</w:t>
      </w:r>
      <w:r w:rsidR="00C60278">
        <w:t xml:space="preserve"> credits </w:t>
      </w:r>
      <w:r w:rsidR="00BB0A43">
        <w:t>that can be observed in the market, and there is no consensus among experts on how to separate the value to the market of dividends from the value to the market of imputation credits (this is referred to as the 'allocation problem')</w:t>
      </w:r>
      <w:r w:rsidR="00D264A3">
        <w:t>.</w:t>
      </w:r>
    </w:p>
    <w:p w:rsidR="002A25EE" w:rsidRDefault="002A25EE" w:rsidP="002A25EE">
      <w:pPr>
        <w:pStyle w:val="AERbodytext"/>
      </w:pPr>
      <w:r>
        <w:t xml:space="preserve">The limitations of dividend drop off studies are discussed in more detail in </w:t>
      </w:r>
      <w:r w:rsidR="003854B2" w:rsidRPr="003854B2">
        <w:t xml:space="preserve">section </w:t>
      </w:r>
      <w:r w:rsidR="006F6B54">
        <w:fldChar w:fldCharType="begin"/>
      </w:r>
      <w:r w:rsidR="006F6B54">
        <w:instrText xml:space="preserve"> REF _Ref401276227 \r \h </w:instrText>
      </w:r>
      <w:r w:rsidR="006F6B54">
        <w:fldChar w:fldCharType="separate"/>
      </w:r>
      <w:r w:rsidR="00927273">
        <w:t>A.15</w:t>
      </w:r>
      <w:r w:rsidR="006F6B54">
        <w:fldChar w:fldCharType="end"/>
      </w:r>
      <w:r w:rsidR="003854B2" w:rsidRPr="003854B2">
        <w:t xml:space="preserve"> of </w:t>
      </w:r>
      <w:r w:rsidR="00CB0A52">
        <w:t>appendix</w:t>
      </w:r>
      <w:r w:rsidR="00B04695">
        <w:t xml:space="preserve"> A</w:t>
      </w:r>
      <w:r>
        <w:t>.</w:t>
      </w:r>
    </w:p>
    <w:p w:rsidR="00C768B1" w:rsidRDefault="00BE7675" w:rsidP="002A25EE">
      <w:pPr>
        <w:pStyle w:val="AERbodytext"/>
      </w:pPr>
      <w:r>
        <w:t xml:space="preserve">The available implied market value studies produce estimates for the utilisation rate between 0 and 1, with some studies even producing estimates outside this range. We </w:t>
      </w:r>
      <w:r w:rsidR="007F09E1">
        <w:t xml:space="preserve">summarise </w:t>
      </w:r>
      <w:r>
        <w:t xml:space="preserve">the </w:t>
      </w:r>
      <w:r w:rsidR="007F09E1">
        <w:t xml:space="preserve">available studies and their results </w:t>
      </w:r>
      <w:r>
        <w:t xml:space="preserve">in </w:t>
      </w:r>
      <w:r w:rsidR="003854B2" w:rsidRPr="003854B2">
        <w:t xml:space="preserve">section </w:t>
      </w:r>
      <w:r w:rsidR="006F6B54">
        <w:fldChar w:fldCharType="begin"/>
      </w:r>
      <w:r w:rsidR="006F6B54">
        <w:instrText xml:space="preserve"> REF _Ref403482459 \r \h </w:instrText>
      </w:r>
      <w:r w:rsidR="006F6B54">
        <w:fldChar w:fldCharType="separate"/>
      </w:r>
      <w:r w:rsidR="00927273">
        <w:t>A.14.2</w:t>
      </w:r>
      <w:r w:rsidR="006F6B54">
        <w:fldChar w:fldCharType="end"/>
      </w:r>
      <w:r w:rsidR="003854B2" w:rsidRPr="003854B2">
        <w:t xml:space="preserve"> of </w:t>
      </w:r>
      <w:r w:rsidR="00CB0A52">
        <w:t>appendix</w:t>
      </w:r>
      <w:r w:rsidR="00B04695">
        <w:t xml:space="preserve"> A</w:t>
      </w:r>
      <w:r>
        <w:t xml:space="preserve">. </w:t>
      </w:r>
      <w:r w:rsidR="00C768B1">
        <w:t>Opinion on the merit</w:t>
      </w:r>
      <w:r w:rsidR="00F06935">
        <w:t>s</w:t>
      </w:r>
      <w:r w:rsidR="00C768B1">
        <w:t xml:space="preserve"> of the various studies differs:</w:t>
      </w:r>
    </w:p>
    <w:p w:rsidR="00BE7675" w:rsidRDefault="00C768B1" w:rsidP="00C768B1">
      <w:pPr>
        <w:pStyle w:val="AERbulletlistfirststyle"/>
      </w:pPr>
      <w:r>
        <w:t>SFG consider</w:t>
      </w:r>
      <w:r w:rsidR="007F023B">
        <w:t>ed</w:t>
      </w:r>
      <w:r>
        <w:t xml:space="preserve"> that implied market value studies should be relied upon exclusively when estimating the utilisation rate. Moreover, it consider</w:t>
      </w:r>
      <w:r w:rsidR="007F023B">
        <w:t>ed</w:t>
      </w:r>
      <w:r>
        <w:t xml:space="preserve"> that dividend drop off studies should be preferred to alternative market studies, and that there is no reasonable basis for adopting an estimate from dividend drop off analysis above the 0.35 estimate from its study.</w:t>
      </w:r>
      <w:r w:rsidR="006324A0">
        <w:rPr>
          <w:rStyle w:val="FootnoteReference"/>
        </w:rPr>
        <w:footnoteReference w:id="74"/>
      </w:r>
    </w:p>
    <w:p w:rsidR="00C768B1" w:rsidRDefault="00C768B1" w:rsidP="00C768B1">
      <w:pPr>
        <w:pStyle w:val="AERbulletlistfirststyle"/>
      </w:pPr>
      <w:r>
        <w:t xml:space="preserve">The </w:t>
      </w:r>
      <w:r w:rsidR="007F023B">
        <w:t>Economic Regulation Authority of Western Australia (</w:t>
      </w:r>
      <w:r>
        <w:t>ERA</w:t>
      </w:r>
      <w:r w:rsidR="007F023B">
        <w:t>)</w:t>
      </w:r>
      <w:r>
        <w:t xml:space="preserve">, which at present relies exclusively on dividend drop off studies when estimating the utilisation rate, conducted its own </w:t>
      </w:r>
      <w:r w:rsidR="00AB25EB">
        <w:t xml:space="preserve">dividend drop off </w:t>
      </w:r>
      <w:r>
        <w:t xml:space="preserve">study and </w:t>
      </w:r>
      <w:r w:rsidR="007F023B">
        <w:t xml:space="preserve">concluded </w:t>
      </w:r>
      <w:r>
        <w:t>that a reasonable estimate is between 0.35 and 0.55.</w:t>
      </w:r>
      <w:r w:rsidR="006324A0">
        <w:rPr>
          <w:rStyle w:val="FootnoteReference"/>
        </w:rPr>
        <w:footnoteReference w:id="75"/>
      </w:r>
    </w:p>
    <w:p w:rsidR="00C768B1" w:rsidRDefault="00C768B1" w:rsidP="00C768B1">
      <w:pPr>
        <w:pStyle w:val="AERbulletlistfirststyle"/>
      </w:pPr>
      <w:r>
        <w:t xml:space="preserve">Lally </w:t>
      </w:r>
      <w:r w:rsidR="00A568A5">
        <w:t>concurred with the view</w:t>
      </w:r>
      <w:r w:rsidR="007F023B">
        <w:t xml:space="preserve"> </w:t>
      </w:r>
      <w:r>
        <w:t xml:space="preserve">that implied market value studies </w:t>
      </w:r>
      <w:r w:rsidR="00A568A5">
        <w:t>'warrant low weight'</w:t>
      </w:r>
      <w:r>
        <w:t xml:space="preserve">, but </w:t>
      </w:r>
      <w:r w:rsidR="00A568A5">
        <w:t xml:space="preserve">suggested </w:t>
      </w:r>
      <w:r>
        <w:t>that some studies are more useful than others based on their characteristics.</w:t>
      </w:r>
      <w:r w:rsidR="006324A0">
        <w:rPr>
          <w:rStyle w:val="FootnoteReference"/>
        </w:rPr>
        <w:footnoteReference w:id="76"/>
      </w:r>
    </w:p>
    <w:p w:rsidR="00C768B1" w:rsidRDefault="00C768B1" w:rsidP="00C768B1">
      <w:pPr>
        <w:pStyle w:val="AERbulletlistfirststyle"/>
      </w:pPr>
      <w:r>
        <w:t>McKenzie and Partington consider</w:t>
      </w:r>
      <w:r w:rsidR="007F023B">
        <w:t>ed</w:t>
      </w:r>
      <w:r>
        <w:t xml:space="preserve"> that there is no obvious </w:t>
      </w:r>
      <w:r w:rsidR="00AB25EB">
        <w:t>manner in which to weigh the results from various studies based on their characteristics. They observe</w:t>
      </w:r>
      <w:r w:rsidR="007F023B">
        <w:t>d</w:t>
      </w:r>
      <w:r w:rsidR="00AB25EB">
        <w:t xml:space="preserve"> that a simple average of the results from a reasonably comprehensive sample of studies suggests an estimate of the utilisation rate of 0.53. They also note</w:t>
      </w:r>
      <w:r w:rsidR="007F023B">
        <w:t>d</w:t>
      </w:r>
      <w:r w:rsidR="00AB25EB">
        <w:t xml:space="preserve"> that their own studies suggest a significantly higher estimate of 0.83.</w:t>
      </w:r>
      <w:r w:rsidR="006324A0">
        <w:rPr>
          <w:rStyle w:val="FootnoteReference"/>
        </w:rPr>
        <w:footnoteReference w:id="77"/>
      </w:r>
    </w:p>
    <w:p w:rsidR="00BE05DE" w:rsidRDefault="00BE05DE" w:rsidP="002A25EE">
      <w:pPr>
        <w:pStyle w:val="AERbodytext"/>
      </w:pPr>
      <w:r>
        <w:t>In light of these differing views</w:t>
      </w:r>
      <w:r w:rsidR="008F2F1C">
        <w:t xml:space="preserve"> and the range of estimates, we </w:t>
      </w:r>
      <w:r>
        <w:t xml:space="preserve">consider that implied market value studies </w:t>
      </w:r>
      <w:r w:rsidR="008F2F1C">
        <w:t>provide limited guidance. However,</w:t>
      </w:r>
      <w:r>
        <w:t xml:space="preserve"> we note that the estimates of the utilisation rate from the equity ownership approach and tax statistics sit within the broad range</w:t>
      </w:r>
      <w:r w:rsidR="008F2F1C">
        <w:t xml:space="preserve"> of estimates from this class of evidence</w:t>
      </w:r>
      <w:r w:rsidR="0061378D">
        <w:t>.</w:t>
      </w:r>
      <w:r w:rsidR="008F2F1C">
        <w:t xml:space="preserve"> </w:t>
      </w:r>
      <w:r w:rsidR="0061378D">
        <w:t>T</w:t>
      </w:r>
      <w:r w:rsidR="008F2F1C">
        <w:t xml:space="preserve">his </w:t>
      </w:r>
      <w:r w:rsidR="0061378D">
        <w:t>provides a degree of support for</w:t>
      </w:r>
      <w:r w:rsidR="008F2F1C">
        <w:t xml:space="preserve"> estimates from the equity ownership approach and tax statistics.</w:t>
      </w:r>
      <w:r>
        <w:t xml:space="preserve"> </w:t>
      </w:r>
    </w:p>
    <w:p w:rsidR="00A546F0" w:rsidRDefault="008F2F1C" w:rsidP="002A25EE">
      <w:pPr>
        <w:pStyle w:val="AERbodytext"/>
      </w:pPr>
      <w:r>
        <w:t xml:space="preserve">Our assessment of implied market value studies differs to that in the </w:t>
      </w:r>
      <w:r w:rsidR="00BB0A43">
        <w:t>G</w:t>
      </w:r>
      <w:r>
        <w:t xml:space="preserve">uideline. </w:t>
      </w:r>
      <w:r w:rsidR="00A546F0">
        <w:t xml:space="preserve">In the </w:t>
      </w:r>
      <w:r w:rsidR="00BB0A43">
        <w:t>G</w:t>
      </w:r>
      <w:r w:rsidR="00A546F0">
        <w:t>uideline, we considered that implied market value studies supported an estimate of the utilisation rate between 0 and 0.5. This range was determined with regard to</w:t>
      </w:r>
      <w:r w:rsidR="00AC49A6">
        <w:t xml:space="preserve"> </w:t>
      </w:r>
      <w:r w:rsidR="001F65CB">
        <w:t>a</w:t>
      </w:r>
      <w:r w:rsidR="00A546F0">
        <w:t xml:space="preserve"> range of studies, with higher regard given to those studies that:</w:t>
      </w:r>
    </w:p>
    <w:p w:rsidR="00A546F0" w:rsidRDefault="00B747B6" w:rsidP="00A546F0">
      <w:pPr>
        <w:pStyle w:val="AERbulletlistfirststyle"/>
      </w:pPr>
      <w:r>
        <w:t>u</w:t>
      </w:r>
      <w:r w:rsidR="00A546F0">
        <w:t>sed longer data periods</w:t>
      </w:r>
    </w:p>
    <w:p w:rsidR="00A546F0" w:rsidRDefault="00B747B6" w:rsidP="009C2DFD">
      <w:pPr>
        <w:pStyle w:val="AERbulletlistfirststyle"/>
      </w:pPr>
      <w:r>
        <w:t>u</w:t>
      </w:r>
      <w:r w:rsidR="00A546F0">
        <w:t>sed data</w:t>
      </w:r>
      <w:r w:rsidR="009C2DFD">
        <w:t xml:space="preserve"> since 2000, </w:t>
      </w:r>
      <w:r w:rsidR="009C2DFD" w:rsidRPr="009C2DFD">
        <w:t>when the change in tax law entitled eligible investors to a refund of credits that exceeded their tax liability</w:t>
      </w:r>
    </w:p>
    <w:p w:rsidR="00B747B6" w:rsidRDefault="00B747B6" w:rsidP="00A546F0">
      <w:pPr>
        <w:pStyle w:val="AERbulletlistfirststyle"/>
      </w:pPr>
      <w:r>
        <w:t>e</w:t>
      </w:r>
      <w:r w:rsidR="00A546F0">
        <w:t>ncompassed the breadth of the market instead of just selected firms</w:t>
      </w:r>
      <w:r w:rsidR="00F900C7">
        <w:t>, and</w:t>
      </w:r>
    </w:p>
    <w:p w:rsidR="00B747B6" w:rsidRDefault="00B747B6" w:rsidP="00A546F0">
      <w:pPr>
        <w:pStyle w:val="AERbulletlistfirststyle"/>
      </w:pPr>
      <w:r>
        <w:t>appeared to use more reasonable and robust econometric treatments.</w:t>
      </w:r>
    </w:p>
    <w:p w:rsidR="005E3DF0" w:rsidRDefault="005E3DF0" w:rsidP="001F65CB">
      <w:pPr>
        <w:pStyle w:val="AERbodytext"/>
      </w:pPr>
      <w:r>
        <w:t xml:space="preserve">However, with regard mainly to the </w:t>
      </w:r>
      <w:r w:rsidR="00196E27">
        <w:t>view</w:t>
      </w:r>
      <w:r>
        <w:t xml:space="preserve"> of McKenzie and Partington</w:t>
      </w:r>
      <w:r w:rsidR="00196E27">
        <w:t xml:space="preserve"> that there is no obvious manner by which the results of implied market value studies should be filtered</w:t>
      </w:r>
      <w:r>
        <w:t xml:space="preserve">, we no longer propose </w:t>
      </w:r>
      <w:r w:rsidR="00196E27">
        <w:t>to do so.</w:t>
      </w:r>
      <w:r w:rsidR="009F71E6">
        <w:rPr>
          <w:rStyle w:val="FootnoteReference"/>
        </w:rPr>
        <w:footnoteReference w:id="78"/>
      </w:r>
    </w:p>
    <w:p w:rsidR="001B44AD" w:rsidRDefault="008F2F1C" w:rsidP="001F65CB">
      <w:pPr>
        <w:pStyle w:val="AERbodytext"/>
      </w:pPr>
      <w:r>
        <w:t xml:space="preserve">A further issue regarding implied market value studies is the appropriate interpretation of their results. Handley and Lally </w:t>
      </w:r>
      <w:r w:rsidR="00F30FFC">
        <w:t xml:space="preserve">both </w:t>
      </w:r>
      <w:r>
        <w:t>advise</w:t>
      </w:r>
      <w:r w:rsidR="007F023B">
        <w:t>d</w:t>
      </w:r>
      <w:r w:rsidR="00F30FFC">
        <w:t xml:space="preserve"> that </w:t>
      </w:r>
      <w:r w:rsidR="00440BC3">
        <w:t>in the rate of return framework we use investors are assumed to value a dollar of dividends at one dollar. However, the results of implied market value studies can reflect certain factors that cause an investor to value a dollar of dividends at less than one dollar</w:t>
      </w:r>
      <w:r w:rsidR="001F65CB">
        <w:t xml:space="preserve"> (such as personal tax circumstances)</w:t>
      </w:r>
      <w:r w:rsidR="00440BC3">
        <w:t xml:space="preserve">. Moreover, </w:t>
      </w:r>
      <w:r w:rsidR="00EC17FD">
        <w:t xml:space="preserve">any </w:t>
      </w:r>
      <w:r w:rsidR="00440BC3">
        <w:t xml:space="preserve">such factors </w:t>
      </w:r>
      <w:r w:rsidR="00EC17FD">
        <w:t>will also affect investors' valuation of imputation credits. Handley and Lally advise</w:t>
      </w:r>
      <w:r w:rsidR="00A5075C">
        <w:t>d</w:t>
      </w:r>
      <w:r w:rsidR="00EC17FD">
        <w:t xml:space="preserve"> that </w:t>
      </w:r>
      <w:r w:rsidR="00F30FFC">
        <w:t>the desired estimate of the utilisation rate should exclude t</w:t>
      </w:r>
      <w:r w:rsidR="00EC17FD">
        <w:t>he effect of these</w:t>
      </w:r>
      <w:r w:rsidR="00F30FFC">
        <w:t xml:space="preserve"> factors</w:t>
      </w:r>
      <w:r w:rsidR="00EC17FD">
        <w:t>. To remove the effect, they advise</w:t>
      </w:r>
      <w:r w:rsidR="003B3BCC">
        <w:t>d</w:t>
      </w:r>
      <w:r w:rsidR="00EC17FD">
        <w:t xml:space="preserve"> that the estimate of the utilisation rate from a </w:t>
      </w:r>
      <w:r w:rsidR="002D5583">
        <w:t>given</w:t>
      </w:r>
      <w:r w:rsidR="00EC17FD">
        <w:t xml:space="preserve"> study </w:t>
      </w:r>
      <w:r w:rsidR="001F65CB">
        <w:t xml:space="preserve">can </w:t>
      </w:r>
      <w:r w:rsidR="00EC17FD">
        <w:t>be divided by investors' estimated valuation of dividends from the same study.</w:t>
      </w:r>
      <w:r w:rsidR="00255370">
        <w:rPr>
          <w:rStyle w:val="FootnoteReference"/>
        </w:rPr>
        <w:footnoteReference w:id="79"/>
      </w:r>
      <w:r w:rsidR="00EC17FD">
        <w:t xml:space="preserve"> </w:t>
      </w:r>
      <w:r w:rsidR="00C01828">
        <w:t>Therefore, Handley and Lally advise</w:t>
      </w:r>
      <w:r w:rsidR="003B3BCC">
        <w:t>d</w:t>
      </w:r>
      <w:r w:rsidR="00C01828">
        <w:t xml:space="preserve"> that the 0.35 estimate from SFG's </w:t>
      </w:r>
      <w:r w:rsidR="00082C99">
        <w:t>dividend drop off study should in fact be interpreted as an es</w:t>
      </w:r>
      <w:r w:rsidR="00E12B46">
        <w:t>timate of around 0.</w:t>
      </w:r>
      <w:r w:rsidR="009C06D6">
        <w:t>4.</w:t>
      </w:r>
      <w:r w:rsidR="00E12B46">
        <w:t xml:space="preserve"> T</w:t>
      </w:r>
      <w:r w:rsidR="00082C99">
        <w:t xml:space="preserve">his interpretation issue applies to other implied market value studies where </w:t>
      </w:r>
      <w:r w:rsidR="002D5583">
        <w:t>investors' estimated valuation of dividends is less than one dollar</w:t>
      </w:r>
      <w:r w:rsidR="00082C99">
        <w:t>. This includes the ERA study</w:t>
      </w:r>
      <w:r w:rsidR="00720C74">
        <w:t xml:space="preserve">. Given </w:t>
      </w:r>
      <w:r w:rsidR="00E12B46">
        <w:t>a coefficient on dividends in that study of 0.88, the adjusted range of estimates for the utilisation rate is 0.4 to 0.63.</w:t>
      </w:r>
      <w:r w:rsidR="009C06D6">
        <w:rPr>
          <w:rStyle w:val="FootnoteReference"/>
        </w:rPr>
        <w:footnoteReference w:id="80"/>
      </w:r>
      <w:r w:rsidR="008F44FB">
        <w:t xml:space="preserve"> </w:t>
      </w:r>
      <w:r w:rsidR="00923811">
        <w:t xml:space="preserve">McKenzie and Partington's average estimate of 0.53 will also be higher when the adjustment is applied to the </w:t>
      </w:r>
      <w:r w:rsidR="009C06D6">
        <w:t xml:space="preserve">results from the </w:t>
      </w:r>
      <w:r w:rsidR="00923811">
        <w:t>studies</w:t>
      </w:r>
      <w:r w:rsidR="009C06D6">
        <w:t xml:space="preserve"> to which they have regard.</w:t>
      </w:r>
      <w:r w:rsidR="00923811">
        <w:t xml:space="preserve"> </w:t>
      </w:r>
    </w:p>
    <w:p w:rsidR="00271051" w:rsidRPr="00983A20" w:rsidRDefault="00271051" w:rsidP="00C41468">
      <w:pPr>
        <w:pStyle w:val="AERbodytext"/>
        <w:keepNext/>
        <w:rPr>
          <w:rStyle w:val="AERtextbold"/>
        </w:rPr>
      </w:pPr>
      <w:r>
        <w:rPr>
          <w:rStyle w:val="AERtextbold"/>
        </w:rPr>
        <w:t>Responses to key issues raised by stakeholders</w:t>
      </w:r>
    </w:p>
    <w:p w:rsidR="00ED2D35" w:rsidRDefault="00024280" w:rsidP="00C42707">
      <w:pPr>
        <w:pStyle w:val="AERbodytext"/>
      </w:pPr>
      <w:r>
        <w:t>The service providers submitted that the only source of evidence that can be used to derive a point estimate of the utilisation rate is market value evidence.</w:t>
      </w:r>
      <w:r w:rsidR="00C14E99">
        <w:rPr>
          <w:rStyle w:val="FootnoteReference"/>
        </w:rPr>
        <w:footnoteReference w:id="81"/>
      </w:r>
      <w:r>
        <w:t xml:space="preserve"> </w:t>
      </w:r>
      <w:r w:rsidR="00C14E99">
        <w:t xml:space="preserve">We disagree. </w:t>
      </w:r>
      <w:r w:rsidR="008969F7">
        <w:t>There is no consensus that only market value evidence is relevant. Moreover, the views of Handley, Lally and McKenzie and Partington</w:t>
      </w:r>
      <w:r w:rsidR="008E38E8">
        <w:t>, which have already been discussed,</w:t>
      </w:r>
      <w:r w:rsidR="008969F7">
        <w:t xml:space="preserve"> support the wider range of evidence to which we have regard.</w:t>
      </w:r>
    </w:p>
    <w:p w:rsidR="001D4597" w:rsidRDefault="00ED2D35" w:rsidP="008A4A47">
      <w:pPr>
        <w:pStyle w:val="AERbodytext"/>
      </w:pPr>
      <w:r>
        <w:t xml:space="preserve">The service providers also submitted </w:t>
      </w:r>
      <w:r w:rsidR="001D4597">
        <w:t>that not all dividend drop off studies should be given equal weight. Instead, the service providers submitted that the choice of relevant study must take into account:</w:t>
      </w:r>
      <w:r w:rsidR="008E38E8">
        <w:rPr>
          <w:rStyle w:val="FootnoteReference"/>
        </w:rPr>
        <w:footnoteReference w:id="82"/>
      </w:r>
    </w:p>
    <w:p w:rsidR="001D4597" w:rsidRDefault="001D4597" w:rsidP="001D4597">
      <w:pPr>
        <w:pStyle w:val="AERbulletlistfirststyle"/>
      </w:pPr>
      <w:r>
        <w:t xml:space="preserve">the time period covered (specifically, </w:t>
      </w:r>
      <w:r w:rsidR="00EA6BDF">
        <w:t>data should come from the period since 2000, when the change in tax law entitled eligible investors to a refund of credits that exceeded their tax liability</w:t>
      </w:r>
      <w:r>
        <w:t>)</w:t>
      </w:r>
      <w:r w:rsidR="008E38E8">
        <w:t>, and</w:t>
      </w:r>
    </w:p>
    <w:p w:rsidR="001D4597" w:rsidRDefault="001D4597" w:rsidP="001D4597">
      <w:pPr>
        <w:pStyle w:val="AERbulletlistfirststyle"/>
      </w:pPr>
      <w:r>
        <w:t xml:space="preserve">the robustness of the methodology and the data relied </w:t>
      </w:r>
      <w:r w:rsidR="008E38E8">
        <w:t>up</w:t>
      </w:r>
      <w:r>
        <w:t>on.</w:t>
      </w:r>
    </w:p>
    <w:p w:rsidR="001D4597" w:rsidRDefault="001D4597" w:rsidP="001D4597">
      <w:pPr>
        <w:pStyle w:val="AERbodytext"/>
      </w:pPr>
      <w:r>
        <w:t xml:space="preserve">These are reasonable </w:t>
      </w:r>
      <w:r w:rsidR="008A1EB1">
        <w:t xml:space="preserve">filters </w:t>
      </w:r>
      <w:r>
        <w:t xml:space="preserve">to apply, and we applied similar </w:t>
      </w:r>
      <w:r w:rsidR="008A1EB1">
        <w:t xml:space="preserve">filters </w:t>
      </w:r>
      <w:r>
        <w:t xml:space="preserve">when considering the results of dividend drop off studies for the purposes of the </w:t>
      </w:r>
      <w:r w:rsidR="0033289B">
        <w:t>Guideline</w:t>
      </w:r>
      <w:r>
        <w:t xml:space="preserve">. However, </w:t>
      </w:r>
      <w:r w:rsidR="004E23C8">
        <w:t xml:space="preserve">we now </w:t>
      </w:r>
      <w:r>
        <w:t>consider that:</w:t>
      </w:r>
    </w:p>
    <w:p w:rsidR="002A3A61" w:rsidRDefault="00B92A7B" w:rsidP="00B92A7B">
      <w:pPr>
        <w:pStyle w:val="AERbulletlistfirststyle"/>
      </w:pPr>
      <w:r>
        <w:t>Studies that use</w:t>
      </w:r>
      <w:r w:rsidR="002A3A61">
        <w:t xml:space="preserve"> pre-2000 data need not be </w:t>
      </w:r>
      <w:r>
        <w:t>strictly disregarded</w:t>
      </w:r>
      <w:r w:rsidR="002A3A61">
        <w:t xml:space="preserve">. This is because results from these studies can be interpreted with </w:t>
      </w:r>
      <w:r>
        <w:t xml:space="preserve">due regard to this limitation; specifically, </w:t>
      </w:r>
      <w:r w:rsidR="004E23C8">
        <w:t>one can consider that the results from these studies indicate a value of distributed credits that it is almost certainly lower than it would have been were investors at the time entitled to a refund of excess credits.</w:t>
      </w:r>
    </w:p>
    <w:p w:rsidR="004019E3" w:rsidRDefault="00B22D39" w:rsidP="008F3EBF">
      <w:pPr>
        <w:pStyle w:val="AERbulletlistfirststyle"/>
      </w:pPr>
      <w:r>
        <w:t>The</w:t>
      </w:r>
      <w:r w:rsidR="00FD3A9E">
        <w:t xml:space="preserve"> </w:t>
      </w:r>
      <w:r w:rsidR="003B3BCC">
        <w:t xml:space="preserve">reports </w:t>
      </w:r>
      <w:r w:rsidR="00FD3A9E">
        <w:t>by</w:t>
      </w:r>
      <w:r w:rsidR="004E23C8">
        <w:t xml:space="preserve"> Lally </w:t>
      </w:r>
      <w:r w:rsidR="00FD3A9E">
        <w:t>and</w:t>
      </w:r>
      <w:r w:rsidR="004E23C8">
        <w:t xml:space="preserve"> McKenzie and Partington </w:t>
      </w:r>
      <w:r w:rsidR="00FD3A9E">
        <w:t>provide no indication</w:t>
      </w:r>
      <w:r w:rsidR="004E23C8">
        <w:t xml:space="preserve"> that </w:t>
      </w:r>
      <w:r w:rsidR="00FD3A9E">
        <w:t xml:space="preserve">a consensus exists </w:t>
      </w:r>
      <w:r w:rsidR="008F3EBF">
        <w:t>as to</w:t>
      </w:r>
      <w:r w:rsidR="00FD3A9E">
        <w:t xml:space="preserve"> the best method by which the value of distributed imputation credits can be inferred from market prices.</w:t>
      </w:r>
      <w:r w:rsidR="00FD3A9E">
        <w:rPr>
          <w:rStyle w:val="FootnoteReference"/>
        </w:rPr>
        <w:footnoteReference w:id="83"/>
      </w:r>
      <w:r w:rsidR="00FD3A9E">
        <w:t xml:space="preserve"> </w:t>
      </w:r>
    </w:p>
    <w:p w:rsidR="00EC40B9" w:rsidRDefault="00EC53DB" w:rsidP="00EC40B9">
      <w:pPr>
        <w:pStyle w:val="AERbodytext"/>
      </w:pPr>
      <w:r>
        <w:t>SFG has addressed</w:t>
      </w:r>
      <w:r w:rsidR="00EC40B9">
        <w:t xml:space="preserve"> </w:t>
      </w:r>
      <w:r w:rsidR="00A475B1">
        <w:t>Lally's</w:t>
      </w:r>
      <w:r w:rsidR="00EC40B9">
        <w:t xml:space="preserve"> </w:t>
      </w:r>
      <w:r>
        <w:t>view</w:t>
      </w:r>
      <w:r w:rsidR="00EC40B9">
        <w:t xml:space="preserve"> that estimates of the utilisation rate from implied market value studies should be adjust</w:t>
      </w:r>
      <w:r w:rsidR="001F65CB">
        <w:t>ed by investors' estimated valuation of</w:t>
      </w:r>
      <w:r w:rsidR="00EC40B9">
        <w:t xml:space="preserve"> dividends.</w:t>
      </w:r>
      <w:r w:rsidR="00EC40B9">
        <w:rPr>
          <w:rStyle w:val="FootnoteReference"/>
        </w:rPr>
        <w:footnoteReference w:id="84"/>
      </w:r>
      <w:r w:rsidR="002B6BD6">
        <w:t xml:space="preserve"> In its discussion, SFG </w:t>
      </w:r>
      <w:r w:rsidR="00EC40B9">
        <w:t>note</w:t>
      </w:r>
      <w:r w:rsidR="003B3BCC">
        <w:t>d</w:t>
      </w:r>
      <w:r w:rsidR="00EC40B9">
        <w:t xml:space="preserve"> that divid</w:t>
      </w:r>
      <w:r w:rsidR="002B6BD6">
        <w:t xml:space="preserve">end drop off estimates of </w:t>
      </w:r>
      <w:r w:rsidR="001F65CB">
        <w:t>the value of distributed credits</w:t>
      </w:r>
      <w:r w:rsidR="002B6BD6">
        <w:t xml:space="preserve"> reflect the combined effect of three categories of reasons why imputation credits are likely to have a value less than their face value:</w:t>
      </w:r>
      <w:r w:rsidR="008270B6">
        <w:rPr>
          <w:rStyle w:val="FootnoteReference"/>
        </w:rPr>
        <w:footnoteReference w:id="85"/>
      </w:r>
    </w:p>
    <w:p w:rsidR="002B6BD6" w:rsidRDefault="00731ECA" w:rsidP="00731ECA">
      <w:pPr>
        <w:pStyle w:val="AERquote"/>
      </w:pPr>
      <w:r>
        <w:t xml:space="preserve">a) </w:t>
      </w:r>
      <w:r w:rsidR="002B6BD6">
        <w:t>Reasons that also</w:t>
      </w:r>
      <w:r w:rsidR="000618A4">
        <w:t xml:space="preserve"> apply to dividends (e.g.</w:t>
      </w:r>
      <w:r w:rsidR="002B6BD6">
        <w:t>, the poss</w:t>
      </w:r>
      <w:r w:rsidR="000618A4">
        <w:t>ible effects of personal taxes);</w:t>
      </w:r>
    </w:p>
    <w:p w:rsidR="002B6BD6" w:rsidRDefault="00731ECA" w:rsidP="00731ECA">
      <w:pPr>
        <w:pStyle w:val="AERquote"/>
      </w:pPr>
      <w:r>
        <w:t xml:space="preserve">b) </w:t>
      </w:r>
      <w:r w:rsidR="002B6BD6">
        <w:t>The fact that n</w:t>
      </w:r>
      <w:r w:rsidR="000618A4">
        <w:t>ot all credits will be utilised; and</w:t>
      </w:r>
    </w:p>
    <w:p w:rsidR="002B6BD6" w:rsidRDefault="00731ECA" w:rsidP="00731ECA">
      <w:pPr>
        <w:pStyle w:val="AERquote"/>
      </w:pPr>
      <w:r>
        <w:t xml:space="preserve">c) </w:t>
      </w:r>
      <w:r w:rsidR="000618A4">
        <w:t>Other reasons (e.g.</w:t>
      </w:r>
      <w:r w:rsidR="002B6BD6">
        <w:t xml:space="preserve">, there is a time delay in receiving them, there are administrative costs in </w:t>
      </w:r>
      <w:r w:rsidR="003121E3">
        <w:t xml:space="preserve">redeeming </w:t>
      </w:r>
      <w:r w:rsidR="002B6BD6">
        <w:t>them and there are portfolio diversification costs in acquiring them).</w:t>
      </w:r>
    </w:p>
    <w:p w:rsidR="002B6BD6" w:rsidRDefault="007624BC" w:rsidP="002B6BD6">
      <w:pPr>
        <w:pStyle w:val="AERbodytext"/>
      </w:pPr>
      <w:r>
        <w:t>Handley reviewed this response from SFG. A</w:t>
      </w:r>
      <w:r w:rsidR="002B6BD6">
        <w:t xml:space="preserve">s discussed in </w:t>
      </w:r>
      <w:r w:rsidR="00EC53DB" w:rsidRPr="00EC53DB">
        <w:t xml:space="preserve">section </w:t>
      </w:r>
      <w:r w:rsidR="006F6B54">
        <w:fldChar w:fldCharType="begin"/>
      </w:r>
      <w:r w:rsidR="006F6B54">
        <w:instrText xml:space="preserve"> REF _Ref401748758 \r \h </w:instrText>
      </w:r>
      <w:r w:rsidR="006F6B54">
        <w:fldChar w:fldCharType="separate"/>
      </w:r>
      <w:r w:rsidR="00927273">
        <w:t>A.7.1</w:t>
      </w:r>
      <w:r w:rsidR="006F6B54">
        <w:fldChar w:fldCharType="end"/>
      </w:r>
      <w:r w:rsidR="00EC53DB" w:rsidRPr="00EC53DB">
        <w:t xml:space="preserve"> of </w:t>
      </w:r>
      <w:r w:rsidR="00CB0A52">
        <w:t>appendix</w:t>
      </w:r>
      <w:r w:rsidR="00B04695">
        <w:t xml:space="preserve"> A</w:t>
      </w:r>
      <w:r w:rsidR="002B6BD6">
        <w:t>, Handley advise</w:t>
      </w:r>
      <w:r w:rsidR="003B3BCC">
        <w:t>d</w:t>
      </w:r>
      <w:r w:rsidR="002B6BD6">
        <w:t xml:space="preserve"> th</w:t>
      </w:r>
      <w:r w:rsidR="000D077B">
        <w:t>at:</w:t>
      </w:r>
      <w:r w:rsidR="000D077B">
        <w:rPr>
          <w:rStyle w:val="FootnoteReference"/>
        </w:rPr>
        <w:footnoteReference w:id="86"/>
      </w:r>
    </w:p>
    <w:p w:rsidR="000D077B" w:rsidRDefault="000D077B" w:rsidP="000D077B">
      <w:pPr>
        <w:pStyle w:val="AERquote"/>
      </w:pPr>
      <w:r>
        <w:t>…ideally we want the value of credits before administrative costs, personal taxes and diversification costs.</w:t>
      </w:r>
    </w:p>
    <w:p w:rsidR="003B7FE3" w:rsidRDefault="000D077B" w:rsidP="004B0617">
      <w:pPr>
        <w:pStyle w:val="AERbodytext"/>
      </w:pPr>
      <w:r>
        <w:t>Thus</w:t>
      </w:r>
      <w:r w:rsidR="002B6BD6">
        <w:t xml:space="preserve"> SFG has identified that </w:t>
      </w:r>
      <w:r w:rsidR="008D51B5">
        <w:t xml:space="preserve">the results of </w:t>
      </w:r>
      <w:r w:rsidR="002B6BD6">
        <w:t xml:space="preserve">dividend drop off estimates reflect some factors that are not relevant to the utilisation rate. Moreover, </w:t>
      </w:r>
      <w:r>
        <w:t xml:space="preserve">it is </w:t>
      </w:r>
      <w:r w:rsidR="002B6BD6">
        <w:t>Handley and Lally</w:t>
      </w:r>
      <w:r>
        <w:t>'s</w:t>
      </w:r>
      <w:r w:rsidR="002B6BD6">
        <w:t xml:space="preserve"> </w:t>
      </w:r>
      <w:r>
        <w:t>advice</w:t>
      </w:r>
      <w:r w:rsidR="002B6BD6">
        <w:t xml:space="preserve"> that to the extent </w:t>
      </w:r>
      <w:r w:rsidR="000B5CCB">
        <w:t>such</w:t>
      </w:r>
      <w:r w:rsidR="002B6BD6">
        <w:t xml:space="preserve"> estimates can be adjusted for these factors (because we can observe the effect they are having on estimates of the value of dividends), then this adjustment should be made.</w:t>
      </w:r>
    </w:p>
    <w:p w:rsidR="001E32C9" w:rsidRDefault="00C050E4" w:rsidP="00B04695">
      <w:pPr>
        <w:pStyle w:val="Heading7"/>
      </w:pPr>
      <w:bookmarkStart w:id="57" w:name="_Toc404078540"/>
      <w:bookmarkStart w:id="58" w:name="_Toc404334869"/>
      <w:r>
        <w:t xml:space="preserve">Value of imputation credits: </w:t>
      </w:r>
      <w:r w:rsidR="004469A8">
        <w:t>D</w:t>
      </w:r>
      <w:r>
        <w:t>etailed analysis</w:t>
      </w:r>
      <w:bookmarkEnd w:id="57"/>
      <w:bookmarkEnd w:id="58"/>
    </w:p>
    <w:p w:rsidR="001E32C9" w:rsidRDefault="00B7073F" w:rsidP="001E32C9">
      <w:pPr>
        <w:pStyle w:val="AERbodytext"/>
      </w:pPr>
      <w:r>
        <w:t>In attachment</w:t>
      </w:r>
      <w:r w:rsidR="0051580D">
        <w:t xml:space="preserve"> 4</w:t>
      </w:r>
      <w:r w:rsidR="001E32C9">
        <w:t xml:space="preserve">, we set out our position on the value of imputation credits—which is to adopt a value of 0.4—and our key reasons for that position. We also indicated the position submitted to us by service providers with current </w:t>
      </w:r>
      <w:r w:rsidR="00A34DC3">
        <w:t>regulatory decisions</w:t>
      </w:r>
      <w:r w:rsidR="001E32C9">
        <w:t>, and briefly set out our consideration of that position. In this appendix, we set out further supporting material for our position on the value of imputation credits. We also respond in more detail to the position submitted to us by service providers.</w:t>
      </w:r>
    </w:p>
    <w:p w:rsidR="001E32C9" w:rsidRDefault="001E32C9" w:rsidP="001E32C9">
      <w:pPr>
        <w:pStyle w:val="AERbodytext"/>
      </w:pPr>
      <w:r>
        <w:t xml:space="preserve">All service providers with current </w:t>
      </w:r>
      <w:r w:rsidR="00A34DC3">
        <w:t>regulatory decisions</w:t>
      </w:r>
      <w:r>
        <w:t xml:space="preserve"> (ActewAGL, Ausgrid, Directlink, Endeavour Energy, Essential Energy, </w:t>
      </w:r>
      <w:r w:rsidR="00E90C6C">
        <w:t>JGN</w:t>
      </w:r>
      <w:r>
        <w:t xml:space="preserve"> and TransGrid), with the exception of TasNetworks, proposed a value of imputation credits of 0.25. The reasons submitted by those service providers were largely the same and the service providers jointly commissioned a report from SFG and relied on that report extensively in their proposals. Accordingly, our analysis in this appendix is applicable and consistent with our analysis of the proposals from those other service providers. </w:t>
      </w:r>
    </w:p>
    <w:p w:rsidR="001E32C9" w:rsidRDefault="001E32C9" w:rsidP="001E32C9">
      <w:pPr>
        <w:pStyle w:val="Heading8"/>
        <w:numPr>
          <w:ilvl w:val="5"/>
          <w:numId w:val="57"/>
        </w:numPr>
      </w:pPr>
      <w:bookmarkStart w:id="59" w:name="_Ref403477544"/>
      <w:bookmarkStart w:id="60" w:name="_Toc404334870"/>
      <w:bookmarkStart w:id="61" w:name="_Ref400374292"/>
      <w:bookmarkStart w:id="62" w:name="_Ref400463171"/>
      <w:r>
        <w:t>Expert views on the value of imputation credits</w:t>
      </w:r>
      <w:bookmarkEnd w:id="59"/>
      <w:bookmarkEnd w:id="60"/>
    </w:p>
    <w:p w:rsidR="001E32C9" w:rsidRDefault="00D955E1" w:rsidP="001E32C9">
      <w:pPr>
        <w:pStyle w:val="AERbodytext"/>
      </w:pPr>
      <w:r>
        <w:t xml:space="preserve">We, other regulators, service providers and consumer representatives have commissioned expert </w:t>
      </w:r>
      <w:r w:rsidR="001E32C9">
        <w:t xml:space="preserve">advice on the value of imputation credits </w:t>
      </w:r>
      <w:r>
        <w:t>from a range of experts in the context of a number of regulatory processes. These expert reports demonstrate that there is no consensus among experts on either the value of imputation credits (particularly for the utilisation rate</w:t>
      </w:r>
      <w:r w:rsidR="00592893">
        <w:t xml:space="preserve"> parameter</w:t>
      </w:r>
      <w:r>
        <w:t xml:space="preserve">), nor on the </w:t>
      </w:r>
      <w:r w:rsidR="00592893">
        <w:t>techniques to estimate it</w:t>
      </w:r>
      <w:r>
        <w:t xml:space="preserve">. </w:t>
      </w:r>
      <w:r w:rsidR="001E32C9">
        <w:fldChar w:fldCharType="begin"/>
      </w:r>
      <w:r w:rsidR="001E32C9">
        <w:instrText xml:space="preserve"> REF _Ref400609043 \h </w:instrText>
      </w:r>
      <w:r w:rsidR="001E32C9">
        <w:fldChar w:fldCharType="separate"/>
      </w:r>
      <w:r w:rsidR="00927273" w:rsidRPr="009421A7">
        <w:t xml:space="preserve">Table </w:t>
      </w:r>
      <w:r w:rsidR="008252DC">
        <w:t>A</w:t>
      </w:r>
      <w:r w:rsidR="00927273">
        <w:noBreakHyphen/>
      </w:r>
      <w:r w:rsidR="008252DC">
        <w:t>1</w:t>
      </w:r>
      <w:r w:rsidR="001E32C9">
        <w:fldChar w:fldCharType="end"/>
      </w:r>
      <w:r w:rsidR="001E32C9">
        <w:t xml:space="preserve"> </w:t>
      </w:r>
      <w:r>
        <w:t>summari</w:t>
      </w:r>
      <w:r w:rsidR="00375121">
        <w:t>s</w:t>
      </w:r>
      <w:r>
        <w:t>es</w:t>
      </w:r>
      <w:r w:rsidR="001E32C9">
        <w:t xml:space="preserve"> recent expert </w:t>
      </w:r>
      <w:r>
        <w:t>advice</w:t>
      </w:r>
      <w:r w:rsidR="001E32C9">
        <w:t xml:space="preserve"> </w:t>
      </w:r>
      <w:r w:rsidR="00375121">
        <w:t xml:space="preserve">of which </w:t>
      </w:r>
      <w:r w:rsidR="001E32C9">
        <w:t xml:space="preserve">we are aware. We have considered the advice </w:t>
      </w:r>
      <w:r w:rsidR="00592893">
        <w:t>from</w:t>
      </w:r>
      <w:r w:rsidR="001E32C9">
        <w:t xml:space="preserve"> each of these experts in forming our position on the value of imputation credits.</w:t>
      </w:r>
    </w:p>
    <w:p w:rsidR="001E32C9" w:rsidRDefault="001E32C9" w:rsidP="001E32C9">
      <w:pPr>
        <w:pStyle w:val="Caption"/>
      </w:pPr>
      <w:bookmarkStart w:id="63" w:name="_Ref400609043"/>
      <w:r w:rsidRPr="009421A7">
        <w:t xml:space="preserve">Table </w:t>
      </w:r>
      <w:r w:rsidR="00240C8F">
        <w:t>A</w:t>
      </w:r>
      <w:r w:rsidR="00C20561">
        <w:noBreakHyphen/>
      </w:r>
      <w:bookmarkEnd w:id="63"/>
      <w:r w:rsidR="008252DC">
        <w:t>1</w:t>
      </w:r>
      <w:r w:rsidRPr="009421A7">
        <w:tab/>
        <w:t xml:space="preserve">Summary of expert views on the </w:t>
      </w:r>
      <w:r>
        <w:t>value of imputation credits</w:t>
      </w:r>
    </w:p>
    <w:tbl>
      <w:tblPr>
        <w:tblStyle w:val="AERtable-text"/>
        <w:tblW w:w="0" w:type="auto"/>
        <w:tblLook w:val="04A0" w:firstRow="1" w:lastRow="0" w:firstColumn="1" w:lastColumn="0" w:noHBand="0" w:noVBand="1"/>
      </w:tblPr>
      <w:tblGrid>
        <w:gridCol w:w="1562"/>
        <w:gridCol w:w="2560"/>
        <w:gridCol w:w="2560"/>
        <w:gridCol w:w="2560"/>
      </w:tblGrid>
      <w:tr w:rsidR="001E32C9" w:rsidTr="001752ED">
        <w:trPr>
          <w:cnfStyle w:val="100000000000" w:firstRow="1" w:lastRow="0" w:firstColumn="0" w:lastColumn="0" w:oddVBand="0" w:evenVBand="0" w:oddHBand="0" w:evenHBand="0" w:firstRowFirstColumn="0" w:firstRowLastColumn="0" w:lastRowFirstColumn="0" w:lastRowLastColumn="0"/>
        </w:trPr>
        <w:tc>
          <w:tcPr>
            <w:tcW w:w="1562" w:type="dxa"/>
          </w:tcPr>
          <w:p w:rsidR="001E32C9" w:rsidRDefault="001E32C9" w:rsidP="001E32C9">
            <w:pPr>
              <w:pStyle w:val="AERbodytext"/>
            </w:pPr>
            <w:r w:rsidRPr="005527C3">
              <w:t>Expert</w:t>
            </w:r>
          </w:p>
        </w:tc>
        <w:tc>
          <w:tcPr>
            <w:tcW w:w="2560" w:type="dxa"/>
          </w:tcPr>
          <w:p w:rsidR="001E32C9" w:rsidRDefault="001E32C9" w:rsidP="001E32C9">
            <w:pPr>
              <w:pStyle w:val="AERbodytext"/>
            </w:pPr>
            <w:r>
              <w:t>Distribution rate</w:t>
            </w:r>
          </w:p>
        </w:tc>
        <w:tc>
          <w:tcPr>
            <w:tcW w:w="2560" w:type="dxa"/>
          </w:tcPr>
          <w:p w:rsidR="001E32C9" w:rsidRDefault="001E32C9" w:rsidP="001E32C9">
            <w:pPr>
              <w:pStyle w:val="AERbodytext"/>
            </w:pPr>
            <w:r>
              <w:t>Utilisation rate</w:t>
            </w:r>
          </w:p>
        </w:tc>
        <w:tc>
          <w:tcPr>
            <w:tcW w:w="2560" w:type="dxa"/>
          </w:tcPr>
          <w:p w:rsidR="001E32C9" w:rsidRDefault="001E32C9" w:rsidP="001E32C9">
            <w:pPr>
              <w:pStyle w:val="AERbodytext"/>
            </w:pPr>
            <w:r>
              <w:t>Value of imputation credits</w:t>
            </w:r>
          </w:p>
        </w:tc>
      </w:tr>
      <w:tr w:rsidR="001E32C9" w:rsidTr="001752ED">
        <w:tc>
          <w:tcPr>
            <w:tcW w:w="1562" w:type="dxa"/>
          </w:tcPr>
          <w:p w:rsidR="001E32C9" w:rsidRPr="005527C3" w:rsidRDefault="001E32C9" w:rsidP="001E32C9">
            <w:pPr>
              <w:pStyle w:val="AERbodytext"/>
            </w:pPr>
            <w:r w:rsidRPr="005527C3">
              <w:t>Lally (2013</w:t>
            </w:r>
            <w:r>
              <w:t>, 2014</w:t>
            </w:r>
            <w:r w:rsidRPr="005527C3">
              <w:t>)</w:t>
            </w:r>
            <w:r>
              <w:rPr>
                <w:rStyle w:val="FootnoteReference"/>
              </w:rPr>
              <w:footnoteReference w:id="87"/>
            </w:r>
          </w:p>
        </w:tc>
        <w:tc>
          <w:tcPr>
            <w:tcW w:w="2560" w:type="dxa"/>
          </w:tcPr>
          <w:p w:rsidR="001E32C9" w:rsidRPr="005527C3" w:rsidRDefault="001E32C9" w:rsidP="001E32C9">
            <w:pPr>
              <w:pStyle w:val="AERbodytext"/>
            </w:pPr>
            <w:r>
              <w:rPr>
                <w:rStyle w:val="AERtextbold"/>
              </w:rPr>
              <w:t>0.84</w:t>
            </w:r>
            <w:r>
              <w:t xml:space="preserve"> using the financial statements of 20 largest ASX-listed companies</w:t>
            </w:r>
          </w:p>
        </w:tc>
        <w:tc>
          <w:tcPr>
            <w:tcW w:w="2560" w:type="dxa"/>
          </w:tcPr>
          <w:p w:rsidR="001E32C9" w:rsidRDefault="001E32C9" w:rsidP="001E32C9">
            <w:pPr>
              <w:pStyle w:val="AERbodytext"/>
            </w:pPr>
            <w:r w:rsidRPr="00EB7ECD">
              <w:rPr>
                <w:rStyle w:val="AERtextbold"/>
              </w:rPr>
              <w:t>1</w:t>
            </w:r>
            <w:r>
              <w:rPr>
                <w:rStyle w:val="AERtextbold"/>
              </w:rPr>
              <w:t>.0</w:t>
            </w:r>
            <w:r w:rsidRPr="005527C3">
              <w:t>, based on assumption that all investors in the Officer CAPM are domestic investors</w:t>
            </w:r>
          </w:p>
          <w:p w:rsidR="001E32C9" w:rsidRPr="005527C3" w:rsidRDefault="001E32C9" w:rsidP="00592893">
            <w:pPr>
              <w:pStyle w:val="AERbodytext"/>
            </w:pPr>
            <w:r>
              <w:t xml:space="preserve">0.54 to 0.7, using equity ownership </w:t>
            </w:r>
            <w:r w:rsidR="00592893">
              <w:t>as</w:t>
            </w:r>
            <w:r>
              <w:t xml:space="preserve"> second preference</w:t>
            </w:r>
          </w:p>
        </w:tc>
        <w:tc>
          <w:tcPr>
            <w:tcW w:w="2560" w:type="dxa"/>
          </w:tcPr>
          <w:p w:rsidR="001E32C9" w:rsidRDefault="001E32C9" w:rsidP="001E32C9">
            <w:pPr>
              <w:pStyle w:val="AERbodytext"/>
              <w:rPr>
                <w:rStyle w:val="AERtextbold"/>
              </w:rPr>
            </w:pPr>
            <w:r w:rsidRPr="00371594">
              <w:rPr>
                <w:rStyle w:val="AERtextbold"/>
              </w:rPr>
              <w:t>0.</w:t>
            </w:r>
            <w:r>
              <w:rPr>
                <w:rStyle w:val="AERtextbold"/>
              </w:rPr>
              <w:t>84</w:t>
            </w:r>
          </w:p>
          <w:p w:rsidR="001E32C9" w:rsidRPr="0008324B" w:rsidRDefault="001E32C9" w:rsidP="0008324B">
            <w:pPr>
              <w:pStyle w:val="AERbodytext"/>
              <w:rPr>
                <w:rStyle w:val="AERtextbold"/>
                <w:b w:val="0"/>
              </w:rPr>
            </w:pPr>
            <w:r w:rsidRPr="0008324B">
              <w:rPr>
                <w:rStyle w:val="AERtextbold"/>
                <w:b w:val="0"/>
              </w:rPr>
              <w:t>0.45 to 0.59 using second preference utilisation rate</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1E32C9" w:rsidRPr="005527C3" w:rsidRDefault="001E32C9" w:rsidP="001E32C9">
            <w:pPr>
              <w:pStyle w:val="AERbodytext"/>
            </w:pPr>
            <w:r w:rsidRPr="005527C3">
              <w:t>McKenzie and Partington (2013)</w:t>
            </w:r>
            <w:r>
              <w:rPr>
                <w:rStyle w:val="FootnoteReference"/>
              </w:rPr>
              <w:footnoteReference w:id="88"/>
            </w:r>
          </w:p>
        </w:tc>
        <w:tc>
          <w:tcPr>
            <w:tcW w:w="2560" w:type="dxa"/>
          </w:tcPr>
          <w:p w:rsidR="001E32C9" w:rsidRPr="005527C3" w:rsidRDefault="001E32C9" w:rsidP="001E32C9">
            <w:pPr>
              <w:pStyle w:val="AERbodytext"/>
            </w:pPr>
            <w:r w:rsidRPr="00371594">
              <w:rPr>
                <w:rStyle w:val="AERtextbold"/>
              </w:rPr>
              <w:t>0.7</w:t>
            </w:r>
            <w:r>
              <w:t>, using</w:t>
            </w:r>
            <w:r w:rsidRPr="005527C3">
              <w:t xml:space="preserve"> cumulative payout </w:t>
            </w:r>
            <w:r>
              <w:t xml:space="preserve">ratio </w:t>
            </w:r>
            <w:r w:rsidRPr="005527C3">
              <w:t>approach</w:t>
            </w:r>
            <w:r>
              <w:t xml:space="preserve"> over all equity</w:t>
            </w:r>
          </w:p>
        </w:tc>
        <w:tc>
          <w:tcPr>
            <w:tcW w:w="2560" w:type="dxa"/>
          </w:tcPr>
          <w:p w:rsidR="001E32C9" w:rsidRPr="005527C3" w:rsidRDefault="001E32C9" w:rsidP="001E32C9">
            <w:pPr>
              <w:pStyle w:val="AERbodytext"/>
            </w:pPr>
            <w:r>
              <w:rPr>
                <w:rStyle w:val="AERtextbold"/>
              </w:rPr>
              <w:t>None recommended</w:t>
            </w:r>
            <w:r>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1E32C9" w:rsidRPr="00371594" w:rsidRDefault="001E32C9" w:rsidP="001E32C9">
            <w:pPr>
              <w:pStyle w:val="AERbodytext"/>
              <w:rPr>
                <w:rStyle w:val="AERtextbold"/>
              </w:rPr>
            </w:pPr>
            <w:r>
              <w:rPr>
                <w:rStyle w:val="AERtextbold"/>
              </w:rPr>
              <w:t>Evidence not</w:t>
            </w:r>
            <w:r w:rsidRPr="00371594">
              <w:rPr>
                <w:rStyle w:val="AERtextbold"/>
              </w:rPr>
              <w:t xml:space="preserve"> compelling</w:t>
            </w:r>
            <w:r>
              <w:rPr>
                <w:rStyle w:val="AERtextbold"/>
              </w:rPr>
              <w:t xml:space="preserve"> enough</w:t>
            </w:r>
            <w:r w:rsidRPr="00371594">
              <w:rPr>
                <w:rStyle w:val="AERtextbold"/>
              </w:rPr>
              <w:t xml:space="preserve"> to depart from 0.5</w:t>
            </w:r>
          </w:p>
        </w:tc>
      </w:tr>
      <w:tr w:rsidR="00592893" w:rsidTr="00592893">
        <w:tc>
          <w:tcPr>
            <w:tcW w:w="1562" w:type="dxa"/>
          </w:tcPr>
          <w:p w:rsidR="00592893" w:rsidRPr="005527C3" w:rsidRDefault="00592893" w:rsidP="00592893">
            <w:pPr>
              <w:pStyle w:val="AERbodytext"/>
            </w:pPr>
            <w:r>
              <w:t>Handley (2014)</w:t>
            </w:r>
            <w:r>
              <w:rPr>
                <w:rStyle w:val="FootnoteReference"/>
              </w:rPr>
              <w:footnoteReference w:id="89"/>
            </w:r>
          </w:p>
        </w:tc>
        <w:tc>
          <w:tcPr>
            <w:tcW w:w="2560" w:type="dxa"/>
          </w:tcPr>
          <w:p w:rsidR="00592893" w:rsidRPr="005527C3" w:rsidRDefault="00592893" w:rsidP="00592893">
            <w:pPr>
              <w:pStyle w:val="AERbodytext"/>
            </w:pPr>
            <w:r w:rsidRPr="00371594">
              <w:rPr>
                <w:rStyle w:val="AERtextbold"/>
              </w:rPr>
              <w:t>0.8</w:t>
            </w:r>
            <w:r>
              <w:t xml:space="preserve">, using cumulative payout ratio approach over listed equity only </w:t>
            </w:r>
          </w:p>
        </w:tc>
        <w:tc>
          <w:tcPr>
            <w:tcW w:w="2560" w:type="dxa"/>
          </w:tcPr>
          <w:p w:rsidR="00592893" w:rsidRPr="005527C3" w:rsidRDefault="00592893" w:rsidP="00592893">
            <w:pPr>
              <w:pStyle w:val="AERbodytext"/>
            </w:pPr>
            <w:r w:rsidRPr="00371594">
              <w:rPr>
                <w:rStyle w:val="AERtextbold"/>
              </w:rPr>
              <w:t>0.5 to 0.6</w:t>
            </w:r>
            <w:r>
              <w:t>, with regard to (in order of importance) equity ownership approach, tax statistics and dividend drop off studies</w:t>
            </w:r>
          </w:p>
        </w:tc>
        <w:tc>
          <w:tcPr>
            <w:tcW w:w="2560" w:type="dxa"/>
          </w:tcPr>
          <w:p w:rsidR="00592893" w:rsidRPr="00371594" w:rsidRDefault="00592893" w:rsidP="00592893">
            <w:pPr>
              <w:pStyle w:val="AERbodytext"/>
              <w:rPr>
                <w:rStyle w:val="AERtextbold"/>
              </w:rPr>
            </w:pPr>
            <w:r w:rsidRPr="00371594">
              <w:rPr>
                <w:rStyle w:val="AERtextbold"/>
              </w:rPr>
              <w:t>0.4 to 0.5</w:t>
            </w:r>
          </w:p>
        </w:tc>
      </w:tr>
      <w:tr w:rsidR="00592893"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592893" w:rsidRDefault="00592893" w:rsidP="00592893">
            <w:pPr>
              <w:pStyle w:val="AERbodytext"/>
            </w:pPr>
            <w:r w:rsidRPr="005527C3">
              <w:t>CEG (2014)</w:t>
            </w:r>
            <w:r>
              <w:rPr>
                <w:rStyle w:val="FootnoteReference"/>
              </w:rPr>
              <w:footnoteReference w:id="90"/>
            </w:r>
          </w:p>
        </w:tc>
        <w:tc>
          <w:tcPr>
            <w:tcW w:w="2560" w:type="dxa"/>
          </w:tcPr>
          <w:p w:rsidR="00592893" w:rsidRDefault="00592893" w:rsidP="00592893">
            <w:pPr>
              <w:pStyle w:val="AERbodytext"/>
            </w:pPr>
            <w:r w:rsidRPr="00371594">
              <w:rPr>
                <w:rStyle w:val="AERtextbold"/>
              </w:rPr>
              <w:t>0.7</w:t>
            </w:r>
            <w:r w:rsidRPr="00371594">
              <w:t>, using cumulative payout ratio approach</w:t>
            </w:r>
            <w:r>
              <w:t xml:space="preserve"> over all equity</w:t>
            </w:r>
          </w:p>
        </w:tc>
        <w:tc>
          <w:tcPr>
            <w:tcW w:w="2560" w:type="dxa"/>
          </w:tcPr>
          <w:p w:rsidR="00592893" w:rsidRDefault="00592893" w:rsidP="00592893">
            <w:pPr>
              <w:pStyle w:val="AERbodytext"/>
            </w:pPr>
            <w:r w:rsidRPr="00371594">
              <w:rPr>
                <w:rStyle w:val="AERtextbold"/>
              </w:rPr>
              <w:t>0.35</w:t>
            </w:r>
            <w:r w:rsidRPr="00371594">
              <w:t>, based on SFG's dividend drop off study</w:t>
            </w:r>
          </w:p>
        </w:tc>
        <w:tc>
          <w:tcPr>
            <w:tcW w:w="2560" w:type="dxa"/>
          </w:tcPr>
          <w:p w:rsidR="00592893" w:rsidRPr="002C2564" w:rsidRDefault="00592893" w:rsidP="00592893">
            <w:pPr>
              <w:pStyle w:val="AERbodytext"/>
              <w:rPr>
                <w:rStyle w:val="AERtextbold"/>
              </w:rPr>
            </w:pPr>
            <w:r w:rsidRPr="002C2564">
              <w:rPr>
                <w:rStyle w:val="AERtextbold"/>
              </w:rPr>
              <w:t>0.25</w:t>
            </w:r>
          </w:p>
        </w:tc>
      </w:tr>
      <w:tr w:rsidR="00592893" w:rsidTr="001752ED">
        <w:tc>
          <w:tcPr>
            <w:tcW w:w="1562" w:type="dxa"/>
          </w:tcPr>
          <w:p w:rsidR="00592893" w:rsidRPr="005527C3" w:rsidRDefault="00592893" w:rsidP="00592893">
            <w:pPr>
              <w:pStyle w:val="AERbodytext"/>
            </w:pPr>
            <w:r w:rsidRPr="005527C3">
              <w:t>SFG (2014)</w:t>
            </w:r>
            <w:r>
              <w:rPr>
                <w:rStyle w:val="FootnoteReference"/>
              </w:rPr>
              <w:footnoteReference w:id="91"/>
            </w:r>
          </w:p>
        </w:tc>
        <w:tc>
          <w:tcPr>
            <w:tcW w:w="2560" w:type="dxa"/>
          </w:tcPr>
          <w:p w:rsidR="00592893" w:rsidRPr="005527C3" w:rsidRDefault="00592893" w:rsidP="00592893">
            <w:pPr>
              <w:pStyle w:val="AERbodytext"/>
            </w:pPr>
            <w:r w:rsidRPr="00371594">
              <w:rPr>
                <w:rStyle w:val="AERtextbold"/>
              </w:rPr>
              <w:t>0.7</w:t>
            </w:r>
            <w:r>
              <w:t>, using</w:t>
            </w:r>
            <w:r w:rsidRPr="00D7304F">
              <w:t xml:space="preserve"> cumulative payout ratio approach</w:t>
            </w:r>
            <w:r>
              <w:t xml:space="preserve"> over all equity</w:t>
            </w:r>
          </w:p>
        </w:tc>
        <w:tc>
          <w:tcPr>
            <w:tcW w:w="2560" w:type="dxa"/>
          </w:tcPr>
          <w:p w:rsidR="00592893" w:rsidRPr="005527C3" w:rsidRDefault="00592893" w:rsidP="00592893">
            <w:pPr>
              <w:pStyle w:val="AERbodytext"/>
            </w:pPr>
            <w:r w:rsidRPr="00371594">
              <w:rPr>
                <w:rStyle w:val="AERtextbold"/>
              </w:rPr>
              <w:t>0.35</w:t>
            </w:r>
            <w:r>
              <w:t>, based on SFG's dividend drop off study</w:t>
            </w:r>
          </w:p>
        </w:tc>
        <w:tc>
          <w:tcPr>
            <w:tcW w:w="2560" w:type="dxa"/>
          </w:tcPr>
          <w:p w:rsidR="00592893" w:rsidRPr="00371594" w:rsidRDefault="00592893" w:rsidP="00592893">
            <w:pPr>
              <w:pStyle w:val="AERbodytext"/>
              <w:rPr>
                <w:rStyle w:val="AERtextbold"/>
              </w:rPr>
            </w:pPr>
            <w:r w:rsidRPr="00371594">
              <w:rPr>
                <w:rStyle w:val="AERtextbold"/>
              </w:rPr>
              <w:t>0.25</w:t>
            </w:r>
          </w:p>
        </w:tc>
      </w:tr>
    </w:tbl>
    <w:p w:rsidR="001E32C9" w:rsidRDefault="001E32C9" w:rsidP="001E32C9">
      <w:pPr>
        <w:pStyle w:val="AERtablesource"/>
      </w:pPr>
      <w:r>
        <w:t>Source:</w:t>
      </w:r>
      <w:r>
        <w:tab/>
        <w:t>As specified in table.</w:t>
      </w:r>
    </w:p>
    <w:p w:rsidR="001E32C9" w:rsidRDefault="001E32C9" w:rsidP="001E32C9">
      <w:pPr>
        <w:pStyle w:val="AERbodytext"/>
      </w:pPr>
      <w:r>
        <w:t>In summary:</w:t>
      </w:r>
      <w:r w:rsidRPr="00DE068A">
        <w:t xml:space="preserve"> </w:t>
      </w:r>
    </w:p>
    <w:p w:rsidR="001E32C9" w:rsidRDefault="001E32C9" w:rsidP="001E32C9">
      <w:pPr>
        <w:pStyle w:val="AERbulletlistfirststyle"/>
      </w:pPr>
      <w:r>
        <w:t xml:space="preserve">A distribution rate of 0.7 estimated using the cumulative payout ratio approach is widely accepted. We describe this approach in section </w:t>
      </w:r>
      <w:r>
        <w:fldChar w:fldCharType="begin"/>
      </w:r>
      <w:r>
        <w:instrText xml:space="preserve"> REF _Ref401156644 \r \h </w:instrText>
      </w:r>
      <w:r>
        <w:fldChar w:fldCharType="separate"/>
      </w:r>
      <w:r w:rsidR="00927273">
        <w:t>A.9.1</w:t>
      </w:r>
      <w:r>
        <w:fldChar w:fldCharType="end"/>
      </w:r>
      <w:r>
        <w:t>. However, Handley considers that this approach should be applied to listed equity only, and this produces a higher estimate of the distribution rate of 0.8. Lally considers that the best estimate of the distribution rate is 0.84, calculated using the financial statements of the 20 largest ASX-listed companies.</w:t>
      </w:r>
    </w:p>
    <w:p w:rsidR="001E32C9" w:rsidRDefault="001E32C9" w:rsidP="001E32C9">
      <w:pPr>
        <w:pStyle w:val="AERbulletlistfirststyle"/>
      </w:pPr>
      <w:r>
        <w:t>T</w:t>
      </w:r>
      <w:r w:rsidRPr="00DE068A">
        <w:t xml:space="preserve">here is no </w:t>
      </w:r>
      <w:r>
        <w:t>widely accepted</w:t>
      </w:r>
      <w:r w:rsidRPr="00DE068A">
        <w:t xml:space="preserve"> </w:t>
      </w:r>
      <w:r>
        <w:t xml:space="preserve">utilisation rate or method for estimating it. The </w:t>
      </w:r>
      <w:r w:rsidRPr="00DE068A">
        <w:t xml:space="preserve">recommended values </w:t>
      </w:r>
      <w:r>
        <w:t>for the utilisation rate range from 0.35 to 1</w:t>
      </w:r>
      <w:r w:rsidRPr="00DE068A">
        <w:t>.</w:t>
      </w:r>
      <w:r>
        <w:t xml:space="preserve"> </w:t>
      </w:r>
    </w:p>
    <w:p w:rsidR="001E32C9" w:rsidRDefault="001E32C9" w:rsidP="001E32C9">
      <w:pPr>
        <w:pStyle w:val="AERbulletlistfirststyle"/>
      </w:pPr>
      <w:r>
        <w:t>Only CEG and SFG rely exclusively on the SFG dividend drop off study when estimating the utilisation rate. Handley and McKenzie and Partington rely on a range of evidence. Lally prefers a conceptual approach, but his second preference is the equity ownership approach.</w:t>
      </w:r>
    </w:p>
    <w:p w:rsidR="001E32C9" w:rsidRDefault="001E32C9" w:rsidP="001E32C9">
      <w:pPr>
        <w:pStyle w:val="AERbulletlistfirststyle"/>
      </w:pPr>
      <w:r>
        <w:t>As a result of the differing approaches, particularly to the utilisation rate, the range of estimates of the value of imputation credits is 0.25 to 0.84.</w:t>
      </w:r>
    </w:p>
    <w:p w:rsidR="001E32C9" w:rsidRPr="000A4554" w:rsidRDefault="001E32C9" w:rsidP="001E32C9">
      <w:pPr>
        <w:pStyle w:val="AERbodytext"/>
      </w:pPr>
      <w:r>
        <w:t>Conceptually, the value of imputation credits must be between 0 and 1. Accordingly the range of recommended estimates from 0.25 to 0.84, which spans most of the possible range for the value of imputation credits, highlights the lack of consensus among experts.</w:t>
      </w:r>
      <w:r w:rsidR="00C330D3">
        <w:t xml:space="preserve"> Our draft decision value of imputation credits of 0.4 sits within the range recommended by experts.</w:t>
      </w:r>
    </w:p>
    <w:p w:rsidR="001E32C9" w:rsidRDefault="001E32C9" w:rsidP="001E32C9">
      <w:pPr>
        <w:pStyle w:val="Heading8"/>
        <w:numPr>
          <w:ilvl w:val="5"/>
          <w:numId w:val="57"/>
        </w:numPr>
      </w:pPr>
      <w:bookmarkStart w:id="64" w:name="_Ref403480875"/>
      <w:bookmarkStart w:id="65" w:name="_Toc404334871"/>
      <w:r>
        <w:t>The value of imputation credits used by other regulators</w:t>
      </w:r>
      <w:bookmarkEnd w:id="64"/>
      <w:bookmarkEnd w:id="65"/>
    </w:p>
    <w:p w:rsidR="008A493E" w:rsidRDefault="001E32C9" w:rsidP="009F469A">
      <w:pPr>
        <w:pStyle w:val="AERbodytext"/>
      </w:pPr>
      <w:r w:rsidRPr="001274F5">
        <w:t xml:space="preserve">Australian regulators have applied a wide range of approaches to estimate the value of imputation credits, resulting in varied outcomes. </w:t>
      </w:r>
      <w:r w:rsidR="008252DC">
        <w:fldChar w:fldCharType="begin"/>
      </w:r>
      <w:r w:rsidR="008252DC">
        <w:instrText xml:space="preserve"> REF _Ref400609043 \h </w:instrText>
      </w:r>
      <w:r w:rsidR="008252DC">
        <w:fldChar w:fldCharType="separate"/>
      </w:r>
      <w:r w:rsidR="008252DC" w:rsidRPr="009421A7">
        <w:t xml:space="preserve">Table </w:t>
      </w:r>
      <w:r w:rsidR="008252DC">
        <w:t>A</w:t>
      </w:r>
      <w:r w:rsidR="008252DC">
        <w:noBreakHyphen/>
        <w:t>2</w:t>
      </w:r>
      <w:r w:rsidR="008252DC">
        <w:fldChar w:fldCharType="end"/>
      </w:r>
      <w:r w:rsidR="008252DC">
        <w:t xml:space="preserve"> </w:t>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1E32C9" w:rsidRDefault="001E32C9" w:rsidP="001E32C9">
      <w:pPr>
        <w:pStyle w:val="Caption"/>
      </w:pPr>
      <w:bookmarkStart w:id="66" w:name="_Ref401082422"/>
      <w:r>
        <w:t xml:space="preserve">Table </w:t>
      </w:r>
      <w:r w:rsidR="008252DC">
        <w:t>A</w:t>
      </w:r>
      <w:r w:rsidR="00C20561">
        <w:noBreakHyphen/>
      </w:r>
      <w:r w:rsidR="008252DC">
        <w:t>2</w:t>
      </w:r>
      <w:bookmarkEnd w:id="66"/>
      <w:r>
        <w:tab/>
      </w:r>
      <w:r w:rsidRPr="000B7BA2">
        <w:t>Au</w:t>
      </w:r>
      <w:r>
        <w:t>stralian regulators' approaches to</w:t>
      </w:r>
      <w:r w:rsidRPr="000B7BA2">
        <w:t xml:space="preserve"> the value of imputation credits</w:t>
      </w:r>
    </w:p>
    <w:tbl>
      <w:tblPr>
        <w:tblStyle w:val="AERtable-numbers"/>
        <w:tblW w:w="0" w:type="auto"/>
        <w:tblLayout w:type="fixed"/>
        <w:tblLook w:val="04A0" w:firstRow="1" w:lastRow="0" w:firstColumn="1" w:lastColumn="0" w:noHBand="0" w:noVBand="1"/>
      </w:tblPr>
      <w:tblGrid>
        <w:gridCol w:w="963"/>
        <w:gridCol w:w="1839"/>
        <w:gridCol w:w="708"/>
        <w:gridCol w:w="1910"/>
        <w:gridCol w:w="1911"/>
        <w:gridCol w:w="1911"/>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1E32C9" w:rsidRDefault="001E32C9" w:rsidP="009F469A">
            <w:pPr>
              <w:pStyle w:val="AERbodytext"/>
              <w:keepNext/>
              <w:keepLines/>
            </w:pPr>
            <w:r>
              <w:t>Regulator</w:t>
            </w:r>
          </w:p>
        </w:tc>
        <w:tc>
          <w:tcPr>
            <w:tcW w:w="1839"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Form of adoption</w:t>
            </w:r>
          </w:p>
        </w:tc>
        <w:tc>
          <w:tcPr>
            <w:tcW w:w="708"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Year</w:t>
            </w:r>
          </w:p>
        </w:tc>
        <w:tc>
          <w:tcPr>
            <w:tcW w:w="1910"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Value of imputation credits</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ESC</w:t>
            </w:r>
            <w:r w:rsidRPr="00B76A97">
              <w:rPr>
                <w:rStyle w:val="AERsuperscript"/>
              </w:rPr>
              <w:footnoteReference w:id="92"/>
            </w:r>
          </w:p>
        </w:tc>
        <w:tc>
          <w:tcPr>
            <w:tcW w:w="1839" w:type="dxa"/>
          </w:tcPr>
          <w:p w:rsidR="00B76A97" w:rsidRPr="00372214"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Price review, greater metropolitan water businesses, final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2013</w:t>
            </w:r>
          </w:p>
        </w:tc>
        <w:tc>
          <w:tcPr>
            <w:tcW w:w="1910"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B7073F">
              <w:rPr>
                <w:rStyle w:val="AERtextbold"/>
              </w:rPr>
              <w:t>0.5</w:t>
            </w:r>
            <w:r>
              <w:t>, based on 2011 guidance</w:t>
            </w:r>
            <w:r>
              <w:rPr>
                <w:rStyle w:val="FootnoteReference"/>
              </w:rPr>
              <w:footnoteReference w:id="93"/>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rsidRPr="00501101">
              <w:t>QCA</w:t>
            </w:r>
            <w:r w:rsidRPr="00B76A97">
              <w:rPr>
                <w:rStyle w:val="FootnoteReference"/>
              </w:rPr>
              <w:footnoteReference w:id="94"/>
            </w:r>
            <w:r w:rsidRPr="00B76A97">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Cost of capital market parameters, final decision</w:t>
            </w:r>
          </w:p>
        </w:tc>
        <w:tc>
          <w:tcPr>
            <w:tcW w:w="708"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2014</w:t>
            </w:r>
          </w:p>
        </w:tc>
        <w:tc>
          <w:tcPr>
            <w:tcW w:w="1910"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0.84</w:t>
            </w:r>
            <w:r w:rsidRPr="005657CB">
              <w:t>, using the financial statements of 20 largest ASX-listed companies</w:t>
            </w:r>
          </w:p>
        </w:tc>
        <w:tc>
          <w:tcPr>
            <w:tcW w:w="1911"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0.56</w:t>
            </w:r>
            <w:r>
              <w:t>, based primarily on the domestic ownership share of listed equity</w:t>
            </w:r>
          </w:p>
        </w:tc>
        <w:tc>
          <w:tcPr>
            <w:tcW w:w="1911" w:type="dxa"/>
          </w:tcPr>
          <w:p w:rsidR="00B76A97" w:rsidRPr="00584C69"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584C69">
              <w:rPr>
                <w:rStyle w:val="AERtextbold"/>
              </w:rPr>
              <w:t>0.47</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rsidRPr="00501101">
              <w:t>ACCC</w:t>
            </w:r>
            <w:r w:rsidRPr="001E32C9">
              <w:rPr>
                <w:rStyle w:val="FootnoteReference"/>
              </w:rPr>
              <w:footnoteReference w:id="95"/>
            </w:r>
            <w:r w:rsidRPr="001E32C9">
              <w:t xml:space="preserve"> </w:t>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Fixed line services (telecommunications), final access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2011</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806F67">
              <w:rPr>
                <w:rStyle w:val="AERtextbold"/>
              </w:rPr>
              <w:t>0.45</w:t>
            </w:r>
            <w:r>
              <w:t>, chosen from within the range of possible estimates and with regard to a wide range of evidence, including industry specific factors</w:t>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t>ERA</w:t>
            </w:r>
            <w:r w:rsidRPr="001E32C9">
              <w:rPr>
                <w:rStyle w:val="FootnoteReference"/>
              </w:rPr>
              <w:footnoteReference w:id="96"/>
            </w:r>
            <w:r w:rsidRPr="001E32C9">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draft determination </w:t>
            </w:r>
          </w:p>
        </w:tc>
        <w:tc>
          <w:tcPr>
            <w:tcW w:w="708"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w:t>
            </w:r>
            <w:r w:rsidRPr="005657CB">
              <w:t>014</w:t>
            </w:r>
          </w:p>
        </w:tc>
        <w:tc>
          <w:tcPr>
            <w:tcW w:w="1910"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0.7</w:t>
            </w:r>
            <w:r>
              <w:t>, using cumulative payout ratio approach</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0.35 to 0.55</w:t>
            </w:r>
            <w:r w:rsidRPr="005657CB">
              <w:t>, using SFG and ERA dividend drop off studies</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w:t>
            </w:r>
            <w:r w:rsidRPr="005657CB">
              <w:t>, chosen from within the range of 0.25 to 0.385</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IPART</w:t>
            </w:r>
            <w:r w:rsidRPr="00B76A97">
              <w:rPr>
                <w:rStyle w:val="FootnoteReference"/>
              </w:rPr>
              <w:footnoteReference w:id="97"/>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8"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2012</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0.7</w:t>
            </w:r>
            <w:r>
              <w:t>, using cumulative payout ratio approach</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0.35</w:t>
            </w:r>
            <w:r>
              <w:t>, using SFG dividend drop off study</w:t>
            </w:r>
          </w:p>
        </w:tc>
        <w:tc>
          <w:tcPr>
            <w:tcW w:w="1911"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584C69">
              <w:rPr>
                <w:rStyle w:val="AERtextbold"/>
              </w:rPr>
              <w:t>0.25</w:t>
            </w:r>
          </w:p>
        </w:tc>
      </w:tr>
    </w:tbl>
    <w:p w:rsidR="001E32C9" w:rsidRDefault="001E32C9" w:rsidP="001E32C9">
      <w:pPr>
        <w:pStyle w:val="AERtablesource"/>
      </w:pPr>
      <w:r>
        <w:t>Source:</w:t>
      </w:r>
      <w:r>
        <w:tab/>
        <w:t>As specified in table.</w:t>
      </w:r>
    </w:p>
    <w:p w:rsidR="00C330D3" w:rsidRPr="000A4554" w:rsidRDefault="00C330D3" w:rsidP="00C330D3">
      <w:pPr>
        <w:pStyle w:val="AERbodytext"/>
      </w:pPr>
      <w:r>
        <w:t xml:space="preserve">As noted above, conceptually, the value of imputation credits must be between 0 and 1. The range of values adopted by Australian regulators is from 0.25 to 0.5. This range is narrower than the range of estimates recommended by experts (from 0.25 to 0.84), </w:t>
      </w:r>
      <w:r w:rsidR="008E4432">
        <w:t>but</w:t>
      </w:r>
      <w:r>
        <w:t xml:space="preserve"> it is still quite wide. This highlights the lack of consensus among regulators on the value of imputation credits. Given the lack of consensus among experts, this is perhaps not surprising. Our draft decision value of imputation credits of 0.4 sits within the range adopted by regulators.</w:t>
      </w:r>
    </w:p>
    <w:p w:rsidR="001E32C9" w:rsidRDefault="001E32C9" w:rsidP="001E32C9">
      <w:pPr>
        <w:pStyle w:val="Heading8"/>
        <w:numPr>
          <w:ilvl w:val="5"/>
          <w:numId w:val="57"/>
        </w:numPr>
      </w:pPr>
      <w:bookmarkStart w:id="67" w:name="_Toc404334872"/>
      <w:r>
        <w:t>Previous Australian Competition Tribunal considerations</w:t>
      </w:r>
      <w:bookmarkEnd w:id="67"/>
    </w:p>
    <w:p w:rsidR="001E32C9" w:rsidRDefault="001E32C9" w:rsidP="001E32C9">
      <w:pPr>
        <w:pStyle w:val="AERbodytext"/>
      </w:pPr>
      <w:r>
        <w:t>The Australian Competition Tribunal has considered in detail the value of imputation credits (gamma) in three proceedings since 2010, relating to applications by:</w:t>
      </w:r>
    </w:p>
    <w:p w:rsidR="001E32C9" w:rsidRDefault="001E32C9" w:rsidP="001E32C9">
      <w:pPr>
        <w:pStyle w:val="AERbulletlistfirststyle"/>
      </w:pPr>
      <w:r>
        <w:t>Energex Limited</w:t>
      </w:r>
    </w:p>
    <w:p w:rsidR="001E32C9" w:rsidRDefault="001E32C9" w:rsidP="001E32C9">
      <w:pPr>
        <w:pStyle w:val="AERbulletlistfirststyle"/>
      </w:pPr>
      <w:r>
        <w:t>DBNGP (WA) Transmission Pty Ltd, and</w:t>
      </w:r>
    </w:p>
    <w:p w:rsidR="001E32C9" w:rsidRDefault="001E32C9" w:rsidP="001E32C9">
      <w:pPr>
        <w:pStyle w:val="AERbulletlistfirststyle"/>
      </w:pPr>
      <w:r>
        <w:t>WA Gas Networks Pty Ltd.</w:t>
      </w:r>
    </w:p>
    <w:p w:rsidR="001E32C9" w:rsidRDefault="001E32C9" w:rsidP="001E32C9">
      <w:pPr>
        <w:pStyle w:val="AERbodytext"/>
      </w:pPr>
      <w:r>
        <w:t xml:space="preserve">Although the Tribunal came to views in these proceedings on an appropriate </w:t>
      </w:r>
      <w:r w:rsidRPr="00286750">
        <w:t>estimate</w:t>
      </w:r>
      <w:r>
        <w:t xml:space="preserve"> and the merits of different evidence, the Tribunal's comments in each case referred to the lack of </w:t>
      </w:r>
      <w:r w:rsidR="00BD1852">
        <w:t xml:space="preserve">expert </w:t>
      </w:r>
      <w:r>
        <w:t>consensus regarding the value of imputation credits and the scope that existed for future assessments of the evidence. We discuss these comments further in the sections below.</w:t>
      </w:r>
    </w:p>
    <w:p w:rsidR="001E32C9" w:rsidRDefault="001E32C9" w:rsidP="001E32C9">
      <w:pPr>
        <w:pStyle w:val="Heading9"/>
        <w:numPr>
          <w:ilvl w:val="6"/>
          <w:numId w:val="57"/>
        </w:numPr>
      </w:pPr>
      <w:bookmarkStart w:id="68" w:name="_Toc404334873"/>
      <w:r>
        <w:t>Energex</w:t>
      </w:r>
      <w:bookmarkEnd w:id="68"/>
    </w:p>
    <w:p w:rsidR="001E32C9" w:rsidRPr="00F275F8" w:rsidRDefault="001E32C9" w:rsidP="001E32C9">
      <w:pPr>
        <w:pStyle w:val="AERbodytext"/>
      </w:pPr>
      <w:r>
        <w:t>In our 2009 industry wide review of rate of return parameters</w:t>
      </w:r>
      <w:r w:rsidR="00BD1852">
        <w:t xml:space="preserve"> (the 2009 WACC review)</w:t>
      </w:r>
      <w:r>
        <w:t>, we adopted a gamma of 0.65.</w:t>
      </w:r>
      <w:r>
        <w:rPr>
          <w:rStyle w:val="FootnoteReference"/>
        </w:rPr>
        <w:footnoteReference w:id="98"/>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w:t>
      </w:r>
      <w:r>
        <w:t xml:space="preserve"> which were the first set of determinations following the review</w:t>
      </w:r>
      <w:r w:rsidRPr="00F275F8">
        <w:t>.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idend drop off study from SFG</w:t>
      </w:r>
      <w:r w:rsidR="00BD1852">
        <w:t xml:space="preserve"> to estimate the utilisation rate</w:t>
      </w:r>
      <w:r>
        <w:t xml:space="preserve">. </w:t>
      </w:r>
      <w:r w:rsidRPr="00F275F8">
        <w:t xml:space="preserve">The Tribunal adopted SFG's recommendation that the utilisation rate be set at 0.35. This resulted in a gamma of 0.25. </w:t>
      </w:r>
    </w:p>
    <w:p w:rsidR="001E32C9" w:rsidRDefault="001E32C9" w:rsidP="001E32C9">
      <w:pPr>
        <w:pStyle w:val="AERbodytext"/>
      </w:pPr>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rsidR="008252DC">
        <w:fldChar w:fldCharType="begin"/>
      </w:r>
      <w:r w:rsidR="008252DC">
        <w:instrText xml:space="preserve"> REF _Ref400609043 \h </w:instrText>
      </w:r>
      <w:r w:rsidR="008252DC">
        <w:fldChar w:fldCharType="separate"/>
      </w:r>
      <w:r w:rsidR="008252DC" w:rsidRPr="009421A7">
        <w:t xml:space="preserve">Table </w:t>
      </w:r>
      <w:r w:rsidR="008252DC">
        <w:t>A</w:t>
      </w:r>
      <w:r w:rsidR="008252DC">
        <w:noBreakHyphen/>
        <w:t>3</w:t>
      </w:r>
      <w:r w:rsidR="008252DC">
        <w:fldChar w:fldCharType="end"/>
      </w:r>
      <w:r>
        <w:t xml:space="preserve"> below</w:t>
      </w:r>
      <w:r w:rsidRPr="00FC06FD">
        <w:t>.</w:t>
      </w:r>
      <w:r>
        <w:t xml:space="preserve"> </w:t>
      </w:r>
      <w:r w:rsidRPr="00F275F8">
        <w:t xml:space="preserve">We </w:t>
      </w:r>
      <w:r>
        <w:t xml:space="preserve">have </w:t>
      </w:r>
      <w:r w:rsidRPr="00F275F8">
        <w:t xml:space="preserve">carefully considered these views. </w:t>
      </w:r>
    </w:p>
    <w:p w:rsidR="001E32C9" w:rsidRPr="000E711B" w:rsidRDefault="001E32C9" w:rsidP="001E32C9">
      <w:pPr>
        <w:pStyle w:val="Caption"/>
      </w:pPr>
      <w:bookmarkStart w:id="69" w:name="_Ref400609646"/>
      <w:bookmarkStart w:id="70" w:name="_Ref401260171"/>
      <w:r w:rsidRPr="000E711B">
        <w:t xml:space="preserve">Table </w:t>
      </w:r>
      <w:r w:rsidR="008252DC">
        <w:t>A</w:t>
      </w:r>
      <w:r w:rsidR="00C20561">
        <w:noBreakHyphen/>
      </w:r>
      <w:r w:rsidR="008252DC">
        <w:t>3</w:t>
      </w:r>
      <w:bookmarkEnd w:id="69"/>
      <w:r w:rsidRPr="000E711B">
        <w:tab/>
        <w:t>Australian Competition Tribunal's observations on imputation credits</w:t>
      </w:r>
      <w:bookmarkEnd w:id="70"/>
      <w:r>
        <w:t xml:space="preserve"> in Energex matter</w:t>
      </w:r>
    </w:p>
    <w:tbl>
      <w:tblPr>
        <w:tblStyle w:val="AERtable-numbers"/>
        <w:tblW w:w="0" w:type="auto"/>
        <w:tblLook w:val="04A0" w:firstRow="1" w:lastRow="0" w:firstColumn="1" w:lastColumn="0" w:noHBand="0" w:noVBand="1"/>
      </w:tblPr>
      <w:tblGrid>
        <w:gridCol w:w="1449"/>
        <w:gridCol w:w="4197"/>
        <w:gridCol w:w="3596"/>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0E711B" w:rsidRDefault="001E32C9" w:rsidP="001E32C9">
            <w:pPr>
              <w:pStyle w:val="AERbodytext"/>
            </w:pPr>
            <w:r w:rsidRPr="000E711B">
              <w:t>Issue</w:t>
            </w:r>
          </w:p>
        </w:tc>
        <w:tc>
          <w:tcPr>
            <w:tcW w:w="4197"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3596"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AER comments</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conceptual framework for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99"/>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 xml:space="preserve">In developing the </w:t>
            </w:r>
            <w:r w:rsidR="0033289B">
              <w:t>Guideline</w:t>
            </w:r>
            <w:r>
              <w:t xml:space="preserve">, we re-evaluated the conceptual framework for the value of imputation credits. In making this draft decision, we have built on this re-evaluation and received further advice from Handley. We discuss the role of the value of imputation credits and the underlying conceptual framework in sections </w:t>
            </w:r>
            <w:r>
              <w:fldChar w:fldCharType="begin"/>
            </w:r>
            <w:r>
              <w:instrText xml:space="preserve"> REF _Ref400961862 \r \h </w:instrText>
            </w:r>
            <w:r>
              <w:fldChar w:fldCharType="separate"/>
            </w:r>
            <w:r w:rsidR="00927273">
              <w:t>A.4</w:t>
            </w:r>
            <w:r>
              <w:fldChar w:fldCharType="end"/>
            </w:r>
            <w:r>
              <w:t xml:space="preserve"> and </w:t>
            </w:r>
            <w:r>
              <w:fldChar w:fldCharType="begin"/>
            </w:r>
            <w:r>
              <w:instrText xml:space="preserve"> REF _Ref400965182 \r \h </w:instrText>
            </w:r>
            <w:r>
              <w:fldChar w:fldCharType="separate"/>
            </w:r>
            <w:r w:rsidR="00927273">
              <w:t>A.5</w:t>
            </w:r>
            <w:r>
              <w:fldChar w:fldCharType="end"/>
            </w:r>
            <w:r>
              <w:t>.</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87194A">
            <w:pPr>
              <w:pStyle w:val="AERtabletextleft"/>
            </w:pPr>
            <w:r w:rsidRPr="000E711B">
              <w:t xml:space="preserve">The </w:t>
            </w:r>
            <w:r w:rsidR="0087194A">
              <w:t>distribution rate (payout ratio)</w:t>
            </w:r>
          </w:p>
        </w:tc>
        <w:tc>
          <w:tcPr>
            <w:tcW w:w="4197" w:type="dxa"/>
          </w:tcPr>
          <w:p w:rsidR="001E32C9" w:rsidRPr="000E711B" w:rsidRDefault="00C2727C" w:rsidP="001E32C9">
            <w:pPr>
              <w:pStyle w:val="AERbodytext"/>
              <w:cnfStyle w:val="000000010000" w:firstRow="0" w:lastRow="0" w:firstColumn="0" w:lastColumn="0" w:oddVBand="0" w:evenVBand="0" w:oddHBand="0" w:evenHBand="1" w:firstRowFirstColumn="0" w:firstRowLastColumn="0" w:lastRowFirstColumn="0" w:lastRowLastColumn="0"/>
            </w:pPr>
            <w:r>
              <w:t>"…there is [was]</w:t>
            </w:r>
            <w:r w:rsidR="001E32C9" w:rsidRPr="000E711B">
              <w:t xml:space="preserve"> no empirical evidence currently available su</w:t>
            </w:r>
            <w:r>
              <w:t>pporting a distribution</w:t>
            </w:r>
            <w:r w:rsidR="001E32C9" w:rsidRPr="000E711B">
              <w:t xml:space="preserve"> ratio higher than 0.70."</w:t>
            </w:r>
            <w:r w:rsidR="001E32C9" w:rsidRPr="000E711B">
              <w:rPr>
                <w:rStyle w:val="FootnoteReference"/>
              </w:rPr>
              <w:footnoteReference w:id="100"/>
            </w:r>
          </w:p>
        </w:tc>
        <w:tc>
          <w:tcPr>
            <w:tcW w:w="3596" w:type="dxa"/>
          </w:tcPr>
          <w:p w:rsidR="001E32C9" w:rsidRPr="000E711B" w:rsidRDefault="001E32C9" w:rsidP="0051580D">
            <w:pPr>
              <w:pStyle w:val="AERbodytext"/>
              <w:cnfStyle w:val="000000010000" w:firstRow="0" w:lastRow="0" w:firstColumn="0" w:lastColumn="0" w:oddVBand="0" w:evenVBand="0" w:oddHBand="0" w:evenHBand="1" w:firstRowFirstColumn="0" w:firstRowLastColumn="0" w:lastRowFirstColumn="0" w:lastRowLastColumn="0"/>
            </w:pPr>
            <w:r>
              <w:t xml:space="preserve">As discussed in section </w:t>
            </w:r>
            <w:r w:rsidR="00B7073F">
              <w:fldChar w:fldCharType="begin"/>
            </w:r>
            <w:r w:rsidR="00B7073F">
              <w:instrText xml:space="preserve"> REF _Ref403482746 \r \h </w:instrText>
            </w:r>
            <w:r w:rsidR="00B7073F">
              <w:fldChar w:fldCharType="separate"/>
            </w:r>
            <w:r w:rsidR="00927273">
              <w:t>4.4.1</w:t>
            </w:r>
            <w:r w:rsidR="00B7073F">
              <w:fldChar w:fldCharType="end"/>
            </w:r>
            <w:r>
              <w:t xml:space="preserve"> of attachment </w:t>
            </w:r>
            <w:r w:rsidR="0051580D">
              <w:t>4</w:t>
            </w:r>
            <w:r>
              <w:t xml:space="preserve"> and section </w:t>
            </w:r>
            <w:r>
              <w:fldChar w:fldCharType="begin"/>
            </w:r>
            <w:r>
              <w:instrText xml:space="preserve"> REF _Ref401133206 \r \h </w:instrText>
            </w:r>
            <w:r>
              <w:fldChar w:fldCharType="separate"/>
            </w:r>
            <w:r w:rsidR="00927273">
              <w:t>A.9</w:t>
            </w:r>
            <w:r>
              <w:fldChar w:fldCharType="end"/>
            </w:r>
            <w:r>
              <w:t xml:space="preserve"> of this appendix, we consider that the approach used to estimate a distribution rate of 0.7 across all equity can be applied to listed equity only to produce a distribution rate of 0.8.</w:t>
            </w:r>
            <w:r w:rsidR="008E4432">
              <w:t xml:space="preserve"> Lally also finds a distribution rate of 0.84 over the largest 20 ASX-listed companies.</w:t>
            </w:r>
          </w:p>
        </w:tc>
      </w:tr>
      <w:tr w:rsidR="001E32C9" w:rsidRPr="00B45BDD"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 xml:space="preserve">Tax </w:t>
            </w:r>
            <w:r w:rsidRPr="001E32C9">
              <w:t>statistic estimates</w:t>
            </w:r>
          </w:p>
        </w:tc>
        <w:tc>
          <w:tcPr>
            <w:tcW w:w="4197"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01"/>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02"/>
            </w:r>
          </w:p>
        </w:tc>
        <w:tc>
          <w:tcPr>
            <w:tcW w:w="3596" w:type="dxa"/>
          </w:tcPr>
          <w:p w:rsidR="001E32C9" w:rsidRPr="000E711B" w:rsidRDefault="001E32C9" w:rsidP="0051580D">
            <w:pPr>
              <w:pStyle w:val="AERbodytext"/>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w:t>
            </w:r>
            <w:r w:rsidR="00BD1852">
              <w:t xml:space="preserve">being an 'upper bound' </w:t>
            </w:r>
            <w:r>
              <w:t xml:space="preserve">were misinterpreted in these proceedings. Handley confirmed that tax statistics can be used to produce a point estimate of the utilisation rate. See our discussion of Handley's comments in section </w:t>
            </w:r>
            <w:r>
              <w:fldChar w:fldCharType="begin"/>
            </w:r>
            <w:r>
              <w:instrText xml:space="preserve"> REF _Ref402179374 \r \h </w:instrText>
            </w:r>
            <w:r>
              <w:fldChar w:fldCharType="separate"/>
            </w:r>
            <w:r w:rsidR="00927273">
              <w:t>A.6.1</w:t>
            </w:r>
            <w:r>
              <w:fldChar w:fldCharType="end"/>
            </w:r>
            <w:r>
              <w:t xml:space="preserve">. We discuss the use of tax statistics more broadly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 </w:t>
            </w:r>
            <w:r w:rsidR="0051580D">
              <w:t>4</w:t>
            </w:r>
            <w:r>
              <w:t xml:space="preserve"> and section </w:t>
            </w:r>
            <w:r>
              <w:fldChar w:fldCharType="begin"/>
            </w:r>
            <w:r>
              <w:instrText xml:space="preserve"> REF _Ref402179420 \r \h </w:instrText>
            </w:r>
            <w:r>
              <w:fldChar w:fldCharType="separate"/>
            </w:r>
            <w:r w:rsidR="00927273">
              <w:t>A.13</w:t>
            </w:r>
            <w:r>
              <w:fldChar w:fldCharType="end"/>
            </w:r>
            <w:r>
              <w:t xml:space="preserve"> of this appendix.</w:t>
            </w:r>
          </w:p>
        </w:tc>
      </w:tr>
      <w:tr w:rsidR="001E32C9" w:rsidRPr="00B45BDD"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conceptual basis for dividend drop off studies</w:t>
            </w:r>
          </w:p>
        </w:tc>
        <w:tc>
          <w:tcPr>
            <w:tcW w:w="4197" w:type="dxa"/>
          </w:tcPr>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03"/>
            </w:r>
          </w:p>
        </w:tc>
        <w:tc>
          <w:tcPr>
            <w:tcW w:w="3596" w:type="dxa"/>
          </w:tcPr>
          <w:p w:rsidR="001E32C9" w:rsidRPr="000E711B" w:rsidRDefault="001E32C9" w:rsidP="00BC05E4">
            <w:pPr>
              <w:pStyle w:val="AERbodytext"/>
              <w:cnfStyle w:val="000000010000" w:firstRow="0" w:lastRow="0" w:firstColumn="0" w:lastColumn="0" w:oddVBand="0" w:evenVBand="0" w:oddHBand="0" w:evenHBand="1" w:firstRowFirstColumn="0" w:firstRowLastColumn="0" w:lastRowFirstColumn="0" w:lastRowLastColumn="0"/>
            </w:pPr>
            <w:r>
              <w:t xml:space="preserve">The limitations of dividend drop off studies have been widely identified since these proceedings—we provide a selection of comments from academics and regulators in section </w:t>
            </w:r>
            <w:r>
              <w:fldChar w:fldCharType="begin"/>
            </w:r>
            <w:r>
              <w:instrText xml:space="preserve"> REF _Ref402180002 \r \h </w:instrText>
            </w:r>
            <w:r>
              <w:fldChar w:fldCharType="separate"/>
            </w:r>
            <w:r w:rsidR="00927273">
              <w:t>A.15.2</w:t>
            </w:r>
            <w:r>
              <w:fldChar w:fldCharType="end"/>
            </w:r>
            <w:r>
              <w:t xml:space="preserve">. Moreover, both Handley and Lally advised that other approaches to estimating the utilisation rate should be preferred (see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r w:rsidR="00BC05E4">
              <w:t>Handley and Lally also advised that, without adjustment, dividend drop off studies produce downwards</w:t>
            </w:r>
            <w:r w:rsidR="008E4432">
              <w:t>-</w:t>
            </w:r>
            <w:r w:rsidR="00BC05E4">
              <w:t>biased estimates of the utilisation rate.</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need to re-evaluate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04"/>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draft decision. Instead, we adopt a value of imputation credits that is based on our assessment of the merits of the evidence before us. </w:t>
            </w:r>
          </w:p>
        </w:tc>
      </w:tr>
    </w:tbl>
    <w:p w:rsidR="001E32C9" w:rsidRPr="000E711B" w:rsidRDefault="001E32C9" w:rsidP="001E32C9">
      <w:pPr>
        <w:pStyle w:val="AERtablesource"/>
      </w:pPr>
      <w:r>
        <w:t xml:space="preserve">Source: </w:t>
      </w:r>
      <w:r>
        <w:tab/>
        <w:t>As specified in table.</w:t>
      </w:r>
    </w:p>
    <w:p w:rsidR="001E32C9" w:rsidRDefault="001E32C9" w:rsidP="001E32C9">
      <w:pPr>
        <w:pStyle w:val="AERbodytext"/>
      </w:pPr>
      <w:r>
        <w:t xml:space="preserve">During the </w:t>
      </w:r>
      <w:r w:rsidR="0033289B">
        <w:t>Guideline</w:t>
      </w:r>
      <w:r>
        <w:t xml:space="preserve"> process, service providers frequently proposed a value of imputation credits of 0.25 and referenced the Tribunal decision in support of this. However, the last quote from the Tribunal demonstrates that it did not intend for its decision to be permanently determinative. In the </w:t>
      </w:r>
      <w:r w:rsidR="0033289B">
        <w:t>Guideline</w:t>
      </w:r>
      <w:r>
        <w:t>, we also made this point. Service providers with current proposals no longer refer to the Tribunal's decision as if it were precedent, but those service providers propose a value of imputation credits, and reasons for that value, which are consistent with the Tribunal decision.</w:t>
      </w:r>
    </w:p>
    <w:p w:rsidR="001E32C9" w:rsidRDefault="001E32C9" w:rsidP="001E32C9">
      <w:pPr>
        <w:pStyle w:val="AERbodytext"/>
      </w:pPr>
      <w:r>
        <w:t xml:space="preserve">Both during the </w:t>
      </w:r>
      <w:r w:rsidR="0033289B">
        <w:t>Guideline</w:t>
      </w:r>
      <w:r>
        <w:t xml:space="preserve"> development process and this determination process, we have considered the previous Tribunal decision carefully in forming our view on the value of imputation credits. However, for the reasons expressed i</w:t>
      </w:r>
      <w:r w:rsidR="00E26BBD">
        <w:t xml:space="preserve">n this appendix and attachment </w:t>
      </w:r>
      <w:r w:rsidR="0051580D">
        <w:t>4</w:t>
      </w:r>
      <w:r>
        <w:t xml:space="preserve"> we have come to a different </w:t>
      </w:r>
      <w:r w:rsidR="00BC05E4">
        <w:t>position</w:t>
      </w:r>
      <w:r>
        <w:t>. This is consistent with the Tribunal's expectation that the value of imputation credits is 'necessarily, and desirably, an ongoing intellectual and empirical endeavour'.</w:t>
      </w:r>
    </w:p>
    <w:p w:rsidR="001E32C9" w:rsidRDefault="001E32C9" w:rsidP="001E32C9">
      <w:pPr>
        <w:pStyle w:val="AERbodytext"/>
      </w:pPr>
      <w:r>
        <w:t>On a specific issue considered in the Tribunal decision, SFG submitted that:</w:t>
      </w:r>
      <w:r>
        <w:rPr>
          <w:rStyle w:val="FootnoteReference"/>
        </w:rPr>
        <w:footnoteReference w:id="105"/>
      </w:r>
    </w:p>
    <w:p w:rsidR="001E32C9" w:rsidRDefault="001E32C9" w:rsidP="001E32C9">
      <w:pPr>
        <w:pStyle w:val="AERquote"/>
      </w:pPr>
      <w:r>
        <w:t>The Tribunal has ruled that redemption rates cannot be used to estimate the value of a distributed credit;</w:t>
      </w:r>
    </w:p>
    <w:p w:rsidR="001E32C9" w:rsidRDefault="001E32C9" w:rsidP="001E32C9">
      <w:pPr>
        <w:pStyle w:val="AERbodytext"/>
      </w:pPr>
      <w:r>
        <w:t>However, based on the Tribunal's observations</w:t>
      </w:r>
      <w:r w:rsidRPr="000E711B">
        <w:t xml:space="preserve"> </w:t>
      </w:r>
      <w:r>
        <w:t xml:space="preserve">in </w:t>
      </w:r>
      <w:r w:rsidR="00AD3769">
        <w:fldChar w:fldCharType="begin"/>
      </w:r>
      <w:r w:rsidR="00AD3769">
        <w:instrText xml:space="preserve"> REF  _Ref400609646 \* Lower \h </w:instrText>
      </w:r>
      <w:r w:rsidR="00AD3769">
        <w:fldChar w:fldCharType="separate"/>
      </w:r>
      <w:r w:rsidR="00927273" w:rsidRPr="000E711B">
        <w:t xml:space="preserve">table </w:t>
      </w:r>
      <w:r w:rsidR="00927273">
        <w:rPr>
          <w:noProof/>
        </w:rPr>
        <w:t>4</w:t>
      </w:r>
      <w:r w:rsidR="00927273">
        <w:noBreakHyphen/>
      </w:r>
      <w:r w:rsidR="00927273">
        <w:rPr>
          <w:noProof/>
        </w:rPr>
        <w:t>5</w:t>
      </w:r>
      <w:r w:rsidR="00AD3769">
        <w:fldChar w:fldCharType="end"/>
      </w:r>
      <w:r w:rsidRPr="000E711B">
        <w:t xml:space="preserve">, </w:t>
      </w:r>
      <w:r>
        <w:t xml:space="preserve">we disagree with SFG's characterisation of the Tribunal's decision. It does not appear to us </w:t>
      </w:r>
      <w:r w:rsidRPr="000E711B">
        <w:t xml:space="preserve">that the Tribunal sought to draw any conclusions about redemption rate (tax </w:t>
      </w:r>
      <w:r>
        <w:t>statistics</w:t>
      </w:r>
      <w:r w:rsidRPr="000E711B">
        <w:t>) studies</w:t>
      </w:r>
      <w:r>
        <w:t xml:space="preserve"> or any other estimation approach</w:t>
      </w:r>
      <w:r w:rsidRPr="000E711B">
        <w:t xml:space="preserve"> beyond the material advanced to it during the review. In contrast, the Tribunal directly observed that it was unable to reach any conclusions about </w:t>
      </w:r>
      <w:r w:rsidR="00BC05E4">
        <w:t xml:space="preserve">the </w:t>
      </w:r>
      <w:r w:rsidRPr="000E711B">
        <w:t>future use of tax statistic</w:t>
      </w:r>
      <w:r w:rsidR="00BC05E4">
        <w:t>s</w:t>
      </w:r>
      <w:r w:rsidRPr="000E711B">
        <w:t>.</w:t>
      </w:r>
      <w:r w:rsidRPr="000E711B">
        <w:rPr>
          <w:rStyle w:val="FootnoteReference"/>
        </w:rPr>
        <w:footnoteReference w:id="106"/>
      </w:r>
      <w:r w:rsidRPr="000E711B">
        <w:t xml:space="preserve"> More generally, the Tribunal acknowledged the limitations of the material before it, and highlighted the need for further analysis of the conceptual task and evidence </w:t>
      </w:r>
      <w:r>
        <w:t xml:space="preserve">available </w:t>
      </w:r>
      <w:r w:rsidRPr="000E711B">
        <w:t>to estimate t</w:t>
      </w:r>
      <w:r>
        <w:t>he value of imputation credits.</w:t>
      </w:r>
    </w:p>
    <w:p w:rsidR="001E32C9" w:rsidRDefault="001E32C9" w:rsidP="001E32C9">
      <w:pPr>
        <w:pStyle w:val="Heading9"/>
        <w:numPr>
          <w:ilvl w:val="6"/>
          <w:numId w:val="57"/>
        </w:numPr>
      </w:pPr>
      <w:bookmarkStart w:id="71" w:name="_Toc404334874"/>
      <w:r>
        <w:t>DBNGP and WA Gas Networks</w:t>
      </w:r>
      <w:bookmarkEnd w:id="71"/>
    </w:p>
    <w:p w:rsidR="001E32C9" w:rsidRDefault="001E32C9" w:rsidP="001E32C9">
      <w:pPr>
        <w:pStyle w:val="AERbodytext"/>
      </w:pPr>
      <w:r>
        <w:t xml:space="preserve">In 2012, </w:t>
      </w:r>
      <w:r w:rsidR="009163D0">
        <w:t>Dampier to Bunbury Natural Gas Pipeline (</w:t>
      </w:r>
      <w:r>
        <w:t>DBNGP</w:t>
      </w:r>
      <w:r w:rsidR="009163D0">
        <w:t>)</w:t>
      </w:r>
      <w:r>
        <w:t xml:space="preserve"> sought Tribunal review of the ERA's decision to adopt a value of imputation credits of 0.25. In upholding the ERA's value, the Tribunal again emphasised the lack of consensus on an appropriate value:</w:t>
      </w:r>
      <w:r>
        <w:rPr>
          <w:rStyle w:val="FootnoteReference"/>
        </w:rPr>
        <w:footnoteReference w:id="107"/>
      </w:r>
    </w:p>
    <w:p w:rsidR="001E32C9" w:rsidRDefault="001E32C9" w:rsidP="001E32C9">
      <w:pPr>
        <w:pStyle w:val="AERquote"/>
      </w:pPr>
      <w:r>
        <w:t xml:space="preserve">171 </w:t>
      </w:r>
      <w:r>
        <w:tab/>
      </w:r>
      <w:r w:rsidRPr="00883DBE">
        <w:t xml:space="preserve">Determining the appropriate values of F </w:t>
      </w:r>
      <w:r w:rsidR="009163D0">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1E32C9" w:rsidRPr="00883DBE" w:rsidRDefault="001E32C9" w:rsidP="001E32C9">
      <w:pPr>
        <w:pStyle w:val="AERquote"/>
      </w:pPr>
      <w:r>
        <w:t>…</w:t>
      </w:r>
    </w:p>
    <w:p w:rsidR="001E32C9" w:rsidRDefault="001E32C9" w:rsidP="001E32C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1E32C9" w:rsidRDefault="001E32C9" w:rsidP="001E32C9">
      <w:pPr>
        <w:pStyle w:val="AERquote"/>
      </w:pPr>
      <w:r>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1E32C9" w:rsidRPr="00883DBE" w:rsidRDefault="001E32C9" w:rsidP="001E32C9">
      <w:pPr>
        <w:pStyle w:val="AERquote"/>
      </w:pPr>
      <w:r>
        <w:t>…</w:t>
      </w:r>
    </w:p>
    <w:p w:rsidR="001E32C9" w:rsidRPr="007C139E" w:rsidRDefault="001E32C9" w:rsidP="001E32C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1E32C9" w:rsidRDefault="001E32C9" w:rsidP="001E32C9">
      <w:pPr>
        <w:pStyle w:val="AERbodytext"/>
      </w:pPr>
      <w:r>
        <w:t xml:space="preserve">The Tribunal made similar comments in the earlier </w:t>
      </w:r>
      <w:r w:rsidRPr="00C247C6">
        <w:t>WA Gas Networks</w:t>
      </w:r>
      <w:r>
        <w:t xml:space="preserve"> matter</w:t>
      </w:r>
      <w:r w:rsidR="009163D0">
        <w:t>.</w:t>
      </w:r>
      <w:r>
        <w:rPr>
          <w:rStyle w:val="FootnoteReference"/>
        </w:rPr>
        <w:footnoteReference w:id="108"/>
      </w:r>
    </w:p>
    <w:p w:rsidR="001E32C9" w:rsidRDefault="001E32C9" w:rsidP="001E32C9">
      <w:pPr>
        <w:pStyle w:val="Heading8"/>
        <w:numPr>
          <w:ilvl w:val="5"/>
          <w:numId w:val="57"/>
        </w:numPr>
      </w:pPr>
      <w:bookmarkStart w:id="72" w:name="_Ref400961862"/>
      <w:bookmarkStart w:id="73" w:name="_Toc404334875"/>
      <w:r>
        <w:t>The role of the value of imputation credits in the regulatory framework</w:t>
      </w:r>
      <w:bookmarkEnd w:id="72"/>
      <w:bookmarkEnd w:id="73"/>
    </w:p>
    <w:p w:rsidR="001E32C9" w:rsidRDefault="001E32C9" w:rsidP="001E32C9">
      <w:pPr>
        <w:pStyle w:val="AERbodytext"/>
      </w:pPr>
      <w:r>
        <w:t>To explain the role of the value of imputation credits in the rules, we must consider:</w:t>
      </w:r>
    </w:p>
    <w:p w:rsidR="001E32C9" w:rsidRDefault="001E32C9" w:rsidP="001E32C9">
      <w:pPr>
        <w:pStyle w:val="AERbulletlistfirststyle"/>
      </w:pPr>
      <w:r>
        <w:t>the 'building block' revenue framework in the rules, and</w:t>
      </w:r>
    </w:p>
    <w:p w:rsidR="001E32C9" w:rsidRDefault="001E32C9" w:rsidP="001E32C9">
      <w:pPr>
        <w:pStyle w:val="AERbulletlistfirststyle"/>
      </w:pPr>
      <w:r>
        <w:t>the construction of the tax building block.</w:t>
      </w:r>
    </w:p>
    <w:p w:rsidR="001E32C9" w:rsidRDefault="001E32C9" w:rsidP="001E32C9">
      <w:pPr>
        <w:pStyle w:val="Heading9"/>
        <w:numPr>
          <w:ilvl w:val="6"/>
          <w:numId w:val="57"/>
        </w:numPr>
      </w:pPr>
      <w:bookmarkStart w:id="74" w:name="_Toc404334876"/>
      <w:r>
        <w:t>The building block framework</w:t>
      </w:r>
      <w:bookmarkEnd w:id="74"/>
    </w:p>
    <w:p w:rsidR="001E32C9" w:rsidRPr="009D12C3" w:rsidRDefault="001E32C9" w:rsidP="001E32C9">
      <w:pPr>
        <w:pStyle w:val="AERbodytext"/>
      </w:pPr>
      <w:r w:rsidRPr="009D12C3">
        <w:t xml:space="preserve">Under the rules, we are required to use a building block framework to estimate </w:t>
      </w:r>
      <w:r>
        <w:t xml:space="preserve">the </w:t>
      </w:r>
      <w:r w:rsidRPr="009D12C3">
        <w:t>revenue for service providers. The building block framework sets out how to estimate the various revenue streams</w:t>
      </w:r>
      <w:r>
        <w:t>/costs (that is, 'building blocks')</w:t>
      </w:r>
      <w:r w:rsidRPr="009D12C3">
        <w:t xml:space="preserve"> that make up a total revenue allowance.</w:t>
      </w:r>
      <w:r>
        <w:rPr>
          <w:rStyle w:val="FootnoteReference"/>
        </w:rPr>
        <w:footnoteReference w:id="109"/>
      </w:r>
      <w:r w:rsidRPr="009D12C3">
        <w:t xml:space="preserve">  The function of this building block revenue estimate is to determine the allowed revenue </w:t>
      </w:r>
      <w:r>
        <w:t xml:space="preserve">for each regulatory year and, in turn, the relevant period, </w:t>
      </w:r>
      <w:r w:rsidRPr="009D12C3">
        <w:t>that a service provider requires to:</w:t>
      </w:r>
    </w:p>
    <w:p w:rsidR="001E32C9" w:rsidRPr="009D12C3" w:rsidRDefault="001E32C9" w:rsidP="001E32C9">
      <w:pPr>
        <w:pStyle w:val="AERbulletlistfirststyle"/>
      </w:pPr>
      <w:r w:rsidRPr="009D12C3">
        <w:t>Fund its operating expenses.</w:t>
      </w:r>
    </w:p>
    <w:p w:rsidR="001E32C9" w:rsidRPr="009D12C3" w:rsidRDefault="001E32C9" w:rsidP="001E32C9">
      <w:pPr>
        <w:pStyle w:val="AERbulletlistfirststyle"/>
      </w:pPr>
      <w:r w:rsidRPr="009D12C3">
        <w:t>Achieve adequate returns to raise debt and equity in order to finance its capital investments. This is made up</w:t>
      </w:r>
      <w:r>
        <w:t xml:space="preserve"> of a rate of return on capital</w:t>
      </w:r>
      <w:r w:rsidRPr="009D12C3">
        <w:t xml:space="preserve"> to compensate investors for the risks of investment. It also includes a return of capital (depreciation), which gradually returns the initial principal of the investment, and subsequent investments, back to investors.</w:t>
      </w:r>
    </w:p>
    <w:p w:rsidR="001E32C9" w:rsidRPr="009D12C3" w:rsidRDefault="001E32C9" w:rsidP="001E32C9">
      <w:pPr>
        <w:pStyle w:val="AERbulletlistfirststyle"/>
      </w:pPr>
      <w:r w:rsidRPr="009D12C3">
        <w:t>Pay its tax liability.</w:t>
      </w:r>
    </w:p>
    <w:p w:rsidR="001E32C9" w:rsidRPr="009D12C3" w:rsidRDefault="001E32C9" w:rsidP="001E32C9">
      <w:pPr>
        <w:pStyle w:val="AERbulletlistfirststyle"/>
      </w:pPr>
      <w:r w:rsidRPr="009D12C3">
        <w:t xml:space="preserve">Reflect any </w:t>
      </w:r>
      <w:r w:rsidR="000805B1">
        <w:t>revenue</w:t>
      </w:r>
      <w:r w:rsidRPr="009D12C3">
        <w:t xml:space="preserve"> increments or decrements </w:t>
      </w:r>
      <w:r w:rsidR="000805B1">
        <w:t xml:space="preserve">from incentive mechanisms </w:t>
      </w:r>
      <w:r w:rsidRPr="009D12C3">
        <w:t>in the design of the regulatory regime.</w:t>
      </w:r>
    </w:p>
    <w:p w:rsidR="001E32C9" w:rsidRDefault="001E32C9" w:rsidP="001E32C9">
      <w:pPr>
        <w:pStyle w:val="AERbodytext"/>
      </w:pPr>
      <w:r>
        <w:t>Importantly, the building block framework is intended to compensate the service provider (and its investors) only for costs incurred by the service provider and not by its investors. Handley described this consideration as follows:</w:t>
      </w:r>
      <w:r>
        <w:rPr>
          <w:rStyle w:val="FootnoteReference"/>
        </w:rPr>
        <w:footnoteReference w:id="110"/>
      </w:r>
    </w:p>
    <w:p w:rsidR="001E32C9" w:rsidRDefault="001E32C9" w:rsidP="001E32C9">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1E32C9" w:rsidRDefault="001E32C9" w:rsidP="001E32C9">
      <w:pPr>
        <w:pStyle w:val="Heading9"/>
        <w:numPr>
          <w:ilvl w:val="6"/>
          <w:numId w:val="57"/>
        </w:numPr>
      </w:pPr>
      <w:bookmarkStart w:id="75" w:name="_Ref400962032"/>
      <w:bookmarkStart w:id="76" w:name="_Toc404334877"/>
      <w:r>
        <w:t>The tax building block</w:t>
      </w:r>
      <w:bookmarkEnd w:id="75"/>
      <w:bookmarkEnd w:id="76"/>
    </w:p>
    <w:p w:rsidR="000805B1" w:rsidRDefault="001E32C9" w:rsidP="001E32C9">
      <w:pPr>
        <w:pStyle w:val="AERbodytext"/>
      </w:pPr>
      <w:r>
        <w:t>O</w:t>
      </w:r>
      <w:r w:rsidRPr="00721B11">
        <w:t>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rules specify that we must estimate a nominal vanilla rate of return.</w:t>
      </w:r>
      <w:r w:rsidRPr="00721B11">
        <w:rPr>
          <w:rStyle w:val="FootnoteReference"/>
        </w:rPr>
        <w:footnoteReference w:id="111"/>
      </w:r>
      <w:r w:rsidRPr="00721B11">
        <w:t xml:space="preserve">  </w:t>
      </w:r>
      <w:r w:rsidR="000805B1">
        <w:t>A nominal vanilla rate of return combines a post-tax return on equity with a pre-tax return on debt. More specifically, as described by Handley above, the return on equity is a post-company-tax-pre-personal-tax return on equity.</w:t>
      </w:r>
    </w:p>
    <w:p w:rsidR="001E32C9" w:rsidRPr="00721B11" w:rsidRDefault="001E32C9" w:rsidP="001E32C9">
      <w:pPr>
        <w:pStyle w:val="AERbodytext"/>
      </w:pPr>
      <w:r w:rsidRPr="00721B11">
        <w:t>Amongst other things, this means the return on capital does not include an allowance for the cost of taxation.</w:t>
      </w:r>
      <w:r w:rsidR="008E4432">
        <w:t xml:space="preserve"> </w:t>
      </w:r>
      <w:r w:rsidRPr="00721B11">
        <w:t xml:space="preserve">As a result, the building block framework includes an estimate of the cost of corporate income tax as a separate revenue item. </w:t>
      </w:r>
    </w:p>
    <w:p w:rsidR="001E32C9" w:rsidRDefault="001E32C9" w:rsidP="001E32C9">
      <w:pPr>
        <w:pStyle w:val="AERbodytext"/>
      </w:pPr>
      <w:r>
        <w:t>The cost of corporate income tax building block takes the following form:</w:t>
      </w:r>
    </w:p>
    <w:p w:rsidR="001E32C9" w:rsidRDefault="00115D92" w:rsidP="001E32C9">
      <w:pPr>
        <w:pStyle w:val="AERbodytext"/>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1E32C9" w:rsidRDefault="001E32C9" w:rsidP="001E32C9">
      <w:pPr>
        <w:pStyle w:val="AERbodytext"/>
      </w:pPr>
      <w:r>
        <w:t>where:</w:t>
      </w:r>
    </w:p>
    <w:p w:rsidR="001E32C9" w:rsidRDefault="00115D92" w:rsidP="001E32C9">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1E32C9" w:rsidDel="00CE0EED">
        <w:t xml:space="preserve"> </w:t>
      </w:r>
      <w:r w:rsidR="001E32C9">
        <w:t>is an estimate of the benchmark efficient entity's tax liability.</w:t>
      </w:r>
    </w:p>
    <w:p w:rsidR="001E32C9" w:rsidRDefault="001E32C9" w:rsidP="001E32C9">
      <w:pPr>
        <w:pStyle w:val="AERbulletlistfirststyle"/>
      </w:pPr>
      <m:oMath>
        <m:r>
          <w:rPr>
            <w:rFonts w:ascii="Cambria Math" w:hAnsi="Cambria Math"/>
          </w:rPr>
          <m:t>γ</m:t>
        </m:r>
      </m:oMath>
      <w:r>
        <w:t xml:space="preserve"> is the value of imputation credits.</w:t>
      </w:r>
    </w:p>
    <w:p w:rsidR="001E32C9" w:rsidRDefault="001E32C9" w:rsidP="001E32C9">
      <w:pPr>
        <w:pStyle w:val="AERbodytext"/>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it is the </w:t>
      </w:r>
      <w:r w:rsidR="009F59D5">
        <w:t xml:space="preserve">(pre-personal tax) </w:t>
      </w:r>
      <w:r>
        <w:t>value of imputation credits to investors in the benchmark efficient entity that is relevant.</w:t>
      </w:r>
    </w:p>
    <w:p w:rsidR="001E32C9" w:rsidRDefault="001E32C9" w:rsidP="001E32C9">
      <w:pPr>
        <w:pStyle w:val="Heading8"/>
        <w:numPr>
          <w:ilvl w:val="5"/>
          <w:numId w:val="57"/>
        </w:numPr>
      </w:pPr>
      <w:bookmarkStart w:id="77" w:name="_Ref400965182"/>
      <w:bookmarkStart w:id="78" w:name="_Toc404334878"/>
      <w:r>
        <w:t>The conceptual framework for the value of imputation credits</w:t>
      </w:r>
      <w:bookmarkEnd w:id="77"/>
      <w:bookmarkEnd w:id="78"/>
    </w:p>
    <w:p w:rsidR="001E32C9" w:rsidRDefault="001E32C9" w:rsidP="001E32C9">
      <w:pPr>
        <w:pStyle w:val="AERbodytext"/>
      </w:pPr>
      <w:r>
        <w:t xml:space="preserve">With regard to the discussion of the tax building block in section </w:t>
      </w:r>
      <w:r>
        <w:fldChar w:fldCharType="begin"/>
      </w:r>
      <w:r>
        <w:instrText xml:space="preserve"> REF _Ref400962032 \r \h </w:instrText>
      </w:r>
      <w:r>
        <w:fldChar w:fldCharType="separate"/>
      </w:r>
      <w:r w:rsidR="00927273">
        <w:t>A.4.2</w:t>
      </w:r>
      <w:r>
        <w:fldChar w:fldCharType="end"/>
      </w:r>
      <w:r>
        <w:t xml:space="preserve">, we consider the 'value of imputation credits' to be the value of imputation credits to investors in the benchmark efficient entity. </w:t>
      </w:r>
      <w:r w:rsidR="008E4432">
        <w:t>Moreover, a</w:t>
      </w:r>
      <w:r w:rsidR="009F59D5">
        <w:t xml:space="preserve">s noted above, it is the pre-personal tax value of imputation credits to those investors that we seek to estimate. </w:t>
      </w:r>
      <w:r>
        <w:t>The question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12"/>
      </w:r>
      <w:r>
        <w:t xml:space="preserve"> This is because:</w:t>
      </w:r>
    </w:p>
    <w:p w:rsidR="001E32C9" w:rsidRDefault="001E32C9" w:rsidP="001E32C9">
      <w:pPr>
        <w:pStyle w:val="AERbulletlistfirststyle"/>
      </w:pPr>
      <w:r>
        <w:t>The construction of the tax building block mirrors the treatment of imputation credits in the framework developed by Officer, including through use of the parameter denoted by the Greek letter 'gamma'.</w:t>
      </w:r>
      <w:r>
        <w:rPr>
          <w:rStyle w:val="FootnoteReference"/>
        </w:rPr>
        <w:footnoteReference w:id="113"/>
      </w:r>
    </w:p>
    <w:p w:rsidR="001E32C9" w:rsidRDefault="001E32C9" w:rsidP="001E32C9">
      <w:pPr>
        <w:pStyle w:val="AERbulletlistfirststyle"/>
      </w:pPr>
      <w:r>
        <w:t>Handley advised that Officer's definition of the nominal vanilla rate of return provides the basis for the rate of return framework in the rules.</w:t>
      </w:r>
      <w:r>
        <w:rPr>
          <w:rStyle w:val="FootnoteReference"/>
        </w:rPr>
        <w:footnoteReference w:id="114"/>
      </w:r>
    </w:p>
    <w:p w:rsidR="001E32C9" w:rsidRDefault="001E32C9" w:rsidP="001E32C9">
      <w:pPr>
        <w:pStyle w:val="AERbulletlistfirststyle"/>
      </w:pPr>
      <w:r>
        <w:t xml:space="preserve">The rules require that we determine the rate of return </w:t>
      </w:r>
      <w:r w:rsidRPr="008C49DA">
        <w:t xml:space="preserve">on a nominal vanilla basis that is consistent with </w:t>
      </w:r>
      <w:r>
        <w:t>our</w:t>
      </w:r>
      <w:r w:rsidRPr="008C49DA">
        <w:t xml:space="preserve"> estimate of the value of imputation credits</w:t>
      </w:r>
      <w:r>
        <w:t>.</w:t>
      </w:r>
      <w:r>
        <w:rPr>
          <w:rStyle w:val="FootnoteReference"/>
        </w:rPr>
        <w:footnoteReference w:id="115"/>
      </w:r>
    </w:p>
    <w:p w:rsidR="001E32C9" w:rsidRDefault="001E32C9" w:rsidP="001E32C9">
      <w:pPr>
        <w:pStyle w:val="AERbodytext"/>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w:t>
      </w:r>
      <w:r w:rsidR="009F59D5">
        <w:t>, when examined closely,</w:t>
      </w:r>
      <w:r>
        <w:t xml:space="preserve"> there is no ambiguity in the meaning of Officer. Handley advised:</w:t>
      </w:r>
      <w:r>
        <w:rPr>
          <w:rStyle w:val="FootnoteReference"/>
        </w:rPr>
        <w:footnoteReference w:id="116"/>
      </w:r>
    </w:p>
    <w:p w:rsidR="001E32C9" w:rsidRPr="00EB15F4" w:rsidRDefault="001E32C9" w:rsidP="001E32C9">
      <w:pPr>
        <w:pStyle w:val="AERquote"/>
      </w:pPr>
      <w:r w:rsidRPr="00EB15F4">
        <w:t>Similarly,</w:t>
      </w:r>
      <w:r>
        <w:t xml:space="preserve"> Officer has described gamma in </w:t>
      </w:r>
      <w:r w:rsidRPr="00EB15F4">
        <w:t>seemingly different ways. For example he refers to:</w:t>
      </w:r>
    </w:p>
    <w:p w:rsidR="001E32C9" w:rsidRPr="00EB15F4" w:rsidRDefault="001E32C9" w:rsidP="001E32C9">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1E32C9" w:rsidRPr="00EB15F4" w:rsidRDefault="001E32C9" w:rsidP="001E32C9">
      <w:pPr>
        <w:pStyle w:val="AERquote"/>
      </w:pPr>
      <w:r w:rsidRPr="00EB15F4">
        <w:t>and shortly thereafter:</w:t>
      </w:r>
    </w:p>
    <w:p w:rsidR="001E32C9" w:rsidRPr="00EB15F4" w:rsidRDefault="001E32C9" w:rsidP="001E32C9">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1E32C9" w:rsidRDefault="001E32C9" w:rsidP="001E32C9">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1E32C9" w:rsidRDefault="001E32C9" w:rsidP="001E32C9">
      <w:pPr>
        <w:pStyle w:val="AERbodytext"/>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w:t>
      </w:r>
      <w:r w:rsidR="0033289B">
        <w:t>Guideline</w:t>
      </w:r>
      <w:r>
        <w:t xml:space="preserve"> and continue to adopt in this decision. As is evident from the above discussion, this interpretation is consistent with the Officer framework and is supported by advice from Handley. </w:t>
      </w:r>
    </w:p>
    <w:p w:rsidR="001E32C9" w:rsidRDefault="001E32C9" w:rsidP="001E32C9">
      <w:pPr>
        <w:pStyle w:val="AERbodytext"/>
      </w:pPr>
      <w:r>
        <w:t>The Officer framework assumes that all free cash flow</w:t>
      </w:r>
      <w:r w:rsidR="00CA5D32">
        <w:t>s</w:t>
      </w:r>
      <w:r>
        <w:t xml:space="preserve"> (including imputation credits) are </w:t>
      </w:r>
      <w:r w:rsidR="009F59D5">
        <w:t xml:space="preserve">fully </w:t>
      </w:r>
      <w:r>
        <w:t>paid out each period. That is, the Officer framework is a 'perpetuity' framework. However, in reality not all imputation credits are necessarily paid out</w:t>
      </w:r>
      <w:r w:rsidR="009F59D5">
        <w:t xml:space="preserve"> each period, nor are all other free cash</w:t>
      </w:r>
      <w:r w:rsidR="00100609">
        <w:t xml:space="preserve"> </w:t>
      </w:r>
      <w:r w:rsidR="009F59D5">
        <w:t>flows necessarily paid out</w:t>
      </w:r>
      <w:r>
        <w:t>.</w:t>
      </w:r>
      <w:r>
        <w:rPr>
          <w:rStyle w:val="FootnoteReference"/>
        </w:rPr>
        <w:footnoteReference w:id="117"/>
      </w:r>
      <w:r>
        <w:t xml:space="preserve"> </w:t>
      </w:r>
      <w:r w:rsidR="009F59D5">
        <w:t>For example, it is typical for a company to retain some earnings from a previous year to fund part of its futur</w:t>
      </w:r>
      <w:r w:rsidR="00CA5D32">
        <w:t>e investment, rather than pay</w:t>
      </w:r>
      <w:r w:rsidR="009F59D5">
        <w:t xml:space="preserve"> out all earnings as dividends and </w:t>
      </w:r>
      <w:r w:rsidR="009F5460">
        <w:t xml:space="preserve">fully </w:t>
      </w:r>
      <w:r w:rsidR="009F59D5">
        <w:t xml:space="preserve">raise the funding of future investment from external sources. </w:t>
      </w:r>
      <w:r>
        <w:t>Work by Monkhouse (and others) extends the Officer framework by allowing for less than a full payout of cash flows and imputation credits each period. Handley advised that Monkhouse effectively shows that:</w:t>
      </w:r>
      <w:r>
        <w:rPr>
          <w:rStyle w:val="FootnoteReference"/>
        </w:rPr>
        <w:footnoteReference w:id="118"/>
      </w:r>
    </w:p>
    <w:p w:rsidR="001E32C9" w:rsidRDefault="001E32C9" w:rsidP="001E32C9">
      <w:pPr>
        <w:pStyle w:val="AERbodytext"/>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1E32C9" w:rsidRDefault="001E32C9" w:rsidP="001E32C9">
      <w:pPr>
        <w:pStyle w:val="AERbodytext"/>
      </w:pPr>
      <w:r>
        <w:t>where:</w:t>
      </w:r>
    </w:p>
    <w:p w:rsidR="001E32C9" w:rsidRDefault="001E32C9" w:rsidP="001E32C9">
      <w:pPr>
        <w:pStyle w:val="AERbulletlistfirststyle"/>
      </w:pPr>
      <m:oMath>
        <m:r>
          <w:rPr>
            <w:rFonts w:ascii="Cambria Math" w:hAnsi="Cambria Math"/>
          </w:rPr>
          <m:t>F</m:t>
        </m:r>
      </m:oMath>
      <w:r>
        <w:t xml:space="preserve"> is the proportion of imputation credits generated that are distributed in a period (the 'distribution rate').</w:t>
      </w:r>
    </w:p>
    <w:p w:rsidR="001E32C9" w:rsidRDefault="001E32C9" w:rsidP="001E32C9">
      <w:pPr>
        <w:pStyle w:val="AERbulletlistfirststyle"/>
      </w:pPr>
      <m:oMath>
        <m:r>
          <w:rPr>
            <w:rFonts w:ascii="Cambria Math" w:hAnsi="Cambria Math"/>
          </w:rPr>
          <m:t>θ</m:t>
        </m:r>
      </m:oMath>
      <w:r>
        <w:t xml:space="preserve"> (theta) is the utilisation value to investors in the market per dollar of impu</w:t>
      </w:r>
      <w:r w:rsidR="00697231">
        <w:t>tation credits distributed (the</w:t>
      </w:r>
      <w:r>
        <w:t xml:space="preserve"> 'utilisation rate'), which in equilibrium is equal to the weighted average, by wealth and risk aversion, of the individual utilisation rates of investors in the market.</w:t>
      </w:r>
    </w:p>
    <w:p w:rsidR="001E32C9" w:rsidRDefault="001E32C9" w:rsidP="001E32C9">
      <w:pPr>
        <w:pStyle w:val="AERbulletlistfirststyle"/>
      </w:pPr>
      <m:oMath>
        <m:r>
          <w:rPr>
            <w:rFonts w:ascii="Cambria Math" w:hAnsi="Cambria Math"/>
          </w:rPr>
          <m:t>ψ</m:t>
        </m:r>
      </m:oMath>
      <w:r w:rsidRPr="00E867C3" w:rsidDel="008647A1">
        <w:t xml:space="preserve"> </w:t>
      </w:r>
      <w:r>
        <w:t xml:space="preserve"> (psi) is the utilisation value of a retained credit to investors in the market.</w:t>
      </w:r>
    </w:p>
    <w:p w:rsidR="001E32C9" w:rsidRDefault="001E32C9" w:rsidP="001E32C9">
      <w:pPr>
        <w:pStyle w:val="AERbodytext"/>
      </w:pPr>
      <w:r>
        <w:t>Handley advised that this characterisation of the utilisation rate is consistent with that in other relevant literature:</w:t>
      </w:r>
      <w:r>
        <w:rPr>
          <w:rStyle w:val="FootnoteReference"/>
        </w:rPr>
        <w:footnoteReference w:id="119"/>
      </w:r>
    </w:p>
    <w:p w:rsidR="001E32C9" w:rsidRDefault="001E32C9" w:rsidP="001E32C9">
      <w:pPr>
        <w:pStyle w:val="AERquote"/>
      </w:pPr>
      <w:r>
        <w:t>This interpretation of theta as a complex weighted average of investor utilisation rates is consistent with that appearing in Monkhouse (1993) and Lally and van Zijl (2003)…</w:t>
      </w:r>
    </w:p>
    <w:p w:rsidR="001E32C9" w:rsidRDefault="001E32C9" w:rsidP="001E32C9">
      <w:pPr>
        <w:pStyle w:val="AERbodytext"/>
      </w:pPr>
      <w:r>
        <w:t>This is also supported by Lally's remarks on the work of Lally and van Zijl:</w:t>
      </w:r>
      <w:r>
        <w:rPr>
          <w:rStyle w:val="FootnoteReference"/>
        </w:rPr>
        <w:footnoteReference w:id="120"/>
      </w:r>
    </w:p>
    <w:p w:rsidR="001E32C9" w:rsidRPr="00194D4D" w:rsidRDefault="001E32C9" w:rsidP="001E32C9">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1E32C9" w:rsidRDefault="00A565A8" w:rsidP="001E32C9">
      <w:pPr>
        <w:pStyle w:val="AERbodytext"/>
      </w:pPr>
      <w:r>
        <w:t xml:space="preserve">Consistent with the advice we received from Lally, in the Guideline we recognised </w:t>
      </w:r>
      <w:r w:rsidR="001E32C9">
        <w:t xml:space="preserve">that the utilisation rate </w:t>
      </w:r>
      <w:r>
        <w:t xml:space="preserve">is </w:t>
      </w:r>
      <w:r w:rsidR="001E32C9">
        <w:t xml:space="preserve">equal to the weighted average, by wealth and risk aversion, of the individual utilisation rates of investors in the market. In the </w:t>
      </w:r>
      <w:r w:rsidR="0033289B">
        <w:t>Guideline</w:t>
      </w:r>
      <w:r w:rsidR="001E32C9">
        <w:t xml:space="preserve">, we also defined the utilisation rate as the extent to which investors can use the imputation credits they receive to reduce their tax (or receive a refund). In this decision, consistent with Handley's advice, we define the utilisation rate as the utilisation value to investors in the market per dollar of imputation credits distributed. However, we consider that the definitions used in the </w:t>
      </w:r>
      <w:r w:rsidR="0033289B">
        <w:t>Guideline</w:t>
      </w:r>
      <w:r w:rsidR="001E32C9">
        <w:t xml:space="preserve"> and in this decision are equivalent. This is because, to be consistent with the building block framework, the utilisation rate should reflect the before-personal-tax and before-personal-costs value of imputation credits to investors. Once these factors are excluded, an investor that is eligible to fully utilise imputation credits should value each dollar of imputation credits received at one dollar (that is, have a utilisation rate of 1). Therefore, the utilisation value to investors in the market will reflect the </w:t>
      </w:r>
      <w:r w:rsidR="00586A85">
        <w:t>weighted average, by wealth and risk aversion, of the utilisation rates of investors—some of who</w:t>
      </w:r>
      <w:r w:rsidR="00F02A9C">
        <w:t>m</w:t>
      </w:r>
      <w:r w:rsidR="00586A85">
        <w:t xml:space="preserve"> will have a utilisation rate of 1 and others who will have a utilisation rate of </w:t>
      </w:r>
      <w:r w:rsidR="00F02A9C">
        <w:t>0</w:t>
      </w:r>
      <w:r w:rsidR="001E32C9">
        <w:t>.</w:t>
      </w:r>
      <w:r w:rsidR="00F02A9C">
        <w:rPr>
          <w:rStyle w:val="FootnoteReference"/>
        </w:rPr>
        <w:footnoteReference w:id="121"/>
      </w:r>
      <w:r w:rsidR="001E32C9">
        <w:t xml:space="preserve"> We discuss Handley's advice on this matter further in section </w:t>
      </w:r>
      <w:r w:rsidR="001E32C9">
        <w:fldChar w:fldCharType="begin"/>
      </w:r>
      <w:r w:rsidR="001E32C9">
        <w:instrText xml:space="preserve"> REF _Ref401748758 \r \h </w:instrText>
      </w:r>
      <w:r w:rsidR="001E32C9">
        <w:fldChar w:fldCharType="separate"/>
      </w:r>
      <w:r w:rsidR="00927273">
        <w:t>A.7.1</w:t>
      </w:r>
      <w:r w:rsidR="001E32C9">
        <w:fldChar w:fldCharType="end"/>
      </w:r>
      <w:r w:rsidR="001E32C9">
        <w:t>.</w:t>
      </w:r>
    </w:p>
    <w:p w:rsidR="001E32C9" w:rsidRPr="00EB15F4" w:rsidRDefault="001E32C9" w:rsidP="001E32C9">
      <w:pPr>
        <w:pStyle w:val="AERbodytext"/>
      </w:pPr>
      <w:r>
        <w:t xml:space="preserve">We do not include the value of retained credits when determining the value of imputation credits. This is because we recognise that investors can only use imputation credits to reduce tax or receive a refund once the credits have been distributed. Moreover, our approach to estimating the distribution rate (see section </w:t>
      </w:r>
      <w:r>
        <w:fldChar w:fldCharType="begin"/>
      </w:r>
      <w:r>
        <w:instrText xml:space="preserve"> REF _Ref401133206 \r \h </w:instrText>
      </w:r>
      <w:r>
        <w:fldChar w:fldCharType="separate"/>
      </w:r>
      <w:r w:rsidR="00927273">
        <w:t>A.9</w:t>
      </w:r>
      <w:r>
        <w:fldChar w:fldCharType="end"/>
      </w:r>
      <w:r>
        <w:t>) reflects the historical evidence that a proportion of credits is never paid out.</w:t>
      </w:r>
      <w:r>
        <w:rPr>
          <w:rStyle w:val="FootnoteReference"/>
        </w:rPr>
        <w:footnoteReference w:id="122"/>
      </w:r>
      <w:r>
        <w:t xml:space="preserve">  It follows that we estimate the value of imputation credits as the product of the distribution rate and the utilisation rate only.</w:t>
      </w:r>
    </w:p>
    <w:p w:rsidR="001E32C9" w:rsidRPr="00547513" w:rsidRDefault="001E32C9" w:rsidP="001E32C9">
      <w:pPr>
        <w:pStyle w:val="Heading8"/>
        <w:numPr>
          <w:ilvl w:val="5"/>
          <w:numId w:val="57"/>
        </w:numPr>
      </w:pPr>
      <w:bookmarkStart w:id="79" w:name="_Toc404334879"/>
      <w:r>
        <w:t>SFG's comments on the conceptual framework</w:t>
      </w:r>
      <w:bookmarkEnd w:id="79"/>
    </w:p>
    <w:p w:rsidR="001E32C9" w:rsidRDefault="001E32C9" w:rsidP="001E32C9">
      <w:pPr>
        <w:pStyle w:val="AERbodytext"/>
      </w:pPr>
      <w:r>
        <w:t>In the previous section, we set out our position on the appropriate conceptual framework for the estimation of the value of imputation credits. In this section, we respond to SFG's view. SFG's advice on the conceptual framework was largely adopted by the service providers in their proposals.</w:t>
      </w:r>
    </w:p>
    <w:p w:rsidR="001E32C9" w:rsidRDefault="001E32C9" w:rsidP="001E32C9">
      <w:pPr>
        <w:pStyle w:val="AERbodytext"/>
      </w:pPr>
      <w:r>
        <w:t>SFG's May 2014 report for the service providers contended that:</w:t>
      </w:r>
    </w:p>
    <w:p w:rsidR="001E32C9" w:rsidRDefault="001E32C9" w:rsidP="001E32C9">
      <w:pPr>
        <w:pStyle w:val="AERbulletlistfirststyle"/>
      </w:pPr>
      <w:r>
        <w:t xml:space="preserve">The advice and evidence cited in the </w:t>
      </w:r>
      <w:r w:rsidR="0033289B">
        <w:t>Guideline</w:t>
      </w:r>
      <w:r>
        <w:t xml:space="preserve"> does not support the interpretation of the utilisation rate in the </w:t>
      </w:r>
      <w:r w:rsidR="0033289B">
        <w:t>Guideline</w:t>
      </w:r>
      <w:r>
        <w:t>.</w:t>
      </w:r>
      <w:r w:rsidRPr="00E8774C">
        <w:t xml:space="preserve"> </w:t>
      </w:r>
    </w:p>
    <w:p w:rsidR="001E32C9" w:rsidRPr="00E8774C" w:rsidRDefault="001E32C9" w:rsidP="001E32C9">
      <w:pPr>
        <w:pStyle w:val="AERbulletlistfirststyle"/>
      </w:pPr>
      <w:r w:rsidRPr="00E8774C">
        <w:t>Officer unambiguously shows that the value of imputation credits</w:t>
      </w:r>
      <w:r>
        <w:t xml:space="preserve"> (gamma)</w:t>
      </w:r>
      <w:r w:rsidRPr="00E8774C">
        <w:t xml:space="preserve"> represents the extent to which imputation credits are c</w:t>
      </w:r>
      <w:r>
        <w:t>apitalised into the stock price.</w:t>
      </w:r>
    </w:p>
    <w:p w:rsidR="001E32C9" w:rsidRDefault="001E32C9" w:rsidP="001E32C9">
      <w:pPr>
        <w:pStyle w:val="AERbulletlistfirststyle"/>
      </w:pPr>
      <w:r>
        <w:t>The utilisation rate in the framework provided by Monkhouse (and Lally and van Zijl) should not be used to estimate the value of imputation credits.</w:t>
      </w:r>
    </w:p>
    <w:p w:rsidR="001E32C9" w:rsidRDefault="001E32C9" w:rsidP="001E32C9">
      <w:pPr>
        <w:pStyle w:val="AERbodytext"/>
      </w:pPr>
      <w:r>
        <w:t>We disagree with these contentions and our responses are set out below.</w:t>
      </w:r>
    </w:p>
    <w:p w:rsidR="001E32C9" w:rsidRDefault="001E32C9" w:rsidP="001E32C9">
      <w:pPr>
        <w:pStyle w:val="Heading9"/>
        <w:numPr>
          <w:ilvl w:val="6"/>
          <w:numId w:val="57"/>
        </w:numPr>
      </w:pPr>
      <w:bookmarkStart w:id="80" w:name="_Ref402179374"/>
      <w:bookmarkStart w:id="81" w:name="_Toc404334880"/>
      <w:r>
        <w:t>SFG's comments on the ev</w:t>
      </w:r>
      <w:r w:rsidR="0033289B">
        <w:t>idence and advice cited in the G</w:t>
      </w:r>
      <w:r>
        <w:t>uideline</w:t>
      </w:r>
      <w:bookmarkEnd w:id="80"/>
      <w:bookmarkEnd w:id="81"/>
    </w:p>
    <w:p w:rsidR="001E32C9" w:rsidRDefault="001E32C9" w:rsidP="001E32C9">
      <w:pPr>
        <w:pStyle w:val="AERbodytext"/>
      </w:pPr>
      <w:r>
        <w:t>We disagree with SFG's statement that:</w:t>
      </w:r>
      <w:r>
        <w:rPr>
          <w:rStyle w:val="FootnoteReference"/>
        </w:rPr>
        <w:footnoteReference w:id="123"/>
      </w:r>
    </w:p>
    <w:p w:rsidR="001E32C9" w:rsidRDefault="001E32C9" w:rsidP="001E32C9">
      <w:pPr>
        <w:pStyle w:val="AERquote"/>
      </w:pPr>
      <w:r w:rsidRPr="00134AD6">
        <w:t>None of the proposed reasons for the conceptual redefinition of theta that are set out in the Guideline materials are valid, or supported by advice or evidence</w:t>
      </w:r>
      <w:r>
        <w:t>:</w:t>
      </w:r>
    </w:p>
    <w:p w:rsidR="001E32C9" w:rsidRDefault="001E32C9" w:rsidP="001E32C9">
      <w:pPr>
        <w:pStyle w:val="AERbodytext"/>
      </w:pPr>
      <w:r>
        <w:t>We respond to each point raised by SFG in turn below.</w:t>
      </w:r>
    </w:p>
    <w:p w:rsidR="001E32C9" w:rsidRDefault="001E32C9" w:rsidP="001E32C9">
      <w:pPr>
        <w:pStyle w:val="HeadingBoldBlue"/>
      </w:pPr>
      <w:r>
        <w:t>The AEMC rule change</w:t>
      </w:r>
    </w:p>
    <w:p w:rsidR="001E32C9" w:rsidRDefault="001E32C9" w:rsidP="001E32C9">
      <w:pPr>
        <w:pStyle w:val="AERbodytext"/>
      </w:pPr>
      <w:r>
        <w:t>In 2012, the AEMC changed the description of the parameter represented by gamma in the tax building block from 'the assumed utilisation of imputation credits' to 'the value of imputation credits'. We have traced the point at which the AEMC made this change to the draft rules during the 2012 network regulation rule change process.</w:t>
      </w:r>
      <w:r>
        <w:rPr>
          <w:rStyle w:val="FootnoteReference"/>
        </w:rPr>
        <w:footnoteReference w:id="124"/>
      </w:r>
      <w:r>
        <w:t xml:space="preserve"> The AEMC's rule determination documents are extrinsic material for the purposes of interpreting the rules.</w:t>
      </w:r>
      <w:r>
        <w:rPr>
          <w:rStyle w:val="FootnoteReference"/>
        </w:rPr>
        <w:footnoteReference w:id="125"/>
      </w:r>
      <w:r>
        <w:t xml:space="preserve"> However, neither the AEMC's draft nor final rule determination documents for the 2012 network regulation rule change process explain why the AEMC changed the description of gamma. </w:t>
      </w:r>
      <w:r w:rsidRPr="002A34DA">
        <w:t>Moreover, we have approached AEMC staff, who did not provide any further insight into this matter</w:t>
      </w:r>
      <w:r>
        <w:t>.</w:t>
      </w:r>
    </w:p>
    <w:p w:rsidR="001E32C9" w:rsidRDefault="001E32C9" w:rsidP="001E32C9">
      <w:pPr>
        <w:pStyle w:val="AERbodytext"/>
      </w:pPr>
      <w:r>
        <w:t>SFG interpreted the change in wording as follows:</w:t>
      </w:r>
      <w:r>
        <w:rPr>
          <w:rStyle w:val="FootnoteReference"/>
        </w:rPr>
        <w:footnoteReference w:id="126"/>
      </w:r>
    </w:p>
    <w:p w:rsidR="001E32C9" w:rsidRDefault="001E32C9" w:rsidP="001E32C9">
      <w:pPr>
        <w:pStyle w:val="AERquote"/>
      </w:pPr>
      <w:r w:rsidRPr="00173FA6">
        <w:t>The AEMC Rule change (which now specifically defines gamma to be “the value of imputation credits”) does not support the new conceptual definition. It seems clear that the intention of the AEMC was simply to tidy up the Rule to properly reflect the longstanding regulatory practice of adopting a market value interpretation of theta and gamma. The Rule change is quite inconsistent with the notion that the longstanding value interpretation should be replaced by a different interpretation;</w:t>
      </w:r>
    </w:p>
    <w:p w:rsidR="001E32C9" w:rsidRDefault="001E32C9" w:rsidP="001E32C9">
      <w:pPr>
        <w:pStyle w:val="AERbodytext"/>
      </w:pPr>
      <w:r>
        <w:t>We disagree. The AEMC has not expressed the intention behind the change in wording therefore the intention behind the change is not clear. Overall, we consider no meaning or significance can or should be drawn by the AEMC's rephrasing of the description of gamma. This raises the question of how the value of imputation credits should be interpreted. The law states that the law is to be interpreted in a manner that best achieves the law's purpose, which is the national electricity/gas objective.</w:t>
      </w:r>
      <w:r>
        <w:rPr>
          <w:rStyle w:val="FootnoteReference"/>
        </w:rPr>
        <w:footnoteReference w:id="127"/>
      </w:r>
      <w:r>
        <w:t xml:space="preserve"> We note that the value of imputation credits is a component of the building block framework, which itself is underpinned by a conceptual framework. We have therefore interpreted (and consequently estimated) the value of imputation credits consistent with the building block framework and its underlying conceptual framework.</w:t>
      </w:r>
    </w:p>
    <w:p w:rsidR="001E32C9" w:rsidRDefault="001E32C9" w:rsidP="001E32C9">
      <w:pPr>
        <w:pStyle w:val="HeadingBoldBlue"/>
      </w:pPr>
      <w:r>
        <w:t>McKenzie and Partington (2013)</w:t>
      </w:r>
    </w:p>
    <w:p w:rsidR="001E32C9" w:rsidRDefault="001E32C9" w:rsidP="001E32C9">
      <w:pPr>
        <w:pStyle w:val="AERbodytext"/>
      </w:pPr>
      <w:r>
        <w:t xml:space="preserve">SFG stated that McKenzie and Partington's advice to the Queensland Resources Council in 2013 did not support the approach to estimating the utilisation rate in the </w:t>
      </w:r>
      <w:r w:rsidR="0033289B">
        <w:t>Guideline</w:t>
      </w:r>
      <w:r>
        <w:t>.</w:t>
      </w:r>
      <w:r>
        <w:rPr>
          <w:rStyle w:val="FootnoteReference"/>
        </w:rPr>
        <w:footnoteReference w:id="128"/>
      </w:r>
      <w:r>
        <w:t xml:space="preserve"> We disagree. McKenzie and Partington's remarks suggest that the approach in the draft </w:t>
      </w:r>
      <w:r w:rsidR="0033289B">
        <w:t>Guideline</w:t>
      </w:r>
      <w:r>
        <w:t xml:space="preserve"> (which is broadly maintained in this draft decision) is reasonable:</w:t>
      </w:r>
      <w:r>
        <w:rPr>
          <w:rStyle w:val="FootnoteReference"/>
        </w:rPr>
        <w:footnoteReference w:id="129"/>
      </w:r>
      <w:r>
        <w:t xml:space="preserve">   </w:t>
      </w:r>
    </w:p>
    <w:p w:rsidR="001E32C9" w:rsidRDefault="001E32C9" w:rsidP="001E32C9">
      <w:pPr>
        <w:pStyle w:val="AERquote"/>
      </w:pPr>
      <w:r>
        <w:t>[The AER in its draft guideline]</w:t>
      </w:r>
      <w:r w:rsidRPr="00AA5C46">
        <w:t xml:space="preserve"> proposes to employ the utilisation rate as a part</w:t>
      </w:r>
      <w:r>
        <w:t xml:space="preserve"> of its determination of theta, </w:t>
      </w:r>
      <w:r w:rsidRPr="00AA5C46">
        <w:t>but the estimate of theta is triangulated across several sou</w:t>
      </w:r>
      <w:r>
        <w:t xml:space="preserve">rces of evidence. These sources </w:t>
      </w:r>
      <w:r w:rsidRPr="00AA5C46">
        <w:t>include the extent to which shares are held by Australian</w:t>
      </w:r>
      <w:r>
        <w:t xml:space="preserve"> residents who can utilise the </w:t>
      </w:r>
      <w:r w:rsidRPr="00AA5C46">
        <w:t>credits, the estimates of utilisation from taxation statistics</w:t>
      </w:r>
      <w:r>
        <w:t xml:space="preserve">, the evidence from studies of </w:t>
      </w:r>
      <w:r w:rsidRPr="00AA5C46">
        <w:t>market value (including ex-dividend studies) and other su</w:t>
      </w:r>
      <w:r>
        <w:t xml:space="preserve">pporting evidence that suggests </w:t>
      </w:r>
      <w:r w:rsidRPr="00AA5C46">
        <w:t>investors place a positive value on franking credits (although this latter evidence does</w:t>
      </w:r>
      <w:r>
        <w:t xml:space="preserve"> not </w:t>
      </w:r>
      <w:r w:rsidRPr="00AA5C46">
        <w:t>provide an estimate of the magnitude of that value). In the l</w:t>
      </w:r>
      <w:r>
        <w:t xml:space="preserve">ight of this evidence, the AER </w:t>
      </w:r>
      <w:r w:rsidRPr="00AA5C46">
        <w:t>concludes, that an appropriate estimate of the value of the</w:t>
      </w:r>
      <w:r>
        <w:t xml:space="preserve">ta is 0.7. In our opinion they </w:t>
      </w:r>
      <w:r w:rsidRPr="00AA5C46">
        <w:t>make a reasonable case for this theta estimate.</w:t>
      </w:r>
    </w:p>
    <w:p w:rsidR="001E32C9" w:rsidRPr="002607CB" w:rsidRDefault="001E32C9" w:rsidP="001E32C9">
      <w:pPr>
        <w:pStyle w:val="AERbodytext"/>
      </w:pPr>
      <w:r>
        <w:t>Further, they go on to state that they have 'several problems' with an estimate of gamma that relies on SFG's dividend drop off study.</w:t>
      </w:r>
      <w:r>
        <w:rPr>
          <w:rStyle w:val="FootnoteReference"/>
        </w:rPr>
        <w:footnoteReference w:id="130"/>
      </w:r>
    </w:p>
    <w:p w:rsidR="001E32C9" w:rsidRDefault="001E32C9" w:rsidP="001E32C9">
      <w:pPr>
        <w:pStyle w:val="HeadingBoldBlue"/>
      </w:pPr>
      <w:r>
        <w:t>Handley (2008)</w:t>
      </w:r>
    </w:p>
    <w:p w:rsidR="001E32C9" w:rsidRPr="001E32C9" w:rsidRDefault="001E32C9" w:rsidP="001E32C9">
      <w:pPr>
        <w:pStyle w:val="AERbodytext"/>
      </w:pPr>
      <w:r>
        <w:t xml:space="preserve">SFG referred to previous comments by Handley which suggested that </w:t>
      </w:r>
      <w:r w:rsidRPr="001E32C9">
        <w:t>tax statistics could not be used to produce a point estimate of the utilisation rate.</w:t>
      </w:r>
      <w:r w:rsidRPr="001E32C9">
        <w:rPr>
          <w:rStyle w:val="FootnoteReference"/>
        </w:rPr>
        <w:footnoteReference w:id="131"/>
      </w:r>
      <w:r w:rsidRPr="001E32C9">
        <w:t xml:space="preserve"> However, in his recent advice to us Handley clarified his earlier remarks and confirmed that tax statistics can produce a point estimate:</w:t>
      </w:r>
      <w:r w:rsidRPr="001E32C9">
        <w:rPr>
          <w:rStyle w:val="FootnoteReference"/>
        </w:rPr>
        <w:footnoteReference w:id="132"/>
      </w:r>
    </w:p>
    <w:p w:rsidR="001E32C9" w:rsidRDefault="001E32C9" w:rsidP="001E32C9">
      <w:pPr>
        <w:pStyle w:val="AERquote"/>
      </w:pPr>
      <w:r w:rsidRPr="00052680">
        <w:t>I wish to make one point for clarification in relation to th</w:t>
      </w:r>
      <w:r>
        <w:t xml:space="preserve">e use of taxation statistics. I </w:t>
      </w:r>
      <w:r w:rsidRPr="00052680">
        <w:t>have previously suggested that estimates of utilisation rat</w:t>
      </w:r>
      <w:r>
        <w:t xml:space="preserve">es from taxation statistics can </w:t>
      </w:r>
      <w:r w:rsidRPr="00052680">
        <w:t>be interpreted as a reasonable upper bound estimate of th</w:t>
      </w:r>
      <w:r>
        <w:t xml:space="preserve">e value of theta. The purpose </w:t>
      </w:r>
      <w:r w:rsidRPr="00052680">
        <w:t>for including the “upper bound” part was simply to convey the fact that the ultima</w:t>
      </w:r>
      <w:r>
        <w:t xml:space="preserve">te </w:t>
      </w:r>
      <w:r w:rsidRPr="00052680">
        <w:t>source of value of a distributed franking credit is the am</w:t>
      </w:r>
      <w:r>
        <w:t xml:space="preserve">ount of personal tax saved as a </w:t>
      </w:r>
      <w:r w:rsidRPr="00052680">
        <w:t xml:space="preserve">result of redeeming the credit – something which is given </w:t>
      </w:r>
      <w:r>
        <w:t xml:space="preserve">by taxation statistics data. In </w:t>
      </w:r>
      <w:r w:rsidRPr="00052680">
        <w:t>other words, value can only be realized by “re</w:t>
      </w:r>
      <w:r>
        <w:t xml:space="preserve">deeming” the credit at the ATO. </w:t>
      </w:r>
      <w:r w:rsidRPr="00052680">
        <w:t>Unfortunately the “upper bound” part has inadv</w:t>
      </w:r>
      <w:r>
        <w:t xml:space="preserve">ertently been misinterpreted as </w:t>
      </w:r>
      <w:r w:rsidRPr="00052680">
        <w:t>suggesting that taxation statistic estimates of theta canno</w:t>
      </w:r>
      <w:r>
        <w:t xml:space="preserve">t be used as point estimates of </w:t>
      </w:r>
      <w:r w:rsidRPr="00052680">
        <w:t>theta</w:t>
      </w:r>
      <w:r>
        <w:t>.</w:t>
      </w:r>
    </w:p>
    <w:p w:rsidR="001E32C9" w:rsidRPr="00E23CBF" w:rsidRDefault="001E32C9" w:rsidP="001E32C9">
      <w:pPr>
        <w:pStyle w:val="AERquote"/>
      </w:pPr>
      <w:r>
        <w:t>…</w:t>
      </w:r>
    </w:p>
    <w:p w:rsidR="001E32C9" w:rsidRPr="00052680" w:rsidRDefault="001E32C9" w:rsidP="001E32C9">
      <w:pPr>
        <w:pStyle w:val="AERquote"/>
      </w:pPr>
      <w:r w:rsidRPr="00052680">
        <w:t>To be clear, taxation statistics</w:t>
      </w:r>
      <w:r>
        <w:t xml:space="preserve"> </w:t>
      </w:r>
      <w:r w:rsidRPr="00052680">
        <w:t>(like other methodologies) can be used to derive reasonable albeit imprecise point</w:t>
      </w:r>
      <w:r>
        <w:t xml:space="preserve"> </w:t>
      </w:r>
      <w:r w:rsidRPr="00052680">
        <w:t>estimates of theta. The previously used “upper bound” terminology in no way</w:t>
      </w:r>
      <w:r>
        <w:t xml:space="preserve"> </w:t>
      </w:r>
      <w:r w:rsidRPr="00052680">
        <w:t>invalidates its interpretation or use as a point estimate.</w:t>
      </w:r>
    </w:p>
    <w:p w:rsidR="001E32C9" w:rsidRDefault="001E32C9" w:rsidP="001E32C9">
      <w:pPr>
        <w:pStyle w:val="AERbodytext"/>
      </w:pPr>
      <w:r>
        <w:t>Further, Handley's recent advice supported both the approach employed and the estimate of the value of imputation credits adopted in this draft decision.</w:t>
      </w:r>
    </w:p>
    <w:p w:rsidR="001E32C9" w:rsidRDefault="001E32C9" w:rsidP="001E32C9">
      <w:pPr>
        <w:pStyle w:val="HeadingBoldBlue"/>
      </w:pPr>
      <w:r>
        <w:t>Officer (1994)</w:t>
      </w:r>
    </w:p>
    <w:p w:rsidR="001E32C9" w:rsidRPr="001E32C9" w:rsidRDefault="001E32C9" w:rsidP="001E32C9">
      <w:pPr>
        <w:pStyle w:val="AERbodytext"/>
      </w:pPr>
      <w:r>
        <w:t>SFG concluded that t</w:t>
      </w:r>
      <w:r w:rsidRPr="001E32C9">
        <w:t>he formulas in Officer unambiguously show that gamma represents the extent to which imputation credits are capitalised into the stock price.</w:t>
      </w:r>
      <w:r w:rsidRPr="001E32C9">
        <w:rPr>
          <w:rStyle w:val="FootnoteReference"/>
        </w:rPr>
        <w:footnoteReference w:id="133"/>
      </w:r>
      <w:r w:rsidRPr="001E32C9">
        <w:t xml:space="preserve"> We disagree, and our assessment of the relevant formulas is presented in section </w:t>
      </w:r>
      <w:r w:rsidRPr="001E32C9">
        <w:fldChar w:fldCharType="begin"/>
      </w:r>
      <w:r w:rsidRPr="001E32C9">
        <w:instrText xml:space="preserve"> REF _Ref401057240 \r \h </w:instrText>
      </w:r>
      <w:r w:rsidRPr="001E32C9">
        <w:fldChar w:fldCharType="separate"/>
      </w:r>
      <w:r w:rsidR="00927273">
        <w:t>A.6.2</w:t>
      </w:r>
      <w:r w:rsidRPr="001E32C9">
        <w:fldChar w:fldCharType="end"/>
      </w:r>
      <w:r w:rsidRPr="001E32C9">
        <w:t>.</w:t>
      </w:r>
    </w:p>
    <w:p w:rsidR="001E32C9" w:rsidRDefault="001E32C9" w:rsidP="001E32C9">
      <w:pPr>
        <w:pStyle w:val="HeadingBoldBlue"/>
      </w:pPr>
      <w:r>
        <w:t>Hathaway and Officer (2004)</w:t>
      </w:r>
    </w:p>
    <w:p w:rsidR="001E32C9" w:rsidRPr="001E32C9" w:rsidRDefault="001E32C9" w:rsidP="001E32C9">
      <w:pPr>
        <w:pStyle w:val="AERbodytext"/>
      </w:pPr>
      <w:r>
        <w:t xml:space="preserve">In the </w:t>
      </w:r>
      <w:r w:rsidR="0033289B">
        <w:t>Guideline</w:t>
      </w:r>
      <w:r>
        <w:t xml:space="preserve"> we quoted a passage from Hathaway and Officer's 2004 paper in support of what was described in the </w:t>
      </w:r>
      <w:r w:rsidR="0033289B">
        <w:t>Guideline</w:t>
      </w:r>
      <w:r>
        <w:t xml:space="preserve"> as the 'cash flow interpretation' of the value of imputation credits.</w:t>
      </w:r>
      <w:r w:rsidRPr="001E32C9">
        <w:rPr>
          <w:rStyle w:val="FootnoteReference"/>
        </w:rPr>
        <w:footnoteReference w:id="134"/>
      </w:r>
      <w:r w:rsidRPr="001E32C9">
        <w:t xml:space="preserve"> With reference to the full text of the paragraph from which the passage was taken, SFG stated that we had misconstrued the point being made by Hathaway and Officer.</w:t>
      </w:r>
      <w:r w:rsidRPr="001E32C9">
        <w:rPr>
          <w:rStyle w:val="FootnoteReference"/>
        </w:rPr>
        <w:footnoteReference w:id="135"/>
      </w:r>
      <w:r w:rsidRPr="001E32C9">
        <w:t xml:space="preserve"> We disagree. The intention of the relevant part of the </w:t>
      </w:r>
      <w:r w:rsidR="0033289B">
        <w:t>Guideline</w:t>
      </w:r>
      <w:r w:rsidRPr="001E32C9">
        <w:t xml:space="preserve"> was to identify that the quoted passage supported the 'cash flow interpretation'. SFG did not state whether or not it agreed that the quoted passage supports the cash flow interpretation.</w:t>
      </w:r>
    </w:p>
    <w:p w:rsidR="001E32C9" w:rsidRDefault="001E32C9" w:rsidP="001E32C9">
      <w:pPr>
        <w:pStyle w:val="AERbodytext"/>
      </w:pPr>
      <w:r>
        <w:t>We disagree also with SFG's statement that:</w:t>
      </w:r>
      <w:r>
        <w:rPr>
          <w:rStyle w:val="FootnoteReference"/>
        </w:rPr>
        <w:footnoteReference w:id="136"/>
      </w:r>
    </w:p>
    <w:p w:rsidR="001E32C9" w:rsidRDefault="001E32C9" w:rsidP="001E32C9">
      <w:pPr>
        <w:pStyle w:val="AERquote"/>
      </w:pPr>
      <w:r>
        <w:t>…</w:t>
      </w:r>
      <w:r w:rsidRPr="002607CB">
        <w:t xml:space="preserve">the primary purpose of the Hathaway and Officer (2004) study was to present the results of a dividend drop-off analysis, which is clearly relevant only to the standard </w:t>
      </w:r>
      <w:r w:rsidRPr="002607CB">
        <w:rPr>
          <w:rStyle w:val="AERtextitalic"/>
        </w:rPr>
        <w:t>value</w:t>
      </w:r>
      <w:r w:rsidRPr="002607CB">
        <w:t xml:space="preserve"> interpretation of theta. Hathaway and Officer also present some statistics relating to redemption rates, but that analysis has been retracted by Hathaway who has since stated that it should not be relied upon.</w:t>
      </w:r>
    </w:p>
    <w:p w:rsidR="001E32C9" w:rsidRDefault="001E32C9" w:rsidP="001E32C9">
      <w:pPr>
        <w:pStyle w:val="AERbodytext"/>
      </w:pPr>
      <w:r>
        <w:t xml:space="preserve">Firstly, Hathaway and Officer did not state that the purpose of their report was to present the results of a dividend drop-off analysis. The first section in the report after the introduction is entitled 'Redemption Value of Credits (ATO Data)', and contains extensive analysis of ATO statistics. The dividend drop-off analysis in the report follows the redemption rate analysis, and a similar number of pages are devoted to it. </w:t>
      </w:r>
    </w:p>
    <w:p w:rsidR="001E32C9" w:rsidRDefault="001E32C9" w:rsidP="001E32C9">
      <w:pPr>
        <w:pStyle w:val="AERbodytext"/>
      </w:pPr>
      <w:r>
        <w:t>Secondly, Hathaway's retraction of the ATO data analysis is based on issues of data quality and not on any conceptual consideration that tax statistics cannot be used to estimate the value of imputation credits:</w:t>
      </w:r>
      <w:r>
        <w:rPr>
          <w:rStyle w:val="FootnoteReference"/>
        </w:rPr>
        <w:footnoteReference w:id="137"/>
      </w:r>
    </w:p>
    <w:p w:rsidR="001E32C9" w:rsidRDefault="001E32C9" w:rsidP="001E32C9">
      <w:pPr>
        <w:pStyle w:val="AERquote"/>
      </w:pPr>
      <w:r w:rsidRPr="00EA610E">
        <w:t>I would caution anyone, including the AER, against relying on those parts of my earlier reports which focussed on ATO statistics. The data was then not as clear as it is today. I had to rely on separate analyses of ATO tax data and the ATO financial data. As I am now aware with the new data, there is an extremely large discrepancy between these two subsets of data. The missing link was the data on the flows of credits between companies which is now visible after the changes of 1 July 2002. I would recommend that the AER do not rely on that earlier report.</w:t>
      </w:r>
    </w:p>
    <w:p w:rsidR="001E32C9" w:rsidRDefault="001E32C9" w:rsidP="001E32C9">
      <w:pPr>
        <w:pStyle w:val="Heading9"/>
        <w:numPr>
          <w:ilvl w:val="6"/>
          <w:numId w:val="57"/>
        </w:numPr>
      </w:pPr>
      <w:bookmarkStart w:id="82" w:name="_Ref401057240"/>
      <w:bookmarkStart w:id="83" w:name="_Toc404334881"/>
      <w:r>
        <w:t>SFG's comments on the Officer framework</w:t>
      </w:r>
      <w:bookmarkEnd w:id="82"/>
      <w:bookmarkEnd w:id="83"/>
    </w:p>
    <w:p w:rsidR="001E32C9" w:rsidRDefault="001E32C9" w:rsidP="001E32C9">
      <w:pPr>
        <w:pStyle w:val="AERbodytext"/>
      </w:pPr>
      <w:r>
        <w:t>SFG's report contains the following conclusions in regard to the value of imputation credits:</w:t>
      </w:r>
    </w:p>
    <w:p w:rsidR="001E32C9" w:rsidRDefault="001E32C9" w:rsidP="001E32C9">
      <w:pPr>
        <w:pStyle w:val="AERbulletlistfirststyle"/>
      </w:pPr>
      <w:r>
        <w:t>The formulas in Officer unambiguously show that the value of imputation credits (gamma) represents the extent to which imputation credits are capitalised into the stock price.</w:t>
      </w:r>
      <w:r>
        <w:rPr>
          <w:rStyle w:val="FootnoteReference"/>
        </w:rPr>
        <w:footnoteReference w:id="138"/>
      </w:r>
    </w:p>
    <w:p w:rsidR="001E32C9" w:rsidRDefault="001E32C9" w:rsidP="001E32C9">
      <w:pPr>
        <w:pStyle w:val="AERbulletlistfirststyle"/>
      </w:pPr>
      <w:r>
        <w:t>The value of imputation credits is estimated as the product of the distribution rate and the extent to which a distributed credit is reflected in the share price (which SFG labelled 'theta').</w:t>
      </w:r>
      <w:r>
        <w:rPr>
          <w:rStyle w:val="FootnoteReference"/>
        </w:rPr>
        <w:footnoteReference w:id="139"/>
      </w:r>
    </w:p>
    <w:p w:rsidR="001E32C9" w:rsidRDefault="001E32C9" w:rsidP="001E32C9">
      <w:pPr>
        <w:pStyle w:val="AERbulletlistfirststyle"/>
      </w:pPr>
      <w:r>
        <w:t>The only appropriate way to estimate theta is via the empirical analysis of observed market prices.</w:t>
      </w:r>
      <w:r>
        <w:rPr>
          <w:rStyle w:val="FootnoteReference"/>
        </w:rPr>
        <w:footnoteReference w:id="140"/>
      </w:r>
    </w:p>
    <w:p w:rsidR="001E32C9" w:rsidRDefault="001E32C9" w:rsidP="001E32C9">
      <w:pPr>
        <w:pStyle w:val="AERbodytext"/>
      </w:pPr>
      <w:r>
        <w:t xml:space="preserve">However, SFG omitted a parameter in its derivation of gamma from the formulas in Officer. Once corrected, the relevant formula does not support SFG's interpretation. Instead, the corrected formula supports our view, which is in turn supported by advice from Handley and Lally, that gamma in the Officer framework represents the proportion of company tax that is returned to investors through the utilisation of imputation credits (see section </w:t>
      </w:r>
      <w:r>
        <w:fldChar w:fldCharType="begin"/>
      </w:r>
      <w:r>
        <w:instrText xml:space="preserve"> REF _Ref400965182 \r \h </w:instrText>
      </w:r>
      <w:r>
        <w:fldChar w:fldCharType="separate"/>
      </w:r>
      <w:r w:rsidR="00927273">
        <w:t>A.5</w:t>
      </w:r>
      <w:r>
        <w:fldChar w:fldCharType="end"/>
      </w:r>
      <w:r>
        <w:t>). Moreover, the corrected formula does not suggest to us that the value of imputation credits must be estimated using evidence from market prices alone.</w:t>
      </w:r>
    </w:p>
    <w:p w:rsidR="001E32C9" w:rsidRDefault="001E32C9" w:rsidP="001E32C9">
      <w:pPr>
        <w:pStyle w:val="AERbodytext"/>
      </w:pPr>
      <w:r>
        <w:t>Our review of SFG's analysis of the formulas is set out below.</w:t>
      </w:r>
    </w:p>
    <w:p w:rsidR="001E32C9" w:rsidRDefault="001E32C9" w:rsidP="001E32C9">
      <w:pPr>
        <w:pStyle w:val="AERbodytext"/>
      </w:pPr>
      <w:r>
        <w:t>SFG's analysis began with the expression:</w:t>
      </w:r>
      <w:r>
        <w:rPr>
          <w:rStyle w:val="FootnoteReference"/>
        </w:rPr>
        <w:footnoteReference w:id="141"/>
      </w:r>
    </w:p>
    <w:p w:rsidR="001E32C9" w:rsidRPr="008A20CA" w:rsidRDefault="001E32C9" w:rsidP="001E32C9">
      <w:pPr>
        <w:pStyle w:val="AERbodytext"/>
      </w:pPr>
      <m:oMath>
        <m:r>
          <w:rPr>
            <w:rFonts w:ascii="Cambria Math" w:eastAsiaTheme="minorEastAsia" w:hAnsi="Cambria Math"/>
          </w:rPr>
          <m:t>E</m:t>
        </m:r>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where:</w:t>
      </w:r>
    </w:p>
    <w:p w:rsidR="001E32C9" w:rsidRDefault="001E32C9" w:rsidP="001E32C9">
      <w:pPr>
        <w:pStyle w:val="AERbulletlistfirststyle"/>
      </w:pPr>
      <m:oMath>
        <m:r>
          <w:rPr>
            <w:rFonts w:ascii="Cambria Math" w:eastAsiaTheme="minorEastAsia" w:hAnsi="Cambria Math"/>
          </w:rPr>
          <m:t>E</m:t>
        </m:r>
      </m:oMath>
      <w:r w:rsidDel="007C0BC7">
        <w:t xml:space="preserve"> </w:t>
      </w:r>
      <w:r>
        <w:t>is the value of equity</w:t>
      </w:r>
    </w:p>
    <w:p w:rsidR="001E32C9" w:rsidRDefault="00115D92"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oMath>
      <w:r w:rsidR="001E32C9">
        <w:rPr>
          <w:rStyle w:val="AERsubscript"/>
        </w:rPr>
        <w:t xml:space="preserve"> </w:t>
      </w:r>
      <w:r w:rsidR="001E32C9">
        <w:t>is operating income</w:t>
      </w:r>
    </w:p>
    <w:p w:rsidR="001E32C9" w:rsidRDefault="00115D92"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oMath>
      <w:r w:rsidR="001E32C9">
        <w:rPr>
          <w:rStyle w:val="AERsubscript"/>
        </w:rPr>
        <w:t xml:space="preserve"> </w:t>
      </w:r>
      <w:r w:rsidR="001E32C9">
        <w:t>is the debtholders' share of operating income</w:t>
      </w:r>
    </w:p>
    <w:p w:rsidR="001E32C9" w:rsidRDefault="001E32C9" w:rsidP="001E32C9">
      <w:pPr>
        <w:pStyle w:val="AERbulletlistfirststyle"/>
      </w:pPr>
      <m:oMath>
        <m:r>
          <w:rPr>
            <w:rFonts w:ascii="Cambria Math" w:eastAsiaTheme="minorEastAsia" w:hAnsi="Cambria Math"/>
          </w:rPr>
          <m:t>TAX</m:t>
        </m:r>
      </m:oMath>
      <w:r w:rsidDel="007C0BC7">
        <w:t xml:space="preserve"> </w:t>
      </w:r>
      <w:r>
        <w:t>is corporate tax paid</w:t>
      </w:r>
    </w:p>
    <w:p w:rsidR="001E32C9" w:rsidRDefault="001E32C9" w:rsidP="001E32C9">
      <w:pPr>
        <w:pStyle w:val="AERbulletlistfirststyle"/>
      </w:pPr>
      <m:oMath>
        <m:r>
          <w:rPr>
            <w:rFonts w:ascii="Cambria Math" w:eastAsiaTheme="minorEastAsia" w:hAnsi="Cambria Math"/>
          </w:rPr>
          <m:t>IC</m:t>
        </m:r>
      </m:oMath>
      <w:r>
        <w:t xml:space="preserve"> is imputation credits generated, and</w:t>
      </w:r>
    </w:p>
    <w:p w:rsidR="001E32C9" w:rsidRDefault="00115D92" w:rsidP="001E32C9">
      <w:pPr>
        <w:pStyle w:val="AERbulletlistfirststyle"/>
      </w:pPr>
      <m:oMath>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oMath>
      <w:r w:rsidR="001E32C9">
        <w:rPr>
          <w:rStyle w:val="AERsubscript"/>
        </w:rPr>
        <w:t xml:space="preserve"> </w:t>
      </w:r>
      <w:r w:rsidR="001E32C9">
        <w:t>is the return on equity.</w:t>
      </w:r>
    </w:p>
    <w:p w:rsidR="001E32C9" w:rsidRPr="00D12C67" w:rsidRDefault="001E32C9" w:rsidP="001E32C9">
      <w:pPr>
        <w:pStyle w:val="AERbodytext"/>
      </w:pPr>
      <w:r>
        <w:t>SFG</w:t>
      </w:r>
      <w:r w:rsidRPr="00D12C67">
        <w:t xml:space="preserve"> state</w:t>
      </w:r>
      <w:r>
        <w:t>d</w:t>
      </w:r>
      <w:r w:rsidRPr="00D12C67">
        <w:t xml:space="preserve"> that this expression:</w:t>
      </w:r>
      <w:r w:rsidRPr="00D12C67">
        <w:rPr>
          <w:rStyle w:val="FootnoteReference"/>
        </w:rPr>
        <w:footnoteReference w:id="142"/>
      </w:r>
    </w:p>
    <w:p w:rsidR="001E32C9" w:rsidRDefault="001E32C9" w:rsidP="001E32C9">
      <w:pPr>
        <w:pStyle w:val="AERquote"/>
      </w:pPr>
      <w:r>
        <w:t>…unambiguously shows that gamma represents the extent to which imputation credits are capitalised into the stock price.</w:t>
      </w:r>
    </w:p>
    <w:p w:rsidR="001E32C9" w:rsidRDefault="001E32C9" w:rsidP="001E32C9">
      <w:pPr>
        <w:pStyle w:val="AERbodytext"/>
      </w:pPr>
      <w:r>
        <w:t>SFG then stated that the value of equity in the absence of imputation credits would be:</w:t>
      </w:r>
      <w:r>
        <w:rPr>
          <w:rStyle w:val="FootnoteReference"/>
        </w:rPr>
        <w:footnoteReference w:id="143"/>
      </w:r>
    </w:p>
    <w:p w:rsidR="001E32C9" w:rsidRPr="00C915A0" w:rsidRDefault="00115D92"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 xml:space="preserve">and subtracted this expression from the expression for E (which SFG renamed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t>) to isolate gamma:</w:t>
      </w:r>
      <w:r>
        <w:rPr>
          <w:rStyle w:val="FootnoteReference"/>
        </w:rPr>
        <w:footnoteReference w:id="144"/>
      </w:r>
    </w:p>
    <w:p w:rsidR="001E32C9" w:rsidRPr="002F2D6C"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oMath>
    </w:p>
    <w:p w:rsidR="001E32C9" w:rsidRDefault="001E32C9" w:rsidP="001E32C9">
      <w:pPr>
        <w:pStyle w:val="AERbodytext"/>
      </w:pPr>
      <w:r>
        <w:t>SFG concluded from this expression that:</w:t>
      </w:r>
    </w:p>
    <w:p w:rsidR="001E32C9" w:rsidRDefault="001E32C9" w:rsidP="001E32C9">
      <w:pPr>
        <w:pStyle w:val="AERquote"/>
      </w:pPr>
      <w:r>
        <w:t xml:space="preserve">Gamma then represents the increase in the </w:t>
      </w:r>
      <w:r w:rsidRPr="002F2D6C">
        <w:rPr>
          <w:rStyle w:val="AERtextitalic"/>
        </w:rPr>
        <w:t>value</w:t>
      </w:r>
      <w:r>
        <w:t xml:space="preserve"> of equity due to imputation credits, expressed as a proportion of the face value of imputation credits.</w:t>
      </w:r>
    </w:p>
    <w:p w:rsidR="001E32C9" w:rsidRDefault="001E32C9" w:rsidP="001E32C9">
      <w:pPr>
        <w:pStyle w:val="AERbodytext"/>
      </w:pPr>
      <w:r>
        <w:t>Moreover, given the statements from SFG quoted above, SFG appeared to suggest that gamma represents the increase in the stock price due to imputation credits, expressed as a proportion of the face value of imputation credits.</w:t>
      </w:r>
    </w:p>
    <w:p w:rsidR="001E32C9" w:rsidRDefault="001E32C9" w:rsidP="001E32C9">
      <w:pPr>
        <w:pStyle w:val="AERbodytext"/>
      </w:pPr>
      <w:r>
        <w:t>However, the expression for gamma presented by SFG omits a parameter. When one subtracts:</w:t>
      </w:r>
    </w:p>
    <w:p w:rsidR="001E32C9" w:rsidRPr="00E50088" w:rsidRDefault="00115D92"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from:</w:t>
      </w:r>
    </w:p>
    <w:p w:rsidR="001E32C9" w:rsidRPr="00E50088" w:rsidRDefault="00115D92"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w</m:t>
            </m:r>
            <m:r>
              <w:rPr>
                <w:rFonts w:ascii="Cambria Math" w:eastAsiaTheme="minorEastAsia" w:hAnsi="Cambria Math"/>
              </w:rPr>
              <m:t>ith</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the resulting expression is actually:</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 xml:space="preserve">That is, SFG's expression omits the return on equity from the numerator. To understand the significance of this omission, recall from section </w:t>
      </w:r>
      <w:r>
        <w:fldChar w:fldCharType="begin"/>
      </w:r>
      <w:r>
        <w:instrText xml:space="preserve"> REF _Ref400965182 \r \h </w:instrText>
      </w:r>
      <w:r>
        <w:fldChar w:fldCharType="separate"/>
      </w:r>
      <w:r w:rsidR="00927273">
        <w:t>A.5</w:t>
      </w:r>
      <w:r>
        <w:fldChar w:fldCharType="end"/>
      </w:r>
      <w:r>
        <w:t xml:space="preserve"> that the Officer framework is a perpetuity framework and consider the general expression for the present value of a perpetuity:</w:t>
      </w:r>
      <w:r>
        <w:rPr>
          <w:rStyle w:val="FootnoteReference"/>
        </w:rPr>
        <w:footnoteReference w:id="145"/>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num>
          <m:den>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den>
        </m:f>
      </m:oMath>
    </w:p>
    <w:p w:rsidR="001E32C9" w:rsidRDefault="001E32C9" w:rsidP="001E32C9">
      <w:pPr>
        <w:pStyle w:val="AERbodytext"/>
      </w:pPr>
      <w:r>
        <w:t xml:space="preserve">Rearranging this expression, it is true also that: </w:t>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r>
          <m:rPr>
            <m:sty m:val="p"/>
          </m:rPr>
          <w:rPr>
            <w:rFonts w:ascii="Cambria Math" w:hAnsi="Cambria Math"/>
          </w:rPr>
          <m:t>=</m:t>
        </m:r>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oMath>
    </w:p>
    <w:p w:rsidR="001E32C9" w:rsidRDefault="001E32C9" w:rsidP="001E32C9">
      <w:pPr>
        <w:pStyle w:val="AERbodytext"/>
      </w:pPr>
      <w:r>
        <w:t>Relating the present value expression to the formulas in Officer, we note that:</w:t>
      </w:r>
    </w:p>
    <w:p w:rsidR="001E32C9" w:rsidRDefault="00115D92" w:rsidP="001E32C9">
      <w:pPr>
        <w:pStyle w:val="AERbulletlistfirststyle"/>
      </w:pPr>
      <m:oMath>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and </w:t>
      </w:r>
      <m:oMath>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rPr>
          <w:rStyle w:val="AERsubscript"/>
        </w:rPr>
        <w:t xml:space="preserve"> </w:t>
      </w:r>
      <w:r w:rsidR="001E32C9">
        <w:t>are present values, and</w:t>
      </w:r>
    </w:p>
    <w:p w:rsidR="001E32C9" w:rsidRDefault="00115D92"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1E32C9">
        <w:rPr>
          <w:rStyle w:val="AERsubscript"/>
        </w:rPr>
        <w:t xml:space="preserve"> </w:t>
      </w:r>
      <w:r w:rsidR="001E32C9">
        <w:t>is the discount rate per period.</w:t>
      </w:r>
    </w:p>
    <w:p w:rsidR="001E32C9" w:rsidRPr="005657CB" w:rsidRDefault="001E32C9" w:rsidP="001E32C9">
      <w:pPr>
        <w:pStyle w:val="AERbodytext"/>
      </w:pPr>
      <w:r>
        <w:t xml:space="preserve">Therefore, </w:t>
      </w:r>
      <w:r w:rsidRPr="005657CB">
        <w:t>because a present value multiplied by a discount rate equals a cash flow, we can say that:</w:t>
      </w:r>
    </w:p>
    <w:p w:rsidR="001E32C9" w:rsidRDefault="00115D92"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is the cash flow per period to investors from equity with imputation credits, and</w:t>
      </w:r>
    </w:p>
    <w:p w:rsidR="001E32C9" w:rsidRDefault="00115D92"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t xml:space="preserve"> is </w:t>
      </w:r>
      <w:r w:rsidR="001E32C9" w:rsidRPr="00291E25">
        <w:t>the cash flow per period to investors from equity with</w:t>
      </w:r>
      <w:r w:rsidR="001E32C9">
        <w:t>out</w:t>
      </w:r>
      <w:r w:rsidR="001E32C9" w:rsidRPr="00291E25">
        <w:t xml:space="preserve"> imputation credits</w:t>
      </w:r>
      <w:r w:rsidR="001E32C9">
        <w:t>.</w:t>
      </w:r>
    </w:p>
    <w:p w:rsidR="001E32C9" w:rsidRDefault="001E32C9" w:rsidP="001E32C9">
      <w:pPr>
        <w:pStyle w:val="AERbodytext"/>
      </w:pPr>
      <w:r>
        <w:t>Recall that the corrected expression for gamma is:</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The numerator in the corrected expression for gamma is the difference between:</w:t>
      </w:r>
    </w:p>
    <w:p w:rsidR="001E32C9" w:rsidRDefault="001E32C9" w:rsidP="001E32C9">
      <w:pPr>
        <w:pStyle w:val="AERbulletlistfirststyle"/>
      </w:pPr>
      <w:r w:rsidRPr="007E66AC">
        <w:t>the cash flow per period to investors from equity with imputation credits, and</w:t>
      </w:r>
    </w:p>
    <w:p w:rsidR="001E32C9" w:rsidRDefault="001E32C9" w:rsidP="001E32C9">
      <w:pPr>
        <w:pStyle w:val="AERbulletlistfirststyle"/>
      </w:pPr>
      <w:r w:rsidRPr="007E66AC">
        <w:t>the cash flow per period to investors from equity without imputation credits.</w:t>
      </w:r>
      <w:r>
        <w:t xml:space="preserve"> </w:t>
      </w:r>
    </w:p>
    <w:p w:rsidR="001E32C9" w:rsidRDefault="001E32C9" w:rsidP="001E32C9">
      <w:pPr>
        <w:pStyle w:val="AERbodytext"/>
      </w:pPr>
      <w:r>
        <w:t>Therefore, the numerator is equal to the cash flow per period to investors from imputation credits alone. That is:</w:t>
      </w:r>
    </w:p>
    <w:p w:rsidR="001E32C9" w:rsidRPr="00291E25"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IC</m:t>
            </m:r>
          </m:den>
        </m:f>
      </m:oMath>
    </w:p>
    <w:p w:rsidR="001E32C9" w:rsidRDefault="001E32C9" w:rsidP="001E32C9">
      <w:pPr>
        <w:pStyle w:val="AERbodytext"/>
      </w:pPr>
      <w:r>
        <w:t xml:space="preserve">Moreover, note that </w:t>
      </w:r>
      <m:oMath>
        <m:r>
          <w:rPr>
            <w:rFonts w:ascii="Cambria Math" w:hAnsi="Cambria Math"/>
          </w:rPr>
          <m:t>IC</m:t>
        </m:r>
      </m:oMath>
      <w:r w:rsidDel="00EC2C62">
        <w:t xml:space="preserve"> </w:t>
      </w:r>
      <w:r>
        <w:t xml:space="preserve">(the amount of imputation credits generated) is equal to </w:t>
      </w:r>
      <m:oMath>
        <m:r>
          <w:rPr>
            <w:rFonts w:ascii="Cambria Math" w:eastAsiaTheme="minorEastAsia" w:hAnsi="Cambria Math"/>
          </w:rPr>
          <m:t>TAX</m:t>
        </m:r>
      </m:oMath>
      <w:r w:rsidDel="00EC2C62">
        <w:t xml:space="preserve"> </w:t>
      </w:r>
      <w:r>
        <w:t>(corporate tax paid) in this expression because a company generates one dollar of imputation credit for each dollar of corporate tax paid and the Officer framework assumes all imputation credits are paid out. Therefore:</w:t>
      </w:r>
    </w:p>
    <w:p w:rsidR="001E32C9" w:rsidRPr="005657CB" w:rsidRDefault="001E32C9" w:rsidP="001E32C9">
      <w:pPr>
        <w:pStyle w:val="AERbodytext"/>
      </w:pPr>
      <w:r w:rsidRPr="005657CB">
        <w:t xml:space="preserve"> </w:t>
      </w:r>
      <m:oMath>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TAX</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Corporate</m:t>
            </m:r>
            <m:r>
              <m:rPr>
                <m:sty m:val="p"/>
              </m:rPr>
              <w:rPr>
                <w:rFonts w:ascii="Cambria Math" w:hAnsi="Cambria Math"/>
              </w:rPr>
              <m:t xml:space="preserve"> </m:t>
            </m:r>
            <m:r>
              <w:rPr>
                <w:rFonts w:ascii="Cambria Math" w:hAnsi="Cambria Math"/>
              </w:rPr>
              <m:t>tax</m:t>
            </m:r>
            <m:r>
              <m:rPr>
                <m:sty m:val="p"/>
              </m:rPr>
              <w:rPr>
                <w:rFonts w:ascii="Cambria Math" w:hAnsi="Cambria Math"/>
              </w:rPr>
              <m:t xml:space="preserve"> </m:t>
            </m:r>
            <m:r>
              <w:rPr>
                <w:rFonts w:ascii="Cambria Math" w:hAnsi="Cambria Math"/>
              </w:rPr>
              <m:t>paid</m:t>
            </m:r>
          </m:den>
        </m:f>
      </m:oMath>
      <w:r w:rsidRPr="005657CB">
        <w:t xml:space="preserve"> </w:t>
      </w:r>
    </w:p>
    <w:p w:rsidR="001E32C9" w:rsidRPr="005657CB" w:rsidRDefault="001E32C9" w:rsidP="001E32C9">
      <w:pPr>
        <w:pStyle w:val="AERbodytext"/>
      </w:pPr>
      <w:r>
        <w:t>T</w:t>
      </w:r>
      <w:r w:rsidRPr="005657CB">
        <w:t>he cash flow to investors from imputation credits is the reduction in tax or refund they receive through utilising imputation credits. Therefore, this expression accords with our interpretation of gamma as the proportion of company tax returned to investors through the utilisation of imputation credits.</w:t>
      </w:r>
    </w:p>
    <w:p w:rsidR="001E32C9" w:rsidRDefault="001E32C9" w:rsidP="001E32C9">
      <w:pPr>
        <w:pStyle w:val="Heading9"/>
        <w:numPr>
          <w:ilvl w:val="6"/>
          <w:numId w:val="57"/>
        </w:numPr>
      </w:pPr>
      <w:bookmarkStart w:id="84" w:name="_Toc404334882"/>
      <w:r>
        <w:t>SFG's comments on the Monkhouse framework</w:t>
      </w:r>
      <w:bookmarkEnd w:id="84"/>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we consider that:</w:t>
      </w:r>
    </w:p>
    <w:p w:rsidR="001E32C9" w:rsidRDefault="001E32C9" w:rsidP="001E32C9">
      <w:pPr>
        <w:pStyle w:val="AERbulletlistfirststyle"/>
      </w:pPr>
      <w:r>
        <w:t>The Officer framework provides the basis for the value of imputation credits adjustment in the rules.</w:t>
      </w:r>
    </w:p>
    <w:p w:rsidR="001E32C9" w:rsidRDefault="001E32C9" w:rsidP="001E32C9">
      <w:pPr>
        <w:pStyle w:val="AERbulletlistfirststyle"/>
      </w:pPr>
      <w:r>
        <w:t>Monkhouse extends the Officer framework to a non-perpetuity setting, and shows that—assuming retained credits have no value—gamma from the Officer framework effectively equals the product of the distribution rate and the utilisation rate (which is represented by the Greek letter theta).</w:t>
      </w:r>
    </w:p>
    <w:p w:rsidR="001E32C9" w:rsidRDefault="001E32C9" w:rsidP="001E32C9">
      <w:pPr>
        <w:pStyle w:val="AERbodytext"/>
      </w:pPr>
      <w:r>
        <w:t>SFG provided a discussion of the class of CAPM employed by Monkhouse (and related literature).</w:t>
      </w:r>
      <w:r>
        <w:rPr>
          <w:rStyle w:val="FootnoteReference"/>
        </w:rPr>
        <w:footnoteReference w:id="146"/>
      </w:r>
      <w:r>
        <w:t xml:space="preserve"> SFG concluded that our recognition of foreign investors breaches the assumptions of this class of CAPM, and therefore we cannot estimate the value of imputation credits using the definition of theta in equilibrium from the Monkhouse framework:</w:t>
      </w:r>
      <w:r>
        <w:rPr>
          <w:rStyle w:val="FootnoteReference"/>
        </w:rPr>
        <w:footnoteReference w:id="147"/>
      </w:r>
    </w:p>
    <w:p w:rsidR="001E32C9" w:rsidRDefault="001E32C9" w:rsidP="001E32C9">
      <w:pPr>
        <w:pStyle w:val="AERquote"/>
      </w:pPr>
      <w:r>
        <w:t xml:space="preserve">This is not a closed system because it is not the case that the </w:t>
      </w:r>
      <w:r w:rsidRPr="00165359">
        <w:rPr>
          <w:rStyle w:val="AERtextitalic"/>
        </w:rPr>
        <w:t>m</w:t>
      </w:r>
      <w:r>
        <w:t xml:space="preserve"> investors collectively own all of the </w:t>
      </w:r>
      <w:r w:rsidRPr="00165359">
        <w:rPr>
          <w:rStyle w:val="AERtextitalic"/>
        </w:rPr>
        <w:t>n</w:t>
      </w:r>
      <w:r>
        <w:t xml:space="preserve"> assets and nothing else. Consequently, no market clearing equilibrium can be derived and it will not be the case that an equilibrium exists in which the value of imputation credits capitalised into the stock price is equal to the weighted-average of the utilisation rates over the </w:t>
      </w:r>
      <w:r w:rsidRPr="00780310">
        <w:rPr>
          <w:rStyle w:val="AERtextitalic"/>
        </w:rPr>
        <w:t>m</w:t>
      </w:r>
      <w:r>
        <w:t xml:space="preserve"> investors.</w:t>
      </w:r>
    </w:p>
    <w:p w:rsidR="001E32C9" w:rsidRDefault="001E32C9" w:rsidP="001E32C9">
      <w:pPr>
        <w:pStyle w:val="AERquote"/>
      </w:pPr>
      <w:r>
        <w:t>In the context of these equilibrium models, if foreign investors are included, foreign assets must also be included. Alternatively, if foreign assets are not included, foreign investors must be assumed away. If neither of these assumptions is made, no equilibrium model will apply and the weighted-average utilisation rate cannot be used as an estimate of theta.</w:t>
      </w:r>
    </w:p>
    <w:p w:rsidR="001E32C9" w:rsidRDefault="001E32C9" w:rsidP="001E32C9">
      <w:pPr>
        <w:pStyle w:val="AERbodytext"/>
      </w:pPr>
      <w:r>
        <w:t>However, Handley disagreed with SFG's assessment, and advised that our interpretation of theta as the weighted average of the utilisation rates of investors remains reasonable:</w:t>
      </w:r>
      <w:r>
        <w:rPr>
          <w:rStyle w:val="FootnoteReference"/>
        </w:rPr>
        <w:footnoteReference w:id="148"/>
      </w:r>
    </w:p>
    <w:p w:rsidR="001E32C9" w:rsidRDefault="001E32C9" w:rsidP="001E32C9">
      <w:pPr>
        <w:pStyle w:val="AERquote"/>
      </w:pPr>
      <w:r w:rsidRPr="006D0F1A">
        <w:t xml:space="preserve">SFG’s comments are based on a faulty premise – that the </w:t>
      </w:r>
      <w:r w:rsidRPr="006D0F1A">
        <w:rPr>
          <w:rStyle w:val="AERtextitalic"/>
        </w:rPr>
        <w:t>m</w:t>
      </w:r>
      <w:r w:rsidRPr="006D0F1A">
        <w:t xml:space="preserve"> investors can own no other</w:t>
      </w:r>
      <w:r>
        <w:t xml:space="preserve"> </w:t>
      </w:r>
      <w:r w:rsidRPr="006D0F1A">
        <w:t>assets. This is an assumption of SFG but is not an assumption of the CAPM. In the</w:t>
      </w:r>
      <w:r>
        <w:t xml:space="preserve"> </w:t>
      </w:r>
      <w:r w:rsidRPr="006D0F1A">
        <w:t>current context, it is not assumed that investors in th</w:t>
      </w:r>
      <w:r>
        <w:t xml:space="preserve">e domestic market hold no other </w:t>
      </w:r>
      <w:r w:rsidRPr="006D0F1A">
        <w:t>assets but rather it is assumed that investors in the</w:t>
      </w:r>
      <w:r>
        <w:t xml:space="preserve"> domestic market price domestic </w:t>
      </w:r>
      <w:r w:rsidRPr="006D0F1A">
        <w:t xml:space="preserve">assets in isolation of any other assets they may or </w:t>
      </w:r>
      <w:r>
        <w:t xml:space="preserve">may not hold. For this purpose, </w:t>
      </w:r>
      <w:r w:rsidRPr="006D0F1A">
        <w:t>investors in the domestic market consist of domestic in</w:t>
      </w:r>
      <w:r>
        <w:t xml:space="preserve">vestors to the extent that they </w:t>
      </w:r>
      <w:r w:rsidRPr="006D0F1A">
        <w:t>hold domestic assets and foreign investors to the extent that they hold domestic assets</w:t>
      </w:r>
      <w:r>
        <w:t xml:space="preserve"> – </w:t>
      </w:r>
      <w:r w:rsidRPr="006D0F1A">
        <w:t xml:space="preserve">this is the set of </w:t>
      </w:r>
      <w:r w:rsidRPr="006D0F1A">
        <w:rPr>
          <w:rStyle w:val="AERtextitalic"/>
        </w:rPr>
        <w:t>n</w:t>
      </w:r>
      <w:r w:rsidRPr="006D0F1A">
        <w:t xml:space="preserve"> assets and the set of </w:t>
      </w:r>
      <w:r w:rsidRPr="006D0F1A">
        <w:rPr>
          <w:rStyle w:val="AERtextitalic"/>
        </w:rPr>
        <w:t>m</w:t>
      </w:r>
      <w:r w:rsidRPr="006D0F1A">
        <w:t xml:space="preserve"> investors who hold those </w:t>
      </w:r>
      <w:r w:rsidRPr="006D0F1A">
        <w:rPr>
          <w:rStyle w:val="AERtextitalic"/>
        </w:rPr>
        <w:t>n</w:t>
      </w:r>
      <w:r>
        <w:t xml:space="preserve"> assets. Foreign </w:t>
      </w:r>
      <w:r w:rsidRPr="006D0F1A">
        <w:t xml:space="preserve">assets held by these domestic investors, foreign assets </w:t>
      </w:r>
      <w:r>
        <w:t xml:space="preserve">held by these foreign investors </w:t>
      </w:r>
      <w:r w:rsidRPr="006D0F1A">
        <w:t xml:space="preserve">and foreign assets held by other foreign investors are outside the model. </w:t>
      </w:r>
      <w:r>
        <w:t xml:space="preserve">If one </w:t>
      </w:r>
      <w:r w:rsidRPr="006D0F1A">
        <w:t>disagrees with this notion of segmentation, then the soluti</w:t>
      </w:r>
      <w:r>
        <w:t xml:space="preserve">on is to bring other assets and </w:t>
      </w:r>
      <w:r w:rsidRPr="006D0F1A">
        <w:t xml:space="preserve">investors into the model – for example, use an </w:t>
      </w:r>
      <w:r>
        <w:t xml:space="preserve">international CAPM which prices </w:t>
      </w:r>
      <w:r w:rsidRPr="006D0F1A">
        <w:t xml:space="preserve">domestic assets relative to an international benchmark rather than relative to </w:t>
      </w:r>
      <w:r>
        <w:t xml:space="preserve">a domestic </w:t>
      </w:r>
      <w:r w:rsidRPr="006D0F1A">
        <w:t>benchmark. SFG’s conclusion that no equilibrium can exist is therefore invalid.</w:t>
      </w:r>
      <w:r>
        <w:t xml:space="preserve"> </w:t>
      </w:r>
    </w:p>
    <w:p w:rsidR="005B4337" w:rsidRPr="005B4337" w:rsidRDefault="001E78D0" w:rsidP="005B4337">
      <w:pPr>
        <w:pStyle w:val="AERbodytext"/>
      </w:pPr>
      <w:r>
        <w:t xml:space="preserve">We use the same definition of the relevant market when estimating both the value of imputation credits and the return on equity. This </w:t>
      </w:r>
      <w:r w:rsidR="00343B68">
        <w:t>accords</w:t>
      </w:r>
      <w:r>
        <w:t xml:space="preserve"> with the rules, which require an estimate of the allowed rate of return that is consistent with the value of imputation credits.</w:t>
      </w:r>
      <w:r>
        <w:rPr>
          <w:rStyle w:val="FootnoteReference"/>
        </w:rPr>
        <w:footnoteReference w:id="149"/>
      </w:r>
      <w:r w:rsidR="005B4337">
        <w:t xml:space="preserve"> </w:t>
      </w:r>
      <w:r w:rsidR="00016398">
        <w:t>As noted in the quote above from</w:t>
      </w:r>
      <w:r w:rsidR="00343B68">
        <w:t xml:space="preserve"> Handley, </w:t>
      </w:r>
      <w:r w:rsidR="002B54D1">
        <w:t>we could</w:t>
      </w:r>
      <w:r w:rsidR="00016398">
        <w:t xml:space="preserve"> alternatively define the market</w:t>
      </w:r>
      <w:r w:rsidR="002B54D1">
        <w:t xml:space="preserve"> </w:t>
      </w:r>
      <w:r w:rsidR="00016398">
        <w:t xml:space="preserve">as </w:t>
      </w:r>
      <w:r w:rsidR="00343B68">
        <w:t>the international market.</w:t>
      </w:r>
      <w:r w:rsidR="002B54D1">
        <w:t xml:space="preserve"> </w:t>
      </w:r>
      <w:r w:rsidR="00343B68">
        <w:t xml:space="preserve">Using this market definition would likely result in a lower value of imputation credits, and therefore </w:t>
      </w:r>
      <w:r w:rsidR="00016398">
        <w:t xml:space="preserve">a </w:t>
      </w:r>
      <w:r w:rsidR="00343B68">
        <w:t xml:space="preserve">higher revenue allowance, because investors </w:t>
      </w:r>
      <w:r w:rsidR="00016398">
        <w:t xml:space="preserve">that value imputation credits (eligible, domestic investors) </w:t>
      </w:r>
      <w:r w:rsidR="00343B68">
        <w:t>make up a small proportion of the global set of investors. However, using an international market definition would also likely lead to a lower return on equity</w:t>
      </w:r>
      <w:r w:rsidR="00016398">
        <w:t xml:space="preserve"> and therefore lower revenue allowance.</w:t>
      </w:r>
      <w:r w:rsidR="00016398">
        <w:rPr>
          <w:rStyle w:val="FootnoteReference"/>
        </w:rPr>
        <w:footnoteReference w:id="150"/>
      </w:r>
      <w:r w:rsidR="00016398">
        <w:t xml:space="preserve"> The net result of these countervailing effects on the revenue allowance is unclear. In any case, we consider that our use of a consistent market definition across our determination of the value of imputation credits and return on equity is important.</w:t>
      </w:r>
    </w:p>
    <w:p w:rsidR="001E32C9" w:rsidRDefault="001E32C9" w:rsidP="001E32C9">
      <w:pPr>
        <w:pStyle w:val="Heading8"/>
        <w:numPr>
          <w:ilvl w:val="5"/>
          <w:numId w:val="57"/>
        </w:numPr>
      </w:pPr>
      <w:bookmarkStart w:id="85" w:name="_Ref401272599"/>
      <w:bookmarkStart w:id="86" w:name="_Toc404334883"/>
      <w:r>
        <w:t>Further issues relating to the utilisation rate</w:t>
      </w:r>
      <w:bookmarkEnd w:id="85"/>
      <w:bookmarkEnd w:id="86"/>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xml:space="preserve">, and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927273">
        <w:t>A.5</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eligible investors have a utilisation rate of 1.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1E32C9" w:rsidRDefault="001E32C9" w:rsidP="001E32C9">
      <w:pPr>
        <w:pStyle w:val="AERbodytext"/>
      </w:pPr>
      <w:r>
        <w:t>In this section we provide further support for our position on the utilisation</w:t>
      </w:r>
      <w:r w:rsidR="007860EF">
        <w:t xml:space="preserve"> rate</w:t>
      </w:r>
      <w:r>
        <w:t>. In particular, we:</w:t>
      </w:r>
    </w:p>
    <w:p w:rsidR="001E32C9" w:rsidRDefault="001E32C9" w:rsidP="001E32C9">
      <w:pPr>
        <w:pStyle w:val="AERbulletlistfirststyle"/>
      </w:pPr>
      <w:r>
        <w:t>explain how our position is consistent with the basis of the building block framework, and</w:t>
      </w:r>
    </w:p>
    <w:p w:rsidR="001E32C9" w:rsidRDefault="001E32C9" w:rsidP="001E32C9">
      <w:pPr>
        <w:pStyle w:val="AERbulletlistfirststyle"/>
      </w:pPr>
      <w:r>
        <w:t>contrast our position with that of the service providers, including with reference to factors they considered should be reflected in the utilisation rate.</w:t>
      </w:r>
    </w:p>
    <w:p w:rsidR="001E32C9" w:rsidRDefault="001E32C9" w:rsidP="001E32C9">
      <w:pPr>
        <w:pStyle w:val="Heading9"/>
        <w:numPr>
          <w:ilvl w:val="6"/>
          <w:numId w:val="57"/>
        </w:numPr>
      </w:pPr>
      <w:bookmarkStart w:id="87" w:name="_Ref401748758"/>
      <w:bookmarkStart w:id="88" w:name="_Toc404334884"/>
      <w:r w:rsidRPr="007968D2">
        <w:t>Consistency</w:t>
      </w:r>
      <w:r>
        <w:t xml:space="preserve"> with the building block framework</w:t>
      </w:r>
      <w:bookmarkEnd w:id="87"/>
      <w:bookmarkEnd w:id="88"/>
    </w:p>
    <w:p w:rsidR="001E32C9" w:rsidRDefault="001E32C9" w:rsidP="001E32C9">
      <w:pPr>
        <w:pStyle w:val="AERbodytext"/>
      </w:pPr>
      <w:r>
        <w:t>To be consistent with the building block framework, the utilisation rate should reflect the before-personal-tax and before-personal-costs value of imputation credits to investors.</w:t>
      </w:r>
      <w:r>
        <w:rPr>
          <w:rStyle w:val="FootnoteReference"/>
        </w:rPr>
        <w:footnoteReference w:id="151"/>
      </w:r>
      <w:r>
        <w:t xml:space="preserve"> Once these factors are excluded, an investor that is eligible to fully utilise imputation credits should value each dollar of imputation credits received at one dollar (that is, have a utilisation rate of 1).</w:t>
      </w:r>
    </w:p>
    <w:p w:rsidR="001E32C9" w:rsidRDefault="001E32C9" w:rsidP="001E32C9">
      <w:pPr>
        <w:pStyle w:val="AERbodytext"/>
      </w:pPr>
      <w:r>
        <w:t>This consideration is supported by Handley's advice on the basis of the regulatory (building block) framework:</w:t>
      </w:r>
      <w:r>
        <w:rPr>
          <w:rStyle w:val="FootnoteReference"/>
        </w:rPr>
        <w:footnoteReference w:id="152"/>
      </w:r>
      <w:r>
        <w:t xml:space="preserve"> </w:t>
      </w:r>
    </w:p>
    <w:p w:rsidR="001E32C9" w:rsidRPr="000F6886" w:rsidRDefault="001E32C9" w:rsidP="001E32C9">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1E32C9" w:rsidRDefault="001E32C9" w:rsidP="001E32C9">
      <w:pPr>
        <w:pStyle w:val="AERbodytext"/>
      </w:pPr>
      <w:r>
        <w:t>Handley also referred specifically to the basis on which the utilisation rate should be estimated:</w:t>
      </w:r>
      <w:r>
        <w:rPr>
          <w:rStyle w:val="FootnoteReference"/>
        </w:rPr>
        <w:footnoteReference w:id="153"/>
      </w:r>
    </w:p>
    <w:p w:rsidR="001E32C9" w:rsidRDefault="001E32C9" w:rsidP="001E32C9">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1E32C9" w:rsidRDefault="001E32C9" w:rsidP="001E32C9">
      <w:pPr>
        <w:pStyle w:val="AERbodytext"/>
      </w:pPr>
      <w:r>
        <w:t xml:space="preserve">The service providers did not address in their proposals these aspects of the building block framework and their implications for interpreting and estimating the utilisation rate (which the service providers defined as 'the value of distributed imputation credits to investors who receive them' and which they labelled 'theta'). As stated above, we consider that to be consistent with the building block framework the utilisation rate should reflect the before-personal-tax and before-personal-costs value of imputation credits to investors. However, the service providers' interpretation does not appear to be consistent with this definition, and this is best seen with reference to the assessment in section </w:t>
      </w:r>
      <w:r>
        <w:fldChar w:fldCharType="begin"/>
      </w:r>
      <w:r>
        <w:instrText xml:space="preserve"> REF _Ref400971678 \r \h </w:instrText>
      </w:r>
      <w:r>
        <w:fldChar w:fldCharType="separate"/>
      </w:r>
      <w:r w:rsidR="00927273">
        <w:t>A.7.2</w:t>
      </w:r>
      <w:r>
        <w:fldChar w:fldCharType="end"/>
      </w:r>
      <w:r>
        <w:t xml:space="preserve"> of some of the factors that the service providers consider should be reflected in an estimate of 'theta'. </w:t>
      </w:r>
    </w:p>
    <w:p w:rsidR="001E32C9" w:rsidRDefault="001E32C9" w:rsidP="001E32C9">
      <w:pPr>
        <w:pStyle w:val="Heading9"/>
        <w:numPr>
          <w:ilvl w:val="6"/>
          <w:numId w:val="57"/>
        </w:numPr>
      </w:pPr>
      <w:bookmarkStart w:id="89" w:name="_Ref400971678"/>
      <w:bookmarkStart w:id="90" w:name="_Toc404334885"/>
      <w:r>
        <w:t>Factors affecting investors' valuation of imputation credits</w:t>
      </w:r>
      <w:bookmarkEnd w:id="89"/>
      <w:bookmarkEnd w:id="90"/>
    </w:p>
    <w:p w:rsidR="001E32C9" w:rsidRDefault="001E32C9" w:rsidP="001E32C9">
      <w:pPr>
        <w:pStyle w:val="AERbodytext"/>
      </w:pPr>
      <w:r>
        <w:t>The service providers submitted that the equity ownership approach, and other measures of the utilisation or redemption of imputation credits</w:t>
      </w:r>
      <w:r w:rsidR="00C1472B">
        <w:t xml:space="preserve"> (such as tax statistics)</w:t>
      </w:r>
      <w:r>
        <w:t>, do not reflect a number of factors which affect investors' valuation of imputation credits.</w:t>
      </w:r>
      <w:r>
        <w:rPr>
          <w:rStyle w:val="FootnoteReference"/>
        </w:rPr>
        <w:footnoteReference w:id="154"/>
      </w:r>
      <w:r>
        <w:t xml:space="preserve"> In support of this, they presented </w:t>
      </w:r>
      <w:r w:rsidR="00AD3769">
        <w:fldChar w:fldCharType="begin"/>
      </w:r>
      <w:r w:rsidR="00AD3769">
        <w:instrText xml:space="preserve"> REF  _Ref402519265 \* Lower \h </w:instrText>
      </w:r>
      <w:r w:rsidR="00AD3769">
        <w:fldChar w:fldCharType="separate"/>
      </w:r>
      <w:r w:rsidR="00927273">
        <w:t xml:space="preserve">figure </w:t>
      </w:r>
      <w:r w:rsidR="005C7F72">
        <w:t>A</w:t>
      </w:r>
      <w:r w:rsidR="00927273">
        <w:noBreakHyphen/>
      </w:r>
      <w:r w:rsidR="00927273">
        <w:rPr>
          <w:noProof/>
        </w:rPr>
        <w:t>1</w:t>
      </w:r>
      <w:r w:rsidR="00AD3769">
        <w:fldChar w:fldCharType="end"/>
      </w:r>
      <w:r>
        <w:t xml:space="preserve"> to illustrate the effect of these factors.</w:t>
      </w:r>
    </w:p>
    <w:p w:rsidR="001E32C9" w:rsidRDefault="001E32C9" w:rsidP="001E32C9">
      <w:pPr>
        <w:pStyle w:val="Caption"/>
      </w:pPr>
      <w:bookmarkStart w:id="91" w:name="_Ref402519265"/>
      <w:r>
        <w:t xml:space="preserve">Figure </w:t>
      </w:r>
      <w:r w:rsidR="005C7F72">
        <w:t>A</w:t>
      </w:r>
      <w:r w:rsidR="00DC50AF">
        <w:noBreakHyphen/>
      </w:r>
      <w:r w:rsidR="00115D92">
        <w:fldChar w:fldCharType="begin"/>
      </w:r>
      <w:r w:rsidR="00115D92">
        <w:instrText xml:space="preserve"> SEQ Figure \* ARABIC \s 1 </w:instrText>
      </w:r>
      <w:r w:rsidR="00115D92">
        <w:fldChar w:fldCharType="separate"/>
      </w:r>
      <w:r w:rsidR="00927273">
        <w:rPr>
          <w:noProof/>
        </w:rPr>
        <w:t>1</w:t>
      </w:r>
      <w:r w:rsidR="00115D92">
        <w:rPr>
          <w:noProof/>
        </w:rPr>
        <w:fldChar w:fldCharType="end"/>
      </w:r>
      <w:bookmarkEnd w:id="91"/>
      <w:r>
        <w:tab/>
        <w:t>Illustrative impact on value of imputation credits – numbers</w:t>
      </w:r>
    </w:p>
    <w:p w:rsidR="001E32C9" w:rsidRDefault="001E32C9" w:rsidP="001E32C9">
      <w:pPr>
        <w:pStyle w:val="AERtablesource"/>
      </w:pPr>
      <w:r w:rsidRPr="001E32C9">
        <w:rPr>
          <w:noProof/>
          <w:lang w:eastAsia="en-AU"/>
        </w:rPr>
        <w:drawing>
          <wp:inline distT="0" distB="0" distL="0" distR="0" wp14:anchorId="33339DB6" wp14:editId="5E362EF3">
            <wp:extent cx="5328000" cy="34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8000" cy="3481200"/>
                    </a:xfrm>
                    <a:prstGeom prst="rect">
                      <a:avLst/>
                    </a:prstGeom>
                    <a:noFill/>
                    <a:ln>
                      <a:noFill/>
                    </a:ln>
                  </pic:spPr>
                </pic:pic>
              </a:graphicData>
            </a:graphic>
          </wp:inline>
        </w:drawing>
      </w:r>
    </w:p>
    <w:p w:rsidR="001E32C9" w:rsidRPr="00515364" w:rsidRDefault="001E32C9" w:rsidP="001E32C9">
      <w:pPr>
        <w:pStyle w:val="AERtablesource"/>
      </w:pPr>
      <w:r>
        <w:t xml:space="preserve">Source: </w:t>
      </w:r>
      <w:r>
        <w:tab/>
        <w:t>Service providers' proposals.</w:t>
      </w:r>
    </w:p>
    <w:p w:rsidR="00C1472B" w:rsidRDefault="00C1472B" w:rsidP="001E32C9">
      <w:pPr>
        <w:pStyle w:val="AERbodytext"/>
      </w:pPr>
      <w:r>
        <w:t>This chart appears</w:t>
      </w:r>
      <w:r w:rsidR="005D3206">
        <w:t xml:space="preserve"> to be an attempt to reconcile the utilisation or redemption value of imputation credits with the estimates derived from SFG's dividend drop off study. This is because, after adjusting the face value of distributed credits for a number of factors, it results in a value of approximately 0.35, which is SFG's dividend drop off estimate.</w:t>
      </w:r>
    </w:p>
    <w:p w:rsidR="001E32C9" w:rsidRDefault="001E32C9" w:rsidP="001E32C9">
      <w:pPr>
        <w:pStyle w:val="AERbodytext"/>
      </w:pPr>
      <w:r>
        <w:t xml:space="preserve">We address each of these factors in turn below. In summary, we consider that such factors are either immaterial or should not be accounted for when estimating the properly defined utilisation rate. Accordingly, we consider that the evidence does not support the illustrative impact of some of these factors as indicated by </w:t>
      </w:r>
      <w:r w:rsidR="00AD3769">
        <w:fldChar w:fldCharType="begin"/>
      </w:r>
      <w:r w:rsidR="00AD3769">
        <w:instrText xml:space="preserve"> REF  _Ref402519265 \* Lower \h </w:instrText>
      </w:r>
      <w:r w:rsidR="00AD3769">
        <w:fldChar w:fldCharType="separate"/>
      </w:r>
      <w:r w:rsidR="00927273">
        <w:t xml:space="preserve">figure </w:t>
      </w:r>
      <w:r w:rsidR="00927273">
        <w:rPr>
          <w:noProof/>
        </w:rPr>
        <w:t>4</w:t>
      </w:r>
      <w:r w:rsidR="00927273">
        <w:noBreakHyphen/>
      </w:r>
      <w:r w:rsidR="00927273">
        <w:rPr>
          <w:noProof/>
        </w:rPr>
        <w:t>1</w:t>
      </w:r>
      <w:r w:rsidR="00AD3769">
        <w:fldChar w:fldCharType="end"/>
      </w:r>
      <w:r>
        <w:t>.</w:t>
      </w:r>
    </w:p>
    <w:p w:rsidR="001E32C9" w:rsidRDefault="001E32C9" w:rsidP="001E32C9">
      <w:pPr>
        <w:pStyle w:val="HeadingBoldBlue"/>
      </w:pPr>
      <w:r>
        <w:t>The 45-day holding rule</w:t>
      </w:r>
    </w:p>
    <w:p w:rsidR="001E32C9" w:rsidRDefault="001E32C9" w:rsidP="001E32C9">
      <w:pPr>
        <w:pStyle w:val="AERbodytext"/>
      </w:pPr>
      <w:r>
        <w:t>To be eligible to utilise imputation credits, an otherwise-eligible investor must have held the</w:t>
      </w:r>
      <w:r w:rsidRPr="0026243E">
        <w:t xml:space="preserve"> shares</w:t>
      </w:r>
      <w:r>
        <w:t xml:space="preserve"> that distributed </w:t>
      </w:r>
      <w:r w:rsidR="001F3F83">
        <w:t>the credits</w:t>
      </w:r>
      <w:r w:rsidRPr="0026243E">
        <w:t xml:space="preserve"> ‘at risk’ for at least 45 days (90 days for certain preference shares)</w:t>
      </w:r>
      <w:r>
        <w:t>.</w:t>
      </w:r>
      <w:r>
        <w:rPr>
          <w:rStyle w:val="FootnoteReference"/>
        </w:rPr>
        <w:footnoteReference w:id="155"/>
      </w:r>
      <w:r>
        <w:t xml:space="preserve"> However, this rule does not apply </w:t>
      </w:r>
      <w:r w:rsidRPr="00FD3209">
        <w:t xml:space="preserve">if </w:t>
      </w:r>
      <w:r>
        <w:t>the investor's</w:t>
      </w:r>
      <w:r w:rsidRPr="00FD3209">
        <w:t xml:space="preserve"> total credit entitlement is below $5,000</w:t>
      </w:r>
      <w:r>
        <w:t xml:space="preserve">. </w:t>
      </w:r>
    </w:p>
    <w:p w:rsidR="001E32C9" w:rsidRDefault="001E32C9" w:rsidP="001E32C9">
      <w:pPr>
        <w:pStyle w:val="AERbodytext"/>
      </w:pPr>
      <w:r>
        <w:t>The service providers stated:</w:t>
      </w:r>
      <w:r>
        <w:rPr>
          <w:rStyle w:val="FootnoteReference"/>
        </w:rPr>
        <w:footnoteReference w:id="156"/>
      </w:r>
    </w:p>
    <w:p w:rsidR="001E32C9" w:rsidRDefault="001E32C9" w:rsidP="001E32C9">
      <w:pPr>
        <w:pStyle w:val="AERquote"/>
      </w:pPr>
      <w:r>
        <w:t>It has been estimated that the 45-day rule has about a 5-10% impact on the redemption rate.</w:t>
      </w:r>
    </w:p>
    <w:p w:rsidR="001E32C9" w:rsidRDefault="001E32C9" w:rsidP="001E32C9">
      <w:pPr>
        <w:pStyle w:val="AERbodytext"/>
      </w:pPr>
      <w:r>
        <w:t>The source of this estimate is a 2010 paper by Handley. The relevant passage from this paper is:</w:t>
      </w:r>
      <w:r>
        <w:rPr>
          <w:rStyle w:val="FootnoteReference"/>
        </w:rPr>
        <w:footnoteReference w:id="157"/>
      </w:r>
    </w:p>
    <w:p w:rsidR="001E32C9" w:rsidRDefault="001E32C9" w:rsidP="001E32C9">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rsidR="005D3206">
        <w:t xml:space="preserve"> </w:t>
      </w:r>
      <w:r w:rsidRPr="00E23E1D">
        <w:t>5-10% impact on the utilisation rate.</w:t>
      </w:r>
    </w:p>
    <w:p w:rsidR="004D5B83" w:rsidRDefault="001E32C9" w:rsidP="001E32C9">
      <w:pPr>
        <w:pStyle w:val="AERbodytext"/>
      </w:pPr>
      <w:r>
        <w:t xml:space="preserve">Thus, the ultimate source of the estimate is Handley and Maheswaran's 2008 paper. However, it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58"/>
      </w:r>
    </w:p>
    <w:p w:rsidR="001E32C9" w:rsidRDefault="005D3206" w:rsidP="001E32C9">
      <w:pPr>
        <w:pStyle w:val="AERbodytext"/>
      </w:pPr>
      <w:r>
        <w:t xml:space="preserve">It is also appears from the above quote that Handley and Maheswaran considered that, if anything, </w:t>
      </w:r>
      <w:r w:rsidR="004D5B83">
        <w:t>the</w:t>
      </w:r>
      <w:r w:rsidR="00065E24">
        <w:t xml:space="preserve"> 5 to </w:t>
      </w:r>
      <w:r>
        <w:t xml:space="preserve">10 per cent </w:t>
      </w:r>
      <w:r w:rsidR="004D5B83">
        <w:t xml:space="preserve">estimate </w:t>
      </w:r>
      <w:r>
        <w:t xml:space="preserve">would be an overestimate of the impact of the 45 day rule. This is because they attribute the full underutilisation </w:t>
      </w:r>
      <w:r w:rsidR="004D5B83">
        <w:t>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1E32C9" w:rsidRDefault="001E32C9" w:rsidP="001E32C9">
      <w:pPr>
        <w:pStyle w:val="AERbodytext"/>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59"/>
      </w:r>
      <w:r>
        <w:t xml:space="preserve"> We know that the amount of imputation credits attached to a dollar of fully franked dividends is $0.43 ($1 x 0.3/(1–0.3)).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008252DC">
        <w:fldChar w:fldCharType="begin"/>
      </w:r>
      <w:r w:rsidR="008252DC">
        <w:instrText xml:space="preserve"> REF _Ref400609043 \h </w:instrText>
      </w:r>
      <w:r w:rsidR="008252DC">
        <w:fldChar w:fldCharType="separate"/>
      </w:r>
      <w:r w:rsidR="008252DC" w:rsidRPr="009421A7">
        <w:t xml:space="preserve">Table </w:t>
      </w:r>
      <w:r w:rsidR="008252DC">
        <w:t>A</w:t>
      </w:r>
      <w:r w:rsidR="008252DC">
        <w:noBreakHyphen/>
        <w:t>4</w:t>
      </w:r>
      <w:r w:rsidR="008252DC">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00BF3A09">
        <w:rPr>
          <w:rStyle w:val="FootnoteReference"/>
        </w:rPr>
        <w:footnoteReference w:id="160"/>
      </w:r>
      <w:r>
        <w:t xml:space="preserve"> This suggests that the 45-day holding rule is not having a material effect.</w:t>
      </w:r>
    </w:p>
    <w:p w:rsidR="001E32C9" w:rsidRDefault="001E32C9" w:rsidP="001E32C9">
      <w:pPr>
        <w:pStyle w:val="Caption"/>
      </w:pPr>
      <w:bookmarkStart w:id="92" w:name="_Ref401848641"/>
      <w:r>
        <w:t xml:space="preserve">Table </w:t>
      </w:r>
      <w:r w:rsidR="008252DC">
        <w:t>A</w:t>
      </w:r>
      <w:r w:rsidR="00C20561">
        <w:noBreakHyphen/>
      </w:r>
      <w:r w:rsidR="008252DC">
        <w:t>4</w:t>
      </w:r>
      <w:bookmarkEnd w:id="92"/>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p>
        </w:tc>
        <w:tc>
          <w:tcPr>
            <w:tcW w:w="2712" w:type="dxa"/>
          </w:tcPr>
          <w:p w:rsidR="001E32C9"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1E32C9"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Superannuation funds</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r>
              <w:t>Fully franked dividends received</w:t>
            </w:r>
          </w:p>
        </w:tc>
        <w:tc>
          <w:tcPr>
            <w:tcW w:w="2712"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84.8</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Pr="005646B3" w:rsidRDefault="001E32C9" w:rsidP="001E32C9">
            <w:pPr>
              <w:pStyle w:val="AERbodytext"/>
              <w:rPr>
                <w:rStyle w:val="AERtextitalic"/>
              </w:rPr>
            </w:pPr>
            <w:r w:rsidRPr="005646B3">
              <w:rPr>
                <w:rStyle w:val="AERtextitalic"/>
              </w:rPr>
              <w:t>Implied imputation credits received</w:t>
            </w:r>
          </w:p>
        </w:tc>
        <w:tc>
          <w:tcPr>
            <w:tcW w:w="2712"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r>
              <w:t>Imputation credits utilised</w:t>
            </w:r>
          </w:p>
        </w:tc>
        <w:tc>
          <w:tcPr>
            <w:tcW w:w="2712"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36.2</w:t>
            </w:r>
          </w:p>
        </w:tc>
      </w:tr>
    </w:tbl>
    <w:p w:rsidR="001E32C9" w:rsidRDefault="001E32C9" w:rsidP="001E32C9">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1E32C9" w:rsidRDefault="001E32C9" w:rsidP="001E32C9">
      <w:pPr>
        <w:pStyle w:val="AERbodytext"/>
      </w:pPr>
      <w:r>
        <w:t>Based on these considerations, we conclude that the 45-day holding rule does not appear to have a material effect on the utilisation rate.</w:t>
      </w:r>
    </w:p>
    <w:p w:rsidR="001E32C9" w:rsidRDefault="001E32C9" w:rsidP="001E32C9">
      <w:pPr>
        <w:pStyle w:val="HeadingBoldBlue"/>
      </w:pPr>
      <w:bookmarkStart w:id="93" w:name="_Ref400540858"/>
      <w:r>
        <w:t>Transactions costs</w:t>
      </w:r>
      <w:bookmarkEnd w:id="93"/>
    </w:p>
    <w:p w:rsidR="001E32C9" w:rsidRDefault="001E32C9" w:rsidP="001E32C9">
      <w:pPr>
        <w:pStyle w:val="AERbodytext"/>
      </w:pPr>
      <w:r>
        <w:t>The service providers submitted that the redemption of imputation credits may involve transactions costs, such as requirements to keep records and follow administrative processes.</w:t>
      </w:r>
      <w:r>
        <w:rPr>
          <w:rStyle w:val="FootnoteReference"/>
        </w:rPr>
        <w:footnoteReference w:id="161"/>
      </w:r>
      <w:r>
        <w:t xml:space="preserve"> The service providers also submitted that these transactions costs may dissuade some investors from redeeming (utilising) imputation credits.</w:t>
      </w:r>
    </w:p>
    <w:p w:rsidR="001E32C9" w:rsidRDefault="001E32C9" w:rsidP="001E32C9">
      <w:pPr>
        <w:pStyle w:val="AERbodytext"/>
      </w:pPr>
      <w:r>
        <w:t>We first note that the service providers' suggestion is slightly different to remarks made by SFG on this topic in its advice to the service providers. SFG stated:</w:t>
      </w:r>
      <w:r>
        <w:rPr>
          <w:rStyle w:val="FootnoteReference"/>
        </w:rPr>
        <w:footnoteReference w:id="162"/>
      </w:r>
    </w:p>
    <w:p w:rsidR="001E32C9" w:rsidRDefault="001E32C9" w:rsidP="001E32C9">
      <w:pPr>
        <w:pStyle w:val="AERquote"/>
      </w:pPr>
      <w:r w:rsidRPr="001D5018">
        <w:t>There are administrative costs involved in the redemption of imputation credits. The investor must maintain records of all credits that are received and redeem them by preparing the necessary schedules for the investor’s tax return. This involves time and expenses such as accountant fees. By contrast, when an investor buys shares, they provide bank account details and all dividends are automatically transferred into that account without any action required of the investor. That is, it is more costly to conver</w:t>
      </w:r>
      <w:r>
        <w:t>t imputation credits into value;</w:t>
      </w:r>
    </w:p>
    <w:p w:rsidR="001E32C9" w:rsidRDefault="001E32C9" w:rsidP="001E32C9">
      <w:pPr>
        <w:pStyle w:val="AERbodytext"/>
      </w:pPr>
      <w:r>
        <w:t>SFG did not suggest that transactions costs dissuade investors from redemption, and that it is for this reason they should be recognised when estimating the investors' valuation of imputation credits. Instead, SFG appeared to suggest that it is the transactions costs themselves that need to be accounted for. However, Handley advised that we specifically do not want to take account of these costs:</w:t>
      </w:r>
      <w:r>
        <w:rPr>
          <w:rStyle w:val="FootnoteReference"/>
        </w:rPr>
        <w:footnoteReference w:id="163"/>
      </w:r>
    </w:p>
    <w:p w:rsidR="001E32C9" w:rsidRDefault="001E32C9" w:rsidP="001E32C9">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1E32C9" w:rsidRDefault="001E32C9" w:rsidP="001E32C9">
      <w:pPr>
        <w:pStyle w:val="AERbodytext"/>
      </w:pPr>
      <w:r>
        <w:t>Returning to the service providers' submission, they provide no evidence to support their suggestion that transactions costs dissuade redemption. However, one can consider conceptually whether transactions costs are likely to dissuade a material number of investors from redeeming imputation credits. Our considerations on this are as follows:</w:t>
      </w:r>
    </w:p>
    <w:p w:rsidR="001E32C9" w:rsidRDefault="001E32C9" w:rsidP="001E32C9">
      <w:pPr>
        <w:pStyle w:val="AERbulletlistfirststyle"/>
      </w:pPr>
      <w:r>
        <w:t>When filling out a tax return, one is required to report the franked dividends received and the imputation credits that are eligible to be utilised.</w:t>
      </w:r>
      <w:r>
        <w:rPr>
          <w:rStyle w:val="FootnoteReference"/>
        </w:rPr>
        <w:footnoteReference w:id="164"/>
      </w:r>
    </w:p>
    <w:p w:rsidR="001E32C9" w:rsidRDefault="001E32C9" w:rsidP="001E32C9">
      <w:pPr>
        <w:pStyle w:val="AERbulletlistfirststyle"/>
      </w:pPr>
      <w:r>
        <w:t xml:space="preserve">Investors are already incurring the transactions costs associated with shareholding, and most would also be already incurring the transactions costs associated with completing a tax return. </w:t>
      </w:r>
      <w:r w:rsidR="004D5B83">
        <w:t xml:space="preserve">It does not appear that </w:t>
      </w:r>
      <w:r>
        <w:t>any costs that are incremental to these</w:t>
      </w:r>
      <w:r w:rsidR="004D5B83">
        <w:t>, if any,</w:t>
      </w:r>
      <w:r>
        <w:t xml:space="preserve"> and related specifically to redeeming imputation credits </w:t>
      </w:r>
      <w:r w:rsidR="004D5B83">
        <w:t>w</w:t>
      </w:r>
      <w:r>
        <w:t xml:space="preserve">ould be material enough to dissuade an investor from redemption. This applies particularly to professional </w:t>
      </w:r>
      <w:r w:rsidR="004D5B83">
        <w:t>organisations</w:t>
      </w:r>
      <w:r>
        <w:t xml:space="preserve">, such as charities and superannuation funds, which we expect would utilise all imputation credits as a matter of proper accounting. But we consider it true also of individual investors, particularly when innovations such as 'e-tax' and automatic pre-filling of tax returns </w:t>
      </w:r>
      <w:r w:rsidR="004D5B83">
        <w:t>would</w:t>
      </w:r>
      <w:r>
        <w:t xml:space="preserve"> reduce any incremental costs if they exist.</w:t>
      </w:r>
      <w:r>
        <w:rPr>
          <w:rStyle w:val="FootnoteReference"/>
        </w:rPr>
        <w:footnoteReference w:id="165"/>
      </w:r>
    </w:p>
    <w:p w:rsidR="001E32C9" w:rsidRDefault="001E32C9" w:rsidP="001E32C9">
      <w:pPr>
        <w:pStyle w:val="AERbodytext"/>
      </w:pPr>
      <w:r>
        <w:t>Based on these considerations, we conclude that transactions costs should not be adjusted for in estimating the utilisation rate. And even if an adjustment were to be made, it would have an immaterial effect on the utilisation rate.</w:t>
      </w:r>
    </w:p>
    <w:p w:rsidR="001E32C9" w:rsidRDefault="001E32C9" w:rsidP="001E32C9">
      <w:pPr>
        <w:pStyle w:val="HeadingBoldBlue"/>
      </w:pPr>
      <w:r>
        <w:t>Time value of money</w:t>
      </w:r>
    </w:p>
    <w:p w:rsidR="001E32C9" w:rsidRDefault="001E32C9" w:rsidP="001E32C9">
      <w:pPr>
        <w:pStyle w:val="AERbodytext"/>
      </w:pPr>
      <w:r>
        <w:t>The service providers submitted that the delay between the distribution of an imputation credit and the time at which it is redeemed may be expected to reduce an investor's valuation of the credit.</w:t>
      </w:r>
      <w:r>
        <w:rPr>
          <w:rStyle w:val="FootnoteReference"/>
        </w:rPr>
        <w:footnoteReference w:id="166"/>
      </w:r>
      <w:r>
        <w:t xml:space="preserve"> In response, we note that:</w:t>
      </w:r>
    </w:p>
    <w:p w:rsidR="001E32C9" w:rsidRDefault="001E32C9" w:rsidP="001E32C9">
      <w:pPr>
        <w:pStyle w:val="AERbulletlistfirststyle"/>
      </w:pPr>
      <w:r>
        <w:t>The rules do not indicate that the value of imputation credits should reflect the time delay between the distribution of an imputation credit and the time at which it is redeemed.</w:t>
      </w:r>
    </w:p>
    <w:p w:rsidR="001E32C9" w:rsidRDefault="001E32C9" w:rsidP="001E32C9">
      <w:pPr>
        <w:pStyle w:val="AERbulletlistfirststyle"/>
      </w:pPr>
      <w:r>
        <w:t>We are unaware of any evidence that indicates the average size of this time delay across all investors.</w:t>
      </w:r>
    </w:p>
    <w:p w:rsidR="001E32C9" w:rsidRDefault="001E32C9" w:rsidP="001E32C9">
      <w:pPr>
        <w:pStyle w:val="AERbulletlistfirststyle"/>
      </w:pPr>
      <w:r>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Interest rates on two year Commonwealth Government bonds over 2014 suggest that the appropriate discount rate would be likely less than 3 per cent. Therefore, the magnitude of the adjustment would be quite small.</w:t>
      </w:r>
    </w:p>
    <w:p w:rsidR="001E32C9" w:rsidRDefault="001E32C9" w:rsidP="001E32C9">
      <w:pPr>
        <w:pStyle w:val="AERbodytext"/>
      </w:pPr>
      <w:r>
        <w:t>Handley agreed with the immateriality of any required adjustment for time delay, and noted that time delay:</w:t>
      </w:r>
      <w:r>
        <w:rPr>
          <w:rStyle w:val="FootnoteReference"/>
        </w:rPr>
        <w:footnoteReference w:id="167"/>
      </w:r>
    </w:p>
    <w:p w:rsidR="001E32C9" w:rsidRDefault="001E32C9" w:rsidP="001E32C9">
      <w:pPr>
        <w:pStyle w:val="AERquote"/>
      </w:pPr>
      <w:r>
        <w:t>…is relevant to implied market value studies and tax statistics studies but should be immaterial in most cases and therefore require no adjustment.</w:t>
      </w:r>
    </w:p>
    <w:p w:rsidR="001E32C9" w:rsidRDefault="001E32C9" w:rsidP="001E32C9">
      <w:pPr>
        <w:pStyle w:val="AERbodytext"/>
      </w:pPr>
      <w:r>
        <w:t>Based on these considerations, we conclude that it is reasonable to not adjust any of our estimates of the utilisation rate for the time value of money where this effect is not already accounted for.</w:t>
      </w:r>
    </w:p>
    <w:p w:rsidR="001E32C9" w:rsidRDefault="001E32C9" w:rsidP="001E32C9">
      <w:pPr>
        <w:pStyle w:val="HeadingBoldBlue"/>
      </w:pPr>
      <w:r>
        <w:t>Portfolio effects</w:t>
      </w:r>
    </w:p>
    <w:p w:rsidR="001E32C9" w:rsidRPr="004453AC" w:rsidRDefault="001E32C9" w:rsidP="001E32C9">
      <w:pPr>
        <w:pStyle w:val="AERbodytext"/>
      </w:pPr>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68"/>
      </w:r>
      <w:r>
        <w:t xml:space="preserve"> SFG's advice to the service providers on this topic referred to the 'cost of losing diversification'.</w:t>
      </w:r>
      <w:r>
        <w:rPr>
          <w:rStyle w:val="FootnoteReference"/>
        </w:rPr>
        <w:footnoteReference w:id="169"/>
      </w:r>
      <w:r>
        <w:t xml:space="preserve"> However, as discussed in section </w:t>
      </w:r>
      <w:r>
        <w:fldChar w:fldCharType="begin"/>
      </w:r>
      <w:r>
        <w:instrText xml:space="preserve"> REF _Ref401272599 \r \h </w:instrText>
      </w:r>
      <w:r>
        <w:fldChar w:fldCharType="separate"/>
      </w:r>
      <w:r w:rsidR="00927273">
        <w:t>A.7</w:t>
      </w:r>
      <w:r>
        <w:fldChar w:fldCharType="end"/>
      </w:r>
      <w:r>
        <w:t>,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Therefore, we conclude that it is reasonable to not adjust any of our estimates of the utilisation rate for portfolio effects.</w:t>
      </w:r>
    </w:p>
    <w:p w:rsidR="001E32C9" w:rsidRDefault="001E32C9" w:rsidP="001E32C9">
      <w:pPr>
        <w:pStyle w:val="Heading8"/>
        <w:numPr>
          <w:ilvl w:val="5"/>
          <w:numId w:val="57"/>
        </w:numPr>
      </w:pPr>
      <w:bookmarkStart w:id="94" w:name="_Toc404334886"/>
      <w:r>
        <w:t>Estimation approach considerations</w:t>
      </w:r>
      <w:bookmarkEnd w:id="94"/>
    </w:p>
    <w:p w:rsidR="001E32C9" w:rsidRDefault="001E32C9" w:rsidP="001E32C9">
      <w:pPr>
        <w:pStyle w:val="AERbodytext"/>
      </w:pPr>
      <w:r>
        <w:t xml:space="preserve">Our approach to determining the value of imputation credits involves two considerations that were not proposed in the </w:t>
      </w:r>
      <w:r w:rsidR="0033289B">
        <w:t>Guideline</w:t>
      </w:r>
      <w:r>
        <w:t>. We discuss each below.</w:t>
      </w:r>
    </w:p>
    <w:p w:rsidR="001E32C9" w:rsidRDefault="001E32C9" w:rsidP="001E32C9">
      <w:pPr>
        <w:pStyle w:val="Heading9"/>
        <w:numPr>
          <w:ilvl w:val="6"/>
          <w:numId w:val="57"/>
        </w:numPr>
      </w:pPr>
      <w:bookmarkStart w:id="95" w:name="_Ref401048631"/>
      <w:bookmarkStart w:id="96" w:name="_Toc404334887"/>
      <w:r>
        <w:t>Evidence from all equity or listed equity only</w:t>
      </w:r>
      <w:bookmarkEnd w:id="95"/>
      <w:bookmarkEnd w:id="96"/>
    </w:p>
    <w:p w:rsidR="001E32C9" w:rsidRDefault="001E32C9" w:rsidP="001E32C9">
      <w:pPr>
        <w:pStyle w:val="AERbodytext"/>
      </w:pPr>
      <w:r>
        <w:t>When determining the value of imputation credits, we have regard to evidence from all companies and their investors (all equity) and just listed companies and their investors (listed equity only). There is no consensus on which should be the preferred approach.</w:t>
      </w:r>
    </w:p>
    <w:p w:rsidR="001E32C9" w:rsidRDefault="001E32C9" w:rsidP="001E32C9">
      <w:pPr>
        <w:pStyle w:val="AERbodytext"/>
      </w:pPr>
      <w:r>
        <w:t>We have had regard to experts' comments on the issue. Lally made some comments in support of considering all equity:</w:t>
      </w:r>
      <w:r>
        <w:rPr>
          <w:rStyle w:val="FootnoteReference"/>
        </w:rPr>
        <w:footnoteReference w:id="170"/>
      </w:r>
    </w:p>
    <w:p w:rsidR="001E32C9" w:rsidRDefault="001E32C9" w:rsidP="001E32C9">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1E32C9" w:rsidRDefault="001E32C9" w:rsidP="001E32C9">
      <w:pPr>
        <w:pStyle w:val="AERbodytext"/>
      </w:pPr>
      <w:r>
        <w:t>However, SFG and Handley suggested that evidence from listed equity is more relevant. SFG stated:</w:t>
      </w:r>
      <w:r>
        <w:rPr>
          <w:rStyle w:val="FootnoteReference"/>
        </w:rPr>
        <w:footnoteReference w:id="171"/>
      </w:r>
    </w:p>
    <w:p w:rsidR="001E32C9" w:rsidRDefault="001E32C9" w:rsidP="001E32C9">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1E32C9" w:rsidRDefault="001E32C9" w:rsidP="001E32C9">
      <w:pPr>
        <w:pStyle w:val="AERbodytext"/>
      </w:pPr>
      <w:r>
        <w:t>And Handley stated:</w:t>
      </w:r>
      <w:r>
        <w:rPr>
          <w:rStyle w:val="FootnoteReference"/>
        </w:rPr>
        <w:footnoteReference w:id="172"/>
      </w:r>
    </w:p>
    <w:p w:rsidR="001E32C9" w:rsidRPr="00F4415A" w:rsidRDefault="001E32C9" w:rsidP="001E32C9">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1E32C9" w:rsidRDefault="001E32C9" w:rsidP="001E32C9">
      <w:pPr>
        <w:pStyle w:val="Heading9"/>
        <w:numPr>
          <w:ilvl w:val="6"/>
          <w:numId w:val="57"/>
        </w:numPr>
      </w:pPr>
      <w:bookmarkStart w:id="97" w:name="_Ref403481194"/>
      <w:bookmarkStart w:id="98" w:name="_Toc404334888"/>
      <w:r>
        <w:t>Relationship between the distribution rate and the utilisation rate</w:t>
      </w:r>
      <w:bookmarkEnd w:id="97"/>
      <w:bookmarkEnd w:id="98"/>
    </w:p>
    <w:p w:rsidR="001E32C9" w:rsidRPr="007467FD" w:rsidRDefault="001E32C9" w:rsidP="001E32C9">
      <w:pPr>
        <w:pStyle w:val="AERbodytext"/>
      </w:pPr>
      <w:r w:rsidRPr="007467FD">
        <w:t xml:space="preserve">In the </w:t>
      </w:r>
      <w:r w:rsidR="0033289B">
        <w:t>Guideline</w:t>
      </w:r>
      <w:r w:rsidRPr="007467FD">
        <w:t xml:space="preserve">, we did not recognise the relationship between definitions and estimates of the distribution rate and the utilisation rate. A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1E32C9" w:rsidRPr="007467FD" w:rsidRDefault="001E32C9" w:rsidP="001E32C9">
      <w:pPr>
        <w:pStyle w:val="AERbodytext"/>
      </w:pPr>
      <w:r w:rsidRPr="007467FD">
        <w:t>We consider that this relationship should be recognised when determining estimates of the value of imputation credits. We therefore consider that estimates of the utilisation rate determined with regard to investors in listed equity only should be paired with estimates of the distribution rate that are also determined with regard to listed equity only. Similarly, estimates of the utilisation rate determined with regard to all equity should be paired with estimates of the distribution rate that are also determined with all equity.</w:t>
      </w:r>
    </w:p>
    <w:p w:rsidR="001E32C9" w:rsidRDefault="001E32C9" w:rsidP="001E32C9">
      <w:pPr>
        <w:pStyle w:val="Heading8"/>
        <w:numPr>
          <w:ilvl w:val="5"/>
          <w:numId w:val="57"/>
        </w:numPr>
      </w:pPr>
      <w:bookmarkStart w:id="99" w:name="_Ref401133206"/>
      <w:bookmarkStart w:id="100" w:name="_Toc404334889"/>
      <w:r>
        <w:t>Estimating the distribution rate</w:t>
      </w:r>
      <w:bookmarkEnd w:id="99"/>
      <w:bookmarkEnd w:id="100"/>
    </w:p>
    <w:p w:rsidR="001E32C9" w:rsidRDefault="001E32C9" w:rsidP="001E32C9">
      <w:pPr>
        <w:pStyle w:val="AERbodytext"/>
      </w:pPr>
      <w:r>
        <w:t xml:space="preserve">We consider that the distribution rate is the proportion of imputation credits generated by the benchmark efficient entity that is distributed to investors. We set out our position on the distribution rate in section </w:t>
      </w:r>
      <w:r w:rsidR="00E26BBD">
        <w:fldChar w:fldCharType="begin"/>
      </w:r>
      <w:r w:rsidR="00E26BBD">
        <w:instrText xml:space="preserve"> REF _Ref403482746 \r \h </w:instrText>
      </w:r>
      <w:r w:rsidR="00E26BBD">
        <w:fldChar w:fldCharType="separate"/>
      </w:r>
      <w:r w:rsidR="00927273">
        <w:t>4.4.1</w:t>
      </w:r>
      <w:r w:rsidR="00E26BBD">
        <w:fldChar w:fldCharType="end"/>
      </w:r>
      <w:r>
        <w:t xml:space="preserve"> of attachment</w:t>
      </w:r>
      <w:r w:rsidR="0051580D">
        <w:t xml:space="preserve"> 4</w:t>
      </w:r>
      <w:r>
        <w:t xml:space="preserve">. Consistent with the </w:t>
      </w:r>
      <w:r w:rsidR="0033289B">
        <w:t>Guideline</w:t>
      </w:r>
      <w:r>
        <w:t>,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73"/>
      </w:r>
      <w:r>
        <w:t xml:space="preserve"> Hathaway found a similar estimate for the period 2004 to 2011.</w:t>
      </w:r>
      <w:r>
        <w:rPr>
          <w:rStyle w:val="FootnoteReference"/>
        </w:rPr>
        <w:footnoteReference w:id="174"/>
      </w:r>
      <w:r>
        <w:t xml:space="preserve"> Also using this approach, Handley estimated a distribution rate across listed equity only of 0.8 for the period 1987 to 2011.</w:t>
      </w:r>
      <w:r>
        <w:rPr>
          <w:rStyle w:val="FootnoteReference"/>
        </w:rPr>
        <w:footnoteReference w:id="175"/>
      </w:r>
    </w:p>
    <w:p w:rsidR="001E32C9" w:rsidRPr="00AA0E3C" w:rsidRDefault="001E32C9" w:rsidP="001E32C9">
      <w:pPr>
        <w:pStyle w:val="AERbodytext"/>
      </w:pPr>
      <w:r>
        <w:t>In this section we describe the cumulative payout ratio approach and alternative approaches to estimating the distribution rate.</w:t>
      </w:r>
    </w:p>
    <w:p w:rsidR="001E32C9" w:rsidRDefault="001E32C9" w:rsidP="001E32C9">
      <w:pPr>
        <w:pStyle w:val="Heading9"/>
        <w:numPr>
          <w:ilvl w:val="6"/>
          <w:numId w:val="57"/>
        </w:numPr>
      </w:pPr>
      <w:bookmarkStart w:id="101" w:name="_Ref401156644"/>
      <w:bookmarkStart w:id="102" w:name="_Toc404334890"/>
      <w:r>
        <w:t>The cumulative payout ratio approach</w:t>
      </w:r>
      <w:bookmarkEnd w:id="101"/>
      <w:bookmarkEnd w:id="102"/>
    </w:p>
    <w:p w:rsidR="001E32C9" w:rsidRDefault="001E32C9" w:rsidP="001E32C9">
      <w:pPr>
        <w:pStyle w:val="AERbodytext"/>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1E32C9" w:rsidRDefault="001E32C9" w:rsidP="001E32C9">
      <w:pPr>
        <w:pStyle w:val="AERbodytext"/>
      </w:pPr>
      <w:r>
        <w:t>A limitation of this approach is that factors other than the distribution of imputation credits can lead to a decrease in aggregate franking account balances.</w:t>
      </w:r>
      <w:r>
        <w:rPr>
          <w:rStyle w:val="FootnoteReference"/>
        </w:rPr>
        <w:footnoteReference w:id="176"/>
      </w:r>
      <w:r>
        <w:t xml:space="preserve"> However, we are unaware of the materiality of these factors. Moreover, as discussed in the next section:</w:t>
      </w:r>
    </w:p>
    <w:p w:rsidR="001E32C9" w:rsidRDefault="001E32C9" w:rsidP="001E32C9">
      <w:pPr>
        <w:pStyle w:val="AERbulletlistfirststyle"/>
      </w:pPr>
      <w:r w:rsidRPr="009C59D1">
        <w:t>Hathaway and NERA each</w:t>
      </w:r>
      <w:r>
        <w:t xml:space="preserve"> preferred this approach to an approach involving data on franked dividends, and</w:t>
      </w:r>
    </w:p>
    <w:p w:rsidR="001E32C9" w:rsidRDefault="001E32C9" w:rsidP="001E32C9">
      <w:pPr>
        <w:pStyle w:val="AERbulletlistfirststyle"/>
      </w:pPr>
      <w:r>
        <w:t>an estimate of the distribution rate across listed equity only using this approach is broadly reinforced by evidence from the financial statements of the largest listed companies.</w:t>
      </w:r>
    </w:p>
    <w:p w:rsidR="001E32C9" w:rsidRDefault="001E32C9" w:rsidP="001E32C9">
      <w:pPr>
        <w:pStyle w:val="Heading9"/>
        <w:numPr>
          <w:ilvl w:val="6"/>
          <w:numId w:val="57"/>
        </w:numPr>
      </w:pPr>
      <w:bookmarkStart w:id="103" w:name="_Toc404334891"/>
      <w:r>
        <w:t>Alternative approaches</w:t>
      </w:r>
      <w:bookmarkEnd w:id="103"/>
    </w:p>
    <w:p w:rsidR="001E32C9" w:rsidRDefault="001E32C9" w:rsidP="001E32C9">
      <w:pPr>
        <w:pStyle w:val="AERbodytext"/>
      </w:pPr>
      <w:r>
        <w:t>There are at least two alternative approaches to estimating the distribution rate:</w:t>
      </w:r>
    </w:p>
    <w:p w:rsidR="001E32C9" w:rsidRPr="00296C23" w:rsidRDefault="001E32C9" w:rsidP="001E32C9">
      <w:pPr>
        <w:pStyle w:val="AERbulletlistfirststyle"/>
      </w:pPr>
      <w:r w:rsidRPr="00296C23">
        <w:t>Hathaway and NERA each estimate</w:t>
      </w:r>
      <w:r>
        <w:t>d</w:t>
      </w:r>
      <w:r w:rsidRPr="00296C23">
        <w:t xml:space="preserve"> a distribution rate of around 0.5 using ATO statistics on the franked dividends distributed by companies as reported in their tax returns.</w:t>
      </w:r>
      <w:r w:rsidRPr="00296C23">
        <w:rPr>
          <w:rStyle w:val="FootnoteReference"/>
        </w:rPr>
        <w:footnoteReference w:id="177"/>
      </w:r>
      <w:r w:rsidRPr="00296C23">
        <w:t xml:space="preserve"> However, neither advocates the use of this estimate. NERA consider</w:t>
      </w:r>
      <w:r>
        <w:t>ed</w:t>
      </w:r>
      <w:r w:rsidRPr="00296C23">
        <w:t>:</w:t>
      </w:r>
      <w:r w:rsidRPr="00296C23">
        <w:rPr>
          <w:rStyle w:val="FootnoteReference"/>
        </w:rPr>
        <w:footnoteReference w:id="178"/>
      </w:r>
    </w:p>
    <w:p w:rsidR="001E32C9" w:rsidRDefault="001E32C9" w:rsidP="001E32C9">
      <w:pPr>
        <w:pStyle w:val="AERquote"/>
      </w:pPr>
      <w:r w:rsidRPr="000B7792">
        <w:t>In our opinion, the cumulative payout ratio is the most reliable estimate that is least likely to be affected by potential distortions in the underlying data set.</w:t>
      </w:r>
      <w:r>
        <w:t xml:space="preserve"> </w:t>
      </w:r>
    </w:p>
    <w:p w:rsidR="001E32C9" w:rsidRPr="001E32C9" w:rsidRDefault="001E32C9" w:rsidP="001E32C9">
      <w:pPr>
        <w:pStyle w:val="AERbulletlistfirststyle"/>
      </w:pPr>
      <w:r>
        <w:t>And Hathaway consider</w:t>
      </w:r>
      <w:r w:rsidRPr="001E32C9">
        <w:t>ed:</w:t>
      </w:r>
      <w:r w:rsidRPr="001E32C9">
        <w:rPr>
          <w:rStyle w:val="FootnoteReference"/>
        </w:rPr>
        <w:footnoteReference w:id="179"/>
      </w:r>
    </w:p>
    <w:p w:rsidR="001E32C9" w:rsidRDefault="001E32C9" w:rsidP="001E32C9">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1E32C9" w:rsidRDefault="001E32C9" w:rsidP="001E32C9">
      <w:pPr>
        <w:pStyle w:val="AERbulletlistfirststyle"/>
      </w:pPr>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sidR="00F147F5">
        <w:rPr>
          <w:rStyle w:val="FootnoteReference"/>
        </w:rPr>
        <w:footnoteReference w:id="180"/>
      </w:r>
      <w:r w:rsidRPr="00296C23">
        <w:t xml:space="preserve"> We consider that this broadly reinforces </w:t>
      </w:r>
      <w:r>
        <w:t>Handley's</w:t>
      </w:r>
      <w:r w:rsidRPr="00296C23">
        <w:t xml:space="preserve"> cumulative payout ratio estimate across listed equity </w:t>
      </w:r>
      <w:r>
        <w:t xml:space="preserve">only </w:t>
      </w:r>
      <w:r w:rsidRPr="00296C23">
        <w:t>of 0.8.</w:t>
      </w:r>
    </w:p>
    <w:p w:rsidR="001E32C9" w:rsidRDefault="001E32C9" w:rsidP="001E32C9">
      <w:pPr>
        <w:pStyle w:val="Heading8"/>
        <w:numPr>
          <w:ilvl w:val="5"/>
          <w:numId w:val="57"/>
        </w:numPr>
      </w:pPr>
      <w:bookmarkStart w:id="104" w:name="_Ref403481535"/>
      <w:bookmarkStart w:id="105" w:name="_Toc404334892"/>
      <w:r>
        <w:t>Application of rate of return criteria to evidence on the utilisation rate</w:t>
      </w:r>
      <w:bookmarkEnd w:id="104"/>
      <w:bookmarkEnd w:id="105"/>
    </w:p>
    <w:p w:rsidR="001E32C9" w:rsidRDefault="001E32C9" w:rsidP="001E32C9">
      <w:pPr>
        <w:pStyle w:val="AERbodytext"/>
      </w:pPr>
      <w:r>
        <w:t xml:space="preserve">Our main assessment of the various approaches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with supporting evidence provided in this appendix. However, we have also considered these approaches and the evidence they employ against </w:t>
      </w:r>
      <w:r w:rsidRPr="0073373B">
        <w:t>the criteria used to assess evidence on the allowed rate of return</w:t>
      </w:r>
      <w:r>
        <w:t xml:space="preserve"> (</w:t>
      </w:r>
      <w:r w:rsidR="00AD3769">
        <w:fldChar w:fldCharType="begin"/>
      </w:r>
      <w:r w:rsidR="00AD3769">
        <w:instrText xml:space="preserve"> REF  _Ref402542034 \* Lower \h </w:instrText>
      </w:r>
      <w:r w:rsidR="00AD3769">
        <w:fldChar w:fldCharType="separate"/>
      </w:r>
      <w:r w:rsidR="00927273">
        <w:t xml:space="preserve">table </w:t>
      </w:r>
      <w:r w:rsidR="008252DC">
        <w:t>A</w:t>
      </w:r>
      <w:r w:rsidR="00927273">
        <w:noBreakHyphen/>
      </w:r>
      <w:r w:rsidR="008252DC">
        <w:t>5</w:t>
      </w:r>
      <w:r w:rsidR="00AD3769">
        <w:fldChar w:fldCharType="end"/>
      </w:r>
      <w:r>
        <w:t>)</w:t>
      </w:r>
      <w:r w:rsidRPr="0073373B">
        <w:t>.</w:t>
      </w:r>
      <w:r>
        <w:t xml:space="preserve"> Assessment against these criteria broadly supports our main assessment of the approaches.</w:t>
      </w:r>
    </w:p>
    <w:p w:rsidR="001E32C9" w:rsidRDefault="001E32C9" w:rsidP="001E32C9">
      <w:pPr>
        <w:pStyle w:val="AERbodytext"/>
        <w:sectPr w:rsidR="001E32C9" w:rsidSect="00BB2594">
          <w:footerReference w:type="even" r:id="rId14"/>
          <w:footerReference w:type="default" r:id="rId15"/>
          <w:pgSz w:w="11906" w:h="16838"/>
          <w:pgMar w:top="1440" w:right="1440" w:bottom="1440" w:left="1440" w:header="708" w:footer="708" w:gutter="0"/>
          <w:pgNumType w:chapStyle="1"/>
          <w:cols w:space="708"/>
          <w:docGrid w:linePitch="360"/>
        </w:sectPr>
      </w:pPr>
    </w:p>
    <w:p w:rsidR="001E32C9" w:rsidRDefault="001E32C9" w:rsidP="001E32C9">
      <w:pPr>
        <w:pStyle w:val="Caption"/>
      </w:pPr>
      <w:bookmarkStart w:id="106" w:name="_Ref402542034"/>
      <w:r>
        <w:t xml:space="preserve">Table </w:t>
      </w:r>
      <w:r w:rsidR="008252DC">
        <w:t>A</w:t>
      </w:r>
      <w:r w:rsidR="00C20561">
        <w:noBreakHyphen/>
      </w:r>
      <w:r w:rsidR="008252DC">
        <w:t>5</w:t>
      </w:r>
      <w:bookmarkEnd w:id="106"/>
      <w:r>
        <w:tab/>
      </w:r>
      <w:r w:rsidRPr="000E72CB">
        <w:t>Application of rate of return criteria to evidence on the utilisation rate</w:t>
      </w:r>
    </w:p>
    <w:tbl>
      <w:tblPr>
        <w:tblStyle w:val="AERtable-text"/>
        <w:tblpPr w:leftFromText="180" w:rightFromText="180" w:vertAnchor="page" w:horzAnchor="margin" w:tblpY="2029"/>
        <w:tblW w:w="0" w:type="auto"/>
        <w:tblLayout w:type="fixed"/>
        <w:tblLook w:val="04A0" w:firstRow="1" w:lastRow="0" w:firstColumn="1" w:lastColumn="0" w:noHBand="0" w:noVBand="1"/>
      </w:tblPr>
      <w:tblGrid>
        <w:gridCol w:w="3936"/>
        <w:gridCol w:w="3140"/>
        <w:gridCol w:w="3238"/>
        <w:gridCol w:w="3838"/>
      </w:tblGrid>
      <w:tr w:rsidR="001E32C9" w:rsidTr="001752ED">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1E32C9" w:rsidRPr="001E32C9" w:rsidRDefault="001E32C9" w:rsidP="001E32C9">
            <w:pPr>
              <w:pStyle w:val="AERtabletextleft"/>
            </w:pPr>
            <w:r>
              <w:t>Criteria</w:t>
            </w:r>
            <w:r w:rsidRPr="001E32C9">
              <w:rPr>
                <w:rStyle w:val="FootnoteReference"/>
              </w:rPr>
              <w:t>(a)</w:t>
            </w:r>
          </w:p>
        </w:tc>
        <w:tc>
          <w:tcPr>
            <w:tcW w:w="3140" w:type="dxa"/>
          </w:tcPr>
          <w:p w:rsidR="001E32C9" w:rsidRPr="001E32C9" w:rsidRDefault="001E32C9" w:rsidP="001E32C9">
            <w:pPr>
              <w:pStyle w:val="AERtabletextleft"/>
            </w:pPr>
            <w:r>
              <w:t>Equity ownership approach</w:t>
            </w:r>
          </w:p>
        </w:tc>
        <w:tc>
          <w:tcPr>
            <w:tcW w:w="3238" w:type="dxa"/>
          </w:tcPr>
          <w:p w:rsidR="001E32C9" w:rsidRPr="001E32C9" w:rsidRDefault="001E32C9" w:rsidP="001E32C9">
            <w:pPr>
              <w:pStyle w:val="AERtabletextleft"/>
            </w:pPr>
            <w:r>
              <w:t>Tax statistics</w:t>
            </w:r>
          </w:p>
        </w:tc>
        <w:tc>
          <w:tcPr>
            <w:tcW w:w="3838" w:type="dxa"/>
          </w:tcPr>
          <w:p w:rsidR="001E32C9" w:rsidRPr="001E32C9" w:rsidRDefault="001E32C9" w:rsidP="001E32C9">
            <w:pPr>
              <w:pStyle w:val="AERtabletextleft"/>
            </w:pPr>
            <w:r>
              <w:t>Implied market value studies</w:t>
            </w:r>
          </w:p>
        </w:tc>
      </w:tr>
      <w:tr w:rsidR="001E32C9" w:rsidTr="001752ED">
        <w:trPr>
          <w:cantSplit/>
        </w:trPr>
        <w:tc>
          <w:tcPr>
            <w:tcW w:w="3936" w:type="dxa"/>
          </w:tcPr>
          <w:p w:rsidR="001E32C9" w:rsidRPr="001E32C9" w:rsidRDefault="001E32C9" w:rsidP="001E32C9">
            <w:pPr>
              <w:pStyle w:val="AERtabletextleft"/>
            </w:pPr>
            <w:r>
              <w:t>W</w:t>
            </w:r>
            <w:r w:rsidRPr="001E32C9">
              <w:t xml:space="preserve">here applicable, reflective of economic and finance principles and market information. </w:t>
            </w:r>
          </w:p>
          <w:p w:rsidR="001E32C9" w:rsidRPr="001E32C9" w:rsidRDefault="001F3F83" w:rsidP="001E32C9">
            <w:pPr>
              <w:pStyle w:val="AERtabletextleft"/>
            </w:pPr>
            <w:r>
              <w:t xml:space="preserve">- </w:t>
            </w:r>
            <w:r w:rsidR="001E32C9" w:rsidRPr="00760BFA">
              <w:t>Estimation methods and financial models are consistent with well accepted economic and finance principles and informed by sound empirical analysis and robust data</w:t>
            </w:r>
            <w:r w:rsidR="001E32C9" w:rsidRPr="001E32C9">
              <w:t>.</w:t>
            </w:r>
          </w:p>
        </w:tc>
        <w:tc>
          <w:tcPr>
            <w:tcW w:w="3140" w:type="dxa"/>
          </w:tcPr>
          <w:p w:rsidR="001E32C9" w:rsidRPr="001E32C9" w:rsidRDefault="001E32C9" w:rsidP="001E32C9">
            <w:pPr>
              <w:pStyle w:val="AERtabletextleft"/>
            </w:pPr>
            <w:r>
              <w:t>Accords with Monkhouse framework and principle of investor rationality (e.g. eligible investors expected to utilise credits to which they are entitled).</w:t>
            </w:r>
          </w:p>
          <w:p w:rsidR="001E32C9" w:rsidRPr="001E32C9" w:rsidRDefault="001E32C9" w:rsidP="001E32C9">
            <w:pPr>
              <w:pStyle w:val="AERtabletextleft"/>
            </w:pPr>
            <w:r>
              <w:t>Analysis is straightforward and sound. Data is from credible source (ABS).</w:t>
            </w:r>
          </w:p>
        </w:tc>
        <w:tc>
          <w:tcPr>
            <w:tcW w:w="3238" w:type="dxa"/>
          </w:tcPr>
          <w:p w:rsidR="001E32C9" w:rsidRPr="001E32C9" w:rsidRDefault="001E32C9" w:rsidP="001E32C9">
            <w:pPr>
              <w:pStyle w:val="AERtabletextleft"/>
            </w:pPr>
            <w:r>
              <w:t>Market information on the amount of imputation credits utilised.</w:t>
            </w:r>
          </w:p>
          <w:p w:rsidR="001E32C9" w:rsidRPr="001E32C9" w:rsidRDefault="001E32C9" w:rsidP="001E32C9">
            <w:pPr>
              <w:pStyle w:val="AERtabletextleft"/>
            </w:pPr>
            <w:r>
              <w:t xml:space="preserve">Analysis is straightforward and sound. Data is from credible source (ATO), </w:t>
            </w:r>
            <w:r w:rsidRPr="001E32C9">
              <w:t>but some data concerns have been identified.</w:t>
            </w:r>
          </w:p>
        </w:tc>
        <w:tc>
          <w:tcPr>
            <w:tcW w:w="3838" w:type="dxa"/>
          </w:tcPr>
          <w:p w:rsidR="001E32C9" w:rsidRPr="001E32C9" w:rsidRDefault="001E32C9" w:rsidP="001E32C9">
            <w:pPr>
              <w:pStyle w:val="AERtabletextleft"/>
            </w:pPr>
            <w:r>
              <w:t xml:space="preserve">Mainly based on the principle </w:t>
            </w:r>
            <w:r w:rsidR="009E0CC7">
              <w:t xml:space="preserve">that share prices reflect the </w:t>
            </w:r>
            <w:r>
              <w:t xml:space="preserve">present value </w:t>
            </w:r>
            <w:r w:rsidR="009E0CC7">
              <w:t xml:space="preserve">of future dividends (and imputation credits) </w:t>
            </w:r>
            <w:r>
              <w:t>and 'no arbitrage'.</w:t>
            </w:r>
          </w:p>
          <w:p w:rsidR="001E32C9" w:rsidRPr="001E32C9" w:rsidRDefault="001E32C9" w:rsidP="001E32C9">
            <w:pPr>
              <w:pStyle w:val="AERtabletextleft"/>
            </w:pPr>
            <w:r>
              <w:t>Varying opinions on the soundness of analysis across studies. Underlying data is typically from credible sources (e.g. Bloomberg, ASX).</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 xml:space="preserve">Fit for purpose. </w:t>
            </w:r>
          </w:p>
          <w:p w:rsidR="001E32C9" w:rsidRPr="001E32C9" w:rsidRDefault="001F3F83" w:rsidP="001E32C9">
            <w:pPr>
              <w:pStyle w:val="AERtabletextleft"/>
            </w:pPr>
            <w:r>
              <w:t xml:space="preserve">- </w:t>
            </w:r>
            <w:r w:rsidR="001E32C9">
              <w:t xml:space="preserve">The </w:t>
            </w:r>
            <w:r w:rsidR="001E32C9" w:rsidRPr="001E32C9">
              <w:t xml:space="preserve">use of estimation methods, financial models, market data and other evidence should be consistent with the original purpose for which it was compiled and have regard to the limitations of that purpose. </w:t>
            </w:r>
          </w:p>
          <w:p w:rsidR="001E32C9" w:rsidRPr="001E32C9" w:rsidRDefault="001F3F83" w:rsidP="001E32C9">
            <w:pPr>
              <w:pStyle w:val="AERtabletextleft"/>
            </w:pPr>
            <w:r>
              <w:t xml:space="preserve">- </w:t>
            </w:r>
            <w:r w:rsidR="001E32C9">
              <w:t>P</w:t>
            </w:r>
            <w:r w:rsidR="001E32C9" w:rsidRPr="001E32C9">
              <w:t>romote simple over complex approaches where appropriate.</w:t>
            </w:r>
          </w:p>
        </w:tc>
        <w:tc>
          <w:tcPr>
            <w:tcW w:w="3140" w:type="dxa"/>
          </w:tcPr>
          <w:p w:rsidR="001E32C9" w:rsidRPr="001E32C9" w:rsidRDefault="001E32C9" w:rsidP="001E32C9">
            <w:pPr>
              <w:pStyle w:val="AERtabletextleft"/>
            </w:pPr>
            <w:r>
              <w:t>ABS data used to estimate the domestic ownership share of Australian equity, which is consistent with its purpose. Approach is simple.</w:t>
            </w:r>
          </w:p>
        </w:tc>
        <w:tc>
          <w:tcPr>
            <w:tcW w:w="3238" w:type="dxa"/>
          </w:tcPr>
          <w:p w:rsidR="001E32C9" w:rsidRPr="001E32C9" w:rsidRDefault="001E32C9" w:rsidP="001E32C9">
            <w:pPr>
              <w:pStyle w:val="AERtabletextleft"/>
            </w:pPr>
            <w:r>
              <w:t>ATO statistics used to observe the reported amount of imputation credits utilised by investors, which is consistent with their purpose. Approach is simple.</w:t>
            </w:r>
          </w:p>
        </w:tc>
        <w:tc>
          <w:tcPr>
            <w:tcW w:w="3838" w:type="dxa"/>
          </w:tcPr>
          <w:p w:rsidR="001E32C9" w:rsidRPr="001E32C9" w:rsidRDefault="001E32C9" w:rsidP="001E32C9">
            <w:pPr>
              <w:pStyle w:val="AERtabletextleft"/>
            </w:pPr>
            <w:r>
              <w:t xml:space="preserve">Some studies undertaken for the specific purpose of estimating the utilisation rate for regulatory purposes. Results of some studies need to be interpreted carefully to be consistent with the regulatory framework. Studies can </w:t>
            </w:r>
            <w:r w:rsidRPr="001E32C9">
              <w:t>employ complex and sometimes problematic estimation methodologies.</w:t>
            </w:r>
          </w:p>
        </w:tc>
      </w:tr>
      <w:tr w:rsidR="001E32C9" w:rsidTr="001752ED">
        <w:trPr>
          <w:cantSplit/>
        </w:trPr>
        <w:tc>
          <w:tcPr>
            <w:tcW w:w="3936" w:type="dxa"/>
          </w:tcPr>
          <w:p w:rsidR="001E32C9" w:rsidRPr="001E32C9" w:rsidRDefault="001E32C9" w:rsidP="001E32C9">
            <w:pPr>
              <w:pStyle w:val="AERtabletextleft"/>
            </w:pPr>
            <w:r>
              <w:t>I</w:t>
            </w:r>
            <w:r w:rsidRPr="001E32C9">
              <w:t xml:space="preserve">mplemented in accordance with good practice. </w:t>
            </w:r>
          </w:p>
          <w:p w:rsidR="001E32C9" w:rsidRPr="001E32C9" w:rsidRDefault="001F3F83" w:rsidP="001E32C9">
            <w:pPr>
              <w:pStyle w:val="AERtabletextleft"/>
            </w:pPr>
            <w:r>
              <w:t xml:space="preserve">- </w:t>
            </w:r>
            <w:r w:rsidR="001E32C9">
              <w:t>S</w:t>
            </w:r>
            <w:r w:rsidR="001E32C9" w:rsidRPr="001E32C9">
              <w:t>upported by robust, transparent and replicable analysis that is derived from available credible datasets.</w:t>
            </w:r>
          </w:p>
        </w:tc>
        <w:tc>
          <w:tcPr>
            <w:tcW w:w="3140" w:type="dxa"/>
          </w:tcPr>
          <w:p w:rsidR="001E32C9" w:rsidRPr="001E32C9" w:rsidRDefault="001E32C9" w:rsidP="001E32C9">
            <w:pPr>
              <w:pStyle w:val="AERtabletextleft"/>
            </w:pPr>
            <w:r>
              <w:t>Transparent and replicable using published data. Some knowledge of ABS classifications required.</w:t>
            </w:r>
          </w:p>
        </w:tc>
        <w:tc>
          <w:tcPr>
            <w:tcW w:w="3238" w:type="dxa"/>
          </w:tcPr>
          <w:p w:rsidR="001E32C9" w:rsidRPr="001E32C9" w:rsidRDefault="001E32C9" w:rsidP="001E32C9">
            <w:pPr>
              <w:pStyle w:val="AERtabletextleft"/>
            </w:pPr>
            <w:r>
              <w:t>Transparent and replicable using published data, although detailed knowledge of tax return labels required. Some data concerns have been identified.</w:t>
            </w:r>
          </w:p>
        </w:tc>
        <w:tc>
          <w:tcPr>
            <w:tcW w:w="3838" w:type="dxa"/>
          </w:tcPr>
          <w:p w:rsidR="001E32C9" w:rsidRPr="001E32C9" w:rsidRDefault="001E32C9" w:rsidP="001E32C9">
            <w:pPr>
              <w:pStyle w:val="AERtabletextleft"/>
            </w:pPr>
            <w:r>
              <w:t>Less transparent and replicable, as econometrics knowledge required and data not always publicly or freely available.</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W</w:t>
            </w:r>
            <w:r w:rsidRPr="001E32C9">
              <w:t>here market data and other information is used, this information is: credible and verifiable; comparable and timely; and clearly sourced.</w:t>
            </w:r>
          </w:p>
        </w:tc>
        <w:tc>
          <w:tcPr>
            <w:tcW w:w="3140" w:type="dxa"/>
          </w:tcPr>
          <w:p w:rsidR="001E32C9" w:rsidRPr="001E32C9" w:rsidRDefault="001E32C9" w:rsidP="001E32C9">
            <w:pPr>
              <w:pStyle w:val="AERtabletextleft"/>
            </w:pPr>
            <w:r>
              <w:t xml:space="preserve">ABS is a credible source. Relevant statistics are published online on a quarterly basis. </w:t>
            </w:r>
          </w:p>
        </w:tc>
        <w:tc>
          <w:tcPr>
            <w:tcW w:w="3238" w:type="dxa"/>
          </w:tcPr>
          <w:p w:rsidR="001E32C9" w:rsidRPr="001E32C9" w:rsidRDefault="001E32C9" w:rsidP="001E32C9">
            <w:pPr>
              <w:pStyle w:val="AERtabletextleft"/>
            </w:pPr>
            <w:r>
              <w:t>ATO is a credible source. Relevant statistics are published online on an annual basis, with a two-year lag (e.g. 2011-12 statistics published in 2014). Some data concerns have been identified.</w:t>
            </w:r>
          </w:p>
        </w:tc>
        <w:tc>
          <w:tcPr>
            <w:tcW w:w="3838" w:type="dxa"/>
          </w:tcPr>
          <w:p w:rsidR="001E32C9" w:rsidRPr="001E32C9" w:rsidRDefault="001E32C9" w:rsidP="001E32C9">
            <w:pPr>
              <w:pStyle w:val="AERtabletextleft"/>
            </w:pPr>
            <w:r>
              <w:t>Underlying data typically from credible sources (e.g. Bloomberg, ASX) and is produced on a timely basis. Data not always publicly or freely available.</w:t>
            </w:r>
          </w:p>
          <w:p w:rsidR="001E32C9" w:rsidRPr="001E32C9" w:rsidRDefault="001E32C9" w:rsidP="001E32C9">
            <w:pPr>
              <w:pStyle w:val="AERtabletextleft"/>
            </w:pPr>
            <w:r>
              <w:t>Use of econometrics makes the results difficult and complex to verify.</w:t>
            </w:r>
          </w:p>
        </w:tc>
      </w:tr>
      <w:tr w:rsidR="001E32C9" w:rsidTr="001752ED">
        <w:trPr>
          <w:cantSplit/>
        </w:trPr>
        <w:tc>
          <w:tcPr>
            <w:tcW w:w="3936" w:type="dxa"/>
          </w:tcPr>
          <w:p w:rsidR="001E32C9" w:rsidRPr="001E32C9" w:rsidRDefault="001E32C9" w:rsidP="001E32C9">
            <w:pPr>
              <w:pStyle w:val="AERtabletextleft"/>
            </w:pPr>
            <w:r w:rsidRPr="007333FB">
              <w:t>Sufficiently flexible as to allow changing market conditions and new information to be reflected in regulatory outcomes, as appropriate.</w:t>
            </w:r>
          </w:p>
        </w:tc>
        <w:tc>
          <w:tcPr>
            <w:tcW w:w="3140" w:type="dxa"/>
          </w:tcPr>
          <w:p w:rsidR="001E32C9" w:rsidRPr="001E32C9" w:rsidRDefault="001E32C9" w:rsidP="009E0CC7">
            <w:pPr>
              <w:pStyle w:val="AERtabletextleft"/>
            </w:pPr>
            <w:r>
              <w:t xml:space="preserve">Reflects current ownership of Australian equities. However, </w:t>
            </w:r>
            <w:r w:rsidRPr="001E32C9">
              <w:t xml:space="preserve">will not reflect any tax law changes that reduce eligible investors’ utilisation rates below 1.  </w:t>
            </w:r>
          </w:p>
        </w:tc>
        <w:tc>
          <w:tcPr>
            <w:tcW w:w="3238" w:type="dxa"/>
          </w:tcPr>
          <w:p w:rsidR="001E32C9" w:rsidRPr="001E32C9" w:rsidRDefault="001E32C9" w:rsidP="001E32C9">
            <w:pPr>
              <w:pStyle w:val="AERtabletextleft"/>
            </w:pPr>
            <w:r>
              <w:t>Reflects conditions up to two years ago.</w:t>
            </w:r>
          </w:p>
        </w:tc>
        <w:tc>
          <w:tcPr>
            <w:tcW w:w="3838" w:type="dxa"/>
          </w:tcPr>
          <w:p w:rsidR="001E32C9" w:rsidRPr="001E32C9" w:rsidRDefault="001E32C9" w:rsidP="001E32C9">
            <w:pPr>
              <w:pStyle w:val="AERtabletextleft"/>
            </w:pPr>
            <w:r>
              <w:t>Reflects current conditions to the extent that recent data is used. Different studies span various time periods.</w:t>
            </w:r>
          </w:p>
        </w:tc>
      </w:tr>
    </w:tbl>
    <w:p w:rsidR="001E32C9" w:rsidRDefault="001E32C9" w:rsidP="001E32C9">
      <w:pPr>
        <w:pStyle w:val="AERtablesource"/>
      </w:pPr>
      <w:r>
        <w:t>Source:</w:t>
      </w:r>
      <w:r>
        <w:tab/>
        <w:t>AER analysis.</w:t>
      </w:r>
    </w:p>
    <w:p w:rsidR="001E32C9" w:rsidRPr="00B14799" w:rsidRDefault="001E32C9" w:rsidP="001E32C9">
      <w:pPr>
        <w:pStyle w:val="AERtablesource"/>
      </w:pPr>
      <w:r>
        <w:t>(a):</w:t>
      </w:r>
      <w:r>
        <w:tab/>
        <w:t>The criteria relating specifically to return on equity and debt quantitative models are excluded because they are not applicable.</w:t>
      </w:r>
    </w:p>
    <w:p w:rsidR="001E32C9" w:rsidRDefault="001E32C9" w:rsidP="001E32C9">
      <w:pPr>
        <w:pStyle w:val="AERbodytext"/>
        <w:sectPr w:rsidR="001E32C9" w:rsidSect="00994D24">
          <w:pgSz w:w="16838" w:h="11906" w:orient="landscape"/>
          <w:pgMar w:top="1440" w:right="1440" w:bottom="1440" w:left="1440" w:header="708" w:footer="708" w:gutter="0"/>
          <w:pgNumType w:chapStyle="1"/>
          <w:cols w:space="708"/>
          <w:docGrid w:linePitch="360"/>
        </w:sectPr>
      </w:pPr>
    </w:p>
    <w:p w:rsidR="001E32C9" w:rsidRDefault="001E32C9" w:rsidP="001E32C9">
      <w:pPr>
        <w:pStyle w:val="Heading8"/>
        <w:numPr>
          <w:ilvl w:val="5"/>
          <w:numId w:val="57"/>
        </w:numPr>
      </w:pPr>
      <w:bookmarkStart w:id="107" w:name="_Ref403481615"/>
      <w:bookmarkStart w:id="108" w:name="_Toc404334893"/>
      <w:r>
        <w:t>The equity ownership approach</w:t>
      </w:r>
      <w:bookmarkEnd w:id="107"/>
      <w:bookmarkEnd w:id="108"/>
    </w:p>
    <w:p w:rsidR="001E32C9" w:rsidRDefault="001E32C9" w:rsidP="001E32C9">
      <w:pPr>
        <w:pStyle w:val="AERbodytext"/>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181"/>
      </w:r>
    </w:p>
    <w:p w:rsidR="001E32C9" w:rsidRDefault="001E32C9" w:rsidP="001E32C9">
      <w:pPr>
        <w:pStyle w:val="AERbodytext"/>
      </w:pPr>
      <w:r>
        <w:t xml:space="preserve">Our position on the equity ownership approach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provide further detail on our application of the approach. We also compare our assessment of the approach in this draft decision with our assessment in the </w:t>
      </w:r>
      <w:r w:rsidR="0033289B">
        <w:t>Guideline</w:t>
      </w:r>
      <w:r>
        <w:t>.</w:t>
      </w:r>
    </w:p>
    <w:p w:rsidR="001E32C9" w:rsidRDefault="001E32C9" w:rsidP="001E32C9">
      <w:pPr>
        <w:pStyle w:val="AERbodytext"/>
      </w:pPr>
      <w:r>
        <w:t xml:space="preserve">We place significant reliance on the equity ownership approach for the reasons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We have regard also to the limitations of this approach, but we do not consider them significant:</w:t>
      </w:r>
    </w:p>
    <w:p w:rsidR="001E32C9" w:rsidRPr="005D0122" w:rsidRDefault="001E32C9" w:rsidP="001E32C9">
      <w:pPr>
        <w:pStyle w:val="AERbulletlistfirststyle"/>
      </w:pPr>
      <w:r w:rsidRPr="005D0122">
        <w:t>The approach does not take into account the effect of</w:t>
      </w:r>
      <w:r>
        <w:t xml:space="preserve"> the 45-day holding rule (or any other</w:t>
      </w:r>
      <w:r w:rsidRPr="005D0122">
        <w:t xml:space="preserve"> rules that can affect the eligibility of domestic investors to claim imputation credits</w:t>
      </w:r>
      <w:r>
        <w:t>)</w:t>
      </w:r>
      <w:r w:rsidRPr="005D0122">
        <w:t xml:space="preserve">. However, </w:t>
      </w:r>
      <w:r>
        <w:t xml:space="preserve">as discussed in section </w:t>
      </w:r>
      <w:r>
        <w:fldChar w:fldCharType="begin"/>
      </w:r>
      <w:r>
        <w:instrText xml:space="preserve"> REF _Ref400971678 \r \h </w:instrText>
      </w:r>
      <w:r>
        <w:fldChar w:fldCharType="separate"/>
      </w:r>
      <w:r w:rsidR="00927273">
        <w:t>A.7.2</w:t>
      </w:r>
      <w:r>
        <w:fldChar w:fldCharType="end"/>
      </w:r>
      <w:r>
        <w:t xml:space="preserve">, </w:t>
      </w:r>
      <w:r w:rsidRPr="005D0122">
        <w:t>we do not consider that there is clear evidence as to effect that these rules have or should be expected to have. Moreover, we consider that the most relevant evidence on the effect of these rules suggest that they have a negligible effect.</w:t>
      </w:r>
    </w:p>
    <w:p w:rsidR="001E32C9" w:rsidRDefault="001E32C9" w:rsidP="001E32C9">
      <w:pPr>
        <w:pStyle w:val="AERbulletlistfirststyle"/>
      </w:pPr>
      <w:r w:rsidRPr="005D0122">
        <w:t xml:space="preserve">The approach </w:t>
      </w:r>
      <w:r w:rsidR="009E0CC7">
        <w:t xml:space="preserve">allows </w:t>
      </w:r>
      <w:r w:rsidRPr="005D0122">
        <w:t xml:space="preserve">investors' utilisation rates </w:t>
      </w:r>
      <w:r w:rsidR="009E0CC7">
        <w:t xml:space="preserve">to be weighted by wealth, but not </w:t>
      </w:r>
      <w:r w:rsidRPr="005D0122">
        <w:t xml:space="preserve">by risk aversion, as required by the </w:t>
      </w:r>
      <w:r>
        <w:t xml:space="preserve">definition of the utilisation rate in the </w:t>
      </w:r>
      <w:r w:rsidRPr="005D0122">
        <w:t xml:space="preserve">Monkhouse framework.  However, we do not consider that we can feasibly weight our estimates in this regard, as this would require specific calculations or assumptions regarding the portfolios and risk preferences of individuals or classes of investors. Moreover, neither Handley </w:t>
      </w:r>
      <w:r>
        <w:t>nor Lally identified</w:t>
      </w:r>
      <w:r w:rsidRPr="005D0122">
        <w:t xml:space="preserve"> the inability to weight by risk aversion as an unacceptable limitation of the approach.</w:t>
      </w:r>
      <w:r w:rsidRPr="005D0122">
        <w:rPr>
          <w:rStyle w:val="FootnoteReference"/>
        </w:rPr>
        <w:footnoteReference w:id="182"/>
      </w:r>
    </w:p>
    <w:p w:rsidR="001E32C9" w:rsidRPr="000F2482" w:rsidRDefault="001E32C9" w:rsidP="001E32C9">
      <w:pPr>
        <w:pStyle w:val="AERbodytext"/>
      </w:pPr>
      <w:r w:rsidRPr="000F2482">
        <w:t>We consider that a reasonable estimate for the utilisation rate from the equity ownership approach is between:</w:t>
      </w:r>
    </w:p>
    <w:p w:rsidR="001E32C9" w:rsidRPr="000F2482" w:rsidRDefault="001E32C9" w:rsidP="001E32C9">
      <w:pPr>
        <w:pStyle w:val="AERbulletlistfirststyle"/>
      </w:pPr>
      <w:r w:rsidRPr="000F2482">
        <w:t>0.55 and 0.7, if all equity is considered</w:t>
      </w:r>
      <w:r>
        <w:t>, and</w:t>
      </w:r>
    </w:p>
    <w:p w:rsidR="001E32C9" w:rsidRDefault="001E32C9" w:rsidP="001E32C9">
      <w:pPr>
        <w:pStyle w:val="AERbulletlistfirststyle"/>
      </w:pPr>
      <w:r w:rsidRPr="000F2482">
        <w:t>0.4 and 0.6, if only listed equity is considered.</w:t>
      </w:r>
    </w:p>
    <w:p w:rsidR="001E32C9" w:rsidRPr="000F2482" w:rsidRDefault="001E32C9" w:rsidP="001E32C9">
      <w:pPr>
        <w:pStyle w:val="AERbodytext"/>
      </w:pPr>
      <w:r w:rsidRPr="000F2482">
        <w:t xml:space="preserve">In the </w:t>
      </w:r>
      <w:r w:rsidR="0033289B">
        <w:t>Guideline</w:t>
      </w:r>
      <w:r w:rsidRPr="000F2482">
        <w:t>, we considered that the equity ownership approach supported a utilisation rate between 0.7 and 0.8. This range was based on:</w:t>
      </w:r>
    </w:p>
    <w:p w:rsidR="001E32C9" w:rsidRPr="00575F22" w:rsidRDefault="001E32C9" w:rsidP="001E32C9">
      <w:pPr>
        <w:pStyle w:val="AERbulletlistfirststyle"/>
      </w:pPr>
      <w:r w:rsidRPr="00575F22">
        <w:t>A 2007 feature article by the ABS, in which it was estimated using data from the National Accounts that domestic investors held 71 per cent of Australian equity.</w:t>
      </w:r>
      <w:r w:rsidRPr="000F2482">
        <w:rPr>
          <w:rStyle w:val="FootnoteReference"/>
        </w:rPr>
        <w:footnoteReference w:id="183"/>
      </w:r>
    </w:p>
    <w:p w:rsidR="001E32C9" w:rsidRPr="00575F22" w:rsidRDefault="001E32C9" w:rsidP="001E32C9">
      <w:pPr>
        <w:pStyle w:val="AERbulletlistfirststyle"/>
      </w:pPr>
      <w:r w:rsidRPr="00575F22">
        <w:t>A graph in a September 2013 report by Hathaway, which suggested that the domestic ownership share of Australian equity had fluctuated between 75 and 81 per cent over the period 1988 to 2012.</w:t>
      </w:r>
      <w:r w:rsidRPr="00836F78">
        <w:rPr>
          <w:rStyle w:val="FootnoteReference"/>
        </w:rPr>
        <w:footnoteReference w:id="184"/>
      </w:r>
      <w:r w:rsidRPr="00575F22">
        <w:t xml:space="preserve"> The data underlying this graph also came from the National Accounts.</w:t>
      </w:r>
    </w:p>
    <w:p w:rsidR="001E32C9" w:rsidRDefault="001E32C9" w:rsidP="001E32C9">
      <w:pPr>
        <w:pStyle w:val="AERbodytext"/>
      </w:pPr>
      <w:r w:rsidRPr="00575F22">
        <w:t xml:space="preserve">Since the </w:t>
      </w:r>
      <w:r w:rsidR="0033289B">
        <w:t>Guideline</w:t>
      </w:r>
      <w:r w:rsidRPr="00575F22">
        <w:t>'s publication, we have examined more closely the relevant data from the National Accounts. This has allowed us to update and refine our estimates.</w:t>
      </w:r>
      <w:r>
        <w:t xml:space="preserve"> Moreover, we </w:t>
      </w:r>
      <w:r w:rsidR="009E0CC7">
        <w:t xml:space="preserve">now </w:t>
      </w:r>
      <w:r>
        <w:t xml:space="preserve">express estimates for both all equity and listed equity only, consistent with the approach set out in section </w:t>
      </w:r>
      <w:r>
        <w:fldChar w:fldCharType="begin"/>
      </w:r>
      <w:r>
        <w:instrText xml:space="preserve"> REF _Ref401048631 \r \h </w:instrText>
      </w:r>
      <w:r>
        <w:fldChar w:fldCharType="separate"/>
      </w:r>
      <w:r w:rsidR="00927273">
        <w:t>A.8.1</w:t>
      </w:r>
      <w:r>
        <w:fldChar w:fldCharType="end"/>
      </w:r>
      <w:r>
        <w:t>.</w:t>
      </w:r>
      <w:r w:rsidRPr="00575F22">
        <w:t xml:space="preserve"> </w:t>
      </w:r>
    </w:p>
    <w:p w:rsidR="001E32C9" w:rsidRPr="00575F22" w:rsidRDefault="001E32C9" w:rsidP="001E32C9">
      <w:pPr>
        <w:pStyle w:val="AERbodytext"/>
      </w:pPr>
      <w:r w:rsidRPr="00575F22">
        <w:fldChar w:fldCharType="begin"/>
      </w:r>
      <w:r w:rsidRPr="00575F22">
        <w:instrText xml:space="preserve"> REF _Ref399922581 \h </w:instrText>
      </w:r>
      <w:r>
        <w:instrText xml:space="preserve"> \* MERGEFORMAT </w:instrText>
      </w:r>
      <w:r w:rsidRPr="00575F22">
        <w:fldChar w:fldCharType="separate"/>
      </w:r>
      <w:r w:rsidR="00927273" w:rsidRPr="00575F22">
        <w:t xml:space="preserve">Figure </w:t>
      </w:r>
      <w:r w:rsidR="005C7F72">
        <w:t>A</w:t>
      </w:r>
      <w:r w:rsidR="00927273">
        <w:noBreakHyphen/>
        <w:t>2</w:t>
      </w:r>
      <w:r w:rsidRPr="00575F22">
        <w:fldChar w:fldCharType="end"/>
      </w:r>
      <w:r w:rsidRPr="00575F22">
        <w:t xml:space="preserve"> shows the domestic ownership share of Australian equity on an end-quarter basis between June 1988 and June 2014. Although somewhat variable from quarter to quarter, the share has declined from above 80 per cent in 1988 to around 70 per cent in recent years. The domestic ownership share has been calculated as one minus the share of Australian equity held by the 'rest of world', with unlisted equity issued by 'rest of world' excluded. This calculation methodology is consistent with that employed by the ABS in its 2007 feature article.</w:t>
      </w:r>
    </w:p>
    <w:p w:rsidR="001E32C9" w:rsidRDefault="001E32C9" w:rsidP="001E32C9">
      <w:pPr>
        <w:pStyle w:val="Caption"/>
      </w:pPr>
      <w:bookmarkStart w:id="109" w:name="_Ref399922581"/>
      <w:r w:rsidRPr="00575F22">
        <w:t xml:space="preserve">Figure </w:t>
      </w:r>
      <w:r w:rsidR="005C7F72">
        <w:t>A</w:t>
      </w:r>
      <w:r w:rsidR="00DC50AF">
        <w:noBreakHyphen/>
      </w:r>
      <w:r w:rsidR="00115D92">
        <w:fldChar w:fldCharType="begin"/>
      </w:r>
      <w:r w:rsidR="00115D92">
        <w:instrText xml:space="preserve"> SEQ Figure \* ARABIC \s 1 </w:instrText>
      </w:r>
      <w:r w:rsidR="00115D92">
        <w:fldChar w:fldCharType="separate"/>
      </w:r>
      <w:r w:rsidR="00927273">
        <w:rPr>
          <w:noProof/>
        </w:rPr>
        <w:t>2</w:t>
      </w:r>
      <w:r w:rsidR="00115D92">
        <w:rPr>
          <w:noProof/>
        </w:rPr>
        <w:fldChar w:fldCharType="end"/>
      </w:r>
      <w:bookmarkEnd w:id="109"/>
      <w:r w:rsidRPr="00575F22">
        <w:tab/>
        <w:t>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5FB40654" wp14:editId="1863AD7E">
            <wp:extent cx="5328000" cy="3468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r w:rsidRPr="00575F22">
        <w:t xml:space="preserve"> </w:t>
      </w:r>
    </w:p>
    <w:p w:rsidR="0078271F" w:rsidRDefault="001E32C9" w:rsidP="001E32C9">
      <w:pPr>
        <w:pStyle w:val="AERtablesource"/>
      </w:pPr>
      <w:bookmarkStart w:id="110" w:name="_Ref399922857"/>
      <w:r>
        <w:t xml:space="preserve">Source: </w:t>
      </w:r>
      <w:r>
        <w:tab/>
      </w:r>
      <w:r w:rsidRPr="0061054A">
        <w:t>Australian National Accounts: Financial Accounts (ABS cat. 5232.0)</w:t>
      </w:r>
      <w:r>
        <w:t>, tables 32 and 33.</w:t>
      </w:r>
    </w:p>
    <w:p w:rsidR="0078271F" w:rsidRPr="00575F22" w:rsidRDefault="0078271F" w:rsidP="0078271F">
      <w:pPr>
        <w:pStyle w:val="AERbodytext"/>
      </w:pPr>
      <w:r w:rsidRPr="00575F22">
        <w:t>We have considered also the domestic ownership share of just listed equity.</w:t>
      </w:r>
      <w:r>
        <w:t xml:space="preserve"> </w:t>
      </w:r>
      <w:r>
        <w:fldChar w:fldCharType="begin"/>
      </w:r>
      <w:r>
        <w:instrText xml:space="preserve"> REF _Ref403483809 \h </w:instrText>
      </w:r>
      <w:r>
        <w:fldChar w:fldCharType="separate"/>
      </w:r>
      <w:r w:rsidR="00927273" w:rsidRPr="00575F22">
        <w:t xml:space="preserve">Figure </w:t>
      </w:r>
      <w:r w:rsidR="005C7F72">
        <w:t>A</w:t>
      </w:r>
      <w:r w:rsidR="00927273">
        <w:noBreakHyphen/>
      </w:r>
      <w:r w:rsidR="00927273">
        <w:rPr>
          <w:noProof/>
        </w:rPr>
        <w:t>3</w:t>
      </w:r>
      <w:r>
        <w:fldChar w:fldCharType="end"/>
      </w:r>
      <w:r>
        <w:t xml:space="preserve"> </w:t>
      </w:r>
      <w:r w:rsidRPr="00575F22">
        <w:t xml:space="preserve">shows the domestic ownership share of just listed Australian equity. This share has not exhibited a </w:t>
      </w:r>
      <w:r>
        <w:t>strong</w:t>
      </w:r>
      <w:r w:rsidRPr="00575F22">
        <w:t xml:space="preserve"> trend over time, and has varied mainly between 50 and 65 per cent.</w:t>
      </w:r>
      <w:r w:rsidRPr="008977D1">
        <w:rPr>
          <w:rStyle w:val="FootnoteReference"/>
        </w:rPr>
        <w:footnoteReference w:id="185"/>
      </w:r>
      <w:r w:rsidRPr="00575F22">
        <w:t xml:space="preserve"> Since 2009, the share has tended to remain within the slightly narrower range of 50 to 60 per cent.</w:t>
      </w:r>
    </w:p>
    <w:p w:rsidR="001E32C9" w:rsidRPr="0078271F" w:rsidRDefault="001E32C9" w:rsidP="0078271F"/>
    <w:p w:rsidR="001E32C9" w:rsidRPr="00575F22" w:rsidRDefault="001E32C9" w:rsidP="001E32C9">
      <w:pPr>
        <w:pStyle w:val="Caption"/>
      </w:pPr>
      <w:bookmarkStart w:id="111" w:name="_Ref403483809"/>
      <w:r w:rsidRPr="00575F22">
        <w:t xml:space="preserve">Figure </w:t>
      </w:r>
      <w:r w:rsidR="005C7F72">
        <w:t>A</w:t>
      </w:r>
      <w:r w:rsidR="00DC50AF">
        <w:noBreakHyphen/>
      </w:r>
      <w:r w:rsidR="00115D92">
        <w:fldChar w:fldCharType="begin"/>
      </w:r>
      <w:r w:rsidR="00115D92">
        <w:instrText xml:space="preserve"> SEQ Figure \* ARABIC \s 1 </w:instrText>
      </w:r>
      <w:r w:rsidR="00115D92">
        <w:fldChar w:fldCharType="separate"/>
      </w:r>
      <w:r w:rsidR="00927273">
        <w:rPr>
          <w:noProof/>
        </w:rPr>
        <w:t>3</w:t>
      </w:r>
      <w:r w:rsidR="00115D92">
        <w:rPr>
          <w:noProof/>
        </w:rPr>
        <w:fldChar w:fldCharType="end"/>
      </w:r>
      <w:bookmarkEnd w:id="110"/>
      <w:bookmarkEnd w:id="111"/>
      <w:r w:rsidRPr="00575F22">
        <w:tab/>
        <w:t>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4303809B" wp14:editId="78699F3C">
            <wp:extent cx="5328000" cy="3468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575F22" w:rsidRDefault="001E32C9" w:rsidP="001E32C9">
      <w:pPr>
        <w:pStyle w:val="AERbodytext"/>
      </w:pPr>
      <w:r w:rsidRPr="00575F22">
        <w:t>We consider that the equity ownership approach can be refined further, by filtering the National Accounts data to focus on the types of equity that are deemed to be most relevant to the benchmark entity, and the specific classes of investor that are expected to either utilise or waste the imputation credits they receive. That is, we can:</w:t>
      </w:r>
    </w:p>
    <w:p w:rsidR="001E32C9" w:rsidRPr="00575F22" w:rsidRDefault="001E32C9" w:rsidP="001E32C9">
      <w:pPr>
        <w:pStyle w:val="AERbulletlistfirststyle"/>
      </w:pPr>
      <w:r w:rsidRPr="00575F22">
        <w:t>Exclude from the calculation equity in entities that are wholly owned by the public sector. In the National Accounts, this is equity issued by the 'central bank', 'central borrowing authorities', 'national public non-financial corporations' and 'state and local public non-financial corporations'.</w:t>
      </w:r>
    </w:p>
    <w:p w:rsidR="001E32C9" w:rsidRPr="00575F22" w:rsidRDefault="001E32C9" w:rsidP="001E32C9">
      <w:pPr>
        <w:pStyle w:val="AERbulletlistfirststyle"/>
      </w:pPr>
      <w:r w:rsidRPr="00575F22">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'households', 'pension funds', 'life insurance corporations', 'state and local general government', 'national general government' and 'rest of world'.</w:t>
      </w:r>
      <w:r w:rsidRPr="00550979">
        <w:rPr>
          <w:rStyle w:val="FootnoteReference"/>
        </w:rPr>
        <w:footnoteReference w:id="186"/>
      </w:r>
    </w:p>
    <w:p w:rsidR="001E32C9" w:rsidRDefault="001E32C9" w:rsidP="0078271F">
      <w:pPr>
        <w:pStyle w:val="AERbodytext"/>
      </w:pPr>
      <w:r w:rsidRPr="00575F22">
        <w:t xml:space="preserve">These refined estimates of the domestic ownership share are shown for all equity and just listed equity in </w:t>
      </w:r>
      <w:r w:rsidR="00AD3769">
        <w:fldChar w:fldCharType="begin"/>
      </w:r>
      <w:r w:rsidR="00AD3769">
        <w:instrText xml:space="preserve"> REF  _Ref399928279 \* Lower \h  \* MERGEFORMAT </w:instrText>
      </w:r>
      <w:r w:rsidR="00AD3769">
        <w:fldChar w:fldCharType="separate"/>
      </w:r>
      <w:r w:rsidR="00927273" w:rsidRPr="00575F22">
        <w:t xml:space="preserve">figure </w:t>
      </w:r>
      <w:r w:rsidR="005C7F72">
        <w:t>A</w:t>
      </w:r>
      <w:r w:rsidR="00927273">
        <w:rPr>
          <w:noProof/>
        </w:rPr>
        <w:noBreakHyphen/>
        <w:t>4</w:t>
      </w:r>
      <w:r w:rsidR="00AD3769">
        <w:fldChar w:fldCharType="end"/>
      </w:r>
      <w:r w:rsidR="0078271F">
        <w:t xml:space="preserve"> and </w:t>
      </w:r>
      <w:r w:rsidR="00AD3769">
        <w:fldChar w:fldCharType="begin"/>
      </w:r>
      <w:r w:rsidR="00AD3769">
        <w:instrText xml:space="preserve"> REF  _Ref403483972 \* Lower \h </w:instrText>
      </w:r>
      <w:r w:rsidR="00AD3769">
        <w:fldChar w:fldCharType="separate"/>
      </w:r>
      <w:r w:rsidR="00927273" w:rsidRPr="00575F22">
        <w:t xml:space="preserve">figure </w:t>
      </w:r>
      <w:r w:rsidR="005C7F72">
        <w:t>A</w:t>
      </w:r>
      <w:r w:rsidR="00927273">
        <w:noBreakHyphen/>
      </w:r>
      <w:r w:rsidR="00927273">
        <w:rPr>
          <w:noProof/>
        </w:rPr>
        <w:t>5</w:t>
      </w:r>
      <w:r w:rsidR="00AD3769">
        <w:fldChar w:fldCharType="end"/>
      </w:r>
      <w:r w:rsidR="0078271F">
        <w:t xml:space="preserve"> </w:t>
      </w:r>
      <w:r w:rsidRPr="00575F22">
        <w:t xml:space="preserve">respectively. There is no </w:t>
      </w:r>
      <w:r>
        <w:t>strong</w:t>
      </w:r>
      <w:r w:rsidRPr="00575F22">
        <w:t xml:space="preserve"> trend in either series over time. The refined share of all equity has varied mainly between 55 and 60 per cent. The refined share of listed equity has varied mainly between 40 and 55 per cent.</w:t>
      </w:r>
    </w:p>
    <w:p w:rsidR="001E32C9" w:rsidRPr="00575F22" w:rsidRDefault="001E32C9" w:rsidP="001E32C9">
      <w:pPr>
        <w:pStyle w:val="Caption"/>
      </w:pPr>
      <w:bookmarkStart w:id="112" w:name="_Ref399928279"/>
      <w:r w:rsidRPr="00575F22">
        <w:t xml:space="preserve">Figure </w:t>
      </w:r>
      <w:r w:rsidR="005C7F72">
        <w:t>A</w:t>
      </w:r>
      <w:r w:rsidR="00DC50AF">
        <w:noBreakHyphen/>
      </w:r>
      <w:r w:rsidR="00115D92">
        <w:fldChar w:fldCharType="begin"/>
      </w:r>
      <w:r w:rsidR="00115D92">
        <w:instrText xml:space="preserve"> SEQ Figure \* ARABIC \s 1 </w:instrText>
      </w:r>
      <w:r w:rsidR="00115D92">
        <w:fldChar w:fldCharType="separate"/>
      </w:r>
      <w:r w:rsidR="00927273">
        <w:rPr>
          <w:noProof/>
        </w:rPr>
        <w:t>4</w:t>
      </w:r>
      <w:r w:rsidR="00115D92">
        <w:rPr>
          <w:noProof/>
        </w:rPr>
        <w:fldChar w:fldCharType="end"/>
      </w:r>
      <w:bookmarkEnd w:id="112"/>
      <w:r w:rsidRPr="00575F22">
        <w:tab/>
        <w:t>Refined 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070EB457" wp14:editId="5A292487">
            <wp:extent cx="5328000" cy="34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000" cy="3466800"/>
                    </a:xfrm>
                    <a:prstGeom prst="rect">
                      <a:avLst/>
                    </a:prstGeom>
                    <a:noFill/>
                    <a:ln>
                      <a:noFill/>
                    </a:ln>
                  </pic:spPr>
                </pic:pic>
              </a:graphicData>
            </a:graphic>
          </wp:inline>
        </w:drawing>
      </w:r>
    </w:p>
    <w:p w:rsidR="001E32C9" w:rsidRDefault="001E32C9" w:rsidP="001E32C9">
      <w:pPr>
        <w:pStyle w:val="AERtablesource"/>
      </w:pPr>
      <w:bookmarkStart w:id="113" w:name="_Ref399928294"/>
      <w:r>
        <w:t xml:space="preserve">Source: </w:t>
      </w:r>
      <w:r>
        <w:tab/>
      </w:r>
      <w:r w:rsidRPr="0061054A">
        <w:t>Australian National Accounts: Financial Accounts (ABS cat. 5232.0)</w:t>
      </w:r>
      <w:r>
        <w:t>, tables 32 and 33.</w:t>
      </w:r>
    </w:p>
    <w:p w:rsidR="001E32C9" w:rsidRPr="00575F22" w:rsidRDefault="001E32C9" w:rsidP="001E32C9">
      <w:pPr>
        <w:pStyle w:val="Caption"/>
      </w:pPr>
      <w:bookmarkStart w:id="114" w:name="_Ref403483972"/>
      <w:r w:rsidRPr="00575F22">
        <w:t xml:space="preserve">Figure </w:t>
      </w:r>
      <w:r w:rsidR="005C7F72">
        <w:t>A</w:t>
      </w:r>
      <w:r w:rsidR="00DC50AF">
        <w:noBreakHyphen/>
      </w:r>
      <w:r w:rsidR="00115D92">
        <w:fldChar w:fldCharType="begin"/>
      </w:r>
      <w:r w:rsidR="00115D92">
        <w:instrText xml:space="preserve"> SEQ Figure \* ARABIC \s 1 </w:instrText>
      </w:r>
      <w:r w:rsidR="00115D92">
        <w:fldChar w:fldCharType="separate"/>
      </w:r>
      <w:r w:rsidR="00927273">
        <w:rPr>
          <w:noProof/>
        </w:rPr>
        <w:t>5</w:t>
      </w:r>
      <w:r w:rsidR="00115D92">
        <w:rPr>
          <w:noProof/>
        </w:rPr>
        <w:fldChar w:fldCharType="end"/>
      </w:r>
      <w:bookmarkEnd w:id="113"/>
      <w:bookmarkEnd w:id="114"/>
      <w:r w:rsidRPr="00575F22">
        <w:tab/>
        <w:t>Refined 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776B2E59" wp14:editId="65DE0E55">
            <wp:extent cx="5328000" cy="347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0F2482" w:rsidRDefault="001E32C9" w:rsidP="00703024">
      <w:pPr>
        <w:pStyle w:val="AERbodytext"/>
      </w:pPr>
      <w:r>
        <w:t>Handley advised that all estimation approaches involve uncertainty and imprecision, including the equity ownership approach.</w:t>
      </w:r>
      <w:r>
        <w:rPr>
          <w:rStyle w:val="FootnoteReference"/>
        </w:rPr>
        <w:footnoteReference w:id="187"/>
      </w:r>
      <w:r>
        <w:t xml:space="preserve"> Therefore, we present ranges of estimates for the utilisation rate from the equity ownership approach across the evidence presented in </w:t>
      </w:r>
      <w:r w:rsidR="00AD3769">
        <w:fldChar w:fldCharType="begin"/>
      </w:r>
      <w:r w:rsidR="00AD3769">
        <w:instrText xml:space="preserve"> REF  _Ref399922581 \* Lower \h  \* MERGEFORMAT </w:instrText>
      </w:r>
      <w:r w:rsidR="00AD3769">
        <w:fldChar w:fldCharType="separate"/>
      </w:r>
      <w:r w:rsidR="00927273" w:rsidRPr="00575F22">
        <w:t xml:space="preserve">figure </w:t>
      </w:r>
      <w:r w:rsidR="00927273">
        <w:rPr>
          <w:noProof/>
        </w:rPr>
        <w:t>4</w:t>
      </w:r>
      <w:r w:rsidR="00927273">
        <w:rPr>
          <w:noProof/>
        </w:rPr>
        <w:noBreakHyphen/>
        <w:t>2</w:t>
      </w:r>
      <w:r w:rsidR="00AD3769">
        <w:fldChar w:fldCharType="end"/>
      </w:r>
      <w:r>
        <w:t xml:space="preserve"> to</w:t>
      </w:r>
      <w:r w:rsidR="00703024">
        <w:t xml:space="preserve"> </w:t>
      </w:r>
      <w:r w:rsidR="00AD3769">
        <w:fldChar w:fldCharType="begin"/>
      </w:r>
      <w:r w:rsidR="00AD3769">
        <w:instrText xml:space="preserve"> REF  _Ref403483972 \* Lower \h </w:instrText>
      </w:r>
      <w:r w:rsidR="00AD3769">
        <w:fldChar w:fldCharType="separate"/>
      </w:r>
      <w:r w:rsidR="00927273" w:rsidRPr="00575F22">
        <w:t xml:space="preserve">figure </w:t>
      </w:r>
      <w:r w:rsidR="00927273">
        <w:rPr>
          <w:noProof/>
        </w:rPr>
        <w:t>4</w:t>
      </w:r>
      <w:r w:rsidR="00927273">
        <w:noBreakHyphen/>
      </w:r>
      <w:r w:rsidR="00927273">
        <w:rPr>
          <w:noProof/>
        </w:rPr>
        <w:t>5</w:t>
      </w:r>
      <w:r w:rsidR="00AD3769">
        <w:fldChar w:fldCharType="end"/>
      </w:r>
      <w:r>
        <w:t xml:space="preserve">. With reference also to the preceding discussion, we </w:t>
      </w:r>
      <w:r w:rsidRPr="000F2482">
        <w:t>consider that a reasonable estimate for the utilisation rate from the equity ownership approach is between:</w:t>
      </w:r>
    </w:p>
    <w:p w:rsidR="001E32C9" w:rsidRDefault="001E32C9" w:rsidP="001E32C9">
      <w:pPr>
        <w:pStyle w:val="AERbulletlistfirststyle"/>
      </w:pPr>
      <w:r w:rsidRPr="000F2482">
        <w:t>0.55 and 0.7, if all equity is considered</w:t>
      </w:r>
      <w:r>
        <w:t>, and</w:t>
      </w:r>
    </w:p>
    <w:p w:rsidR="001E32C9" w:rsidRPr="00575F22" w:rsidRDefault="001E32C9" w:rsidP="001E32C9">
      <w:pPr>
        <w:pStyle w:val="AERbulletlistfirststyle"/>
      </w:pPr>
      <w:r w:rsidRPr="000F2482">
        <w:t>0.4 and 0.6, if only listed equity is considered.</w:t>
      </w:r>
    </w:p>
    <w:p w:rsidR="001E32C9" w:rsidRDefault="001E32C9" w:rsidP="001E32C9">
      <w:pPr>
        <w:pStyle w:val="Heading8"/>
        <w:numPr>
          <w:ilvl w:val="5"/>
          <w:numId w:val="57"/>
        </w:numPr>
      </w:pPr>
      <w:bookmarkStart w:id="115" w:name="_Ref403481732"/>
      <w:bookmarkStart w:id="116" w:name="_Toc404334894"/>
      <w:r>
        <w:t>SFG's analysis of equity ownership data</w:t>
      </w:r>
      <w:bookmarkEnd w:id="115"/>
      <w:bookmarkEnd w:id="116"/>
    </w:p>
    <w:p w:rsidR="001E32C9" w:rsidRDefault="001E32C9" w:rsidP="001E32C9">
      <w:pPr>
        <w:pStyle w:val="AERbodytext"/>
      </w:pPr>
      <w:r>
        <w:t>In this section we respond to key comments made by SFG on the equity ownership approach. In summary, we conclude that it is reasonable to have regard to data on the domestic ownership share from the National Accounts and that the data we rely on is the most up to date.</w:t>
      </w:r>
    </w:p>
    <w:p w:rsidR="001E32C9" w:rsidRDefault="001E32C9" w:rsidP="001E32C9">
      <w:pPr>
        <w:pStyle w:val="Heading9"/>
        <w:numPr>
          <w:ilvl w:val="6"/>
          <w:numId w:val="57"/>
        </w:numPr>
      </w:pPr>
      <w:bookmarkStart w:id="117" w:name="_Toc404334895"/>
      <w:r>
        <w:t>Sources of evidence on the ownership of Australian equity</w:t>
      </w:r>
      <w:bookmarkEnd w:id="117"/>
    </w:p>
    <w:p w:rsidR="001E32C9" w:rsidRDefault="001E32C9" w:rsidP="001E32C9">
      <w:pPr>
        <w:pStyle w:val="AERbodytext"/>
      </w:pPr>
      <w:r>
        <w:t xml:space="preserve">SFG assessed the </w:t>
      </w:r>
      <w:r w:rsidR="0033289B">
        <w:t>Guideline</w:t>
      </w:r>
      <w:r>
        <w:t xml:space="preserve"> estimate of the domestic ownership share against three pieces of evidence, all of which use the same source of data. </w:t>
      </w:r>
    </w:p>
    <w:p w:rsidR="001E32C9" w:rsidRDefault="001E32C9" w:rsidP="001E32C9">
      <w:pPr>
        <w:pStyle w:val="AERbodytext"/>
      </w:pPr>
      <w:r w:rsidRPr="00C77485">
        <w:t>SFG refer</w:t>
      </w:r>
      <w:r>
        <w:t>red</w:t>
      </w:r>
      <w:r w:rsidRPr="00C77485">
        <w:t xml:space="preserve"> to three </w:t>
      </w:r>
      <w:r>
        <w:t>pieces</w:t>
      </w:r>
      <w:r w:rsidRPr="00C77485">
        <w:t xml:space="preserve"> of evidence on the domestic</w:t>
      </w:r>
      <w:r>
        <w:t>-foreign</w:t>
      </w:r>
      <w:r w:rsidRPr="00C77485">
        <w:t xml:space="preserve"> ownership</w:t>
      </w:r>
      <w:r>
        <w:t xml:space="preserve"> split</w:t>
      </w:r>
      <w:r w:rsidRPr="00C77485">
        <w:t xml:space="preserve"> of Australian equities:</w:t>
      </w:r>
      <w:r>
        <w:rPr>
          <w:rStyle w:val="FootnoteReference"/>
        </w:rPr>
        <w:footnoteReference w:id="188"/>
      </w:r>
      <w:r w:rsidRPr="00C77485">
        <w:t xml:space="preserve"> </w:t>
      </w:r>
    </w:p>
    <w:p w:rsidR="001E32C9" w:rsidRDefault="001E32C9" w:rsidP="001E32C9">
      <w:pPr>
        <w:pStyle w:val="AERbulletlistfirststyle"/>
      </w:pPr>
      <w:r>
        <w:t>A</w:t>
      </w:r>
      <w:r w:rsidRPr="00C77485">
        <w:t xml:space="preserve"> graph from a 201</w:t>
      </w:r>
      <w:r>
        <w:t>0 Reserve Bank of Australia Bulletin article by Black and Kirkwood.</w:t>
      </w:r>
      <w:r>
        <w:rPr>
          <w:rStyle w:val="FootnoteReference"/>
        </w:rPr>
        <w:footnoteReference w:id="189"/>
      </w:r>
      <w:r w:rsidRPr="00C77485">
        <w:t xml:space="preserve"> </w:t>
      </w:r>
    </w:p>
    <w:p w:rsidR="001E32C9" w:rsidRDefault="001E32C9" w:rsidP="001E32C9">
      <w:pPr>
        <w:pStyle w:val="AERbulletlistfirststyle"/>
      </w:pPr>
      <w:r>
        <w:t>A</w:t>
      </w:r>
      <w:r w:rsidRPr="00C77485">
        <w:t xml:space="preserve"> foreign ownership series that SFG itself derived from the </w:t>
      </w:r>
      <w:r>
        <w:t>National Accounts.</w:t>
      </w:r>
      <w:r>
        <w:rPr>
          <w:rStyle w:val="FootnoteReference"/>
        </w:rPr>
        <w:footnoteReference w:id="190"/>
      </w:r>
    </w:p>
    <w:p w:rsidR="001E32C9" w:rsidRDefault="001E32C9" w:rsidP="001E32C9">
      <w:pPr>
        <w:pStyle w:val="AERbulletlistfirststyle"/>
      </w:pPr>
      <w:r>
        <w:t>A</w:t>
      </w:r>
      <w:r w:rsidRPr="00C77485">
        <w:t>n estimate from a 2013 report by the ASX.</w:t>
      </w:r>
      <w:r>
        <w:rPr>
          <w:rStyle w:val="FootnoteReference"/>
        </w:rPr>
        <w:footnoteReference w:id="191"/>
      </w:r>
      <w:r w:rsidRPr="00C77485">
        <w:t xml:space="preserve"> </w:t>
      </w:r>
    </w:p>
    <w:p w:rsidR="001E32C9" w:rsidRDefault="001E32C9" w:rsidP="001E32C9">
      <w:pPr>
        <w:pStyle w:val="AERbodytext"/>
      </w:pPr>
      <w:r w:rsidRPr="00C77485">
        <w:t>However, all of these estimates use data from</w:t>
      </w:r>
      <w:r>
        <w:t xml:space="preserve"> the same source; specifically,</w:t>
      </w:r>
      <w:r w:rsidRPr="00C77485">
        <w:t xml:space="preserve"> </w:t>
      </w:r>
      <w:r>
        <w:t xml:space="preserve">table 32 of </w:t>
      </w:r>
      <w:r w:rsidRPr="00C77485">
        <w:t>Australian National Accounts: Financial Accounts (ABS cat. 5232.0) (albeit from different releases of this data over time). This fact is clear in respect of</w:t>
      </w:r>
      <w:r>
        <w:t>:</w:t>
      </w:r>
    </w:p>
    <w:p w:rsidR="001E32C9" w:rsidRDefault="001E32C9" w:rsidP="001E32C9">
      <w:pPr>
        <w:pStyle w:val="AERbulletlistfirststyle"/>
      </w:pPr>
      <w:r w:rsidRPr="00C77485">
        <w:t xml:space="preserve">the foreign ownership series derived by SFG given the source </w:t>
      </w:r>
      <w:r>
        <w:t>for figure 9 in SFG's report, and</w:t>
      </w:r>
    </w:p>
    <w:p w:rsidR="001E32C9" w:rsidRDefault="001E32C9" w:rsidP="001E32C9">
      <w:pPr>
        <w:pStyle w:val="AERbulletlistfirststyle"/>
      </w:pPr>
      <w:r w:rsidRPr="00C77485">
        <w:t xml:space="preserve">the estimate from the ASX report given footnote 218 in SFG's report. </w:t>
      </w:r>
    </w:p>
    <w:p w:rsidR="009B1A2A" w:rsidRPr="005657CB" w:rsidRDefault="001E32C9" w:rsidP="001E32C9">
      <w:pPr>
        <w:pStyle w:val="AERbodytext"/>
      </w:pPr>
      <w:r>
        <w:t>This fact is less clear</w:t>
      </w:r>
      <w:r w:rsidRPr="005657CB">
        <w:t xml:space="preserve"> for the graph in Black and Kirkwood's article because, although the ABS is recognised as a source, the specific ABS series does not appear to be identified in the article. However, </w:t>
      </w:r>
      <w:r>
        <w:t>we have been able to</w:t>
      </w:r>
      <w:r w:rsidRPr="005657CB">
        <w:t xml:space="preserve"> identify table 32 of ABS cat. 5232.0 as the source by graphing the 'rest of world' holdings of equity from the March 2010 release of ABS cat. 5232.0, which included data up to December 2009. </w:t>
      </w:r>
    </w:p>
    <w:p w:rsidR="001E32C9" w:rsidRDefault="001E32C9" w:rsidP="001E32C9">
      <w:pPr>
        <w:pStyle w:val="Heading9"/>
        <w:numPr>
          <w:ilvl w:val="6"/>
          <w:numId w:val="57"/>
        </w:numPr>
      </w:pPr>
      <w:bookmarkStart w:id="118" w:name="_Toc404334896"/>
      <w:r>
        <w:t xml:space="preserve">Comparison with the </w:t>
      </w:r>
      <w:r w:rsidR="0033289B">
        <w:t>Guideline</w:t>
      </w:r>
      <w:r>
        <w:t xml:space="preserve"> estimate</w:t>
      </w:r>
      <w:bookmarkEnd w:id="118"/>
    </w:p>
    <w:p w:rsidR="001E32C9" w:rsidRDefault="001E32C9" w:rsidP="001E32C9">
      <w:pPr>
        <w:pStyle w:val="AERbodytext"/>
      </w:pPr>
      <w:r>
        <w:t xml:space="preserve">SFG assessed the </w:t>
      </w:r>
      <w:r w:rsidR="0033289B">
        <w:t>Guideline</w:t>
      </w:r>
      <w:r>
        <w:t xml:space="preserve"> estimate of the domestic ownership share, which was based on all equity, against estimates based on listed equity only.</w:t>
      </w:r>
    </w:p>
    <w:p w:rsidR="001E32C9" w:rsidRDefault="001E32C9" w:rsidP="001E32C9">
      <w:pPr>
        <w:pStyle w:val="AERbodytext"/>
      </w:pPr>
      <w:r>
        <w:t xml:space="preserve">SFG's analysis on pages 82 to 84 of its report suggests that the 70 per cent estimate of the domestic ownership share in the </w:t>
      </w:r>
      <w:r w:rsidR="0033289B">
        <w:t>Guideline</w:t>
      </w:r>
      <w:r>
        <w:t xml:space="preserve"> is too high when compared to the three sources of evidence identified by SFG.</w:t>
      </w:r>
      <w:r>
        <w:rPr>
          <w:rStyle w:val="FootnoteReference"/>
        </w:rPr>
        <w:footnoteReference w:id="192"/>
      </w:r>
      <w:r>
        <w:t xml:space="preserve"> As discussed above, the three sources identified by SFG all rely on the same table from the National Accounts. Moreover, this </w:t>
      </w:r>
      <w:r w:rsidRPr="00C77485">
        <w:t xml:space="preserve">table relates to listed equity only, whereas the 70 per cent estimate </w:t>
      </w:r>
      <w:r>
        <w:t xml:space="preserve">quoted in the </w:t>
      </w:r>
      <w:r w:rsidR="0033289B">
        <w:t>Guideline</w:t>
      </w:r>
      <w:r>
        <w:t xml:space="preserve"> came </w:t>
      </w:r>
      <w:r w:rsidRPr="00C77485">
        <w:t xml:space="preserve">from the 2007 feature article by the ABS </w:t>
      </w:r>
      <w:r>
        <w:t xml:space="preserve">and </w:t>
      </w:r>
      <w:r w:rsidRPr="00C77485">
        <w:t>related to both listed and unlisted equity.</w:t>
      </w:r>
    </w:p>
    <w:p w:rsidR="009B1A2A" w:rsidRPr="00C77485" w:rsidRDefault="009B1A2A" w:rsidP="001E32C9">
      <w:pPr>
        <w:pStyle w:val="AERbodytext"/>
      </w:pPr>
      <w:r>
        <w:t xml:space="preserve">In summary, SFG appears to attempt to demonstrate that our estimate of the domestic ownership share in the Guideline was incorrect or out-dated. However, close examination of SFG's report reveals that SFG's report and the Guideline </w:t>
      </w:r>
      <w:r w:rsidR="00B86469">
        <w:t>used</w:t>
      </w:r>
      <w:r w:rsidR="00003016">
        <w:t xml:space="preserve"> </w:t>
      </w:r>
      <w:r w:rsidR="00096ECC">
        <w:t xml:space="preserve">estimates of </w:t>
      </w:r>
      <w:r w:rsidR="00003016">
        <w:t xml:space="preserve">different </w:t>
      </w:r>
      <w:r w:rsidR="00096ECC">
        <w:t>things</w:t>
      </w:r>
      <w:r>
        <w:t>. SFG's report used data on equity ownership from listed equity only. In the Guideline, we used data on equity ownership from all equity. In this draft decision, we rely on equity ownership data from both listed equity only and all equity.</w:t>
      </w:r>
    </w:p>
    <w:p w:rsidR="001E32C9" w:rsidRDefault="001E32C9" w:rsidP="001E32C9">
      <w:pPr>
        <w:pStyle w:val="Heading9"/>
        <w:numPr>
          <w:ilvl w:val="6"/>
          <w:numId w:val="57"/>
        </w:numPr>
      </w:pPr>
      <w:bookmarkStart w:id="119" w:name="_Toc404334897"/>
      <w:r>
        <w:t>ABS data quality</w:t>
      </w:r>
      <w:bookmarkEnd w:id="119"/>
    </w:p>
    <w:p w:rsidR="001E32C9" w:rsidRDefault="001E32C9" w:rsidP="001E32C9">
      <w:pPr>
        <w:pStyle w:val="AERbodytext"/>
      </w:pPr>
      <w:r>
        <w:t>Our regard to data from the National Accounts is not affected by the data quality concerns identified by SFG.</w:t>
      </w:r>
    </w:p>
    <w:p w:rsidR="001E32C9" w:rsidRPr="00C77485" w:rsidRDefault="001E32C9" w:rsidP="001E32C9">
      <w:pPr>
        <w:pStyle w:val="AERbodytext"/>
      </w:pPr>
      <w:r w:rsidRPr="00C77485">
        <w:t>SFG state</w:t>
      </w:r>
      <w:r>
        <w:t>d</w:t>
      </w:r>
      <w:r w:rsidRPr="00C77485">
        <w:t xml:space="preserve"> that:</w:t>
      </w:r>
      <w:r>
        <w:rPr>
          <w:rStyle w:val="FootnoteReference"/>
        </w:rPr>
        <w:footnoteReference w:id="193"/>
      </w:r>
    </w:p>
    <w:p w:rsidR="001E32C9" w:rsidRPr="00C77485" w:rsidRDefault="001E32C9" w:rsidP="001E32C9">
      <w:pPr>
        <w:pStyle w:val="AERquote"/>
      </w:pPr>
      <w:r w:rsidRPr="00C77485">
        <w:t>The Australian Bureau of Statistics has posted a data quality warning in relation to the data that has been relied upon by Lally (2103a) [sic] and the AER.</w:t>
      </w:r>
    </w:p>
    <w:p w:rsidR="001E32C9" w:rsidRPr="00C77485" w:rsidRDefault="001E32C9" w:rsidP="001E32C9">
      <w:pPr>
        <w:pStyle w:val="AERbodytext"/>
      </w:pPr>
      <w:r w:rsidRPr="00C77485">
        <w:t>The 'data quality warning' to which SFG refer</w:t>
      </w:r>
      <w:r>
        <w:t>red</w:t>
      </w:r>
      <w:r w:rsidRPr="00C77485">
        <w:t xml:space="preserve"> is a section from an ABS feature article from 1992.</w:t>
      </w:r>
      <w:r w:rsidRPr="009A339F">
        <w:rPr>
          <w:rStyle w:val="FootnoteReference"/>
        </w:rPr>
        <w:footnoteReference w:id="194"/>
      </w:r>
      <w:r w:rsidRPr="00C77485">
        <w:t xml:space="preserve"> It gives us no cause to stop having regard to data from </w:t>
      </w:r>
      <w:r>
        <w:t>the National Accounts</w:t>
      </w:r>
      <w:r w:rsidRPr="00C77485">
        <w:t xml:space="preserve">. This is because: </w:t>
      </w:r>
    </w:p>
    <w:p w:rsidR="001E32C9" w:rsidRPr="00C77485" w:rsidRDefault="001E32C9" w:rsidP="001E32C9">
      <w:pPr>
        <w:pStyle w:val="AERbulletlistfirststyle"/>
      </w:pPr>
      <w:r w:rsidRPr="00C77485">
        <w:t xml:space="preserve">The ABS article in question is over 20 years old. We consider that the ABS has likely improved the quality of this data over time. </w:t>
      </w:r>
      <w:r>
        <w:t>T</w:t>
      </w:r>
      <w:r w:rsidRPr="00C77485">
        <w:t>he September 2014 release of ABS cat. 5232.0 discusses in some detail the most recent set of revisions and improvements to this data.</w:t>
      </w:r>
      <w:r w:rsidRPr="003377F9">
        <w:rPr>
          <w:rStyle w:val="FootnoteReference"/>
        </w:rPr>
        <w:footnoteReference w:id="195"/>
      </w:r>
    </w:p>
    <w:p w:rsidR="001E32C9" w:rsidRPr="00C77485" w:rsidRDefault="001E32C9" w:rsidP="001E32C9">
      <w:pPr>
        <w:pStyle w:val="AERbulletlistfirststyle"/>
      </w:pPr>
      <w:r w:rsidRPr="00C77485">
        <w:t xml:space="preserve">The data is deemed to be of publishable quality by </w:t>
      </w:r>
      <w:r>
        <w:t>the ABS</w:t>
      </w:r>
      <w:r w:rsidRPr="00C77485">
        <w:t xml:space="preserve">. We therefore think it is reasonable to have regard to it, notwithstanding any residual quality issues that may exist.  </w:t>
      </w:r>
    </w:p>
    <w:p w:rsidR="001E32C9" w:rsidRPr="00C77485" w:rsidRDefault="001E32C9" w:rsidP="001E32C9">
      <w:pPr>
        <w:pStyle w:val="AERbulletlistfirststyle"/>
      </w:pPr>
      <w:r w:rsidRPr="00C77485">
        <w:t>This 'data quality warning' is not repeated in the ABS feature article from 2007.</w:t>
      </w:r>
    </w:p>
    <w:p w:rsidR="001E32C9" w:rsidRDefault="001E32C9" w:rsidP="001E32C9">
      <w:pPr>
        <w:pStyle w:val="Heading8"/>
        <w:numPr>
          <w:ilvl w:val="5"/>
          <w:numId w:val="57"/>
        </w:numPr>
      </w:pPr>
      <w:bookmarkStart w:id="120" w:name="_Ref402179420"/>
      <w:bookmarkStart w:id="121" w:name="_Toc404334898"/>
      <w:r>
        <w:t>Tax statistics</w:t>
      </w:r>
      <w:bookmarkEnd w:id="120"/>
      <w:bookmarkEnd w:id="121"/>
    </w:p>
    <w:p w:rsidR="001E32C9" w:rsidRDefault="001E32C9" w:rsidP="001E32C9">
      <w:pPr>
        <w:pStyle w:val="AERbodytext"/>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196"/>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amount of credits utilised divided by the reported amount of credits distributed is a reasonable estimate of the utilisation rate.</w:t>
      </w:r>
    </w:p>
    <w:p w:rsidR="001E32C9" w:rsidRDefault="001E32C9" w:rsidP="001E32C9">
      <w:pPr>
        <w:pStyle w:val="AERbodytext"/>
      </w:pPr>
      <w:r>
        <w:t xml:space="preserve">Our position on the use of tax statistics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explain how our position has changed compared to that in the </w:t>
      </w:r>
      <w:r w:rsidR="0033289B">
        <w:t>Guideline</w:t>
      </w:r>
      <w:r>
        <w:t>.</w:t>
      </w:r>
    </w:p>
    <w:p w:rsidR="001E32C9" w:rsidRDefault="001E32C9" w:rsidP="001E32C9">
      <w:pPr>
        <w:pStyle w:val="AERbodytext"/>
      </w:pPr>
      <w:r>
        <w:t>We consider that tax statistics support an estimate of the utilisation rate between 0.4 and 0.6, although our estimate of the distribution rate implies that we should adopt a utilisation rate of around 0.43 from within this range.</w:t>
      </w:r>
    </w:p>
    <w:p w:rsidR="001E32C9" w:rsidRDefault="001E32C9" w:rsidP="001E32C9">
      <w:pPr>
        <w:pStyle w:val="AERbodytext"/>
      </w:pPr>
      <w:r>
        <w:t xml:space="preserve">In the </w:t>
      </w:r>
      <w:r w:rsidR="0033289B">
        <w:t>Guideline</w:t>
      </w:r>
      <w:r>
        <w:t>, we considered that tax statistics supported a utilisation rate between 0.4 and 0.8. This was based on:</w:t>
      </w:r>
    </w:p>
    <w:p w:rsidR="001E32C9" w:rsidRDefault="001E32C9" w:rsidP="001E32C9">
      <w:pPr>
        <w:pStyle w:val="AERbulletlistfirststyle"/>
      </w:pPr>
      <w:r>
        <w:t xml:space="preserve">A 2013 report by Hathaway, </w:t>
      </w:r>
      <w:r w:rsidRPr="002D06FF">
        <w:t xml:space="preserve">which </w:t>
      </w:r>
      <w:r>
        <w:t>sought</w:t>
      </w:r>
      <w:r w:rsidRPr="002D06FF">
        <w:t xml:space="preserve"> to estimate the </w:t>
      </w:r>
      <w:r>
        <w:t>proportion</w:t>
      </w:r>
      <w:r w:rsidRPr="002D06FF">
        <w:t xml:space="preserve"> of distributed credits that have been </w:t>
      </w:r>
      <w:r>
        <w:t>utilised</w:t>
      </w:r>
      <w:r w:rsidRPr="002D06FF">
        <w:t>.</w:t>
      </w:r>
      <w:r>
        <w:t xml:space="preserve"> This report produced two estimates for the period 2004 to 2011: 0.43 and 0.61. The two estimates reflect two alternative measures of the value of credits distributed, which in turn imply two alternative estimates of the distribution rate (as discussed in section </w:t>
      </w:r>
      <w:r>
        <w:fldChar w:fldCharType="begin"/>
      </w:r>
      <w:r>
        <w:instrText xml:space="preserve"> REF _Ref401133206 \r \h </w:instrText>
      </w:r>
      <w:r>
        <w:fldChar w:fldCharType="separate"/>
      </w:r>
      <w:r w:rsidR="00927273">
        <w:t>A.9</w:t>
      </w:r>
      <w:r>
        <w:fldChar w:fldCharType="end"/>
      </w:r>
      <w:r>
        <w:t>). The 0.43 and 0.61 estimates of the utilisation rate correspond to estimates of the distribution rate of around 0.7 and 0.5 respectively.</w:t>
      </w:r>
      <w:r>
        <w:rPr>
          <w:rStyle w:val="FootnoteReference"/>
        </w:rPr>
        <w:footnoteReference w:id="197"/>
      </w:r>
      <w:r>
        <w:t xml:space="preserve"> </w:t>
      </w:r>
    </w:p>
    <w:p w:rsidR="001E32C9" w:rsidRDefault="001E32C9" w:rsidP="001E32C9">
      <w:pPr>
        <w:pStyle w:val="AERbulletlistfirststyle"/>
      </w:pPr>
      <w:r>
        <w:t>A 2004 paper by Handley and Maheswaran, which sought</w:t>
      </w:r>
      <w:r w:rsidRPr="002D06FF">
        <w:t xml:space="preserve"> to estimate the </w:t>
      </w:r>
      <w:r>
        <w:t>proportion</w:t>
      </w:r>
      <w:r w:rsidRPr="002D06FF">
        <w:t xml:space="preserve"> of distributed credits that were used to reduce </w:t>
      </w:r>
      <w:r>
        <w:t>investors' tax liabilities. This paper produced an estimate for the period 2001 to 2004 of 0.81.</w:t>
      </w:r>
    </w:p>
    <w:p w:rsidR="001E32C9" w:rsidRDefault="001E32C9" w:rsidP="001E32C9">
      <w:pPr>
        <w:pStyle w:val="AERbodytext"/>
      </w:pPr>
      <w:r>
        <w:t xml:space="preserve">Since the </w:t>
      </w:r>
      <w:r w:rsidR="0033289B">
        <w:t>Guideline</w:t>
      </w:r>
      <w:r>
        <w:t xml:space="preserve"> we have continued to examine this evidence. We now consider that greater reliance should be placed upon estimates that are:</w:t>
      </w:r>
    </w:p>
    <w:p w:rsidR="001E32C9" w:rsidRDefault="001E32C9" w:rsidP="001E32C9">
      <w:pPr>
        <w:pStyle w:val="AERbulletlistfirststyle"/>
      </w:pPr>
      <w:r>
        <w:t>derived from post-2004 data, consistent with Hathaway's findings that the ATO statistics are subject to a number of issues prior to 2004,</w:t>
      </w:r>
      <w:r>
        <w:rPr>
          <w:rStyle w:val="FootnoteReference"/>
        </w:rPr>
        <w:footnoteReference w:id="198"/>
      </w:r>
      <w:r>
        <w:t xml:space="preserve"> and</w:t>
      </w:r>
    </w:p>
    <w:p w:rsidR="001E32C9" w:rsidRDefault="001E32C9" w:rsidP="001E32C9">
      <w:pPr>
        <w:pStyle w:val="AERbulletlistfirststyle"/>
      </w:pPr>
      <w:r>
        <w:t>consistent with our preferred estimates of the distribution rate.</w:t>
      </w:r>
    </w:p>
    <w:p w:rsidR="001E32C9" w:rsidRDefault="001E32C9" w:rsidP="001E32C9">
      <w:pPr>
        <w:pStyle w:val="AERbodytext"/>
      </w:pPr>
      <w:r>
        <w:t>Applying these considerations, we place less reliance upon:</w:t>
      </w:r>
    </w:p>
    <w:p w:rsidR="001E32C9" w:rsidRDefault="001E32C9" w:rsidP="001E32C9">
      <w:pPr>
        <w:pStyle w:val="AERbulletlistfirststyle"/>
      </w:pPr>
      <w:r>
        <w:t>Handley and Maheswaran's estimate of 0.81, because this is (predominantly) derived from pre-2004 data.</w:t>
      </w:r>
    </w:p>
    <w:p w:rsidR="001E32C9" w:rsidRDefault="001E32C9" w:rsidP="001E32C9">
      <w:pPr>
        <w:pStyle w:val="AERbulletlistfirststyle"/>
      </w:pPr>
      <w:r>
        <w:t xml:space="preserve">Hathaway's estimate of 0.61, because this corresponds to an estimate of the distribution rate of around 0.5 whereas we </w:t>
      </w:r>
      <w:r w:rsidR="00026B9F">
        <w:t>adopt an</w:t>
      </w:r>
      <w:r>
        <w:t xml:space="preserve"> estimate of the distribution rate</w:t>
      </w:r>
      <w:r w:rsidR="00026B9F">
        <w:t xml:space="preserve"> over all equity</w:t>
      </w:r>
      <w:r>
        <w:t xml:space="preserve"> of 0.7.</w:t>
      </w:r>
    </w:p>
    <w:p w:rsidR="001E32C9" w:rsidRDefault="001E32C9" w:rsidP="001E32C9">
      <w:pPr>
        <w:pStyle w:val="Heading8"/>
        <w:numPr>
          <w:ilvl w:val="5"/>
          <w:numId w:val="57"/>
        </w:numPr>
      </w:pPr>
      <w:bookmarkStart w:id="122" w:name="_Ref401080753"/>
      <w:bookmarkStart w:id="123" w:name="_Toc404334899"/>
      <w:bookmarkEnd w:id="61"/>
      <w:bookmarkEnd w:id="62"/>
      <w:r>
        <w:t>Implied market value studies</w:t>
      </w:r>
      <w:bookmarkEnd w:id="122"/>
      <w:bookmarkEnd w:id="123"/>
    </w:p>
    <w:p w:rsidR="001E32C9" w:rsidRDefault="001E32C9" w:rsidP="001E32C9">
      <w:pPr>
        <w:pStyle w:val="AERbodytext"/>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p>
    <w:p w:rsidR="001E32C9" w:rsidRDefault="001E32C9" w:rsidP="001E32C9">
      <w:pPr>
        <w:pStyle w:val="AERbodytext"/>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the level of reliance we place on implied market value studies reflects the limitations of these studies. We discuss the limitations of the most common type of implied market value study, dividend drop off studies, in section </w:t>
      </w:r>
      <w:r>
        <w:fldChar w:fldCharType="begin"/>
      </w:r>
      <w:r>
        <w:instrText xml:space="preserve"> REF _Ref401276227 \r \h </w:instrText>
      </w:r>
      <w:r>
        <w:fldChar w:fldCharType="separate"/>
      </w:r>
      <w:r w:rsidR="00927273">
        <w:t>A.15</w:t>
      </w:r>
      <w:r>
        <w:fldChar w:fldCharType="end"/>
      </w:r>
      <w:r>
        <w:t>.</w:t>
      </w:r>
    </w:p>
    <w:p w:rsidR="001E32C9" w:rsidRPr="00222643" w:rsidRDefault="001E32C9" w:rsidP="001E32C9">
      <w:pPr>
        <w:pStyle w:val="Heading9"/>
        <w:numPr>
          <w:ilvl w:val="6"/>
          <w:numId w:val="57"/>
        </w:numPr>
      </w:pPr>
      <w:bookmarkStart w:id="124" w:name="_Ref402791521"/>
      <w:bookmarkStart w:id="125" w:name="_Toc404334900"/>
      <w:r w:rsidRPr="00222643">
        <w:t>Types of implied market value studies</w:t>
      </w:r>
      <w:bookmarkEnd w:id="124"/>
      <w:bookmarkEnd w:id="125"/>
    </w:p>
    <w:p w:rsidR="001E32C9" w:rsidRPr="00222643" w:rsidRDefault="001E32C9" w:rsidP="001E32C9">
      <w:pPr>
        <w:pStyle w:val="AERbodytext"/>
      </w:pPr>
      <w:r w:rsidRPr="00222643">
        <w:t>In this section, we describe the key characteristics of dividend drop off studies and other implied market value studies.</w:t>
      </w:r>
    </w:p>
    <w:p w:rsidR="001E32C9" w:rsidRPr="00222643" w:rsidRDefault="001E32C9" w:rsidP="001E32C9">
      <w:pPr>
        <w:pStyle w:val="HeadingBoldBlue"/>
      </w:pPr>
      <w:r w:rsidRPr="00222643">
        <w:t>Dividend drop off studies</w:t>
      </w:r>
    </w:p>
    <w:p w:rsidR="001E32C9" w:rsidRPr="00222643" w:rsidRDefault="001E32C9" w:rsidP="001E32C9">
      <w:pPr>
        <w:pStyle w:val="AERbodytext"/>
      </w:pPr>
      <w:r w:rsidRPr="00222643">
        <w:t>Dividend drop off studies are the most common type of implied market value study. These studies involve comparing share prices between:</w:t>
      </w:r>
    </w:p>
    <w:p w:rsidR="001E32C9" w:rsidRPr="00222643" w:rsidRDefault="001E32C9" w:rsidP="001E32C9">
      <w:pPr>
        <w:pStyle w:val="AERbulletlistfirststyle"/>
      </w:pPr>
      <w:r w:rsidRPr="00222643">
        <w:t>the cum-dividend date—the last day on which investors owning shares will be eligible to receive dividends and the attached imputation credits</w:t>
      </w:r>
      <w:r>
        <w:t>, and</w:t>
      </w:r>
    </w:p>
    <w:p w:rsidR="001E32C9" w:rsidRPr="00222643" w:rsidRDefault="001E32C9" w:rsidP="001E32C9">
      <w:pPr>
        <w:pStyle w:val="AERbulletlistfirststyle"/>
      </w:pPr>
      <w:r w:rsidRPr="00222643">
        <w:t>the ex-dividend date—the first day on which investors owning shares will not be eligible to receive dividends and attached imputation credits.</w:t>
      </w:r>
    </w:p>
    <w:p w:rsidR="001E32C9" w:rsidRDefault="001E32C9" w:rsidP="001E32C9">
      <w:pPr>
        <w:pStyle w:val="AERbodytext"/>
      </w:pPr>
      <w:r w:rsidRPr="00222643">
        <w:t xml:space="preserve">That is, an investor that buys a share on the cum-dividend date will be eligible to receive a dividend from that company. In theory, an investor who buys a share on the ex-dividend date will not. The difference in these prices should therefore reflect the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1E32C9" w:rsidRDefault="001E32C9" w:rsidP="001E32C9">
      <w:pPr>
        <w:pStyle w:val="AERbodytext"/>
      </w:pPr>
      <w:r>
        <w:fldChar w:fldCharType="begin"/>
      </w:r>
      <w:r>
        <w:instrText xml:space="preserve"> REF _Ref401075742 \h </w:instrText>
      </w:r>
      <w:r>
        <w:fldChar w:fldCharType="separate"/>
      </w:r>
      <w:r w:rsidR="00927273">
        <w:t xml:space="preserve">Table </w:t>
      </w:r>
      <w:r w:rsidR="008252DC">
        <w:t>A</w:t>
      </w:r>
      <w:r w:rsidR="00927273">
        <w:noBreakHyphen/>
      </w:r>
      <w:r w:rsidR="008252DC">
        <w:t>6</w:t>
      </w:r>
      <w:r>
        <w:fldChar w:fldCharType="end"/>
      </w:r>
      <w:r w:rsidR="008252DC">
        <w:t xml:space="preserve"> </w:t>
      </w:r>
      <w:r w:rsidR="008104A9">
        <w:t xml:space="preserve">identifies the dividend drop off studies that we are aware of, and </w:t>
      </w:r>
      <w:r w:rsidR="00F72F56">
        <w:t xml:space="preserve">describes </w:t>
      </w:r>
      <w:r>
        <w:t xml:space="preserve">the </w:t>
      </w:r>
      <w:r w:rsidR="00F72F56">
        <w:t xml:space="preserve">methodology of each </w:t>
      </w:r>
      <w:r>
        <w:t>stud</w:t>
      </w:r>
      <w:r w:rsidR="00F72F56">
        <w:t>y</w:t>
      </w:r>
      <w:r>
        <w:t>.</w:t>
      </w:r>
      <w:r w:rsidR="00F72F56">
        <w:t xml:space="preserve"> The results from these studies are presented in </w:t>
      </w:r>
      <w:r w:rsidR="00065E24">
        <w:fldChar w:fldCharType="begin"/>
      </w:r>
      <w:r w:rsidR="00065E24">
        <w:instrText xml:space="preserve"> REF  _Ref401075676 \* Lower \h </w:instrText>
      </w:r>
      <w:r w:rsidR="00065E24">
        <w:fldChar w:fldCharType="separate"/>
      </w:r>
      <w:r w:rsidR="00927273">
        <w:t xml:space="preserve">table </w:t>
      </w:r>
      <w:r w:rsidR="00927273">
        <w:rPr>
          <w:noProof/>
        </w:rPr>
        <w:t>4</w:t>
      </w:r>
      <w:r w:rsidR="00927273">
        <w:noBreakHyphen/>
      </w:r>
      <w:r w:rsidR="00927273">
        <w:rPr>
          <w:noProof/>
        </w:rPr>
        <w:t>10</w:t>
      </w:r>
      <w:r w:rsidR="00065E24">
        <w:fldChar w:fldCharType="end"/>
      </w:r>
      <w:r w:rsidR="00F72F56">
        <w:t>.</w:t>
      </w:r>
    </w:p>
    <w:p w:rsidR="001E32C9" w:rsidRDefault="001E32C9" w:rsidP="001E32C9">
      <w:pPr>
        <w:pStyle w:val="Caption"/>
      </w:pPr>
      <w:bookmarkStart w:id="126" w:name="_Ref401075742"/>
      <w:r>
        <w:t xml:space="preserve">Table </w:t>
      </w:r>
      <w:r w:rsidR="008252DC">
        <w:t>A</w:t>
      </w:r>
      <w:r w:rsidR="00C20561">
        <w:noBreakHyphen/>
      </w:r>
      <w:r w:rsidR="008252DC">
        <w:t>6</w:t>
      </w:r>
      <w:bookmarkEnd w:id="126"/>
      <w:r>
        <w:tab/>
        <w:t>Summary of available dividend drop off studies</w:t>
      </w:r>
    </w:p>
    <w:tbl>
      <w:tblPr>
        <w:tblStyle w:val="AERtable-text"/>
        <w:tblW w:w="0" w:type="auto"/>
        <w:tblLook w:val="04A0" w:firstRow="1" w:lastRow="0" w:firstColumn="1" w:lastColumn="0" w:noHBand="0" w:noVBand="1"/>
      </w:tblPr>
      <w:tblGrid>
        <w:gridCol w:w="2518"/>
        <w:gridCol w:w="1276"/>
        <w:gridCol w:w="5448"/>
      </w:tblGrid>
      <w:tr w:rsidR="001E32C9" w:rsidTr="001752ED">
        <w:trPr>
          <w:cnfStyle w:val="100000000000" w:firstRow="1" w:lastRow="0" w:firstColumn="0" w:lastColumn="0" w:oddVBand="0" w:evenVBand="0" w:oddHBand="0" w:evenHBand="0" w:firstRowFirstColumn="0" w:firstRowLastColumn="0" w:lastRowFirstColumn="0" w:lastRowLastColumn="0"/>
        </w:trPr>
        <w:tc>
          <w:tcPr>
            <w:tcW w:w="2518" w:type="dxa"/>
          </w:tcPr>
          <w:p w:rsidR="001E32C9" w:rsidRPr="001E32C9" w:rsidRDefault="001E32C9" w:rsidP="001E32C9">
            <w:r w:rsidRPr="00222643">
              <w:t>Authors</w:t>
            </w:r>
          </w:p>
        </w:tc>
        <w:tc>
          <w:tcPr>
            <w:tcW w:w="1276" w:type="dxa"/>
          </w:tcPr>
          <w:p w:rsidR="001E32C9" w:rsidRPr="001E32C9" w:rsidRDefault="001E32C9" w:rsidP="001E32C9">
            <w:r w:rsidRPr="00222643">
              <w:t>Data range</w:t>
            </w:r>
          </w:p>
        </w:tc>
        <w:tc>
          <w:tcPr>
            <w:tcW w:w="5448" w:type="dxa"/>
          </w:tcPr>
          <w:p w:rsidR="001E32C9" w:rsidRPr="001E32C9" w:rsidRDefault="001E32C9" w:rsidP="001E32C9">
            <w:r w:rsidRPr="00222643">
              <w:t xml:space="preserve">Assessment </w:t>
            </w:r>
            <w:r w:rsidRPr="001E32C9">
              <w:t>relative to other studies in that class</w:t>
            </w:r>
          </w:p>
        </w:tc>
      </w:tr>
      <w:tr w:rsidR="001E32C9" w:rsidTr="001752ED">
        <w:tc>
          <w:tcPr>
            <w:tcW w:w="9242" w:type="dxa"/>
            <w:gridSpan w:val="3"/>
          </w:tcPr>
          <w:p w:rsidR="001E32C9" w:rsidRDefault="001E32C9" w:rsidP="001E32C9">
            <w:pPr>
              <w:pStyle w:val="AERbodytext"/>
            </w:pPr>
            <w:r w:rsidRPr="009229BE">
              <w:rPr>
                <w:rStyle w:val="AERtextbold"/>
              </w:rPr>
              <w:t>Dividend drop off study</w:t>
            </w:r>
            <w:r w:rsidRPr="00222643">
              <w:t xml:space="preserve"> – Compare share prices before and after dividend events (with and without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Vo et al (2013)</w:t>
            </w:r>
            <w:r w:rsidRPr="001E32C9">
              <w:rPr>
                <w:rStyle w:val="FootnoteReference"/>
              </w:rPr>
              <w:footnoteReference w:id="199"/>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 xml:space="preserve">Builds on SFG (2011), </w:t>
            </w:r>
            <w:r w:rsidRPr="001E32C9">
              <w:t>includes additional econometric permutations and sensitivity analysis.</w:t>
            </w:r>
          </w:p>
        </w:tc>
      </w:tr>
      <w:tr w:rsidR="001E32C9" w:rsidTr="001752ED">
        <w:tc>
          <w:tcPr>
            <w:tcW w:w="2518" w:type="dxa"/>
          </w:tcPr>
          <w:p w:rsidR="001E32C9" w:rsidRPr="001E32C9" w:rsidRDefault="001E32C9" w:rsidP="001E32C9">
            <w:r w:rsidRPr="00222643">
              <w:t>SFG (2013a)</w:t>
            </w:r>
            <w:r w:rsidRPr="001E32C9">
              <w:rPr>
                <w:rStyle w:val="FootnoteReference"/>
              </w:rPr>
              <w:footnoteReference w:id="200"/>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Updates SFG (2011) – same author, longer data series.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SFG (2011)</w:t>
            </w:r>
            <w:r w:rsidRPr="001E32C9">
              <w:rPr>
                <w:rStyle w:val="FootnoteReference"/>
              </w:rPr>
              <w:footnoteReference w:id="201"/>
            </w:r>
          </w:p>
        </w:tc>
        <w:tc>
          <w:tcPr>
            <w:tcW w:w="1276" w:type="dxa"/>
          </w:tcPr>
          <w:p w:rsidR="001E32C9" w:rsidRPr="001E32C9" w:rsidRDefault="001E32C9" w:rsidP="001E32C9">
            <w:r w:rsidRPr="00222643">
              <w:t>2001-2010</w:t>
            </w:r>
          </w:p>
        </w:tc>
        <w:tc>
          <w:tcPr>
            <w:tcW w:w="5448" w:type="dxa"/>
          </w:tcPr>
          <w:p w:rsidR="001E32C9" w:rsidRPr="001E32C9" w:rsidRDefault="001E32C9" w:rsidP="001E32C9">
            <w:r w:rsidRPr="00222643">
              <w:t xml:space="preserve">Study commissioned by the </w:t>
            </w:r>
            <w:r w:rsidRPr="001E32C9">
              <w:t>Australian Competition Tribunal.</w:t>
            </w:r>
          </w:p>
        </w:tc>
      </w:tr>
      <w:tr w:rsidR="001E32C9" w:rsidTr="001752ED">
        <w:tc>
          <w:tcPr>
            <w:tcW w:w="2518" w:type="dxa"/>
          </w:tcPr>
          <w:p w:rsidR="001E32C9" w:rsidRPr="001E32C9" w:rsidRDefault="001E32C9" w:rsidP="001E32C9">
            <w:r w:rsidRPr="00222643">
              <w:t>Minney (2010)</w:t>
            </w:r>
            <w:r w:rsidRPr="001E32C9">
              <w:rPr>
                <w:rStyle w:val="FootnoteReference"/>
              </w:rPr>
              <w:footnoteReference w:id="202"/>
            </w:r>
          </w:p>
        </w:tc>
        <w:tc>
          <w:tcPr>
            <w:tcW w:w="1276" w:type="dxa"/>
          </w:tcPr>
          <w:p w:rsidR="001E32C9" w:rsidRPr="001E32C9" w:rsidRDefault="001E32C9" w:rsidP="001E32C9">
            <w:r w:rsidRPr="00222643">
              <w:t>2001–2009</w:t>
            </w:r>
          </w:p>
        </w:tc>
        <w:tc>
          <w:tcPr>
            <w:tcW w:w="5448" w:type="dxa"/>
          </w:tcPr>
          <w:p w:rsidR="001E32C9" w:rsidRPr="001E32C9" w:rsidRDefault="001E32C9" w:rsidP="001E32C9">
            <w:r w:rsidRPr="00222643">
              <w:t>Partitions by firm</w:t>
            </w:r>
            <w:r w:rsidRPr="001E32C9">
              <w:t xml:space="preserve"> size; sub-periods 2001–2005 and 2006–2009.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Beggs and Skeels (2006)</w:t>
            </w:r>
            <w:r w:rsidRPr="001E32C9">
              <w:rPr>
                <w:rStyle w:val="FootnoteReference"/>
              </w:rPr>
              <w:footnoteReference w:id="203"/>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Key study in the AER's 2009 review</w:t>
            </w:r>
            <w:r w:rsidRPr="001E32C9">
              <w:t xml:space="preserve"> of rate of return parameters. Data calculated yearly.</w:t>
            </w:r>
          </w:p>
        </w:tc>
      </w:tr>
      <w:tr w:rsidR="001E32C9" w:rsidTr="001752ED">
        <w:tc>
          <w:tcPr>
            <w:tcW w:w="2518" w:type="dxa"/>
          </w:tcPr>
          <w:p w:rsidR="001E32C9" w:rsidRPr="001E32C9" w:rsidRDefault="001E32C9" w:rsidP="001E32C9">
            <w:r w:rsidRPr="00222643">
              <w:t>Hathaway and Officer (2004)</w:t>
            </w:r>
            <w:r w:rsidRPr="001E32C9">
              <w:rPr>
                <w:rStyle w:val="FootnoteReference"/>
              </w:rPr>
              <w:footnoteReference w:id="204"/>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 xml:space="preserve">Study partitions by firm size, </w:t>
            </w:r>
            <w:r w:rsidRPr="001E32C9">
              <w:t>dividend yield level.</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Bellamy and Gray (2004)</w:t>
            </w:r>
            <w:r w:rsidRPr="001E32C9">
              <w:rPr>
                <w:rStyle w:val="FootnoteReference"/>
              </w:rPr>
              <w:footnoteReference w:id="205"/>
            </w:r>
          </w:p>
        </w:tc>
        <w:tc>
          <w:tcPr>
            <w:tcW w:w="1276" w:type="dxa"/>
          </w:tcPr>
          <w:p w:rsidR="001E32C9" w:rsidRPr="001E32C9" w:rsidRDefault="001E32C9" w:rsidP="001E32C9">
            <w:r w:rsidRPr="00222643">
              <w:t>1995-2002</w:t>
            </w:r>
          </w:p>
        </w:tc>
        <w:tc>
          <w:tcPr>
            <w:tcW w:w="5448" w:type="dxa"/>
          </w:tcPr>
          <w:p w:rsidR="001E32C9" w:rsidRPr="001E32C9" w:rsidRDefault="001E32C9" w:rsidP="001E32C9">
            <w:r w:rsidRPr="00222643">
              <w:t>Several regression forms</w:t>
            </w:r>
            <w:r w:rsidRPr="001E32C9">
              <w:t xml:space="preserve"> and sample selections. Partitions by size and time period (pre and post 45-day holding rule). Use of simulation to inform regression equation.</w:t>
            </w:r>
          </w:p>
        </w:tc>
      </w:tr>
      <w:tr w:rsidR="001E32C9" w:rsidTr="001752ED">
        <w:tc>
          <w:tcPr>
            <w:tcW w:w="2518" w:type="dxa"/>
          </w:tcPr>
          <w:p w:rsidR="001E32C9" w:rsidRPr="001E32C9" w:rsidRDefault="001E32C9" w:rsidP="001E32C9">
            <w:r w:rsidRPr="00222643">
              <w:t>Bruckner et al (1994)</w:t>
            </w:r>
            <w:r w:rsidRPr="001E32C9">
              <w:rPr>
                <w:rStyle w:val="FootnoteReference"/>
              </w:rPr>
              <w:footnoteReference w:id="206"/>
            </w:r>
          </w:p>
        </w:tc>
        <w:tc>
          <w:tcPr>
            <w:tcW w:w="1276" w:type="dxa"/>
          </w:tcPr>
          <w:p w:rsidR="001E32C9" w:rsidRPr="001E32C9" w:rsidRDefault="001E32C9" w:rsidP="001E32C9">
            <w:r w:rsidRPr="00222643">
              <w:t>1987-1993</w:t>
            </w:r>
          </w:p>
        </w:tc>
        <w:tc>
          <w:tcPr>
            <w:tcW w:w="5448" w:type="dxa"/>
          </w:tcPr>
          <w:p w:rsidR="001E32C9" w:rsidRPr="001E32C9" w:rsidRDefault="001E32C9" w:rsidP="001E32C9">
            <w:r w:rsidRPr="00222643">
              <w:t>Early study</w:t>
            </w:r>
            <w:r w:rsidRPr="001E32C9">
              <w:t xml:space="preserve"> with limited data; sub-periods 1987–1990 and 1991–1993.</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Brown and Clarke (1</w:t>
            </w:r>
            <w:r w:rsidRPr="001E32C9">
              <w:t>993)</w:t>
            </w:r>
            <w:r w:rsidRPr="001E32C9">
              <w:rPr>
                <w:rStyle w:val="FootnoteReference"/>
              </w:rPr>
              <w:footnoteReference w:id="207"/>
            </w:r>
          </w:p>
        </w:tc>
        <w:tc>
          <w:tcPr>
            <w:tcW w:w="1276" w:type="dxa"/>
          </w:tcPr>
          <w:p w:rsidR="001E32C9" w:rsidRPr="001E32C9" w:rsidRDefault="001E32C9" w:rsidP="001E32C9">
            <w:r>
              <w:t>1973</w:t>
            </w:r>
            <w:r w:rsidRPr="001E32C9">
              <w:t>–1991</w:t>
            </w:r>
          </w:p>
        </w:tc>
        <w:tc>
          <w:tcPr>
            <w:tcW w:w="5448" w:type="dxa"/>
          </w:tcPr>
          <w:p w:rsidR="001E32C9" w:rsidRPr="001E32C9" w:rsidRDefault="001E32C9" w:rsidP="001E32C9">
            <w:r w:rsidRPr="00222643">
              <w:t xml:space="preserve">Compares dividend drop off before and after imputation; presents yearly </w:t>
            </w:r>
            <w:r w:rsidRPr="001E32C9">
              <w:t>figures and sub-periods.</w:t>
            </w:r>
          </w:p>
        </w:tc>
      </w:tr>
    </w:tbl>
    <w:p w:rsidR="001E32C9"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BoldBlue"/>
      </w:pPr>
      <w:r w:rsidRPr="00222643">
        <w:t>Alternative implied market value studies</w:t>
      </w:r>
    </w:p>
    <w:p w:rsidR="001E32C9" w:rsidRPr="00222643" w:rsidRDefault="001E32C9" w:rsidP="001E32C9">
      <w:pPr>
        <w:pStyle w:val="AERbodytext"/>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1E32C9" w:rsidRPr="00222643" w:rsidRDefault="001E32C9" w:rsidP="001E32C9">
      <w:pPr>
        <w:pStyle w:val="AERbulletlistfirststyle"/>
      </w:pPr>
      <w:r>
        <w:t>S</w:t>
      </w:r>
      <w:r w:rsidRPr="00222643">
        <w:t>imultaneous trading of shares with and without entitlements</w:t>
      </w:r>
      <w:r>
        <w:t>.</w:t>
      </w:r>
    </w:p>
    <w:p w:rsidR="001E32C9" w:rsidRPr="00222643" w:rsidRDefault="001E32C9" w:rsidP="001E32C9">
      <w:pPr>
        <w:pStyle w:val="AERbulletlistfirststyle"/>
      </w:pPr>
      <w:r>
        <w:t>S</w:t>
      </w:r>
      <w:r w:rsidRPr="00222643">
        <w:t>imultaneous trading of derivatives and futures and of their underlying shares</w:t>
      </w:r>
      <w:r>
        <w:t>.</w:t>
      </w:r>
    </w:p>
    <w:p w:rsidR="001E32C9" w:rsidRPr="00222643" w:rsidRDefault="001E32C9" w:rsidP="001E32C9">
      <w:pPr>
        <w:pStyle w:val="AERbulletlistfirststyle"/>
      </w:pPr>
      <w:r>
        <w:t>H</w:t>
      </w:r>
      <w:r w:rsidRPr="00222643">
        <w:t>ybrid securities which trade with imputation c</w:t>
      </w:r>
      <w:r>
        <w:t>redits.</w:t>
      </w:r>
    </w:p>
    <w:p w:rsidR="001E32C9" w:rsidRDefault="001E32C9" w:rsidP="001E32C9">
      <w:pPr>
        <w:pStyle w:val="AERbulletlistfirststyle"/>
      </w:pPr>
      <w:r>
        <w:t>C</w:t>
      </w:r>
      <w:r w:rsidRPr="00222643">
        <w:t>omparison of the capital gains and (cash) dividend returns across time.</w:t>
      </w:r>
    </w:p>
    <w:p w:rsidR="001E32C9" w:rsidRDefault="001E32C9" w:rsidP="001E32C9">
      <w:pPr>
        <w:pStyle w:val="AERbodytext"/>
      </w:pPr>
      <w:r>
        <w:fldChar w:fldCharType="begin"/>
      </w:r>
      <w:r>
        <w:instrText xml:space="preserve"> REF _Ref401075839 \h </w:instrText>
      </w:r>
      <w:r>
        <w:fldChar w:fldCharType="separate"/>
      </w:r>
      <w:r w:rsidR="00927273">
        <w:t xml:space="preserve">Table </w:t>
      </w:r>
      <w:r w:rsidR="00927273">
        <w:rPr>
          <w:noProof/>
        </w:rPr>
        <w:t>4</w:t>
      </w:r>
      <w:r w:rsidR="00927273">
        <w:noBreakHyphen/>
      </w:r>
      <w:r w:rsidR="00927273">
        <w:rPr>
          <w:noProof/>
        </w:rPr>
        <w:t>9</w:t>
      </w:r>
      <w:r>
        <w:fldChar w:fldCharType="end"/>
      </w:r>
      <w:r>
        <w:t xml:space="preserve"> </w:t>
      </w:r>
      <w:r w:rsidR="008104A9">
        <w:t xml:space="preserve">identifies </w:t>
      </w:r>
      <w:r>
        <w:t xml:space="preserve">the </w:t>
      </w:r>
      <w:r w:rsidR="008104A9">
        <w:t xml:space="preserve">alternative implied market value </w:t>
      </w:r>
      <w:r>
        <w:t>studies</w:t>
      </w:r>
      <w:r w:rsidR="008104A9">
        <w:t xml:space="preserve"> that we are aware of, and describes the methodology of each study</w:t>
      </w:r>
      <w:r>
        <w:t>.</w:t>
      </w:r>
      <w:r w:rsidR="008104A9">
        <w:t xml:space="preserve"> The results from these studies are presented in </w:t>
      </w:r>
      <w:r w:rsidR="008104A9">
        <w:fldChar w:fldCharType="begin"/>
      </w:r>
      <w:r w:rsidR="008104A9">
        <w:instrText xml:space="preserve"> REF  _Ref401076250 \* Lower \h </w:instrText>
      </w:r>
      <w:r w:rsidR="008104A9">
        <w:fldChar w:fldCharType="separate"/>
      </w:r>
      <w:r w:rsidR="00927273">
        <w:t xml:space="preserve">table </w:t>
      </w:r>
      <w:r w:rsidR="008252DC">
        <w:t>A</w:t>
      </w:r>
      <w:r w:rsidR="00927273">
        <w:noBreakHyphen/>
      </w:r>
      <w:r w:rsidR="008252DC">
        <w:t>7</w:t>
      </w:r>
      <w:r w:rsidR="008104A9">
        <w:fldChar w:fldCharType="end"/>
      </w:r>
      <w:r w:rsidR="008104A9">
        <w:t>.</w:t>
      </w:r>
    </w:p>
    <w:p w:rsidR="001E32C9" w:rsidRDefault="001E32C9" w:rsidP="001E32C9">
      <w:pPr>
        <w:pStyle w:val="Caption"/>
      </w:pPr>
      <w:bookmarkStart w:id="127" w:name="_Ref401075839"/>
      <w:r>
        <w:t xml:space="preserve">Table </w:t>
      </w:r>
      <w:r w:rsidR="008252DC">
        <w:t>A</w:t>
      </w:r>
      <w:r w:rsidR="00C20561">
        <w:noBreakHyphen/>
      </w:r>
      <w:r w:rsidR="008252DC">
        <w:t>7</w:t>
      </w:r>
      <w:bookmarkEnd w:id="127"/>
      <w:r>
        <w:tab/>
      </w:r>
      <w:r w:rsidRPr="00B7093A">
        <w:t>Summary of alternative implied market value studies</w:t>
      </w:r>
    </w:p>
    <w:tbl>
      <w:tblPr>
        <w:tblStyle w:val="AERtable-text"/>
        <w:tblW w:w="0" w:type="auto"/>
        <w:tblLook w:val="04A0" w:firstRow="1" w:lastRow="0" w:firstColumn="1" w:lastColumn="0" w:noHBand="0" w:noVBand="1"/>
      </w:tblPr>
      <w:tblGrid>
        <w:gridCol w:w="2683"/>
        <w:gridCol w:w="1111"/>
        <w:gridCol w:w="5448"/>
      </w:tblGrid>
      <w:tr w:rsidR="001E32C9" w:rsidTr="001752ED">
        <w:trPr>
          <w:cnfStyle w:val="100000000000" w:firstRow="1" w:lastRow="0" w:firstColumn="0" w:lastColumn="0" w:oddVBand="0" w:evenVBand="0" w:oddHBand="0" w:evenHBand="0" w:firstRowFirstColumn="0" w:firstRowLastColumn="0" w:lastRowFirstColumn="0" w:lastRowLastColumn="0"/>
        </w:trPr>
        <w:tc>
          <w:tcPr>
            <w:tcW w:w="2683" w:type="dxa"/>
          </w:tcPr>
          <w:p w:rsidR="001E32C9" w:rsidRDefault="001E32C9" w:rsidP="001E32C9">
            <w:pPr>
              <w:pStyle w:val="AERbodytext"/>
            </w:pPr>
            <w:r>
              <w:t>Authors</w:t>
            </w:r>
          </w:p>
        </w:tc>
        <w:tc>
          <w:tcPr>
            <w:tcW w:w="1111" w:type="dxa"/>
          </w:tcPr>
          <w:p w:rsidR="001E32C9" w:rsidRPr="0005385E" w:rsidRDefault="001E32C9" w:rsidP="001E32C9">
            <w:pPr>
              <w:pStyle w:val="AERbodytext"/>
            </w:pPr>
            <w:r>
              <w:t>Data range</w:t>
            </w:r>
          </w:p>
        </w:tc>
        <w:tc>
          <w:tcPr>
            <w:tcW w:w="5448" w:type="dxa"/>
          </w:tcPr>
          <w:p w:rsidR="001E32C9" w:rsidRPr="0005385E" w:rsidRDefault="001E32C9" w:rsidP="001E32C9">
            <w:pPr>
              <w:pStyle w:val="AERbodytext"/>
            </w:pPr>
            <w:r>
              <w:t>Assessment relative to other studies in</w:t>
            </w:r>
            <w:r w:rsidRPr="0005385E">
              <w:t xml:space="preserve"> that class</w:t>
            </w:r>
          </w:p>
        </w:tc>
      </w:tr>
      <w:tr w:rsidR="001E32C9" w:rsidTr="001752ED">
        <w:tc>
          <w:tcPr>
            <w:tcW w:w="9242" w:type="dxa"/>
            <w:gridSpan w:val="3"/>
          </w:tcPr>
          <w:p w:rsidR="001E32C9" w:rsidRDefault="001E32C9" w:rsidP="001E32C9">
            <w:pPr>
              <w:pStyle w:val="AERbodytext"/>
            </w:pPr>
            <w:r w:rsidRPr="008616CE">
              <w:rPr>
                <w:rStyle w:val="AERtextbold"/>
              </w:rPr>
              <w:t>Dividend drop off using hybrids</w:t>
            </w:r>
            <w:r w:rsidRPr="004E6A67">
              <w:t xml:space="preserve"> – Similar to standard DDO but using debt/equity hybrid securities.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Feuerherdt et al (2010)</w:t>
            </w:r>
            <w:r w:rsidRPr="001E32C9">
              <w:rPr>
                <w:rStyle w:val="FootnoteReference"/>
              </w:rPr>
              <w:footnoteReference w:id="208"/>
            </w:r>
          </w:p>
        </w:tc>
        <w:tc>
          <w:tcPr>
            <w:tcW w:w="1111" w:type="dxa"/>
          </w:tcPr>
          <w:p w:rsidR="001E32C9" w:rsidRPr="001E32C9" w:rsidRDefault="001E32C9" w:rsidP="001E32C9">
            <w:r w:rsidRPr="00222643">
              <w:t>1995–2002</w:t>
            </w:r>
          </w:p>
        </w:tc>
        <w:tc>
          <w:tcPr>
            <w:tcW w:w="5448" w:type="dxa"/>
          </w:tcPr>
          <w:p w:rsidR="001E32C9" w:rsidRPr="001E32C9" w:rsidRDefault="001E32C9" w:rsidP="001E32C9">
            <w:r w:rsidRPr="00222643">
              <w:t xml:space="preserve">Uses hybrid securities (such as convertible preference shares), 165 ex-dividend events for 46 securities </w:t>
            </w:r>
            <w:r w:rsidRPr="001E32C9">
              <w:t>which are primarily fully franked.</w:t>
            </w:r>
          </w:p>
        </w:tc>
      </w:tr>
      <w:tr w:rsidR="001E32C9" w:rsidTr="001752ED">
        <w:tc>
          <w:tcPr>
            <w:tcW w:w="9242" w:type="dxa"/>
            <w:gridSpan w:val="3"/>
          </w:tcPr>
          <w:p w:rsidR="001E32C9" w:rsidRDefault="001E32C9" w:rsidP="001E32C9">
            <w:pPr>
              <w:pStyle w:val="AERbodytext"/>
            </w:pPr>
            <w:r w:rsidRPr="008616CE">
              <w:rPr>
                <w:rStyle w:val="AERtextbold"/>
              </w:rPr>
              <w:t>Futures study (using individual firms or index)</w:t>
            </w:r>
            <w:r w:rsidRPr="00222643">
              <w:t xml:space="preserve"> – Compare simultaneous prices for securities and futures contracts.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SFG (2013b)</w:t>
            </w:r>
            <w:r w:rsidRPr="001E32C9">
              <w:rPr>
                <w:rStyle w:val="FootnoteReference"/>
              </w:rPr>
              <w:footnoteReference w:id="209"/>
            </w:r>
          </w:p>
        </w:tc>
        <w:tc>
          <w:tcPr>
            <w:tcW w:w="1111" w:type="dxa"/>
          </w:tcPr>
          <w:p w:rsidR="001E32C9" w:rsidRPr="001E32C9" w:rsidRDefault="001E32C9" w:rsidP="001E32C9">
            <w:r w:rsidRPr="00222643">
              <w:t>2000–2013</w:t>
            </w:r>
          </w:p>
        </w:tc>
        <w:tc>
          <w:tcPr>
            <w:tcW w:w="5448" w:type="dxa"/>
          </w:tcPr>
          <w:p w:rsidR="001E32C9" w:rsidRPr="001E32C9" w:rsidRDefault="001E32C9" w:rsidP="001E32C9">
            <w:r w:rsidRPr="00222643">
              <w:t>Updates Cannavan et al</w:t>
            </w:r>
            <w:r w:rsidRPr="001E32C9">
              <w:t xml:space="preserve"> (2004). Compares matched trades in individual shares to futures contracts and low exercise price options for 98 firms (over 52,000 trades).</w:t>
            </w:r>
          </w:p>
        </w:tc>
      </w:tr>
      <w:tr w:rsidR="001E32C9" w:rsidTr="001752ED">
        <w:tc>
          <w:tcPr>
            <w:tcW w:w="2683" w:type="dxa"/>
          </w:tcPr>
          <w:p w:rsidR="001E32C9" w:rsidRPr="001E32C9" w:rsidRDefault="001E32C9" w:rsidP="001E32C9">
            <w:r w:rsidRPr="00222643">
              <w:t>Cannavan et al (2004)</w:t>
            </w:r>
            <w:r w:rsidRPr="001E32C9">
              <w:rPr>
                <w:rStyle w:val="FootnoteReference"/>
              </w:rPr>
              <w:footnoteReference w:id="210"/>
            </w:r>
          </w:p>
        </w:tc>
        <w:tc>
          <w:tcPr>
            <w:tcW w:w="1111" w:type="dxa"/>
          </w:tcPr>
          <w:p w:rsidR="001E32C9" w:rsidRPr="001E32C9" w:rsidRDefault="001E32C9" w:rsidP="001E32C9">
            <w:r w:rsidRPr="00222643">
              <w:t>1994–1999</w:t>
            </w:r>
          </w:p>
        </w:tc>
        <w:tc>
          <w:tcPr>
            <w:tcW w:w="5448" w:type="dxa"/>
          </w:tcPr>
          <w:p w:rsidR="001E32C9" w:rsidRPr="001E32C9" w:rsidRDefault="001E32C9" w:rsidP="001E32C9">
            <w:r w:rsidRPr="00222643">
              <w:t>Uses matched trades (four minute window) in individual shares and futures contracts for 19 firms (</w:t>
            </w:r>
            <w:r w:rsidRPr="001E32C9">
              <w:t>over 14,000 trades). Sub-periods 1994–1997 and 1997–1999.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Cummings and Frino (2008)</w:t>
            </w:r>
            <w:r w:rsidRPr="001E32C9">
              <w:rPr>
                <w:rStyle w:val="FootnoteReference"/>
              </w:rPr>
              <w:footnoteReference w:id="211"/>
            </w:r>
          </w:p>
        </w:tc>
        <w:tc>
          <w:tcPr>
            <w:tcW w:w="1111" w:type="dxa"/>
          </w:tcPr>
          <w:p w:rsidR="001E32C9" w:rsidRPr="001E32C9" w:rsidRDefault="001E32C9" w:rsidP="001E32C9">
            <w:r w:rsidRPr="00222643">
              <w:t>2002-2005</w:t>
            </w:r>
          </w:p>
        </w:tc>
        <w:tc>
          <w:tcPr>
            <w:tcW w:w="5448" w:type="dxa"/>
          </w:tcPr>
          <w:p w:rsidR="001E32C9" w:rsidRPr="001E32C9" w:rsidRDefault="001E32C9" w:rsidP="001E32C9">
            <w:r w:rsidRPr="00222643">
              <w:t xml:space="preserve">Uses entire ASX200 index (rather than specific firms) and futures over the index, distinct from other studies in this class (which use individual shares). </w:t>
            </w:r>
          </w:p>
        </w:tc>
      </w:tr>
      <w:tr w:rsidR="001E32C9" w:rsidTr="001752ED">
        <w:tc>
          <w:tcPr>
            <w:tcW w:w="9242" w:type="dxa"/>
            <w:gridSpan w:val="3"/>
          </w:tcPr>
          <w:p w:rsidR="001E32C9" w:rsidRDefault="001E32C9" w:rsidP="001E32C9">
            <w:pPr>
              <w:pStyle w:val="AERbodytext"/>
            </w:pPr>
            <w:r w:rsidRPr="008616CE">
              <w:rPr>
                <w:rStyle w:val="AERtextbold"/>
              </w:rPr>
              <w:t>Rate of return study</w:t>
            </w:r>
            <w:r w:rsidRPr="008616CE">
              <w:t xml:space="preserve"> – Compare past returns (capital gains and cash dividends) or future returns (dividend forecasts).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NERA (2013b)</w:t>
            </w:r>
            <w:r w:rsidRPr="001E32C9">
              <w:rPr>
                <w:rStyle w:val="FootnoteReference"/>
              </w:rPr>
              <w:footnoteReference w:id="212"/>
            </w:r>
          </w:p>
        </w:tc>
        <w:tc>
          <w:tcPr>
            <w:tcW w:w="1111" w:type="dxa"/>
          </w:tcPr>
          <w:p w:rsidR="001E32C9" w:rsidRPr="001E32C9" w:rsidRDefault="001E32C9" w:rsidP="001E32C9">
            <w:r>
              <w:t>1987</w:t>
            </w:r>
            <w:r w:rsidRPr="001E32C9">
              <w:t>–2012</w:t>
            </w:r>
          </w:p>
        </w:tc>
        <w:tc>
          <w:tcPr>
            <w:tcW w:w="5448" w:type="dxa"/>
          </w:tcPr>
          <w:p w:rsidR="001E32C9" w:rsidRPr="001E32C9" w:rsidRDefault="001E32C9" w:rsidP="001E32C9">
            <w:r w:rsidRPr="00222643">
              <w:t xml:space="preserve">Updates the Lajbcygier </w:t>
            </w:r>
            <w:r w:rsidRPr="001E32C9">
              <w:t>and Wheatley paper; same author and more relevant data set. Sub-period splits 1987–2000 and 2000–2012.</w:t>
            </w:r>
          </w:p>
        </w:tc>
      </w:tr>
      <w:tr w:rsidR="001E32C9" w:rsidTr="001752ED">
        <w:tc>
          <w:tcPr>
            <w:tcW w:w="2683" w:type="dxa"/>
          </w:tcPr>
          <w:p w:rsidR="001E32C9" w:rsidRPr="001E32C9" w:rsidRDefault="001E32C9" w:rsidP="001E32C9">
            <w:r w:rsidRPr="00222643">
              <w:t>Lajbcygier</w:t>
            </w:r>
            <w:r w:rsidRPr="001E32C9">
              <w:t xml:space="preserve"> and Wheatley (2012)</w:t>
            </w:r>
            <w:r w:rsidRPr="001E32C9">
              <w:rPr>
                <w:rStyle w:val="FootnoteReference"/>
              </w:rPr>
              <w:footnoteReference w:id="213"/>
            </w:r>
          </w:p>
        </w:tc>
        <w:tc>
          <w:tcPr>
            <w:tcW w:w="1111" w:type="dxa"/>
          </w:tcPr>
          <w:p w:rsidR="001E32C9" w:rsidRPr="001E32C9" w:rsidRDefault="001E32C9" w:rsidP="001E32C9">
            <w:r>
              <w:t>1987</w:t>
            </w:r>
            <w:r w:rsidRPr="001E32C9">
              <w:t>–2009</w:t>
            </w:r>
          </w:p>
        </w:tc>
        <w:tc>
          <w:tcPr>
            <w:tcW w:w="5448" w:type="dxa"/>
          </w:tcPr>
          <w:p w:rsidR="001E32C9" w:rsidRPr="001E32C9" w:rsidRDefault="001E32C9" w:rsidP="001E32C9">
            <w:r w:rsidRPr="00222643">
              <w:t>Compares current prices to past returns from capital gains and dividends</w:t>
            </w:r>
            <w:r w:rsidRPr="001E32C9">
              <w:t>. Includes sub-periods from 1987–2000 and 2000-2009.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Siau et al (2013)</w:t>
            </w:r>
            <w:r w:rsidRPr="001E32C9">
              <w:rPr>
                <w:rStyle w:val="FootnoteReference"/>
              </w:rPr>
              <w:footnoteReference w:id="214"/>
            </w:r>
          </w:p>
        </w:tc>
        <w:tc>
          <w:tcPr>
            <w:tcW w:w="1111" w:type="dxa"/>
          </w:tcPr>
          <w:p w:rsidR="001E32C9" w:rsidRPr="001E32C9" w:rsidRDefault="001E32C9" w:rsidP="001E32C9">
            <w:r w:rsidRPr="00222643">
              <w:t>1996–2011</w:t>
            </w:r>
          </w:p>
        </w:tc>
        <w:tc>
          <w:tcPr>
            <w:tcW w:w="5448" w:type="dxa"/>
          </w:tcPr>
          <w:p w:rsidR="001E32C9" w:rsidRPr="001E32C9" w:rsidRDefault="001E32C9" w:rsidP="001E32C9">
            <w:r w:rsidRPr="00222643">
              <w:t xml:space="preserve">Compares current prices to </w:t>
            </w:r>
            <w:r w:rsidRPr="001E32C9">
              <w:t xml:space="preserve">expected future returns. Uses ASX300 index firms and consensus analyst dividend forecasts. </w:t>
            </w:r>
          </w:p>
        </w:tc>
      </w:tr>
      <w:tr w:rsidR="001E32C9" w:rsidTr="001752ED">
        <w:tc>
          <w:tcPr>
            <w:tcW w:w="9242" w:type="dxa"/>
            <w:gridSpan w:val="3"/>
          </w:tcPr>
          <w:p w:rsidR="001E32C9" w:rsidRDefault="001E32C9" w:rsidP="001E32C9">
            <w:pPr>
              <w:pStyle w:val="AERbodytext"/>
            </w:pPr>
            <w:r w:rsidRPr="008616CE">
              <w:rPr>
                <w:rStyle w:val="AERtextbold"/>
              </w:rPr>
              <w:t>Simultaneous share trades</w:t>
            </w:r>
            <w:r w:rsidRPr="00222643">
              <w:t xml:space="preserve"> – Compare simultaneous prices for shares that are/are not entitled to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Chu and Partington (2008)</w:t>
            </w:r>
            <w:r w:rsidRPr="001E32C9">
              <w:rPr>
                <w:rStyle w:val="FootnoteReference"/>
              </w:rPr>
              <w:footnoteReference w:id="215"/>
            </w:r>
          </w:p>
        </w:tc>
        <w:tc>
          <w:tcPr>
            <w:tcW w:w="1111" w:type="dxa"/>
          </w:tcPr>
          <w:p w:rsidR="001E32C9" w:rsidRPr="001E32C9" w:rsidRDefault="001E32C9" w:rsidP="001E32C9">
            <w:r w:rsidRPr="00222643">
              <w:t>1996</w:t>
            </w:r>
          </w:p>
        </w:tc>
        <w:tc>
          <w:tcPr>
            <w:tcW w:w="5448" w:type="dxa"/>
          </w:tcPr>
          <w:p w:rsidR="001E32C9" w:rsidRPr="001E32C9" w:rsidRDefault="001E32C9" w:rsidP="001E32C9">
            <w:r w:rsidRPr="00222643">
              <w:t>Uses shares trading in two forms (one with dividend, one</w:t>
            </w:r>
            <w:r w:rsidRPr="001E32C9">
              <w:t xml:space="preserve"> without) as a result of the CRA bonus issue. 154 matched trades (one minute window) across 3 months.</w:t>
            </w:r>
          </w:p>
        </w:tc>
      </w:tr>
      <w:tr w:rsidR="001E32C9" w:rsidTr="001752ED">
        <w:tc>
          <w:tcPr>
            <w:tcW w:w="2683" w:type="dxa"/>
          </w:tcPr>
          <w:p w:rsidR="001E32C9" w:rsidRPr="001E32C9" w:rsidRDefault="001E32C9" w:rsidP="001E32C9">
            <w:r w:rsidRPr="00222643">
              <w:t>Chu and Partington (2001)</w:t>
            </w:r>
            <w:r w:rsidRPr="001E32C9">
              <w:rPr>
                <w:rStyle w:val="FootnoteReference"/>
              </w:rPr>
              <w:footnoteReference w:id="216"/>
            </w:r>
          </w:p>
        </w:tc>
        <w:tc>
          <w:tcPr>
            <w:tcW w:w="1111" w:type="dxa"/>
          </w:tcPr>
          <w:p w:rsidR="001E32C9" w:rsidRPr="001E32C9" w:rsidRDefault="001E32C9" w:rsidP="001E32C9">
            <w:r w:rsidRPr="00222643">
              <w:t>1991–1999</w:t>
            </w:r>
          </w:p>
        </w:tc>
        <w:tc>
          <w:tcPr>
            <w:tcW w:w="5448" w:type="dxa"/>
          </w:tcPr>
          <w:p w:rsidR="001E32C9" w:rsidRPr="001E32C9" w:rsidDel="003D6627" w:rsidRDefault="001E32C9" w:rsidP="001E32C9">
            <w:r w:rsidRPr="00222643">
              <w:t xml:space="preserve">Uses shares trading simultaneously with and without dividend after certain rights issues - </w:t>
            </w:r>
            <w:r w:rsidRPr="001E32C9">
              <w:t>3,356 trades (matched within a minute) from 26 rights issues for 23 firms.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Walker and Partington (1999)</w:t>
            </w:r>
            <w:r w:rsidRPr="001E32C9">
              <w:rPr>
                <w:rStyle w:val="FootnoteReference"/>
              </w:rPr>
              <w:footnoteReference w:id="217"/>
            </w:r>
          </w:p>
        </w:tc>
        <w:tc>
          <w:tcPr>
            <w:tcW w:w="1111" w:type="dxa"/>
          </w:tcPr>
          <w:p w:rsidR="001E32C9" w:rsidRPr="001E32C9" w:rsidRDefault="001E32C9" w:rsidP="001E32C9">
            <w:r w:rsidRPr="00222643">
              <w:t>1995–1997</w:t>
            </w:r>
          </w:p>
        </w:tc>
        <w:tc>
          <w:tcPr>
            <w:tcW w:w="5448" w:type="dxa"/>
          </w:tcPr>
          <w:p w:rsidR="001E32C9" w:rsidRPr="001E32C9" w:rsidRDefault="001E32C9" w:rsidP="001E32C9">
            <w:r w:rsidRPr="00222643">
              <w:t>Looks at shares trading cum-dividend in the ex-dividend period. 1</w:t>
            </w:r>
            <w:r w:rsidRPr="001E32C9">
              <w:t>,015 data points (trades matched within a minute) for 93 ex-dividend events from 50 securities.</w:t>
            </w:r>
          </w:p>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9"/>
        <w:numPr>
          <w:ilvl w:val="6"/>
          <w:numId w:val="57"/>
        </w:numPr>
      </w:pPr>
      <w:bookmarkStart w:id="128" w:name="_Ref403482459"/>
      <w:bookmarkStart w:id="129" w:name="_Toc404334901"/>
      <w:r w:rsidRPr="00222643">
        <w:t>Estimates from implied market value studies</w:t>
      </w:r>
      <w:bookmarkEnd w:id="128"/>
      <w:bookmarkEnd w:id="129"/>
    </w:p>
    <w:p w:rsidR="001E32C9" w:rsidRPr="00222643" w:rsidRDefault="001E32C9" w:rsidP="001E32C9">
      <w:pPr>
        <w:pStyle w:val="AERbodytext"/>
      </w:pPr>
      <w:r w:rsidRPr="00222643">
        <w:t>This section presents the results from the available implied market value studies.</w:t>
      </w:r>
    </w:p>
    <w:p w:rsidR="001E32C9" w:rsidRPr="00222643" w:rsidRDefault="001E32C9" w:rsidP="001E32C9">
      <w:pPr>
        <w:pStyle w:val="AERbodytext"/>
      </w:pPr>
      <w:r>
        <w:fldChar w:fldCharType="begin"/>
      </w:r>
      <w:r>
        <w:instrText xml:space="preserve"> REF _Ref401075676 \h </w:instrText>
      </w:r>
      <w:r>
        <w:fldChar w:fldCharType="separate"/>
      </w:r>
      <w:r w:rsidR="00927273">
        <w:t xml:space="preserve">Table </w:t>
      </w:r>
      <w:r w:rsidR="008252DC">
        <w:t>A</w:t>
      </w:r>
      <w:r w:rsidR="00927273">
        <w:noBreakHyphen/>
      </w:r>
      <w:r w:rsidR="008252DC">
        <w:t>8</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1E32C9" w:rsidRPr="00222643" w:rsidRDefault="001E32C9" w:rsidP="001E32C9">
      <w:pPr>
        <w:pStyle w:val="AERbodytext"/>
      </w:pPr>
      <w:r>
        <w:fldChar w:fldCharType="begin"/>
      </w:r>
      <w:r>
        <w:instrText xml:space="preserve"> REF _Ref401076250 \h </w:instrText>
      </w:r>
      <w:r>
        <w:fldChar w:fldCharType="separate"/>
      </w:r>
      <w:r w:rsidR="00927273">
        <w:t xml:space="preserve">Table </w:t>
      </w:r>
      <w:r w:rsidR="008252DC">
        <w:t>A</w:t>
      </w:r>
      <w:r w:rsidR="00927273">
        <w:noBreakHyphen/>
      </w:r>
      <w:r w:rsidR="008252DC">
        <w:t>9</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1E32C9" w:rsidRPr="00222643" w:rsidRDefault="001E32C9" w:rsidP="001E32C9">
      <w:pPr>
        <w:pStyle w:val="Caption"/>
      </w:pPr>
      <w:bookmarkStart w:id="130" w:name="_Ref401075676"/>
      <w:r>
        <w:t xml:space="preserve">Table </w:t>
      </w:r>
      <w:r w:rsidR="008252DC">
        <w:t>A</w:t>
      </w:r>
      <w:r w:rsidR="00C20561">
        <w:noBreakHyphen/>
      </w:r>
      <w:r w:rsidR="008252DC">
        <w:t>8</w:t>
      </w:r>
      <w:bookmarkEnd w:id="130"/>
      <w:r>
        <w:tab/>
      </w:r>
      <w:r w:rsidRPr="00482215">
        <w:t>Estimates of the utilisation rate from dividend drop off studies</w:t>
      </w:r>
    </w:p>
    <w:tbl>
      <w:tblPr>
        <w:tblStyle w:val="AERtable-text"/>
        <w:tblW w:w="0" w:type="auto"/>
        <w:tblLayout w:type="fixed"/>
        <w:tblLook w:val="04A0" w:firstRow="1" w:lastRow="0" w:firstColumn="1" w:lastColumn="0" w:noHBand="0" w:noVBand="1"/>
      </w:tblPr>
      <w:tblGrid>
        <w:gridCol w:w="250"/>
        <w:gridCol w:w="142"/>
        <w:gridCol w:w="2835"/>
        <w:gridCol w:w="1346"/>
        <w:gridCol w:w="1347"/>
        <w:gridCol w:w="3260"/>
      </w:tblGrid>
      <w:tr w:rsidR="001E32C9" w:rsidRPr="00222643" w:rsidTr="001752ED">
        <w:trPr>
          <w:cnfStyle w:val="100000000000" w:firstRow="1" w:lastRow="0" w:firstColumn="0" w:lastColumn="0" w:oddVBand="0" w:evenVBand="0" w:oddHBand="0" w:evenHBand="0" w:firstRowFirstColumn="0" w:firstRowLastColumn="0" w:lastRowFirstColumn="0" w:lastRowLastColumn="0"/>
        </w:trPr>
        <w:tc>
          <w:tcPr>
            <w:tcW w:w="392" w:type="dxa"/>
            <w:gridSpan w:val="2"/>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26"/>
        </w:trPr>
        <w:tc>
          <w:tcPr>
            <w:tcW w:w="3227" w:type="dxa"/>
            <w:gridSpan w:val="3"/>
          </w:tcPr>
          <w:p w:rsidR="001E32C9" w:rsidRPr="001E32C9" w:rsidRDefault="001E32C9" w:rsidP="001E32C9">
            <w:pPr>
              <w:rPr>
                <w:rStyle w:val="AERtextbold"/>
              </w:rPr>
            </w:pPr>
            <w:r w:rsidRPr="001F2ECE">
              <w:rPr>
                <w:rStyle w:val="AERtextbold"/>
              </w:rPr>
              <w:t>Dividend drop off study</w:t>
            </w:r>
          </w:p>
        </w:tc>
        <w:tc>
          <w:tcPr>
            <w:tcW w:w="1346" w:type="dxa"/>
          </w:tcPr>
          <w:p w:rsidR="001E32C9" w:rsidRPr="00222643" w:rsidRDefault="001E32C9" w:rsidP="001E32C9"/>
        </w:tc>
        <w:tc>
          <w:tcPr>
            <w:tcW w:w="1347" w:type="dxa"/>
          </w:tcPr>
          <w:p w:rsidR="001E32C9" w:rsidRPr="00222643" w:rsidRDefault="001E32C9" w:rsidP="001E32C9"/>
        </w:tc>
        <w:tc>
          <w:tcPr>
            <w:tcW w:w="3260" w:type="dxa"/>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6"/>
        </w:trPr>
        <w:tc>
          <w:tcPr>
            <w:tcW w:w="250" w:type="dxa"/>
          </w:tcPr>
          <w:p w:rsidR="001E32C9" w:rsidRPr="00222643" w:rsidRDefault="001E32C9" w:rsidP="001E32C9"/>
        </w:tc>
        <w:tc>
          <w:tcPr>
            <w:tcW w:w="2977" w:type="dxa"/>
            <w:gridSpan w:val="2"/>
          </w:tcPr>
          <w:p w:rsidR="001E32C9" w:rsidRPr="001E32C9" w:rsidRDefault="001E32C9" w:rsidP="001E32C9">
            <w:r w:rsidRPr="00222643">
              <w:t>Vo et al (2013)</w:t>
            </w:r>
            <w:r w:rsidRPr="001E32C9">
              <w:rPr>
                <w:rStyle w:val="FootnoteReference"/>
              </w:rPr>
              <w:footnoteReference w:id="218"/>
            </w:r>
          </w:p>
        </w:tc>
        <w:tc>
          <w:tcPr>
            <w:tcW w:w="1346" w:type="dxa"/>
          </w:tcPr>
          <w:p w:rsidR="001E32C9" w:rsidRPr="00222643" w:rsidRDefault="001E32C9" w:rsidP="001E32C9"/>
        </w:tc>
        <w:tc>
          <w:tcPr>
            <w:tcW w:w="1347" w:type="dxa"/>
          </w:tcPr>
          <w:p w:rsidR="001E32C9" w:rsidRPr="001E32C9" w:rsidRDefault="001E32C9" w:rsidP="001E32C9">
            <w:r w:rsidRPr="00222643">
              <w:t>0.35–0.55</w:t>
            </w:r>
            <w:r w:rsidRPr="00222643">
              <w:br/>
              <w:t>(2001–2012)</w:t>
            </w:r>
          </w:p>
        </w:tc>
        <w:tc>
          <w:tcPr>
            <w:tcW w:w="3260" w:type="dxa"/>
          </w:tcPr>
          <w:p w:rsidR="001E32C9" w:rsidRPr="001E32C9" w:rsidRDefault="001E32C9" w:rsidP="001E32C9">
            <w:r w:rsidRPr="00222643">
              <w:t>Range derived from large number of permutations and sensitivity tests.</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SFG (2013a)</w:t>
            </w:r>
            <w:r w:rsidRPr="001E32C9">
              <w:rPr>
                <w:rStyle w:val="FootnoteReference"/>
              </w:rPr>
              <w:footnoteReference w:id="219"/>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(2001–2012)</w:t>
            </w:r>
          </w:p>
        </w:tc>
        <w:tc>
          <w:tcPr>
            <w:tcW w:w="3260" w:type="dxa"/>
          </w:tcPr>
          <w:p w:rsidR="001E32C9" w:rsidRPr="001E32C9" w:rsidRDefault="001E32C9" w:rsidP="001E32C9">
            <w:r w:rsidRPr="00222643">
              <w:t>Author's point estimate across a number of different regression forms.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SFG (2011)</w:t>
            </w:r>
            <w:r w:rsidRPr="001E32C9">
              <w:rPr>
                <w:rStyle w:val="FootnoteReference"/>
              </w:rPr>
              <w:footnoteReference w:id="220"/>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(2001–2010)</w:t>
            </w:r>
          </w:p>
        </w:tc>
        <w:tc>
          <w:tcPr>
            <w:tcW w:w="3260" w:type="dxa"/>
          </w:tcPr>
          <w:p w:rsidR="001E32C9" w:rsidRPr="00222643" w:rsidRDefault="001E32C9" w:rsidP="001E32C9"/>
        </w:tc>
      </w:tr>
      <w:tr w:rsidR="001E32C9" w:rsidRPr="00222643" w:rsidTr="001752ED">
        <w:trPr>
          <w:trHeight w:val="301"/>
        </w:trPr>
        <w:tc>
          <w:tcPr>
            <w:tcW w:w="250" w:type="dxa"/>
          </w:tcPr>
          <w:p w:rsidR="001E32C9" w:rsidRPr="00222643" w:rsidRDefault="001E32C9" w:rsidP="001E32C9"/>
        </w:tc>
        <w:tc>
          <w:tcPr>
            <w:tcW w:w="2977" w:type="dxa"/>
            <w:gridSpan w:val="2"/>
          </w:tcPr>
          <w:p w:rsidR="001E32C9" w:rsidRPr="001E32C9" w:rsidRDefault="001E32C9" w:rsidP="001E32C9">
            <w:r w:rsidRPr="00222643">
              <w:t>Minney (2010)</w:t>
            </w:r>
            <w:r w:rsidRPr="001E32C9">
              <w:rPr>
                <w:rStyle w:val="FootnoteReference"/>
              </w:rPr>
              <w:footnoteReference w:id="221"/>
            </w:r>
          </w:p>
        </w:tc>
        <w:tc>
          <w:tcPr>
            <w:tcW w:w="1346" w:type="dxa"/>
          </w:tcPr>
          <w:p w:rsidR="001E32C9" w:rsidRPr="00222643" w:rsidRDefault="001E32C9" w:rsidP="001E32C9"/>
        </w:tc>
        <w:tc>
          <w:tcPr>
            <w:tcW w:w="1347" w:type="dxa"/>
          </w:tcPr>
          <w:p w:rsidR="001E32C9" w:rsidRPr="001E32C9" w:rsidRDefault="001E32C9" w:rsidP="001E32C9">
            <w:r w:rsidRPr="00222643">
              <w:t>0.39</w:t>
            </w:r>
            <w:r w:rsidRPr="00222643">
              <w:br/>
              <w:t>(2001–2009)</w:t>
            </w:r>
          </w:p>
        </w:tc>
        <w:tc>
          <w:tcPr>
            <w:tcW w:w="3260" w:type="dxa"/>
          </w:tcPr>
          <w:p w:rsidR="001E32C9" w:rsidRPr="001E32C9" w:rsidRDefault="001E32C9" w:rsidP="001E32C9">
            <w:r>
              <w:t>Average of results from 2001</w:t>
            </w:r>
            <w:r w:rsidRPr="001E32C9">
              <w:t>–2005 and 2006–2009 sub-periods. For the most recent sub-period (2006–2009), utilisation rate is 0.53.</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720"/>
        </w:trPr>
        <w:tc>
          <w:tcPr>
            <w:tcW w:w="250" w:type="dxa"/>
          </w:tcPr>
          <w:p w:rsidR="001E32C9" w:rsidRPr="00222643" w:rsidRDefault="001E32C9" w:rsidP="001E32C9"/>
        </w:tc>
        <w:tc>
          <w:tcPr>
            <w:tcW w:w="2977" w:type="dxa"/>
            <w:gridSpan w:val="2"/>
          </w:tcPr>
          <w:p w:rsidR="001E32C9" w:rsidRPr="001E32C9" w:rsidRDefault="001E32C9" w:rsidP="001E32C9">
            <w:r w:rsidRPr="00222643">
              <w:t>Beggs and Skeels (2006)</w:t>
            </w:r>
            <w:r w:rsidRPr="001E32C9">
              <w:rPr>
                <w:rStyle w:val="FootnoteReference"/>
              </w:rPr>
              <w:footnoteReference w:id="222"/>
            </w:r>
          </w:p>
        </w:tc>
        <w:tc>
          <w:tcPr>
            <w:tcW w:w="1346" w:type="dxa"/>
          </w:tcPr>
          <w:p w:rsidR="001E32C9" w:rsidRPr="001E32C9" w:rsidRDefault="001E32C9" w:rsidP="001E32C9">
            <w:r w:rsidRPr="00222643">
              <w:t>0.20</w:t>
            </w:r>
            <w:r w:rsidRPr="00222643">
              <w:br/>
              <w:t>(1992–1997)</w:t>
            </w:r>
          </w:p>
        </w:tc>
        <w:tc>
          <w:tcPr>
            <w:tcW w:w="1347" w:type="dxa"/>
          </w:tcPr>
          <w:p w:rsidR="001E32C9" w:rsidRPr="001E32C9" w:rsidRDefault="001E32C9" w:rsidP="001E32C9">
            <w:r w:rsidRPr="00222643">
              <w:t>0.57</w:t>
            </w:r>
            <w:r w:rsidRPr="00222643">
              <w:br/>
              <w:t>(2001–2004)</w:t>
            </w:r>
          </w:p>
        </w:tc>
        <w:tc>
          <w:tcPr>
            <w:tcW w:w="3260" w:type="dxa"/>
          </w:tcPr>
          <w:p w:rsidR="001E32C9" w:rsidRPr="001E32C9" w:rsidRDefault="001E32C9" w:rsidP="001E32C9">
            <w:r w:rsidRPr="00222643">
              <w:t>Several other pre-2000 periods are presented.</w:t>
            </w:r>
          </w:p>
        </w:tc>
      </w:tr>
      <w:tr w:rsidR="001E32C9" w:rsidRPr="00222643" w:rsidTr="001752ED">
        <w:trPr>
          <w:trHeight w:val="789"/>
        </w:trPr>
        <w:tc>
          <w:tcPr>
            <w:tcW w:w="250" w:type="dxa"/>
          </w:tcPr>
          <w:p w:rsidR="001E32C9" w:rsidRPr="00222643" w:rsidRDefault="001E32C9" w:rsidP="001E32C9"/>
        </w:tc>
        <w:tc>
          <w:tcPr>
            <w:tcW w:w="2977" w:type="dxa"/>
            <w:gridSpan w:val="2"/>
          </w:tcPr>
          <w:p w:rsidR="001E32C9" w:rsidRPr="001E32C9" w:rsidRDefault="001E32C9" w:rsidP="001E32C9">
            <w:r w:rsidRPr="00222643">
              <w:t>Hathaway and Officer (2004)</w:t>
            </w:r>
            <w:r w:rsidRPr="001E32C9">
              <w:rPr>
                <w:rStyle w:val="FootnoteReference"/>
              </w:rPr>
              <w:footnoteReference w:id="223"/>
            </w:r>
          </w:p>
        </w:tc>
        <w:tc>
          <w:tcPr>
            <w:tcW w:w="1346" w:type="dxa"/>
          </w:tcPr>
          <w:p w:rsidR="001E32C9" w:rsidRPr="001E32C9" w:rsidRDefault="001E32C9" w:rsidP="001E32C9">
            <w:r w:rsidRPr="00222643">
              <w:t>0.49</w:t>
            </w:r>
            <w:r w:rsidRPr="00222643">
              <w:br/>
              <w:t>(1986–2004)</w:t>
            </w:r>
          </w:p>
        </w:tc>
        <w:tc>
          <w:tcPr>
            <w:tcW w:w="1347" w:type="dxa"/>
          </w:tcPr>
          <w:p w:rsidR="001E32C9" w:rsidRPr="00222643" w:rsidRDefault="001E32C9" w:rsidP="001E32C9"/>
        </w:tc>
        <w:tc>
          <w:tcPr>
            <w:tcW w:w="3260" w:type="dxa"/>
          </w:tcPr>
          <w:p w:rsidR="001E32C9" w:rsidRPr="001E32C9" w:rsidRDefault="001E32C9" w:rsidP="001E32C9">
            <w:r w:rsidRPr="00222643">
              <w:t xml:space="preserve">Authors suggest that estimate has increased </w:t>
            </w:r>
            <w:r w:rsidRPr="001E32C9">
              <w:t>post-2000.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Bellamy and Gray (2004)</w:t>
            </w:r>
            <w:r w:rsidRPr="001E32C9">
              <w:rPr>
                <w:rStyle w:val="FootnoteReference"/>
              </w:rPr>
              <w:footnoteReference w:id="224"/>
            </w:r>
          </w:p>
        </w:tc>
        <w:tc>
          <w:tcPr>
            <w:tcW w:w="1346" w:type="dxa"/>
          </w:tcPr>
          <w:p w:rsidR="001E32C9" w:rsidRPr="001E32C9" w:rsidRDefault="001E32C9" w:rsidP="001E32C9">
            <w:r w:rsidRPr="00222643">
              <w:t>0.36</w:t>
            </w:r>
            <w:r w:rsidRPr="00222643">
              <w:br/>
              <w:t>(1995–2002)</w:t>
            </w:r>
          </w:p>
        </w:tc>
        <w:tc>
          <w:tcPr>
            <w:tcW w:w="1347" w:type="dxa"/>
          </w:tcPr>
          <w:p w:rsidR="001E32C9" w:rsidRPr="00222643" w:rsidRDefault="001E32C9" w:rsidP="001E32C9"/>
        </w:tc>
        <w:tc>
          <w:tcPr>
            <w:tcW w:w="3260" w:type="dxa"/>
          </w:tcPr>
          <w:p w:rsidR="001E32C9" w:rsidRPr="001E32C9" w:rsidRDefault="001E32C9" w:rsidP="001E32C9">
            <w:r w:rsidRPr="00222643">
              <w:t>Range of 0.0–0.60 is also presented.</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Bruckner et al (1994)</w:t>
            </w:r>
            <w:r w:rsidRPr="001E32C9">
              <w:rPr>
                <w:rStyle w:val="FootnoteReference"/>
              </w:rPr>
              <w:footnoteReference w:id="225"/>
            </w:r>
          </w:p>
        </w:tc>
        <w:tc>
          <w:tcPr>
            <w:tcW w:w="1346" w:type="dxa"/>
          </w:tcPr>
          <w:p w:rsidR="001E32C9" w:rsidRPr="001E32C9" w:rsidRDefault="001E32C9" w:rsidP="001E32C9">
            <w:r>
              <w:t>0.69</w:t>
            </w:r>
            <w:r>
              <w:br/>
              <w:t>(199</w:t>
            </w:r>
            <w:r w:rsidRPr="001E32C9">
              <w:t>1–1993)</w:t>
            </w:r>
          </w:p>
        </w:tc>
        <w:tc>
          <w:tcPr>
            <w:tcW w:w="1347" w:type="dxa"/>
          </w:tcPr>
          <w:p w:rsidR="001E32C9" w:rsidRPr="00222643" w:rsidRDefault="001E32C9" w:rsidP="001E32C9"/>
        </w:tc>
        <w:tc>
          <w:tcPr>
            <w:tcW w:w="3260" w:type="dxa"/>
          </w:tcPr>
          <w:p w:rsidR="001E32C9" w:rsidRPr="001E32C9" w:rsidRDefault="001E32C9" w:rsidP="001E32C9">
            <w:r w:rsidRPr="00222643">
              <w:t>Also</w:t>
            </w:r>
            <w:r w:rsidRPr="001E32C9">
              <w:t xml:space="preserve"> present an earlier period (1987–1990).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t>Brown and Clarke (1993)</w:t>
            </w:r>
            <w:r w:rsidRPr="001E32C9">
              <w:rPr>
                <w:rStyle w:val="FootnoteReference"/>
              </w:rPr>
              <w:footnoteReference w:id="226"/>
            </w:r>
          </w:p>
        </w:tc>
        <w:tc>
          <w:tcPr>
            <w:tcW w:w="1346" w:type="dxa"/>
          </w:tcPr>
          <w:p w:rsidR="001E32C9" w:rsidRPr="001E32C9" w:rsidRDefault="001E32C9" w:rsidP="001E32C9">
            <w:r w:rsidRPr="00222643">
              <w:t>0.80</w:t>
            </w:r>
            <w:r w:rsidRPr="00222643">
              <w:br/>
              <w:t>(1988–1991)</w:t>
            </w:r>
          </w:p>
        </w:tc>
        <w:tc>
          <w:tcPr>
            <w:tcW w:w="1347" w:type="dxa"/>
          </w:tcPr>
          <w:p w:rsidR="001E32C9" w:rsidRPr="00222643" w:rsidRDefault="001E32C9" w:rsidP="001E32C9"/>
        </w:tc>
        <w:tc>
          <w:tcPr>
            <w:tcW w:w="3260" w:type="dxa"/>
          </w:tcPr>
          <w:p w:rsidR="001E32C9" w:rsidRPr="00222643" w:rsidRDefault="001E32C9" w:rsidP="001E32C9"/>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Caption"/>
      </w:pPr>
      <w:bookmarkStart w:id="131" w:name="_Ref401076250"/>
      <w:r>
        <w:t xml:space="preserve">Table </w:t>
      </w:r>
      <w:r w:rsidR="008252DC">
        <w:t>A</w:t>
      </w:r>
      <w:r w:rsidR="00C20561">
        <w:noBreakHyphen/>
      </w:r>
      <w:r w:rsidR="008252DC">
        <w:t>9</w:t>
      </w:r>
      <w:bookmarkEnd w:id="131"/>
      <w:r>
        <w:tab/>
      </w:r>
      <w:r w:rsidRPr="00222643">
        <w:t>Estimates of the utilisation rate from alternative market value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gridCol w:w="62"/>
      </w:tblGrid>
      <w:tr w:rsidR="001E32C9" w:rsidRPr="00222643" w:rsidTr="001752ED">
        <w:trPr>
          <w:gridAfter w:val="1"/>
          <w:cnfStyle w:val="100000000000" w:firstRow="1" w:lastRow="0" w:firstColumn="0" w:lastColumn="0" w:oddVBand="0" w:evenVBand="0" w:oddHBand="0" w:evenHBand="0" w:firstRowFirstColumn="0" w:firstRowLastColumn="0" w:lastRowFirstColumn="0" w:lastRowLastColumn="0"/>
          <w:wAfter w:w="62" w:type="dxa"/>
        </w:trPr>
        <w:tc>
          <w:tcPr>
            <w:tcW w:w="392" w:type="dxa"/>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79"/>
        </w:trPr>
        <w:tc>
          <w:tcPr>
            <w:tcW w:w="3227" w:type="dxa"/>
            <w:gridSpan w:val="2"/>
          </w:tcPr>
          <w:p w:rsidR="001E32C9" w:rsidRPr="001E32C9" w:rsidRDefault="001E32C9" w:rsidP="001E32C9">
            <w:pPr>
              <w:rPr>
                <w:rStyle w:val="AERtextbold"/>
              </w:rPr>
            </w:pPr>
            <w:r w:rsidRPr="00482215">
              <w:rPr>
                <w:rStyle w:val="AERtextbold"/>
              </w:rPr>
              <w:t>Dividend drop off study using hybrids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 xml:space="preserve">Feuerherdt, Gray and Hall </w:t>
            </w:r>
            <w:r w:rsidRPr="001E32C9">
              <w:t>(2010)</w:t>
            </w:r>
            <w:r w:rsidRPr="001E32C9">
              <w:rPr>
                <w:rStyle w:val="FootnoteReference"/>
              </w:rPr>
              <w:footnoteReference w:id="227"/>
            </w:r>
          </w:p>
        </w:tc>
        <w:tc>
          <w:tcPr>
            <w:tcW w:w="1346" w:type="dxa"/>
          </w:tcPr>
          <w:p w:rsidR="001E32C9" w:rsidRPr="001E32C9" w:rsidRDefault="001E32C9" w:rsidP="001E32C9">
            <w:r w:rsidRPr="00222643">
              <w:t>N/A</w:t>
            </w:r>
            <w:r w:rsidRPr="00222643">
              <w:br/>
              <w:t>(1995–2002)</w:t>
            </w:r>
          </w:p>
        </w:tc>
        <w:tc>
          <w:tcPr>
            <w:tcW w:w="1347" w:type="dxa"/>
          </w:tcPr>
          <w:p w:rsidR="001E32C9" w:rsidRPr="00222643" w:rsidRDefault="001E32C9" w:rsidP="001E32C9"/>
        </w:tc>
        <w:tc>
          <w:tcPr>
            <w:tcW w:w="3322" w:type="dxa"/>
            <w:gridSpan w:val="2"/>
          </w:tcPr>
          <w:p w:rsidR="001E32C9" w:rsidRPr="001E32C9" w:rsidRDefault="001E32C9" w:rsidP="001E32C9">
            <w:r>
              <w:t>Combined drop off of 1.</w:t>
            </w:r>
            <w:r w:rsidRPr="001E32C9">
              <w:t>0. With dividends at full value, this is a utilisation rate of 0.</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t>Futures study (individual or index)</w:t>
            </w:r>
          </w:p>
        </w:tc>
        <w:tc>
          <w:tcPr>
            <w:tcW w:w="1346" w:type="dxa"/>
          </w:tcPr>
          <w:p w:rsidR="001E32C9" w:rsidRPr="00482215" w:rsidRDefault="001E32C9" w:rsidP="001E32C9">
            <w:pPr>
              <w:rPr>
                <w:rStyle w:val="AERtextbold"/>
              </w:rPr>
            </w:pPr>
          </w:p>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542"/>
        </w:trPr>
        <w:tc>
          <w:tcPr>
            <w:tcW w:w="392" w:type="dxa"/>
          </w:tcPr>
          <w:p w:rsidR="001E32C9" w:rsidRPr="00222643" w:rsidRDefault="001E32C9" w:rsidP="001E32C9"/>
        </w:tc>
        <w:tc>
          <w:tcPr>
            <w:tcW w:w="2835" w:type="dxa"/>
          </w:tcPr>
          <w:p w:rsidR="001E32C9" w:rsidRPr="001E32C9" w:rsidRDefault="001E32C9" w:rsidP="001E32C9">
            <w:r w:rsidRPr="00222643">
              <w:t>SFG (2013b)</w:t>
            </w:r>
            <w:r w:rsidRPr="001E32C9">
              <w:rPr>
                <w:rStyle w:val="FootnoteReference"/>
              </w:rPr>
              <w:footnoteReference w:id="228"/>
            </w:r>
          </w:p>
        </w:tc>
        <w:tc>
          <w:tcPr>
            <w:tcW w:w="1346" w:type="dxa"/>
          </w:tcPr>
          <w:p w:rsidR="001E32C9" w:rsidRPr="00222643" w:rsidRDefault="001E32C9" w:rsidP="001E32C9"/>
        </w:tc>
        <w:tc>
          <w:tcPr>
            <w:tcW w:w="1347" w:type="dxa"/>
          </w:tcPr>
          <w:p w:rsidR="001E32C9" w:rsidRPr="001E32C9" w:rsidRDefault="001E32C9" w:rsidP="001E32C9">
            <w:r w:rsidRPr="00222643">
              <w:t>0.12</w:t>
            </w:r>
            <w:r w:rsidRPr="00222643">
              <w:br/>
              <w:t>(2000–2013)</w:t>
            </w:r>
          </w:p>
        </w:tc>
        <w:tc>
          <w:tcPr>
            <w:tcW w:w="3322" w:type="dxa"/>
            <w:gridSpan w:val="2"/>
          </w:tcPr>
          <w:p w:rsidR="001E32C9" w:rsidRPr="001E32C9" w:rsidRDefault="001E32C9" w:rsidP="001E32C9">
            <w:r w:rsidRPr="00222643">
              <w:t>Uses individual firms.</w:t>
            </w:r>
          </w:p>
        </w:tc>
      </w:tr>
      <w:tr w:rsidR="001E32C9" w:rsidRPr="00222643" w:rsidTr="001752ED">
        <w:trPr>
          <w:trHeight w:val="465"/>
        </w:trPr>
        <w:tc>
          <w:tcPr>
            <w:tcW w:w="392" w:type="dxa"/>
          </w:tcPr>
          <w:p w:rsidR="001E32C9" w:rsidRPr="00222643" w:rsidRDefault="001E32C9" w:rsidP="001E32C9"/>
        </w:tc>
        <w:tc>
          <w:tcPr>
            <w:tcW w:w="2835" w:type="dxa"/>
          </w:tcPr>
          <w:p w:rsidR="001E32C9" w:rsidRPr="001E32C9" w:rsidRDefault="001E32C9" w:rsidP="001E32C9">
            <w:r w:rsidRPr="00222643">
              <w:t>Cannavan et al (2004)</w:t>
            </w:r>
            <w:r w:rsidRPr="001E32C9">
              <w:rPr>
                <w:rStyle w:val="FootnoteReference"/>
              </w:rPr>
              <w:footnoteReference w:id="229"/>
            </w:r>
          </w:p>
        </w:tc>
        <w:tc>
          <w:tcPr>
            <w:tcW w:w="1346" w:type="dxa"/>
          </w:tcPr>
          <w:p w:rsidR="001E32C9" w:rsidRPr="001E32C9" w:rsidRDefault="001E32C9" w:rsidP="001E32C9">
            <w:r w:rsidRPr="00222643">
              <w:t>0–0.15</w:t>
            </w:r>
            <w:r w:rsidRPr="00222643">
              <w:br/>
              <w:t>(1994–1999)</w:t>
            </w:r>
          </w:p>
        </w:tc>
        <w:tc>
          <w:tcPr>
            <w:tcW w:w="1347" w:type="dxa"/>
          </w:tcPr>
          <w:p w:rsidR="001E32C9" w:rsidRPr="00222643" w:rsidRDefault="001E32C9" w:rsidP="001E32C9"/>
        </w:tc>
        <w:tc>
          <w:tcPr>
            <w:tcW w:w="3322" w:type="dxa"/>
            <w:gridSpan w:val="2"/>
          </w:tcPr>
          <w:p w:rsidR="001E32C9" w:rsidRPr="001E32C9" w:rsidRDefault="001E32C9" w:rsidP="001E32C9">
            <w:r w:rsidRPr="00222643">
              <w:t>Uses individual firms.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Cummings and Frino (2008)</w:t>
            </w:r>
            <w:r w:rsidRPr="001E32C9">
              <w:rPr>
                <w:rStyle w:val="FootnoteReference"/>
              </w:rPr>
              <w:footnoteReference w:id="230"/>
            </w:r>
          </w:p>
        </w:tc>
        <w:tc>
          <w:tcPr>
            <w:tcW w:w="1346" w:type="dxa"/>
          </w:tcPr>
          <w:p w:rsidR="001E32C9" w:rsidRPr="00222643" w:rsidRDefault="001E32C9" w:rsidP="001E32C9"/>
        </w:tc>
        <w:tc>
          <w:tcPr>
            <w:tcW w:w="1347" w:type="dxa"/>
          </w:tcPr>
          <w:p w:rsidR="001E32C9" w:rsidRPr="001E32C9" w:rsidRDefault="001E32C9" w:rsidP="001E32C9">
            <w:r>
              <w:t>0.52</w:t>
            </w:r>
            <w:r w:rsidRPr="001E32C9">
              <w:br/>
              <w:t>(2002–2005)</w:t>
            </w:r>
          </w:p>
        </w:tc>
        <w:tc>
          <w:tcPr>
            <w:tcW w:w="3322" w:type="dxa"/>
            <w:gridSpan w:val="2"/>
          </w:tcPr>
          <w:p w:rsidR="001E32C9" w:rsidRPr="001E32C9" w:rsidRDefault="001E32C9" w:rsidP="001E32C9">
            <w:r w:rsidRPr="00222643">
              <w:t>Uses index.</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t>Rate of return study</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NERA (2013b)</w:t>
            </w:r>
            <w:r w:rsidRPr="001E32C9">
              <w:rPr>
                <w:rStyle w:val="FootnoteReference"/>
              </w:rPr>
              <w:footnoteReference w:id="231"/>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t>-1.90</w:t>
            </w:r>
            <w:r>
              <w:br/>
              <w:t>(2000–2012</w:t>
            </w:r>
            <w:r w:rsidRPr="001E32C9">
              <w:t>)</w:t>
            </w:r>
          </w:p>
        </w:tc>
        <w:tc>
          <w:tcPr>
            <w:tcW w:w="3322" w:type="dxa"/>
            <w:gridSpan w:val="2"/>
          </w:tcPr>
          <w:p w:rsidR="001E32C9" w:rsidRPr="001E32C9" w:rsidRDefault="001E32C9" w:rsidP="001E32C9">
            <w:r w:rsidRPr="00222643">
              <w:t>Uses past returns. For the entire period, estimate is -1.50.</w:t>
            </w:r>
          </w:p>
        </w:tc>
      </w:tr>
      <w:tr w:rsidR="001E32C9" w:rsidRPr="00222643" w:rsidTr="001752ED">
        <w:trPr>
          <w:trHeight w:val="535"/>
        </w:trPr>
        <w:tc>
          <w:tcPr>
            <w:tcW w:w="392" w:type="dxa"/>
          </w:tcPr>
          <w:p w:rsidR="001E32C9" w:rsidRPr="00222643" w:rsidRDefault="001E32C9" w:rsidP="001E32C9"/>
        </w:tc>
        <w:tc>
          <w:tcPr>
            <w:tcW w:w="2835" w:type="dxa"/>
          </w:tcPr>
          <w:p w:rsidR="001E32C9" w:rsidRPr="001E32C9" w:rsidRDefault="001E32C9" w:rsidP="001E32C9">
            <w:r w:rsidRPr="00222643">
              <w:t>Lajbcygier and Wheatley (2012)</w:t>
            </w:r>
            <w:r w:rsidRPr="001E32C9">
              <w:rPr>
                <w:rStyle w:val="FootnoteReference"/>
              </w:rPr>
              <w:footnoteReference w:id="232"/>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rsidRPr="00222643">
              <w:t>-1.68</w:t>
            </w:r>
            <w:r w:rsidRPr="00222643">
              <w:br/>
              <w:t>(2000–2009)</w:t>
            </w:r>
          </w:p>
        </w:tc>
        <w:tc>
          <w:tcPr>
            <w:tcW w:w="3322" w:type="dxa"/>
            <w:gridSpan w:val="2"/>
          </w:tcPr>
          <w:p w:rsidR="001E32C9" w:rsidRPr="001E32C9" w:rsidRDefault="001E32C9" w:rsidP="001E32C9">
            <w:r w:rsidRPr="00222643">
              <w:t>Uses past returns. For the entire period, estimate is -1.88</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299"/>
        </w:trPr>
        <w:tc>
          <w:tcPr>
            <w:tcW w:w="392" w:type="dxa"/>
          </w:tcPr>
          <w:p w:rsidR="001E32C9" w:rsidRPr="00222643" w:rsidRDefault="001E32C9" w:rsidP="001E32C9"/>
        </w:tc>
        <w:tc>
          <w:tcPr>
            <w:tcW w:w="2835" w:type="dxa"/>
          </w:tcPr>
          <w:p w:rsidR="001E32C9" w:rsidRPr="001E32C9" w:rsidRDefault="001E32C9" w:rsidP="001E32C9">
            <w:r w:rsidRPr="00222643">
              <w:t>Siau et al (2013)</w:t>
            </w:r>
            <w:r w:rsidRPr="001E32C9">
              <w:rPr>
                <w:rStyle w:val="FootnoteReference"/>
              </w:rPr>
              <w:footnoteReference w:id="233"/>
            </w:r>
          </w:p>
        </w:tc>
        <w:tc>
          <w:tcPr>
            <w:tcW w:w="1346" w:type="dxa"/>
          </w:tcPr>
          <w:p w:rsidR="001E32C9" w:rsidRPr="00222643" w:rsidRDefault="001E32C9" w:rsidP="001E32C9"/>
        </w:tc>
        <w:tc>
          <w:tcPr>
            <w:tcW w:w="1347" w:type="dxa"/>
          </w:tcPr>
          <w:p w:rsidR="001E32C9" w:rsidRPr="001E32C9" w:rsidRDefault="001E32C9" w:rsidP="001E32C9">
            <w:r w:rsidRPr="00222643">
              <w:t>-0.29–0.30</w:t>
            </w:r>
            <w:r w:rsidRPr="00222643">
              <w:br/>
              <w:t>(1996–2011)</w:t>
            </w:r>
          </w:p>
        </w:tc>
        <w:tc>
          <w:tcPr>
            <w:tcW w:w="3322" w:type="dxa"/>
            <w:gridSpan w:val="2"/>
          </w:tcPr>
          <w:p w:rsidR="001E32C9" w:rsidRPr="001E32C9" w:rsidRDefault="001E32C9" w:rsidP="001E32C9">
            <w:r w:rsidRPr="00222643">
              <w:t>Uses forecast returns. Note range is from negative 0.29 to positive 0.30.</w:t>
            </w:r>
          </w:p>
        </w:tc>
      </w:tr>
      <w:tr w:rsidR="001E32C9" w:rsidRPr="00222643" w:rsidTr="001752ED">
        <w:trPr>
          <w:trHeight w:val="402"/>
        </w:trPr>
        <w:tc>
          <w:tcPr>
            <w:tcW w:w="3227" w:type="dxa"/>
            <w:gridSpan w:val="2"/>
          </w:tcPr>
          <w:p w:rsidR="001E32C9" w:rsidRPr="001E32C9" w:rsidRDefault="001E32C9" w:rsidP="001E32C9">
            <w:pPr>
              <w:rPr>
                <w:rStyle w:val="AERtextbold"/>
              </w:rPr>
            </w:pPr>
            <w:r w:rsidRPr="00482215">
              <w:rPr>
                <w:rStyle w:val="AERtextbold"/>
              </w:rPr>
              <w:t>Simultaneous share trades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2"/>
        </w:trPr>
        <w:tc>
          <w:tcPr>
            <w:tcW w:w="392" w:type="dxa"/>
          </w:tcPr>
          <w:p w:rsidR="001E32C9" w:rsidRPr="00222643" w:rsidRDefault="001E32C9" w:rsidP="001E32C9"/>
        </w:tc>
        <w:tc>
          <w:tcPr>
            <w:tcW w:w="2835" w:type="dxa"/>
          </w:tcPr>
          <w:p w:rsidR="001E32C9" w:rsidRPr="001E32C9" w:rsidRDefault="001E32C9" w:rsidP="001E32C9">
            <w:r w:rsidRPr="00222643">
              <w:t xml:space="preserve">Chu and </w:t>
            </w:r>
            <w:r w:rsidRPr="001E32C9">
              <w:t>Partington (2008)</w:t>
            </w:r>
            <w:r w:rsidRPr="001E32C9">
              <w:rPr>
                <w:rStyle w:val="FootnoteReference"/>
              </w:rPr>
              <w:footnoteReference w:id="234"/>
            </w:r>
          </w:p>
        </w:tc>
        <w:tc>
          <w:tcPr>
            <w:tcW w:w="1346" w:type="dxa"/>
          </w:tcPr>
          <w:p w:rsidR="001E32C9" w:rsidRPr="001E32C9" w:rsidRDefault="001E32C9" w:rsidP="001E32C9">
            <w:r w:rsidRPr="00222643">
              <w:t>N/A</w:t>
            </w:r>
            <w:r w:rsidRPr="00222643">
              <w:br/>
              <w:t>(1996)</w:t>
            </w:r>
          </w:p>
        </w:tc>
        <w:tc>
          <w:tcPr>
            <w:tcW w:w="1347" w:type="dxa"/>
          </w:tcPr>
          <w:p w:rsidR="001E32C9" w:rsidRPr="00222643" w:rsidRDefault="001E32C9" w:rsidP="001E32C9"/>
        </w:tc>
        <w:tc>
          <w:tcPr>
            <w:tcW w:w="3322" w:type="dxa"/>
            <w:gridSpan w:val="2"/>
          </w:tcPr>
          <w:p w:rsidR="001E32C9" w:rsidRPr="001E32C9" w:rsidRDefault="001E32C9" w:rsidP="001E32C9">
            <w:r w:rsidRPr="00222643">
              <w:t>Combined drop off of 1.29. With dividends at full value, this is a utilisation rate of 0.68.</w:t>
            </w:r>
          </w:p>
        </w:tc>
      </w:tr>
      <w:tr w:rsidR="001E32C9" w:rsidRPr="00222643" w:rsidTr="001752ED">
        <w:trPr>
          <w:trHeight w:val="284"/>
        </w:trPr>
        <w:tc>
          <w:tcPr>
            <w:tcW w:w="392" w:type="dxa"/>
          </w:tcPr>
          <w:p w:rsidR="001E32C9" w:rsidRPr="00222643" w:rsidRDefault="001E32C9" w:rsidP="001E32C9"/>
        </w:tc>
        <w:tc>
          <w:tcPr>
            <w:tcW w:w="2835" w:type="dxa"/>
          </w:tcPr>
          <w:p w:rsidR="001E32C9" w:rsidRPr="001E32C9" w:rsidRDefault="001E32C9" w:rsidP="001E32C9">
            <w:r w:rsidRPr="00222643">
              <w:t>Walker and Partington (1999)</w:t>
            </w:r>
            <w:r w:rsidRPr="001E32C9">
              <w:rPr>
                <w:rStyle w:val="FootnoteReference"/>
              </w:rPr>
              <w:footnoteReference w:id="235"/>
            </w:r>
          </w:p>
        </w:tc>
        <w:tc>
          <w:tcPr>
            <w:tcW w:w="1346" w:type="dxa"/>
          </w:tcPr>
          <w:p w:rsidR="001E32C9" w:rsidRPr="001E32C9" w:rsidRDefault="001E32C9" w:rsidP="001E32C9">
            <w:r w:rsidRPr="00222643">
              <w:t>0.88–0.96</w:t>
            </w:r>
            <w:r w:rsidRPr="00222643">
              <w:br/>
              <w:t>(1995–1997)</w:t>
            </w:r>
          </w:p>
        </w:tc>
        <w:tc>
          <w:tcPr>
            <w:tcW w:w="1347" w:type="dxa"/>
          </w:tcPr>
          <w:p w:rsidR="001E32C9" w:rsidRPr="00222643" w:rsidRDefault="001E32C9" w:rsidP="001E32C9"/>
        </w:tc>
        <w:tc>
          <w:tcPr>
            <w:tcW w:w="3322" w:type="dxa"/>
            <w:gridSpan w:val="2"/>
          </w:tcPr>
          <w:p w:rsidR="001E32C9" w:rsidRPr="00222643" w:rsidDel="003D6627"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658"/>
        </w:trPr>
        <w:tc>
          <w:tcPr>
            <w:tcW w:w="392" w:type="dxa"/>
          </w:tcPr>
          <w:p w:rsidR="001E32C9" w:rsidRPr="00222643" w:rsidRDefault="001E32C9" w:rsidP="001E32C9"/>
        </w:tc>
        <w:tc>
          <w:tcPr>
            <w:tcW w:w="2835" w:type="dxa"/>
          </w:tcPr>
          <w:p w:rsidR="001E32C9" w:rsidRPr="001E32C9" w:rsidRDefault="001E32C9" w:rsidP="001E32C9">
            <w:r w:rsidRPr="00222643">
              <w:t>Chu and Partington (2001)</w:t>
            </w:r>
            <w:r w:rsidRPr="001E32C9">
              <w:rPr>
                <w:rStyle w:val="FootnoteReference"/>
              </w:rPr>
              <w:footnoteReference w:id="236"/>
            </w:r>
          </w:p>
        </w:tc>
        <w:tc>
          <w:tcPr>
            <w:tcW w:w="1346" w:type="dxa"/>
          </w:tcPr>
          <w:p w:rsidR="001E32C9" w:rsidRPr="001E32C9" w:rsidRDefault="001E32C9" w:rsidP="001E32C9">
            <w:r>
              <w:t>N/A</w:t>
            </w:r>
            <w:r>
              <w:br/>
              <w:t>(</w:t>
            </w:r>
            <w:r w:rsidRPr="001E32C9">
              <w:t>1991–1999)</w:t>
            </w:r>
          </w:p>
        </w:tc>
        <w:tc>
          <w:tcPr>
            <w:tcW w:w="1347" w:type="dxa"/>
          </w:tcPr>
          <w:p w:rsidR="001E32C9" w:rsidRPr="00222643" w:rsidRDefault="001E32C9" w:rsidP="001E32C9"/>
        </w:tc>
        <w:tc>
          <w:tcPr>
            <w:tcW w:w="3322" w:type="dxa"/>
            <w:gridSpan w:val="2"/>
          </w:tcPr>
          <w:p w:rsidR="001E32C9" w:rsidRPr="001E32C9" w:rsidDel="003D6627" w:rsidRDefault="001E32C9" w:rsidP="001E32C9">
            <w:r w:rsidRPr="00222643">
              <w:t>Combined drop off of 1.5. With</w:t>
            </w:r>
            <w:r w:rsidRPr="001E32C9">
              <w:t xml:space="preserve"> dividends at full value, this is a utilisation rate above 1.</w:t>
            </w:r>
          </w:p>
        </w:tc>
      </w:tr>
    </w:tbl>
    <w:p w:rsidR="001E32C9" w:rsidRPr="00222643" w:rsidRDefault="001E32C9" w:rsidP="001E32C9">
      <w:pPr>
        <w:pStyle w:val="AERtablesource"/>
      </w:pPr>
      <w:r w:rsidRPr="00222643">
        <w:t xml:space="preserve">Source: </w:t>
      </w:r>
      <w:r w:rsidRPr="00222643">
        <w:tab/>
        <w:t xml:space="preserve">As specified in table. </w:t>
      </w:r>
    </w:p>
    <w:p w:rsidR="001E32C9" w:rsidRDefault="001E32C9" w:rsidP="001E32C9">
      <w:pPr>
        <w:pStyle w:val="Heading8"/>
        <w:numPr>
          <w:ilvl w:val="5"/>
          <w:numId w:val="57"/>
        </w:numPr>
      </w:pPr>
      <w:bookmarkStart w:id="132" w:name="_Ref401276227"/>
      <w:bookmarkStart w:id="133" w:name="_Toc404334902"/>
      <w:r>
        <w:t>Limitations of dividend drop off studies</w:t>
      </w:r>
      <w:bookmarkEnd w:id="132"/>
      <w:bookmarkEnd w:id="133"/>
    </w:p>
    <w:p w:rsidR="001E32C9" w:rsidRDefault="001E32C9" w:rsidP="001E32C9">
      <w:pPr>
        <w:pStyle w:val="AERbodytext"/>
      </w:pPr>
      <w:r>
        <w:t>This section sets out further evidence which supports our position on the use of implied market value studies—in particular dividend drop off studies—to estimate the utilisation rate. Specifically, we consider the limitations of dividend drop off studies as evident in:</w:t>
      </w:r>
    </w:p>
    <w:p w:rsidR="001E32C9" w:rsidRDefault="001E32C9" w:rsidP="001E32C9">
      <w:pPr>
        <w:pStyle w:val="AERbulletlistfirststyle"/>
      </w:pPr>
      <w:r>
        <w:t>A comparison of these studies with other market-based estimation approaches.</w:t>
      </w:r>
    </w:p>
    <w:p w:rsidR="001E32C9" w:rsidRDefault="001E32C9" w:rsidP="001E32C9">
      <w:pPr>
        <w:pStyle w:val="AERbulletlistfirststyle"/>
      </w:pPr>
      <w:r>
        <w:t>The views of academics and other regulators.</w:t>
      </w:r>
    </w:p>
    <w:p w:rsidR="001E32C9" w:rsidRDefault="001E32C9" w:rsidP="001E32C9">
      <w:pPr>
        <w:pStyle w:val="Heading9"/>
        <w:numPr>
          <w:ilvl w:val="6"/>
          <w:numId w:val="57"/>
        </w:numPr>
      </w:pPr>
      <w:bookmarkStart w:id="134" w:name="_Toc404334903"/>
      <w:r>
        <w:t>Comparison with other market-based estimation approaches</w:t>
      </w:r>
      <w:bookmarkEnd w:id="134"/>
    </w:p>
    <w:p w:rsidR="001E32C9" w:rsidRDefault="001E32C9" w:rsidP="001E32C9">
      <w:pPr>
        <w:pStyle w:val="AERbodytext"/>
      </w:pPr>
      <w:r>
        <w:t>The service providers submitted that their interpretation of the value of imputation credits is consistent with the approach taken to other elements of the return on capital. They provided the example of the return on debt, where the returns 'actually' required by investors are estimated with regard to the market prices of the relevant securities.</w:t>
      </w:r>
      <w:r>
        <w:rPr>
          <w:rStyle w:val="FootnoteReference"/>
        </w:rPr>
        <w:footnoteReference w:id="237"/>
      </w:r>
      <w:r>
        <w:t xml:space="preserve"> Further, they submitted that the only source of evidence capable of providing a point estimate for the value of distributed imputation credits are implied market value studies, in particular dividend drop off studies.</w:t>
      </w:r>
      <w:r>
        <w:rPr>
          <w:rStyle w:val="FootnoteReference"/>
        </w:rPr>
        <w:footnoteReference w:id="238"/>
      </w:r>
    </w:p>
    <w:p w:rsidR="001E32C9" w:rsidRDefault="001E32C9" w:rsidP="001E32C9">
      <w:pPr>
        <w:pStyle w:val="AERbodytext"/>
      </w:pPr>
      <w:r>
        <w:t xml:space="preserve">However, we consider that using market prices to estimate the value of imputation credits is fundamentally different to using market prices to estimate the return on debt (and other rate of return parameters). This is because: </w:t>
      </w:r>
    </w:p>
    <w:p w:rsidR="001E32C9" w:rsidRDefault="001E32C9" w:rsidP="001E32C9">
      <w:pPr>
        <w:pStyle w:val="AERbulletlistfirststyle"/>
      </w:pPr>
      <w:r>
        <w:t>T</w:t>
      </w:r>
      <w:r w:rsidRPr="00D129A8">
        <w:t xml:space="preserve">he valuation technique employed by </w:t>
      </w:r>
      <w:r>
        <w:t>dividend drop off studies (and other implied market value studies)</w:t>
      </w:r>
      <w:r w:rsidRPr="00D129A8">
        <w:t xml:space="preserve"> </w:t>
      </w:r>
      <w:r>
        <w:t>is unlike</w:t>
      </w:r>
      <w:r w:rsidRPr="00D129A8">
        <w:t xml:space="preserve"> a valuation technique that simply </w:t>
      </w:r>
      <w:r>
        <w:t>involves observing</w:t>
      </w:r>
      <w:r w:rsidRPr="00D129A8">
        <w:t xml:space="preserve"> the price of an asset in a market in which that asset is </w:t>
      </w:r>
      <w:r w:rsidR="00F72F56">
        <w:t>separately</w:t>
      </w:r>
      <w:r w:rsidR="00F72F56" w:rsidRPr="00D129A8">
        <w:t xml:space="preserve"> </w:t>
      </w:r>
      <w:r w:rsidRPr="00D129A8">
        <w:t>traded. Imputation credits are not traded separately</w:t>
      </w:r>
      <w:r w:rsidR="00F72F56">
        <w:t xml:space="preserve"> from the dividend </w:t>
      </w:r>
      <w:r w:rsidR="00C14341">
        <w:t xml:space="preserve">to which </w:t>
      </w:r>
      <w:r w:rsidR="00F72F56">
        <w:t>they are attached</w:t>
      </w:r>
      <w:r w:rsidRPr="00D129A8">
        <w:t xml:space="preserve">. Therefore, </w:t>
      </w:r>
      <w:r>
        <w:t>dividend drop off studies</w:t>
      </w:r>
      <w:r w:rsidRPr="00D129A8">
        <w:t xml:space="preserve"> must infer</w:t>
      </w:r>
      <w:r>
        <w:t xml:space="preserve"> </w:t>
      </w:r>
      <w:r w:rsidRPr="00D129A8">
        <w:t>using ex-dividend price changes and econometric techniques</w:t>
      </w:r>
      <w:r>
        <w:t xml:space="preserve"> (rather than observe or measure)</w:t>
      </w:r>
      <w:r w:rsidRPr="00D129A8">
        <w:t xml:space="preserve"> the value attributed to imputation credits by investors.</w:t>
      </w:r>
    </w:p>
    <w:p w:rsidR="001E32C9" w:rsidRPr="00ED19A3" w:rsidRDefault="001E32C9" w:rsidP="001E32C9">
      <w:pPr>
        <w:pStyle w:val="AERbulletlistfirststyle"/>
      </w:pPr>
      <w:r>
        <w:t>N</w:t>
      </w:r>
      <w:r w:rsidRPr="00D129A8">
        <w:t>o directly observable, widely</w:t>
      </w:r>
      <w:r>
        <w:t xml:space="preserve"> </w:t>
      </w:r>
      <w:r w:rsidRPr="00D129A8">
        <w:t xml:space="preserve">agreed proxy for </w:t>
      </w:r>
      <w:r>
        <w:t>the value of imputation credits</w:t>
      </w:r>
      <w:r w:rsidRPr="00D129A8">
        <w:t xml:space="preserve"> exists. While debate exists around certain technical issues in estimating other </w:t>
      </w:r>
      <w:r>
        <w:t xml:space="preserve">rate of return </w:t>
      </w:r>
      <w:r w:rsidRPr="00D129A8">
        <w:t>parameters, the fundamental point remains that relevant proxies exist and these can be directly observable. For example, it is widel</w:t>
      </w:r>
      <w:r>
        <w:t>y agreed that the interest rate</w:t>
      </w:r>
      <w:r w:rsidRPr="00D129A8">
        <w:t xml:space="preserve"> on government bonds is a proxy for the risk free rate. Moreover, the </w:t>
      </w:r>
      <w:r>
        <w:t>interest rate</w:t>
      </w:r>
      <w:r w:rsidRPr="00D129A8">
        <w:t xml:space="preserve"> on government bonds is directly observable.  </w:t>
      </w:r>
    </w:p>
    <w:p w:rsidR="001E32C9" w:rsidRDefault="001E32C9" w:rsidP="001E32C9">
      <w:pPr>
        <w:pStyle w:val="Heading9"/>
        <w:numPr>
          <w:ilvl w:val="6"/>
          <w:numId w:val="57"/>
        </w:numPr>
      </w:pPr>
      <w:bookmarkStart w:id="135" w:name="_Ref402180002"/>
      <w:bookmarkStart w:id="136" w:name="_Toc404334904"/>
      <w:r>
        <w:t>The views of academics and other regulators</w:t>
      </w:r>
      <w:bookmarkEnd w:id="135"/>
      <w:bookmarkEnd w:id="136"/>
    </w:p>
    <w:p w:rsidR="001E32C9" w:rsidRDefault="001E32C9" w:rsidP="001E32C9">
      <w:pPr>
        <w:pStyle w:val="AERbodytext"/>
      </w:pPr>
      <w:r>
        <w:t>A number of academics and regulators have recognised the limitations of dividend drop off studies. Moreover, many of these concerns continue to be expressed even after the study undertaken by SFG in 2011 (which was relied upon by the Australian Competition Tribunal in the Energex matter), and the 2013 update of that study (which was relied upon in service providers' current proposals).</w:t>
      </w:r>
      <w:r>
        <w:rPr>
          <w:rStyle w:val="FootnoteReference"/>
        </w:rPr>
        <w:footnoteReference w:id="239"/>
      </w:r>
      <w:r>
        <w:t xml:space="preserve"> </w:t>
      </w:r>
    </w:p>
    <w:p w:rsidR="001E32C9" w:rsidRDefault="001E32C9" w:rsidP="001E32C9">
      <w:pPr>
        <w:pStyle w:val="AERbodytext"/>
      </w:pPr>
      <w:r>
        <w:t>The comments of academics and other regulators contribute to our conclusion that:</w:t>
      </w:r>
    </w:p>
    <w:p w:rsidR="001E32C9" w:rsidRDefault="001E32C9" w:rsidP="001E32C9">
      <w:pPr>
        <w:pStyle w:val="AERbulletlistfirststyle"/>
      </w:pPr>
      <w:r>
        <w:t xml:space="preserve">SFG's dividend drop off study should not be relied upon to the </w:t>
      </w:r>
      <w:r w:rsidR="00F72F56">
        <w:t xml:space="preserve">total </w:t>
      </w:r>
      <w:r>
        <w:t xml:space="preserve">exclusion of other </w:t>
      </w:r>
      <w:r w:rsidR="00F72F56">
        <w:t>dividend drop off studies</w:t>
      </w:r>
      <w:r>
        <w:t>.</w:t>
      </w:r>
    </w:p>
    <w:p w:rsidR="001E32C9" w:rsidRDefault="001E32C9" w:rsidP="001E32C9">
      <w:pPr>
        <w:pStyle w:val="AERbulletlistfirststyle"/>
      </w:pPr>
      <w:r>
        <w:t xml:space="preserve">Dividend drop off studies should not be relied upon to the </w:t>
      </w:r>
      <w:r w:rsidR="00F72F56">
        <w:t xml:space="preserve">total </w:t>
      </w:r>
      <w:r>
        <w:t>exclusion of other implied market value studies.</w:t>
      </w:r>
    </w:p>
    <w:p w:rsidR="001E32C9" w:rsidRDefault="001E32C9" w:rsidP="001E32C9">
      <w:pPr>
        <w:pStyle w:val="AERbulletlistfirststyle"/>
      </w:pPr>
      <w:r>
        <w:t xml:space="preserve">Implied market value studies should not be relied upon to the </w:t>
      </w:r>
      <w:r w:rsidR="00F72F56">
        <w:t xml:space="preserve">total </w:t>
      </w:r>
      <w:r>
        <w:t>exclusion of other relevant evidence.</w:t>
      </w:r>
    </w:p>
    <w:p w:rsidR="001E32C9" w:rsidRDefault="001E32C9" w:rsidP="001E32C9">
      <w:pPr>
        <w:pStyle w:val="AERbodytext"/>
      </w:pPr>
      <w:r>
        <w:t>A selection of comments is reproduced below:</w:t>
      </w:r>
    </w:p>
    <w:p w:rsidR="001E32C9" w:rsidRDefault="001E32C9" w:rsidP="001E32C9">
      <w:pPr>
        <w:pStyle w:val="AERbulletlistfirststyle"/>
      </w:pPr>
      <w:r>
        <w:t>Cannavan, Finn and Gray (2004):</w:t>
      </w:r>
      <w:r>
        <w:rPr>
          <w:rStyle w:val="FootnoteReference"/>
        </w:rPr>
        <w:footnoteReference w:id="240"/>
      </w:r>
    </w:p>
    <w:p w:rsidR="001E32C9" w:rsidRDefault="001E32C9" w:rsidP="001E32C9">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1E32C9" w:rsidRDefault="001E32C9" w:rsidP="001E32C9">
      <w:pPr>
        <w:pStyle w:val="AERbulletlistfirststyle"/>
      </w:pPr>
      <w:r>
        <w:t>Siau, Sault and Warren (2013):</w:t>
      </w:r>
      <w:r>
        <w:rPr>
          <w:rStyle w:val="FootnoteReference"/>
        </w:rPr>
        <w:footnoteReference w:id="241"/>
      </w:r>
    </w:p>
    <w:p w:rsidR="001E32C9" w:rsidRPr="00B749AE" w:rsidRDefault="001E32C9" w:rsidP="001E32C9">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and limited samples in the case of comparative studies. Uncertainty over</w:t>
      </w:r>
      <w:r>
        <w:t xml:space="preserve"> the issue is heightened by the </w:t>
      </w:r>
      <w:r w:rsidRPr="00B749AE">
        <w:t>work of Lajbcygier and Wheatley (2012). These authors examine a range</w:t>
      </w:r>
      <w:r>
        <w:t xml:space="preserve"> of pricing models, and find no </w:t>
      </w:r>
      <w:r w:rsidRPr="00B749AE">
        <w:t>evidence that the existence of imputation credits is associated with lower r</w:t>
      </w:r>
      <w:r>
        <w:t xml:space="preserve">ealised returns, as might be </w:t>
      </w:r>
      <w:r w:rsidRPr="00B749AE">
        <w:t>expected if they were valued by the market. These results set up an int</w:t>
      </w:r>
      <w:r>
        <w:t xml:space="preserve">eresting conundrum: while there </w:t>
      </w:r>
      <w:r w:rsidRPr="00B749AE">
        <w:t>are signs of some influence on pricing and return patterns around dividend events, there is no evidence</w:t>
      </w:r>
      <w:r>
        <w:t xml:space="preserve"> </w:t>
      </w:r>
      <w:r w:rsidRPr="00B749AE">
        <w:t>that imputation credits have an impact on the level of returns a</w:t>
      </w:r>
      <w:r>
        <w:t>chieved by investors over time.</w:t>
      </w:r>
    </w:p>
    <w:p w:rsidR="001E32C9" w:rsidRPr="005906BA" w:rsidRDefault="001E32C9" w:rsidP="001E32C9">
      <w:pPr>
        <w:pStyle w:val="AERquote"/>
      </w:pPr>
      <w:r>
        <w:t>…</w:t>
      </w:r>
    </w:p>
    <w:p w:rsidR="001E32C9" w:rsidRDefault="001E32C9" w:rsidP="001E32C9">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1E32C9" w:rsidRDefault="001E32C9" w:rsidP="001E32C9">
      <w:pPr>
        <w:pStyle w:val="AERquote"/>
      </w:pPr>
      <w:r w:rsidRPr="00AC4A58">
        <w:t xml:space="preserve">A further key methodological issue is the difficulty in attributing the </w:t>
      </w:r>
      <w:r>
        <w:t xml:space="preserve">observed drop-off value between </w:t>
      </w:r>
      <w:r w:rsidRPr="00AC4A58">
        <w:t>cash dividends and imputation credits. Dempsey and Partington (200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1E32C9" w:rsidRDefault="001E32C9" w:rsidP="001E32C9">
      <w:pPr>
        <w:pStyle w:val="AERbulletlistfirststyle"/>
      </w:pPr>
      <w:r>
        <w:t>McKenzie and Partington (2013):</w:t>
      </w:r>
      <w:r>
        <w:rPr>
          <w:rStyle w:val="FootnoteReference"/>
        </w:rPr>
        <w:footnoteReference w:id="242"/>
      </w:r>
    </w:p>
    <w:p w:rsidR="001E32C9" w:rsidRDefault="001E32C9" w:rsidP="001E32C9">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1E32C9" w:rsidRDefault="001E32C9" w:rsidP="001E32C9">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1E32C9" w:rsidRPr="00ED2709" w:rsidRDefault="001E32C9" w:rsidP="001E32C9">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one such study by SFG </w:t>
      </w:r>
      <w:r w:rsidRPr="00ED2709">
        <w:t>that theta was taken to be 0.35 and hence the value of gamma is given by 0.7 x 0.35, which</w:t>
      </w:r>
      <w:r>
        <w:t xml:space="preserve"> </w:t>
      </w:r>
      <w:r w:rsidRPr="00ED2709">
        <w:t>rounded up furnishes a value of 0.25 or 25%.</w:t>
      </w:r>
    </w:p>
    <w:p w:rsidR="001E32C9" w:rsidRDefault="001E32C9" w:rsidP="001E32C9">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1E32C9" w:rsidRDefault="001E32C9" w:rsidP="001E32C9">
      <w:pPr>
        <w:pStyle w:val="AERbulletlistfirststyle"/>
      </w:pPr>
      <w:r>
        <w:t>Lally (2013):</w:t>
      </w:r>
      <w:r>
        <w:rPr>
          <w:rStyle w:val="FootnoteReference"/>
        </w:rPr>
        <w:footnoteReference w:id="243"/>
      </w:r>
    </w:p>
    <w:p w:rsidR="001E32C9" w:rsidRPr="00EE1293" w:rsidRDefault="001E32C9" w:rsidP="001E32C9">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1E32C9" w:rsidRDefault="001E32C9" w:rsidP="001E32C9">
      <w:pPr>
        <w:pStyle w:val="AERquote"/>
      </w:pPr>
      <w:r w:rsidRPr="00EE1293">
        <w:t>I concur with all of these concerns, and I have additional concerns about these studies or their interpretation.</w:t>
      </w:r>
    </w:p>
    <w:p w:rsidR="001E32C9" w:rsidRDefault="001E32C9" w:rsidP="001E32C9">
      <w:pPr>
        <w:pStyle w:val="AERbulletlistfirststyle"/>
      </w:pPr>
      <w:r>
        <w:t>QCA (2014):</w:t>
      </w:r>
      <w:r>
        <w:rPr>
          <w:rStyle w:val="FootnoteReference"/>
        </w:rPr>
        <w:footnoteReference w:id="244"/>
      </w:r>
    </w:p>
    <w:p w:rsidR="001E32C9" w:rsidRDefault="001E32C9" w:rsidP="001E32C9">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1E32C9" w:rsidRDefault="001E32C9" w:rsidP="001E32C9">
      <w:pPr>
        <w:pStyle w:val="AERbulletlistfirststyle"/>
      </w:pPr>
      <w:r>
        <w:t>Handley (2014):</w:t>
      </w:r>
      <w:r>
        <w:rPr>
          <w:rStyle w:val="FootnoteReference"/>
        </w:rPr>
        <w:footnoteReference w:id="245"/>
      </w:r>
    </w:p>
    <w:p w:rsidR="001E32C9" w:rsidRPr="00CF096F" w:rsidRDefault="001E32C9" w:rsidP="001E32C9">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1E32C9" w:rsidRDefault="001E32C9" w:rsidP="001E32C9">
      <w:pPr>
        <w:pStyle w:val="AERbodytext"/>
      </w:pPr>
      <w:r>
        <w:t>Even the ERA, which at present prefers the use of dividend drop off studies, stated:</w:t>
      </w:r>
      <w:r>
        <w:rPr>
          <w:rStyle w:val="FootnoteReference"/>
        </w:rPr>
        <w:footnoteReference w:id="246"/>
      </w:r>
    </w:p>
    <w:p w:rsidR="001E32C9" w:rsidRDefault="001E32C9" w:rsidP="001E32C9">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1E32C9" w:rsidRDefault="001E32C9" w:rsidP="001E32C9">
      <w:pPr>
        <w:pStyle w:val="Heading8"/>
        <w:numPr>
          <w:ilvl w:val="5"/>
          <w:numId w:val="57"/>
        </w:numPr>
      </w:pPr>
      <w:bookmarkStart w:id="137" w:name="_Ref403481482"/>
      <w:bookmarkStart w:id="138" w:name="_Toc404334905"/>
      <w:r>
        <w:t>Revised consideration of the conceptual goalposts approach</w:t>
      </w:r>
      <w:bookmarkEnd w:id="137"/>
      <w:bookmarkEnd w:id="138"/>
    </w:p>
    <w:p w:rsidR="00DE7E22" w:rsidRDefault="001E32C9" w:rsidP="00DE7E22">
      <w:pPr>
        <w:pStyle w:val="AERbodytext"/>
      </w:pPr>
      <w:r>
        <w:t xml:space="preserve">We placed a degree of reliance upon the conceptual goalposts approach when coming to an estimate for the utilisation rate in the </w:t>
      </w:r>
      <w:r w:rsidR="0033289B">
        <w:t>Guideline</w:t>
      </w:r>
      <w:r>
        <w:t xml:space="preserve">. However, we </w:t>
      </w:r>
      <w:r w:rsidR="00F72F56">
        <w:t xml:space="preserve">do </w:t>
      </w:r>
      <w:r>
        <w:t>no</w:t>
      </w:r>
      <w:r w:rsidR="00F72F56">
        <w:t>t</w:t>
      </w:r>
      <w:r>
        <w:t xml:space="preserve"> rel</w:t>
      </w:r>
      <w:r w:rsidR="00F72F56">
        <w:t xml:space="preserve">y on </w:t>
      </w:r>
      <w:r>
        <w:t xml:space="preserve">the conceptual goalposts approach in this draft decision. </w:t>
      </w:r>
      <w:r w:rsidR="00DE7E22">
        <w:t>This is mainly to be consistent with Handley's advice on the conceptual framework, which we have accepted in making this draft decision. Further, we do not consider this to be a significant departure from the Guideline given we placed only limited reliance on the conceptual goalposts approach in the Guideline.</w:t>
      </w:r>
      <w:r w:rsidR="00DE7E22" w:rsidDel="007E6C35">
        <w:t xml:space="preserve"> </w:t>
      </w:r>
      <w:r w:rsidR="00DE7E22">
        <w:t>Our revised consideration of the approach is set out in this section.</w:t>
      </w:r>
    </w:p>
    <w:p w:rsidR="001E32C9" w:rsidRDefault="001E32C9" w:rsidP="001E32C9">
      <w:pPr>
        <w:pStyle w:val="Heading9"/>
        <w:numPr>
          <w:ilvl w:val="6"/>
          <w:numId w:val="57"/>
        </w:numPr>
      </w:pPr>
      <w:bookmarkStart w:id="139" w:name="_Toc404334906"/>
      <w:r>
        <w:t>Description of the approach</w:t>
      </w:r>
      <w:bookmarkEnd w:id="139"/>
    </w:p>
    <w:p w:rsidR="001E32C9" w:rsidRDefault="001E32C9" w:rsidP="001E32C9">
      <w:pPr>
        <w:pStyle w:val="AERbodytext"/>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47"/>
      </w:r>
      <w:r>
        <w:t xml:space="preserve"> In the Officer CAPM, the given set of assets is the domestic market and Lally considered that the given set of investors is domestic investors; that is, the </w:t>
      </w:r>
      <w:r w:rsidR="00F72F56">
        <w:t xml:space="preserve">domestic </w:t>
      </w:r>
      <w:r>
        <w:t>market is assumed to be 'fully segmented' from international markets.</w:t>
      </w:r>
      <w:r>
        <w:rPr>
          <w:rStyle w:val="FootnoteReference"/>
        </w:rPr>
        <w:footnoteReference w:id="248"/>
      </w:r>
    </w:p>
    <w:p w:rsidR="001E32C9" w:rsidRDefault="001E32C9" w:rsidP="001E32C9">
      <w:pPr>
        <w:pStyle w:val="AERbodytext"/>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49"/>
      </w:r>
    </w:p>
    <w:p w:rsidR="00BE0506" w:rsidRPr="002B01D6" w:rsidRDefault="00BE0506" w:rsidP="00BE0506">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1E32C9" w:rsidRPr="002B01D6" w:rsidRDefault="001E32C9" w:rsidP="001E32C9">
      <w:pPr>
        <w:pStyle w:val="AERbodytext"/>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50"/>
      </w:r>
    </w:p>
    <w:p w:rsidR="001E32C9" w:rsidRPr="002B01D6" w:rsidRDefault="001E32C9" w:rsidP="001E32C9">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1E32C9" w:rsidRPr="002B01D6" w:rsidRDefault="001E32C9" w:rsidP="001E32C9">
      <w:pPr>
        <w:pStyle w:val="AERquote"/>
      </w:pPr>
      <w:r w:rsidRPr="002B01D6">
        <w:t>…</w:t>
      </w:r>
    </w:p>
    <w:p w:rsidR="001E32C9" w:rsidRDefault="001E32C9" w:rsidP="001E32C9">
      <w:pPr>
        <w:pStyle w:val="AERquote"/>
      </w:pPr>
      <w:r w:rsidRPr="002B01D6">
        <w:t>Using the three criteria described above, my preferred estimate is 1 from the first approach…</w:t>
      </w:r>
    </w:p>
    <w:p w:rsidR="001E32C9" w:rsidRDefault="001E32C9" w:rsidP="001E32C9">
      <w:pPr>
        <w:pStyle w:val="AERbodytext"/>
      </w:pPr>
      <w:r>
        <w:t xml:space="preserve">An alternative to the 'domestic' Officer CAPM is an international CAPM, whereby the relevant set of assets is all assets in the world and the relevant set of investors is all investors in the world; that is, the </w:t>
      </w:r>
      <w:r w:rsidR="00F72F56">
        <w:t xml:space="preserve">domestic </w:t>
      </w:r>
      <w:r>
        <w:t xml:space="preserve">market is assumed to be 'fully integrated' with international markets.  Using this model would require inputs based on international benchmarks, including a utilisation rate of 0 because the proportion of global investors eligible to make use of </w:t>
      </w:r>
      <w:r w:rsidR="00F72F56">
        <w:t xml:space="preserve">domestic </w:t>
      </w:r>
      <w:r>
        <w:t>imputation credits  is close to zero.</w:t>
      </w:r>
    </w:p>
    <w:p w:rsidR="001E32C9" w:rsidRDefault="001E32C9" w:rsidP="001E32C9">
      <w:pPr>
        <w:pStyle w:val="AERbodytext"/>
      </w:pPr>
      <w:r>
        <w:t xml:space="preserve">Both in the </w:t>
      </w:r>
      <w:r w:rsidR="0033289B">
        <w:t>Guideline</w:t>
      </w:r>
      <w:r>
        <w:t xml:space="preserve"> and in this draft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51"/>
      </w:r>
    </w:p>
    <w:p w:rsidR="001E32C9" w:rsidRPr="002C135E" w:rsidRDefault="001E32C9" w:rsidP="001E32C9">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1E32C9" w:rsidRPr="002C135E" w:rsidRDefault="001E32C9" w:rsidP="001E32C9">
      <w:pPr>
        <w:pStyle w:val="AERbodytext"/>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52"/>
      </w:r>
      <w:r w:rsidRPr="002C135E">
        <w:t xml:space="preserve"> </w:t>
      </w:r>
    </w:p>
    <w:p w:rsidR="001E32C9" w:rsidRPr="002C135E" w:rsidRDefault="001E32C9" w:rsidP="001E32C9">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1E32C9" w:rsidRPr="002C135E" w:rsidRDefault="001E32C9" w:rsidP="001E32C9">
      <w:pPr>
        <w:pStyle w:val="AERquote"/>
      </w:pPr>
      <w:r w:rsidRPr="002C135E">
        <w:t>To do so it is necessary to consider the implications for the cost of equity of complete integration and complete segmentation of national markets for risky assets.</w:t>
      </w:r>
    </w:p>
    <w:p w:rsidR="001E32C9" w:rsidRPr="002C135E" w:rsidRDefault="001E32C9" w:rsidP="001E32C9">
      <w:pPr>
        <w:pStyle w:val="AERbodytext"/>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w:t>
      </w:r>
      <w:r w:rsidR="0033289B">
        <w:t>Guideline</w:t>
      </w:r>
      <w:r>
        <w:t xml:space="preserve"> passed this test, Lally estimated</w:t>
      </w:r>
      <w:r w:rsidRPr="002C135E">
        <w:t xml:space="preserve"> for the average Australian firm:</w:t>
      </w:r>
      <w:r>
        <w:rPr>
          <w:rStyle w:val="FootnoteReference"/>
        </w:rPr>
        <w:footnoteReference w:id="253"/>
      </w:r>
      <w:r w:rsidRPr="002C135E">
        <w:t xml:space="preserve"> </w:t>
      </w:r>
    </w:p>
    <w:p w:rsidR="001E32C9" w:rsidRPr="002C135E" w:rsidRDefault="001E32C9" w:rsidP="001E32C9">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t>1</w:t>
      </w:r>
      <w:r w:rsidRPr="002C135E">
        <w:t>.</w:t>
      </w:r>
    </w:p>
    <w:p w:rsidR="001E32C9" w:rsidRPr="002C135E" w:rsidRDefault="001E32C9" w:rsidP="001E32C9">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t>0</w:t>
      </w:r>
      <w:r w:rsidRPr="002C135E">
        <w:t>.</w:t>
      </w:r>
    </w:p>
    <w:p w:rsidR="001E32C9" w:rsidRPr="002C135E" w:rsidRDefault="001E32C9" w:rsidP="001E32C9">
      <w:pPr>
        <w:pStyle w:val="AERbulletlistfirststyle"/>
      </w:pPr>
      <w:r w:rsidRPr="002C135E">
        <w:t xml:space="preserve">The return on equity using a segmented (Officer) CAPM, populated with parameters that accord with </w:t>
      </w:r>
      <w:r>
        <w:t>our '</w:t>
      </w:r>
      <w:r w:rsidRPr="002C135E">
        <w:t>partially integrated</w:t>
      </w:r>
      <w:r>
        <w:t>'</w:t>
      </w:r>
      <w:r w:rsidRPr="002C135E">
        <w:t xml:space="preserve"> market definition. That is, a market risk premium and an equity beta that reflect the domestic market, but recognising foreign investors to the extent that they invest </w:t>
      </w:r>
      <w:r>
        <w:t>in the domestic (Australian) market</w:t>
      </w:r>
      <w:r w:rsidRPr="002C135E">
        <w:t xml:space="preserve">. </w:t>
      </w:r>
    </w:p>
    <w:p w:rsidR="001E32C9" w:rsidRPr="00953733" w:rsidRDefault="001E32C9" w:rsidP="001E32C9">
      <w:pPr>
        <w:pStyle w:val="AERbodytext"/>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254"/>
      </w:r>
      <w:r w:rsidRPr="00953733">
        <w:t xml:space="preserve"> </w:t>
      </w:r>
    </w:p>
    <w:p w:rsidR="001E32C9" w:rsidRPr="00953733" w:rsidRDefault="001E32C9" w:rsidP="001E32C9">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1E32C9" w:rsidRPr="00953733" w:rsidRDefault="001E32C9" w:rsidP="001E32C9">
      <w:pPr>
        <w:pStyle w:val="AERbodytext"/>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1E32C9" w:rsidRDefault="001E32C9" w:rsidP="001E32C9">
      <w:pPr>
        <w:pStyle w:val="AERbodytext"/>
      </w:pPr>
      <w:r>
        <w:t xml:space="preserve">In conclusion, in the </w:t>
      </w:r>
      <w:r w:rsidR="0033289B">
        <w:t>Guideline</w:t>
      </w:r>
      <w:r>
        <w:t xml:space="preserv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1E32C9" w:rsidRDefault="001E32C9" w:rsidP="001E32C9">
      <w:pPr>
        <w:pStyle w:val="Heading9"/>
        <w:numPr>
          <w:ilvl w:val="6"/>
          <w:numId w:val="57"/>
        </w:numPr>
      </w:pPr>
      <w:bookmarkStart w:id="140" w:name="_Toc404334907"/>
      <w:r>
        <w:t xml:space="preserve">Advice received since the </w:t>
      </w:r>
      <w:r w:rsidR="0033289B">
        <w:t>Guideline</w:t>
      </w:r>
      <w:bookmarkEnd w:id="140"/>
    </w:p>
    <w:p w:rsidR="001E32C9" w:rsidRDefault="001E32C9" w:rsidP="001E32C9">
      <w:pPr>
        <w:pStyle w:val="AERbodytext"/>
      </w:pPr>
      <w:r>
        <w:t xml:space="preserve">In advice received since the </w:t>
      </w:r>
      <w:r w:rsidR="0033289B">
        <w:t>Guideline</w:t>
      </w:r>
      <w:r>
        <w:t>'s publication, Handley advised that he does not consider the conceptual goalposts approach to be a reasonable approach to estimating the utilisation rate:</w:t>
      </w:r>
      <w:r>
        <w:rPr>
          <w:rStyle w:val="FootnoteReference"/>
        </w:rPr>
        <w:footnoteReference w:id="255"/>
      </w:r>
    </w:p>
    <w:p w:rsidR="001E32C9" w:rsidRDefault="001E32C9" w:rsidP="001E32C9">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1E32C9" w:rsidRDefault="001E32C9" w:rsidP="001E32C9">
      <w:pPr>
        <w:pStyle w:val="AERbodytext"/>
      </w:pPr>
      <w:r>
        <w:t>Handley expanded on his first point elsewhere in his advice:</w:t>
      </w:r>
      <w:r>
        <w:rPr>
          <w:rStyle w:val="FootnoteReference"/>
        </w:rPr>
        <w:footnoteReference w:id="256"/>
      </w:r>
    </w:p>
    <w:p w:rsidR="001E32C9" w:rsidRDefault="001E32C9" w:rsidP="001E32C9">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1E32C9" w:rsidRDefault="001E32C9" w:rsidP="001E32C9">
      <w:pPr>
        <w:pStyle w:val="AERbodytext"/>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257"/>
      </w:r>
    </w:p>
    <w:p w:rsidR="001E32C9" w:rsidRDefault="001E32C9" w:rsidP="001E32C9">
      <w:pPr>
        <w:pStyle w:val="AERbodytext"/>
      </w:pPr>
      <w:r>
        <w:t>SFG also raised concerns with the approach, and a number of these have been responded to by Lally.</w:t>
      </w:r>
      <w:r>
        <w:rPr>
          <w:rStyle w:val="FootnoteReference"/>
        </w:rPr>
        <w:footnoteReference w:id="258"/>
      </w:r>
    </w:p>
    <w:p w:rsidR="001E32C9" w:rsidRPr="003324F7" w:rsidRDefault="001E32C9" w:rsidP="004B0617">
      <w:pPr>
        <w:pStyle w:val="AERbodytext"/>
      </w:pPr>
    </w:p>
    <w:sectPr w:rsidR="001E32C9" w:rsidRPr="003324F7" w:rsidSect="00994D24">
      <w:footerReference w:type="even" r:id="rId20"/>
      <w:footerReference w:type="default" r:id="rId21"/>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8F" w:rsidRPr="00AB4345" w:rsidRDefault="00240C8F" w:rsidP="00AB4345">
      <w:r>
        <w:separator/>
      </w:r>
    </w:p>
  </w:endnote>
  <w:endnote w:type="continuationSeparator" w:id="0">
    <w:p w:rsidR="00240C8F" w:rsidRPr="00AB4345" w:rsidRDefault="00240C8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8F" w:rsidRPr="00824CC8" w:rsidRDefault="00240C8F" w:rsidP="001752ED">
    <w:pPr>
      <w:pStyle w:val="Footer"/>
      <w:tabs>
        <w:tab w:val="clear" w:pos="4513"/>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115D92">
      <w:rPr>
        <w:rStyle w:val="AERbody"/>
        <w:noProof/>
      </w:rPr>
      <w:t>4-6</w:t>
    </w:r>
    <w:r w:rsidRPr="00824CC8">
      <w:rPr>
        <w:rStyle w:val="AERbody"/>
      </w:rPr>
      <w:fldChar w:fldCharType="end"/>
    </w:r>
    <w:r>
      <w:rPr>
        <w:rStyle w:val="AERbody"/>
      </w:rPr>
      <w:t xml:space="preserve"> </w:t>
    </w:r>
    <w:r>
      <w:rPr>
        <w:rStyle w:val="AERbody"/>
      </w:rPr>
      <w:tab/>
      <w:t xml:space="preserve">Attachment 4: </w:t>
    </w:r>
    <w:r>
      <w:t>Value of imputation credits</w:t>
    </w:r>
    <w:r w:rsidRPr="0032241D">
      <w:rPr>
        <w:rStyle w:val="AERbody"/>
      </w:rPr>
      <w:t xml:space="preserve"> </w:t>
    </w:r>
    <w:r w:rsidRPr="00210880">
      <w:rPr>
        <w:rStyle w:val="AERbody"/>
      </w:rPr>
      <w:t xml:space="preserve">| </w:t>
    </w:r>
    <w:r>
      <w:rPr>
        <w:rStyle w:val="AERbody"/>
      </w:rPr>
      <w:t>Endeavour Energy draft decision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8F" w:rsidRPr="00824CC8" w:rsidRDefault="00240C8F" w:rsidP="001752ED">
    <w:pPr>
      <w:pStyle w:val="Footer"/>
      <w:tabs>
        <w:tab w:val="clear" w:pos="4513"/>
      </w:tabs>
    </w:pPr>
    <w:r>
      <w:rPr>
        <w:rStyle w:val="AERbody"/>
      </w:rPr>
      <w:t xml:space="preserve">Attachment 4: </w:t>
    </w:r>
    <w:r>
      <w:t>Value of imputation credits</w:t>
    </w:r>
    <w:r w:rsidRPr="0032241D">
      <w:rPr>
        <w:rStyle w:val="AERbody"/>
      </w:rPr>
      <w:t xml:space="preserve"> </w:t>
    </w:r>
    <w:r w:rsidRPr="00210880">
      <w:rPr>
        <w:rStyle w:val="AERbody"/>
      </w:rPr>
      <w:t xml:space="preserve">| </w:t>
    </w:r>
    <w:r>
      <w:rPr>
        <w:rStyle w:val="AERbody"/>
      </w:rPr>
      <w:t>Endeavour Energy draft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115D92">
      <w:rPr>
        <w:rStyle w:val="AERbody"/>
        <w:noProof/>
      </w:rPr>
      <w:t>4-7</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96370"/>
      <w:docPartObj>
        <w:docPartGallery w:val="Page Numbers (Bottom of Page)"/>
        <w:docPartUnique/>
      </w:docPartObj>
    </w:sdtPr>
    <w:sdtEndPr/>
    <w:sdtContent>
      <w:p w:rsidR="00240C8F" w:rsidRDefault="00240C8F" w:rsidP="00256802">
        <w:pPr>
          <w:pStyle w:val="Footer"/>
        </w:pPr>
        <w:r w:rsidRPr="00824CC8">
          <w:fldChar w:fldCharType="begin"/>
        </w:r>
        <w:r w:rsidRPr="00824CC8">
          <w:instrText xml:space="preserve"> PAGE   \* MERGEFORMAT </w:instrText>
        </w:r>
        <w:r w:rsidRPr="00824CC8">
          <w:fldChar w:fldCharType="separate"/>
        </w:r>
        <w:r w:rsidR="00115D92">
          <w:rPr>
            <w:noProof/>
          </w:rPr>
          <w:t>4-52</w:t>
        </w:r>
        <w:r w:rsidRPr="00824CC8">
          <w:fldChar w:fldCharType="end"/>
        </w:r>
        <w:r>
          <w:t xml:space="preserve">                                </w:t>
        </w:r>
        <w:sdt>
          <w:sdtPr>
            <w:id w:val="-1897505361"/>
            <w:docPartObj>
              <w:docPartGallery w:val="Page Numbers (Bottom of Page)"/>
              <w:docPartUnique/>
            </w:docPartObj>
          </w:sdtPr>
          <w:sdtEndPr/>
          <w:sdtContent>
            <w:r>
              <w:rPr>
                <w:rStyle w:val="AERbody"/>
              </w:rPr>
              <w:t xml:space="preserve">Attachment 4: </w:t>
            </w:r>
            <w:r w:rsidRPr="0032241D">
              <w:tab/>
            </w:r>
            <w:r>
              <w:t xml:space="preserve">Value of </w:t>
            </w:r>
            <w:r w:rsidRPr="00162A3D">
              <w:t>imputation</w:t>
            </w:r>
            <w:r>
              <w:t xml:space="preserve"> credits</w:t>
            </w:r>
            <w:r w:rsidRPr="00210880">
              <w:rPr>
                <w:rStyle w:val="AERbody"/>
              </w:rPr>
              <w:t xml:space="preserve"> | </w:t>
            </w:r>
            <w:r>
              <w:rPr>
                <w:rStyle w:val="AERbody"/>
              </w:rPr>
              <w:t>Endeavour Energy draft decision</w:t>
            </w:r>
          </w:sdtContent>
        </w:sdt>
      </w:p>
      <w:p w:rsidR="00240C8F" w:rsidRPr="00824CC8" w:rsidRDefault="00115D92" w:rsidP="00824CC8">
        <w:pPr>
          <w:pStyle w:val="Foo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8F" w:rsidRPr="00824CC8" w:rsidRDefault="00115D92" w:rsidP="00824CC8">
    <w:pPr>
      <w:pStyle w:val="Footer"/>
      <w:rPr>
        <w:rStyle w:val="AERbody"/>
      </w:rPr>
    </w:pPr>
    <w:sdt>
      <w:sdtPr>
        <w:id w:val="1600915128"/>
        <w:docPartObj>
          <w:docPartGallery w:val="Page Numbers (Bottom of Page)"/>
          <w:docPartUnique/>
        </w:docPartObj>
      </w:sdtPr>
      <w:sdtEndPr/>
      <w:sdtContent>
        <w:r w:rsidR="00240C8F">
          <w:rPr>
            <w:rStyle w:val="AERbody"/>
          </w:rPr>
          <w:t xml:space="preserve">Attachment 4: </w:t>
        </w:r>
        <w:r w:rsidR="00240C8F" w:rsidRPr="0032241D">
          <w:tab/>
        </w:r>
        <w:r w:rsidR="00240C8F">
          <w:t xml:space="preserve">Value of </w:t>
        </w:r>
        <w:r w:rsidR="00240C8F" w:rsidRPr="00162A3D">
          <w:t>imputation</w:t>
        </w:r>
        <w:r w:rsidR="00240C8F">
          <w:t xml:space="preserve"> credits</w:t>
        </w:r>
        <w:r w:rsidR="00240C8F" w:rsidRPr="00210880">
          <w:rPr>
            <w:rStyle w:val="AERbody"/>
          </w:rPr>
          <w:t xml:space="preserve"> | </w:t>
        </w:r>
        <w:r w:rsidR="00240C8F">
          <w:rPr>
            <w:rStyle w:val="AERbody"/>
          </w:rPr>
          <w:t>Endeavour Energy draft decision</w:t>
        </w:r>
      </w:sdtContent>
    </w:sdt>
    <w:r w:rsidR="00240C8F" w:rsidRPr="00210880">
      <w:rPr>
        <w:rStyle w:val="AERbody"/>
      </w:rPr>
      <w:tab/>
    </w:r>
    <w:r w:rsidR="00240C8F" w:rsidRPr="00824CC8">
      <w:rPr>
        <w:rStyle w:val="AERbody"/>
      </w:rPr>
      <w:fldChar w:fldCharType="begin"/>
    </w:r>
    <w:r w:rsidR="00240C8F" w:rsidRPr="00824CC8">
      <w:rPr>
        <w:rStyle w:val="AERbody"/>
      </w:rPr>
      <w:instrText xml:space="preserve"> PAGE   \* MERGEFORMAT </w:instrText>
    </w:r>
    <w:r w:rsidR="00240C8F" w:rsidRPr="00824CC8">
      <w:rPr>
        <w:rStyle w:val="AERbody"/>
      </w:rPr>
      <w:fldChar w:fldCharType="separate"/>
    </w:r>
    <w:r>
      <w:rPr>
        <w:rStyle w:val="AERbody"/>
        <w:noProof/>
      </w:rPr>
      <w:t>4-53</w:t>
    </w:r>
    <w:r w:rsidR="00240C8F" w:rsidRPr="00824CC8">
      <w:rPr>
        <w:rStyle w:val="AERbod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0C8F" w:rsidRPr="00824CC8" w:rsidRDefault="00240C8F" w:rsidP="00824CC8">
        <w:pPr>
          <w:pStyle w:val="Footer"/>
        </w:pPr>
        <w:r w:rsidRPr="00824CC8">
          <w:fldChar w:fldCharType="begin"/>
        </w:r>
        <w:r w:rsidRPr="00824CC8">
          <w:instrText xml:space="preserve"> PAGE   \* MERGEFORMAT </w:instrText>
        </w:r>
        <w:r w:rsidRPr="00824CC8">
          <w:fldChar w:fldCharType="separate"/>
        </w:r>
        <w:r w:rsidR="00115D92">
          <w:rPr>
            <w:noProof/>
          </w:rPr>
          <w:t>4-72</w:t>
        </w:r>
        <w:r w:rsidRPr="00824CC8">
          <w:fldChar w:fldCharType="end"/>
        </w:r>
        <w:r w:rsidRPr="00824CC8">
          <w:tab/>
        </w:r>
        <w:r w:rsidRPr="00824CC8">
          <w:rPr>
            <w:rStyle w:val="AERbody"/>
          </w:rPr>
          <w:t>Attachment heading | Distribution/transmission determination heading</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8F" w:rsidRPr="00824CC8" w:rsidRDefault="00240C8F" w:rsidP="00824CC8">
    <w:pPr>
      <w:pStyle w:val="Footer"/>
      <w:rPr>
        <w:rStyle w:val="AERbody"/>
      </w:rPr>
    </w:pPr>
    <w:r w:rsidRPr="00210880">
      <w:rPr>
        <w:rStyle w:val="AERbody"/>
      </w:rPr>
      <w:t>Distribution/transmission determination heading | Attachment heading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115D92">
      <w:rPr>
        <w:rStyle w:val="AERbody"/>
        <w:noProof/>
      </w:rPr>
      <w:t>4-73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8F" w:rsidRPr="00AB4345" w:rsidRDefault="00240C8F" w:rsidP="00AB4345">
      <w:r>
        <w:separator/>
      </w:r>
    </w:p>
  </w:footnote>
  <w:footnote w:type="continuationSeparator" w:id="0">
    <w:p w:rsidR="00240C8F" w:rsidRPr="00AB4345" w:rsidRDefault="00240C8F" w:rsidP="00AB4345">
      <w:r>
        <w:continuationSeparator/>
      </w:r>
    </w:p>
  </w:footnote>
  <w:footnote w:id="1">
    <w:p w:rsidR="00240C8F" w:rsidRDefault="00240C8F">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240C8F" w:rsidRDefault="00240C8F">
      <w:pPr>
        <w:pStyle w:val="FootnoteText"/>
      </w:pPr>
      <w:r>
        <w:rPr>
          <w:rStyle w:val="FootnoteReference"/>
        </w:rPr>
        <w:footnoteRef/>
      </w:r>
      <w:r>
        <w:t xml:space="preserve"> </w:t>
      </w:r>
      <w:r>
        <w:tab/>
        <w:t>NER, cls. 6.4.3(a)(4), 6.4.3(b)(4), 6.5.3, 6A.5.4(a)(4), 6A.5.4(b)(4) and 6A.6.4; NGR, rs. 76(c) and 87A.</w:t>
      </w:r>
    </w:p>
  </w:footnote>
  <w:footnote w:id="3">
    <w:p w:rsidR="00240C8F" w:rsidRDefault="00240C8F">
      <w:pPr>
        <w:pStyle w:val="FootnoteText"/>
      </w:pPr>
      <w:r>
        <w:rPr>
          <w:rStyle w:val="FootnoteReference"/>
        </w:rPr>
        <w:footnoteRef/>
      </w:r>
      <w:r>
        <w:t xml:space="preserve"> </w:t>
      </w:r>
      <w:r>
        <w:tab/>
        <w:t xml:space="preserve">See section </w:t>
      </w:r>
      <w:r>
        <w:fldChar w:fldCharType="begin"/>
      </w:r>
      <w:r>
        <w:instrText xml:space="preserve"> REF _Ref403477544 \r \h </w:instrText>
      </w:r>
      <w:r>
        <w:fldChar w:fldCharType="separate"/>
      </w:r>
      <w:r>
        <w:t>A.1</w:t>
      </w:r>
      <w:r>
        <w:fldChar w:fldCharType="end"/>
      </w:r>
      <w:r>
        <w:t xml:space="preserve"> of appendix A.</w:t>
      </w:r>
    </w:p>
  </w:footnote>
  <w:footnote w:id="4">
    <w:p w:rsidR="00240C8F" w:rsidRDefault="00240C8F">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5">
    <w:p w:rsidR="00240C8F" w:rsidRDefault="00240C8F">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_Ref401136494 \r \h </w:instrText>
      </w:r>
      <w:r>
        <w:fldChar w:fldCharType="separate"/>
      </w:r>
      <w:r>
        <w:t>4.4</w:t>
      </w:r>
      <w:r>
        <w:fldChar w:fldCharType="end"/>
      </w:r>
      <w:r>
        <w:t>.</w:t>
      </w:r>
    </w:p>
  </w:footnote>
  <w:footnote w:id="6">
    <w:p w:rsidR="00240C8F" w:rsidRDefault="00240C8F">
      <w:pPr>
        <w:pStyle w:val="FootnoteText"/>
      </w:pPr>
      <w:r>
        <w:rPr>
          <w:rStyle w:val="FootnoteReference"/>
        </w:rPr>
        <w:footnoteRef/>
      </w:r>
      <w:r>
        <w:t xml:space="preserve"> </w:t>
      </w:r>
      <w:r>
        <w:tab/>
        <w:t xml:space="preserve">Endeavour Energy actually referred to the utilisation rate as 'the value of distributed imputation credits to investors who receive them', and labelled this parameter the Greek letter 'theta'. The alternative labelling and interpretations of the utilisation rate are discussed in section </w:t>
      </w:r>
      <w:r>
        <w:fldChar w:fldCharType="begin"/>
      </w:r>
      <w:r>
        <w:instrText xml:space="preserve"> REF _Ref401272599 \r \h </w:instrText>
      </w:r>
      <w:r>
        <w:fldChar w:fldCharType="separate"/>
      </w:r>
      <w:r>
        <w:t>A.7</w:t>
      </w:r>
      <w:r>
        <w:fldChar w:fldCharType="end"/>
      </w:r>
      <w:r>
        <w:t xml:space="preserve"> of appendix A. </w:t>
      </w:r>
    </w:p>
  </w:footnote>
  <w:footnote w:id="7">
    <w:p w:rsidR="00240C8F" w:rsidRDefault="00240C8F">
      <w:pPr>
        <w:pStyle w:val="FootnoteText"/>
      </w:pPr>
      <w:r>
        <w:rPr>
          <w:rStyle w:val="FootnoteReference"/>
        </w:rPr>
        <w:footnoteRef/>
      </w:r>
      <w:r>
        <w:t xml:space="preserve"> </w:t>
      </w:r>
      <w:r>
        <w:tab/>
        <w:t xml:space="preserve">We discuss the Guideline in section </w:t>
      </w:r>
      <w:r>
        <w:fldChar w:fldCharType="begin"/>
      </w:r>
      <w:r>
        <w:instrText xml:space="preserve"> REF _Ref401234016 \r \h </w:instrText>
      </w:r>
      <w:r>
        <w:fldChar w:fldCharType="separate"/>
      </w:r>
      <w:r>
        <w:t>4.3.2</w:t>
      </w:r>
      <w:r>
        <w:fldChar w:fldCharType="end"/>
      </w:r>
      <w:r>
        <w:t>.</w:t>
      </w:r>
    </w:p>
  </w:footnote>
  <w:footnote w:id="8">
    <w:p w:rsidR="00240C8F" w:rsidRDefault="00240C8F">
      <w:pPr>
        <w:pStyle w:val="FootnoteText"/>
      </w:pPr>
      <w:r>
        <w:rPr>
          <w:rStyle w:val="FootnoteReference"/>
        </w:rPr>
        <w:footnoteRef/>
      </w:r>
      <w:r>
        <w:t xml:space="preserve"> </w:t>
      </w:r>
      <w:r>
        <w:tab/>
      </w:r>
      <w:r w:rsidRPr="00A62FE1">
        <w:t>Endeavour Ene</w:t>
      </w:r>
      <w:r>
        <w:t xml:space="preserve">rgy, </w:t>
      </w:r>
      <w:r w:rsidRPr="00B53917">
        <w:rPr>
          <w:rStyle w:val="AERtextitalic"/>
        </w:rPr>
        <w:t>Endeavour Energy's gamma proposal</w:t>
      </w:r>
      <w:r>
        <w:t xml:space="preserve">, May 2014. We discuss the different types of implied market value study, including dividend drop off studies, in section </w:t>
      </w:r>
      <w:r>
        <w:fldChar w:fldCharType="begin"/>
      </w:r>
      <w:r>
        <w:instrText xml:space="preserve"> REF _Ref401080753 \r \h </w:instrText>
      </w:r>
      <w:r>
        <w:fldChar w:fldCharType="separate"/>
      </w:r>
      <w:r>
        <w:t>A.14</w:t>
      </w:r>
      <w:r>
        <w:fldChar w:fldCharType="end"/>
      </w:r>
      <w:r>
        <w:t xml:space="preserve"> of appendix A.</w:t>
      </w:r>
    </w:p>
  </w:footnote>
  <w:footnote w:id="9">
    <w:p w:rsidR="00240C8F" w:rsidRDefault="00240C8F">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p>
  </w:footnote>
  <w:footnote w:id="10">
    <w:p w:rsidR="00240C8F" w:rsidRDefault="00240C8F">
      <w:pPr>
        <w:pStyle w:val="FootnoteText"/>
      </w:pPr>
      <w:r>
        <w:rPr>
          <w:rStyle w:val="FootnoteReference"/>
        </w:rPr>
        <w:footnoteRef/>
      </w:r>
      <w:r>
        <w:t xml:space="preserve"> </w:t>
      </w:r>
      <w:r>
        <w:tab/>
        <w:t>NER, cls. 6.5.3 and 6A.6.4; NGR, r. 87A.</w:t>
      </w:r>
    </w:p>
  </w:footnote>
  <w:footnote w:id="11">
    <w:p w:rsidR="00240C8F" w:rsidRDefault="00240C8F">
      <w:pPr>
        <w:pStyle w:val="FootnoteText"/>
      </w:pPr>
      <w:r>
        <w:rPr>
          <w:rStyle w:val="FootnoteReference"/>
        </w:rPr>
        <w:footnoteRef/>
      </w:r>
      <w:r>
        <w:t xml:space="preserve"> </w:t>
      </w:r>
      <w:r>
        <w:tab/>
        <w:t>NER, cls. 6.5.2(d)(2) and 6A.6.2(d)(2); NGR, r. 87(4)(b).</w:t>
      </w:r>
    </w:p>
  </w:footnote>
  <w:footnote w:id="12">
    <w:p w:rsidR="00240C8F" w:rsidRDefault="00240C8F">
      <w:pPr>
        <w:pStyle w:val="FootnoteText"/>
      </w:pPr>
      <w:r>
        <w:rPr>
          <w:rStyle w:val="FootnoteReference"/>
        </w:rPr>
        <w:footnoteRef/>
      </w:r>
      <w:r>
        <w:tab/>
        <w:t xml:space="preserve">NEL, s. 16(1)(a); NGL, s. 28(1)(a). </w:t>
      </w:r>
    </w:p>
  </w:footnote>
  <w:footnote w:id="13">
    <w:p w:rsidR="00240C8F" w:rsidRDefault="00240C8F">
      <w:pPr>
        <w:pStyle w:val="FootnoteText"/>
      </w:pPr>
      <w:r>
        <w:rPr>
          <w:rStyle w:val="FootnoteReference"/>
        </w:rPr>
        <w:footnoteRef/>
      </w:r>
      <w:r>
        <w:t xml:space="preserve"> </w:t>
      </w:r>
      <w:r>
        <w:tab/>
        <w:t>NEL, s. 16(2)(a)(i); NGL, s. 28(2)(a)(i).</w:t>
      </w:r>
    </w:p>
  </w:footnote>
  <w:footnote w:id="14">
    <w:p w:rsidR="00240C8F" w:rsidRDefault="00240C8F">
      <w:pPr>
        <w:pStyle w:val="FootnoteText"/>
      </w:pPr>
      <w:r>
        <w:rPr>
          <w:rStyle w:val="FootnoteReference"/>
        </w:rPr>
        <w:footnoteRef/>
      </w:r>
      <w:r>
        <w:t xml:space="preserve"> </w:t>
      </w:r>
      <w:r>
        <w:tab/>
        <w:t>NEL, ss. 7A(2)–(7); NGL, ss. 24(2)–(7).</w:t>
      </w:r>
    </w:p>
  </w:footnote>
  <w:footnote w:id="15">
    <w:p w:rsidR="00240C8F" w:rsidRDefault="00240C8F" w:rsidP="004B0617">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http://www.aer.gov.au/node/18859</w:t>
      </w:r>
      <w:r w:rsidRPr="004B0617">
        <w:rPr>
          <w:rStyle w:val="Hyperlink"/>
          <w:color w:val="auto"/>
          <w:u w:val="none"/>
        </w:rPr>
        <w:t>.</w:t>
      </w:r>
    </w:p>
  </w:footnote>
  <w:footnote w:id="16">
    <w:p w:rsidR="00240C8F" w:rsidRDefault="00240C8F" w:rsidP="00A442E5">
      <w:pPr>
        <w:pStyle w:val="FootnoteText"/>
      </w:pPr>
      <w:r>
        <w:rPr>
          <w:rStyle w:val="FootnoteReference"/>
        </w:rPr>
        <w:footnoteRef/>
      </w:r>
      <w:r>
        <w:t xml:space="preserve"> </w:t>
      </w:r>
      <w:r>
        <w:tab/>
        <w:t>NER, cls. 6.5.2(n</w:t>
      </w:r>
      <w:r w:rsidRPr="0090536E">
        <w:t xml:space="preserve">) and </w:t>
      </w:r>
      <w:r>
        <w:t>6A.6.2(n); NGR, r. 87(14).</w:t>
      </w:r>
    </w:p>
  </w:footnote>
  <w:footnote w:id="17">
    <w:p w:rsidR="00240C8F" w:rsidRDefault="00240C8F" w:rsidP="00A442E5">
      <w:pPr>
        <w:pStyle w:val="FootnoteText"/>
      </w:pPr>
      <w:r>
        <w:rPr>
          <w:rStyle w:val="FootnoteReference"/>
        </w:rPr>
        <w:footnoteRef/>
      </w:r>
      <w:r>
        <w:t xml:space="preserve"> </w:t>
      </w:r>
      <w:r>
        <w:tab/>
        <w:t xml:space="preserve">NER, cls. </w:t>
      </w:r>
      <w:r w:rsidRPr="001E5B06">
        <w:t>6.5.2(n)</w:t>
      </w:r>
      <w:r>
        <w:t>(2) and 6.A.6.2(n)(2); NGR, r. 87(14)(b).</w:t>
      </w:r>
    </w:p>
  </w:footnote>
  <w:footnote w:id="18">
    <w:p w:rsidR="00240C8F" w:rsidRDefault="00240C8F" w:rsidP="00A442E5">
      <w:pPr>
        <w:pStyle w:val="FootnoteText"/>
      </w:pPr>
      <w:r>
        <w:rPr>
          <w:rStyle w:val="FootnoteReference"/>
        </w:rPr>
        <w:footnoteRef/>
      </w:r>
      <w:r>
        <w:t xml:space="preserve"> </w:t>
      </w:r>
      <w:r>
        <w:tab/>
        <w:t>NER, cls. 6.2.8(c) and 6A.2.3(c); NGR, r. 87(18).</w:t>
      </w:r>
    </w:p>
  </w:footnote>
  <w:footnote w:id="19">
    <w:p w:rsidR="00240C8F" w:rsidRDefault="00240C8F" w:rsidP="00A442E5">
      <w:pPr>
        <w:pStyle w:val="FootnoteText"/>
      </w:pPr>
      <w:r>
        <w:rPr>
          <w:rStyle w:val="FootnoteReference"/>
        </w:rPr>
        <w:footnoteRef/>
      </w:r>
      <w:r>
        <w:t xml:space="preserve"> </w:t>
      </w:r>
      <w:r>
        <w:tab/>
        <w:t xml:space="preserve">NER, ss. </w:t>
      </w:r>
      <w:r w:rsidRPr="00A609E3">
        <w:t>S6.1.3</w:t>
      </w:r>
      <w:r>
        <w:t>(9)–(9B) and S6A.1.3(4)(vi),(4A)–(4C); NGR, r. 72(1)(g).</w:t>
      </w:r>
    </w:p>
  </w:footnote>
  <w:footnote w:id="20">
    <w:p w:rsidR="00240C8F" w:rsidRDefault="00240C8F">
      <w:pPr>
        <w:pStyle w:val="FootnoteText"/>
      </w:pPr>
      <w:r>
        <w:rPr>
          <w:rStyle w:val="FootnoteReference"/>
        </w:rPr>
        <w:footnoteRef/>
      </w:r>
      <w:r>
        <w:t xml:space="preserve"> </w:t>
      </w:r>
      <w:r>
        <w:tab/>
      </w:r>
      <w:r w:rsidRPr="007646B1">
        <w:t xml:space="preserve">AER, </w:t>
      </w:r>
      <w:r w:rsidRPr="007646B1">
        <w:rPr>
          <w:rStyle w:val="AERtextitalic"/>
        </w:rPr>
        <w:t>Better r</w:t>
      </w:r>
      <w:r>
        <w:rPr>
          <w:rStyle w:val="AERtextitalic"/>
        </w:rPr>
        <w:t>egulation:</w:t>
      </w:r>
      <w:r w:rsidRPr="007646B1">
        <w:rPr>
          <w:rStyle w:val="AERtextitalic"/>
        </w:rPr>
        <w:t xml:space="preserve"> rate</w:t>
      </w:r>
      <w:r>
        <w:rPr>
          <w:rStyle w:val="AERtextitalic"/>
        </w:rPr>
        <w:t xml:space="preserve"> of return guideline</w:t>
      </w:r>
      <w:r w:rsidRPr="007646B1">
        <w:t>, December 2013</w:t>
      </w:r>
      <w:r>
        <w:t>, p. 7.</w:t>
      </w:r>
    </w:p>
  </w:footnote>
  <w:footnote w:id="21">
    <w:p w:rsidR="00240C8F" w:rsidRDefault="00240C8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22">
    <w:p w:rsidR="00240C8F" w:rsidRDefault="00240C8F">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w:t>
      </w:r>
      <w:r w:rsidRPr="004D735C">
        <w:t>.</w:t>
      </w:r>
    </w:p>
  </w:footnote>
  <w:footnote w:id="23">
    <w:p w:rsidR="00240C8F" w:rsidRDefault="00240C8F">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w:t>
      </w:r>
    </w:p>
  </w:footnote>
  <w:footnote w:id="24">
    <w:p w:rsidR="00240C8F" w:rsidRDefault="00240C8F" w:rsidP="001E2F25">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25">
    <w:p w:rsidR="00240C8F" w:rsidRDefault="00240C8F">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26">
    <w:p w:rsidR="00240C8F" w:rsidRDefault="00240C8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27">
    <w:p w:rsidR="00240C8F" w:rsidRDefault="00240C8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28">
    <w:p w:rsidR="00240C8F" w:rsidRDefault="00240C8F">
      <w:pPr>
        <w:pStyle w:val="FootnoteText"/>
      </w:pPr>
      <w:r>
        <w:rPr>
          <w:rStyle w:val="FootnoteReference"/>
        </w:rPr>
        <w:footnoteRef/>
      </w:r>
      <w:r>
        <w:t xml:space="preserve"> </w:t>
      </w:r>
      <w:r>
        <w:tab/>
        <w:t xml:space="preserve">See sections </w:t>
      </w:r>
      <w:r>
        <w:fldChar w:fldCharType="begin"/>
      </w:r>
      <w:r>
        <w:instrText xml:space="preserve"> REF _Ref403477544 \r \h </w:instrText>
      </w:r>
      <w:r>
        <w:fldChar w:fldCharType="separate"/>
      </w:r>
      <w:r>
        <w:t>A.1</w:t>
      </w:r>
      <w:r>
        <w:fldChar w:fldCharType="end"/>
      </w:r>
      <w:r>
        <w:t xml:space="preserve"> and </w:t>
      </w:r>
      <w:r>
        <w:fldChar w:fldCharType="begin"/>
      </w:r>
      <w:r>
        <w:instrText xml:space="preserve"> REF _Ref403480875 \r \h </w:instrText>
      </w:r>
      <w:r>
        <w:fldChar w:fldCharType="separate"/>
      </w:r>
      <w:r>
        <w:t>A.2</w:t>
      </w:r>
      <w:r>
        <w:fldChar w:fldCharType="end"/>
      </w:r>
      <w:r>
        <w:t xml:space="preserve"> of appendix A.</w:t>
      </w:r>
    </w:p>
  </w:footnote>
  <w:footnote w:id="29">
    <w:p w:rsidR="00240C8F" w:rsidRDefault="00240C8F" w:rsidP="00035BE9">
      <w:pPr>
        <w:pStyle w:val="FootnoteText"/>
      </w:pPr>
      <w:r>
        <w:rPr>
          <w:rStyle w:val="FootnoteReference"/>
        </w:rPr>
        <w:footnoteRef/>
      </w:r>
      <w:r>
        <w:t xml:space="preserve"> </w:t>
      </w:r>
      <w:r>
        <w:tab/>
        <w:t xml:space="preserve">See section </w:t>
      </w:r>
      <w:r>
        <w:fldChar w:fldCharType="begin"/>
      </w:r>
      <w:r>
        <w:instrText xml:space="preserve"> REF _Ref400961862 \r \h </w:instrText>
      </w:r>
      <w:r>
        <w:fldChar w:fldCharType="separate"/>
      </w:r>
      <w:r>
        <w:t>A.4</w:t>
      </w:r>
      <w:r>
        <w:fldChar w:fldCharType="end"/>
      </w:r>
      <w:r>
        <w:t xml:space="preserve"> of appendix A.</w:t>
      </w:r>
    </w:p>
  </w:footnote>
  <w:footnote w:id="30">
    <w:p w:rsidR="00240C8F" w:rsidRDefault="00240C8F">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1">
    <w:p w:rsidR="00240C8F" w:rsidRDefault="00240C8F">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2">
    <w:p w:rsidR="00240C8F" w:rsidRDefault="00240C8F">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A.8.1</w:t>
      </w:r>
      <w:r>
        <w:fldChar w:fldCharType="end"/>
      </w:r>
      <w:r>
        <w:t xml:space="preserve"> of appendix A for more discussion. </w:t>
      </w:r>
    </w:p>
  </w:footnote>
  <w:footnote w:id="33">
    <w:p w:rsidR="00240C8F" w:rsidRDefault="00240C8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34">
    <w:p w:rsidR="00240C8F" w:rsidRDefault="00240C8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35">
    <w:p w:rsidR="00240C8F" w:rsidRDefault="00240C8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36">
    <w:p w:rsidR="00240C8F" w:rsidRDefault="00240C8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_Ref403477544 \r \h </w:instrText>
      </w:r>
      <w:r>
        <w:fldChar w:fldCharType="separate"/>
      </w:r>
      <w:r>
        <w:t>A.1</w:t>
      </w:r>
      <w:r>
        <w:fldChar w:fldCharType="end"/>
      </w:r>
      <w:r>
        <w:t xml:space="preserve"> of appendix A.</w:t>
      </w:r>
    </w:p>
  </w:footnote>
  <w:footnote w:id="37">
    <w:p w:rsidR="00240C8F" w:rsidRDefault="00240C8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38">
    <w:p w:rsidR="00240C8F" w:rsidRDefault="00240C8F">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39">
    <w:p w:rsidR="00240C8F" w:rsidRDefault="00240C8F" w:rsidP="005A0F44">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40">
    <w:p w:rsidR="00240C8F" w:rsidRDefault="00240C8F" w:rsidP="005A0F4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_Ref401165415 \r \h </w:instrText>
      </w:r>
      <w:r>
        <w:fldChar w:fldCharType="separate"/>
      </w:r>
      <w:r>
        <w:t>4.4.2</w:t>
      </w:r>
      <w:r>
        <w:fldChar w:fldCharType="end"/>
      </w:r>
      <w:r>
        <w:t>.</w:t>
      </w:r>
    </w:p>
  </w:footnote>
  <w:footnote w:id="41">
    <w:p w:rsidR="00240C8F" w:rsidRDefault="00240C8F" w:rsidP="005A0F4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42">
    <w:p w:rsidR="00240C8F" w:rsidRDefault="00240C8F" w:rsidP="005A0F4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_Ref401165415 \r \h </w:instrText>
      </w:r>
      <w:r>
        <w:fldChar w:fldCharType="separate"/>
      </w:r>
      <w:r>
        <w:t>4.4.2</w:t>
      </w:r>
      <w:r>
        <w:fldChar w:fldCharType="end"/>
      </w:r>
      <w:r>
        <w:t>.</w:t>
      </w:r>
    </w:p>
  </w:footnote>
  <w:footnote w:id="43">
    <w:p w:rsidR="00240C8F" w:rsidRDefault="00240C8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44">
    <w:p w:rsidR="00240C8F" w:rsidRDefault="00240C8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A.9</w:t>
      </w:r>
      <w:r>
        <w:fldChar w:fldCharType="end"/>
      </w:r>
      <w:r w:rsidRPr="007F4E38">
        <w:t xml:space="preserve"> of </w:t>
      </w:r>
      <w:r>
        <w:t>appendix A.</w:t>
      </w:r>
    </w:p>
  </w:footnote>
  <w:footnote w:id="45">
    <w:p w:rsidR="00240C8F" w:rsidRDefault="00240C8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
    <w:p w:rsidR="00240C8F" w:rsidRDefault="00240C8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7">
    <w:p w:rsidR="00240C8F" w:rsidRDefault="00240C8F" w:rsidP="0014282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48">
    <w:p w:rsidR="00240C8F" w:rsidRDefault="00240C8F" w:rsidP="00FD6F1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9">
    <w:p w:rsidR="00240C8F" w:rsidRDefault="00240C8F" w:rsidP="00520083">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A.7.1</w:t>
      </w:r>
      <w:r>
        <w:fldChar w:fldCharType="end"/>
      </w:r>
      <w:r>
        <w:t xml:space="preserve"> of appendix A.</w:t>
      </w:r>
    </w:p>
  </w:footnote>
  <w:footnote w:id="50">
    <w:p w:rsidR="00240C8F" w:rsidRDefault="00240C8F">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51">
    <w:p w:rsidR="00240C8F" w:rsidRDefault="00240C8F">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A.10</w:t>
      </w:r>
      <w:r>
        <w:fldChar w:fldCharType="end"/>
      </w:r>
      <w:r>
        <w:t xml:space="preserve"> of appendix A.</w:t>
      </w:r>
    </w:p>
  </w:footnote>
  <w:footnote w:id="52">
    <w:p w:rsidR="00240C8F" w:rsidRPr="005000F9" w:rsidRDefault="00240C8F" w:rsidP="008E4F74">
      <w:pPr>
        <w:pStyle w:val="FootnoteText"/>
        <w:rPr>
          <w:i/>
        </w:rPr>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8 August 2014, pp. 90–92.</w:t>
      </w:r>
    </w:p>
  </w:footnote>
  <w:footnote w:id="53">
    <w:p w:rsidR="00240C8F" w:rsidRDefault="00240C8F" w:rsidP="0074446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54">
    <w:p w:rsidR="00240C8F" w:rsidRDefault="00240C8F">
      <w:pPr>
        <w:pStyle w:val="FootnoteText"/>
      </w:pPr>
      <w:r>
        <w:rPr>
          <w:rStyle w:val="FootnoteReference"/>
        </w:rPr>
        <w:footnoteRef/>
      </w:r>
      <w:r>
        <w:tab/>
        <w:t xml:space="preserve">EMRF, </w:t>
      </w:r>
      <w:r w:rsidRPr="005000F9">
        <w:rPr>
          <w:rStyle w:val="AERtextitalic"/>
        </w:rPr>
        <w:t>NSW electricity distribution revenue reset, Applications by Ausgrid, Endeavour Energy and Essential Energy, A response</w:t>
      </w:r>
      <w:r>
        <w:t>, July 2014, p. 38.</w:t>
      </w:r>
    </w:p>
  </w:footnote>
  <w:footnote w:id="55">
    <w:p w:rsidR="00240C8F" w:rsidRDefault="00240C8F">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56">
    <w:p w:rsidR="00240C8F" w:rsidRDefault="00240C8F" w:rsidP="00D3225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36.</w:t>
      </w:r>
    </w:p>
  </w:footnote>
  <w:footnote w:id="57">
    <w:p w:rsidR="00240C8F" w:rsidRDefault="00240C8F">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58">
    <w:p w:rsidR="00240C8F" w:rsidRDefault="00240C8F">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16; </w:t>
      </w:r>
      <w:r w:rsidRPr="00A62FE1">
        <w:t>Directlink</w:t>
      </w:r>
      <w:r>
        <w:t>,</w:t>
      </w:r>
      <w:r w:rsidRPr="00A62FE1">
        <w:t xml:space="preserve"> </w:t>
      </w:r>
      <w:r w:rsidRPr="00B53917">
        <w:rPr>
          <w:rStyle w:val="AERtextitalic"/>
        </w:rPr>
        <w:t>Directlink submission on gamma</w:t>
      </w:r>
      <w:r>
        <w:t xml:space="preserve">, May 2014, p. 17; </w:t>
      </w:r>
      <w:r w:rsidRPr="00A62FE1">
        <w:t>Endeavour Ene</w:t>
      </w:r>
      <w:r>
        <w:t xml:space="preserve">rgy, </w:t>
      </w:r>
      <w:r w:rsidRPr="00B53917">
        <w:rPr>
          <w:rStyle w:val="AERtextitalic"/>
        </w:rPr>
        <w:t>Endeavour Energy's gamma proposal</w:t>
      </w:r>
      <w:r>
        <w:t xml:space="preserve">, May 2014, p. 16. Essential Energy, </w:t>
      </w:r>
      <w:r w:rsidRPr="00B53917">
        <w:rPr>
          <w:rStyle w:val="AERtextitalic"/>
        </w:rPr>
        <w:t>Essential Energy's gamma proposal</w:t>
      </w:r>
      <w:r>
        <w:t xml:space="preserve">, May 2014, p. 16–17; JGN, </w:t>
      </w:r>
      <w:r w:rsidRPr="00B53917">
        <w:rPr>
          <w:rStyle w:val="AERtextitalic"/>
        </w:rPr>
        <w:t>Gamma proposal</w:t>
      </w:r>
      <w:r>
        <w:t xml:space="preserve">, June 2014, pp. 20–21; and TransGrid, </w:t>
      </w:r>
      <w:r>
        <w:rPr>
          <w:rStyle w:val="AERtextitalic"/>
        </w:rPr>
        <w:t>TransGrid</w:t>
      </w:r>
      <w:r w:rsidRPr="00B53917">
        <w:rPr>
          <w:rStyle w:val="AERtextitalic"/>
        </w:rPr>
        <w:t>'s approach to gamma</w:t>
      </w:r>
      <w:r>
        <w:t>, May 2014, p. 22.</w:t>
      </w:r>
    </w:p>
  </w:footnote>
  <w:footnote w:id="59">
    <w:p w:rsidR="00240C8F" w:rsidRDefault="00240C8F">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402–413.</w:t>
      </w:r>
    </w:p>
  </w:footnote>
  <w:footnote w:id="60">
    <w:p w:rsidR="00240C8F" w:rsidRDefault="00240C8F">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61">
    <w:p w:rsidR="00240C8F" w:rsidRDefault="00240C8F">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62">
    <w:p w:rsidR="00240C8F" w:rsidRDefault="00240C8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63">
    <w:p w:rsidR="00240C8F" w:rsidRDefault="00240C8F" w:rsidP="00293592">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a</w:t>
      </w:r>
      <w:r w:rsidRPr="00293592">
        <w:t xml:space="preserve"> law other than the income tax law (for example, the Future Fund Board of Guardians).</w:t>
      </w:r>
      <w:r>
        <w:t xml:space="preserve"> See: </w:t>
      </w:r>
      <w:r w:rsidRPr="00611553">
        <w:t>https://www.ato.gov.au/Business/Imputation/In-detail/Refunding-franking-credits/Refund-of-franking-credits---FAQs/?page=6</w:t>
      </w:r>
      <w:r>
        <w:t>. Accessed 17 November 2014.</w:t>
      </w:r>
    </w:p>
  </w:footnote>
  <w:footnote w:id="64">
    <w:p w:rsidR="00240C8F" w:rsidRDefault="00240C8F">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A.8.1</w:t>
      </w:r>
      <w:r>
        <w:fldChar w:fldCharType="end"/>
      </w:r>
      <w:r>
        <w:t xml:space="preserve"> of appendix A.</w:t>
      </w:r>
    </w:p>
  </w:footnote>
  <w:footnote w:id="65">
    <w:p w:rsidR="00240C8F" w:rsidRDefault="00240C8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66">
    <w:p w:rsidR="00240C8F" w:rsidRDefault="00240C8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67">
    <w:p w:rsidR="00240C8F" w:rsidRDefault="00240C8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68">
    <w:p w:rsidR="00240C8F" w:rsidRDefault="00240C8F" w:rsidP="00A9774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69">
    <w:p w:rsidR="00240C8F" w:rsidRDefault="00240C8F">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70">
    <w:p w:rsidR="00240C8F" w:rsidRDefault="00240C8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99–100.</w:t>
      </w:r>
    </w:p>
  </w:footnote>
  <w:footnote w:id="71">
    <w:p w:rsidR="00240C8F" w:rsidRDefault="00240C8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104.</w:t>
      </w:r>
    </w:p>
  </w:footnote>
  <w:footnote w:id="72">
    <w:p w:rsidR="00240C8F" w:rsidRDefault="00240C8F">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73">
    <w:p w:rsidR="00240C8F" w:rsidRDefault="00240C8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74">
    <w:p w:rsidR="00240C8F" w:rsidRDefault="00240C8F">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185.</w:t>
      </w:r>
    </w:p>
  </w:footnote>
  <w:footnote w:id="75">
    <w:p w:rsidR="00240C8F" w:rsidRDefault="00240C8F">
      <w:pPr>
        <w:pStyle w:val="FootnoteText"/>
      </w:pPr>
      <w:r>
        <w:rPr>
          <w:rStyle w:val="FootnoteReference"/>
        </w:rPr>
        <w:footnoteRef/>
      </w:r>
      <w:r>
        <w:t xml:space="preserve"> </w:t>
      </w:r>
      <w:r>
        <w:tab/>
        <w:t xml:space="preserve">Economic Regulation Authority, </w:t>
      </w:r>
      <w:r w:rsidRPr="00D5068A">
        <w:rPr>
          <w:rStyle w:val="AERtextitalic"/>
        </w:rPr>
        <w:t>Explanatory statement for the rate of return guidelines</w:t>
      </w:r>
      <w:r>
        <w:t>, 13 December 2013, para. 921.</w:t>
      </w:r>
    </w:p>
  </w:footnote>
  <w:footnote w:id="76">
    <w:p w:rsidR="00240C8F" w:rsidRDefault="00240C8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77">
    <w:p w:rsidR="00240C8F" w:rsidRDefault="00240C8F">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78">
    <w:p w:rsidR="00240C8F" w:rsidRDefault="00240C8F">
      <w:pPr>
        <w:pStyle w:val="FootnoteText"/>
      </w:pPr>
      <w:r>
        <w:rPr>
          <w:rStyle w:val="FootnoteReference"/>
        </w:rPr>
        <w:footnoteRef/>
      </w:r>
      <w:r>
        <w:t xml:space="preserve"> </w:t>
      </w:r>
      <w:r>
        <w:tab/>
        <w:t>We became aware of McKenzie and Partington's report following the publication of the Guideline and we have considered it in making this decision.</w:t>
      </w:r>
    </w:p>
  </w:footnote>
  <w:footnote w:id="79">
    <w:p w:rsidR="00240C8F" w:rsidRDefault="00240C8F">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80">
    <w:p w:rsidR="00240C8F" w:rsidRDefault="00240C8F">
      <w:pPr>
        <w:pStyle w:val="FootnoteText"/>
      </w:pPr>
      <w:r>
        <w:rPr>
          <w:rStyle w:val="FootnoteReference"/>
        </w:rPr>
        <w:footnoteRef/>
      </w:r>
      <w:r>
        <w:t xml:space="preserve"> </w:t>
      </w:r>
      <w:r>
        <w:tab/>
        <w:t>D. Vo, B. Gellard and S. Mero, 'Estimating the market value of franking credits: Empirical evidence from Australia', ERA working paper, April 2013.</w:t>
      </w:r>
    </w:p>
  </w:footnote>
  <w:footnote w:id="81">
    <w:p w:rsidR="00240C8F" w:rsidRDefault="00240C8F">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1.4.5;</w:t>
      </w:r>
      <w:r w:rsidRPr="00A62FE1">
        <w:t xml:space="preserve"> </w:t>
      </w:r>
      <w:r>
        <w:t>Ausgrid</w:t>
      </w:r>
      <w:r w:rsidRPr="00A62FE1">
        <w:t xml:space="preserve">, </w:t>
      </w:r>
      <w:r w:rsidRPr="000C4BB9">
        <w:rPr>
          <w:rStyle w:val="AERtextitalic"/>
        </w:rPr>
        <w:t>Ausgrid's gamma proposal</w:t>
      </w:r>
      <w:r>
        <w:t xml:space="preserve">, May 2014, p. 23; </w:t>
      </w:r>
      <w:r w:rsidRPr="00A62FE1">
        <w:t>Directlink</w:t>
      </w:r>
      <w:r>
        <w:t>,</w:t>
      </w:r>
      <w:r w:rsidRPr="00A62FE1">
        <w:t xml:space="preserve"> </w:t>
      </w:r>
      <w:r w:rsidRPr="00B53917">
        <w:rPr>
          <w:rStyle w:val="AERtextitalic"/>
        </w:rPr>
        <w:t>Directlink submission on gamma</w:t>
      </w:r>
      <w:r>
        <w:t xml:space="preserve">, May 2014, p. 25; </w:t>
      </w:r>
      <w:r w:rsidRPr="00A62FE1">
        <w:t>Endeavour Ene</w:t>
      </w:r>
      <w:r>
        <w:t xml:space="preserve">rgy, </w:t>
      </w:r>
      <w:r w:rsidRPr="00B53917">
        <w:rPr>
          <w:rStyle w:val="AERtextitalic"/>
        </w:rPr>
        <w:t>Endeavour Energy's gamma proposal</w:t>
      </w:r>
      <w:r>
        <w:t xml:space="preserve">, May 2014, p. 23. Essential Energy, </w:t>
      </w:r>
      <w:r w:rsidRPr="00B53917">
        <w:rPr>
          <w:rStyle w:val="AERtextitalic"/>
        </w:rPr>
        <w:t>Essential Energy's gamma proposal</w:t>
      </w:r>
      <w:r>
        <w:t xml:space="preserve">, May 2014, p. 22; JGN, </w:t>
      </w:r>
      <w:r w:rsidRPr="00B53917">
        <w:rPr>
          <w:rStyle w:val="AERtextitalic"/>
        </w:rPr>
        <w:t>Gamma proposal</w:t>
      </w:r>
      <w:r>
        <w:t xml:space="preserve">, June 2014, p. 27; and TransGrid, </w:t>
      </w:r>
      <w:r>
        <w:rPr>
          <w:rStyle w:val="AERtextitalic"/>
        </w:rPr>
        <w:t>TransGrid</w:t>
      </w:r>
      <w:r w:rsidRPr="00B53917">
        <w:rPr>
          <w:rStyle w:val="AERtextitalic"/>
        </w:rPr>
        <w:t>'s approach to gamma</w:t>
      </w:r>
      <w:r>
        <w:t>, May 2014, p. 30.</w:t>
      </w:r>
    </w:p>
  </w:footnote>
  <w:footnote w:id="82">
    <w:p w:rsidR="00240C8F" w:rsidRDefault="00240C8F">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1.4.4;</w:t>
      </w:r>
      <w:r w:rsidRPr="00A62FE1">
        <w:t xml:space="preserve"> </w:t>
      </w:r>
      <w:r>
        <w:t>Ausgrid</w:t>
      </w:r>
      <w:r w:rsidRPr="00A62FE1">
        <w:t xml:space="preserve">, </w:t>
      </w:r>
      <w:r w:rsidRPr="000C4BB9">
        <w:rPr>
          <w:rStyle w:val="AERtextitalic"/>
        </w:rPr>
        <w:t>Ausgrid's gamma proposal</w:t>
      </w:r>
      <w:r>
        <w:t xml:space="preserve">, May 2014, p. 19; </w:t>
      </w:r>
      <w:r w:rsidRPr="00A62FE1">
        <w:t>Directlink</w:t>
      </w:r>
      <w:r>
        <w:t>,</w:t>
      </w:r>
      <w:r w:rsidRPr="00A62FE1">
        <w:t xml:space="preserve"> </w:t>
      </w:r>
      <w:r w:rsidRPr="00B53917">
        <w:rPr>
          <w:rStyle w:val="AERtextitalic"/>
        </w:rPr>
        <w:t>Directlink submission on gamma</w:t>
      </w:r>
      <w:r>
        <w:t xml:space="preserve">, May 2014, p. 20; </w:t>
      </w:r>
      <w:r w:rsidRPr="00A62FE1">
        <w:t>Endeavour Ene</w:t>
      </w:r>
      <w:r>
        <w:t xml:space="preserve">rgy, </w:t>
      </w:r>
      <w:r w:rsidRPr="00B53917">
        <w:rPr>
          <w:rStyle w:val="AERtextitalic"/>
        </w:rPr>
        <w:t>Endeavour Energy's gamma proposal</w:t>
      </w:r>
      <w:r>
        <w:t xml:space="preserve">, May 2014, p. 19. Essential Energy, </w:t>
      </w:r>
      <w:r w:rsidRPr="00B53917">
        <w:rPr>
          <w:rStyle w:val="AERtextitalic"/>
        </w:rPr>
        <w:t>Essential Energy's gamma proposal</w:t>
      </w:r>
      <w:r>
        <w:t xml:space="preserve">, May 2014, p. 19; JGN, </w:t>
      </w:r>
      <w:r w:rsidRPr="00B53917">
        <w:rPr>
          <w:rStyle w:val="AERtextitalic"/>
        </w:rPr>
        <w:t>Gamma proposal</w:t>
      </w:r>
      <w:r>
        <w:t xml:space="preserve">, June 2014, p. 24; and TransGrid, </w:t>
      </w:r>
      <w:r>
        <w:rPr>
          <w:rStyle w:val="AERtextitalic"/>
        </w:rPr>
        <w:t>TransGrid</w:t>
      </w:r>
      <w:r w:rsidRPr="00B53917">
        <w:rPr>
          <w:rStyle w:val="AERtextitalic"/>
        </w:rPr>
        <w:t>'s approach to gamma</w:t>
      </w:r>
      <w:r>
        <w:t>, May 2014, p. 25.</w:t>
      </w:r>
    </w:p>
  </w:footnote>
  <w:footnote w:id="83">
    <w:p w:rsidR="00240C8F" w:rsidRDefault="00240C8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20–30; M. Lally, </w:t>
      </w:r>
      <w:r w:rsidRPr="004B0617">
        <w:rPr>
          <w:rStyle w:val="AERtextitalic"/>
        </w:rPr>
        <w:t>Review of submissions to the QCA on the MRP, risk-free rate and gamma</w:t>
      </w:r>
      <w:r>
        <w:t xml:space="preserve">, 12 March 2014, pp. 35–38; M. McKenzie and G. Partington, </w:t>
      </w:r>
      <w:r w:rsidRPr="00523EF7">
        <w:rPr>
          <w:rStyle w:val="AERtextitalic"/>
        </w:rPr>
        <w:t>Report to the Queensland Resources Council: Review of Aurizon Network’s draft access undertaking</w:t>
      </w:r>
      <w:r>
        <w:t>, 5 October 2013, pp. 32–35.</w:t>
      </w:r>
    </w:p>
  </w:footnote>
  <w:footnote w:id="84">
    <w:p w:rsidR="00240C8F" w:rsidRDefault="00240C8F">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35–36.</w:t>
      </w:r>
    </w:p>
  </w:footnote>
  <w:footnote w:id="85">
    <w:p w:rsidR="00240C8F" w:rsidRDefault="00240C8F">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174.</w:t>
      </w:r>
    </w:p>
  </w:footnote>
  <w:footnote w:id="86">
    <w:p w:rsidR="00240C8F" w:rsidRDefault="00240C8F">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87">
    <w:p w:rsidR="00240C8F" w:rsidRDefault="00240C8F"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w:t>
      </w:r>
      <w:r w:rsidRPr="00712BC2">
        <w:t xml:space="preserve">M. Lally, </w:t>
      </w:r>
      <w:r w:rsidRPr="00712BC2">
        <w:rPr>
          <w:rStyle w:val="AERtextitalic"/>
        </w:rPr>
        <w:t>Review of submissions to the QCA on the MRP, risk-free rate and gamma</w:t>
      </w:r>
      <w:r>
        <w:t>, 12 March 2014.</w:t>
      </w:r>
    </w:p>
  </w:footnote>
  <w:footnote w:id="88">
    <w:p w:rsidR="00240C8F" w:rsidRDefault="00240C8F" w:rsidP="001E32C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89">
    <w:p w:rsidR="00240C8F" w:rsidRDefault="00240C8F" w:rsidP="00592893">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90">
    <w:p w:rsidR="00240C8F" w:rsidRDefault="00240C8F" w:rsidP="001E32C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91">
    <w:p w:rsidR="00240C8F" w:rsidRDefault="00240C8F" w:rsidP="001E32C9">
      <w:pPr>
        <w:pStyle w:val="FootnoteText"/>
      </w:pPr>
      <w:r>
        <w:rPr>
          <w:rStyle w:val="FootnoteReference"/>
        </w:rPr>
        <w:footnoteRef/>
      </w:r>
      <w:r>
        <w:t xml:space="preserve"> </w:t>
      </w:r>
      <w:r>
        <w:tab/>
      </w:r>
      <w:r w:rsidRPr="00712BC2">
        <w:t xml:space="preserve">SFG, </w:t>
      </w:r>
      <w:r w:rsidRPr="00712BC2">
        <w:rPr>
          <w:rStyle w:val="AERtextitalic"/>
        </w:rPr>
        <w:t>An appropriate regulatory estimate of gamma</w:t>
      </w:r>
      <w:r w:rsidRPr="00712BC2">
        <w:t>, May 2014</w:t>
      </w:r>
      <w:r>
        <w:t>.</w:t>
      </w:r>
    </w:p>
  </w:footnote>
  <w:footnote w:id="92">
    <w:p w:rsidR="00240C8F" w:rsidRDefault="00240C8F" w:rsidP="00B7073F">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93">
    <w:p w:rsidR="00240C8F" w:rsidRDefault="00240C8F" w:rsidP="00B7073F">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p>
  </w:footnote>
  <w:footnote w:id="94">
    <w:p w:rsidR="00240C8F" w:rsidRDefault="00240C8F" w:rsidP="001E32C9">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95">
    <w:p w:rsidR="00240C8F" w:rsidRDefault="00240C8F" w:rsidP="001E32C9">
      <w:pPr>
        <w:pStyle w:val="FootnoteText"/>
      </w:pPr>
      <w:r>
        <w:rPr>
          <w:rStyle w:val="FootnoteReference"/>
        </w:rPr>
        <w:footnoteRef/>
      </w:r>
      <w:r>
        <w:t xml:space="preserve"> </w:t>
      </w:r>
      <w:r>
        <w:tab/>
      </w:r>
      <w:r w:rsidRPr="009777EC">
        <w:t xml:space="preserve">Australian Competition and Consumer Commission, </w:t>
      </w:r>
      <w:r w:rsidRPr="009777EC">
        <w:rPr>
          <w:rStyle w:val="AERtextitalic"/>
        </w:rPr>
        <w:t>Inquiry to make final access determinations for declared fixed line services—Final report</w:t>
      </w:r>
      <w:r>
        <w:t>, July 2011</w:t>
      </w:r>
      <w:r w:rsidRPr="009777EC">
        <w:t>.</w:t>
      </w:r>
    </w:p>
  </w:footnote>
  <w:footnote w:id="96">
    <w:p w:rsidR="00240C8F" w:rsidRDefault="00240C8F" w:rsidP="001E32C9">
      <w:pPr>
        <w:pStyle w:val="FootnoteText"/>
      </w:pPr>
      <w:r>
        <w:rPr>
          <w:rStyle w:val="FootnoteReference"/>
        </w:rPr>
        <w:footnoteRef/>
      </w:r>
      <w:r>
        <w:t xml:space="preserve"> </w:t>
      </w:r>
      <w:r>
        <w:tab/>
        <w:t xml:space="preserve">Economic Regulation Authority, </w:t>
      </w:r>
      <w:r w:rsidRPr="00792648">
        <w:rPr>
          <w:rStyle w:val="AERtextitalic"/>
        </w:rPr>
        <w:t>Review of the method for estimating the weighted average cost of capital for the freight and urban railway networks, Draft determination</w:t>
      </w:r>
      <w:r>
        <w:t>, 5 June 2014.</w:t>
      </w:r>
    </w:p>
  </w:footnote>
  <w:footnote w:id="97">
    <w:p w:rsidR="00240C8F" w:rsidRDefault="00240C8F" w:rsidP="001E32C9">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98">
    <w:p w:rsidR="00240C8F" w:rsidRDefault="00240C8F" w:rsidP="001E32C9">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99">
    <w:p w:rsidR="00240C8F" w:rsidRDefault="00240C8F" w:rsidP="001E32C9">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00">
    <w:p w:rsidR="00240C8F" w:rsidRDefault="00240C8F" w:rsidP="001E32C9">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01">
    <w:p w:rsidR="00240C8F" w:rsidRDefault="00240C8F" w:rsidP="001E32C9">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02">
    <w:p w:rsidR="00240C8F" w:rsidRDefault="00240C8F"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03">
    <w:p w:rsidR="00240C8F" w:rsidRDefault="00240C8F"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04">
    <w:p w:rsidR="00240C8F" w:rsidRDefault="00240C8F"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05">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16(b).</w:t>
      </w:r>
    </w:p>
  </w:footnote>
  <w:footnote w:id="106">
    <w:p w:rsidR="00240C8F" w:rsidRDefault="00240C8F"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34.</w:t>
      </w:r>
    </w:p>
  </w:footnote>
  <w:footnote w:id="107">
    <w:p w:rsidR="00240C8F" w:rsidRDefault="00240C8F" w:rsidP="001E32C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08">
    <w:p w:rsidR="00240C8F" w:rsidRDefault="00240C8F" w:rsidP="001E32C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09">
    <w:p w:rsidR="00240C8F" w:rsidRDefault="00240C8F" w:rsidP="001E32C9">
      <w:pPr>
        <w:pStyle w:val="FootnoteText"/>
      </w:pPr>
      <w:r>
        <w:rPr>
          <w:rStyle w:val="FootnoteReference"/>
        </w:rPr>
        <w:footnoteRef/>
      </w:r>
      <w:r>
        <w:t xml:space="preserve"> </w:t>
      </w:r>
      <w:r>
        <w:tab/>
      </w:r>
      <w:r w:rsidRPr="00FF5DB5">
        <w:t>NER, cl</w:t>
      </w:r>
      <w:r>
        <w:t>s. 6.4.3 and</w:t>
      </w:r>
      <w:r w:rsidRPr="00FF5DB5">
        <w:t xml:space="preserve"> 6A.5.4; NGR, r. 76.</w:t>
      </w:r>
    </w:p>
  </w:footnote>
  <w:footnote w:id="110">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11">
    <w:p w:rsidR="00240C8F" w:rsidRDefault="00240C8F" w:rsidP="001E32C9">
      <w:pPr>
        <w:pStyle w:val="FootnoteText"/>
      </w:pPr>
      <w:r>
        <w:rPr>
          <w:rStyle w:val="FootnoteReference"/>
        </w:rPr>
        <w:footnoteRef/>
      </w:r>
      <w:r>
        <w:t xml:space="preserve"> </w:t>
      </w:r>
      <w:r>
        <w:tab/>
        <w:t>NER, cls. 6.5.2 and 6A.6.2;</w:t>
      </w:r>
      <w:r w:rsidRPr="0042735A">
        <w:t xml:space="preserve"> </w:t>
      </w:r>
      <w:r>
        <w:t>NGR, r. 87.</w:t>
      </w:r>
    </w:p>
  </w:footnote>
  <w:footnote w:id="112">
    <w:p w:rsidR="00240C8F" w:rsidRDefault="00240C8F"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13">
    <w:p w:rsidR="00240C8F" w:rsidRDefault="00240C8F"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14">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15">
    <w:p w:rsidR="00240C8F" w:rsidRDefault="00240C8F" w:rsidP="001E32C9">
      <w:pPr>
        <w:pStyle w:val="FootnoteText"/>
      </w:pPr>
      <w:r>
        <w:rPr>
          <w:rStyle w:val="FootnoteReference"/>
        </w:rPr>
        <w:footnoteRef/>
      </w:r>
      <w:r>
        <w:t xml:space="preserve"> </w:t>
      </w:r>
      <w:r>
        <w:tab/>
        <w:t>NER, cls. 6.5.2 and 6A.6.2;</w:t>
      </w:r>
      <w:r w:rsidRPr="0042735A">
        <w:t xml:space="preserve"> </w:t>
      </w:r>
      <w:r>
        <w:t>NGR, r. 87.</w:t>
      </w:r>
    </w:p>
  </w:footnote>
  <w:footnote w:id="116">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17">
    <w:p w:rsidR="00240C8F" w:rsidRDefault="00240C8F" w:rsidP="001E32C9">
      <w:pPr>
        <w:pStyle w:val="FootnoteText"/>
      </w:pPr>
      <w:r>
        <w:rPr>
          <w:rStyle w:val="FootnoteReference"/>
        </w:rPr>
        <w:footnoteRef/>
      </w:r>
      <w:r>
        <w:t xml:space="preserve"> </w:t>
      </w:r>
      <w:r>
        <w:tab/>
        <w:t>This is evident in companies having positive franking account balances in aggregate.</w:t>
      </w:r>
    </w:p>
  </w:footnote>
  <w:footnote w:id="118">
    <w:p w:rsidR="00240C8F" w:rsidRDefault="00240C8F" w:rsidP="001E32C9">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19">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20.</w:t>
      </w:r>
    </w:p>
  </w:footnote>
  <w:footnote w:id="120">
    <w:p w:rsidR="00240C8F" w:rsidRDefault="00240C8F"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21">
    <w:p w:rsidR="00240C8F" w:rsidRDefault="00240C8F">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22">
    <w:p w:rsidR="00240C8F" w:rsidRDefault="00240C8F" w:rsidP="001E32C9">
      <w:pPr>
        <w:pStyle w:val="FootnoteText"/>
      </w:pPr>
      <w:r>
        <w:rPr>
          <w:rStyle w:val="FootnoteReference"/>
        </w:rPr>
        <w:footnoteRef/>
      </w:r>
      <w:r>
        <w:t xml:space="preserve"> </w:t>
      </w:r>
      <w:r>
        <w:tab/>
        <w:t>This is not to assert that distribution rates might not rise in the future such that the retained stock of credits is eventually distributed.</w:t>
      </w:r>
    </w:p>
  </w:footnote>
  <w:footnote w:id="123">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w:t>
      </w:r>
    </w:p>
  </w:footnote>
  <w:footnote w:id="124">
    <w:p w:rsidR="00240C8F" w:rsidRDefault="00240C8F" w:rsidP="001E32C9">
      <w:pPr>
        <w:pStyle w:val="FootnoteText"/>
      </w:pPr>
      <w:r>
        <w:rPr>
          <w:rStyle w:val="FootnoteReference"/>
        </w:rPr>
        <w:footnoteRef/>
      </w:r>
      <w:r>
        <w:t xml:space="preserve"> </w:t>
      </w:r>
      <w:r>
        <w:tab/>
        <w:t xml:space="preserve">The documentation relevant to the rule change is available at: </w:t>
      </w:r>
      <w:r w:rsidRPr="00B1561C">
        <w:t>http://www.aemc.gov.au/Rule-Changes/Economic-Regulation-of-Network-Service-Providers</w:t>
      </w:r>
      <w:r>
        <w:t xml:space="preserve">. The new description first appears in the draft rules for electricity and gas, respectively. For electricity, available at: </w:t>
      </w:r>
      <w:r w:rsidRPr="00FA1E96">
        <w:t>http://www.aemc.gov.au/getattachment/fdac2adf-701f-41b3-895e-5c857b8cfc2b/Draft-Rule-</w:t>
      </w:r>
      <w:r w:rsidRPr="00FA1E96">
        <w:rPr>
          <w:rFonts w:ascii="Arial" w:hAnsi="Arial" w:cs="Arial"/>
        </w:rPr>
        <w:t>“</w:t>
      </w:r>
      <w:r w:rsidRPr="00FA1E96">
        <w:t>-Electricity.aspx</w:t>
      </w:r>
      <w:r>
        <w:t xml:space="preserve">. For gas, available at: </w:t>
      </w:r>
      <w:r w:rsidRPr="00FA1E96">
        <w:t>http://www.aemc.gov.au/getattachment/e59ed84d-ec91-4ca9-a24e-8ab600051009/Draft-Rule-</w:t>
      </w:r>
      <w:r w:rsidRPr="00FA1E96">
        <w:rPr>
          <w:rFonts w:ascii="Arial" w:hAnsi="Arial" w:cs="Arial"/>
        </w:rPr>
        <w:t>“</w:t>
      </w:r>
      <w:r w:rsidRPr="00FA1E96">
        <w:t>-Gas.aspx</w:t>
      </w:r>
      <w:r>
        <w:t>. All accessed 17 November 2014.</w:t>
      </w:r>
    </w:p>
  </w:footnote>
  <w:footnote w:id="125">
    <w:p w:rsidR="00240C8F" w:rsidRDefault="00240C8F" w:rsidP="001E32C9">
      <w:pPr>
        <w:pStyle w:val="FootnoteText"/>
      </w:pPr>
      <w:r>
        <w:rPr>
          <w:rStyle w:val="FootnoteReference"/>
        </w:rPr>
        <w:footnoteRef/>
      </w:r>
      <w:r>
        <w:t xml:space="preserve"> </w:t>
      </w:r>
      <w:r>
        <w:tab/>
        <w:t>NEL, sch. 2, cl. 8; NGL, sch. 2, cl. 8.</w:t>
      </w:r>
    </w:p>
  </w:footnote>
  <w:footnote w:id="126">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w:t>
      </w:r>
    </w:p>
  </w:footnote>
  <w:footnote w:id="127">
    <w:p w:rsidR="00240C8F" w:rsidRDefault="00240C8F" w:rsidP="001E32C9">
      <w:pPr>
        <w:pStyle w:val="FootnoteText"/>
      </w:pPr>
      <w:r>
        <w:rPr>
          <w:rStyle w:val="FootnoteReference"/>
        </w:rPr>
        <w:footnoteRef/>
      </w:r>
      <w:r>
        <w:t xml:space="preserve"> </w:t>
      </w:r>
      <w:r>
        <w:tab/>
        <w:t>NEL, sch. 2, cl. 7; NGL, sch. 2, cl. 7.</w:t>
      </w:r>
    </w:p>
  </w:footnote>
  <w:footnote w:id="128">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309.</w:t>
      </w:r>
    </w:p>
  </w:footnote>
  <w:footnote w:id="129">
    <w:p w:rsidR="00240C8F" w:rsidRDefault="00240C8F"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32.</w:t>
      </w:r>
    </w:p>
  </w:footnote>
  <w:footnote w:id="130">
    <w:p w:rsidR="00240C8F" w:rsidRDefault="00240C8F"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33.</w:t>
      </w:r>
    </w:p>
  </w:footnote>
  <w:footnote w:id="131">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341(b)(iii).</w:t>
      </w:r>
    </w:p>
  </w:footnote>
  <w:footnote w:id="132">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39.</w:t>
      </w:r>
    </w:p>
  </w:footnote>
  <w:footnote w:id="133">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320–327.</w:t>
      </w:r>
    </w:p>
  </w:footnote>
  <w:footnote w:id="134">
    <w:p w:rsidR="00240C8F" w:rsidRDefault="00240C8F" w:rsidP="001E32C9">
      <w:pPr>
        <w:pStyle w:val="FootnoteText"/>
      </w:pPr>
      <w:r>
        <w:rPr>
          <w:rStyle w:val="FootnoteReference"/>
        </w:rPr>
        <w:footnoteRef/>
      </w:r>
      <w:r>
        <w:t xml:space="preserve"> </w:t>
      </w:r>
      <w:r>
        <w:tab/>
      </w:r>
      <w:r w:rsidRPr="007646B1">
        <w:t xml:space="preserve">AER, </w:t>
      </w:r>
      <w:r w:rsidRPr="007646B1">
        <w:rPr>
          <w:rStyle w:val="AERtextitalic"/>
        </w:rPr>
        <w:t>Better regulation: Explanatory statement rate of return guideline, Appendices</w:t>
      </w:r>
      <w:r w:rsidRPr="007646B1">
        <w:t>, December 2013</w:t>
      </w:r>
      <w:r>
        <w:t>, p. 143.</w:t>
      </w:r>
    </w:p>
  </w:footnote>
  <w:footnote w:id="135">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341(b)(v).</w:t>
      </w:r>
    </w:p>
  </w:footnote>
  <w:footnote w:id="136">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333.</w:t>
      </w:r>
    </w:p>
  </w:footnote>
  <w:footnote w:id="137">
    <w:p w:rsidR="00240C8F" w:rsidRDefault="00240C8F"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12.</w:t>
      </w:r>
    </w:p>
  </w:footnote>
  <w:footnote w:id="138">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2014,paras. 320–327.</w:t>
      </w:r>
    </w:p>
  </w:footnote>
  <w:footnote w:id="139">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11–12.</w:t>
      </w:r>
    </w:p>
  </w:footnote>
  <w:footnote w:id="140">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27.</w:t>
      </w:r>
    </w:p>
  </w:footnote>
  <w:footnote w:id="141">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324.</w:t>
      </w:r>
    </w:p>
  </w:footnote>
  <w:footnote w:id="142">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3">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4">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326.</w:t>
      </w:r>
    </w:p>
  </w:footnote>
  <w:footnote w:id="145">
    <w:p w:rsidR="00240C8F" w:rsidRDefault="00240C8F" w:rsidP="001E32C9">
      <w:pPr>
        <w:pStyle w:val="FootnoteText"/>
      </w:pPr>
      <w:r>
        <w:rPr>
          <w:rStyle w:val="FootnoteReference"/>
        </w:rPr>
        <w:footnoteRef/>
      </w:r>
      <w:r>
        <w:t xml:space="preserve"> </w:t>
      </w:r>
      <w:r>
        <w:tab/>
        <w:t xml:space="preserve">G. Peirson, R. Brown, S. Easton and P. Howard, </w:t>
      </w:r>
      <w:r w:rsidRPr="00562068">
        <w:rPr>
          <w:rStyle w:val="AERtextitalic"/>
        </w:rPr>
        <w:t>Business Finance</w:t>
      </w:r>
      <w:r>
        <w:t>, 8th Edition, 2002, p. 72.</w:t>
      </w:r>
    </w:p>
  </w:footnote>
  <w:footnote w:id="146">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342–358.</w:t>
      </w:r>
    </w:p>
  </w:footnote>
  <w:footnote w:id="147">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354–355.</w:t>
      </w:r>
    </w:p>
  </w:footnote>
  <w:footnote w:id="148">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23.</w:t>
      </w:r>
    </w:p>
  </w:footnote>
  <w:footnote w:id="149">
    <w:p w:rsidR="00240C8F" w:rsidRDefault="00240C8F">
      <w:pPr>
        <w:pStyle w:val="FootnoteText"/>
      </w:pPr>
      <w:r>
        <w:rPr>
          <w:rStyle w:val="FootnoteReference"/>
        </w:rPr>
        <w:footnoteRef/>
      </w:r>
      <w:r>
        <w:t xml:space="preserve"> </w:t>
      </w:r>
      <w:r>
        <w:tab/>
        <w:t>NER, cls. 6.5.2(d)(2) and 6A.6.2(d)(2); NGR, r. 87(4)(b).</w:t>
      </w:r>
    </w:p>
  </w:footnote>
  <w:footnote w:id="150">
    <w:p w:rsidR="00240C8F" w:rsidRDefault="00240C8F">
      <w:pPr>
        <w:pStyle w:val="FootnoteText"/>
      </w:pPr>
      <w:r>
        <w:rPr>
          <w:rStyle w:val="FootnoteReference"/>
        </w:rPr>
        <w:footnoteRef/>
      </w:r>
      <w:r>
        <w:t xml:space="preserve"> </w:t>
      </w:r>
      <w:r>
        <w:tab/>
        <w:t xml:space="preserve">Lally discussed why key components of the return on equity, the market risk premium and equity beta, would be expected to be lower in an international CAPM compared to a domestic CAPM: </w:t>
      </w:r>
      <w:r w:rsidRPr="00712BC2">
        <w:t xml:space="preserve">M. Lally, </w:t>
      </w:r>
      <w:r w:rsidRPr="00712BC2">
        <w:rPr>
          <w:rStyle w:val="AERtextitalic"/>
        </w:rPr>
        <w:t>The estimation of gamma</w:t>
      </w:r>
      <w:r w:rsidRPr="00712BC2">
        <w:t>, 23 November 2013</w:t>
      </w:r>
      <w:r>
        <w:t>, section 3.9.</w:t>
      </w:r>
    </w:p>
  </w:footnote>
  <w:footnote w:id="151">
    <w:p w:rsidR="00240C8F" w:rsidRDefault="00240C8F" w:rsidP="001E32C9">
      <w:pPr>
        <w:pStyle w:val="FootnoteText"/>
      </w:pPr>
      <w:r>
        <w:rPr>
          <w:rStyle w:val="FootnoteReference"/>
        </w:rPr>
        <w:footnoteRef/>
      </w:r>
      <w:r>
        <w:t xml:space="preserve"> </w:t>
      </w:r>
      <w:r>
        <w:tab/>
        <w:t xml:space="preserve">Although the term 'personal' is used, we note that classes of investors other than persons can value imputation credits (for example, superannuation funds and charities). Therefore, a more appropriate characterisation might be 'before-investor-tax' and 'before-investor-costs'. </w:t>
      </w:r>
    </w:p>
  </w:footnote>
  <w:footnote w:id="152">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53">
    <w:p w:rsidR="00240C8F" w:rsidRDefault="00240C8F"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54">
    <w:p w:rsidR="00240C8F" w:rsidRDefault="00240C8F"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155">
    <w:p w:rsidR="00240C8F" w:rsidRDefault="00240C8F" w:rsidP="001E32C9">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17 November 2014.</w:t>
      </w:r>
    </w:p>
  </w:footnote>
  <w:footnote w:id="156">
    <w:p w:rsidR="00240C8F" w:rsidRDefault="00240C8F"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57">
    <w:p w:rsidR="00240C8F" w:rsidRDefault="00240C8F"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8">
    <w:p w:rsidR="00240C8F" w:rsidRDefault="00240C8F"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9">
    <w:p w:rsidR="00240C8F" w:rsidRDefault="00240C8F"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0">
    <w:p w:rsidR="00240C8F" w:rsidRDefault="00240C8F" w:rsidP="00BF3A09">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_Ref401165415 \r \h </w:instrText>
      </w:r>
      <w:r>
        <w:fldChar w:fldCharType="separate"/>
      </w:r>
      <w:r>
        <w:t>4.4.2</w:t>
      </w:r>
      <w:r>
        <w:fldChar w:fldCharType="end"/>
      </w:r>
      <w:r>
        <w:t xml:space="preserve"> of attachment 4.  </w:t>
      </w:r>
    </w:p>
  </w:footnote>
  <w:footnote w:id="161">
    <w:p w:rsidR="00240C8F" w:rsidRDefault="00240C8F"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2">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65(c).</w:t>
      </w:r>
    </w:p>
  </w:footnote>
  <w:footnote w:id="163">
    <w:p w:rsidR="00240C8F" w:rsidRDefault="00240C8F"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4">
    <w:p w:rsidR="00240C8F" w:rsidRDefault="00240C8F"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5">
    <w:p w:rsidR="00240C8F" w:rsidRDefault="00240C8F" w:rsidP="00611553">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17 November 2014. We consider that the form is quite straightforward, and therefore the cost of filling it out and submitting it is unlikely to outweigh the benefit of any material amount of imputation credits.  </w:t>
      </w:r>
    </w:p>
  </w:footnote>
  <w:footnote w:id="166">
    <w:p w:rsidR="00240C8F" w:rsidRDefault="00240C8F"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19.</w:t>
      </w:r>
    </w:p>
  </w:footnote>
  <w:footnote w:id="167">
    <w:p w:rsidR="00240C8F" w:rsidRDefault="00240C8F"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8">
    <w:p w:rsidR="00240C8F" w:rsidRDefault="00240C8F"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20.</w:t>
      </w:r>
    </w:p>
  </w:footnote>
  <w:footnote w:id="169">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65(e).</w:t>
      </w:r>
    </w:p>
  </w:footnote>
  <w:footnote w:id="170">
    <w:p w:rsidR="00240C8F" w:rsidRDefault="00240C8F" w:rsidP="001E32C9">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71">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412.</w:t>
      </w:r>
    </w:p>
  </w:footnote>
  <w:footnote w:id="172">
    <w:p w:rsidR="00240C8F" w:rsidRDefault="00240C8F"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73">
    <w:p w:rsidR="00240C8F" w:rsidRDefault="00240C8F" w:rsidP="001E32C9">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74">
    <w:p w:rsidR="00240C8F" w:rsidRDefault="00240C8F"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75">
    <w:p w:rsidR="00240C8F" w:rsidRDefault="00240C8F"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76">
    <w:p w:rsidR="00240C8F" w:rsidRDefault="00240C8F" w:rsidP="001E32C9">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17 November 2014.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177">
    <w:p w:rsidR="00240C8F" w:rsidRDefault="00240C8F"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8">
    <w:p w:rsidR="00240C8F" w:rsidRDefault="00240C8F" w:rsidP="001E32C9">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9">
    <w:p w:rsidR="00240C8F" w:rsidRDefault="00240C8F"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180">
    <w:p w:rsidR="00240C8F" w:rsidRDefault="00240C8F">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181">
    <w:p w:rsidR="00240C8F" w:rsidRDefault="00240C8F" w:rsidP="001E32C9">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182">
    <w:p w:rsidR="00240C8F" w:rsidRDefault="00240C8F"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183">
    <w:p w:rsidR="00240C8F" w:rsidRDefault="00240C8F" w:rsidP="001E32C9">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17 November 2014.</w:t>
      </w:r>
    </w:p>
  </w:footnote>
  <w:footnote w:id="184">
    <w:p w:rsidR="00240C8F" w:rsidRDefault="00240C8F"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185">
    <w:p w:rsidR="00240C8F" w:rsidRDefault="00240C8F" w:rsidP="0078271F">
      <w:pPr>
        <w:pStyle w:val="FootnoteText"/>
      </w:pPr>
      <w:r>
        <w:rPr>
          <w:rStyle w:val="FootnoteReference"/>
        </w:rPr>
        <w:footnoteRef/>
      </w:r>
      <w:r>
        <w:t xml:space="preserve"> </w:t>
      </w:r>
      <w:r>
        <w:tab/>
        <w:t>The exception to this being the period between March 1990 and June 1992 where the share dropped below 0.5, and as low as 0.39 in December 1990.</w:t>
      </w:r>
    </w:p>
  </w:footnote>
  <w:footnote w:id="186">
    <w:p w:rsidR="00240C8F" w:rsidRDefault="00240C8F" w:rsidP="001E32C9">
      <w:pPr>
        <w:pStyle w:val="FootnoteText"/>
      </w:pPr>
      <w:r>
        <w:rPr>
          <w:rStyle w:val="FootnoteReference"/>
        </w:rPr>
        <w:footnoteRef/>
      </w:r>
      <w:r>
        <w:t xml:space="preserve"> </w:t>
      </w:r>
      <w:r>
        <w:tab/>
        <w:t>We do not consider clear the case for assuming that governments 'waste' the imputation credits they receive. The effect of the assumption is immaterial in any event, as excluding governments from the calculation only marginally increases the share.</w:t>
      </w:r>
    </w:p>
  </w:footnote>
  <w:footnote w:id="187">
    <w:p w:rsidR="00240C8F" w:rsidRDefault="00240C8F"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32 and 36.</w:t>
      </w:r>
    </w:p>
  </w:footnote>
  <w:footnote w:id="188">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403–405.</w:t>
      </w:r>
    </w:p>
  </w:footnote>
  <w:footnote w:id="189">
    <w:p w:rsidR="00240C8F" w:rsidRDefault="00240C8F" w:rsidP="001E32C9">
      <w:pPr>
        <w:pStyle w:val="FootnoteText"/>
      </w:pPr>
      <w:r>
        <w:rPr>
          <w:rStyle w:val="FootnoteReference"/>
        </w:rPr>
        <w:footnoteRef/>
      </w:r>
      <w:r>
        <w:t xml:space="preserve"> </w:t>
      </w:r>
      <w:r>
        <w:tab/>
        <w:t>S. Black and J. Kirkwood, 'Ownership of Australian equities and corporate b</w:t>
      </w:r>
      <w:r w:rsidRPr="00A461BD">
        <w:t>onds</w:t>
      </w:r>
      <w:r>
        <w:t xml:space="preserve">', </w:t>
      </w:r>
      <w:r w:rsidRPr="00A461BD">
        <w:rPr>
          <w:rStyle w:val="AERtextitalic"/>
        </w:rPr>
        <w:t>Reserve Bank of Australia Bulletin</w:t>
      </w:r>
      <w:r>
        <w:t>, September 2010.</w:t>
      </w:r>
    </w:p>
  </w:footnote>
  <w:footnote w:id="190">
    <w:p w:rsidR="00240C8F" w:rsidRDefault="00240C8F" w:rsidP="001E32C9">
      <w:pPr>
        <w:pStyle w:val="FootnoteText"/>
      </w:pPr>
      <w:r>
        <w:rPr>
          <w:rStyle w:val="FootnoteReference"/>
        </w:rPr>
        <w:footnoteRef/>
      </w:r>
      <w:r>
        <w:t xml:space="preserve"> </w:t>
      </w:r>
      <w:r>
        <w:tab/>
        <w:t xml:space="preserve">Specifically, table 32 of </w:t>
      </w:r>
      <w:r w:rsidRPr="00C77485">
        <w:t>Australian National Accounts: Financial Accounts (ABS cat. 5232.0)</w:t>
      </w:r>
      <w:r>
        <w:t>.</w:t>
      </w:r>
    </w:p>
  </w:footnote>
  <w:footnote w:id="191">
    <w:p w:rsidR="00240C8F" w:rsidRDefault="00240C8F" w:rsidP="001E32C9">
      <w:pPr>
        <w:pStyle w:val="FootnoteText"/>
      </w:pPr>
      <w:r>
        <w:rPr>
          <w:rStyle w:val="FootnoteReference"/>
        </w:rPr>
        <w:footnoteRef/>
      </w:r>
      <w:r>
        <w:t xml:space="preserve"> </w:t>
      </w:r>
      <w:r>
        <w:tab/>
        <w:t xml:space="preserve">ASX, </w:t>
      </w:r>
      <w:r w:rsidRPr="009828F5">
        <w:rPr>
          <w:rStyle w:val="AERtextitalic"/>
        </w:rPr>
        <w:t>Australian cash equity market</w:t>
      </w:r>
      <w:r>
        <w:t xml:space="preserve">, 2013. </w:t>
      </w:r>
    </w:p>
    <w:p w:rsidR="00240C8F" w:rsidRDefault="00240C8F" w:rsidP="001E32C9">
      <w:pPr>
        <w:pStyle w:val="FootnoteText"/>
      </w:pPr>
      <w:r>
        <w:tab/>
        <w:t xml:space="preserve">Available at: </w:t>
      </w:r>
      <w:r w:rsidRPr="00611553">
        <w:t>http://www.asx.com.au/documents/resources/australian_cash_equity_market.pdf</w:t>
      </w:r>
      <w:r>
        <w:t>. Accessed 17 November 2014.</w:t>
      </w:r>
    </w:p>
  </w:footnote>
  <w:footnote w:id="192">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82–84.</w:t>
      </w:r>
    </w:p>
  </w:footnote>
  <w:footnote w:id="193">
    <w:p w:rsidR="00240C8F" w:rsidRDefault="00240C8F"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402(b).</w:t>
      </w:r>
    </w:p>
  </w:footnote>
  <w:footnote w:id="194">
    <w:p w:rsidR="00240C8F" w:rsidRDefault="00240C8F" w:rsidP="001E32C9">
      <w:pPr>
        <w:pStyle w:val="FootnoteText"/>
      </w:pPr>
      <w:r>
        <w:rPr>
          <w:rStyle w:val="FootnoteReference"/>
        </w:rPr>
        <w:footnoteRef/>
      </w:r>
      <w:r>
        <w:t xml:space="preserve"> </w:t>
      </w:r>
      <w:r>
        <w:tab/>
      </w:r>
      <w:r w:rsidRPr="00853053">
        <w:t xml:space="preserve">Australian Bureau of Statistics, </w:t>
      </w:r>
      <w:r>
        <w:rPr>
          <w:rStyle w:val="AERtextitalic"/>
        </w:rPr>
        <w:t>Feature article -</w:t>
      </w:r>
      <w:r w:rsidRPr="00853053">
        <w:rPr>
          <w:rStyle w:val="AERtextitalic"/>
        </w:rPr>
        <w:t xml:space="preserve"> Foreign ownership of equity</w:t>
      </w:r>
      <w:r>
        <w:rPr>
          <w:rStyle w:val="AERtextitalic"/>
        </w:rPr>
        <w:t xml:space="preserve"> in Australian enterprise groups</w:t>
      </w:r>
      <w:r w:rsidRPr="00853053">
        <w:t xml:space="preserve">, </w:t>
      </w:r>
      <w:r>
        <w:t xml:space="preserve">June 1992. </w:t>
      </w:r>
      <w:r w:rsidRPr="00853053">
        <w:t>Available at:</w:t>
      </w:r>
    </w:p>
    <w:p w:rsidR="00240C8F" w:rsidRDefault="00240C8F" w:rsidP="001E32C9">
      <w:pPr>
        <w:pStyle w:val="FootnoteText"/>
      </w:pPr>
      <w:r>
        <w:tab/>
      </w:r>
      <w:r w:rsidRPr="00611553">
        <w:t>http://www.abs.gov.au/ausstats/abs@.nsf/featurearticlesbytitle/597E105CE2D16D46CA256DEF00099D17?OpenDocument</w:t>
      </w:r>
      <w:r>
        <w:t>. Accessed 17 November 2014.</w:t>
      </w:r>
    </w:p>
  </w:footnote>
  <w:footnote w:id="195">
    <w:p w:rsidR="00240C8F" w:rsidRDefault="00240C8F" w:rsidP="001E32C9">
      <w:pPr>
        <w:pStyle w:val="FootnoteText"/>
      </w:pPr>
      <w:r>
        <w:rPr>
          <w:rStyle w:val="FootnoteReference"/>
        </w:rPr>
        <w:footnoteRef/>
      </w:r>
      <w:r>
        <w:t xml:space="preserve"> </w:t>
      </w:r>
      <w:r>
        <w:tab/>
        <w:t xml:space="preserve">See: </w:t>
      </w:r>
      <w:r w:rsidRPr="00611553">
        <w:t>http://www.abs.gov.au/AUSSTATS/abs@.nsf/Latestproducts/5232.0Main%20Features2Jun%202014?opendocument&amp;tabname=Summary&amp;prodno=5232.0&amp;issue=Jun%202014&amp;num=&amp;view</w:t>
      </w:r>
      <w:r w:rsidRPr="009F7B6B">
        <w:t>=</w:t>
      </w:r>
      <w:r>
        <w:t>. Accessed 17 November 2014.</w:t>
      </w:r>
    </w:p>
  </w:footnote>
  <w:footnote w:id="196">
    <w:p w:rsidR="00240C8F" w:rsidRDefault="00240C8F" w:rsidP="001E32C9">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197">
    <w:p w:rsidR="00240C8F" w:rsidRDefault="00240C8F" w:rsidP="001E32C9">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198">
    <w:p w:rsidR="00240C8F" w:rsidRDefault="00240C8F" w:rsidP="001E32C9">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199">
    <w:p w:rsidR="00240C8F" w:rsidRDefault="00240C8F"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00">
    <w:p w:rsidR="00240C8F" w:rsidRDefault="00240C8F"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01">
    <w:p w:rsidR="00240C8F" w:rsidRDefault="00240C8F"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02">
    <w:p w:rsidR="00240C8F" w:rsidRDefault="00240C8F"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03">
    <w:p w:rsidR="00240C8F" w:rsidRDefault="00240C8F"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04">
    <w:p w:rsidR="00240C8F" w:rsidRDefault="00240C8F"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05">
    <w:p w:rsidR="00240C8F" w:rsidRDefault="00240C8F"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rsidRPr="003A3A99">
        <w:t>, March 2004.</w:t>
      </w:r>
    </w:p>
  </w:footnote>
  <w:footnote w:id="206">
    <w:p w:rsidR="00240C8F" w:rsidRDefault="00240C8F"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w:t>
      </w:r>
    </w:p>
  </w:footnote>
  <w:footnote w:id="207">
    <w:p w:rsidR="00240C8F" w:rsidRDefault="00240C8F"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08">
    <w:p w:rsidR="00240C8F" w:rsidRDefault="00240C8F"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09">
    <w:p w:rsidR="00240C8F" w:rsidRDefault="00240C8F"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10">
    <w:p w:rsidR="00240C8F" w:rsidRDefault="00240C8F"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11">
    <w:p w:rsidR="00240C8F" w:rsidRDefault="00240C8F"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12">
    <w:p w:rsidR="00240C8F" w:rsidRDefault="00240C8F"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13">
    <w:p w:rsidR="00240C8F" w:rsidRDefault="00240C8F"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14">
    <w:p w:rsidR="00240C8F" w:rsidRDefault="00240C8F" w:rsidP="001E32C9">
      <w:pPr>
        <w:pStyle w:val="FootnoteText"/>
      </w:pPr>
      <w:r>
        <w:rPr>
          <w:rStyle w:val="FootnoteReference"/>
        </w:rPr>
        <w:footnoteRef/>
      </w:r>
      <w:r>
        <w:t xml:space="preserve"> </w:t>
      </w:r>
      <w:r>
        <w:tab/>
        <w:t xml:space="preserve">K. Siau, S. Sault and G. Warren, 'Are imputation credits capitalised into stock prices', </w:t>
      </w:r>
      <w:r>
        <w:rPr>
          <w:rStyle w:val="AERtextitalic"/>
          <w:i w:val="0"/>
        </w:rPr>
        <w:t xml:space="preserve">ANU </w:t>
      </w:r>
      <w:r w:rsidRPr="00647825">
        <w:rPr>
          <w:rStyle w:val="AERtextitalic"/>
          <w:i w:val="0"/>
        </w:rPr>
        <w:t>working paper</w:t>
      </w:r>
      <w:r w:rsidRPr="00647825">
        <w:t>,</w:t>
      </w:r>
      <w:r>
        <w:t xml:space="preserve"> 18 June 2013.</w:t>
      </w:r>
    </w:p>
  </w:footnote>
  <w:footnote w:id="215">
    <w:p w:rsidR="00240C8F" w:rsidRDefault="00240C8F"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16">
    <w:p w:rsidR="00240C8F" w:rsidRDefault="00240C8F" w:rsidP="001E32C9">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i w:val="0"/>
        </w:rPr>
        <w:t xml:space="preserve">Paper presented at the Accounting Association of Australia and New Zealand Annual Conference, Wellington, </w:t>
      </w:r>
      <w:r w:rsidRPr="009C64A5">
        <w:t>2001.</w:t>
      </w:r>
    </w:p>
  </w:footnote>
  <w:footnote w:id="217">
    <w:p w:rsidR="00240C8F" w:rsidRDefault="00240C8F"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18">
    <w:p w:rsidR="00240C8F" w:rsidRDefault="00240C8F"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19">
    <w:p w:rsidR="00240C8F" w:rsidRDefault="00240C8F"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20">
    <w:p w:rsidR="00240C8F" w:rsidRDefault="00240C8F"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21">
    <w:p w:rsidR="00240C8F" w:rsidRDefault="00240C8F"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22">
    <w:p w:rsidR="00240C8F" w:rsidRDefault="00240C8F"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23">
    <w:p w:rsidR="00240C8F" w:rsidRDefault="00240C8F"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24">
    <w:p w:rsidR="00240C8F" w:rsidRDefault="00240C8F"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t>, March 2004, pp. 5 and 21.</w:t>
      </w:r>
    </w:p>
  </w:footnote>
  <w:footnote w:id="225">
    <w:p w:rsidR="00240C8F" w:rsidRDefault="00240C8F"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 p. 27.</w:t>
      </w:r>
    </w:p>
  </w:footnote>
  <w:footnote w:id="226">
    <w:p w:rsidR="00240C8F" w:rsidRDefault="00240C8F"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27">
    <w:p w:rsidR="00240C8F" w:rsidRDefault="00240C8F"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28">
    <w:p w:rsidR="00240C8F" w:rsidRDefault="00240C8F"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29">
    <w:p w:rsidR="00240C8F" w:rsidRDefault="00240C8F"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30">
    <w:p w:rsidR="00240C8F" w:rsidRDefault="00240C8F"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31">
    <w:p w:rsidR="00240C8F" w:rsidRDefault="00240C8F"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32">
    <w:p w:rsidR="00240C8F" w:rsidRDefault="00240C8F"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33">
    <w:p w:rsidR="00240C8F" w:rsidRDefault="00240C8F" w:rsidP="001E32C9">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i w:val="0"/>
        </w:rPr>
        <w:t>ANU working paper</w:t>
      </w:r>
      <w:r w:rsidRPr="00647825">
        <w:t>, 18 June</w:t>
      </w:r>
      <w:r>
        <w:t xml:space="preserve"> 2013, pp. 24 and 27.</w:t>
      </w:r>
    </w:p>
  </w:footnote>
  <w:footnote w:id="234">
    <w:p w:rsidR="00240C8F" w:rsidRDefault="00240C8F"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35">
    <w:p w:rsidR="00240C8F" w:rsidRDefault="00240C8F"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36">
    <w:p w:rsidR="00240C8F" w:rsidRDefault="00240C8F" w:rsidP="001E32C9">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37">
    <w:p w:rsidR="00240C8F" w:rsidRDefault="00240C8F"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t>, May 2014, s. 1.2.2</w:t>
      </w:r>
      <w:r w:rsidRPr="00FD4E25">
        <w:t xml:space="preserve">; </w:t>
      </w:r>
      <w:r>
        <w:t>Ausgrid</w:t>
      </w:r>
      <w:r w:rsidRPr="00FD4E25">
        <w:t xml:space="preserve">, </w:t>
      </w:r>
      <w:r w:rsidRPr="00FD4E25">
        <w:rPr>
          <w:rStyle w:val="AERtextitalic"/>
        </w:rPr>
        <w:t>Ausgrid's gamma proposal</w:t>
      </w:r>
      <w:r>
        <w:t xml:space="preserve">, May 2014, p. </w:t>
      </w:r>
      <w:r w:rsidRPr="00FD4E25">
        <w:t xml:space="preserve">4; Directlink, </w:t>
      </w:r>
      <w:r w:rsidRPr="00FD4E25">
        <w:rPr>
          <w:rStyle w:val="AERtextitalic"/>
        </w:rPr>
        <w:t>Directlink submission on gamma</w:t>
      </w:r>
      <w:r>
        <w:t xml:space="preserve">, May 2014, p. </w:t>
      </w:r>
      <w:r w:rsidRPr="00FD4E25">
        <w:t xml:space="preserve">5; Endeavour Energy, </w:t>
      </w:r>
      <w:r w:rsidRPr="00FD4E25">
        <w:rPr>
          <w:rStyle w:val="AERtextitalic"/>
        </w:rPr>
        <w:t>Endeavour Energy's gamma proposal</w:t>
      </w:r>
      <w:r>
        <w:t xml:space="preserve">, May 2014, p. </w:t>
      </w:r>
      <w:r w:rsidRPr="00FD4E25">
        <w:t xml:space="preserve">4. Essential Energy, </w:t>
      </w:r>
      <w:r w:rsidRPr="00FD4E25">
        <w:rPr>
          <w:rStyle w:val="AERtextitalic"/>
        </w:rPr>
        <w:t>Essential Energy's gamma proposal</w:t>
      </w:r>
      <w:r>
        <w:t>, May 2014, p. 6</w:t>
      </w:r>
      <w:r w:rsidRPr="00FD4E25">
        <w:t xml:space="preserve">; </w:t>
      </w:r>
      <w:r>
        <w:t>JGN</w:t>
      </w:r>
      <w:r w:rsidRPr="00FD4E25">
        <w:t xml:space="preserve">, </w:t>
      </w:r>
      <w:r w:rsidRPr="00FD4E25">
        <w:rPr>
          <w:rStyle w:val="AERtextitalic"/>
        </w:rPr>
        <w:t>Gamma proposal</w:t>
      </w:r>
      <w:r>
        <w:t>, June 2014, p. 5</w:t>
      </w:r>
      <w:r w:rsidRPr="00FD4E25">
        <w:t xml:space="preserve">; and TransGrid, </w:t>
      </w:r>
      <w:r w:rsidRPr="00FD4E25">
        <w:rPr>
          <w:rStyle w:val="AERtextitalic"/>
        </w:rPr>
        <w:t>TransGrid's approach to gamma</w:t>
      </w:r>
      <w:r>
        <w:t>, May 2014, p. 7</w:t>
      </w:r>
      <w:r w:rsidRPr="00FD4E25">
        <w:t>.</w:t>
      </w:r>
    </w:p>
  </w:footnote>
  <w:footnote w:id="238">
    <w:p w:rsidR="00240C8F" w:rsidRDefault="00240C8F"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rsidRPr="00FD4E25">
        <w:t>, May 2014, s. 1.</w:t>
      </w:r>
      <w:r>
        <w:t>4.5</w:t>
      </w:r>
      <w:r w:rsidRPr="00FD4E25">
        <w:t xml:space="preserve">; </w:t>
      </w:r>
      <w:r>
        <w:t>Ausgrid</w:t>
      </w:r>
      <w:r w:rsidRPr="00FD4E25">
        <w:t xml:space="preserve">, </w:t>
      </w:r>
      <w:r w:rsidRPr="00FD4E25">
        <w:rPr>
          <w:rStyle w:val="AERtextitalic"/>
        </w:rPr>
        <w:t>Ausgrid's gamma proposal</w:t>
      </w:r>
      <w:r w:rsidRPr="00FD4E25">
        <w:t xml:space="preserve">, May 2014, p. </w:t>
      </w:r>
      <w:r>
        <w:t>23</w:t>
      </w:r>
      <w:r w:rsidRPr="00FD4E25">
        <w:t xml:space="preserve">; Directlink, </w:t>
      </w:r>
      <w:r w:rsidRPr="00FD4E25">
        <w:rPr>
          <w:rStyle w:val="AERtextitalic"/>
        </w:rPr>
        <w:t>Directlink submission on gamma</w:t>
      </w:r>
      <w:r w:rsidRPr="00FD4E25">
        <w:t xml:space="preserve">, May 2014, p. </w:t>
      </w:r>
      <w:r>
        <w:t>2</w:t>
      </w:r>
      <w:r w:rsidRPr="00FD4E25">
        <w:t xml:space="preserve">5; Endeavour Energy, </w:t>
      </w:r>
      <w:r w:rsidRPr="00FD4E25">
        <w:rPr>
          <w:rStyle w:val="AERtextitalic"/>
        </w:rPr>
        <w:t>Endeavour Energy's gamma proposal</w:t>
      </w:r>
      <w:r w:rsidRPr="00FD4E25">
        <w:t xml:space="preserve">, May 2014, p. </w:t>
      </w:r>
      <w:r>
        <w:t>23</w:t>
      </w:r>
      <w:r w:rsidRPr="00FD4E25">
        <w:t xml:space="preserve">. Essential Energy, </w:t>
      </w:r>
      <w:r w:rsidRPr="00FD4E25">
        <w:rPr>
          <w:rStyle w:val="AERtextitalic"/>
        </w:rPr>
        <w:t>Essential Energy's gamma proposal</w:t>
      </w:r>
      <w:r w:rsidRPr="00FD4E25">
        <w:t xml:space="preserve">, May 2014, p. </w:t>
      </w:r>
      <w:r>
        <w:t>22</w:t>
      </w:r>
      <w:r w:rsidRPr="00FD4E25">
        <w:t xml:space="preserve">; </w:t>
      </w:r>
      <w:r>
        <w:t>JGN</w:t>
      </w:r>
      <w:r w:rsidRPr="00FD4E25">
        <w:t xml:space="preserve">, </w:t>
      </w:r>
      <w:r w:rsidRPr="00FD4E25">
        <w:rPr>
          <w:rStyle w:val="AERtextitalic"/>
        </w:rPr>
        <w:t>Gamma proposal</w:t>
      </w:r>
      <w:r w:rsidRPr="00FD4E25">
        <w:t>, June 2014, p.</w:t>
      </w:r>
      <w:r>
        <w:t xml:space="preserve"> 27</w:t>
      </w:r>
      <w:r w:rsidRPr="00FD4E25">
        <w:t xml:space="preserve">; and TransGrid, </w:t>
      </w:r>
      <w:r w:rsidRPr="00FD4E25">
        <w:rPr>
          <w:rStyle w:val="AERtextitalic"/>
        </w:rPr>
        <w:t>TransGrid's approach to gamma</w:t>
      </w:r>
      <w:r w:rsidRPr="00FD4E25">
        <w:t xml:space="preserve">, May 2014, p. </w:t>
      </w:r>
      <w:r>
        <w:t>30</w:t>
      </w:r>
      <w:r w:rsidRPr="00FD4E25">
        <w:t>.</w:t>
      </w:r>
    </w:p>
  </w:footnote>
  <w:footnote w:id="239">
    <w:p w:rsidR="00240C8F" w:rsidRDefault="00240C8F" w:rsidP="001E32C9">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40">
    <w:p w:rsidR="00240C8F" w:rsidRDefault="00240C8F" w:rsidP="001E32C9">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41">
    <w:p w:rsidR="00240C8F" w:rsidRDefault="00240C8F" w:rsidP="001E32C9">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i w:val="0"/>
        </w:rPr>
        <w:t>ANU working paper</w:t>
      </w:r>
      <w:r w:rsidRPr="006C192F">
        <w:t>, 18 June 2013, p. 2 and pp. 8–9.</w:t>
      </w:r>
    </w:p>
  </w:footnote>
  <w:footnote w:id="242">
    <w:p w:rsidR="00240C8F" w:rsidRDefault="00240C8F" w:rsidP="001E32C9">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43">
    <w:p w:rsidR="00240C8F" w:rsidRDefault="00240C8F" w:rsidP="001E32C9">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44">
    <w:p w:rsidR="00240C8F" w:rsidRDefault="00240C8F" w:rsidP="001E32C9">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45">
    <w:p w:rsidR="00240C8F" w:rsidRDefault="00240C8F"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46">
    <w:p w:rsidR="00240C8F" w:rsidRDefault="00240C8F" w:rsidP="001E32C9">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para. 920.</w:t>
      </w:r>
    </w:p>
  </w:footnote>
  <w:footnote w:id="247">
    <w:p w:rsidR="00240C8F" w:rsidRDefault="00240C8F"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48">
    <w:p w:rsidR="00240C8F" w:rsidRDefault="00240C8F" w:rsidP="001E32C9">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49">
    <w:p w:rsidR="00240C8F" w:rsidRDefault="00240C8F"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w:t>
      </w:r>
    </w:p>
  </w:footnote>
  <w:footnote w:id="250">
    <w:p w:rsidR="00240C8F" w:rsidRDefault="00240C8F" w:rsidP="001E32C9">
      <w:pPr>
        <w:pStyle w:val="FootnoteText"/>
      </w:pPr>
      <w:r>
        <w:rPr>
          <w:rStyle w:val="FootnoteReference"/>
        </w:rPr>
        <w:footnoteRef/>
      </w:r>
      <w:r>
        <w:t xml:space="preserve"> </w:t>
      </w:r>
      <w:r>
        <w:tab/>
      </w:r>
      <w:r w:rsidRPr="002B01D6">
        <w:t xml:space="preserve">Lally, </w:t>
      </w:r>
      <w:r w:rsidRPr="00A70E2C">
        <w:rPr>
          <w:rStyle w:val="AERtextitalic"/>
        </w:rPr>
        <w:t>The estimation of gamma</w:t>
      </w:r>
      <w:r>
        <w:t>, November 2013, pp. 3 and 4.</w:t>
      </w:r>
    </w:p>
  </w:footnote>
  <w:footnote w:id="251">
    <w:p w:rsidR="00240C8F" w:rsidRDefault="00240C8F"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14.</w:t>
      </w:r>
    </w:p>
  </w:footnote>
  <w:footnote w:id="252">
    <w:p w:rsidR="00240C8F" w:rsidRDefault="00240C8F"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38.</w:t>
      </w:r>
    </w:p>
  </w:footnote>
  <w:footnote w:id="253">
    <w:p w:rsidR="00240C8F" w:rsidRDefault="00240C8F"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38–47.</w:t>
      </w:r>
    </w:p>
  </w:footnote>
  <w:footnote w:id="254">
    <w:p w:rsidR="00240C8F" w:rsidRDefault="00240C8F"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46–47.</w:t>
      </w:r>
    </w:p>
  </w:footnote>
  <w:footnote w:id="255">
    <w:p w:rsidR="00240C8F" w:rsidRDefault="00240C8F"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256">
    <w:p w:rsidR="00240C8F" w:rsidRDefault="00240C8F"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257">
    <w:p w:rsidR="00240C8F" w:rsidRDefault="00240C8F"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258">
    <w:p w:rsidR="00240C8F" w:rsidRDefault="00240C8F" w:rsidP="001E32C9">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409C279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409C2792"/>
    <w:numStyleLink w:val="AERHeadings"/>
  </w:abstractNum>
  <w:abstractNum w:abstractNumId="6">
    <w:nsid w:val="1972601F"/>
    <w:multiLevelType w:val="multilevel"/>
    <w:tmpl w:val="409C279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409C2792"/>
    <w:numStyleLink w:val="AERHeadings"/>
  </w:abstractNum>
  <w:abstractNum w:abstractNumId="11">
    <w:nsid w:val="295C7239"/>
    <w:multiLevelType w:val="multilevel"/>
    <w:tmpl w:val="409C2792"/>
    <w:numStyleLink w:val="AERHeadings"/>
  </w:abstractNum>
  <w:abstractNum w:abstractNumId="12">
    <w:nsid w:val="29793349"/>
    <w:multiLevelType w:val="hybridMultilevel"/>
    <w:tmpl w:val="606EBE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C2D6B9E"/>
    <w:multiLevelType w:val="multilevel"/>
    <w:tmpl w:val="409C2792"/>
    <w:numStyleLink w:val="AERHeadings"/>
  </w:abstractNum>
  <w:abstractNum w:abstractNumId="14">
    <w:nsid w:val="2DB12A3A"/>
    <w:multiLevelType w:val="multilevel"/>
    <w:tmpl w:val="409C2792"/>
    <w:numStyleLink w:val="AERHeadings"/>
  </w:abstractNum>
  <w:abstractNum w:abstractNumId="15">
    <w:nsid w:val="2FB612CC"/>
    <w:multiLevelType w:val="multilevel"/>
    <w:tmpl w:val="409C279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409C279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409C279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32E499D"/>
    <w:multiLevelType w:val="hybridMultilevel"/>
    <w:tmpl w:val="9AE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C54255"/>
    <w:multiLevelType w:val="hybridMultilevel"/>
    <w:tmpl w:val="F3AA6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D386EA7"/>
    <w:multiLevelType w:val="multilevel"/>
    <w:tmpl w:val="409C2792"/>
    <w:numStyleLink w:val="AERHeadings"/>
  </w:abstractNum>
  <w:abstractNum w:abstractNumId="30">
    <w:nsid w:val="5DCC1B18"/>
    <w:multiLevelType w:val="multilevel"/>
    <w:tmpl w:val="39D4CB02"/>
    <w:numStyleLink w:val="AERnumberedlist"/>
  </w:abstractNum>
  <w:abstractNum w:abstractNumId="31">
    <w:nsid w:val="65D7302C"/>
    <w:multiLevelType w:val="multilevel"/>
    <w:tmpl w:val="80CCAE7C"/>
    <w:lvl w:ilvl="0">
      <w:start w:val="1"/>
      <w:numFmt w:val="none"/>
      <w:pStyle w:val="UnnumberedHeading"/>
      <w:lvlText w:val="%1"/>
      <w:lvlJc w:val="left"/>
      <w:pPr>
        <w:tabs>
          <w:tab w:val="num" w:pos="0"/>
        </w:tabs>
        <w:ind w:left="0" w:firstLine="0"/>
      </w:pPr>
      <w:rPr>
        <w:rFonts w:hint="default"/>
      </w:rPr>
    </w:lvl>
    <w:lvl w:ilvl="1">
      <w:start w:val="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68247CF7"/>
    <w:multiLevelType w:val="multilevel"/>
    <w:tmpl w:val="409C2792"/>
    <w:numStyleLink w:val="AERHeadings"/>
  </w:abstractNum>
  <w:abstractNum w:abstractNumId="33">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595980"/>
    <w:multiLevelType w:val="multilevel"/>
    <w:tmpl w:val="409C2792"/>
    <w:numStyleLink w:val="AERHeadings"/>
  </w:abstractNum>
  <w:abstractNum w:abstractNumId="35">
    <w:nsid w:val="74F81DDF"/>
    <w:multiLevelType w:val="multilevel"/>
    <w:tmpl w:val="409C2792"/>
    <w:numStyleLink w:val="AERHeadings"/>
  </w:abstractNum>
  <w:abstractNum w:abstractNumId="36">
    <w:nsid w:val="787F66A4"/>
    <w:multiLevelType w:val="multilevel"/>
    <w:tmpl w:val="409C2792"/>
    <w:numStyleLink w:val="AERHeadings"/>
  </w:abstractNum>
  <w:abstractNum w:abstractNumId="37">
    <w:nsid w:val="7AAC6DD7"/>
    <w:multiLevelType w:val="multilevel"/>
    <w:tmpl w:val="409C279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409C2792"/>
    <w:numStyleLink w:val="AERHeadings"/>
  </w:abstractNum>
  <w:abstractNum w:abstractNumId="40">
    <w:nsid w:val="7CDA0F5F"/>
    <w:multiLevelType w:val="multilevel"/>
    <w:tmpl w:val="409C2792"/>
    <w:numStyleLink w:val="AERHeadings"/>
  </w:abstractNum>
  <w:abstractNum w:abstractNumId="41">
    <w:nsid w:val="7DF878A1"/>
    <w:multiLevelType w:val="hybridMultilevel"/>
    <w:tmpl w:val="2C00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5ED7"/>
    <w:multiLevelType w:val="hybridMultilevel"/>
    <w:tmpl w:val="6D2E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8"/>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0"/>
  </w:num>
  <w:num w:numId="28">
    <w:abstractNumId w:val="18"/>
  </w:num>
  <w:num w:numId="29">
    <w:abstractNumId w:val="10"/>
  </w:num>
  <w:num w:numId="30">
    <w:abstractNumId w:val="5"/>
  </w:num>
  <w:num w:numId="31">
    <w:abstractNumId w:val="0"/>
  </w:num>
  <w:num w:numId="32">
    <w:abstractNumId w:val="6"/>
  </w:num>
  <w:num w:numId="33">
    <w:abstractNumId w:val="36"/>
  </w:num>
  <w:num w:numId="34">
    <w:abstractNumId w:val="32"/>
  </w:num>
  <w:num w:numId="35">
    <w:abstractNumId w:val="34"/>
  </w:num>
  <w:num w:numId="36">
    <w:abstractNumId w:val="39"/>
  </w:num>
  <w:num w:numId="37">
    <w:abstractNumId w:val="29"/>
  </w:num>
  <w:num w:numId="38">
    <w:abstractNumId w:val="13"/>
  </w:num>
  <w:num w:numId="39">
    <w:abstractNumId w:val="14"/>
  </w:num>
  <w:num w:numId="40">
    <w:abstractNumId w:val="21"/>
  </w:num>
  <w:num w:numId="41">
    <w:abstractNumId w:val="26"/>
  </w:num>
  <w:num w:numId="42">
    <w:abstractNumId w:val="4"/>
  </w:num>
  <w:num w:numId="43">
    <w:abstractNumId w:val="37"/>
  </w:num>
  <w:num w:numId="44">
    <w:abstractNumId w:val="24"/>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27"/>
  </w:num>
  <w:num w:numId="53">
    <w:abstractNumId w:val="42"/>
  </w:num>
  <w:num w:numId="54">
    <w:abstractNumId w:val="12"/>
  </w:num>
  <w:num w:numId="55">
    <w:abstractNumId w:val="0"/>
  </w:num>
  <w:num w:numId="56">
    <w:abstractNumId w:val="28"/>
  </w:num>
  <w:num w:numId="57">
    <w:abstractNumId w:val="15"/>
  </w:num>
  <w:num w:numId="58">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9">
    <w:abstractNumId w:val="31"/>
  </w:num>
  <w:num w:numId="60">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en-AU" w:vendorID="64" w:dllVersion="131078" w:nlCheck="1" w:checkStyle="1"/>
  <w:activeWritingStyle w:appName="MSWord" w:lang="en-US" w:vendorID="64" w:dllVersion="131078" w:nlCheck="1" w:checkStyle="1"/>
  <w:documentProtection w:formatting="1" w:enforcement="1" w:cryptProviderType="rsaFull" w:cryptAlgorithmClass="hash" w:cryptAlgorithmType="typeAny" w:cryptAlgorithmSid="4" w:cryptSpinCount="100000" w:hash="AlzNQFHnMKI/H64spGoyO1lO7lc=" w:salt="H3tLoni03xw07UpdHqDSQQ=="/>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32\D14 153882  TransGrid reset 2014-19 - Draft decision - Value of imputation credits - consolidated attachment and appendix - working version(6).DOCX"/>
  </w:docVars>
  <w:rsids>
    <w:rsidRoot w:val="000C052F"/>
    <w:rsid w:val="000005EA"/>
    <w:rsid w:val="0000114D"/>
    <w:rsid w:val="000020D3"/>
    <w:rsid w:val="00003016"/>
    <w:rsid w:val="00004E46"/>
    <w:rsid w:val="000064D2"/>
    <w:rsid w:val="0000720E"/>
    <w:rsid w:val="00010487"/>
    <w:rsid w:val="00011129"/>
    <w:rsid w:val="00012326"/>
    <w:rsid w:val="00012EFD"/>
    <w:rsid w:val="00013B91"/>
    <w:rsid w:val="00014E8E"/>
    <w:rsid w:val="000151BE"/>
    <w:rsid w:val="00015D08"/>
    <w:rsid w:val="00016398"/>
    <w:rsid w:val="0002000D"/>
    <w:rsid w:val="0002003A"/>
    <w:rsid w:val="000201F4"/>
    <w:rsid w:val="00020E4E"/>
    <w:rsid w:val="00022606"/>
    <w:rsid w:val="00023E60"/>
    <w:rsid w:val="00024280"/>
    <w:rsid w:val="00026B9F"/>
    <w:rsid w:val="00026C77"/>
    <w:rsid w:val="00026E7E"/>
    <w:rsid w:val="00027132"/>
    <w:rsid w:val="00027E85"/>
    <w:rsid w:val="000301D3"/>
    <w:rsid w:val="00031C9B"/>
    <w:rsid w:val="00032DE9"/>
    <w:rsid w:val="00033764"/>
    <w:rsid w:val="0003484A"/>
    <w:rsid w:val="00034AC7"/>
    <w:rsid w:val="00035BE9"/>
    <w:rsid w:val="000360F1"/>
    <w:rsid w:val="0003619E"/>
    <w:rsid w:val="0003796F"/>
    <w:rsid w:val="00040599"/>
    <w:rsid w:val="00040749"/>
    <w:rsid w:val="00042F5C"/>
    <w:rsid w:val="000445DE"/>
    <w:rsid w:val="00046273"/>
    <w:rsid w:val="00052838"/>
    <w:rsid w:val="00054C90"/>
    <w:rsid w:val="00055552"/>
    <w:rsid w:val="000605C3"/>
    <w:rsid w:val="000607CF"/>
    <w:rsid w:val="000618A4"/>
    <w:rsid w:val="00062799"/>
    <w:rsid w:val="00064A24"/>
    <w:rsid w:val="0006519C"/>
    <w:rsid w:val="00065E24"/>
    <w:rsid w:val="00071F21"/>
    <w:rsid w:val="00071FCB"/>
    <w:rsid w:val="000730D6"/>
    <w:rsid w:val="000805B1"/>
    <w:rsid w:val="000822C3"/>
    <w:rsid w:val="00082C99"/>
    <w:rsid w:val="0008324B"/>
    <w:rsid w:val="000838A1"/>
    <w:rsid w:val="00085B82"/>
    <w:rsid w:val="00087ADE"/>
    <w:rsid w:val="00087DDB"/>
    <w:rsid w:val="00090E48"/>
    <w:rsid w:val="00093CD0"/>
    <w:rsid w:val="000944E9"/>
    <w:rsid w:val="00096ECC"/>
    <w:rsid w:val="00097146"/>
    <w:rsid w:val="000A1CC2"/>
    <w:rsid w:val="000A3A13"/>
    <w:rsid w:val="000A5342"/>
    <w:rsid w:val="000A5C1A"/>
    <w:rsid w:val="000B0DA3"/>
    <w:rsid w:val="000B1384"/>
    <w:rsid w:val="000B15CA"/>
    <w:rsid w:val="000B1A4F"/>
    <w:rsid w:val="000B306E"/>
    <w:rsid w:val="000B3359"/>
    <w:rsid w:val="000B5CCB"/>
    <w:rsid w:val="000B693D"/>
    <w:rsid w:val="000B7792"/>
    <w:rsid w:val="000C052F"/>
    <w:rsid w:val="000C0A77"/>
    <w:rsid w:val="000C3430"/>
    <w:rsid w:val="000C4A0A"/>
    <w:rsid w:val="000C4BB9"/>
    <w:rsid w:val="000C4FCC"/>
    <w:rsid w:val="000C6488"/>
    <w:rsid w:val="000D03C2"/>
    <w:rsid w:val="000D04B1"/>
    <w:rsid w:val="000D077B"/>
    <w:rsid w:val="000D275B"/>
    <w:rsid w:val="000D3D7B"/>
    <w:rsid w:val="000D401F"/>
    <w:rsid w:val="000D553A"/>
    <w:rsid w:val="000D5E27"/>
    <w:rsid w:val="000D73DD"/>
    <w:rsid w:val="000E148D"/>
    <w:rsid w:val="000E1A25"/>
    <w:rsid w:val="000E28CA"/>
    <w:rsid w:val="000E3E91"/>
    <w:rsid w:val="000E5994"/>
    <w:rsid w:val="000F0637"/>
    <w:rsid w:val="000F1CA1"/>
    <w:rsid w:val="000F3A6A"/>
    <w:rsid w:val="000F5A04"/>
    <w:rsid w:val="000F64C9"/>
    <w:rsid w:val="000F652C"/>
    <w:rsid w:val="000F6FB8"/>
    <w:rsid w:val="00100609"/>
    <w:rsid w:val="00102A8F"/>
    <w:rsid w:val="001033B3"/>
    <w:rsid w:val="0010375B"/>
    <w:rsid w:val="00103D84"/>
    <w:rsid w:val="00104179"/>
    <w:rsid w:val="00105636"/>
    <w:rsid w:val="001068F9"/>
    <w:rsid w:val="00110048"/>
    <w:rsid w:val="00111439"/>
    <w:rsid w:val="00111F57"/>
    <w:rsid w:val="00114231"/>
    <w:rsid w:val="0011514B"/>
    <w:rsid w:val="00115D92"/>
    <w:rsid w:val="00117827"/>
    <w:rsid w:val="00117AF8"/>
    <w:rsid w:val="001200FC"/>
    <w:rsid w:val="00122221"/>
    <w:rsid w:val="001234FB"/>
    <w:rsid w:val="00124123"/>
    <w:rsid w:val="001246D2"/>
    <w:rsid w:val="001264D7"/>
    <w:rsid w:val="00127353"/>
    <w:rsid w:val="0013022D"/>
    <w:rsid w:val="00130A32"/>
    <w:rsid w:val="00130BF3"/>
    <w:rsid w:val="00132F9A"/>
    <w:rsid w:val="00132F9E"/>
    <w:rsid w:val="00134780"/>
    <w:rsid w:val="001373ED"/>
    <w:rsid w:val="001400FB"/>
    <w:rsid w:val="00142828"/>
    <w:rsid w:val="00142E9F"/>
    <w:rsid w:val="001502AB"/>
    <w:rsid w:val="00150493"/>
    <w:rsid w:val="0015072F"/>
    <w:rsid w:val="00152B69"/>
    <w:rsid w:val="00152C9A"/>
    <w:rsid w:val="001533FD"/>
    <w:rsid w:val="001537B6"/>
    <w:rsid w:val="001543D2"/>
    <w:rsid w:val="00154F31"/>
    <w:rsid w:val="001552F3"/>
    <w:rsid w:val="00156153"/>
    <w:rsid w:val="00157550"/>
    <w:rsid w:val="00160199"/>
    <w:rsid w:val="00160A08"/>
    <w:rsid w:val="001618EC"/>
    <w:rsid w:val="00162A3D"/>
    <w:rsid w:val="0016352F"/>
    <w:rsid w:val="00163B76"/>
    <w:rsid w:val="00165322"/>
    <w:rsid w:val="00167E93"/>
    <w:rsid w:val="001702C9"/>
    <w:rsid w:val="0017092E"/>
    <w:rsid w:val="00172F90"/>
    <w:rsid w:val="00173314"/>
    <w:rsid w:val="00174026"/>
    <w:rsid w:val="001747E0"/>
    <w:rsid w:val="00174821"/>
    <w:rsid w:val="001752ED"/>
    <w:rsid w:val="00175D59"/>
    <w:rsid w:val="00177B62"/>
    <w:rsid w:val="001827E1"/>
    <w:rsid w:val="0018325D"/>
    <w:rsid w:val="0018382C"/>
    <w:rsid w:val="001856EE"/>
    <w:rsid w:val="0018747A"/>
    <w:rsid w:val="0019364A"/>
    <w:rsid w:val="00194C3C"/>
    <w:rsid w:val="00194D4D"/>
    <w:rsid w:val="00195394"/>
    <w:rsid w:val="00196E27"/>
    <w:rsid w:val="00197C44"/>
    <w:rsid w:val="001A0927"/>
    <w:rsid w:val="001A2B2D"/>
    <w:rsid w:val="001A2BC8"/>
    <w:rsid w:val="001A69FB"/>
    <w:rsid w:val="001A6AF1"/>
    <w:rsid w:val="001A702C"/>
    <w:rsid w:val="001B0D97"/>
    <w:rsid w:val="001B27AD"/>
    <w:rsid w:val="001B2B55"/>
    <w:rsid w:val="001B44AD"/>
    <w:rsid w:val="001B5FE0"/>
    <w:rsid w:val="001B68BB"/>
    <w:rsid w:val="001C12E5"/>
    <w:rsid w:val="001C145F"/>
    <w:rsid w:val="001C1DA1"/>
    <w:rsid w:val="001C1F87"/>
    <w:rsid w:val="001C431A"/>
    <w:rsid w:val="001C6372"/>
    <w:rsid w:val="001C7927"/>
    <w:rsid w:val="001D2CA9"/>
    <w:rsid w:val="001D42AE"/>
    <w:rsid w:val="001D446A"/>
    <w:rsid w:val="001D4597"/>
    <w:rsid w:val="001D6CCC"/>
    <w:rsid w:val="001D7385"/>
    <w:rsid w:val="001D7C27"/>
    <w:rsid w:val="001E1762"/>
    <w:rsid w:val="001E290A"/>
    <w:rsid w:val="001E2F25"/>
    <w:rsid w:val="001E32C9"/>
    <w:rsid w:val="001E4EF7"/>
    <w:rsid w:val="001E5B06"/>
    <w:rsid w:val="001E5CFB"/>
    <w:rsid w:val="001E634E"/>
    <w:rsid w:val="001E78D0"/>
    <w:rsid w:val="001E7C34"/>
    <w:rsid w:val="001F192C"/>
    <w:rsid w:val="001F20B2"/>
    <w:rsid w:val="001F2B33"/>
    <w:rsid w:val="001F2EB4"/>
    <w:rsid w:val="001F3F83"/>
    <w:rsid w:val="001F50A6"/>
    <w:rsid w:val="001F533B"/>
    <w:rsid w:val="001F5DE8"/>
    <w:rsid w:val="001F65CB"/>
    <w:rsid w:val="001F713F"/>
    <w:rsid w:val="001F74DC"/>
    <w:rsid w:val="00201EEC"/>
    <w:rsid w:val="002025E9"/>
    <w:rsid w:val="00204678"/>
    <w:rsid w:val="00204813"/>
    <w:rsid w:val="0020711E"/>
    <w:rsid w:val="0021016D"/>
    <w:rsid w:val="00210880"/>
    <w:rsid w:val="00210C31"/>
    <w:rsid w:val="00212E2A"/>
    <w:rsid w:val="00214ECA"/>
    <w:rsid w:val="002200DD"/>
    <w:rsid w:val="002208DC"/>
    <w:rsid w:val="00222B8F"/>
    <w:rsid w:val="002257B9"/>
    <w:rsid w:val="00225920"/>
    <w:rsid w:val="00230677"/>
    <w:rsid w:val="0023137D"/>
    <w:rsid w:val="002336B2"/>
    <w:rsid w:val="0023441F"/>
    <w:rsid w:val="0023458A"/>
    <w:rsid w:val="002356C8"/>
    <w:rsid w:val="002372CE"/>
    <w:rsid w:val="00240B2F"/>
    <w:rsid w:val="00240C44"/>
    <w:rsid w:val="00240C8F"/>
    <w:rsid w:val="00241F32"/>
    <w:rsid w:val="00242A7F"/>
    <w:rsid w:val="00246D6F"/>
    <w:rsid w:val="00247B89"/>
    <w:rsid w:val="002500C3"/>
    <w:rsid w:val="00251455"/>
    <w:rsid w:val="00251717"/>
    <w:rsid w:val="00255370"/>
    <w:rsid w:val="00255F1A"/>
    <w:rsid w:val="00256802"/>
    <w:rsid w:val="0026022D"/>
    <w:rsid w:val="002619A6"/>
    <w:rsid w:val="00262966"/>
    <w:rsid w:val="00266710"/>
    <w:rsid w:val="00271051"/>
    <w:rsid w:val="00273AA4"/>
    <w:rsid w:val="00274370"/>
    <w:rsid w:val="00276E2B"/>
    <w:rsid w:val="0027734B"/>
    <w:rsid w:val="00277807"/>
    <w:rsid w:val="0028010B"/>
    <w:rsid w:val="002805B8"/>
    <w:rsid w:val="00280954"/>
    <w:rsid w:val="00283C39"/>
    <w:rsid w:val="002851FF"/>
    <w:rsid w:val="00291C5F"/>
    <w:rsid w:val="00292D0B"/>
    <w:rsid w:val="00293592"/>
    <w:rsid w:val="002938CE"/>
    <w:rsid w:val="00293C59"/>
    <w:rsid w:val="0029614B"/>
    <w:rsid w:val="002A05D8"/>
    <w:rsid w:val="002A2066"/>
    <w:rsid w:val="002A25EE"/>
    <w:rsid w:val="002A2DF1"/>
    <w:rsid w:val="002A339B"/>
    <w:rsid w:val="002A3409"/>
    <w:rsid w:val="002A3A61"/>
    <w:rsid w:val="002A71E2"/>
    <w:rsid w:val="002B54D1"/>
    <w:rsid w:val="002B6640"/>
    <w:rsid w:val="002B6BD6"/>
    <w:rsid w:val="002B729E"/>
    <w:rsid w:val="002C3705"/>
    <w:rsid w:val="002C4A08"/>
    <w:rsid w:val="002C6D10"/>
    <w:rsid w:val="002C7033"/>
    <w:rsid w:val="002C7640"/>
    <w:rsid w:val="002C7831"/>
    <w:rsid w:val="002D06FF"/>
    <w:rsid w:val="002D0921"/>
    <w:rsid w:val="002D214B"/>
    <w:rsid w:val="002D2CC5"/>
    <w:rsid w:val="002D4DC3"/>
    <w:rsid w:val="002D5583"/>
    <w:rsid w:val="002D61AC"/>
    <w:rsid w:val="002D67AF"/>
    <w:rsid w:val="002D7A10"/>
    <w:rsid w:val="002D7AC3"/>
    <w:rsid w:val="002E1A76"/>
    <w:rsid w:val="002E3229"/>
    <w:rsid w:val="002E4720"/>
    <w:rsid w:val="002E48E7"/>
    <w:rsid w:val="002E69E4"/>
    <w:rsid w:val="002E7EA0"/>
    <w:rsid w:val="002F0084"/>
    <w:rsid w:val="002F03F5"/>
    <w:rsid w:val="002F15B7"/>
    <w:rsid w:val="002F1829"/>
    <w:rsid w:val="002F19A6"/>
    <w:rsid w:val="002F37B1"/>
    <w:rsid w:val="002F66E3"/>
    <w:rsid w:val="002F7546"/>
    <w:rsid w:val="00302B4E"/>
    <w:rsid w:val="00303452"/>
    <w:rsid w:val="00305957"/>
    <w:rsid w:val="00307CD1"/>
    <w:rsid w:val="00310852"/>
    <w:rsid w:val="00310D8E"/>
    <w:rsid w:val="00311C44"/>
    <w:rsid w:val="00311E9C"/>
    <w:rsid w:val="003121E3"/>
    <w:rsid w:val="003142EA"/>
    <w:rsid w:val="00314F41"/>
    <w:rsid w:val="00316E6F"/>
    <w:rsid w:val="0032077B"/>
    <w:rsid w:val="0032091A"/>
    <w:rsid w:val="0032099C"/>
    <w:rsid w:val="00320D46"/>
    <w:rsid w:val="0032294F"/>
    <w:rsid w:val="00326E06"/>
    <w:rsid w:val="003278A0"/>
    <w:rsid w:val="0033045F"/>
    <w:rsid w:val="003324F7"/>
    <w:rsid w:val="0033289B"/>
    <w:rsid w:val="00334D92"/>
    <w:rsid w:val="00334F88"/>
    <w:rsid w:val="00335579"/>
    <w:rsid w:val="00335860"/>
    <w:rsid w:val="0033660D"/>
    <w:rsid w:val="00341AD9"/>
    <w:rsid w:val="00342C46"/>
    <w:rsid w:val="003439C8"/>
    <w:rsid w:val="00343B68"/>
    <w:rsid w:val="003458B2"/>
    <w:rsid w:val="00345944"/>
    <w:rsid w:val="00346ACD"/>
    <w:rsid w:val="00352762"/>
    <w:rsid w:val="003548AA"/>
    <w:rsid w:val="00355F7C"/>
    <w:rsid w:val="00356D19"/>
    <w:rsid w:val="00357313"/>
    <w:rsid w:val="003603B0"/>
    <w:rsid w:val="0036291A"/>
    <w:rsid w:val="003652A1"/>
    <w:rsid w:val="00366F2C"/>
    <w:rsid w:val="003707DB"/>
    <w:rsid w:val="003718D4"/>
    <w:rsid w:val="00373E0B"/>
    <w:rsid w:val="00374D68"/>
    <w:rsid w:val="00375121"/>
    <w:rsid w:val="00375AEC"/>
    <w:rsid w:val="00375DC1"/>
    <w:rsid w:val="00376236"/>
    <w:rsid w:val="0037652C"/>
    <w:rsid w:val="00377EDA"/>
    <w:rsid w:val="003800E4"/>
    <w:rsid w:val="00380642"/>
    <w:rsid w:val="00380A06"/>
    <w:rsid w:val="00380FF5"/>
    <w:rsid w:val="00381FC2"/>
    <w:rsid w:val="00382B8E"/>
    <w:rsid w:val="00383E5E"/>
    <w:rsid w:val="00383EFE"/>
    <w:rsid w:val="00384D45"/>
    <w:rsid w:val="003854B2"/>
    <w:rsid w:val="003878E0"/>
    <w:rsid w:val="00387D4D"/>
    <w:rsid w:val="003902FC"/>
    <w:rsid w:val="0039170D"/>
    <w:rsid w:val="00392D4B"/>
    <w:rsid w:val="00393068"/>
    <w:rsid w:val="00394469"/>
    <w:rsid w:val="00394E70"/>
    <w:rsid w:val="00397BB3"/>
    <w:rsid w:val="003A16F4"/>
    <w:rsid w:val="003A17C6"/>
    <w:rsid w:val="003A27DF"/>
    <w:rsid w:val="003A2E5B"/>
    <w:rsid w:val="003A304F"/>
    <w:rsid w:val="003A3342"/>
    <w:rsid w:val="003A5204"/>
    <w:rsid w:val="003A5A65"/>
    <w:rsid w:val="003A6174"/>
    <w:rsid w:val="003B094F"/>
    <w:rsid w:val="003B1CA4"/>
    <w:rsid w:val="003B1D33"/>
    <w:rsid w:val="003B226B"/>
    <w:rsid w:val="003B29E6"/>
    <w:rsid w:val="003B352D"/>
    <w:rsid w:val="003B3A82"/>
    <w:rsid w:val="003B3BCC"/>
    <w:rsid w:val="003B3EE7"/>
    <w:rsid w:val="003B5E19"/>
    <w:rsid w:val="003B71BD"/>
    <w:rsid w:val="003B7FE3"/>
    <w:rsid w:val="003C2883"/>
    <w:rsid w:val="003C38F6"/>
    <w:rsid w:val="003C3FAA"/>
    <w:rsid w:val="003C44F9"/>
    <w:rsid w:val="003C4B75"/>
    <w:rsid w:val="003C4C6F"/>
    <w:rsid w:val="003C513B"/>
    <w:rsid w:val="003C64BC"/>
    <w:rsid w:val="003C6AF1"/>
    <w:rsid w:val="003D28CD"/>
    <w:rsid w:val="003D3954"/>
    <w:rsid w:val="003D490D"/>
    <w:rsid w:val="003D56D4"/>
    <w:rsid w:val="003D7807"/>
    <w:rsid w:val="003D7962"/>
    <w:rsid w:val="003E08DA"/>
    <w:rsid w:val="003E3578"/>
    <w:rsid w:val="003E3704"/>
    <w:rsid w:val="003E3BDF"/>
    <w:rsid w:val="003E4A10"/>
    <w:rsid w:val="003E4B68"/>
    <w:rsid w:val="003E669E"/>
    <w:rsid w:val="003F10DC"/>
    <w:rsid w:val="003F37BA"/>
    <w:rsid w:val="003F4A0B"/>
    <w:rsid w:val="003F7DD5"/>
    <w:rsid w:val="003F7E75"/>
    <w:rsid w:val="00400DBE"/>
    <w:rsid w:val="004019E3"/>
    <w:rsid w:val="004030AB"/>
    <w:rsid w:val="004032AC"/>
    <w:rsid w:val="004037B6"/>
    <w:rsid w:val="00404059"/>
    <w:rsid w:val="00412282"/>
    <w:rsid w:val="0041312C"/>
    <w:rsid w:val="00413C2F"/>
    <w:rsid w:val="0041400F"/>
    <w:rsid w:val="00414300"/>
    <w:rsid w:val="004143C9"/>
    <w:rsid w:val="00414EC2"/>
    <w:rsid w:val="00415923"/>
    <w:rsid w:val="004168DC"/>
    <w:rsid w:val="00416CB1"/>
    <w:rsid w:val="00417DCA"/>
    <w:rsid w:val="00417E6A"/>
    <w:rsid w:val="0042044D"/>
    <w:rsid w:val="00422130"/>
    <w:rsid w:val="00422E29"/>
    <w:rsid w:val="00423B72"/>
    <w:rsid w:val="00423E59"/>
    <w:rsid w:val="00424B7D"/>
    <w:rsid w:val="00424F2D"/>
    <w:rsid w:val="004256BA"/>
    <w:rsid w:val="00425938"/>
    <w:rsid w:val="00426E2F"/>
    <w:rsid w:val="00426ED6"/>
    <w:rsid w:val="00430B5E"/>
    <w:rsid w:val="00430D5E"/>
    <w:rsid w:val="00431999"/>
    <w:rsid w:val="004323C1"/>
    <w:rsid w:val="0043351C"/>
    <w:rsid w:val="00433D80"/>
    <w:rsid w:val="00434371"/>
    <w:rsid w:val="00435682"/>
    <w:rsid w:val="00436F15"/>
    <w:rsid w:val="00437C4B"/>
    <w:rsid w:val="00440A3C"/>
    <w:rsid w:val="00440BC3"/>
    <w:rsid w:val="00444177"/>
    <w:rsid w:val="00444C92"/>
    <w:rsid w:val="00445995"/>
    <w:rsid w:val="00446960"/>
    <w:rsid w:val="004469A8"/>
    <w:rsid w:val="004471FF"/>
    <w:rsid w:val="004546C0"/>
    <w:rsid w:val="00454D79"/>
    <w:rsid w:val="00454FBE"/>
    <w:rsid w:val="00454FE2"/>
    <w:rsid w:val="004555E6"/>
    <w:rsid w:val="00455643"/>
    <w:rsid w:val="00455EE8"/>
    <w:rsid w:val="00456081"/>
    <w:rsid w:val="00457B0C"/>
    <w:rsid w:val="00457D23"/>
    <w:rsid w:val="00460620"/>
    <w:rsid w:val="004609CB"/>
    <w:rsid w:val="00460A37"/>
    <w:rsid w:val="00462026"/>
    <w:rsid w:val="004635B4"/>
    <w:rsid w:val="00464F5D"/>
    <w:rsid w:val="004650C6"/>
    <w:rsid w:val="0047115A"/>
    <w:rsid w:val="00474611"/>
    <w:rsid w:val="00474FBD"/>
    <w:rsid w:val="00483D4E"/>
    <w:rsid w:val="0048669B"/>
    <w:rsid w:val="00486E69"/>
    <w:rsid w:val="004908EB"/>
    <w:rsid w:val="00491976"/>
    <w:rsid w:val="00491D7D"/>
    <w:rsid w:val="004A15F4"/>
    <w:rsid w:val="004A1E2E"/>
    <w:rsid w:val="004A44AE"/>
    <w:rsid w:val="004A6BAB"/>
    <w:rsid w:val="004B0134"/>
    <w:rsid w:val="004B0617"/>
    <w:rsid w:val="004B300D"/>
    <w:rsid w:val="004B48F4"/>
    <w:rsid w:val="004B666B"/>
    <w:rsid w:val="004B77D2"/>
    <w:rsid w:val="004C06C3"/>
    <w:rsid w:val="004C0EC7"/>
    <w:rsid w:val="004C0FB4"/>
    <w:rsid w:val="004C227A"/>
    <w:rsid w:val="004C33EB"/>
    <w:rsid w:val="004C3F45"/>
    <w:rsid w:val="004C4792"/>
    <w:rsid w:val="004D19C3"/>
    <w:rsid w:val="004D223E"/>
    <w:rsid w:val="004D4CA3"/>
    <w:rsid w:val="004D5B83"/>
    <w:rsid w:val="004D5C70"/>
    <w:rsid w:val="004D5F29"/>
    <w:rsid w:val="004D735C"/>
    <w:rsid w:val="004D75BB"/>
    <w:rsid w:val="004E0390"/>
    <w:rsid w:val="004E0888"/>
    <w:rsid w:val="004E23C8"/>
    <w:rsid w:val="004E2A9C"/>
    <w:rsid w:val="004E3405"/>
    <w:rsid w:val="004E3C2D"/>
    <w:rsid w:val="004E40EF"/>
    <w:rsid w:val="004E73F7"/>
    <w:rsid w:val="004E784E"/>
    <w:rsid w:val="004F0EDD"/>
    <w:rsid w:val="004F2DEB"/>
    <w:rsid w:val="004F441A"/>
    <w:rsid w:val="004F5482"/>
    <w:rsid w:val="004F59BB"/>
    <w:rsid w:val="004F5B00"/>
    <w:rsid w:val="004F5C28"/>
    <w:rsid w:val="004F76A0"/>
    <w:rsid w:val="005000F9"/>
    <w:rsid w:val="005001E9"/>
    <w:rsid w:val="0050064C"/>
    <w:rsid w:val="00500E7F"/>
    <w:rsid w:val="00503859"/>
    <w:rsid w:val="00504C3F"/>
    <w:rsid w:val="0050623B"/>
    <w:rsid w:val="00506B17"/>
    <w:rsid w:val="00511B9F"/>
    <w:rsid w:val="0051360C"/>
    <w:rsid w:val="005146B7"/>
    <w:rsid w:val="00514E7B"/>
    <w:rsid w:val="0051580D"/>
    <w:rsid w:val="005158F7"/>
    <w:rsid w:val="00520083"/>
    <w:rsid w:val="0052179D"/>
    <w:rsid w:val="0052186A"/>
    <w:rsid w:val="00523E34"/>
    <w:rsid w:val="00523EF7"/>
    <w:rsid w:val="00524E50"/>
    <w:rsid w:val="00525E52"/>
    <w:rsid w:val="00527905"/>
    <w:rsid w:val="00527C86"/>
    <w:rsid w:val="005335B1"/>
    <w:rsid w:val="00534820"/>
    <w:rsid w:val="00534FD1"/>
    <w:rsid w:val="00536814"/>
    <w:rsid w:val="00537FD8"/>
    <w:rsid w:val="00540082"/>
    <w:rsid w:val="00540799"/>
    <w:rsid w:val="005416E4"/>
    <w:rsid w:val="00541B6B"/>
    <w:rsid w:val="005447E3"/>
    <w:rsid w:val="005448C2"/>
    <w:rsid w:val="0054528A"/>
    <w:rsid w:val="00545605"/>
    <w:rsid w:val="005456A9"/>
    <w:rsid w:val="00545ACC"/>
    <w:rsid w:val="00546724"/>
    <w:rsid w:val="00546C9F"/>
    <w:rsid w:val="00550935"/>
    <w:rsid w:val="00551BAC"/>
    <w:rsid w:val="0055232A"/>
    <w:rsid w:val="00552F5F"/>
    <w:rsid w:val="005548BC"/>
    <w:rsid w:val="00555D52"/>
    <w:rsid w:val="005566D7"/>
    <w:rsid w:val="0055678E"/>
    <w:rsid w:val="005601E4"/>
    <w:rsid w:val="00561B1B"/>
    <w:rsid w:val="00561F7F"/>
    <w:rsid w:val="005634C8"/>
    <w:rsid w:val="00564584"/>
    <w:rsid w:val="005657F9"/>
    <w:rsid w:val="00565F0C"/>
    <w:rsid w:val="00566B35"/>
    <w:rsid w:val="0057205B"/>
    <w:rsid w:val="005732CC"/>
    <w:rsid w:val="005747FB"/>
    <w:rsid w:val="0057536E"/>
    <w:rsid w:val="00575422"/>
    <w:rsid w:val="005758D3"/>
    <w:rsid w:val="0057648E"/>
    <w:rsid w:val="00580C95"/>
    <w:rsid w:val="00581699"/>
    <w:rsid w:val="00582678"/>
    <w:rsid w:val="00582E26"/>
    <w:rsid w:val="0058376F"/>
    <w:rsid w:val="00583E50"/>
    <w:rsid w:val="00584072"/>
    <w:rsid w:val="005869A0"/>
    <w:rsid w:val="00586A85"/>
    <w:rsid w:val="005870B6"/>
    <w:rsid w:val="00587F8B"/>
    <w:rsid w:val="00591584"/>
    <w:rsid w:val="00592893"/>
    <w:rsid w:val="00593342"/>
    <w:rsid w:val="005938C6"/>
    <w:rsid w:val="005951F9"/>
    <w:rsid w:val="005963B3"/>
    <w:rsid w:val="005979F5"/>
    <w:rsid w:val="00597D52"/>
    <w:rsid w:val="005A0431"/>
    <w:rsid w:val="005A0C29"/>
    <w:rsid w:val="005A0F44"/>
    <w:rsid w:val="005A102B"/>
    <w:rsid w:val="005A1A3C"/>
    <w:rsid w:val="005A4A54"/>
    <w:rsid w:val="005A6AE8"/>
    <w:rsid w:val="005B0059"/>
    <w:rsid w:val="005B1EFD"/>
    <w:rsid w:val="005B3752"/>
    <w:rsid w:val="005B4337"/>
    <w:rsid w:val="005B61C2"/>
    <w:rsid w:val="005B6311"/>
    <w:rsid w:val="005B73A4"/>
    <w:rsid w:val="005C00B2"/>
    <w:rsid w:val="005C16DE"/>
    <w:rsid w:val="005C3F04"/>
    <w:rsid w:val="005C413F"/>
    <w:rsid w:val="005C462C"/>
    <w:rsid w:val="005C53BB"/>
    <w:rsid w:val="005C5B17"/>
    <w:rsid w:val="005C7F72"/>
    <w:rsid w:val="005D002F"/>
    <w:rsid w:val="005D1B20"/>
    <w:rsid w:val="005D26B7"/>
    <w:rsid w:val="005D296F"/>
    <w:rsid w:val="005D3206"/>
    <w:rsid w:val="005D4547"/>
    <w:rsid w:val="005D4AA1"/>
    <w:rsid w:val="005D6B97"/>
    <w:rsid w:val="005D701E"/>
    <w:rsid w:val="005D7DE8"/>
    <w:rsid w:val="005E0743"/>
    <w:rsid w:val="005E0903"/>
    <w:rsid w:val="005E32D0"/>
    <w:rsid w:val="005E3DF0"/>
    <w:rsid w:val="005E5058"/>
    <w:rsid w:val="005E5F79"/>
    <w:rsid w:val="005E6055"/>
    <w:rsid w:val="005F24DA"/>
    <w:rsid w:val="005F292C"/>
    <w:rsid w:val="005F2F6D"/>
    <w:rsid w:val="005F4806"/>
    <w:rsid w:val="005F4D8F"/>
    <w:rsid w:val="005F5762"/>
    <w:rsid w:val="005F65FD"/>
    <w:rsid w:val="005F736D"/>
    <w:rsid w:val="00600393"/>
    <w:rsid w:val="006003F4"/>
    <w:rsid w:val="0060146C"/>
    <w:rsid w:val="0060207D"/>
    <w:rsid w:val="006027F7"/>
    <w:rsid w:val="006039F2"/>
    <w:rsid w:val="00604901"/>
    <w:rsid w:val="00605672"/>
    <w:rsid w:val="006061B0"/>
    <w:rsid w:val="00606A94"/>
    <w:rsid w:val="0060732E"/>
    <w:rsid w:val="006076A9"/>
    <w:rsid w:val="006079C7"/>
    <w:rsid w:val="0061054A"/>
    <w:rsid w:val="0061055B"/>
    <w:rsid w:val="00611553"/>
    <w:rsid w:val="00611A1A"/>
    <w:rsid w:val="00612270"/>
    <w:rsid w:val="00612E86"/>
    <w:rsid w:val="0061378D"/>
    <w:rsid w:val="006204F0"/>
    <w:rsid w:val="00620B76"/>
    <w:rsid w:val="0062197A"/>
    <w:rsid w:val="00621D79"/>
    <w:rsid w:val="006233B6"/>
    <w:rsid w:val="0062374D"/>
    <w:rsid w:val="0062378E"/>
    <w:rsid w:val="006241C0"/>
    <w:rsid w:val="00624BE1"/>
    <w:rsid w:val="0062591B"/>
    <w:rsid w:val="00631FEA"/>
    <w:rsid w:val="006324A0"/>
    <w:rsid w:val="00632901"/>
    <w:rsid w:val="00633D64"/>
    <w:rsid w:val="00634265"/>
    <w:rsid w:val="00635321"/>
    <w:rsid w:val="00635E49"/>
    <w:rsid w:val="00636640"/>
    <w:rsid w:val="00637340"/>
    <w:rsid w:val="00637A60"/>
    <w:rsid w:val="0064274C"/>
    <w:rsid w:val="00642FB3"/>
    <w:rsid w:val="00643046"/>
    <w:rsid w:val="0064579F"/>
    <w:rsid w:val="0064590E"/>
    <w:rsid w:val="00650BC1"/>
    <w:rsid w:val="0065315F"/>
    <w:rsid w:val="006544EA"/>
    <w:rsid w:val="0065735F"/>
    <w:rsid w:val="006636E9"/>
    <w:rsid w:val="006638A9"/>
    <w:rsid w:val="0066569F"/>
    <w:rsid w:val="006701B4"/>
    <w:rsid w:val="0067198C"/>
    <w:rsid w:val="0067386E"/>
    <w:rsid w:val="00674ADD"/>
    <w:rsid w:val="00675511"/>
    <w:rsid w:val="006824DD"/>
    <w:rsid w:val="00682BF4"/>
    <w:rsid w:val="006838EF"/>
    <w:rsid w:val="00685A27"/>
    <w:rsid w:val="00686160"/>
    <w:rsid w:val="0068708A"/>
    <w:rsid w:val="00687AC1"/>
    <w:rsid w:val="0069004B"/>
    <w:rsid w:val="00690721"/>
    <w:rsid w:val="00690E3F"/>
    <w:rsid w:val="00691F2C"/>
    <w:rsid w:val="006948BA"/>
    <w:rsid w:val="00694C94"/>
    <w:rsid w:val="00697231"/>
    <w:rsid w:val="006A0788"/>
    <w:rsid w:val="006A085F"/>
    <w:rsid w:val="006A0B64"/>
    <w:rsid w:val="006A3403"/>
    <w:rsid w:val="006A3ACF"/>
    <w:rsid w:val="006A579D"/>
    <w:rsid w:val="006A5F70"/>
    <w:rsid w:val="006A7104"/>
    <w:rsid w:val="006A733C"/>
    <w:rsid w:val="006B08EB"/>
    <w:rsid w:val="006B1610"/>
    <w:rsid w:val="006B1A9C"/>
    <w:rsid w:val="006B481F"/>
    <w:rsid w:val="006B620B"/>
    <w:rsid w:val="006B79DA"/>
    <w:rsid w:val="006C0B5E"/>
    <w:rsid w:val="006C31F8"/>
    <w:rsid w:val="006C499C"/>
    <w:rsid w:val="006C6F84"/>
    <w:rsid w:val="006D1685"/>
    <w:rsid w:val="006D174B"/>
    <w:rsid w:val="006D1C84"/>
    <w:rsid w:val="006D3278"/>
    <w:rsid w:val="006D3A1F"/>
    <w:rsid w:val="006D5263"/>
    <w:rsid w:val="006D6280"/>
    <w:rsid w:val="006D71CE"/>
    <w:rsid w:val="006E0556"/>
    <w:rsid w:val="006E4375"/>
    <w:rsid w:val="006E6104"/>
    <w:rsid w:val="006E62FE"/>
    <w:rsid w:val="006E6D72"/>
    <w:rsid w:val="006F011D"/>
    <w:rsid w:val="006F067D"/>
    <w:rsid w:val="006F15FD"/>
    <w:rsid w:val="006F2F0F"/>
    <w:rsid w:val="006F38DB"/>
    <w:rsid w:val="006F3C84"/>
    <w:rsid w:val="006F4164"/>
    <w:rsid w:val="006F638E"/>
    <w:rsid w:val="006F6B54"/>
    <w:rsid w:val="006F7749"/>
    <w:rsid w:val="00700B2C"/>
    <w:rsid w:val="00701715"/>
    <w:rsid w:val="00702CE3"/>
    <w:rsid w:val="00703024"/>
    <w:rsid w:val="00703A6D"/>
    <w:rsid w:val="00703B7F"/>
    <w:rsid w:val="00703E42"/>
    <w:rsid w:val="00704686"/>
    <w:rsid w:val="007064FA"/>
    <w:rsid w:val="00706E23"/>
    <w:rsid w:val="007078BE"/>
    <w:rsid w:val="007115F8"/>
    <w:rsid w:val="0071324B"/>
    <w:rsid w:val="00713F65"/>
    <w:rsid w:val="00714BCF"/>
    <w:rsid w:val="00715AAE"/>
    <w:rsid w:val="00716286"/>
    <w:rsid w:val="00716A25"/>
    <w:rsid w:val="00716D72"/>
    <w:rsid w:val="00720BCE"/>
    <w:rsid w:val="00720C74"/>
    <w:rsid w:val="00724D6A"/>
    <w:rsid w:val="00725569"/>
    <w:rsid w:val="007262C9"/>
    <w:rsid w:val="007315F3"/>
    <w:rsid w:val="00731ECA"/>
    <w:rsid w:val="007324EB"/>
    <w:rsid w:val="00734923"/>
    <w:rsid w:val="007368AD"/>
    <w:rsid w:val="007404AC"/>
    <w:rsid w:val="00742C52"/>
    <w:rsid w:val="007432A3"/>
    <w:rsid w:val="00743A3B"/>
    <w:rsid w:val="0074446C"/>
    <w:rsid w:val="00745533"/>
    <w:rsid w:val="00745601"/>
    <w:rsid w:val="00747D57"/>
    <w:rsid w:val="00750B18"/>
    <w:rsid w:val="0075162C"/>
    <w:rsid w:val="00751D2A"/>
    <w:rsid w:val="007525AD"/>
    <w:rsid w:val="0075379B"/>
    <w:rsid w:val="0075483B"/>
    <w:rsid w:val="00754B0F"/>
    <w:rsid w:val="00755095"/>
    <w:rsid w:val="00757B39"/>
    <w:rsid w:val="007624BC"/>
    <w:rsid w:val="00763421"/>
    <w:rsid w:val="00766A9A"/>
    <w:rsid w:val="0077263B"/>
    <w:rsid w:val="00773BCC"/>
    <w:rsid w:val="007740F6"/>
    <w:rsid w:val="00774F50"/>
    <w:rsid w:val="00775791"/>
    <w:rsid w:val="007767BF"/>
    <w:rsid w:val="007769F5"/>
    <w:rsid w:val="00776C0E"/>
    <w:rsid w:val="007811B4"/>
    <w:rsid w:val="00782406"/>
    <w:rsid w:val="007824EF"/>
    <w:rsid w:val="0078271F"/>
    <w:rsid w:val="00782AD4"/>
    <w:rsid w:val="00783945"/>
    <w:rsid w:val="00784B2C"/>
    <w:rsid w:val="00784EAF"/>
    <w:rsid w:val="007860EF"/>
    <w:rsid w:val="00787D92"/>
    <w:rsid w:val="00790107"/>
    <w:rsid w:val="00790E3B"/>
    <w:rsid w:val="007954E7"/>
    <w:rsid w:val="00795F38"/>
    <w:rsid w:val="00796A07"/>
    <w:rsid w:val="007977FD"/>
    <w:rsid w:val="00797DF2"/>
    <w:rsid w:val="007A3905"/>
    <w:rsid w:val="007A4FDB"/>
    <w:rsid w:val="007A5465"/>
    <w:rsid w:val="007A5E7D"/>
    <w:rsid w:val="007A646C"/>
    <w:rsid w:val="007A6B26"/>
    <w:rsid w:val="007A6B28"/>
    <w:rsid w:val="007A7B63"/>
    <w:rsid w:val="007B0DA0"/>
    <w:rsid w:val="007B1F8E"/>
    <w:rsid w:val="007B2239"/>
    <w:rsid w:val="007B2322"/>
    <w:rsid w:val="007B288A"/>
    <w:rsid w:val="007B4BA3"/>
    <w:rsid w:val="007B519C"/>
    <w:rsid w:val="007B6C7F"/>
    <w:rsid w:val="007B6FC1"/>
    <w:rsid w:val="007B711E"/>
    <w:rsid w:val="007C002D"/>
    <w:rsid w:val="007C1615"/>
    <w:rsid w:val="007C19D3"/>
    <w:rsid w:val="007C1DE2"/>
    <w:rsid w:val="007C1E8A"/>
    <w:rsid w:val="007C2655"/>
    <w:rsid w:val="007C2777"/>
    <w:rsid w:val="007C6702"/>
    <w:rsid w:val="007C7EAE"/>
    <w:rsid w:val="007D0F6F"/>
    <w:rsid w:val="007D1088"/>
    <w:rsid w:val="007D1BC3"/>
    <w:rsid w:val="007D3EEA"/>
    <w:rsid w:val="007D4C2A"/>
    <w:rsid w:val="007D5A8C"/>
    <w:rsid w:val="007D5DEB"/>
    <w:rsid w:val="007E36D2"/>
    <w:rsid w:val="007E4253"/>
    <w:rsid w:val="007E4E36"/>
    <w:rsid w:val="007E5A1D"/>
    <w:rsid w:val="007E61C7"/>
    <w:rsid w:val="007E6C27"/>
    <w:rsid w:val="007E751B"/>
    <w:rsid w:val="007E78EB"/>
    <w:rsid w:val="007F023B"/>
    <w:rsid w:val="007F09E1"/>
    <w:rsid w:val="007F10E3"/>
    <w:rsid w:val="007F2C0E"/>
    <w:rsid w:val="007F35CF"/>
    <w:rsid w:val="007F3F48"/>
    <w:rsid w:val="007F4921"/>
    <w:rsid w:val="007F4E38"/>
    <w:rsid w:val="007F7185"/>
    <w:rsid w:val="00802F85"/>
    <w:rsid w:val="00803475"/>
    <w:rsid w:val="00803969"/>
    <w:rsid w:val="00804AEB"/>
    <w:rsid w:val="008057D8"/>
    <w:rsid w:val="008067A6"/>
    <w:rsid w:val="008100E9"/>
    <w:rsid w:val="008104A9"/>
    <w:rsid w:val="008112F4"/>
    <w:rsid w:val="0081139E"/>
    <w:rsid w:val="0081146E"/>
    <w:rsid w:val="00811717"/>
    <w:rsid w:val="008126DE"/>
    <w:rsid w:val="008147C2"/>
    <w:rsid w:val="0081765E"/>
    <w:rsid w:val="00822733"/>
    <w:rsid w:val="00823F1A"/>
    <w:rsid w:val="008241C1"/>
    <w:rsid w:val="00824CC8"/>
    <w:rsid w:val="00824F8D"/>
    <w:rsid w:val="008252DC"/>
    <w:rsid w:val="008270B6"/>
    <w:rsid w:val="00827B5D"/>
    <w:rsid w:val="00827FC6"/>
    <w:rsid w:val="008304E2"/>
    <w:rsid w:val="0083159F"/>
    <w:rsid w:val="00833BBD"/>
    <w:rsid w:val="00836D17"/>
    <w:rsid w:val="00836E9F"/>
    <w:rsid w:val="0084051D"/>
    <w:rsid w:val="00840A55"/>
    <w:rsid w:val="0084126D"/>
    <w:rsid w:val="00841E25"/>
    <w:rsid w:val="00842138"/>
    <w:rsid w:val="00842324"/>
    <w:rsid w:val="00842A8C"/>
    <w:rsid w:val="008434E4"/>
    <w:rsid w:val="008464CD"/>
    <w:rsid w:val="008467D9"/>
    <w:rsid w:val="00851378"/>
    <w:rsid w:val="008515EE"/>
    <w:rsid w:val="00851965"/>
    <w:rsid w:val="0085248E"/>
    <w:rsid w:val="00853798"/>
    <w:rsid w:val="00854C0A"/>
    <w:rsid w:val="00855860"/>
    <w:rsid w:val="00856009"/>
    <w:rsid w:val="008610F3"/>
    <w:rsid w:val="00861C4E"/>
    <w:rsid w:val="008632F4"/>
    <w:rsid w:val="00863CA4"/>
    <w:rsid w:val="00866D21"/>
    <w:rsid w:val="00867688"/>
    <w:rsid w:val="008715A3"/>
    <w:rsid w:val="0087194A"/>
    <w:rsid w:val="00871F88"/>
    <w:rsid w:val="0087259E"/>
    <w:rsid w:val="0087289F"/>
    <w:rsid w:val="00872D85"/>
    <w:rsid w:val="00872E15"/>
    <w:rsid w:val="00874F27"/>
    <w:rsid w:val="00875871"/>
    <w:rsid w:val="00876111"/>
    <w:rsid w:val="00876EF4"/>
    <w:rsid w:val="00877C73"/>
    <w:rsid w:val="00880888"/>
    <w:rsid w:val="0088187F"/>
    <w:rsid w:val="00881F44"/>
    <w:rsid w:val="008822CE"/>
    <w:rsid w:val="00882559"/>
    <w:rsid w:val="008832A4"/>
    <w:rsid w:val="00883DDA"/>
    <w:rsid w:val="00884700"/>
    <w:rsid w:val="00884725"/>
    <w:rsid w:val="008851D3"/>
    <w:rsid w:val="00885BC3"/>
    <w:rsid w:val="008860F2"/>
    <w:rsid w:val="00890A49"/>
    <w:rsid w:val="00890E69"/>
    <w:rsid w:val="008914BA"/>
    <w:rsid w:val="008916E4"/>
    <w:rsid w:val="008918B7"/>
    <w:rsid w:val="00891FF9"/>
    <w:rsid w:val="0089287B"/>
    <w:rsid w:val="00892EB6"/>
    <w:rsid w:val="00893367"/>
    <w:rsid w:val="00893D07"/>
    <w:rsid w:val="00895897"/>
    <w:rsid w:val="008969F7"/>
    <w:rsid w:val="008975F8"/>
    <w:rsid w:val="008A03DA"/>
    <w:rsid w:val="008A0562"/>
    <w:rsid w:val="008A1EB1"/>
    <w:rsid w:val="008A345B"/>
    <w:rsid w:val="008A3699"/>
    <w:rsid w:val="008A41BB"/>
    <w:rsid w:val="008A4242"/>
    <w:rsid w:val="008A468E"/>
    <w:rsid w:val="008A493E"/>
    <w:rsid w:val="008A4A47"/>
    <w:rsid w:val="008A4CDF"/>
    <w:rsid w:val="008A785B"/>
    <w:rsid w:val="008B3D49"/>
    <w:rsid w:val="008B6562"/>
    <w:rsid w:val="008B75C6"/>
    <w:rsid w:val="008B7956"/>
    <w:rsid w:val="008B79A7"/>
    <w:rsid w:val="008C0F99"/>
    <w:rsid w:val="008C1EB8"/>
    <w:rsid w:val="008C26DA"/>
    <w:rsid w:val="008C337B"/>
    <w:rsid w:val="008C3722"/>
    <w:rsid w:val="008C3B67"/>
    <w:rsid w:val="008C3F48"/>
    <w:rsid w:val="008C49DA"/>
    <w:rsid w:val="008C4EA1"/>
    <w:rsid w:val="008C6D38"/>
    <w:rsid w:val="008D0D80"/>
    <w:rsid w:val="008D174D"/>
    <w:rsid w:val="008D2277"/>
    <w:rsid w:val="008D27CB"/>
    <w:rsid w:val="008D49B4"/>
    <w:rsid w:val="008D51B5"/>
    <w:rsid w:val="008D6BF6"/>
    <w:rsid w:val="008D7498"/>
    <w:rsid w:val="008D7D50"/>
    <w:rsid w:val="008E0872"/>
    <w:rsid w:val="008E0B16"/>
    <w:rsid w:val="008E156C"/>
    <w:rsid w:val="008E23C2"/>
    <w:rsid w:val="008E38E8"/>
    <w:rsid w:val="008E4432"/>
    <w:rsid w:val="008E4F74"/>
    <w:rsid w:val="008E7065"/>
    <w:rsid w:val="008E72F6"/>
    <w:rsid w:val="008F2F1C"/>
    <w:rsid w:val="008F3C46"/>
    <w:rsid w:val="008F3EBF"/>
    <w:rsid w:val="008F44FB"/>
    <w:rsid w:val="008F4773"/>
    <w:rsid w:val="008F7E9F"/>
    <w:rsid w:val="0090226D"/>
    <w:rsid w:val="009036EA"/>
    <w:rsid w:val="009038A3"/>
    <w:rsid w:val="00903A3B"/>
    <w:rsid w:val="0090536E"/>
    <w:rsid w:val="00910DED"/>
    <w:rsid w:val="009113F7"/>
    <w:rsid w:val="00912462"/>
    <w:rsid w:val="00912C28"/>
    <w:rsid w:val="00914A84"/>
    <w:rsid w:val="00914EB2"/>
    <w:rsid w:val="009153C2"/>
    <w:rsid w:val="009163D0"/>
    <w:rsid w:val="00917AD1"/>
    <w:rsid w:val="00917F07"/>
    <w:rsid w:val="009227F3"/>
    <w:rsid w:val="009231A8"/>
    <w:rsid w:val="00923811"/>
    <w:rsid w:val="0092696D"/>
    <w:rsid w:val="00927273"/>
    <w:rsid w:val="009304FC"/>
    <w:rsid w:val="009312B9"/>
    <w:rsid w:val="00931962"/>
    <w:rsid w:val="009322CB"/>
    <w:rsid w:val="00932E96"/>
    <w:rsid w:val="009334A9"/>
    <w:rsid w:val="0093545C"/>
    <w:rsid w:val="009418E6"/>
    <w:rsid w:val="00941A7F"/>
    <w:rsid w:val="00941FDE"/>
    <w:rsid w:val="0094235F"/>
    <w:rsid w:val="0094279F"/>
    <w:rsid w:val="009434DF"/>
    <w:rsid w:val="0094400A"/>
    <w:rsid w:val="00945671"/>
    <w:rsid w:val="00946B98"/>
    <w:rsid w:val="0095052A"/>
    <w:rsid w:val="00953FBB"/>
    <w:rsid w:val="00954B56"/>
    <w:rsid w:val="00955D83"/>
    <w:rsid w:val="00956099"/>
    <w:rsid w:val="009560CD"/>
    <w:rsid w:val="00956A9B"/>
    <w:rsid w:val="00957DF7"/>
    <w:rsid w:val="00957EFE"/>
    <w:rsid w:val="00961AD3"/>
    <w:rsid w:val="009630F5"/>
    <w:rsid w:val="00965458"/>
    <w:rsid w:val="009658F0"/>
    <w:rsid w:val="00966192"/>
    <w:rsid w:val="009674DC"/>
    <w:rsid w:val="009679DE"/>
    <w:rsid w:val="00970F60"/>
    <w:rsid w:val="00971655"/>
    <w:rsid w:val="009716E1"/>
    <w:rsid w:val="00971C63"/>
    <w:rsid w:val="00972746"/>
    <w:rsid w:val="00972B67"/>
    <w:rsid w:val="00973349"/>
    <w:rsid w:val="009738FF"/>
    <w:rsid w:val="00974616"/>
    <w:rsid w:val="00976B09"/>
    <w:rsid w:val="00976E26"/>
    <w:rsid w:val="0097728A"/>
    <w:rsid w:val="009805A1"/>
    <w:rsid w:val="00983A20"/>
    <w:rsid w:val="00984E45"/>
    <w:rsid w:val="009851F5"/>
    <w:rsid w:val="00985606"/>
    <w:rsid w:val="009868E4"/>
    <w:rsid w:val="009872F1"/>
    <w:rsid w:val="009877DB"/>
    <w:rsid w:val="0099192C"/>
    <w:rsid w:val="0099398C"/>
    <w:rsid w:val="00994D24"/>
    <w:rsid w:val="00995D73"/>
    <w:rsid w:val="00995ED0"/>
    <w:rsid w:val="0099605E"/>
    <w:rsid w:val="00996115"/>
    <w:rsid w:val="009961F4"/>
    <w:rsid w:val="00996BAB"/>
    <w:rsid w:val="009975B8"/>
    <w:rsid w:val="00997C99"/>
    <w:rsid w:val="009A10EF"/>
    <w:rsid w:val="009A3A19"/>
    <w:rsid w:val="009A4AE9"/>
    <w:rsid w:val="009A4B3A"/>
    <w:rsid w:val="009A7065"/>
    <w:rsid w:val="009A7CD5"/>
    <w:rsid w:val="009B171D"/>
    <w:rsid w:val="009B1A2A"/>
    <w:rsid w:val="009B4283"/>
    <w:rsid w:val="009B433A"/>
    <w:rsid w:val="009B4465"/>
    <w:rsid w:val="009B7BD1"/>
    <w:rsid w:val="009C06D6"/>
    <w:rsid w:val="009C2832"/>
    <w:rsid w:val="009C2DFD"/>
    <w:rsid w:val="009C3064"/>
    <w:rsid w:val="009C35CF"/>
    <w:rsid w:val="009C36CB"/>
    <w:rsid w:val="009C5538"/>
    <w:rsid w:val="009C6E1C"/>
    <w:rsid w:val="009C7069"/>
    <w:rsid w:val="009C71D5"/>
    <w:rsid w:val="009C79ED"/>
    <w:rsid w:val="009D12C3"/>
    <w:rsid w:val="009D3AE3"/>
    <w:rsid w:val="009D3FD9"/>
    <w:rsid w:val="009D4655"/>
    <w:rsid w:val="009D4FBD"/>
    <w:rsid w:val="009D5549"/>
    <w:rsid w:val="009E0828"/>
    <w:rsid w:val="009E0CC7"/>
    <w:rsid w:val="009E170E"/>
    <w:rsid w:val="009E2CB1"/>
    <w:rsid w:val="009E395D"/>
    <w:rsid w:val="009E4682"/>
    <w:rsid w:val="009E7EEB"/>
    <w:rsid w:val="009F1945"/>
    <w:rsid w:val="009F4189"/>
    <w:rsid w:val="009F469A"/>
    <w:rsid w:val="009F5460"/>
    <w:rsid w:val="009F59D5"/>
    <w:rsid w:val="009F71E6"/>
    <w:rsid w:val="009F7CE4"/>
    <w:rsid w:val="009F7D8B"/>
    <w:rsid w:val="00A017F4"/>
    <w:rsid w:val="00A026B3"/>
    <w:rsid w:val="00A0299A"/>
    <w:rsid w:val="00A02AED"/>
    <w:rsid w:val="00A03C30"/>
    <w:rsid w:val="00A05E64"/>
    <w:rsid w:val="00A065A2"/>
    <w:rsid w:val="00A06FF8"/>
    <w:rsid w:val="00A11162"/>
    <w:rsid w:val="00A12268"/>
    <w:rsid w:val="00A14C6B"/>
    <w:rsid w:val="00A160E6"/>
    <w:rsid w:val="00A161AE"/>
    <w:rsid w:val="00A1724D"/>
    <w:rsid w:val="00A1793C"/>
    <w:rsid w:val="00A20056"/>
    <w:rsid w:val="00A200EC"/>
    <w:rsid w:val="00A22A17"/>
    <w:rsid w:val="00A2362F"/>
    <w:rsid w:val="00A263FD"/>
    <w:rsid w:val="00A3070E"/>
    <w:rsid w:val="00A322D4"/>
    <w:rsid w:val="00A3318E"/>
    <w:rsid w:val="00A34DC3"/>
    <w:rsid w:val="00A3620E"/>
    <w:rsid w:val="00A40B2D"/>
    <w:rsid w:val="00A41CDB"/>
    <w:rsid w:val="00A43227"/>
    <w:rsid w:val="00A442E5"/>
    <w:rsid w:val="00A44797"/>
    <w:rsid w:val="00A46603"/>
    <w:rsid w:val="00A46CCD"/>
    <w:rsid w:val="00A46CF7"/>
    <w:rsid w:val="00A475B1"/>
    <w:rsid w:val="00A47FAF"/>
    <w:rsid w:val="00A50190"/>
    <w:rsid w:val="00A5075C"/>
    <w:rsid w:val="00A50EC2"/>
    <w:rsid w:val="00A52CB7"/>
    <w:rsid w:val="00A53E26"/>
    <w:rsid w:val="00A546F0"/>
    <w:rsid w:val="00A56295"/>
    <w:rsid w:val="00A565A8"/>
    <w:rsid w:val="00A568A5"/>
    <w:rsid w:val="00A56C96"/>
    <w:rsid w:val="00A56F02"/>
    <w:rsid w:val="00A571B2"/>
    <w:rsid w:val="00A609E3"/>
    <w:rsid w:val="00A62FE1"/>
    <w:rsid w:val="00A643CB"/>
    <w:rsid w:val="00A64E16"/>
    <w:rsid w:val="00A65133"/>
    <w:rsid w:val="00A652C5"/>
    <w:rsid w:val="00A701E1"/>
    <w:rsid w:val="00A70236"/>
    <w:rsid w:val="00A70EC3"/>
    <w:rsid w:val="00A714B8"/>
    <w:rsid w:val="00A728DD"/>
    <w:rsid w:val="00A7385C"/>
    <w:rsid w:val="00A758B3"/>
    <w:rsid w:val="00A80E00"/>
    <w:rsid w:val="00A812EB"/>
    <w:rsid w:val="00A81E3B"/>
    <w:rsid w:val="00A85C5A"/>
    <w:rsid w:val="00A90F90"/>
    <w:rsid w:val="00A9121A"/>
    <w:rsid w:val="00A91A62"/>
    <w:rsid w:val="00A934B8"/>
    <w:rsid w:val="00A93C88"/>
    <w:rsid w:val="00A944C7"/>
    <w:rsid w:val="00A96181"/>
    <w:rsid w:val="00A96A08"/>
    <w:rsid w:val="00A97368"/>
    <w:rsid w:val="00A9774E"/>
    <w:rsid w:val="00AA0161"/>
    <w:rsid w:val="00AA235E"/>
    <w:rsid w:val="00AA46D8"/>
    <w:rsid w:val="00AA48B6"/>
    <w:rsid w:val="00AA5C3D"/>
    <w:rsid w:val="00AB1D08"/>
    <w:rsid w:val="00AB21AC"/>
    <w:rsid w:val="00AB22A3"/>
    <w:rsid w:val="00AB25EB"/>
    <w:rsid w:val="00AB2B60"/>
    <w:rsid w:val="00AB37F9"/>
    <w:rsid w:val="00AB4345"/>
    <w:rsid w:val="00AB566D"/>
    <w:rsid w:val="00AB5BD7"/>
    <w:rsid w:val="00AB5F45"/>
    <w:rsid w:val="00AB6D0C"/>
    <w:rsid w:val="00AB6DF2"/>
    <w:rsid w:val="00AC0135"/>
    <w:rsid w:val="00AC070D"/>
    <w:rsid w:val="00AC0E5D"/>
    <w:rsid w:val="00AC1B94"/>
    <w:rsid w:val="00AC49A6"/>
    <w:rsid w:val="00AC5E07"/>
    <w:rsid w:val="00AC624A"/>
    <w:rsid w:val="00AC780E"/>
    <w:rsid w:val="00AD0616"/>
    <w:rsid w:val="00AD34FF"/>
    <w:rsid w:val="00AD3769"/>
    <w:rsid w:val="00AD43A6"/>
    <w:rsid w:val="00AD4DE6"/>
    <w:rsid w:val="00AD718B"/>
    <w:rsid w:val="00AE1397"/>
    <w:rsid w:val="00AE23C9"/>
    <w:rsid w:val="00AE3636"/>
    <w:rsid w:val="00AE535B"/>
    <w:rsid w:val="00AE6546"/>
    <w:rsid w:val="00AE6A5C"/>
    <w:rsid w:val="00AE6C11"/>
    <w:rsid w:val="00AE6DBC"/>
    <w:rsid w:val="00AF3E55"/>
    <w:rsid w:val="00AF3E95"/>
    <w:rsid w:val="00AF5162"/>
    <w:rsid w:val="00AF5C48"/>
    <w:rsid w:val="00AF703D"/>
    <w:rsid w:val="00AF75C6"/>
    <w:rsid w:val="00AF7C67"/>
    <w:rsid w:val="00B02FC5"/>
    <w:rsid w:val="00B040C1"/>
    <w:rsid w:val="00B04695"/>
    <w:rsid w:val="00B04ECB"/>
    <w:rsid w:val="00B06FB7"/>
    <w:rsid w:val="00B103C0"/>
    <w:rsid w:val="00B11205"/>
    <w:rsid w:val="00B12F78"/>
    <w:rsid w:val="00B15FE9"/>
    <w:rsid w:val="00B16986"/>
    <w:rsid w:val="00B205B0"/>
    <w:rsid w:val="00B212B4"/>
    <w:rsid w:val="00B21FE1"/>
    <w:rsid w:val="00B22D39"/>
    <w:rsid w:val="00B24768"/>
    <w:rsid w:val="00B251A1"/>
    <w:rsid w:val="00B25C15"/>
    <w:rsid w:val="00B27E11"/>
    <w:rsid w:val="00B33776"/>
    <w:rsid w:val="00B340E4"/>
    <w:rsid w:val="00B354DA"/>
    <w:rsid w:val="00B355D6"/>
    <w:rsid w:val="00B360A4"/>
    <w:rsid w:val="00B36FCE"/>
    <w:rsid w:val="00B43765"/>
    <w:rsid w:val="00B439FA"/>
    <w:rsid w:val="00B43BC4"/>
    <w:rsid w:val="00B4412C"/>
    <w:rsid w:val="00B45C5D"/>
    <w:rsid w:val="00B45D68"/>
    <w:rsid w:val="00B45F08"/>
    <w:rsid w:val="00B47945"/>
    <w:rsid w:val="00B47D35"/>
    <w:rsid w:val="00B47D47"/>
    <w:rsid w:val="00B47DD7"/>
    <w:rsid w:val="00B50B7A"/>
    <w:rsid w:val="00B51883"/>
    <w:rsid w:val="00B523E9"/>
    <w:rsid w:val="00B53234"/>
    <w:rsid w:val="00B53917"/>
    <w:rsid w:val="00B55862"/>
    <w:rsid w:val="00B56670"/>
    <w:rsid w:val="00B6182D"/>
    <w:rsid w:val="00B61FD4"/>
    <w:rsid w:val="00B62E1E"/>
    <w:rsid w:val="00B6376D"/>
    <w:rsid w:val="00B6419B"/>
    <w:rsid w:val="00B643D9"/>
    <w:rsid w:val="00B66A82"/>
    <w:rsid w:val="00B674DB"/>
    <w:rsid w:val="00B7073F"/>
    <w:rsid w:val="00B71F36"/>
    <w:rsid w:val="00B747B6"/>
    <w:rsid w:val="00B761FF"/>
    <w:rsid w:val="00B76590"/>
    <w:rsid w:val="00B769BC"/>
    <w:rsid w:val="00B76A97"/>
    <w:rsid w:val="00B803F9"/>
    <w:rsid w:val="00B818EF"/>
    <w:rsid w:val="00B81BD4"/>
    <w:rsid w:val="00B82E8D"/>
    <w:rsid w:val="00B8371D"/>
    <w:rsid w:val="00B83B1B"/>
    <w:rsid w:val="00B84397"/>
    <w:rsid w:val="00B86469"/>
    <w:rsid w:val="00B878F2"/>
    <w:rsid w:val="00B90ABE"/>
    <w:rsid w:val="00B9264D"/>
    <w:rsid w:val="00B92A7B"/>
    <w:rsid w:val="00B9448E"/>
    <w:rsid w:val="00B94D99"/>
    <w:rsid w:val="00B95688"/>
    <w:rsid w:val="00BA1B0D"/>
    <w:rsid w:val="00BA696E"/>
    <w:rsid w:val="00BB0A43"/>
    <w:rsid w:val="00BB0D6C"/>
    <w:rsid w:val="00BB1F32"/>
    <w:rsid w:val="00BB226F"/>
    <w:rsid w:val="00BB2594"/>
    <w:rsid w:val="00BB2D4E"/>
    <w:rsid w:val="00BB331A"/>
    <w:rsid w:val="00BB3FA1"/>
    <w:rsid w:val="00BB52C9"/>
    <w:rsid w:val="00BB5754"/>
    <w:rsid w:val="00BB62BB"/>
    <w:rsid w:val="00BC03D5"/>
    <w:rsid w:val="00BC05C5"/>
    <w:rsid w:val="00BC05E4"/>
    <w:rsid w:val="00BC24E2"/>
    <w:rsid w:val="00BC4060"/>
    <w:rsid w:val="00BD0166"/>
    <w:rsid w:val="00BD018B"/>
    <w:rsid w:val="00BD04BE"/>
    <w:rsid w:val="00BD0547"/>
    <w:rsid w:val="00BD06B1"/>
    <w:rsid w:val="00BD0A32"/>
    <w:rsid w:val="00BD14D8"/>
    <w:rsid w:val="00BD1852"/>
    <w:rsid w:val="00BD2B33"/>
    <w:rsid w:val="00BD3792"/>
    <w:rsid w:val="00BD4A26"/>
    <w:rsid w:val="00BD4ACB"/>
    <w:rsid w:val="00BD602C"/>
    <w:rsid w:val="00BD674A"/>
    <w:rsid w:val="00BD7705"/>
    <w:rsid w:val="00BE0506"/>
    <w:rsid w:val="00BE05DE"/>
    <w:rsid w:val="00BE2097"/>
    <w:rsid w:val="00BE2258"/>
    <w:rsid w:val="00BE389C"/>
    <w:rsid w:val="00BE43FC"/>
    <w:rsid w:val="00BE501F"/>
    <w:rsid w:val="00BE50F8"/>
    <w:rsid w:val="00BE5FAF"/>
    <w:rsid w:val="00BE5FD0"/>
    <w:rsid w:val="00BE6F28"/>
    <w:rsid w:val="00BE7675"/>
    <w:rsid w:val="00BF150E"/>
    <w:rsid w:val="00BF16E2"/>
    <w:rsid w:val="00BF1CC0"/>
    <w:rsid w:val="00BF29FA"/>
    <w:rsid w:val="00BF2B7F"/>
    <w:rsid w:val="00BF2EB2"/>
    <w:rsid w:val="00BF2F89"/>
    <w:rsid w:val="00BF32DA"/>
    <w:rsid w:val="00BF3A09"/>
    <w:rsid w:val="00BF6CB4"/>
    <w:rsid w:val="00BF6D85"/>
    <w:rsid w:val="00BF741A"/>
    <w:rsid w:val="00C00773"/>
    <w:rsid w:val="00C014CC"/>
    <w:rsid w:val="00C01828"/>
    <w:rsid w:val="00C047A2"/>
    <w:rsid w:val="00C04D2B"/>
    <w:rsid w:val="00C050E4"/>
    <w:rsid w:val="00C06416"/>
    <w:rsid w:val="00C10171"/>
    <w:rsid w:val="00C102E1"/>
    <w:rsid w:val="00C14341"/>
    <w:rsid w:val="00C1472B"/>
    <w:rsid w:val="00C14E99"/>
    <w:rsid w:val="00C15A82"/>
    <w:rsid w:val="00C16586"/>
    <w:rsid w:val="00C1783E"/>
    <w:rsid w:val="00C17EEC"/>
    <w:rsid w:val="00C20561"/>
    <w:rsid w:val="00C22542"/>
    <w:rsid w:val="00C23054"/>
    <w:rsid w:val="00C230B3"/>
    <w:rsid w:val="00C23EBF"/>
    <w:rsid w:val="00C24EA1"/>
    <w:rsid w:val="00C255C5"/>
    <w:rsid w:val="00C26935"/>
    <w:rsid w:val="00C2727C"/>
    <w:rsid w:val="00C27A58"/>
    <w:rsid w:val="00C3027D"/>
    <w:rsid w:val="00C3281E"/>
    <w:rsid w:val="00C32996"/>
    <w:rsid w:val="00C330D3"/>
    <w:rsid w:val="00C33351"/>
    <w:rsid w:val="00C37484"/>
    <w:rsid w:val="00C41468"/>
    <w:rsid w:val="00C42707"/>
    <w:rsid w:val="00C43B0B"/>
    <w:rsid w:val="00C43EE4"/>
    <w:rsid w:val="00C44EE8"/>
    <w:rsid w:val="00C474DF"/>
    <w:rsid w:val="00C50D05"/>
    <w:rsid w:val="00C53494"/>
    <w:rsid w:val="00C53CA1"/>
    <w:rsid w:val="00C550FF"/>
    <w:rsid w:val="00C55576"/>
    <w:rsid w:val="00C56688"/>
    <w:rsid w:val="00C60278"/>
    <w:rsid w:val="00C60FD1"/>
    <w:rsid w:val="00C61296"/>
    <w:rsid w:val="00C61368"/>
    <w:rsid w:val="00C619FA"/>
    <w:rsid w:val="00C64527"/>
    <w:rsid w:val="00C64531"/>
    <w:rsid w:val="00C64A51"/>
    <w:rsid w:val="00C6552E"/>
    <w:rsid w:val="00C65855"/>
    <w:rsid w:val="00C660B2"/>
    <w:rsid w:val="00C7009D"/>
    <w:rsid w:val="00C701EB"/>
    <w:rsid w:val="00C70991"/>
    <w:rsid w:val="00C7122E"/>
    <w:rsid w:val="00C719E0"/>
    <w:rsid w:val="00C72FA6"/>
    <w:rsid w:val="00C737C5"/>
    <w:rsid w:val="00C7387E"/>
    <w:rsid w:val="00C73C43"/>
    <w:rsid w:val="00C75762"/>
    <w:rsid w:val="00C75825"/>
    <w:rsid w:val="00C7640D"/>
    <w:rsid w:val="00C76834"/>
    <w:rsid w:val="00C768B1"/>
    <w:rsid w:val="00C771B5"/>
    <w:rsid w:val="00C7791F"/>
    <w:rsid w:val="00C77A83"/>
    <w:rsid w:val="00C80B12"/>
    <w:rsid w:val="00C8140A"/>
    <w:rsid w:val="00C82289"/>
    <w:rsid w:val="00C83C13"/>
    <w:rsid w:val="00C84747"/>
    <w:rsid w:val="00C8548C"/>
    <w:rsid w:val="00C85779"/>
    <w:rsid w:val="00C869D3"/>
    <w:rsid w:val="00C87708"/>
    <w:rsid w:val="00C90DF7"/>
    <w:rsid w:val="00C9275E"/>
    <w:rsid w:val="00C9351E"/>
    <w:rsid w:val="00C946D6"/>
    <w:rsid w:val="00C949AD"/>
    <w:rsid w:val="00C94B35"/>
    <w:rsid w:val="00C95C6D"/>
    <w:rsid w:val="00C95CFE"/>
    <w:rsid w:val="00CA30E5"/>
    <w:rsid w:val="00CA3540"/>
    <w:rsid w:val="00CA5D32"/>
    <w:rsid w:val="00CA62FB"/>
    <w:rsid w:val="00CA6DED"/>
    <w:rsid w:val="00CB01E2"/>
    <w:rsid w:val="00CB0A52"/>
    <w:rsid w:val="00CB332D"/>
    <w:rsid w:val="00CB613A"/>
    <w:rsid w:val="00CB6271"/>
    <w:rsid w:val="00CC49D4"/>
    <w:rsid w:val="00CC64EC"/>
    <w:rsid w:val="00CD4C39"/>
    <w:rsid w:val="00CD5DFC"/>
    <w:rsid w:val="00CD6EB6"/>
    <w:rsid w:val="00CD7217"/>
    <w:rsid w:val="00CE0712"/>
    <w:rsid w:val="00CE25AC"/>
    <w:rsid w:val="00CE2F1F"/>
    <w:rsid w:val="00CE44A7"/>
    <w:rsid w:val="00CE4ABD"/>
    <w:rsid w:val="00CE567F"/>
    <w:rsid w:val="00CE6F5A"/>
    <w:rsid w:val="00CF1231"/>
    <w:rsid w:val="00CF42CF"/>
    <w:rsid w:val="00CF4491"/>
    <w:rsid w:val="00CF4824"/>
    <w:rsid w:val="00CF6508"/>
    <w:rsid w:val="00CF6A3E"/>
    <w:rsid w:val="00CF7270"/>
    <w:rsid w:val="00D00814"/>
    <w:rsid w:val="00D02E6F"/>
    <w:rsid w:val="00D043E8"/>
    <w:rsid w:val="00D058C3"/>
    <w:rsid w:val="00D05BA0"/>
    <w:rsid w:val="00D07350"/>
    <w:rsid w:val="00D07EA0"/>
    <w:rsid w:val="00D102E9"/>
    <w:rsid w:val="00D1086F"/>
    <w:rsid w:val="00D123D0"/>
    <w:rsid w:val="00D15155"/>
    <w:rsid w:val="00D15BF8"/>
    <w:rsid w:val="00D1688F"/>
    <w:rsid w:val="00D1747C"/>
    <w:rsid w:val="00D2081C"/>
    <w:rsid w:val="00D2117F"/>
    <w:rsid w:val="00D218F3"/>
    <w:rsid w:val="00D234D5"/>
    <w:rsid w:val="00D24DF8"/>
    <w:rsid w:val="00D25317"/>
    <w:rsid w:val="00D26347"/>
    <w:rsid w:val="00D264A3"/>
    <w:rsid w:val="00D2797A"/>
    <w:rsid w:val="00D3044A"/>
    <w:rsid w:val="00D3139D"/>
    <w:rsid w:val="00D31AB5"/>
    <w:rsid w:val="00D31AB8"/>
    <w:rsid w:val="00D320A0"/>
    <w:rsid w:val="00D32253"/>
    <w:rsid w:val="00D335F3"/>
    <w:rsid w:val="00D347DE"/>
    <w:rsid w:val="00D357D7"/>
    <w:rsid w:val="00D372EB"/>
    <w:rsid w:val="00D37DE6"/>
    <w:rsid w:val="00D40671"/>
    <w:rsid w:val="00D40BD7"/>
    <w:rsid w:val="00D421F8"/>
    <w:rsid w:val="00D44DFF"/>
    <w:rsid w:val="00D45352"/>
    <w:rsid w:val="00D5068A"/>
    <w:rsid w:val="00D537E5"/>
    <w:rsid w:val="00D5433B"/>
    <w:rsid w:val="00D54E3B"/>
    <w:rsid w:val="00D55558"/>
    <w:rsid w:val="00D57587"/>
    <w:rsid w:val="00D6016F"/>
    <w:rsid w:val="00D61A39"/>
    <w:rsid w:val="00D6209E"/>
    <w:rsid w:val="00D62AB9"/>
    <w:rsid w:val="00D632B1"/>
    <w:rsid w:val="00D63B18"/>
    <w:rsid w:val="00D6407E"/>
    <w:rsid w:val="00D64967"/>
    <w:rsid w:val="00D6576B"/>
    <w:rsid w:val="00D66DB6"/>
    <w:rsid w:val="00D66E8B"/>
    <w:rsid w:val="00D70A38"/>
    <w:rsid w:val="00D71738"/>
    <w:rsid w:val="00D71B43"/>
    <w:rsid w:val="00D71D6D"/>
    <w:rsid w:val="00D75EA9"/>
    <w:rsid w:val="00D767EF"/>
    <w:rsid w:val="00D8056B"/>
    <w:rsid w:val="00D828FA"/>
    <w:rsid w:val="00D839AC"/>
    <w:rsid w:val="00D84645"/>
    <w:rsid w:val="00D85715"/>
    <w:rsid w:val="00D86231"/>
    <w:rsid w:val="00D8706C"/>
    <w:rsid w:val="00D90C3A"/>
    <w:rsid w:val="00D90F55"/>
    <w:rsid w:val="00D95333"/>
    <w:rsid w:val="00D955E1"/>
    <w:rsid w:val="00D96915"/>
    <w:rsid w:val="00D97AD2"/>
    <w:rsid w:val="00DA1377"/>
    <w:rsid w:val="00DA4691"/>
    <w:rsid w:val="00DA4C62"/>
    <w:rsid w:val="00DA5630"/>
    <w:rsid w:val="00DA5638"/>
    <w:rsid w:val="00DA6594"/>
    <w:rsid w:val="00DB07BB"/>
    <w:rsid w:val="00DB0D41"/>
    <w:rsid w:val="00DB14FC"/>
    <w:rsid w:val="00DB240B"/>
    <w:rsid w:val="00DB39CC"/>
    <w:rsid w:val="00DB6A17"/>
    <w:rsid w:val="00DB6A89"/>
    <w:rsid w:val="00DC1EB6"/>
    <w:rsid w:val="00DC50AF"/>
    <w:rsid w:val="00DC5375"/>
    <w:rsid w:val="00DD115B"/>
    <w:rsid w:val="00DD2094"/>
    <w:rsid w:val="00DD4E84"/>
    <w:rsid w:val="00DD5520"/>
    <w:rsid w:val="00DE07FB"/>
    <w:rsid w:val="00DE1209"/>
    <w:rsid w:val="00DE2D29"/>
    <w:rsid w:val="00DE46E4"/>
    <w:rsid w:val="00DE4D0B"/>
    <w:rsid w:val="00DE6657"/>
    <w:rsid w:val="00DE70E9"/>
    <w:rsid w:val="00DE7E22"/>
    <w:rsid w:val="00DF009F"/>
    <w:rsid w:val="00DF07DC"/>
    <w:rsid w:val="00DF0D74"/>
    <w:rsid w:val="00DF16C2"/>
    <w:rsid w:val="00DF1E86"/>
    <w:rsid w:val="00DF2286"/>
    <w:rsid w:val="00DF228B"/>
    <w:rsid w:val="00DF2516"/>
    <w:rsid w:val="00DF50D2"/>
    <w:rsid w:val="00DF53AB"/>
    <w:rsid w:val="00DF5B72"/>
    <w:rsid w:val="00DF6BAC"/>
    <w:rsid w:val="00E00F76"/>
    <w:rsid w:val="00E02350"/>
    <w:rsid w:val="00E02E27"/>
    <w:rsid w:val="00E04FF3"/>
    <w:rsid w:val="00E1004C"/>
    <w:rsid w:val="00E104D0"/>
    <w:rsid w:val="00E12B46"/>
    <w:rsid w:val="00E12D36"/>
    <w:rsid w:val="00E12D7B"/>
    <w:rsid w:val="00E151FC"/>
    <w:rsid w:val="00E1586B"/>
    <w:rsid w:val="00E169C5"/>
    <w:rsid w:val="00E16B9C"/>
    <w:rsid w:val="00E17236"/>
    <w:rsid w:val="00E17B4A"/>
    <w:rsid w:val="00E17E21"/>
    <w:rsid w:val="00E21E75"/>
    <w:rsid w:val="00E23CF5"/>
    <w:rsid w:val="00E25376"/>
    <w:rsid w:val="00E255EE"/>
    <w:rsid w:val="00E265E0"/>
    <w:rsid w:val="00E26BBD"/>
    <w:rsid w:val="00E27E66"/>
    <w:rsid w:val="00E3129C"/>
    <w:rsid w:val="00E32374"/>
    <w:rsid w:val="00E32AEF"/>
    <w:rsid w:val="00E35BB4"/>
    <w:rsid w:val="00E37B84"/>
    <w:rsid w:val="00E43B15"/>
    <w:rsid w:val="00E47743"/>
    <w:rsid w:val="00E50874"/>
    <w:rsid w:val="00E50B84"/>
    <w:rsid w:val="00E50EEF"/>
    <w:rsid w:val="00E519DC"/>
    <w:rsid w:val="00E537CE"/>
    <w:rsid w:val="00E53A9B"/>
    <w:rsid w:val="00E54053"/>
    <w:rsid w:val="00E54D26"/>
    <w:rsid w:val="00E54D28"/>
    <w:rsid w:val="00E54F27"/>
    <w:rsid w:val="00E54FDF"/>
    <w:rsid w:val="00E56631"/>
    <w:rsid w:val="00E56C7B"/>
    <w:rsid w:val="00E607DB"/>
    <w:rsid w:val="00E623BF"/>
    <w:rsid w:val="00E6569C"/>
    <w:rsid w:val="00E65911"/>
    <w:rsid w:val="00E66EA5"/>
    <w:rsid w:val="00E71294"/>
    <w:rsid w:val="00E71F1B"/>
    <w:rsid w:val="00E750E6"/>
    <w:rsid w:val="00E76AF5"/>
    <w:rsid w:val="00E807DA"/>
    <w:rsid w:val="00E80B35"/>
    <w:rsid w:val="00E81F7C"/>
    <w:rsid w:val="00E82A67"/>
    <w:rsid w:val="00E83FD6"/>
    <w:rsid w:val="00E8436F"/>
    <w:rsid w:val="00E84E3A"/>
    <w:rsid w:val="00E867C3"/>
    <w:rsid w:val="00E86D0F"/>
    <w:rsid w:val="00E8774C"/>
    <w:rsid w:val="00E90591"/>
    <w:rsid w:val="00E90C6C"/>
    <w:rsid w:val="00E91184"/>
    <w:rsid w:val="00E93624"/>
    <w:rsid w:val="00E93AD7"/>
    <w:rsid w:val="00E93FFB"/>
    <w:rsid w:val="00E94F88"/>
    <w:rsid w:val="00E9636A"/>
    <w:rsid w:val="00E979A2"/>
    <w:rsid w:val="00E97A75"/>
    <w:rsid w:val="00E97F8E"/>
    <w:rsid w:val="00EA05AF"/>
    <w:rsid w:val="00EA0CE5"/>
    <w:rsid w:val="00EA24D2"/>
    <w:rsid w:val="00EA28BA"/>
    <w:rsid w:val="00EA2BB8"/>
    <w:rsid w:val="00EA3A03"/>
    <w:rsid w:val="00EA4A3E"/>
    <w:rsid w:val="00EA4D0D"/>
    <w:rsid w:val="00EA4F75"/>
    <w:rsid w:val="00EA5B3C"/>
    <w:rsid w:val="00EA600C"/>
    <w:rsid w:val="00EA6BDF"/>
    <w:rsid w:val="00EB1589"/>
    <w:rsid w:val="00EB15F4"/>
    <w:rsid w:val="00EB1B1C"/>
    <w:rsid w:val="00EB23AD"/>
    <w:rsid w:val="00EB2FFB"/>
    <w:rsid w:val="00EB4097"/>
    <w:rsid w:val="00EB4E0E"/>
    <w:rsid w:val="00EB5361"/>
    <w:rsid w:val="00EB588E"/>
    <w:rsid w:val="00EB5CDF"/>
    <w:rsid w:val="00EB6473"/>
    <w:rsid w:val="00EB75B2"/>
    <w:rsid w:val="00EB7928"/>
    <w:rsid w:val="00EB7958"/>
    <w:rsid w:val="00EC17FD"/>
    <w:rsid w:val="00EC190D"/>
    <w:rsid w:val="00EC30C2"/>
    <w:rsid w:val="00EC40B9"/>
    <w:rsid w:val="00EC43B9"/>
    <w:rsid w:val="00EC53DB"/>
    <w:rsid w:val="00EC5421"/>
    <w:rsid w:val="00EC64CF"/>
    <w:rsid w:val="00EC6669"/>
    <w:rsid w:val="00EC6FE9"/>
    <w:rsid w:val="00ED09CD"/>
    <w:rsid w:val="00ED2D35"/>
    <w:rsid w:val="00ED4D69"/>
    <w:rsid w:val="00ED516D"/>
    <w:rsid w:val="00ED6975"/>
    <w:rsid w:val="00ED6BDA"/>
    <w:rsid w:val="00EE23CD"/>
    <w:rsid w:val="00EE297F"/>
    <w:rsid w:val="00EE34BA"/>
    <w:rsid w:val="00EE362F"/>
    <w:rsid w:val="00EE4458"/>
    <w:rsid w:val="00EE467C"/>
    <w:rsid w:val="00EE46DB"/>
    <w:rsid w:val="00EE5A9A"/>
    <w:rsid w:val="00EF0E19"/>
    <w:rsid w:val="00EF1F56"/>
    <w:rsid w:val="00EF34B4"/>
    <w:rsid w:val="00EF3FC3"/>
    <w:rsid w:val="00EF41AD"/>
    <w:rsid w:val="00EF74AD"/>
    <w:rsid w:val="00F01F86"/>
    <w:rsid w:val="00F023A0"/>
    <w:rsid w:val="00F024E2"/>
    <w:rsid w:val="00F0258A"/>
    <w:rsid w:val="00F02A9C"/>
    <w:rsid w:val="00F0450B"/>
    <w:rsid w:val="00F06935"/>
    <w:rsid w:val="00F103F5"/>
    <w:rsid w:val="00F10E4E"/>
    <w:rsid w:val="00F114AE"/>
    <w:rsid w:val="00F11CE3"/>
    <w:rsid w:val="00F1212E"/>
    <w:rsid w:val="00F12E39"/>
    <w:rsid w:val="00F12FD2"/>
    <w:rsid w:val="00F147F5"/>
    <w:rsid w:val="00F15586"/>
    <w:rsid w:val="00F174AC"/>
    <w:rsid w:val="00F24D56"/>
    <w:rsid w:val="00F252AC"/>
    <w:rsid w:val="00F25DB6"/>
    <w:rsid w:val="00F27495"/>
    <w:rsid w:val="00F27560"/>
    <w:rsid w:val="00F3018A"/>
    <w:rsid w:val="00F30BC7"/>
    <w:rsid w:val="00F30FFC"/>
    <w:rsid w:val="00F32772"/>
    <w:rsid w:val="00F32810"/>
    <w:rsid w:val="00F35B25"/>
    <w:rsid w:val="00F377A7"/>
    <w:rsid w:val="00F411AD"/>
    <w:rsid w:val="00F429C0"/>
    <w:rsid w:val="00F43CA0"/>
    <w:rsid w:val="00F43DB3"/>
    <w:rsid w:val="00F4457B"/>
    <w:rsid w:val="00F469DA"/>
    <w:rsid w:val="00F4786F"/>
    <w:rsid w:val="00F5014A"/>
    <w:rsid w:val="00F503FB"/>
    <w:rsid w:val="00F5058B"/>
    <w:rsid w:val="00F50590"/>
    <w:rsid w:val="00F5123D"/>
    <w:rsid w:val="00F5131C"/>
    <w:rsid w:val="00F529B9"/>
    <w:rsid w:val="00F53439"/>
    <w:rsid w:val="00F54AFD"/>
    <w:rsid w:val="00F55030"/>
    <w:rsid w:val="00F5531F"/>
    <w:rsid w:val="00F55A6F"/>
    <w:rsid w:val="00F56F79"/>
    <w:rsid w:val="00F57069"/>
    <w:rsid w:val="00F607AA"/>
    <w:rsid w:val="00F6225D"/>
    <w:rsid w:val="00F623B5"/>
    <w:rsid w:val="00F63D30"/>
    <w:rsid w:val="00F63DC3"/>
    <w:rsid w:val="00F668D7"/>
    <w:rsid w:val="00F67088"/>
    <w:rsid w:val="00F67BC5"/>
    <w:rsid w:val="00F70D3C"/>
    <w:rsid w:val="00F72221"/>
    <w:rsid w:val="00F72F56"/>
    <w:rsid w:val="00F739DC"/>
    <w:rsid w:val="00F75121"/>
    <w:rsid w:val="00F7696F"/>
    <w:rsid w:val="00F817B5"/>
    <w:rsid w:val="00F81CF4"/>
    <w:rsid w:val="00F8209B"/>
    <w:rsid w:val="00F829DB"/>
    <w:rsid w:val="00F84053"/>
    <w:rsid w:val="00F85785"/>
    <w:rsid w:val="00F8694C"/>
    <w:rsid w:val="00F900C7"/>
    <w:rsid w:val="00F9243D"/>
    <w:rsid w:val="00F95AB8"/>
    <w:rsid w:val="00F97992"/>
    <w:rsid w:val="00F97CD9"/>
    <w:rsid w:val="00FA0554"/>
    <w:rsid w:val="00FA0576"/>
    <w:rsid w:val="00FA6B94"/>
    <w:rsid w:val="00FB3119"/>
    <w:rsid w:val="00FB33C0"/>
    <w:rsid w:val="00FB4694"/>
    <w:rsid w:val="00FB50B4"/>
    <w:rsid w:val="00FB6C1B"/>
    <w:rsid w:val="00FB6EF1"/>
    <w:rsid w:val="00FB7BF9"/>
    <w:rsid w:val="00FC0DCD"/>
    <w:rsid w:val="00FC2F5E"/>
    <w:rsid w:val="00FC53A9"/>
    <w:rsid w:val="00FC7EB3"/>
    <w:rsid w:val="00FD3A9E"/>
    <w:rsid w:val="00FD3E68"/>
    <w:rsid w:val="00FD4B97"/>
    <w:rsid w:val="00FD4DA9"/>
    <w:rsid w:val="00FD6F15"/>
    <w:rsid w:val="00FD6F21"/>
    <w:rsid w:val="00FD7402"/>
    <w:rsid w:val="00FD7776"/>
    <w:rsid w:val="00FD7F20"/>
    <w:rsid w:val="00FE08C3"/>
    <w:rsid w:val="00FE16BE"/>
    <w:rsid w:val="00FE348D"/>
    <w:rsid w:val="00FE4C79"/>
    <w:rsid w:val="00FE55EB"/>
    <w:rsid w:val="00FF038F"/>
    <w:rsid w:val="00FF05B4"/>
    <w:rsid w:val="00FF13BD"/>
    <w:rsid w:val="00FF38FF"/>
    <w:rsid w:val="00FF5DB5"/>
    <w:rsid w:val="00FF66DE"/>
    <w:rsid w:val="00FF7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3A520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5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7"/>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 w:type="paragraph" w:styleId="ListNumber2">
    <w:name w:val="List Number 2"/>
    <w:basedOn w:val="Normal"/>
    <w:uiPriority w:val="99"/>
    <w:semiHidden/>
    <w:unhideWhenUsed/>
    <w:locked/>
    <w:rsid w:val="00EF41AD"/>
    <w:pPr>
      <w:numPr>
        <w:numId w:val="55"/>
      </w:numPr>
      <w:contextualSpacing/>
    </w:pPr>
  </w:style>
  <w:style w:type="character" w:styleId="PlaceholderText">
    <w:name w:val="Placeholder Text"/>
    <w:basedOn w:val="DefaultParagraphFont"/>
    <w:uiPriority w:val="99"/>
    <w:unhideWhenUsed/>
    <w:rsid w:val="009B44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7"/>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59728513">
      <w:bodyDiv w:val="1"/>
      <w:marLeft w:val="0"/>
      <w:marRight w:val="0"/>
      <w:marTop w:val="0"/>
      <w:marBottom w:val="0"/>
      <w:divBdr>
        <w:top w:val="none" w:sz="0" w:space="0" w:color="auto"/>
        <w:left w:val="none" w:sz="0" w:space="0" w:color="auto"/>
        <w:bottom w:val="none" w:sz="0" w:space="0" w:color="auto"/>
        <w:right w:val="none" w:sz="0" w:space="0" w:color="auto"/>
      </w:divBdr>
      <w:divsChild>
        <w:div w:id="710226652">
          <w:marLeft w:val="0"/>
          <w:marRight w:val="0"/>
          <w:marTop w:val="0"/>
          <w:marBottom w:val="0"/>
          <w:divBdr>
            <w:top w:val="none" w:sz="0" w:space="0" w:color="auto"/>
            <w:left w:val="none" w:sz="0" w:space="0" w:color="auto"/>
            <w:bottom w:val="none" w:sz="0" w:space="0" w:color="auto"/>
            <w:right w:val="none" w:sz="0" w:space="0" w:color="auto"/>
          </w:divBdr>
          <w:divsChild>
            <w:div w:id="2133203507">
              <w:marLeft w:val="0"/>
              <w:marRight w:val="0"/>
              <w:marTop w:val="0"/>
              <w:marBottom w:val="0"/>
              <w:divBdr>
                <w:top w:val="none" w:sz="0" w:space="0" w:color="auto"/>
                <w:left w:val="none" w:sz="0" w:space="0" w:color="auto"/>
                <w:bottom w:val="none" w:sz="0" w:space="0" w:color="auto"/>
                <w:right w:val="none" w:sz="0" w:space="0" w:color="auto"/>
              </w:divBdr>
              <w:divsChild>
                <w:div w:id="624694634">
                  <w:marLeft w:val="0"/>
                  <w:marRight w:val="0"/>
                  <w:marTop w:val="0"/>
                  <w:marBottom w:val="0"/>
                  <w:divBdr>
                    <w:top w:val="none" w:sz="0" w:space="0" w:color="auto"/>
                    <w:left w:val="none" w:sz="0" w:space="0" w:color="auto"/>
                    <w:bottom w:val="none" w:sz="0" w:space="0" w:color="auto"/>
                    <w:right w:val="none" w:sz="0" w:space="0" w:color="auto"/>
                  </w:divBdr>
                  <w:divsChild>
                    <w:div w:id="1138648445">
                      <w:marLeft w:val="0"/>
                      <w:marRight w:val="0"/>
                      <w:marTop w:val="0"/>
                      <w:marBottom w:val="0"/>
                      <w:divBdr>
                        <w:top w:val="none" w:sz="0" w:space="0" w:color="auto"/>
                        <w:left w:val="none" w:sz="0" w:space="0" w:color="auto"/>
                        <w:bottom w:val="none" w:sz="0" w:space="0" w:color="auto"/>
                        <w:right w:val="none" w:sz="0" w:space="0" w:color="auto"/>
                      </w:divBdr>
                      <w:divsChild>
                        <w:div w:id="412894651">
                          <w:marLeft w:val="0"/>
                          <w:marRight w:val="0"/>
                          <w:marTop w:val="0"/>
                          <w:marBottom w:val="0"/>
                          <w:divBdr>
                            <w:top w:val="none" w:sz="0" w:space="0" w:color="auto"/>
                            <w:left w:val="none" w:sz="0" w:space="0" w:color="auto"/>
                            <w:bottom w:val="none" w:sz="0" w:space="0" w:color="auto"/>
                            <w:right w:val="none" w:sz="0" w:space="0" w:color="auto"/>
                          </w:divBdr>
                          <w:divsChild>
                            <w:div w:id="1676683321">
                              <w:marLeft w:val="0"/>
                              <w:marRight w:val="0"/>
                              <w:marTop w:val="0"/>
                              <w:marBottom w:val="0"/>
                              <w:divBdr>
                                <w:top w:val="none" w:sz="0" w:space="0" w:color="auto"/>
                                <w:left w:val="none" w:sz="0" w:space="0" w:color="auto"/>
                                <w:bottom w:val="none" w:sz="0" w:space="0" w:color="auto"/>
                                <w:right w:val="none" w:sz="0" w:space="0" w:color="auto"/>
                              </w:divBdr>
                              <w:divsChild>
                                <w:div w:id="1595629397">
                                  <w:marLeft w:val="0"/>
                                  <w:marRight w:val="0"/>
                                  <w:marTop w:val="0"/>
                                  <w:marBottom w:val="0"/>
                                  <w:divBdr>
                                    <w:top w:val="none" w:sz="0" w:space="0" w:color="auto"/>
                                    <w:left w:val="none" w:sz="0" w:space="0" w:color="auto"/>
                                    <w:bottom w:val="none" w:sz="0" w:space="0" w:color="auto"/>
                                    <w:right w:val="none" w:sz="0" w:space="0" w:color="auto"/>
                                  </w:divBdr>
                                  <w:divsChild>
                                    <w:div w:id="694815824">
                                      <w:marLeft w:val="0"/>
                                      <w:marRight w:val="0"/>
                                      <w:marTop w:val="0"/>
                                      <w:marBottom w:val="0"/>
                                      <w:divBdr>
                                        <w:top w:val="none" w:sz="0" w:space="0" w:color="auto"/>
                                        <w:left w:val="none" w:sz="0" w:space="0" w:color="auto"/>
                                        <w:bottom w:val="none" w:sz="0" w:space="0" w:color="auto"/>
                                        <w:right w:val="none" w:sz="0" w:space="0" w:color="auto"/>
                                      </w:divBdr>
                                      <w:divsChild>
                                        <w:div w:id="578561384">
                                          <w:marLeft w:val="0"/>
                                          <w:marRight w:val="0"/>
                                          <w:marTop w:val="0"/>
                                          <w:marBottom w:val="0"/>
                                          <w:divBdr>
                                            <w:top w:val="none" w:sz="0" w:space="0" w:color="auto"/>
                                            <w:left w:val="none" w:sz="0" w:space="0" w:color="auto"/>
                                            <w:bottom w:val="none" w:sz="0" w:space="0" w:color="auto"/>
                                            <w:right w:val="none" w:sz="0" w:space="0" w:color="auto"/>
                                          </w:divBdr>
                                          <w:divsChild>
                                            <w:div w:id="1237740365">
                                              <w:marLeft w:val="0"/>
                                              <w:marRight w:val="0"/>
                                              <w:marTop w:val="0"/>
                                              <w:marBottom w:val="0"/>
                                              <w:divBdr>
                                                <w:top w:val="none" w:sz="0" w:space="0" w:color="auto"/>
                                                <w:left w:val="none" w:sz="0" w:space="0" w:color="auto"/>
                                                <w:bottom w:val="none" w:sz="0" w:space="0" w:color="auto"/>
                                                <w:right w:val="none" w:sz="0" w:space="0" w:color="auto"/>
                                              </w:divBdr>
                                              <w:divsChild>
                                                <w:div w:id="15363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441708F9.dotm</Template>
  <TotalTime>0</TotalTime>
  <Pages>73</Pages>
  <Words>27366</Words>
  <Characters>155989</Characters>
  <Application>Microsoft Office Word</Application>
  <DocSecurity>0</DocSecurity>
  <Lines>1299</Lines>
  <Paragraphs>365</Paragraphs>
  <ScaleCrop>false</ScaleCrop>
  <Company/>
  <LinksUpToDate>false</LinksUpToDate>
  <CharactersWithSpaces>182990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2014-11-26T07:10:00Z</dcterms:created>
  <dcterms:modified xsi:type="dcterms:W3CDTF">2014-11-26T07:11:00Z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8307292</vt:lpwstr>
  </property>
</Properties>
</file>